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3E2" w:rsidRDefault="00D814D6">
      <w:pPr>
        <w:spacing w:line="480" w:lineRule="auto"/>
        <w:jc w:val="both"/>
        <w:rPr>
          <w:rFonts w:ascii="Calibri" w:hAnsi="Calibri" w:cs="Calibri"/>
          <w:b/>
          <w:sz w:val="24"/>
          <w:szCs w:val="24"/>
        </w:rPr>
      </w:pPr>
      <w:r w:rsidRPr="00925E10">
        <w:rPr>
          <w:rFonts w:ascii="Calibri" w:hAnsi="Calibri" w:cs="Calibri"/>
          <w:b/>
          <w:sz w:val="24"/>
          <w:szCs w:val="24"/>
        </w:rPr>
        <w:t xml:space="preserve">Depressive symptoms </w:t>
      </w:r>
      <w:r w:rsidR="006A6A00">
        <w:rPr>
          <w:rFonts w:ascii="Calibri" w:hAnsi="Calibri" w:cs="Calibri"/>
          <w:b/>
          <w:sz w:val="24"/>
          <w:szCs w:val="24"/>
        </w:rPr>
        <w:t>among older adults</w:t>
      </w:r>
      <w:r w:rsidRPr="00925E10">
        <w:rPr>
          <w:rFonts w:ascii="Calibri" w:hAnsi="Calibri" w:cs="Calibri"/>
          <w:b/>
          <w:sz w:val="24"/>
          <w:szCs w:val="24"/>
        </w:rPr>
        <w:t xml:space="preserve">: The impact of early </w:t>
      </w:r>
      <w:r w:rsidR="008923E2">
        <w:rPr>
          <w:rFonts w:ascii="Calibri" w:hAnsi="Calibri" w:cs="Calibri"/>
          <w:b/>
          <w:sz w:val="24"/>
          <w:szCs w:val="24"/>
        </w:rPr>
        <w:t xml:space="preserve">and later </w:t>
      </w:r>
      <w:r w:rsidRPr="00925E10">
        <w:rPr>
          <w:rFonts w:ascii="Calibri" w:hAnsi="Calibri" w:cs="Calibri"/>
          <w:b/>
          <w:sz w:val="24"/>
          <w:szCs w:val="24"/>
        </w:rPr>
        <w:t>life circumstances</w:t>
      </w:r>
      <w:r w:rsidR="00E91778">
        <w:rPr>
          <w:rFonts w:ascii="Calibri" w:hAnsi="Calibri" w:cs="Calibri"/>
          <w:b/>
          <w:sz w:val="24"/>
          <w:szCs w:val="24"/>
        </w:rPr>
        <w:t xml:space="preserve"> and marital status</w:t>
      </w:r>
    </w:p>
    <w:p w:rsidR="00273A74" w:rsidRDefault="00273A74">
      <w:pPr>
        <w:spacing w:line="480" w:lineRule="auto"/>
        <w:jc w:val="both"/>
        <w:rPr>
          <w:rFonts w:ascii="Calibri" w:hAnsi="Calibri" w:cs="Calibri"/>
          <w:b/>
          <w:sz w:val="24"/>
          <w:szCs w:val="24"/>
        </w:rPr>
      </w:pPr>
    </w:p>
    <w:p w:rsidR="00273A74" w:rsidRPr="00544B46" w:rsidRDefault="00273A74" w:rsidP="00273A74">
      <w:pPr>
        <w:spacing w:after="0" w:line="480" w:lineRule="auto"/>
        <w:rPr>
          <w:rFonts w:asciiTheme="minorHAnsi" w:hAnsiTheme="minorHAnsi"/>
          <w:b/>
          <w:sz w:val="24"/>
          <w:szCs w:val="24"/>
        </w:rPr>
      </w:pPr>
      <w:r w:rsidRPr="00544B46">
        <w:rPr>
          <w:rFonts w:asciiTheme="minorHAnsi" w:hAnsiTheme="minorHAnsi"/>
          <w:b/>
          <w:sz w:val="24"/>
          <w:szCs w:val="24"/>
        </w:rPr>
        <w:t>Authors:</w:t>
      </w:r>
    </w:p>
    <w:p w:rsidR="00273A74" w:rsidRPr="00544B46" w:rsidRDefault="00273A74" w:rsidP="00273A74">
      <w:pPr>
        <w:spacing w:after="0" w:line="480" w:lineRule="auto"/>
        <w:rPr>
          <w:rFonts w:asciiTheme="minorHAnsi" w:hAnsiTheme="minorHAnsi"/>
          <w:sz w:val="24"/>
          <w:szCs w:val="24"/>
        </w:rPr>
      </w:pPr>
      <w:r w:rsidRPr="00544B46">
        <w:rPr>
          <w:rFonts w:asciiTheme="minorHAnsi" w:hAnsiTheme="minorHAnsi"/>
          <w:sz w:val="24"/>
          <w:szCs w:val="24"/>
        </w:rPr>
        <w:t xml:space="preserve">Dr. Yumiko Kamiya, PhD, </w:t>
      </w:r>
      <w:r>
        <w:rPr>
          <w:rFonts w:asciiTheme="minorHAnsi" w:hAnsiTheme="minorHAnsi"/>
          <w:sz w:val="24"/>
          <w:szCs w:val="24"/>
        </w:rPr>
        <w:t>the Irish</w:t>
      </w:r>
      <w:r w:rsidRPr="00544B46">
        <w:rPr>
          <w:rFonts w:asciiTheme="minorHAnsi" w:hAnsiTheme="minorHAnsi"/>
          <w:sz w:val="24"/>
          <w:szCs w:val="24"/>
        </w:rPr>
        <w:t xml:space="preserve"> Longitudinal Study on Ageing, Trinity College Dublin</w:t>
      </w:r>
      <w:r>
        <w:rPr>
          <w:rFonts w:asciiTheme="minorHAnsi" w:hAnsiTheme="minorHAnsi"/>
          <w:sz w:val="24"/>
          <w:szCs w:val="24"/>
        </w:rPr>
        <w:t>, Ireland</w:t>
      </w:r>
    </w:p>
    <w:p w:rsidR="00273A74" w:rsidRPr="00544B46" w:rsidRDefault="00273A74" w:rsidP="00273A74">
      <w:pPr>
        <w:spacing w:after="0" w:line="480" w:lineRule="auto"/>
        <w:rPr>
          <w:rFonts w:asciiTheme="minorHAnsi" w:hAnsiTheme="minorHAnsi"/>
          <w:sz w:val="24"/>
          <w:szCs w:val="24"/>
        </w:rPr>
      </w:pPr>
      <w:r w:rsidRPr="00544B46">
        <w:rPr>
          <w:rFonts w:asciiTheme="minorHAnsi" w:hAnsiTheme="minorHAnsi"/>
          <w:sz w:val="24"/>
          <w:szCs w:val="24"/>
        </w:rPr>
        <w:t>Dr. Martha Doyle, PhD, Social Policy and Ageing Research Centre, School of Social Work and Social</w:t>
      </w:r>
      <w:r>
        <w:rPr>
          <w:rFonts w:asciiTheme="minorHAnsi" w:hAnsiTheme="minorHAnsi"/>
          <w:sz w:val="24"/>
          <w:szCs w:val="24"/>
        </w:rPr>
        <w:t xml:space="preserve"> Policy, Trinity College Dublin, Ireland</w:t>
      </w:r>
    </w:p>
    <w:p w:rsidR="00273A74" w:rsidRPr="00544B46" w:rsidRDefault="00273A74" w:rsidP="00273A74">
      <w:pPr>
        <w:autoSpaceDE w:val="0"/>
        <w:autoSpaceDN w:val="0"/>
        <w:adjustRightInd w:val="0"/>
        <w:spacing w:after="0" w:line="480" w:lineRule="auto"/>
        <w:rPr>
          <w:rFonts w:asciiTheme="minorHAnsi" w:hAnsiTheme="minorHAnsi"/>
          <w:sz w:val="24"/>
          <w:szCs w:val="24"/>
        </w:rPr>
      </w:pPr>
      <w:r w:rsidRPr="00544B46">
        <w:rPr>
          <w:rFonts w:asciiTheme="minorHAnsi" w:hAnsiTheme="minorHAnsi"/>
          <w:sz w:val="24"/>
          <w:szCs w:val="24"/>
        </w:rPr>
        <w:t>Prof. John C. Henretta, PhD, Department of Sociology &amp; Criminology and Law, University of Florida,</w:t>
      </w:r>
      <w:r>
        <w:rPr>
          <w:rFonts w:asciiTheme="minorHAnsi" w:hAnsiTheme="minorHAnsi"/>
          <w:sz w:val="24"/>
          <w:szCs w:val="24"/>
        </w:rPr>
        <w:t xml:space="preserve"> USA</w:t>
      </w:r>
    </w:p>
    <w:p w:rsidR="00273A74" w:rsidRDefault="00273A74" w:rsidP="00273A74">
      <w:pPr>
        <w:spacing w:after="0" w:line="480" w:lineRule="auto"/>
        <w:rPr>
          <w:rFonts w:asciiTheme="minorHAnsi" w:hAnsiTheme="minorHAnsi"/>
          <w:sz w:val="24"/>
          <w:szCs w:val="24"/>
        </w:rPr>
      </w:pPr>
      <w:r w:rsidRPr="00544B46">
        <w:rPr>
          <w:rFonts w:asciiTheme="minorHAnsi" w:hAnsiTheme="minorHAnsi"/>
          <w:sz w:val="24"/>
          <w:szCs w:val="24"/>
        </w:rPr>
        <w:t xml:space="preserve">Prof. Virpi Timonen, </w:t>
      </w:r>
      <w:r>
        <w:rPr>
          <w:rFonts w:asciiTheme="minorHAnsi" w:hAnsiTheme="minorHAnsi"/>
          <w:sz w:val="24"/>
          <w:szCs w:val="24"/>
        </w:rPr>
        <w:t>DPhil</w:t>
      </w:r>
      <w:r w:rsidRPr="00544B46">
        <w:rPr>
          <w:rFonts w:asciiTheme="minorHAnsi" w:hAnsiTheme="minorHAnsi"/>
          <w:sz w:val="24"/>
          <w:szCs w:val="24"/>
        </w:rPr>
        <w:t>, School of Social Work and Social</w:t>
      </w:r>
      <w:r>
        <w:rPr>
          <w:rFonts w:asciiTheme="minorHAnsi" w:hAnsiTheme="minorHAnsi"/>
          <w:sz w:val="24"/>
          <w:szCs w:val="24"/>
        </w:rPr>
        <w:t xml:space="preserve"> Policy, Trinity College Dublin, Ireland</w:t>
      </w:r>
    </w:p>
    <w:p w:rsidR="00273A74" w:rsidRDefault="00273A74" w:rsidP="00273A74">
      <w:pPr>
        <w:spacing w:after="0" w:line="360" w:lineRule="auto"/>
        <w:rPr>
          <w:rFonts w:asciiTheme="minorHAnsi" w:hAnsiTheme="minorHAnsi"/>
          <w:b/>
          <w:sz w:val="24"/>
          <w:szCs w:val="24"/>
        </w:rPr>
      </w:pPr>
    </w:p>
    <w:p w:rsidR="00273A74" w:rsidRDefault="00273A74" w:rsidP="00273A74">
      <w:pPr>
        <w:spacing w:after="0" w:line="360" w:lineRule="auto"/>
        <w:rPr>
          <w:rFonts w:asciiTheme="minorHAnsi" w:hAnsiTheme="minorHAnsi"/>
          <w:sz w:val="24"/>
          <w:szCs w:val="24"/>
        </w:rPr>
      </w:pPr>
      <w:r w:rsidRPr="000A4808">
        <w:rPr>
          <w:rFonts w:asciiTheme="minorHAnsi" w:hAnsiTheme="minorHAnsi"/>
          <w:b/>
          <w:sz w:val="24"/>
          <w:szCs w:val="24"/>
        </w:rPr>
        <w:t>Corresponding author</w:t>
      </w:r>
      <w:r w:rsidRPr="000A4808">
        <w:rPr>
          <w:rFonts w:asciiTheme="minorHAnsi" w:hAnsiTheme="minorHAnsi"/>
          <w:sz w:val="24"/>
          <w:szCs w:val="24"/>
        </w:rPr>
        <w:t xml:space="preserve">: </w:t>
      </w:r>
    </w:p>
    <w:p w:rsidR="00273A74" w:rsidRPr="000A4808" w:rsidRDefault="00273A74" w:rsidP="00273A74">
      <w:pPr>
        <w:spacing w:after="0" w:line="360" w:lineRule="auto"/>
        <w:rPr>
          <w:rFonts w:asciiTheme="minorHAnsi" w:hAnsiTheme="minorHAnsi"/>
          <w:sz w:val="24"/>
          <w:szCs w:val="24"/>
        </w:rPr>
      </w:pPr>
      <w:r w:rsidRPr="000A4808">
        <w:rPr>
          <w:rFonts w:asciiTheme="minorHAnsi" w:hAnsiTheme="minorHAnsi"/>
          <w:sz w:val="24"/>
          <w:szCs w:val="24"/>
        </w:rPr>
        <w:t>Virpi Timonen</w:t>
      </w:r>
    </w:p>
    <w:p w:rsidR="00273A74" w:rsidRPr="000A4808" w:rsidRDefault="00273A74" w:rsidP="00273A74">
      <w:pPr>
        <w:spacing w:after="0" w:line="360" w:lineRule="auto"/>
        <w:rPr>
          <w:rFonts w:asciiTheme="minorHAnsi" w:hAnsiTheme="minorHAnsi"/>
          <w:sz w:val="24"/>
          <w:szCs w:val="24"/>
        </w:rPr>
      </w:pPr>
      <w:r w:rsidRPr="000A4808">
        <w:rPr>
          <w:rFonts w:asciiTheme="minorHAnsi" w:hAnsiTheme="minorHAnsi"/>
          <w:sz w:val="24"/>
          <w:szCs w:val="24"/>
        </w:rPr>
        <w:t>Telephone: +353 1 896 2950</w:t>
      </w:r>
    </w:p>
    <w:p w:rsidR="00273A74" w:rsidRPr="000A4808" w:rsidRDefault="00273A74" w:rsidP="00273A74">
      <w:pPr>
        <w:pStyle w:val="PlainText"/>
        <w:spacing w:line="360" w:lineRule="auto"/>
        <w:rPr>
          <w:rFonts w:asciiTheme="minorHAnsi" w:hAnsiTheme="minorHAnsi"/>
          <w:sz w:val="24"/>
          <w:szCs w:val="24"/>
        </w:rPr>
      </w:pPr>
      <w:r w:rsidRPr="000A4808">
        <w:rPr>
          <w:rFonts w:asciiTheme="minorHAnsi" w:hAnsiTheme="minorHAnsi"/>
          <w:sz w:val="24"/>
          <w:szCs w:val="24"/>
        </w:rPr>
        <w:t>Fax: + 353 1 671 2262</w:t>
      </w:r>
    </w:p>
    <w:p w:rsidR="00273A74" w:rsidRPr="000A4808" w:rsidRDefault="00273A74" w:rsidP="00273A74">
      <w:pPr>
        <w:spacing w:after="0" w:line="360" w:lineRule="auto"/>
        <w:rPr>
          <w:rFonts w:asciiTheme="minorHAnsi" w:hAnsiTheme="minorHAnsi"/>
          <w:sz w:val="24"/>
          <w:szCs w:val="24"/>
        </w:rPr>
      </w:pPr>
      <w:r w:rsidRPr="000A4808">
        <w:rPr>
          <w:rFonts w:asciiTheme="minorHAnsi" w:hAnsiTheme="minorHAnsi"/>
          <w:sz w:val="24"/>
          <w:szCs w:val="24"/>
        </w:rPr>
        <w:t xml:space="preserve">Email: </w:t>
      </w:r>
      <w:hyperlink r:id="rId7" w:history="1">
        <w:r w:rsidRPr="000A4808">
          <w:rPr>
            <w:rStyle w:val="Hyperlink"/>
            <w:rFonts w:asciiTheme="minorHAnsi" w:hAnsiTheme="minorHAnsi"/>
            <w:sz w:val="24"/>
            <w:szCs w:val="24"/>
          </w:rPr>
          <w:t>timonenv@tcd.ie</w:t>
        </w:r>
      </w:hyperlink>
      <w:r w:rsidRPr="000A4808">
        <w:rPr>
          <w:rFonts w:asciiTheme="minorHAnsi" w:hAnsiTheme="minorHAnsi"/>
          <w:sz w:val="24"/>
          <w:szCs w:val="24"/>
        </w:rPr>
        <w:t xml:space="preserve"> </w:t>
      </w:r>
    </w:p>
    <w:p w:rsidR="00273A74" w:rsidRDefault="00273A74">
      <w:pPr>
        <w:spacing w:line="480" w:lineRule="auto"/>
        <w:jc w:val="both"/>
        <w:rPr>
          <w:rFonts w:ascii="Calibri" w:hAnsi="Calibri" w:cs="Calibri"/>
          <w:b/>
          <w:sz w:val="24"/>
          <w:szCs w:val="24"/>
        </w:rPr>
      </w:pPr>
    </w:p>
    <w:p w:rsidR="00273A74" w:rsidRDefault="00273A74">
      <w:pPr>
        <w:spacing w:line="480" w:lineRule="auto"/>
        <w:jc w:val="both"/>
        <w:rPr>
          <w:rFonts w:ascii="Calibri" w:hAnsi="Calibri" w:cs="Calibri"/>
          <w:b/>
          <w:sz w:val="24"/>
          <w:szCs w:val="24"/>
        </w:rPr>
      </w:pPr>
    </w:p>
    <w:p w:rsidR="00273A74" w:rsidRDefault="00273A74">
      <w:pPr>
        <w:spacing w:line="480" w:lineRule="auto"/>
        <w:jc w:val="both"/>
        <w:rPr>
          <w:rFonts w:ascii="Calibri" w:hAnsi="Calibri" w:cs="Calibri"/>
          <w:b/>
          <w:sz w:val="24"/>
          <w:szCs w:val="24"/>
        </w:rPr>
      </w:pPr>
    </w:p>
    <w:p w:rsidR="00D814D6" w:rsidRPr="00925E10" w:rsidRDefault="00273A74">
      <w:pPr>
        <w:spacing w:line="480" w:lineRule="auto"/>
        <w:jc w:val="both"/>
        <w:rPr>
          <w:rFonts w:ascii="Calibri" w:hAnsi="Calibri" w:cs="Calibri"/>
          <w:b/>
          <w:sz w:val="24"/>
          <w:szCs w:val="24"/>
        </w:rPr>
      </w:pPr>
      <w:r>
        <w:rPr>
          <w:rFonts w:ascii="Calibri" w:hAnsi="Calibri" w:cs="Calibri"/>
          <w:b/>
          <w:sz w:val="24"/>
          <w:szCs w:val="24"/>
        </w:rPr>
        <w:br w:type="page"/>
      </w:r>
      <w:r w:rsidR="00D814D6" w:rsidRPr="00925E10">
        <w:rPr>
          <w:rFonts w:ascii="Calibri" w:hAnsi="Calibri" w:cs="Calibri"/>
          <w:b/>
          <w:sz w:val="24"/>
          <w:szCs w:val="24"/>
        </w:rPr>
        <w:lastRenderedPageBreak/>
        <w:t>Abstract</w:t>
      </w:r>
    </w:p>
    <w:p w:rsidR="00D814D6" w:rsidRPr="00925E10" w:rsidRDefault="00FE50CC">
      <w:pPr>
        <w:spacing w:line="480" w:lineRule="auto"/>
        <w:jc w:val="both"/>
        <w:rPr>
          <w:rFonts w:ascii="Calibri" w:hAnsi="Calibri" w:cs="Calibri"/>
          <w:b/>
          <w:sz w:val="24"/>
          <w:szCs w:val="24"/>
        </w:rPr>
      </w:pPr>
      <w:r>
        <w:rPr>
          <w:rFonts w:ascii="Calibri" w:hAnsi="Calibri" w:cs="Calibri"/>
          <w:b/>
          <w:sz w:val="24"/>
          <w:szCs w:val="24"/>
        </w:rPr>
        <w:t>Objective</w:t>
      </w:r>
      <w:r w:rsidR="00D814D6" w:rsidRPr="00925E10">
        <w:rPr>
          <w:rFonts w:ascii="Calibri" w:hAnsi="Calibri" w:cs="Calibri"/>
          <w:b/>
          <w:sz w:val="24"/>
          <w:szCs w:val="24"/>
        </w:rPr>
        <w:t>:</w:t>
      </w:r>
      <w:r w:rsidR="00D814D6" w:rsidRPr="00925E10">
        <w:rPr>
          <w:rFonts w:ascii="Calibri" w:hAnsi="Calibri" w:cs="Calibri"/>
          <w:sz w:val="24"/>
          <w:szCs w:val="24"/>
        </w:rPr>
        <w:t xml:space="preserve"> </w:t>
      </w:r>
      <w:r w:rsidR="006A6A00">
        <w:rPr>
          <w:rFonts w:ascii="Calibri" w:hAnsi="Calibri" w:cs="Calibri"/>
          <w:sz w:val="24"/>
          <w:szCs w:val="24"/>
        </w:rPr>
        <w:t>T</w:t>
      </w:r>
      <w:r>
        <w:rPr>
          <w:rFonts w:ascii="Calibri" w:hAnsi="Calibri" w:cs="Calibri"/>
          <w:sz w:val="24"/>
          <w:szCs w:val="24"/>
        </w:rPr>
        <w:t>his article contributes to t</w:t>
      </w:r>
      <w:r w:rsidR="006A6A00">
        <w:rPr>
          <w:rFonts w:ascii="Calibri" w:hAnsi="Calibri" w:cs="Calibri"/>
          <w:sz w:val="24"/>
          <w:szCs w:val="24"/>
        </w:rPr>
        <w:t>he literature on depression and the l</w:t>
      </w:r>
      <w:r w:rsidR="00D36647">
        <w:rPr>
          <w:rFonts w:ascii="Calibri" w:hAnsi="Calibri" w:cs="Calibri"/>
          <w:sz w:val="24"/>
          <w:szCs w:val="24"/>
        </w:rPr>
        <w:t>ife course</w:t>
      </w:r>
      <w:r w:rsidR="006A6A00">
        <w:rPr>
          <w:rFonts w:ascii="Calibri" w:hAnsi="Calibri" w:cs="Calibri"/>
          <w:sz w:val="24"/>
          <w:szCs w:val="24"/>
        </w:rPr>
        <w:t xml:space="preserve"> </w:t>
      </w:r>
      <w:r>
        <w:rPr>
          <w:rFonts w:ascii="Calibri" w:hAnsi="Calibri" w:cs="Calibri"/>
          <w:sz w:val="24"/>
          <w:szCs w:val="24"/>
        </w:rPr>
        <w:t>by examining</w:t>
      </w:r>
      <w:r w:rsidR="00D814D6" w:rsidRPr="00925E10">
        <w:rPr>
          <w:rFonts w:ascii="Calibri" w:hAnsi="Calibri" w:cs="Calibri"/>
          <w:sz w:val="24"/>
          <w:szCs w:val="24"/>
        </w:rPr>
        <w:t xml:space="preserve"> the impact of </w:t>
      </w:r>
      <w:r>
        <w:rPr>
          <w:rFonts w:ascii="Calibri" w:hAnsi="Calibri" w:cs="Calibri"/>
          <w:sz w:val="24"/>
          <w:szCs w:val="24"/>
        </w:rPr>
        <w:t xml:space="preserve">both </w:t>
      </w:r>
      <w:r w:rsidR="00D814D6" w:rsidRPr="00925E10">
        <w:rPr>
          <w:rFonts w:ascii="Calibri" w:hAnsi="Calibri" w:cs="Calibri"/>
          <w:sz w:val="24"/>
          <w:szCs w:val="24"/>
          <w:lang w:val="en-US"/>
        </w:rPr>
        <w:t>early and later life circumstances</w:t>
      </w:r>
      <w:r w:rsidR="00E91778">
        <w:rPr>
          <w:rFonts w:ascii="Calibri" w:hAnsi="Calibri" w:cs="Calibri"/>
          <w:sz w:val="24"/>
          <w:szCs w:val="24"/>
          <w:lang w:val="en-US"/>
        </w:rPr>
        <w:t xml:space="preserve"> </w:t>
      </w:r>
      <w:r w:rsidR="00D814D6" w:rsidRPr="00925E10">
        <w:rPr>
          <w:rFonts w:ascii="Calibri" w:hAnsi="Calibri" w:cs="Calibri"/>
          <w:sz w:val="24"/>
          <w:szCs w:val="24"/>
          <w:lang w:val="en-US"/>
        </w:rPr>
        <w:t xml:space="preserve">on depressive symptoms among </w:t>
      </w:r>
      <w:r w:rsidR="008923E2">
        <w:rPr>
          <w:rFonts w:ascii="Calibri" w:hAnsi="Calibri" w:cs="Calibri"/>
          <w:sz w:val="24"/>
          <w:szCs w:val="24"/>
          <w:lang w:val="en-US"/>
        </w:rPr>
        <w:t>men and women</w:t>
      </w:r>
      <w:r w:rsidR="00D814D6" w:rsidRPr="00925E10">
        <w:rPr>
          <w:rFonts w:ascii="Calibri" w:hAnsi="Calibri" w:cs="Calibri"/>
          <w:sz w:val="24"/>
          <w:szCs w:val="24"/>
          <w:lang w:val="en-US"/>
        </w:rPr>
        <w:t xml:space="preserve"> </w:t>
      </w:r>
      <w:r w:rsidR="008923E2">
        <w:rPr>
          <w:rFonts w:ascii="Calibri" w:hAnsi="Calibri" w:cs="Calibri"/>
          <w:sz w:val="24"/>
          <w:szCs w:val="24"/>
          <w:lang w:val="en-US"/>
        </w:rPr>
        <w:t>aged 65 and over in Ireland</w:t>
      </w:r>
      <w:r w:rsidR="00D814D6" w:rsidRPr="00925E10">
        <w:rPr>
          <w:rFonts w:ascii="Calibri" w:hAnsi="Calibri" w:cs="Calibri"/>
          <w:sz w:val="24"/>
          <w:szCs w:val="24"/>
          <w:lang w:val="en-US"/>
        </w:rPr>
        <w:t xml:space="preserve">. </w:t>
      </w:r>
    </w:p>
    <w:p w:rsidR="00D814D6" w:rsidRPr="00925E10" w:rsidRDefault="00D814D6">
      <w:pPr>
        <w:spacing w:line="480" w:lineRule="auto"/>
        <w:jc w:val="both"/>
        <w:rPr>
          <w:rFonts w:ascii="Calibri" w:hAnsi="Calibri" w:cs="Calibri"/>
          <w:b/>
          <w:sz w:val="24"/>
          <w:szCs w:val="24"/>
        </w:rPr>
      </w:pPr>
      <w:r w:rsidRPr="00925E10">
        <w:rPr>
          <w:rFonts w:ascii="Calibri" w:hAnsi="Calibri" w:cs="Calibri"/>
          <w:b/>
          <w:sz w:val="24"/>
          <w:szCs w:val="24"/>
        </w:rPr>
        <w:t>Method:</w:t>
      </w:r>
      <w:r w:rsidRPr="00925E10">
        <w:rPr>
          <w:rFonts w:ascii="Calibri" w:hAnsi="Calibri" w:cs="Calibri"/>
          <w:sz w:val="24"/>
          <w:szCs w:val="24"/>
        </w:rPr>
        <w:t xml:space="preserve"> Data are from the </w:t>
      </w:r>
      <w:r w:rsidRPr="00925E10">
        <w:rPr>
          <w:rFonts w:ascii="Calibri" w:hAnsi="Calibri" w:cs="Calibri"/>
          <w:sz w:val="24"/>
          <w:szCs w:val="24"/>
          <w:lang w:eastAsia="en-IE"/>
        </w:rPr>
        <w:t xml:space="preserve">first wave of The Irish Longitudinal Study on Ageing (TILDA), a nationally representative sample of </w:t>
      </w:r>
      <w:r w:rsidRPr="00925E10">
        <w:rPr>
          <w:rFonts w:ascii="Calibri" w:hAnsi="Calibri" w:cs="Calibri"/>
          <w:sz w:val="24"/>
          <w:szCs w:val="24"/>
        </w:rPr>
        <w:t xml:space="preserve">8,504 community-dwelling adults aged 50 years and older. 3,507 respondents aged 65 years and over were included in the analysis. Multinomial logistic regression was used to examine the childhood and early adult life </w:t>
      </w:r>
      <w:r w:rsidR="00D36647">
        <w:rPr>
          <w:rFonts w:ascii="Calibri" w:hAnsi="Calibri" w:cs="Calibri"/>
          <w:sz w:val="24"/>
          <w:szCs w:val="24"/>
        </w:rPr>
        <w:t>circumstances</w:t>
      </w:r>
      <w:r w:rsidRPr="00925E10">
        <w:rPr>
          <w:rFonts w:ascii="Calibri" w:hAnsi="Calibri" w:cs="Calibri"/>
          <w:sz w:val="24"/>
          <w:szCs w:val="24"/>
        </w:rPr>
        <w:t xml:space="preserve"> associated with marital status. </w:t>
      </w:r>
      <w:r w:rsidRPr="00925E10">
        <w:rPr>
          <w:rFonts w:ascii="Calibri" w:hAnsi="Calibri" w:cs="Calibri"/>
          <w:sz w:val="24"/>
          <w:szCs w:val="24"/>
          <w:lang w:val="en-US"/>
        </w:rPr>
        <w:t>A series of nested models were estimated to evaluate which childhood and adulthood circumstances are associated wit</w:t>
      </w:r>
      <w:r w:rsidR="00D36647">
        <w:rPr>
          <w:rFonts w:ascii="Calibri" w:hAnsi="Calibri" w:cs="Calibri"/>
          <w:sz w:val="24"/>
          <w:szCs w:val="24"/>
          <w:lang w:val="en-US"/>
        </w:rPr>
        <w:t>h depressive symptoms.  Models we</w:t>
      </w:r>
      <w:r w:rsidRPr="00925E10">
        <w:rPr>
          <w:rFonts w:ascii="Calibri" w:hAnsi="Calibri" w:cs="Calibri"/>
          <w:sz w:val="24"/>
          <w:szCs w:val="24"/>
          <w:lang w:val="en-US"/>
        </w:rPr>
        <w:t>re estimated separately for men and women.</w:t>
      </w:r>
    </w:p>
    <w:p w:rsidR="00D814D6" w:rsidRPr="00925E10" w:rsidRDefault="00D814D6">
      <w:pPr>
        <w:spacing w:line="480" w:lineRule="auto"/>
        <w:jc w:val="both"/>
        <w:rPr>
          <w:rFonts w:ascii="Calibri" w:hAnsi="Calibri" w:cs="Calibri"/>
          <w:sz w:val="24"/>
          <w:szCs w:val="24"/>
        </w:rPr>
      </w:pPr>
      <w:r w:rsidRPr="00925E10">
        <w:rPr>
          <w:rFonts w:ascii="Calibri" w:hAnsi="Calibri" w:cs="Calibri"/>
          <w:b/>
          <w:sz w:val="24"/>
          <w:szCs w:val="24"/>
        </w:rPr>
        <w:t>Results:</w:t>
      </w:r>
      <w:r w:rsidRPr="00925E10">
        <w:rPr>
          <w:rFonts w:ascii="Calibri" w:hAnsi="Calibri" w:cs="Calibri"/>
          <w:sz w:val="24"/>
          <w:szCs w:val="24"/>
        </w:rPr>
        <w:t xml:space="preserve"> Ill health in childhood and in later life has a strong and direct effect on depression in later life for both men and women. Other early stressors are mediated by later </w:t>
      </w:r>
      <w:r w:rsidR="0040658E">
        <w:rPr>
          <w:rFonts w:ascii="Calibri" w:hAnsi="Calibri" w:cs="Calibri"/>
          <w:sz w:val="24"/>
          <w:szCs w:val="24"/>
        </w:rPr>
        <w:t>circumstances</w:t>
      </w:r>
      <w:r w:rsidRPr="00925E10">
        <w:rPr>
          <w:rFonts w:ascii="Calibri" w:hAnsi="Calibri" w:cs="Calibri"/>
          <w:sz w:val="24"/>
          <w:szCs w:val="24"/>
        </w:rPr>
        <w:t xml:space="preserve">. Marital status is a significant independent predictor of depression in later life. Later life circumstances mediate between some marital statuses and depressive symptoms. When later life circumstances are included, widowhood and, for men, divorce, are directly associated with depression, but singlehood is not. Income in later life is strongly associated with depressive symptoms for women.  </w:t>
      </w:r>
    </w:p>
    <w:p w:rsidR="00D814D6" w:rsidRPr="00925E10" w:rsidRDefault="00D814D6">
      <w:pPr>
        <w:spacing w:line="480" w:lineRule="auto"/>
        <w:jc w:val="both"/>
        <w:rPr>
          <w:rFonts w:ascii="Calibri" w:hAnsi="Calibri" w:cs="Calibri"/>
          <w:sz w:val="24"/>
          <w:szCs w:val="24"/>
        </w:rPr>
      </w:pPr>
      <w:r w:rsidRPr="00925E10">
        <w:rPr>
          <w:rFonts w:ascii="Calibri" w:hAnsi="Calibri" w:cs="Calibri"/>
          <w:b/>
          <w:sz w:val="24"/>
          <w:szCs w:val="24"/>
        </w:rPr>
        <w:t>Conclusion:</w:t>
      </w:r>
      <w:r w:rsidRPr="00925E10">
        <w:rPr>
          <w:rFonts w:ascii="Calibri" w:hAnsi="Calibri" w:cs="Calibri"/>
          <w:sz w:val="24"/>
          <w:szCs w:val="24"/>
        </w:rPr>
        <w:t xml:space="preserve"> Both early and later life circumstances affect late-life depressive symptoms</w:t>
      </w:r>
      <w:r w:rsidR="00C953AB">
        <w:rPr>
          <w:rFonts w:ascii="Calibri" w:hAnsi="Calibri" w:cs="Calibri"/>
          <w:sz w:val="24"/>
          <w:szCs w:val="24"/>
        </w:rPr>
        <w:t>.</w:t>
      </w:r>
      <w:r w:rsidRPr="00925E10">
        <w:rPr>
          <w:rFonts w:ascii="Calibri" w:hAnsi="Calibri" w:cs="Calibri"/>
          <w:sz w:val="24"/>
          <w:szCs w:val="24"/>
        </w:rPr>
        <w:t xml:space="preserve"> Our findings indicate that previous studies which did not consider both </w:t>
      </w:r>
      <w:r w:rsidRPr="00925E10">
        <w:rPr>
          <w:rFonts w:ascii="Calibri" w:hAnsi="Calibri" w:cs="Calibri"/>
          <w:sz w:val="24"/>
          <w:szCs w:val="24"/>
        </w:rPr>
        <w:lastRenderedPageBreak/>
        <w:t xml:space="preserve">may </w:t>
      </w:r>
      <w:r w:rsidR="00A73CD9">
        <w:rPr>
          <w:rFonts w:ascii="Calibri" w:hAnsi="Calibri" w:cs="Calibri"/>
          <w:sz w:val="24"/>
          <w:szCs w:val="24"/>
        </w:rPr>
        <w:t xml:space="preserve">have </w:t>
      </w:r>
      <w:r w:rsidRPr="00925E10">
        <w:rPr>
          <w:rFonts w:ascii="Calibri" w:hAnsi="Calibri" w:cs="Calibri"/>
          <w:sz w:val="24"/>
          <w:szCs w:val="24"/>
        </w:rPr>
        <w:t>underestimate</w:t>
      </w:r>
      <w:r w:rsidR="00A73CD9">
        <w:rPr>
          <w:rFonts w:ascii="Calibri" w:hAnsi="Calibri" w:cs="Calibri"/>
          <w:sz w:val="24"/>
          <w:szCs w:val="24"/>
        </w:rPr>
        <w:t>d</w:t>
      </w:r>
      <w:r w:rsidRPr="00925E10">
        <w:rPr>
          <w:rFonts w:ascii="Calibri" w:hAnsi="Calibri" w:cs="Calibri"/>
          <w:sz w:val="24"/>
          <w:szCs w:val="24"/>
        </w:rPr>
        <w:t xml:space="preserve"> or overestimate</w:t>
      </w:r>
      <w:r w:rsidR="00A73CD9">
        <w:rPr>
          <w:rFonts w:ascii="Calibri" w:hAnsi="Calibri" w:cs="Calibri"/>
          <w:sz w:val="24"/>
          <w:szCs w:val="24"/>
        </w:rPr>
        <w:t>d</w:t>
      </w:r>
      <w:r w:rsidRPr="00925E10">
        <w:rPr>
          <w:rFonts w:ascii="Calibri" w:hAnsi="Calibri" w:cs="Calibri"/>
          <w:sz w:val="24"/>
          <w:szCs w:val="24"/>
        </w:rPr>
        <w:t xml:space="preserve"> the effect of marital status, education, current health and education on depressive symptoms. </w:t>
      </w:r>
    </w:p>
    <w:p w:rsidR="00D814D6" w:rsidRPr="00925E10" w:rsidRDefault="00D814D6">
      <w:pPr>
        <w:spacing w:line="480" w:lineRule="auto"/>
        <w:jc w:val="both"/>
        <w:rPr>
          <w:rFonts w:ascii="Calibri" w:hAnsi="Calibri" w:cs="Calibri"/>
          <w:sz w:val="24"/>
          <w:szCs w:val="24"/>
        </w:rPr>
      </w:pPr>
      <w:r w:rsidRPr="00925E10">
        <w:rPr>
          <w:rFonts w:ascii="Calibri" w:hAnsi="Calibri" w:cs="Calibri"/>
          <w:b/>
          <w:sz w:val="24"/>
          <w:szCs w:val="24"/>
        </w:rPr>
        <w:t>Key Words:</w:t>
      </w:r>
      <w:r w:rsidRPr="00925E10">
        <w:rPr>
          <w:rFonts w:ascii="Calibri" w:hAnsi="Calibri" w:cs="Calibri"/>
          <w:sz w:val="24"/>
          <w:szCs w:val="24"/>
        </w:rPr>
        <w:t xml:space="preserve"> depression, life course, childhood, gender, marital status</w:t>
      </w:r>
    </w:p>
    <w:p w:rsidR="00C953AB" w:rsidRDefault="00D814D6" w:rsidP="00C953AB">
      <w:pPr>
        <w:spacing w:line="480" w:lineRule="auto"/>
        <w:jc w:val="both"/>
        <w:rPr>
          <w:rFonts w:ascii="Calibri" w:hAnsi="Calibri" w:cs="Calibri"/>
          <w:b/>
          <w:sz w:val="24"/>
          <w:szCs w:val="24"/>
        </w:rPr>
      </w:pPr>
      <w:r w:rsidRPr="00925E10">
        <w:rPr>
          <w:rFonts w:ascii="Calibri" w:hAnsi="Calibri" w:cs="Calibri"/>
          <w:sz w:val="24"/>
          <w:szCs w:val="24"/>
        </w:rPr>
        <w:br w:type="page"/>
      </w:r>
      <w:r w:rsidR="00C953AB" w:rsidRPr="00925E10">
        <w:rPr>
          <w:rFonts w:ascii="Calibri" w:hAnsi="Calibri" w:cs="Calibri"/>
          <w:b/>
          <w:sz w:val="24"/>
          <w:szCs w:val="24"/>
        </w:rPr>
        <w:lastRenderedPageBreak/>
        <w:t xml:space="preserve">Depressive symptoms </w:t>
      </w:r>
      <w:r w:rsidR="00C953AB">
        <w:rPr>
          <w:rFonts w:ascii="Calibri" w:hAnsi="Calibri" w:cs="Calibri"/>
          <w:b/>
          <w:sz w:val="24"/>
          <w:szCs w:val="24"/>
        </w:rPr>
        <w:t>among older adults</w:t>
      </w:r>
      <w:r w:rsidR="00C953AB" w:rsidRPr="00925E10">
        <w:rPr>
          <w:rFonts w:ascii="Calibri" w:hAnsi="Calibri" w:cs="Calibri"/>
          <w:b/>
          <w:sz w:val="24"/>
          <w:szCs w:val="24"/>
        </w:rPr>
        <w:t xml:space="preserve">: The impact of early </w:t>
      </w:r>
      <w:r w:rsidR="00C953AB">
        <w:rPr>
          <w:rFonts w:ascii="Calibri" w:hAnsi="Calibri" w:cs="Calibri"/>
          <w:b/>
          <w:sz w:val="24"/>
          <w:szCs w:val="24"/>
        </w:rPr>
        <w:t xml:space="preserve">and later </w:t>
      </w:r>
      <w:r w:rsidR="00C953AB" w:rsidRPr="00925E10">
        <w:rPr>
          <w:rFonts w:ascii="Calibri" w:hAnsi="Calibri" w:cs="Calibri"/>
          <w:b/>
          <w:sz w:val="24"/>
          <w:szCs w:val="24"/>
        </w:rPr>
        <w:t>life circumstances</w:t>
      </w:r>
      <w:r w:rsidR="00E91778">
        <w:rPr>
          <w:rFonts w:ascii="Calibri" w:hAnsi="Calibri" w:cs="Calibri"/>
          <w:b/>
          <w:sz w:val="24"/>
          <w:szCs w:val="24"/>
        </w:rPr>
        <w:t xml:space="preserve"> and marital status</w:t>
      </w:r>
    </w:p>
    <w:p w:rsidR="00D814D6" w:rsidRPr="00925E10" w:rsidRDefault="00D814D6">
      <w:pPr>
        <w:spacing w:line="480" w:lineRule="auto"/>
        <w:jc w:val="both"/>
        <w:rPr>
          <w:rFonts w:ascii="Calibri" w:hAnsi="Calibri" w:cs="Calibri"/>
          <w:b/>
          <w:sz w:val="24"/>
          <w:szCs w:val="24"/>
        </w:rPr>
      </w:pPr>
      <w:r w:rsidRPr="00925E10">
        <w:rPr>
          <w:rFonts w:ascii="Calibri" w:hAnsi="Calibri" w:cs="Calibri"/>
          <w:b/>
          <w:sz w:val="24"/>
          <w:szCs w:val="24"/>
        </w:rPr>
        <w:t>Introduction</w:t>
      </w:r>
    </w:p>
    <w:p w:rsidR="001F0D68"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t>Depression in later life can be attributed to the interaction of genetic, physiological and psychosocial risk factors across the life course (Fiske et al.</w:t>
      </w:r>
      <w:r w:rsidR="0070350D">
        <w:rPr>
          <w:rFonts w:ascii="Calibri" w:hAnsi="Calibri" w:cs="Calibri"/>
          <w:sz w:val="24"/>
          <w:szCs w:val="24"/>
        </w:rPr>
        <w:t>,</w:t>
      </w:r>
      <w:r w:rsidRPr="00925E10">
        <w:rPr>
          <w:rFonts w:ascii="Calibri" w:hAnsi="Calibri" w:cs="Calibri"/>
          <w:sz w:val="24"/>
          <w:szCs w:val="24"/>
        </w:rPr>
        <w:t xml:space="preserve"> 2009; Colman and Ataullahjan, 2010). </w:t>
      </w:r>
      <w:r w:rsidR="00C953AB">
        <w:rPr>
          <w:rFonts w:ascii="Calibri" w:hAnsi="Calibri" w:cs="Calibri"/>
          <w:sz w:val="24"/>
          <w:szCs w:val="24"/>
        </w:rPr>
        <w:t>We know little about t</w:t>
      </w:r>
      <w:r w:rsidR="0042633C" w:rsidRPr="00925E10">
        <w:rPr>
          <w:rFonts w:ascii="Calibri" w:hAnsi="Calibri" w:cs="Calibri"/>
          <w:sz w:val="24"/>
          <w:szCs w:val="24"/>
        </w:rPr>
        <w:t xml:space="preserve">he impact of psychosocial risk factors across the life course and </w:t>
      </w:r>
      <w:r w:rsidR="000F11A2">
        <w:rPr>
          <w:rFonts w:ascii="Calibri" w:hAnsi="Calibri" w:cs="Calibri"/>
          <w:sz w:val="24"/>
          <w:szCs w:val="24"/>
        </w:rPr>
        <w:t xml:space="preserve">about the </w:t>
      </w:r>
      <w:r w:rsidR="0042633C" w:rsidRPr="00925E10">
        <w:rPr>
          <w:rFonts w:ascii="Calibri" w:hAnsi="Calibri" w:cs="Calibri"/>
          <w:sz w:val="24"/>
          <w:szCs w:val="24"/>
        </w:rPr>
        <w:t xml:space="preserve">variables </w:t>
      </w:r>
      <w:r w:rsidR="000F11A2">
        <w:rPr>
          <w:rFonts w:ascii="Calibri" w:hAnsi="Calibri" w:cs="Calibri"/>
          <w:sz w:val="24"/>
          <w:szCs w:val="24"/>
        </w:rPr>
        <w:t>that</w:t>
      </w:r>
      <w:r w:rsidR="0042633C" w:rsidRPr="00925E10">
        <w:rPr>
          <w:rFonts w:ascii="Calibri" w:hAnsi="Calibri" w:cs="Calibri"/>
          <w:sz w:val="24"/>
          <w:szCs w:val="24"/>
        </w:rPr>
        <w:t xml:space="preserve"> </w:t>
      </w:r>
      <w:r w:rsidR="00C953AB">
        <w:rPr>
          <w:rFonts w:ascii="Calibri" w:hAnsi="Calibri" w:cs="Calibri"/>
          <w:sz w:val="24"/>
          <w:szCs w:val="24"/>
        </w:rPr>
        <w:t xml:space="preserve">may </w:t>
      </w:r>
      <w:r w:rsidR="0042633C" w:rsidRPr="00925E10">
        <w:rPr>
          <w:rFonts w:ascii="Calibri" w:hAnsi="Calibri" w:cs="Calibri"/>
          <w:sz w:val="24"/>
          <w:szCs w:val="24"/>
        </w:rPr>
        <w:t xml:space="preserve">mediate the influence of early life </w:t>
      </w:r>
      <w:r w:rsidR="00A140E4">
        <w:rPr>
          <w:rFonts w:ascii="Calibri" w:hAnsi="Calibri" w:cs="Calibri"/>
          <w:sz w:val="24"/>
          <w:szCs w:val="24"/>
        </w:rPr>
        <w:t>circumstances</w:t>
      </w:r>
      <w:r w:rsidR="0042633C" w:rsidRPr="00925E10">
        <w:rPr>
          <w:rFonts w:ascii="Calibri" w:hAnsi="Calibri" w:cs="Calibri"/>
          <w:sz w:val="24"/>
          <w:szCs w:val="24"/>
        </w:rPr>
        <w:t xml:space="preserve"> on depression in </w:t>
      </w:r>
      <w:r w:rsidR="00C953AB">
        <w:rPr>
          <w:rFonts w:ascii="Calibri" w:hAnsi="Calibri" w:cs="Calibri"/>
          <w:sz w:val="24"/>
          <w:szCs w:val="24"/>
        </w:rPr>
        <w:t>later life</w:t>
      </w:r>
      <w:r w:rsidR="0042633C" w:rsidRPr="00925E10">
        <w:rPr>
          <w:rFonts w:ascii="Calibri" w:hAnsi="Calibri" w:cs="Calibri"/>
          <w:sz w:val="24"/>
          <w:szCs w:val="24"/>
        </w:rPr>
        <w:t xml:space="preserve">. In particular, do early life </w:t>
      </w:r>
      <w:r w:rsidR="00A140E4">
        <w:rPr>
          <w:rFonts w:ascii="Calibri" w:hAnsi="Calibri" w:cs="Calibri"/>
          <w:sz w:val="24"/>
          <w:szCs w:val="24"/>
        </w:rPr>
        <w:t>circumstances</w:t>
      </w:r>
      <w:r w:rsidR="0042633C" w:rsidRPr="00925E10">
        <w:rPr>
          <w:rFonts w:ascii="Calibri" w:hAnsi="Calibri" w:cs="Calibri"/>
          <w:sz w:val="24"/>
          <w:szCs w:val="24"/>
        </w:rPr>
        <w:t xml:space="preserve"> retain independent direct effects after later </w:t>
      </w:r>
      <w:r w:rsidR="00A140E4">
        <w:rPr>
          <w:rFonts w:ascii="Calibri" w:hAnsi="Calibri" w:cs="Calibri"/>
          <w:sz w:val="24"/>
          <w:szCs w:val="24"/>
        </w:rPr>
        <w:t>life circumstances</w:t>
      </w:r>
      <w:r w:rsidR="0042633C" w:rsidRPr="00925E10">
        <w:rPr>
          <w:rFonts w:ascii="Calibri" w:hAnsi="Calibri" w:cs="Calibri"/>
          <w:sz w:val="24"/>
          <w:szCs w:val="24"/>
        </w:rPr>
        <w:t xml:space="preserve"> are taken into account?  A focus on the combined effect of early and late</w:t>
      </w:r>
      <w:r w:rsidR="0042633C">
        <w:rPr>
          <w:rFonts w:ascii="Calibri" w:hAnsi="Calibri" w:cs="Calibri"/>
          <w:sz w:val="24"/>
          <w:szCs w:val="24"/>
        </w:rPr>
        <w:t>r</w:t>
      </w:r>
      <w:r w:rsidR="0042633C" w:rsidRPr="00925E10">
        <w:rPr>
          <w:rFonts w:ascii="Calibri" w:hAnsi="Calibri" w:cs="Calibri"/>
          <w:sz w:val="24"/>
          <w:szCs w:val="24"/>
        </w:rPr>
        <w:t xml:space="preserve"> </w:t>
      </w:r>
      <w:r w:rsidR="0042633C">
        <w:rPr>
          <w:rFonts w:ascii="Calibri" w:hAnsi="Calibri" w:cs="Calibri"/>
          <w:sz w:val="24"/>
          <w:szCs w:val="24"/>
        </w:rPr>
        <w:t>circumstances</w:t>
      </w:r>
      <w:r w:rsidR="0042633C" w:rsidRPr="00925E10">
        <w:rPr>
          <w:rFonts w:ascii="Calibri" w:hAnsi="Calibri" w:cs="Calibri"/>
          <w:sz w:val="24"/>
          <w:szCs w:val="24"/>
        </w:rPr>
        <w:t xml:space="preserve"> accords with the social trajectory life-course model (Glymour, Ertel and Berkman, 2009) and allows an improved understanding of the impact of </w:t>
      </w:r>
      <w:r w:rsidR="001F0D68">
        <w:rPr>
          <w:rFonts w:ascii="Calibri" w:hAnsi="Calibri" w:cs="Calibri"/>
          <w:sz w:val="24"/>
          <w:szCs w:val="24"/>
        </w:rPr>
        <w:t>circumstances over</w:t>
      </w:r>
      <w:r w:rsidR="001F0D68" w:rsidRPr="00925E10">
        <w:rPr>
          <w:rFonts w:ascii="Calibri" w:hAnsi="Calibri" w:cs="Calibri"/>
          <w:sz w:val="24"/>
          <w:szCs w:val="24"/>
        </w:rPr>
        <w:t xml:space="preserve"> the life course </w:t>
      </w:r>
      <w:r w:rsidR="0042633C" w:rsidRPr="00925E10">
        <w:rPr>
          <w:rFonts w:ascii="Calibri" w:hAnsi="Calibri" w:cs="Calibri"/>
          <w:sz w:val="24"/>
          <w:szCs w:val="24"/>
        </w:rPr>
        <w:t xml:space="preserve">on depression and identification of particular sub-groups that may be at an increased risk of depression in later life. </w:t>
      </w:r>
    </w:p>
    <w:p w:rsidR="0042633C" w:rsidRPr="0042633C" w:rsidRDefault="0042633C" w:rsidP="00273A74">
      <w:pPr>
        <w:autoSpaceDE w:val="0"/>
        <w:autoSpaceDN w:val="0"/>
        <w:adjustRightInd w:val="0"/>
        <w:spacing w:afterLines="120" w:line="480" w:lineRule="auto"/>
        <w:jc w:val="both"/>
        <w:rPr>
          <w:rFonts w:ascii="Calibri" w:hAnsi="Calibri" w:cs="Calibri"/>
          <w:b/>
          <w:noProof/>
          <w:sz w:val="24"/>
          <w:szCs w:val="24"/>
          <w:lang w:eastAsia="en-IE"/>
        </w:rPr>
      </w:pPr>
      <w:r w:rsidRPr="0042633C">
        <w:rPr>
          <w:rFonts w:ascii="Calibri" w:hAnsi="Calibri" w:cs="Calibri"/>
          <w:b/>
          <w:sz w:val="24"/>
          <w:szCs w:val="24"/>
        </w:rPr>
        <w:t xml:space="preserve">Early </w:t>
      </w:r>
      <w:r w:rsidR="009123C3">
        <w:rPr>
          <w:rFonts w:ascii="Calibri" w:hAnsi="Calibri" w:cs="Calibri"/>
          <w:b/>
          <w:sz w:val="24"/>
          <w:szCs w:val="24"/>
        </w:rPr>
        <w:t xml:space="preserve">and later </w:t>
      </w:r>
      <w:r w:rsidRPr="0042633C">
        <w:rPr>
          <w:rFonts w:ascii="Calibri" w:hAnsi="Calibri" w:cs="Calibri"/>
          <w:b/>
          <w:sz w:val="24"/>
          <w:szCs w:val="24"/>
        </w:rPr>
        <w:t>life circumstances and depression</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t>Psychosocial risk factors in early life i</w:t>
      </w:r>
      <w:r w:rsidR="0040658E">
        <w:rPr>
          <w:rFonts w:ascii="Calibri" w:hAnsi="Calibri" w:cs="Calibri"/>
          <w:sz w:val="24"/>
          <w:szCs w:val="24"/>
        </w:rPr>
        <w:t>nclude educational attainment (</w:t>
      </w:r>
      <w:r w:rsidRPr="00925E10">
        <w:rPr>
          <w:rFonts w:ascii="Calibri" w:hAnsi="Calibri" w:cs="Calibri"/>
          <w:sz w:val="24"/>
          <w:szCs w:val="24"/>
        </w:rPr>
        <w:t>McCall et al. 2002; Stek et al. 2004), and stressful circumstances such as childhood abuse (Felitti, Anda and Norde</w:t>
      </w:r>
      <w:r w:rsidR="0070350D">
        <w:rPr>
          <w:rFonts w:ascii="Calibri" w:hAnsi="Calibri" w:cs="Calibri"/>
          <w:sz w:val="24"/>
          <w:szCs w:val="24"/>
        </w:rPr>
        <w:t>nberg, 1998; Weich et al., 2009</w:t>
      </w:r>
      <w:r w:rsidRPr="00925E10">
        <w:rPr>
          <w:rFonts w:ascii="Calibri" w:hAnsi="Calibri" w:cs="Calibri"/>
          <w:sz w:val="24"/>
          <w:szCs w:val="24"/>
        </w:rPr>
        <w:t>), parental divorce (Ross and Mirowsky, 1999), and low socio-economic status (Fiske et al.</w:t>
      </w:r>
      <w:r w:rsidR="0070350D">
        <w:rPr>
          <w:rFonts w:ascii="Calibri" w:hAnsi="Calibri" w:cs="Calibri"/>
          <w:sz w:val="24"/>
          <w:szCs w:val="24"/>
        </w:rPr>
        <w:t>,</w:t>
      </w:r>
      <w:r w:rsidRPr="00925E10">
        <w:rPr>
          <w:rFonts w:ascii="Calibri" w:hAnsi="Calibri" w:cs="Calibri"/>
          <w:sz w:val="24"/>
          <w:szCs w:val="24"/>
        </w:rPr>
        <w:t xml:space="preserve"> 2009). The impact of stressful life events, socioeconomic disadvantage and poor health in childhood may become more pronounced in later life, when the cumulative effect of lifetime disadvantage manifests itself through greater economic and health disparities (Fiske, </w:t>
      </w:r>
      <w:r w:rsidRPr="00925E10">
        <w:rPr>
          <w:rFonts w:ascii="Calibri" w:hAnsi="Calibri" w:cs="Calibri"/>
          <w:sz w:val="24"/>
          <w:szCs w:val="24"/>
        </w:rPr>
        <w:lastRenderedPageBreak/>
        <w:t xml:space="preserve">et al. 2009). The association between proximal later life events and depression is also </w:t>
      </w:r>
      <w:r w:rsidR="009123C3">
        <w:rPr>
          <w:rFonts w:ascii="Calibri" w:hAnsi="Calibri" w:cs="Calibri"/>
          <w:sz w:val="24"/>
          <w:szCs w:val="24"/>
        </w:rPr>
        <w:t>well-established</w:t>
      </w:r>
      <w:r w:rsidRPr="00925E10">
        <w:rPr>
          <w:rFonts w:ascii="Calibri" w:hAnsi="Calibri" w:cs="Calibri"/>
          <w:sz w:val="24"/>
          <w:szCs w:val="24"/>
        </w:rPr>
        <w:t>. For example, chronic d</w:t>
      </w:r>
      <w:r w:rsidR="0042633C">
        <w:rPr>
          <w:rFonts w:ascii="Calibri" w:hAnsi="Calibri" w:cs="Calibri"/>
          <w:sz w:val="24"/>
          <w:szCs w:val="24"/>
        </w:rPr>
        <w:t xml:space="preserve">isease, poor-self rated </w:t>
      </w:r>
      <w:r w:rsidR="0040658E">
        <w:rPr>
          <w:rFonts w:ascii="Calibri" w:hAnsi="Calibri" w:cs="Calibri"/>
          <w:sz w:val="24"/>
          <w:szCs w:val="24"/>
        </w:rPr>
        <w:t>health</w:t>
      </w:r>
      <w:r w:rsidRPr="00925E10">
        <w:rPr>
          <w:rFonts w:ascii="Calibri" w:hAnsi="Calibri" w:cs="Calibri"/>
          <w:sz w:val="24"/>
          <w:szCs w:val="24"/>
        </w:rPr>
        <w:t xml:space="preserve"> (Carney and Freedland, 2000; Potter and Steffens, 2007; Fiske et al. 2009; Chang-Quan</w:t>
      </w:r>
      <w:r w:rsidR="0070350D">
        <w:rPr>
          <w:rFonts w:ascii="Calibri" w:hAnsi="Calibri" w:cs="Calibri"/>
          <w:sz w:val="24"/>
          <w:szCs w:val="24"/>
        </w:rPr>
        <w:t xml:space="preserve"> et al.</w:t>
      </w:r>
      <w:r w:rsidRPr="00925E10">
        <w:rPr>
          <w:rFonts w:ascii="Calibri" w:hAnsi="Calibri" w:cs="Calibri"/>
          <w:sz w:val="24"/>
          <w:szCs w:val="24"/>
        </w:rPr>
        <w:t>, 2010), financial strain (Zimmerman and Katon, 2005), and bereavement (Zizook and Kendler, 2007) have been found to predict depression.</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b/>
          <w:sz w:val="24"/>
          <w:szCs w:val="24"/>
        </w:rPr>
        <w:t xml:space="preserve">Marital status and depression </w:t>
      </w:r>
    </w:p>
    <w:p w:rsidR="00D814D6" w:rsidRPr="00925E10" w:rsidRDefault="00D814D6" w:rsidP="00925E10">
      <w:pPr>
        <w:spacing w:after="288" w:line="480" w:lineRule="auto"/>
        <w:jc w:val="both"/>
        <w:rPr>
          <w:rFonts w:ascii="Calibri" w:hAnsi="Calibri" w:cs="Calibri"/>
          <w:sz w:val="24"/>
          <w:szCs w:val="24"/>
        </w:rPr>
      </w:pPr>
      <w:r w:rsidRPr="00925E10">
        <w:rPr>
          <w:rFonts w:ascii="Calibri" w:hAnsi="Calibri" w:cs="Calibri"/>
          <w:sz w:val="24"/>
          <w:szCs w:val="24"/>
        </w:rPr>
        <w:t>Research suggests that marriage has a strong direct effect on health and that the effects of marriage are different for men and women</w:t>
      </w:r>
      <w:r w:rsidR="0040658E">
        <w:rPr>
          <w:rFonts w:ascii="Calibri" w:hAnsi="Calibri" w:cs="Calibri"/>
          <w:sz w:val="24"/>
          <w:szCs w:val="24"/>
        </w:rPr>
        <w:t xml:space="preserve"> </w:t>
      </w:r>
      <w:r w:rsidR="000F2203" w:rsidRPr="00925E10">
        <w:rPr>
          <w:rFonts w:ascii="Calibri" w:hAnsi="Calibri" w:cs="Calibri"/>
          <w:sz w:val="24"/>
          <w:szCs w:val="24"/>
        </w:rPr>
        <w:fldChar w:fldCharType="begin">
          <w:fldData xml:space="preserve">PEVuZE5vdGU+PENpdGU+PEF1dGhvcj5Hb2xkbWFuPC9BdXRob3I+PFllYXI+MTk5MzwvWWVhcj48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</w:fldData>
        </w:fldChar>
      </w:r>
      <w:r w:rsidRPr="00925E10">
        <w:rPr>
          <w:rFonts w:ascii="Calibri" w:hAnsi="Calibri" w:cs="Calibri"/>
          <w:sz w:val="24"/>
          <w:szCs w:val="24"/>
        </w:rPr>
        <w:instrText xml:space="preserve"> ADDIN EN.CITE </w:instrText>
      </w:r>
      <w:r w:rsidR="000F2203" w:rsidRPr="00925E10">
        <w:rPr>
          <w:rFonts w:ascii="Calibri" w:hAnsi="Calibri" w:cs="Calibri"/>
          <w:sz w:val="24"/>
          <w:szCs w:val="24"/>
        </w:rPr>
        <w:fldChar w:fldCharType="begin">
          <w:fldData xml:space="preserve">PEVuZE5vdGU+PENpdGU+PEF1dGhvcj5Hb2xkbWFuPC9BdXRob3I+PFllYXI+MTk5MzwvWWVhcj48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</w:fldData>
        </w:fldChar>
      </w:r>
      <w:r w:rsidRPr="00925E10">
        <w:rPr>
          <w:rFonts w:ascii="Calibri" w:hAnsi="Calibri" w:cs="Calibri"/>
          <w:sz w:val="24"/>
          <w:szCs w:val="24"/>
        </w:rPr>
        <w:instrText xml:space="preserve"> ADDIN EN.CITE.DATA </w:instrText>
      </w:r>
      <w:r w:rsidR="000F2203" w:rsidRPr="00925E10">
        <w:rPr>
          <w:rFonts w:ascii="Calibri" w:hAnsi="Calibri" w:cs="Calibri"/>
          <w:sz w:val="24"/>
          <w:szCs w:val="24"/>
        </w:rPr>
      </w:r>
      <w:r w:rsidR="000F2203" w:rsidRPr="00925E10">
        <w:rPr>
          <w:rFonts w:ascii="Calibri" w:hAnsi="Calibri" w:cs="Calibri"/>
          <w:sz w:val="24"/>
          <w:szCs w:val="24"/>
        </w:rPr>
        <w:fldChar w:fldCharType="end"/>
      </w:r>
      <w:r w:rsidR="000F2203" w:rsidRPr="00925E10">
        <w:rPr>
          <w:rFonts w:ascii="Calibri" w:hAnsi="Calibri" w:cs="Calibri"/>
          <w:sz w:val="24"/>
          <w:szCs w:val="24"/>
        </w:rPr>
      </w:r>
      <w:r w:rsidR="000F2203" w:rsidRPr="00925E10">
        <w:rPr>
          <w:rFonts w:ascii="Calibri" w:hAnsi="Calibri" w:cs="Calibri"/>
          <w:sz w:val="24"/>
          <w:szCs w:val="24"/>
        </w:rPr>
        <w:fldChar w:fldCharType="separate"/>
      </w:r>
      <w:r w:rsidR="0040658E">
        <w:rPr>
          <w:rFonts w:ascii="Calibri" w:hAnsi="Calibri" w:cs="Calibri"/>
          <w:noProof/>
          <w:sz w:val="24"/>
          <w:szCs w:val="24"/>
        </w:rPr>
        <w:t>(</w:t>
      </w:r>
      <w:r w:rsidRPr="00925E10">
        <w:rPr>
          <w:rFonts w:ascii="Calibri" w:hAnsi="Calibri" w:cs="Calibri"/>
          <w:noProof/>
          <w:sz w:val="24"/>
          <w:szCs w:val="24"/>
        </w:rPr>
        <w:t>Gove, 1972;  Murphy, Grundy and Kalogirou, 2007; Waite and Gallagher, 2001)</w:t>
      </w:r>
      <w:r w:rsidR="0040658E">
        <w:rPr>
          <w:rFonts w:ascii="Calibri" w:hAnsi="Calibri" w:cs="Calibri"/>
          <w:noProof/>
          <w:sz w:val="24"/>
          <w:szCs w:val="24"/>
        </w:rPr>
        <w:t>.</w:t>
      </w:r>
      <w:r w:rsidRPr="00925E10" w:rsidDel="009440B0">
        <w:rPr>
          <w:rFonts w:ascii="Calibri" w:hAnsi="Calibri" w:cs="Calibri"/>
          <w:noProof/>
          <w:sz w:val="24"/>
          <w:szCs w:val="24"/>
        </w:rPr>
        <w:t xml:space="preserve"> </w:t>
      </w:r>
      <w:r w:rsidR="000F2203" w:rsidRPr="00925E10">
        <w:rPr>
          <w:rFonts w:ascii="Calibri" w:hAnsi="Calibri" w:cs="Calibri"/>
          <w:sz w:val="24"/>
          <w:szCs w:val="24"/>
        </w:rPr>
        <w:fldChar w:fldCharType="end"/>
      </w:r>
      <w:r w:rsidRPr="00925E10">
        <w:rPr>
          <w:rFonts w:ascii="Calibri" w:hAnsi="Calibri" w:cs="Calibri"/>
          <w:sz w:val="24"/>
          <w:szCs w:val="24"/>
        </w:rPr>
        <w:t>The protective role of marriage may be associated with the psychosocial resources that accompany this status, most notably during stressful life events.  Social support deficits are consequential to later life depression with perceived social support buffering the impact of adverse life-events in later life (Fiske et al.2009). The quality of the marital relationship may also be consequential to depression (</w:t>
      </w:r>
      <w:r w:rsidR="009123C3">
        <w:rPr>
          <w:rFonts w:ascii="Calibri" w:hAnsi="Calibri"/>
          <w:sz w:val="24"/>
          <w:szCs w:val="24"/>
        </w:rPr>
        <w:t>Kiecolt-Glaser and</w:t>
      </w:r>
      <w:r w:rsidRPr="00925E10">
        <w:rPr>
          <w:rFonts w:ascii="Calibri" w:hAnsi="Calibri"/>
          <w:sz w:val="24"/>
          <w:szCs w:val="24"/>
        </w:rPr>
        <w:t xml:space="preserve"> Newton, 2001) </w:t>
      </w:r>
      <w:r w:rsidRPr="00925E10">
        <w:rPr>
          <w:rFonts w:ascii="Calibri" w:hAnsi="Calibri" w:cs="Calibri"/>
          <w:sz w:val="24"/>
          <w:szCs w:val="24"/>
        </w:rPr>
        <w:t xml:space="preserve">and marriage may be more advantageous for men than women because of women’s preference for a greater number of affective relationships (Pinquart, 2003; Dykstra and De Jong Gierveld, 2004).  </w:t>
      </w:r>
    </w:p>
    <w:p w:rsidR="00D814D6" w:rsidRPr="00925E10" w:rsidRDefault="009123C3" w:rsidP="00273A74">
      <w:pPr>
        <w:spacing w:afterLines="120" w:line="480" w:lineRule="auto"/>
        <w:jc w:val="both"/>
        <w:rPr>
          <w:rFonts w:ascii="Calibri" w:hAnsi="Calibri" w:cs="Calibri"/>
          <w:sz w:val="24"/>
          <w:szCs w:val="24"/>
        </w:rPr>
      </w:pPr>
      <w:r>
        <w:rPr>
          <w:rFonts w:ascii="Calibri" w:hAnsi="Calibri" w:cs="Calibri"/>
          <w:sz w:val="24"/>
          <w:szCs w:val="24"/>
        </w:rPr>
        <w:t>W</w:t>
      </w:r>
      <w:r w:rsidR="00D814D6" w:rsidRPr="00925E10">
        <w:rPr>
          <w:rFonts w:ascii="Calibri" w:hAnsi="Calibri" w:cs="Calibri"/>
          <w:sz w:val="24"/>
          <w:szCs w:val="24"/>
        </w:rPr>
        <w:t>idowhood and div</w:t>
      </w:r>
      <w:r>
        <w:rPr>
          <w:rFonts w:ascii="Calibri" w:hAnsi="Calibri" w:cs="Calibri"/>
          <w:sz w:val="24"/>
          <w:szCs w:val="24"/>
        </w:rPr>
        <w:t xml:space="preserve">orce are stressful life events </w:t>
      </w:r>
      <w:r w:rsidR="00D814D6" w:rsidRPr="00925E10">
        <w:rPr>
          <w:rFonts w:ascii="Calibri" w:hAnsi="Calibri" w:cs="Calibri"/>
          <w:sz w:val="24"/>
          <w:szCs w:val="24"/>
        </w:rPr>
        <w:t>which may place older individuals at an increased risk of depressi</w:t>
      </w:r>
      <w:r w:rsidR="00D814D6">
        <w:rPr>
          <w:rFonts w:ascii="Calibri" w:hAnsi="Calibri" w:cs="Calibri"/>
          <w:sz w:val="24"/>
          <w:szCs w:val="24"/>
        </w:rPr>
        <w:t xml:space="preserve">on (Zisook and Kendler, 2007). </w:t>
      </w:r>
      <w:r w:rsidR="00D814D6" w:rsidRPr="00925E10">
        <w:rPr>
          <w:rFonts w:ascii="Calibri" w:hAnsi="Calibri" w:cs="Calibri"/>
          <w:sz w:val="24"/>
          <w:szCs w:val="24"/>
        </w:rPr>
        <w:t>Widowhood, in particular, has been identified as a risk factor for depression with men being more vulnerable to depression than women following the death of a spouse (van Grootheest</w:t>
      </w:r>
      <w:r w:rsidR="00D814D6" w:rsidRPr="00925E10" w:rsidDel="00655C4A">
        <w:rPr>
          <w:rFonts w:ascii="Calibri" w:hAnsi="Calibri" w:cs="Calibri"/>
          <w:sz w:val="24"/>
          <w:szCs w:val="24"/>
        </w:rPr>
        <w:t xml:space="preserve"> </w:t>
      </w:r>
      <w:r w:rsidR="00D814D6" w:rsidRPr="00925E10">
        <w:rPr>
          <w:rFonts w:ascii="Calibri" w:hAnsi="Calibri" w:cs="Calibri"/>
          <w:sz w:val="24"/>
          <w:szCs w:val="24"/>
        </w:rPr>
        <w:t xml:space="preserve">et al. 1999; Wisocki and Skowron, 2000).  Divorce has also been </w:t>
      </w:r>
      <w:r w:rsidR="00D814D6" w:rsidRPr="00925E10">
        <w:rPr>
          <w:rFonts w:ascii="Calibri" w:hAnsi="Calibri" w:cs="Calibri"/>
          <w:sz w:val="24"/>
          <w:szCs w:val="24"/>
        </w:rPr>
        <w:lastRenderedPageBreak/>
        <w:t>associated with higher rates of depression i</w:t>
      </w:r>
      <w:r w:rsidR="00D814D6">
        <w:rPr>
          <w:rFonts w:ascii="Calibri" w:hAnsi="Calibri" w:cs="Calibri"/>
          <w:sz w:val="24"/>
          <w:szCs w:val="24"/>
        </w:rPr>
        <w:t>n the general population (Cohen</w:t>
      </w:r>
      <w:r w:rsidR="00D814D6" w:rsidRPr="00925E10">
        <w:rPr>
          <w:rFonts w:ascii="Calibri" w:hAnsi="Calibri" w:cs="Calibri"/>
          <w:sz w:val="24"/>
          <w:szCs w:val="24"/>
        </w:rPr>
        <w:t xml:space="preserve"> et al</w:t>
      </w:r>
      <w:r w:rsidR="00D814D6">
        <w:rPr>
          <w:rFonts w:ascii="Calibri" w:hAnsi="Calibri" w:cs="Calibri"/>
          <w:sz w:val="24"/>
          <w:szCs w:val="24"/>
        </w:rPr>
        <w:t>.</w:t>
      </w:r>
      <w:r w:rsidR="00D814D6" w:rsidRPr="00925E10">
        <w:rPr>
          <w:rFonts w:ascii="Calibri" w:hAnsi="Calibri" w:cs="Calibri"/>
          <w:sz w:val="24"/>
          <w:szCs w:val="24"/>
        </w:rPr>
        <w:t xml:space="preserve"> 2007) and may be more deleterious for men who following divorce have fewer contacts with their adult children than their married and widowed counterparts (Tomassini et al. 2004).  </w:t>
      </w:r>
    </w:p>
    <w:p w:rsidR="00D814D6" w:rsidRDefault="00D814D6">
      <w:pPr>
        <w:spacing w:after="288" w:line="480" w:lineRule="auto"/>
        <w:jc w:val="both"/>
        <w:rPr>
          <w:rFonts w:ascii="Calibri" w:hAnsi="Calibri" w:cs="Calibri"/>
          <w:sz w:val="24"/>
          <w:szCs w:val="24"/>
        </w:rPr>
      </w:pPr>
      <w:r w:rsidRPr="00925E10">
        <w:rPr>
          <w:rFonts w:ascii="Calibri" w:hAnsi="Calibri" w:cs="Calibri"/>
          <w:sz w:val="24"/>
          <w:szCs w:val="24"/>
        </w:rPr>
        <w:t xml:space="preserve">The protective role of marriage on depression may be mediated by the economic resources that accompany this status. Socio-economic advantage is a protective factor against depression in later </w:t>
      </w:r>
      <w:r w:rsidR="009123C3">
        <w:rPr>
          <w:rFonts w:ascii="Calibri" w:hAnsi="Calibri" w:cs="Calibri"/>
          <w:sz w:val="24"/>
          <w:szCs w:val="24"/>
        </w:rPr>
        <w:t>life (Mojtabai and Olfson, 2004;</w:t>
      </w:r>
      <w:r w:rsidRPr="00925E10">
        <w:rPr>
          <w:rFonts w:ascii="Calibri" w:hAnsi="Calibri" w:cs="Calibri"/>
          <w:sz w:val="24"/>
          <w:szCs w:val="24"/>
        </w:rPr>
        <w:t xml:space="preserve"> Fiske et al. 2009) and marriage has a positive effect on income. Divorce and widowhood, conversely, are associated with economic disadvantage (</w:t>
      </w:r>
      <w:r w:rsidRPr="00925E10">
        <w:rPr>
          <w:rFonts w:ascii="Calibri" w:hAnsi="Calibri" w:cs="Calibri"/>
          <w:noProof/>
          <w:sz w:val="24"/>
          <w:szCs w:val="24"/>
        </w:rPr>
        <w:t xml:space="preserve">O'Rand and Henretta, 1999; </w:t>
      </w:r>
      <w:r w:rsidRPr="00925E10">
        <w:rPr>
          <w:rFonts w:ascii="Calibri" w:hAnsi="Calibri" w:cs="Calibri"/>
          <w:sz w:val="24"/>
          <w:szCs w:val="24"/>
        </w:rPr>
        <w:t xml:space="preserve">Arber, 2004; </w:t>
      </w:r>
      <w:r w:rsidRPr="00925E10">
        <w:rPr>
          <w:rFonts w:ascii="Calibri" w:hAnsi="Calibri" w:cs="Calibri"/>
          <w:noProof/>
          <w:sz w:val="24"/>
          <w:szCs w:val="24"/>
        </w:rPr>
        <w:t xml:space="preserve">Dykstra &amp; Wagner, 2007; </w:t>
      </w:r>
      <w:r w:rsidRPr="00925E10">
        <w:rPr>
          <w:rFonts w:ascii="Calibri" w:hAnsi="Calibri" w:cs="Calibri"/>
          <w:sz w:val="24"/>
          <w:szCs w:val="24"/>
        </w:rPr>
        <w:t xml:space="preserve">Koropeckyj-Cox and Call, 2007). Never-married males have lower incomes than ever-married males </w:t>
      </w:r>
      <w:r w:rsidR="000F2203" w:rsidRPr="00925E10">
        <w:rPr>
          <w:rFonts w:ascii="Calibri" w:hAnsi="Calibri" w:cs="Calibri"/>
          <w:sz w:val="24"/>
          <w:szCs w:val="24"/>
        </w:rPr>
        <w:fldChar w:fldCharType="begin"/>
      </w:r>
      <w:r w:rsidRPr="00925E10">
        <w:rPr>
          <w:rFonts w:ascii="Calibri" w:hAnsi="Calibri" w:cs="Calibri"/>
          <w:sz w:val="24"/>
          <w:szCs w:val="24"/>
        </w:rPr>
        <w:instrText xml:space="preserve"> ADDIN EN.CITE &lt;EndNote&gt;&lt;Cite&gt;&lt;Author&gt;Dykstra&lt;/Author&gt;&lt;Year&gt;2007&lt;/Year&gt;&lt;RecNum&gt;28&lt;/RecNum&gt;&lt;record&gt;&lt;rec-number&gt;28&lt;/rec-number&gt;&lt;foreign-keys&gt;&lt;key app='EN' db-id='prevf95afavxapeazxop2wsftf9wvsa9f5pt'&gt;28&lt;/key&gt;&lt;/foreign-keys&gt;&lt;ref-type name='Journal Article'&gt;17&lt;/ref-type&gt;&lt;contributors&gt;&lt;authors&gt;&lt;author&gt;Dykstra, P. A&lt;/author&gt;&lt;author&gt;Wagner, M&lt;/author&gt;&lt;/authors&gt;&lt;/contributors&gt;&lt;titles&gt;&lt;title&gt;Pathways to childlessness and late-life outcomes&lt;/title&gt;&lt;secondary-title&gt;Journal of Family Issues&lt;/secondary-title&gt;&lt;/titles&gt;&lt;periodical&gt;&lt;full-title&gt;Journal of Family Issues&lt;/full-title&gt;&lt;/periodical&gt;&lt;pages&gt;1487-1517&lt;/pages&gt;&lt;volume&gt;28&lt;/volume&gt;&lt;number&gt;11&lt;/number&gt;&lt;dates&gt;&lt;year&gt;2007&lt;/year&gt;&lt;/dates&gt;&lt;urls&gt;&lt;/urls&gt;&lt;/record&gt;&lt;/Cite&gt;&lt;/EndNote&gt;</w:instrText>
      </w:r>
      <w:r w:rsidR="000F2203" w:rsidRPr="00925E10">
        <w:rPr>
          <w:rFonts w:ascii="Calibri" w:hAnsi="Calibri" w:cs="Calibri"/>
          <w:sz w:val="24"/>
          <w:szCs w:val="24"/>
        </w:rPr>
        <w:fldChar w:fldCharType="separate"/>
      </w:r>
      <w:r w:rsidR="009123C3">
        <w:rPr>
          <w:rFonts w:ascii="Calibri" w:hAnsi="Calibri" w:cs="Calibri"/>
          <w:noProof/>
          <w:sz w:val="24"/>
          <w:szCs w:val="24"/>
        </w:rPr>
        <w:t>(Helmchen et al. 1999; Dykstra and</w:t>
      </w:r>
      <w:r w:rsidRPr="00925E10">
        <w:rPr>
          <w:rFonts w:ascii="Calibri" w:hAnsi="Calibri" w:cs="Calibri"/>
          <w:noProof/>
          <w:sz w:val="24"/>
          <w:szCs w:val="24"/>
        </w:rPr>
        <w:t xml:space="preserve"> Wagner, 2007)</w:t>
      </w:r>
      <w:r w:rsidR="000F2203" w:rsidRPr="00925E10">
        <w:rPr>
          <w:rFonts w:ascii="Calibri" w:hAnsi="Calibri" w:cs="Calibri"/>
          <w:sz w:val="24"/>
          <w:szCs w:val="24"/>
        </w:rPr>
        <w:fldChar w:fldCharType="end"/>
      </w:r>
      <w:r w:rsidRPr="00925E10">
        <w:rPr>
          <w:rFonts w:ascii="Calibri" w:hAnsi="Calibri" w:cs="Calibri"/>
          <w:sz w:val="24"/>
          <w:szCs w:val="24"/>
        </w:rPr>
        <w:t xml:space="preserve">, but the situation of unmarried women is less clear.  Arber (2004) and </w:t>
      </w:r>
      <w:r w:rsidR="009123C3">
        <w:rPr>
          <w:rFonts w:ascii="Calibri" w:hAnsi="Calibri" w:cs="Calibri"/>
          <w:sz w:val="24"/>
          <w:szCs w:val="24"/>
        </w:rPr>
        <w:t xml:space="preserve">O’Rand and Henretta (1999) </w:t>
      </w:r>
      <w:r w:rsidRPr="00925E10">
        <w:rPr>
          <w:rFonts w:ascii="Calibri" w:hAnsi="Calibri" w:cs="Calibri"/>
          <w:sz w:val="24"/>
          <w:szCs w:val="24"/>
        </w:rPr>
        <w:t xml:space="preserve">note that single never-married women are more likely to have greater levels of savings and pensions than married or formerly married women. </w:t>
      </w:r>
    </w:p>
    <w:p w:rsidR="00D814D6" w:rsidRPr="00925E10" w:rsidRDefault="00D814D6">
      <w:pPr>
        <w:spacing w:line="480" w:lineRule="auto"/>
        <w:jc w:val="both"/>
        <w:rPr>
          <w:rFonts w:ascii="Calibri" w:hAnsi="Calibri" w:cs="Calibri"/>
          <w:sz w:val="24"/>
          <w:szCs w:val="24"/>
        </w:rPr>
      </w:pPr>
      <w:r w:rsidRPr="00925E10">
        <w:rPr>
          <w:rFonts w:ascii="Calibri" w:hAnsi="Calibri" w:cs="Calibri"/>
          <w:b/>
          <w:sz w:val="24"/>
          <w:szCs w:val="24"/>
        </w:rPr>
        <w:t>Hypothesis</w:t>
      </w:r>
      <w:r w:rsidRPr="00925E10">
        <w:rPr>
          <w:rFonts w:ascii="Calibri" w:hAnsi="Calibri" w:cs="Calibri"/>
          <w:sz w:val="24"/>
          <w:szCs w:val="24"/>
        </w:rPr>
        <w:t xml:space="preserve"> </w:t>
      </w:r>
    </w:p>
    <w:p w:rsidR="0042633C"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t xml:space="preserve">The literature discussed above points to associations between early life (distal) events and depression, and later life (proximal) events and depression. In addition, previous research suggests that the effects of marriage differ for men and women.  However, several important questions remain unanswered. For example, to what extent do later life events mediate the impact of early life events on depression in old age, and does this relationship vary by gender? </w:t>
      </w:r>
      <w:r w:rsidRPr="00925E10">
        <w:rPr>
          <w:rFonts w:ascii="Calibri" w:hAnsi="Calibri" w:cs="Calibri"/>
          <w:sz w:val="24"/>
          <w:szCs w:val="24"/>
          <w:lang w:val="en-US"/>
        </w:rPr>
        <w:t xml:space="preserve">In the light of the literature </w:t>
      </w:r>
      <w:r w:rsidRPr="00925E10">
        <w:rPr>
          <w:rFonts w:ascii="Calibri" w:hAnsi="Calibri" w:cs="Calibri"/>
          <w:sz w:val="24"/>
          <w:szCs w:val="24"/>
          <w:lang w:val="en-US"/>
        </w:rPr>
        <w:lastRenderedPageBreak/>
        <w:t xml:space="preserve">discussed above, we hypothesize that the effects of early life circumstances on </w:t>
      </w:r>
      <w:r w:rsidR="00622852">
        <w:rPr>
          <w:rFonts w:ascii="Calibri" w:hAnsi="Calibri" w:cs="Calibri"/>
          <w:sz w:val="24"/>
          <w:szCs w:val="24"/>
          <w:lang w:val="en-US"/>
        </w:rPr>
        <w:t xml:space="preserve">later-life </w:t>
      </w:r>
      <w:r w:rsidRPr="00925E10">
        <w:rPr>
          <w:rFonts w:ascii="Calibri" w:hAnsi="Calibri" w:cs="Calibri"/>
          <w:sz w:val="24"/>
          <w:szCs w:val="24"/>
          <w:lang w:val="en-US"/>
        </w:rPr>
        <w:t xml:space="preserve">depression are mediated </w:t>
      </w:r>
      <w:r w:rsidRPr="00644292">
        <w:rPr>
          <w:rFonts w:ascii="Calibri" w:hAnsi="Calibri" w:cs="Calibri"/>
          <w:sz w:val="24"/>
          <w:szCs w:val="24"/>
          <w:lang w:val="en-US"/>
        </w:rPr>
        <w:t>by education</w:t>
      </w:r>
      <w:r w:rsidRPr="00925E10">
        <w:rPr>
          <w:rFonts w:ascii="Calibri" w:hAnsi="Calibri" w:cs="Calibri"/>
          <w:sz w:val="24"/>
          <w:szCs w:val="24"/>
          <w:lang w:val="en-US"/>
        </w:rPr>
        <w:t xml:space="preserve">, marital status, and later life </w:t>
      </w:r>
      <w:r w:rsidR="00622852">
        <w:rPr>
          <w:rFonts w:ascii="Calibri" w:hAnsi="Calibri" w:cs="Calibri"/>
          <w:sz w:val="24"/>
          <w:szCs w:val="24"/>
          <w:lang w:val="en-US"/>
        </w:rPr>
        <w:t xml:space="preserve">circumstances. </w:t>
      </w:r>
      <w:r w:rsidRPr="00925E10">
        <w:rPr>
          <w:rFonts w:ascii="Calibri" w:hAnsi="Calibri" w:cs="Calibri"/>
          <w:sz w:val="24"/>
          <w:szCs w:val="24"/>
          <w:lang w:val="en-US"/>
        </w:rPr>
        <w:t xml:space="preserve">Moreover, we hypothesize that the models differ for men and women. </w:t>
      </w:r>
      <w:r w:rsidR="0042633C">
        <w:rPr>
          <w:rFonts w:ascii="Calibri" w:hAnsi="Calibri" w:cs="Calibri"/>
          <w:sz w:val="24"/>
          <w:szCs w:val="24"/>
        </w:rPr>
        <w:t>Figure 1</w:t>
      </w:r>
      <w:r w:rsidR="0042633C" w:rsidRPr="00925E10">
        <w:rPr>
          <w:rFonts w:ascii="Calibri" w:hAnsi="Calibri" w:cs="Calibri"/>
          <w:sz w:val="24"/>
          <w:szCs w:val="24"/>
        </w:rPr>
        <w:t xml:space="preserve"> </w:t>
      </w:r>
      <w:r w:rsidR="0042633C">
        <w:rPr>
          <w:rFonts w:ascii="Calibri" w:hAnsi="Calibri" w:cs="Calibri"/>
          <w:sz w:val="24"/>
          <w:szCs w:val="24"/>
        </w:rPr>
        <w:t xml:space="preserve">presents a conceptual model of </w:t>
      </w:r>
      <w:r w:rsidR="0042633C" w:rsidRPr="00925E10">
        <w:rPr>
          <w:rFonts w:ascii="Calibri" w:hAnsi="Calibri" w:cs="Calibri"/>
          <w:sz w:val="24"/>
          <w:szCs w:val="24"/>
        </w:rPr>
        <w:t>factor</w:t>
      </w:r>
      <w:r w:rsidR="0042633C">
        <w:rPr>
          <w:rFonts w:ascii="Calibri" w:hAnsi="Calibri" w:cs="Calibri"/>
          <w:sz w:val="24"/>
          <w:szCs w:val="24"/>
        </w:rPr>
        <w:t>s</w:t>
      </w:r>
      <w:r w:rsidR="0042633C" w:rsidRPr="00925E10">
        <w:rPr>
          <w:rFonts w:ascii="Calibri" w:hAnsi="Calibri" w:cs="Calibri"/>
          <w:sz w:val="24"/>
          <w:szCs w:val="24"/>
        </w:rPr>
        <w:t xml:space="preserve"> which may affect the risk of developing depressive symptoms in later life.</w:t>
      </w:r>
    </w:p>
    <w:p w:rsidR="0042633C" w:rsidRDefault="0042633C" w:rsidP="0042633C">
      <w:pPr>
        <w:spacing w:after="120" w:line="240" w:lineRule="auto"/>
        <w:jc w:val="both"/>
        <w:rPr>
          <w:rFonts w:ascii="Calibri" w:hAnsi="Calibri" w:cs="Calibri"/>
          <w:b/>
        </w:rPr>
      </w:pPr>
      <w:r w:rsidRPr="00B80363">
        <w:rPr>
          <w:rFonts w:ascii="Calibri" w:hAnsi="Calibri" w:cs="Calibri"/>
          <w:b/>
        </w:rPr>
        <w:t>Figure 1 Conceptual model of education, marital status and late life circumstances as mediators between early life circumstances and late life depressive symptoms</w:t>
      </w:r>
    </w:p>
    <w:p w:rsidR="0042633C" w:rsidRPr="00B80363" w:rsidRDefault="0042633C" w:rsidP="0042633C">
      <w:pPr>
        <w:spacing w:after="120" w:line="240" w:lineRule="auto"/>
        <w:jc w:val="both"/>
        <w:rPr>
          <w:rFonts w:ascii="Calibri" w:hAnsi="Calibri" w:cs="Calibri"/>
          <w:b/>
        </w:rPr>
      </w:pPr>
    </w:p>
    <w:p w:rsidR="00524B50" w:rsidRDefault="00273A74" w:rsidP="00273A74">
      <w:pPr>
        <w:autoSpaceDE w:val="0"/>
        <w:autoSpaceDN w:val="0"/>
        <w:adjustRightInd w:val="0"/>
        <w:spacing w:afterLines="120" w:line="480" w:lineRule="auto"/>
        <w:jc w:val="both"/>
        <w:rPr>
          <w:rFonts w:ascii="Calibri" w:hAnsi="Calibri" w:cs="Calibri"/>
          <w:noProof/>
          <w:sz w:val="24"/>
          <w:szCs w:val="24"/>
          <w:lang w:eastAsia="en-IE"/>
        </w:rPr>
      </w:pPr>
      <w:r w:rsidRPr="000F2203">
        <w:rPr>
          <w:rFonts w:ascii="Calibri" w:hAnsi="Calibri" w:cs="Calibri"/>
          <w:noProof/>
          <w:sz w:val="24"/>
          <w:szCs w:val="24"/>
          <w:lang w:eastAsia="en-I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5in;height:111.75pt;visibility:visible;mso-wrap-style:square">
            <v:imagedata r:id="rId8" o:title=""/>
          </v:shape>
        </w:pict>
      </w:r>
    </w:p>
    <w:p w:rsidR="00524B50" w:rsidRPr="00524B50" w:rsidRDefault="00524B50" w:rsidP="00273A74">
      <w:pPr>
        <w:autoSpaceDE w:val="0"/>
        <w:autoSpaceDN w:val="0"/>
        <w:adjustRightInd w:val="0"/>
        <w:spacing w:afterLines="120" w:line="480" w:lineRule="auto"/>
        <w:jc w:val="both"/>
        <w:rPr>
          <w:rFonts w:ascii="Calibri" w:hAnsi="Calibri" w:cs="Calibri"/>
          <w:noProof/>
          <w:sz w:val="24"/>
          <w:szCs w:val="24"/>
          <w:lang w:eastAsia="en-IE"/>
        </w:rPr>
      </w:pPr>
      <w:r>
        <w:rPr>
          <w:rFonts w:ascii="Calibri" w:hAnsi="Calibri" w:cs="Calibri"/>
          <w:b/>
          <w:sz w:val="24"/>
          <w:szCs w:val="24"/>
        </w:rPr>
        <w:t>Study</w:t>
      </w:r>
      <w:r w:rsidRPr="0069377D">
        <w:rPr>
          <w:rFonts w:ascii="Calibri" w:hAnsi="Calibri" w:cs="Calibri"/>
          <w:b/>
          <w:sz w:val="24"/>
          <w:szCs w:val="24"/>
        </w:rPr>
        <w:t xml:space="preserve"> context</w:t>
      </w:r>
    </w:p>
    <w:p w:rsidR="00524B50" w:rsidRPr="00524B50" w:rsidRDefault="00524B50" w:rsidP="00524B50">
      <w:pPr>
        <w:spacing w:after="288" w:line="480" w:lineRule="auto"/>
        <w:jc w:val="both"/>
        <w:rPr>
          <w:rFonts w:ascii="Calibri" w:hAnsi="Calibri" w:cs="Calibri"/>
          <w:sz w:val="24"/>
          <w:szCs w:val="24"/>
        </w:rPr>
      </w:pPr>
      <w:r w:rsidRPr="00925E10">
        <w:rPr>
          <w:rFonts w:ascii="Calibri" w:hAnsi="Calibri" w:cs="Calibri"/>
          <w:sz w:val="24"/>
          <w:szCs w:val="24"/>
        </w:rPr>
        <w:t xml:space="preserve">The relationship between marital status and socio-economic status is very distinctive for </w:t>
      </w:r>
      <w:r>
        <w:rPr>
          <w:rFonts w:ascii="Calibri" w:hAnsi="Calibri" w:cs="Calibri"/>
          <w:sz w:val="24"/>
          <w:szCs w:val="24"/>
        </w:rPr>
        <w:t xml:space="preserve">older </w:t>
      </w:r>
      <w:r w:rsidRPr="00925E10">
        <w:rPr>
          <w:rFonts w:ascii="Calibri" w:hAnsi="Calibri" w:cs="Calibri"/>
          <w:sz w:val="24"/>
          <w:szCs w:val="24"/>
        </w:rPr>
        <w:t>cohorts</w:t>
      </w:r>
      <w:r>
        <w:rPr>
          <w:rFonts w:ascii="Calibri" w:hAnsi="Calibri" w:cs="Calibri"/>
          <w:sz w:val="24"/>
          <w:szCs w:val="24"/>
        </w:rPr>
        <w:t xml:space="preserve"> in Ireland</w:t>
      </w:r>
      <w:r w:rsidRPr="00925E10">
        <w:rPr>
          <w:rFonts w:ascii="Calibri" w:hAnsi="Calibri" w:cs="Calibri"/>
          <w:sz w:val="24"/>
          <w:szCs w:val="24"/>
        </w:rPr>
        <w:t>. Marriage was prohibitive for a large proportion of men in rural areas due to their downward economic trajectory as landless farm labourers or emigrants (Kennedy, 1973; MacCurtain and</w:t>
      </w:r>
      <w:r w:rsidRPr="00925E10">
        <w:rPr>
          <w:rFonts w:ascii="Calibri" w:hAnsi="Calibri" w:cs="Calibri"/>
          <w:noProof/>
          <w:sz w:val="24"/>
          <w:szCs w:val="24"/>
        </w:rPr>
        <w:t xml:space="preserve"> Ó. Corráin, 1979)</w:t>
      </w:r>
      <w:r w:rsidRPr="00925E10">
        <w:rPr>
          <w:rFonts w:ascii="Calibri" w:hAnsi="Calibri" w:cs="Calibri"/>
          <w:sz w:val="24"/>
          <w:szCs w:val="24"/>
        </w:rPr>
        <w:t xml:space="preserve">. </w:t>
      </w:r>
      <w:r w:rsidRPr="00925E10">
        <w:rPr>
          <w:rFonts w:ascii="Calibri" w:hAnsi="Calibri" w:cs="Calibri"/>
          <w:noProof/>
          <w:sz w:val="24"/>
          <w:szCs w:val="24"/>
        </w:rPr>
        <w:t>The limited employment options available in urban areas also constrained economic possib</w:t>
      </w:r>
      <w:r>
        <w:rPr>
          <w:rFonts w:ascii="Calibri" w:hAnsi="Calibri" w:cs="Calibri"/>
          <w:noProof/>
          <w:sz w:val="24"/>
          <w:szCs w:val="24"/>
        </w:rPr>
        <w:t>i</w:t>
      </w:r>
      <w:r w:rsidRPr="00925E10">
        <w:rPr>
          <w:rFonts w:ascii="Calibri" w:hAnsi="Calibri" w:cs="Calibri"/>
          <w:noProof/>
          <w:sz w:val="24"/>
          <w:szCs w:val="24"/>
        </w:rPr>
        <w:t xml:space="preserve">lities and contributed to individuals foregoing </w:t>
      </w:r>
      <w:r>
        <w:rPr>
          <w:rFonts w:ascii="Calibri" w:hAnsi="Calibri" w:cs="Calibri"/>
          <w:noProof/>
          <w:sz w:val="24"/>
          <w:szCs w:val="24"/>
        </w:rPr>
        <w:t>marriage</w:t>
      </w:r>
      <w:r w:rsidRPr="00925E10">
        <w:rPr>
          <w:rFonts w:ascii="Calibri" w:hAnsi="Calibri" w:cs="Calibri"/>
          <w:noProof/>
          <w:sz w:val="24"/>
          <w:szCs w:val="24"/>
        </w:rPr>
        <w:t>. In these older cohorts, girls</w:t>
      </w:r>
      <w:r w:rsidRPr="00925E10">
        <w:rPr>
          <w:rFonts w:ascii="Calibri" w:hAnsi="Calibri" w:cs="Calibri"/>
          <w:sz w:val="24"/>
          <w:szCs w:val="24"/>
        </w:rPr>
        <w:t xml:space="preserve"> were more likely </w:t>
      </w:r>
      <w:r>
        <w:rPr>
          <w:rFonts w:ascii="Calibri" w:hAnsi="Calibri" w:cs="Calibri"/>
          <w:sz w:val="24"/>
          <w:szCs w:val="24"/>
        </w:rPr>
        <w:t xml:space="preserve">than boys </w:t>
      </w:r>
      <w:r w:rsidRPr="00925E10">
        <w:rPr>
          <w:rFonts w:ascii="Calibri" w:hAnsi="Calibri" w:cs="Calibri"/>
          <w:sz w:val="24"/>
          <w:szCs w:val="24"/>
        </w:rPr>
        <w:t>to complete their schooling (MacCurtain, and Ó Corráin, 1979). A marriage bar which prohibited the employment of married women in the public service, in force from 1932 to 1973, acted as a disinc</w:t>
      </w:r>
      <w:r>
        <w:rPr>
          <w:rFonts w:ascii="Calibri" w:hAnsi="Calibri" w:cs="Calibri"/>
          <w:sz w:val="24"/>
          <w:szCs w:val="24"/>
        </w:rPr>
        <w:t xml:space="preserve">entive for some women to marry </w:t>
      </w:r>
      <w:r w:rsidRPr="00925E10">
        <w:rPr>
          <w:rFonts w:ascii="Calibri" w:hAnsi="Calibri" w:cs="Calibri"/>
          <w:sz w:val="24"/>
          <w:szCs w:val="24"/>
        </w:rPr>
        <w:t xml:space="preserve">(Kennedy, </w:t>
      </w:r>
      <w:r>
        <w:rPr>
          <w:rFonts w:ascii="Calibri" w:hAnsi="Calibri" w:cs="Calibri"/>
          <w:sz w:val="24"/>
          <w:szCs w:val="24"/>
        </w:rPr>
        <w:t>1973</w:t>
      </w:r>
      <w:r w:rsidRPr="00925E10">
        <w:rPr>
          <w:rFonts w:ascii="Calibri" w:hAnsi="Calibri" w:cs="Calibri"/>
          <w:sz w:val="24"/>
          <w:szCs w:val="24"/>
        </w:rPr>
        <w:t xml:space="preserve">). </w:t>
      </w:r>
      <w:r w:rsidR="008D581F">
        <w:rPr>
          <w:rFonts w:ascii="Calibri" w:hAnsi="Calibri" w:cs="Calibri"/>
          <w:sz w:val="24"/>
          <w:szCs w:val="24"/>
        </w:rPr>
        <w:t xml:space="preserve">The proportion of divorced older adults is very low because </w:t>
      </w:r>
      <w:r w:rsidR="008D581F">
        <w:rPr>
          <w:rFonts w:ascii="Calibri" w:hAnsi="Calibri" w:cs="Calibri"/>
          <w:sz w:val="24"/>
          <w:szCs w:val="24"/>
        </w:rPr>
        <w:lastRenderedPageBreak/>
        <w:t xml:space="preserve">divorce was only legalised in 1996. </w:t>
      </w:r>
      <w:r w:rsidR="008D581F" w:rsidRPr="00925E10">
        <w:rPr>
          <w:rFonts w:ascii="Calibri" w:hAnsi="Calibri" w:cs="Calibri"/>
          <w:color w:val="000000"/>
          <w:sz w:val="24"/>
          <w:szCs w:val="24"/>
        </w:rPr>
        <w:t>The descriptive statistics</w:t>
      </w:r>
      <w:r w:rsidR="008D581F">
        <w:rPr>
          <w:rFonts w:ascii="Calibri" w:hAnsi="Calibri" w:cs="Calibri"/>
          <w:color w:val="000000"/>
          <w:sz w:val="24"/>
          <w:szCs w:val="24"/>
        </w:rPr>
        <w:t xml:space="preserve"> presented below</w:t>
      </w:r>
      <w:r w:rsidR="008D581F" w:rsidRPr="00925E10">
        <w:rPr>
          <w:rFonts w:ascii="Calibri" w:hAnsi="Calibri" w:cs="Calibri"/>
          <w:color w:val="000000"/>
          <w:sz w:val="24"/>
          <w:szCs w:val="24"/>
        </w:rPr>
        <w:t xml:space="preserve"> reveal </w:t>
      </w:r>
      <w:r w:rsidR="008D581F">
        <w:rPr>
          <w:rFonts w:ascii="Calibri" w:hAnsi="Calibri" w:cs="Calibri"/>
          <w:color w:val="000000"/>
          <w:sz w:val="24"/>
          <w:szCs w:val="24"/>
        </w:rPr>
        <w:t xml:space="preserve">how </w:t>
      </w:r>
      <w:r w:rsidR="008D581F" w:rsidRPr="00925E10">
        <w:rPr>
          <w:rFonts w:ascii="Calibri" w:hAnsi="Calibri" w:cs="Calibri"/>
          <w:color w:val="000000"/>
          <w:sz w:val="24"/>
          <w:szCs w:val="24"/>
        </w:rPr>
        <w:t xml:space="preserve">the unique Irish marriage patterns </w:t>
      </w:r>
      <w:r w:rsidR="008D581F">
        <w:rPr>
          <w:rFonts w:ascii="Calibri" w:hAnsi="Calibri" w:cs="Calibri"/>
          <w:color w:val="000000"/>
          <w:sz w:val="24"/>
          <w:szCs w:val="24"/>
        </w:rPr>
        <w:t>are reflected</w:t>
      </w:r>
      <w:r w:rsidR="008D581F" w:rsidRPr="00925E10">
        <w:rPr>
          <w:rFonts w:ascii="Calibri" w:hAnsi="Calibri" w:cs="Calibri"/>
          <w:color w:val="000000"/>
          <w:sz w:val="24"/>
          <w:szCs w:val="24"/>
        </w:rPr>
        <w:t xml:space="preserve"> in the older population today.</w:t>
      </w:r>
    </w:p>
    <w:p w:rsidR="00D814D6" w:rsidRPr="0042633C" w:rsidRDefault="00D814D6" w:rsidP="00273A74">
      <w:pPr>
        <w:autoSpaceDE w:val="0"/>
        <w:autoSpaceDN w:val="0"/>
        <w:adjustRightInd w:val="0"/>
        <w:spacing w:afterLines="120" w:line="240" w:lineRule="auto"/>
        <w:jc w:val="both"/>
        <w:rPr>
          <w:rFonts w:ascii="Calibri" w:hAnsi="Calibri" w:cs="Calibri"/>
          <w:noProof/>
          <w:sz w:val="24"/>
          <w:szCs w:val="24"/>
          <w:lang w:eastAsia="en-IE"/>
        </w:rPr>
      </w:pPr>
      <w:r w:rsidRPr="00925E10">
        <w:rPr>
          <w:rFonts w:ascii="Calibri" w:hAnsi="Calibri" w:cs="Calibri"/>
          <w:b/>
          <w:sz w:val="24"/>
          <w:szCs w:val="24"/>
        </w:rPr>
        <w:t>Method</w:t>
      </w:r>
    </w:p>
    <w:p w:rsidR="00D814D6" w:rsidRPr="00925E10" w:rsidRDefault="00D814D6" w:rsidP="00273A74">
      <w:pPr>
        <w:autoSpaceDE w:val="0"/>
        <w:autoSpaceDN w:val="0"/>
        <w:adjustRightInd w:val="0"/>
        <w:spacing w:afterLines="120" w:line="240" w:lineRule="auto"/>
        <w:jc w:val="both"/>
        <w:rPr>
          <w:rFonts w:ascii="Calibri" w:hAnsi="Calibri" w:cs="Calibri"/>
          <w:sz w:val="24"/>
          <w:szCs w:val="24"/>
        </w:rPr>
      </w:pPr>
      <w:r w:rsidRPr="00925E10">
        <w:rPr>
          <w:rFonts w:ascii="Calibri" w:hAnsi="Calibri" w:cs="Calibri"/>
          <w:sz w:val="24"/>
          <w:szCs w:val="24"/>
        </w:rPr>
        <w:t>Data</w:t>
      </w:r>
    </w:p>
    <w:p w:rsidR="00D814D6" w:rsidRPr="00925E10" w:rsidRDefault="00D814D6" w:rsidP="00273A74">
      <w:pPr>
        <w:autoSpaceDE w:val="0"/>
        <w:autoSpaceDN w:val="0"/>
        <w:adjustRightInd w:val="0"/>
        <w:spacing w:afterLines="120" w:line="480" w:lineRule="auto"/>
        <w:jc w:val="both"/>
        <w:rPr>
          <w:rFonts w:ascii="Calibri" w:hAnsi="Calibri" w:cs="Calibri"/>
          <w:color w:val="000000"/>
          <w:sz w:val="24"/>
          <w:szCs w:val="24"/>
        </w:rPr>
      </w:pPr>
      <w:r w:rsidRPr="00925E10">
        <w:rPr>
          <w:rFonts w:ascii="Calibri" w:hAnsi="Calibri" w:cs="Calibri"/>
          <w:sz w:val="24"/>
          <w:szCs w:val="24"/>
        </w:rPr>
        <w:t>The data used in this study come from the first wave of the Irish Longitudinal Study on Ageing (TILDA). TILDA is a nationally representative dataset</w:t>
      </w:r>
      <w:r w:rsidR="0042633C">
        <w:rPr>
          <w:rFonts w:ascii="Calibri" w:hAnsi="Calibri" w:cs="Calibri"/>
          <w:sz w:val="24"/>
          <w:szCs w:val="24"/>
        </w:rPr>
        <w:t xml:space="preserve"> containing information on 8,504</w:t>
      </w:r>
      <w:r w:rsidRPr="00925E10">
        <w:rPr>
          <w:rFonts w:ascii="Calibri" w:hAnsi="Calibri" w:cs="Calibri"/>
          <w:sz w:val="24"/>
          <w:szCs w:val="24"/>
        </w:rPr>
        <w:t xml:space="preserve"> individuals aged 50 and older and living in Ireland. The fieldwork for Wave 1 was completed between late 2009 and mid-2011. </w:t>
      </w:r>
      <w:r w:rsidRPr="00925E10">
        <w:rPr>
          <w:rFonts w:ascii="Calibri" w:hAnsi="Calibri" w:cs="Calibri"/>
          <w:color w:val="000000"/>
          <w:sz w:val="24"/>
          <w:szCs w:val="24"/>
        </w:rPr>
        <w:t xml:space="preserve">In this paper, we restrict the analysis to the 1,665 men and 1,842 women aged 65 and over in the TILDA sample i.e. excluded respondents aged 50-64. Weights have been constructed to adjust for sampling techniques (stratification and clustering) and for non-response and these are used in the analysis. </w:t>
      </w:r>
    </w:p>
    <w:p w:rsidR="00D814D6" w:rsidRPr="00925E10" w:rsidRDefault="00D814D6" w:rsidP="00273A74">
      <w:pPr>
        <w:autoSpaceDE w:val="0"/>
        <w:autoSpaceDN w:val="0"/>
        <w:adjustRightInd w:val="0"/>
        <w:spacing w:afterLines="120" w:line="480" w:lineRule="auto"/>
        <w:jc w:val="both"/>
        <w:rPr>
          <w:rFonts w:ascii="Calibri" w:hAnsi="Calibri" w:cs="Calibri"/>
          <w:b/>
          <w:sz w:val="24"/>
          <w:szCs w:val="24"/>
        </w:rPr>
      </w:pPr>
      <w:r w:rsidRPr="00925E10">
        <w:rPr>
          <w:rFonts w:ascii="Calibri" w:hAnsi="Calibri" w:cs="Calibri"/>
          <w:b/>
          <w:sz w:val="24"/>
          <w:szCs w:val="24"/>
        </w:rPr>
        <w:t>Measures</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u w:val="single"/>
        </w:rPr>
        <w:t>Depression</w:t>
      </w:r>
      <w:r w:rsidRPr="00925E10">
        <w:rPr>
          <w:rFonts w:ascii="Calibri" w:hAnsi="Calibri" w:cs="Calibri"/>
          <w:sz w:val="24"/>
          <w:szCs w:val="24"/>
        </w:rPr>
        <w:t>: We used the Center for Epidemiologic Studies Depression Scale (CES-D) to measure the level of depressive symptoms in the older population. The CES-D consists of 20 items to give a possible total score of 60, with higher scores indicating more depressive symptoms</w:t>
      </w:r>
      <w:r w:rsidRPr="00925E10">
        <w:rPr>
          <w:rFonts w:ascii="Calibri" w:hAnsi="Calibri" w:cs="Calibri"/>
          <w:sz w:val="24"/>
          <w:szCs w:val="24"/>
          <w:lang w:val="en-US"/>
        </w:rPr>
        <w:t>.</w:t>
      </w:r>
      <w:r w:rsidRPr="00925E10">
        <w:rPr>
          <w:rFonts w:ascii="Calibri" w:hAnsi="Calibri" w:cs="Calibri"/>
          <w:sz w:val="24"/>
          <w:szCs w:val="24"/>
        </w:rPr>
        <w:t xml:space="preserve"> The Cronbach’s alpha coefficient for CES-D 20 was 0.85. </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iCs/>
          <w:color w:val="141413"/>
          <w:sz w:val="24"/>
          <w:szCs w:val="24"/>
          <w:u w:val="single"/>
        </w:rPr>
        <w:t>Demographic variables</w:t>
      </w:r>
      <w:r w:rsidRPr="00925E10">
        <w:rPr>
          <w:rFonts w:ascii="Calibri" w:hAnsi="Calibri" w:cs="Calibri"/>
          <w:color w:val="141413"/>
          <w:sz w:val="24"/>
          <w:szCs w:val="24"/>
        </w:rPr>
        <w:t xml:space="preserve">. Age is a continuous variable. We coded current </w:t>
      </w:r>
      <w:r w:rsidRPr="00925E10">
        <w:rPr>
          <w:rFonts w:ascii="Calibri" w:hAnsi="Calibri" w:cs="Calibri"/>
          <w:sz w:val="24"/>
          <w:szCs w:val="24"/>
        </w:rPr>
        <w:t xml:space="preserve">residential location by three dichotomous variables (Dublin, other city or town than Dublin, and rural part of Ireland). </w:t>
      </w:r>
    </w:p>
    <w:p w:rsidR="00D814D6" w:rsidRPr="00925E10" w:rsidRDefault="00D814D6" w:rsidP="00273A74">
      <w:pPr>
        <w:pStyle w:val="NormalWeb"/>
        <w:shd w:val="clear" w:color="auto" w:fill="FFFFFF"/>
        <w:spacing w:before="0" w:afterLines="120" w:afterAutospacing="0" w:line="480" w:lineRule="auto"/>
        <w:jc w:val="both"/>
        <w:rPr>
          <w:rFonts w:ascii="Calibri" w:hAnsi="Calibri" w:cs="Calibri"/>
          <w:sz w:val="24"/>
          <w:szCs w:val="24"/>
        </w:rPr>
      </w:pPr>
      <w:r w:rsidRPr="00925E10">
        <w:rPr>
          <w:rFonts w:ascii="Calibri" w:hAnsi="Calibri" w:cs="Calibri"/>
          <w:color w:val="141413"/>
          <w:sz w:val="24"/>
          <w:szCs w:val="24"/>
          <w:u w:val="single"/>
        </w:rPr>
        <w:lastRenderedPageBreak/>
        <w:t>Early life circumstances</w:t>
      </w:r>
      <w:r w:rsidRPr="00925E10">
        <w:rPr>
          <w:rFonts w:ascii="Calibri" w:hAnsi="Calibri" w:cs="Calibri"/>
          <w:color w:val="141413"/>
          <w:sz w:val="24"/>
          <w:szCs w:val="24"/>
        </w:rPr>
        <w:t>:</w:t>
      </w:r>
      <w:r w:rsidRPr="00925E10">
        <w:rPr>
          <w:rFonts w:ascii="Calibri" w:hAnsi="Calibri" w:cs="Calibri"/>
          <w:sz w:val="24"/>
          <w:szCs w:val="24"/>
          <w:lang w:val="en-US"/>
        </w:rPr>
        <w:t xml:space="preserve"> </w:t>
      </w:r>
      <w:r w:rsidRPr="00925E10">
        <w:rPr>
          <w:rFonts w:ascii="Calibri" w:hAnsi="Calibri" w:cs="Calibri"/>
          <w:color w:val="141413"/>
          <w:sz w:val="24"/>
          <w:szCs w:val="24"/>
        </w:rPr>
        <w:t xml:space="preserve">Early life circumstances are measured by three major sources of childhood adversity (stressors): childhood economic conditions, childhood health and family distress. Childhood economic conditions at age 14 are assessed by father’s social class, family’s financial well-being and residential location. </w:t>
      </w:r>
      <w:r w:rsidRPr="00925E10">
        <w:rPr>
          <w:rFonts w:ascii="Calibri" w:hAnsi="Calibri" w:cs="Calibri"/>
          <w:sz w:val="24"/>
          <w:szCs w:val="24"/>
        </w:rPr>
        <w:t>Father’s social class is measured by the respondent’s report on father’s main occupation during childhood. Occupation is classified using the Irish Census Social Class Scale, and coded as managerial or professional, non-manual, manual, or farmer. Family’s financial well being is assessed by the question on whether the family was financially “pretty well off”, “about average” or “poor” when the respondent was age 14. Childhood residential location is coded by three dichotomous variables (Dublin, other city or town than Dublin, and rural part of Ireland). To establish childhood self-reported health, respondents were asked to rate their health before age 14  as “poor”, “fair”, “good” or “excellent”, and this is coded as 1 for fair/poor health and zero for excellent/good. Childhood family distress was measured by the following question: “Before you were 18 years old, did either of your parents drink or use drugs so often that it caused problems in the family?“ This is coded as 1 for “yes” and zero for “no” or if item was left unanswered.</w:t>
      </w:r>
    </w:p>
    <w:p w:rsidR="00D814D6" w:rsidRPr="00925E10" w:rsidRDefault="00524B50" w:rsidP="00273A74">
      <w:pPr>
        <w:pStyle w:val="NormalWeb"/>
        <w:shd w:val="clear" w:color="auto" w:fill="FFFFFF"/>
        <w:spacing w:before="0" w:afterLines="120" w:afterAutospacing="0" w:line="480" w:lineRule="auto"/>
        <w:jc w:val="both"/>
        <w:rPr>
          <w:rFonts w:ascii="Calibri" w:hAnsi="Calibri" w:cs="Calibri"/>
          <w:sz w:val="24"/>
          <w:szCs w:val="24"/>
        </w:rPr>
      </w:pPr>
      <w:r>
        <w:rPr>
          <w:rFonts w:ascii="Calibri" w:hAnsi="Calibri" w:cs="Calibri"/>
          <w:sz w:val="24"/>
          <w:szCs w:val="24"/>
          <w:u w:val="single"/>
        </w:rPr>
        <w:t>Education and marital status</w:t>
      </w:r>
      <w:r w:rsidR="00D814D6" w:rsidRPr="00925E10">
        <w:rPr>
          <w:rFonts w:ascii="Calibri" w:hAnsi="Calibri" w:cs="Calibri"/>
          <w:sz w:val="24"/>
          <w:szCs w:val="24"/>
        </w:rPr>
        <w:t xml:space="preserve">: </w:t>
      </w:r>
      <w:r w:rsidR="00D814D6" w:rsidRPr="00925E10">
        <w:rPr>
          <w:rFonts w:ascii="Calibri" w:hAnsi="Calibri" w:cs="Calibri"/>
          <w:color w:val="141413"/>
          <w:sz w:val="24"/>
          <w:szCs w:val="24"/>
        </w:rPr>
        <w:t xml:space="preserve">Educational attainment is a categorical variable measuring the respondent’s highest </w:t>
      </w:r>
      <w:r w:rsidR="00AA6273">
        <w:rPr>
          <w:rFonts w:ascii="Calibri" w:hAnsi="Calibri" w:cs="Calibri"/>
          <w:color w:val="141413"/>
          <w:sz w:val="24"/>
          <w:szCs w:val="24"/>
        </w:rPr>
        <w:t>level</w:t>
      </w:r>
      <w:r w:rsidR="00D814D6" w:rsidRPr="00925E10">
        <w:rPr>
          <w:rFonts w:ascii="Calibri" w:hAnsi="Calibri" w:cs="Calibri"/>
          <w:color w:val="141413"/>
          <w:sz w:val="24"/>
          <w:szCs w:val="24"/>
        </w:rPr>
        <w:t xml:space="preserve"> of education obtained (primary, secondary or tertiary education). Marital status is a categorical variable and it  is classified as married, never married, divorced and widower.  </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u w:val="single"/>
          <w:lang w:eastAsia="en-IE"/>
        </w:rPr>
        <w:t>Late</w:t>
      </w:r>
      <w:r w:rsidR="00524B50">
        <w:rPr>
          <w:rFonts w:ascii="Calibri" w:hAnsi="Calibri" w:cs="Calibri"/>
          <w:sz w:val="24"/>
          <w:szCs w:val="24"/>
          <w:u w:val="single"/>
          <w:lang w:eastAsia="en-IE"/>
        </w:rPr>
        <w:t>r</w:t>
      </w:r>
      <w:r w:rsidRPr="00925E10">
        <w:rPr>
          <w:rFonts w:ascii="Calibri" w:hAnsi="Calibri" w:cs="Calibri"/>
          <w:sz w:val="24"/>
          <w:szCs w:val="24"/>
          <w:u w:val="single"/>
          <w:lang w:eastAsia="en-IE"/>
        </w:rPr>
        <w:t xml:space="preserve"> life circumstances</w:t>
      </w:r>
      <w:r w:rsidRPr="00925E10">
        <w:rPr>
          <w:rFonts w:ascii="Calibri" w:hAnsi="Calibri" w:cs="Calibri"/>
          <w:sz w:val="24"/>
          <w:szCs w:val="24"/>
          <w:lang w:eastAsia="en-IE"/>
        </w:rPr>
        <w:t>:</w:t>
      </w:r>
      <w:r w:rsidRPr="00925E10">
        <w:rPr>
          <w:rFonts w:ascii="Calibri" w:hAnsi="Calibri" w:cs="Calibri"/>
          <w:color w:val="141413"/>
          <w:sz w:val="24"/>
          <w:szCs w:val="24"/>
        </w:rPr>
        <w:t xml:space="preserve"> S</w:t>
      </w:r>
      <w:r w:rsidRPr="00925E10">
        <w:rPr>
          <w:rFonts w:ascii="Calibri" w:hAnsi="Calibri" w:cs="Calibri"/>
          <w:sz w:val="24"/>
          <w:szCs w:val="24"/>
        </w:rPr>
        <w:t xml:space="preserve">ocioeconomic status is measured by income and home ownership (Grundy and Holt 2002). Current self-reported health was included as </w:t>
      </w:r>
      <w:r w:rsidRPr="00925E10">
        <w:rPr>
          <w:rFonts w:ascii="Calibri" w:hAnsi="Calibri" w:cs="Calibri"/>
          <w:sz w:val="24"/>
          <w:szCs w:val="24"/>
        </w:rPr>
        <w:lastRenderedPageBreak/>
        <w:t>dummy variable equal to 1 when the respondent reported “poor” or “bad” health (vs. “good” or “excellent” health). Social support is a variable which measures the number of children, friends and relatives that the respondent feels at ease with, can call on for help or can talk to about private matters. Having two or more of these close ties was coded as 1, those with less than two close ties were coded as 0</w:t>
      </w:r>
      <w:r w:rsidR="0091428D">
        <w:rPr>
          <w:rFonts w:ascii="Calibri" w:hAnsi="Calibri" w:cs="Calibri"/>
          <w:sz w:val="24"/>
          <w:szCs w:val="24"/>
        </w:rPr>
        <w:t xml:space="preserve"> (Berkman and Breslow 1983)</w:t>
      </w:r>
      <w:r w:rsidRPr="00925E10">
        <w:rPr>
          <w:rFonts w:ascii="Calibri" w:hAnsi="Calibri" w:cs="Calibri"/>
          <w:sz w:val="24"/>
          <w:szCs w:val="24"/>
        </w:rPr>
        <w:t>.</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b/>
          <w:sz w:val="24"/>
          <w:szCs w:val="24"/>
        </w:rPr>
        <w:t>Statistical methods</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t>The analysis is divided into two parts. First, a multinomial logistic model examines the association between childhood and early adult life circumstances and marital status. The base outcome is ‘married’ and the results presented are odds ratios. We conducted separate analyses for men and women.</w:t>
      </w:r>
    </w:p>
    <w:p w:rsidR="00D814D6" w:rsidRPr="00925E10" w:rsidRDefault="00D814D6">
      <w:pPr>
        <w:widowControl w:val="0"/>
        <w:autoSpaceDE w:val="0"/>
        <w:autoSpaceDN w:val="0"/>
        <w:adjustRightInd w:val="0"/>
        <w:spacing w:after="340" w:line="480" w:lineRule="auto"/>
        <w:jc w:val="both"/>
        <w:rPr>
          <w:rFonts w:ascii="Calibri" w:hAnsi="Calibri" w:cs="Calibri"/>
          <w:bCs/>
          <w:sz w:val="24"/>
          <w:szCs w:val="24"/>
          <w:lang w:val="en-US"/>
        </w:rPr>
      </w:pPr>
      <w:r w:rsidRPr="00925E10">
        <w:rPr>
          <w:rFonts w:ascii="Calibri" w:hAnsi="Calibri" w:cs="Calibri"/>
          <w:sz w:val="24"/>
          <w:szCs w:val="24"/>
        </w:rPr>
        <w:t xml:space="preserve">Second, we use </w:t>
      </w:r>
      <w:r w:rsidRPr="00925E10">
        <w:rPr>
          <w:rFonts w:ascii="Calibri" w:hAnsi="Calibri" w:cs="Calibri"/>
          <w:sz w:val="24"/>
          <w:szCs w:val="24"/>
          <w:lang w:val="en-US"/>
        </w:rPr>
        <w:t xml:space="preserve">a series of nested models to analyse which childhood life circumstances and adulthood circumstances (if any) are associated with depressive symptoms. </w:t>
      </w:r>
      <w:r w:rsidRPr="00925E10">
        <w:rPr>
          <w:rFonts w:ascii="Calibri" w:hAnsi="Calibri" w:cs="Calibri"/>
          <w:bCs/>
          <w:sz w:val="24"/>
          <w:szCs w:val="24"/>
          <w:lang w:val="en-US"/>
        </w:rPr>
        <w:t>Such a design enables identification of both direct and indirect effects of early life cond</w:t>
      </w:r>
      <w:r w:rsidR="00AA6273">
        <w:rPr>
          <w:rFonts w:ascii="Calibri" w:hAnsi="Calibri" w:cs="Calibri"/>
          <w:bCs/>
          <w:sz w:val="24"/>
          <w:szCs w:val="24"/>
          <w:lang w:val="en-US"/>
        </w:rPr>
        <w:t>itions on depressive symptoms.</w:t>
      </w:r>
      <w:r w:rsidRPr="00925E10">
        <w:rPr>
          <w:rFonts w:ascii="Calibri" w:hAnsi="Calibri" w:cs="Calibri"/>
          <w:bCs/>
          <w:sz w:val="24"/>
          <w:szCs w:val="24"/>
          <w:lang w:val="en-US"/>
        </w:rPr>
        <w:t xml:space="preserve"> </w:t>
      </w:r>
      <w:r w:rsidRPr="00925E10">
        <w:rPr>
          <w:rFonts w:ascii="Calibri" w:hAnsi="Calibri" w:cs="Calibri"/>
          <w:sz w:val="24"/>
          <w:szCs w:val="24"/>
        </w:rPr>
        <w:t>We found that the separate models for men and women fit the data significantly better than the main effects model.</w:t>
      </w:r>
    </w:p>
    <w:p w:rsidR="00D814D6" w:rsidRPr="00925E10" w:rsidRDefault="00D814D6">
      <w:pPr>
        <w:spacing w:line="480" w:lineRule="auto"/>
        <w:jc w:val="both"/>
        <w:rPr>
          <w:rFonts w:ascii="Calibri" w:hAnsi="Calibri" w:cs="Calibri"/>
          <w:sz w:val="24"/>
          <w:szCs w:val="24"/>
        </w:rPr>
      </w:pPr>
      <w:r w:rsidRPr="00925E10">
        <w:rPr>
          <w:rFonts w:ascii="Calibri" w:hAnsi="Calibri" w:cs="Calibri"/>
          <w:sz w:val="24"/>
          <w:szCs w:val="24"/>
        </w:rPr>
        <w:t>We specified four models to examine how the effects of early life circumstances on later life depressive symptom</w:t>
      </w:r>
      <w:r w:rsidR="00AA6273">
        <w:rPr>
          <w:rFonts w:ascii="Calibri" w:hAnsi="Calibri" w:cs="Calibri"/>
          <w:sz w:val="24"/>
          <w:szCs w:val="24"/>
        </w:rPr>
        <w:t>s are altered when we consider</w:t>
      </w:r>
      <w:r w:rsidRPr="00925E10">
        <w:rPr>
          <w:rFonts w:ascii="Calibri" w:hAnsi="Calibri" w:cs="Calibri"/>
          <w:sz w:val="24"/>
          <w:szCs w:val="24"/>
        </w:rPr>
        <w:t xml:space="preserve"> young adulthood and late</w:t>
      </w:r>
      <w:r w:rsidR="00AA6273">
        <w:rPr>
          <w:rFonts w:ascii="Calibri" w:hAnsi="Calibri" w:cs="Calibri"/>
          <w:sz w:val="24"/>
          <w:szCs w:val="24"/>
        </w:rPr>
        <w:t>r</w:t>
      </w:r>
      <w:r w:rsidRPr="00925E10">
        <w:rPr>
          <w:rFonts w:ascii="Calibri" w:hAnsi="Calibri" w:cs="Calibri"/>
          <w:sz w:val="24"/>
          <w:szCs w:val="24"/>
        </w:rPr>
        <w:t xml:space="preserve"> life circumstances. These models are: </w:t>
      </w:r>
    </w:p>
    <w:p w:rsidR="00D814D6" w:rsidRPr="00925E10" w:rsidRDefault="00D814D6">
      <w:pPr>
        <w:widowControl w:val="0"/>
        <w:autoSpaceDE w:val="0"/>
        <w:autoSpaceDN w:val="0"/>
        <w:adjustRightInd w:val="0"/>
        <w:spacing w:after="340" w:line="480" w:lineRule="auto"/>
        <w:jc w:val="both"/>
        <w:rPr>
          <w:rFonts w:ascii="Calibri" w:eastAsia="MS ??" w:hAnsi="Calibri" w:cs="Calibri"/>
          <w:bCs/>
          <w:sz w:val="24"/>
          <w:szCs w:val="24"/>
          <w:lang w:val="en-US"/>
        </w:rPr>
      </w:pPr>
      <w:r w:rsidRPr="00925E10">
        <w:rPr>
          <w:rFonts w:ascii="Calibri" w:hAnsi="Calibri" w:cs="Calibri"/>
          <w:bCs/>
          <w:sz w:val="24"/>
          <w:szCs w:val="24"/>
          <w:lang w:val="en-US"/>
        </w:rPr>
        <w:t>Y=</w:t>
      </w:r>
      <w:r w:rsidR="000F2203" w:rsidRPr="004353BA">
        <w:rPr>
          <w:rFonts w:ascii="Calibri" w:eastAsia="MS ??" w:hAnsi="Calibri" w:cs="Calibri"/>
          <w:bCs/>
          <w:sz w:val="24"/>
          <w:szCs w:val="24"/>
          <w:lang w:val="en-US"/>
        </w:rPr>
        <w:fldChar w:fldCharType="begin"/>
      </w:r>
      <w:r w:rsidRPr="004353BA">
        <w:rPr>
          <w:rFonts w:ascii="Calibri" w:eastAsia="MS ??" w:hAnsi="Calibri" w:cs="Calibri"/>
          <w:bCs/>
          <w:sz w:val="24"/>
          <w:szCs w:val="24"/>
          <w:lang w:val="en-US"/>
        </w:rPr>
        <w:instrText xml:space="preserve"> QUOTE </w:instrText>
      </w:r>
      <w:r w:rsidR="00273A74">
        <w:pict>
          <v:shape id="_x0000_i1026" type="#_x0000_t75" style="width:92.2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557AD&quot;/&gt;&lt;wsp:rsid wsp:val=&quot;00016631&quot;/&gt;&lt;wsp:rsid wsp:val=&quot;001469F0&quot;/&gt;&lt;wsp:rsid wsp:val=&quot;001A6992&quot;/&gt;&lt;wsp:rsid wsp:val=&quot;0029660D&quot;/&gt;&lt;wsp:rsid wsp:val=&quot;002B10FE&quot;/&gt;&lt;wsp:rsid wsp:val=&quot;0032452D&quot;/&gt;&lt;wsp:rsid wsp:val=&quot;00405FCB&quot;/&gt;&lt;wsp:rsid wsp:val=&quot;00427673&quot;/&gt;&lt;wsp:rsid wsp:val=&quot;00433B03&quot;/&gt;&lt;wsp:rsid wsp:val=&quot;004353BA&quot;/&gt;&lt;wsp:rsid wsp:val=&quot;00444F64&quot;/&gt;&lt;wsp:rsid wsp:val=&quot;004D3ED5&quot;/&gt;&lt;wsp:rsid wsp:val=&quot;005858A2&quot;/&gt;&lt;wsp:rsid wsp:val=&quot;00644292&quot;/&gt;&lt;wsp:rsid wsp:val=&quot;00655C4A&quot;/&gt;&lt;wsp:rsid wsp:val=&quot;006E6E9F&quot;/&gt;&lt;wsp:rsid wsp:val=&quot;006F5744&quot;/&gt;&lt;wsp:rsid wsp:val=&quot;007469AE&quot;/&gt;&lt;wsp:rsid wsp:val=&quot;007833EA&quot;/&gt;&lt;wsp:rsid wsp:val=&quot;00806BC5&quot;/&gt;&lt;wsp:rsid wsp:val=&quot;008658DB&quot;/&gt;&lt;wsp:rsid wsp:val=&quot;00871513&quot;/&gt;&lt;wsp:rsid wsp:val=&quot;0088271D&quot;/&gt;&lt;wsp:rsid wsp:val=&quot;00925E10&quot;/&gt;&lt;wsp:rsid wsp:val=&quot;009276CC&quot;/&gt;&lt;wsp:rsid wsp:val=&quot;009440B0&quot;/&gt;&lt;wsp:rsid wsp:val=&quot;009A24BC&quot;/&gt;&lt;wsp:rsid wsp:val=&quot;009F0AC8&quot;/&gt;&lt;wsp:rsid wsp:val=&quot;00A664DE&quot;/&gt;&lt;wsp:rsid wsp:val=&quot;00A83516&quot;/&gt;&lt;wsp:rsid wsp:val=&quot;00AB573B&quot;/&gt;&lt;wsp:rsid wsp:val=&quot;00AE1A40&quot;/&gt;&lt;wsp:rsid wsp:val=&quot;00AE4CFF&quot;/&gt;&lt;wsp:rsid wsp:val=&quot;00AE79D4&quot;/&gt;&lt;wsp:rsid wsp:val=&quot;00B227A9&quot;/&gt;&lt;wsp:rsid wsp:val=&quot;00B34289&quot;/&gt;&lt;wsp:rsid wsp:val=&quot;00B37792&quot;/&gt;&lt;wsp:rsid wsp:val=&quot;00B40BC5&quot;/&gt;&lt;wsp:rsid wsp:val=&quot;00B65098&quot;/&gt;&lt;wsp:rsid wsp:val=&quot;00C52107&quot;/&gt;&lt;wsp:rsid wsp:val=&quot;00C6616D&quot;/&gt;&lt;wsp:rsid wsp:val=&quot;00C82608&quot;/&gt;&lt;wsp:rsid wsp:val=&quot;00CA44D0&quot;/&gt;&lt;wsp:rsid wsp:val=&quot;00CB2064&quot;/&gt;&lt;wsp:rsid wsp:val=&quot;00D32A46&quot;/&gt;&lt;wsp:rsid wsp:val=&quot;00D44664&quot;/&gt;&lt;wsp:rsid wsp:val=&quot;00D52BCC&quot;/&gt;&lt;wsp:rsid wsp:val=&quot;00D62F0B&quot;/&gt;&lt;wsp:rsid wsp:val=&quot;00D91FA4&quot;/&gt;&lt;wsp:rsid wsp:val=&quot;00DF1908&quot;/&gt;&lt;wsp:rsid wsp:val=&quot;00E06902&quot;/&gt;&lt;wsp:rsid wsp:val=&quot;00E23060&quot;/&gt;&lt;wsp:rsid wsp:val=&quot;00E557AD&quot;/&gt;&lt;wsp:rsid wsp:val=&quot;00EB16E4&quot;/&gt;&lt;wsp:rsid wsp:val=&quot;00ED6C9C&quot;/&gt;&lt;wsp:rsid wsp:val=&quot;00F07FBF&quot;/&gt;&lt;wsp:rsid wsp:val=&quot;00F91C65&quot;/&gt;&lt;wsp:rsid wsp:val=&quot;00F9718A&quot;/&gt;&lt;/wsp:rsids&gt;&lt;/w:docPr&gt;&lt;w:body&gt;&lt;w:p wsp:rsidR=&quot;00000000&quot; wsp:rsidRDefault=&quot;00806BC5&quot;&gt;&lt;m:oMathPara&gt;&lt;m:oMath&gt;&lt;m:r&gt;&lt;w:rPr&gt;&lt;w:rFonts w:ascii=&quot;Cambria Math&quot; w:h-ansi=&quot;Cambria Math&quot; w:cs=&quot;Calibri&quot;/&gt;&lt;wx:font wx:val=&quot;Cambria Math&quot;/&gt;&lt;w:i/&gt;&lt;w:sz w:val=&quot;24&quot;/&gt;&lt;w:sz-cs w:val=&quot;24&quot;/&gt;&lt;w:lang w:val=&quot;EN-US&quot;/&gt;&lt;/w:rPr&gt;&lt;m:t&gt;Î±&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1&lt;/m:t&gt;&lt;/m:r&gt;&lt;m:r&gt;&lt;w:rPr&gt;&lt;w:rFonts w:ascii=&quot;Cambria Math&quot; w:h-ansi=&quot;Cambria Math&quot; w:cs=&quot;Calibri&quot;/&gt;&lt;wx:font wx:val=&quot;Cambria Math&quot;/&gt;&lt;w:i/&gt;&lt;w:sz w:val=&quot;24&quot;/&gt;&lt;w:sz-cs w:val=&quot;24&quot;/&gt;&lt;w:lang w:val=&quot;EN-US&quot;/&gt;&lt;/w:rPr&gt;&lt;m:t&gt;C&lt;/m:t&gt;&lt;/m:r&gt;&lt;m:r&gt;&lt;w:rPr&gt;&lt;w:rFonts w:ascii=&quot;Calibri&quot; w:h-ansi=&quot;Cambria Math&quot; w:cs=&quot;Calibri&quot;/&gt;&lt;wx:font wx:val=&quot;Cambria Math&quot;/&gt;&lt;w:i/&gt;&lt;w:sz w:val=&quot;24&quot;/&gt;&lt;w:sz-cs w:val=&quot;24&quot;/&gt;&lt;w:lang w:val=&quot;EN-US&quot;/&gt;&lt;/w:rPr&gt;&lt;m:t&gt;h&lt;/m:t&gt;&lt;/m:r&gt;&lt;m:r&gt;&lt;w:rPr&gt;&lt;w:rFonts w:ascii=&quot;Cambria Math&quot; w:h-ansi=&quot;Cambria Math&quot; w:cs=&quot;Calibri&quot;/&gt;&lt;wx:font wx:val=&quot;Cambria Math&quot;/&gt;&lt;w:i/&gt;&lt;w:sz w:val=&quot;24&quot;/&gt;&lt;w:sz-cs w:val=&quot;24&quot;/&gt;&lt;w:lang w:val=&quot;EN-US&quot;/&gt;&lt;/w:rPr&gt;&lt;m:t&gt;ild&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µ&lt;/m:t&gt;&lt;/m:r&gt;&lt;m:r&gt;&lt;w:rPr&gt;&lt;w:rFonts w:ascii=&quot;Cambria Math&quot; w:h-ansi=&quot;Calibri&quot; w:cs=&quot;Calibri&quot;/&gt;&lt;wx:font wx:val=&quot;Cambria Math&quot;/&gt;&lt;w:i/&gt;&lt;w:sz w:val=&quot;24&quot;/&gt;&lt;w:sz-cs w:val=&quot;24&quot;/&gt;&lt;w:lang w:val=&quot;EN-US&quot;/&gt;&lt;/w:rPr&gt;&lt;m:t&gt;1&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9" o:title="" chromakey="white"/>
          </v:shape>
        </w:pict>
      </w:r>
      <w:r w:rsidRPr="004353BA">
        <w:rPr>
          <w:rFonts w:ascii="Calibri" w:eastAsia="MS ??" w:hAnsi="Calibri" w:cs="Calibri"/>
          <w:bCs/>
          <w:sz w:val="24"/>
          <w:szCs w:val="24"/>
          <w:lang w:val="en-US"/>
        </w:rPr>
        <w:instrText xml:space="preserve"> </w:instrText>
      </w:r>
      <w:r w:rsidR="000F2203" w:rsidRPr="004353BA">
        <w:rPr>
          <w:rFonts w:ascii="Calibri" w:eastAsia="MS ??" w:hAnsi="Calibri" w:cs="Calibri"/>
          <w:bCs/>
          <w:sz w:val="24"/>
          <w:szCs w:val="24"/>
          <w:lang w:val="en-US"/>
        </w:rPr>
        <w:fldChar w:fldCharType="separate"/>
      </w:r>
      <w:r w:rsidR="00273A74">
        <w:pict>
          <v:shape id="_x0000_i1027" type="#_x0000_t75" style="width:92.2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557AD&quot;/&gt;&lt;wsp:rsid wsp:val=&quot;00016631&quot;/&gt;&lt;wsp:rsid wsp:val=&quot;001469F0&quot;/&gt;&lt;wsp:rsid wsp:val=&quot;001A6992&quot;/&gt;&lt;wsp:rsid wsp:val=&quot;0029660D&quot;/&gt;&lt;wsp:rsid wsp:val=&quot;002B10FE&quot;/&gt;&lt;wsp:rsid wsp:val=&quot;0032452D&quot;/&gt;&lt;wsp:rsid wsp:val=&quot;00405FCB&quot;/&gt;&lt;wsp:rsid wsp:val=&quot;00427673&quot;/&gt;&lt;wsp:rsid wsp:val=&quot;00433B03&quot;/&gt;&lt;wsp:rsid wsp:val=&quot;004353BA&quot;/&gt;&lt;wsp:rsid wsp:val=&quot;00444F64&quot;/&gt;&lt;wsp:rsid wsp:val=&quot;004D3ED5&quot;/&gt;&lt;wsp:rsid wsp:val=&quot;005858A2&quot;/&gt;&lt;wsp:rsid wsp:val=&quot;00644292&quot;/&gt;&lt;wsp:rsid wsp:val=&quot;00655C4A&quot;/&gt;&lt;wsp:rsid wsp:val=&quot;006E6E9F&quot;/&gt;&lt;wsp:rsid wsp:val=&quot;006F5744&quot;/&gt;&lt;wsp:rsid wsp:val=&quot;007469AE&quot;/&gt;&lt;wsp:rsid wsp:val=&quot;007833EA&quot;/&gt;&lt;wsp:rsid wsp:val=&quot;00806BC5&quot;/&gt;&lt;wsp:rsid wsp:val=&quot;008658DB&quot;/&gt;&lt;wsp:rsid wsp:val=&quot;00871513&quot;/&gt;&lt;wsp:rsid wsp:val=&quot;0088271D&quot;/&gt;&lt;wsp:rsid wsp:val=&quot;00925E10&quot;/&gt;&lt;wsp:rsid wsp:val=&quot;009276CC&quot;/&gt;&lt;wsp:rsid wsp:val=&quot;009440B0&quot;/&gt;&lt;wsp:rsid wsp:val=&quot;009A24BC&quot;/&gt;&lt;wsp:rsid wsp:val=&quot;009F0AC8&quot;/&gt;&lt;wsp:rsid wsp:val=&quot;00A664DE&quot;/&gt;&lt;wsp:rsid wsp:val=&quot;00A83516&quot;/&gt;&lt;wsp:rsid wsp:val=&quot;00AB573B&quot;/&gt;&lt;wsp:rsid wsp:val=&quot;00AE1A40&quot;/&gt;&lt;wsp:rsid wsp:val=&quot;00AE4CFF&quot;/&gt;&lt;wsp:rsid wsp:val=&quot;00AE79D4&quot;/&gt;&lt;wsp:rsid wsp:val=&quot;00B227A9&quot;/&gt;&lt;wsp:rsid wsp:val=&quot;00B34289&quot;/&gt;&lt;wsp:rsid wsp:val=&quot;00B37792&quot;/&gt;&lt;wsp:rsid wsp:val=&quot;00B40BC5&quot;/&gt;&lt;wsp:rsid wsp:val=&quot;00B65098&quot;/&gt;&lt;wsp:rsid wsp:val=&quot;00C52107&quot;/&gt;&lt;wsp:rsid wsp:val=&quot;00C6616D&quot;/&gt;&lt;wsp:rsid wsp:val=&quot;00C82608&quot;/&gt;&lt;wsp:rsid wsp:val=&quot;00CA44D0&quot;/&gt;&lt;wsp:rsid wsp:val=&quot;00CB2064&quot;/&gt;&lt;wsp:rsid wsp:val=&quot;00D32A46&quot;/&gt;&lt;wsp:rsid wsp:val=&quot;00D44664&quot;/&gt;&lt;wsp:rsid wsp:val=&quot;00D52BCC&quot;/&gt;&lt;wsp:rsid wsp:val=&quot;00D62F0B&quot;/&gt;&lt;wsp:rsid wsp:val=&quot;00D91FA4&quot;/&gt;&lt;wsp:rsid wsp:val=&quot;00DF1908&quot;/&gt;&lt;wsp:rsid wsp:val=&quot;00E06902&quot;/&gt;&lt;wsp:rsid wsp:val=&quot;00E23060&quot;/&gt;&lt;wsp:rsid wsp:val=&quot;00E557AD&quot;/&gt;&lt;wsp:rsid wsp:val=&quot;00EB16E4&quot;/&gt;&lt;wsp:rsid wsp:val=&quot;00ED6C9C&quot;/&gt;&lt;wsp:rsid wsp:val=&quot;00F07FBF&quot;/&gt;&lt;wsp:rsid wsp:val=&quot;00F91C65&quot;/&gt;&lt;wsp:rsid wsp:val=&quot;00F9718A&quot;/&gt;&lt;/wsp:rsids&gt;&lt;/w:docPr&gt;&lt;w:body&gt;&lt;w:p wsp:rsidR=&quot;00000000&quot; wsp:rsidRDefault=&quot;00806BC5&quot;&gt;&lt;m:oMathPara&gt;&lt;m:oMath&gt;&lt;m:r&gt;&lt;w:rPr&gt;&lt;w:rFonts w:ascii=&quot;Cambria Math&quot; w:h-ansi=&quot;Cambria Math&quot; w:cs=&quot;Calibri&quot;/&gt;&lt;wx:font wx:val=&quot;Cambria Math&quot;/&gt;&lt;w:i/&gt;&lt;w:sz w:val=&quot;24&quot;/&gt;&lt;w:sz-cs w:val=&quot;24&quot;/&gt;&lt;w:lang w:val=&quot;EN-US&quot;/&gt;&lt;/w:rPr&gt;&lt;m:t&gt;Î±&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1&lt;/m:t&gt;&lt;/m:r&gt;&lt;m:r&gt;&lt;w:rPr&gt;&lt;w:rFonts w:ascii=&quot;Cambria Math&quot; w:h-ansi=&quot;Cambria Math&quot; w:cs=&quot;Calibri&quot;/&gt;&lt;wx:font wx:val=&quot;Cambria Math&quot;/&gt;&lt;w:i/&gt;&lt;w:sz w:val=&quot;24&quot;/&gt;&lt;w:sz-cs w:val=&quot;24&quot;/&gt;&lt;w:lang w:val=&quot;EN-US&quot;/&gt;&lt;/w:rPr&gt;&lt;m:t&gt;C&lt;/m:t&gt;&lt;/m:r&gt;&lt;m:r&gt;&lt;w:rPr&gt;&lt;w:rFonts w:ascii=&quot;Calibri&quot; w:h-ansi=&quot;Cambria Math&quot; w:cs=&quot;Calibri&quot;/&gt;&lt;wx:font wx:val=&quot;Cambria Math&quot;/&gt;&lt;w:i/&gt;&lt;w:sz w:val=&quot;24&quot;/&gt;&lt;w:sz-cs w:val=&quot;24&quot;/&gt;&lt;w:lang w:val=&quot;EN-US&quot;/&gt;&lt;/w:rPr&gt;&lt;m:t&gt;h&lt;/m:t&gt;&lt;/m:r&gt;&lt;m:r&gt;&lt;w:rPr&gt;&lt;w:rFonts w:ascii=&quot;Cambria Math&quot; w:h-ansi=&quot;Cambria Math&quot; w:cs=&quot;Calibri&quot;/&gt;&lt;wx:font wx:val=&quot;Cambria Math&quot;/&gt;&lt;w:i/&gt;&lt;w:sz w:val=&quot;24&quot;/&gt;&lt;w:sz-cs w:val=&quot;24&quot;/&gt;&lt;w:lang w:val=&quot;EN-US&quot;/&gt;&lt;/w:rPr&gt;&lt;m:t&gt;ild&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µ&lt;/m:t&gt;&lt;/m:r&gt;&lt;m:r&gt;&lt;w:rPr&gt;&lt;w:rFonts w:ascii=&quot;Cambria Math&quot; w:h-ansi=&quot;Calibri&quot; w:cs=&quot;Calibri&quot;/&gt;&lt;wx:font wx:val=&quot;Cambria Math&quot;/&gt;&lt;w:i/&gt;&lt;w:sz w:val=&quot;24&quot;/&gt;&lt;w:sz-cs w:val=&quot;24&quot;/&gt;&lt;w:lang w:val=&quot;EN-US&quot;/&gt;&lt;/w:rPr&gt;&lt;m:t&gt;1&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9" o:title="" chromakey="white"/>
          </v:shape>
        </w:pict>
      </w:r>
      <w:r w:rsidR="000F2203" w:rsidRPr="004353BA">
        <w:rPr>
          <w:rFonts w:ascii="Calibri" w:eastAsia="MS ??" w:hAnsi="Calibri" w:cs="Calibri"/>
          <w:bCs/>
          <w:sz w:val="24"/>
          <w:szCs w:val="24"/>
          <w:lang w:val="en-US"/>
        </w:rPr>
        <w:fldChar w:fldCharType="end"/>
      </w:r>
      <w:r w:rsidRPr="00925E10">
        <w:rPr>
          <w:rFonts w:ascii="Calibri" w:eastAsia="MS ??" w:hAnsi="Calibri" w:cs="Calibri"/>
          <w:bCs/>
          <w:sz w:val="24"/>
          <w:szCs w:val="24"/>
          <w:lang w:val="en-US"/>
        </w:rPr>
        <w:t xml:space="preserve"> (model 1)</w:t>
      </w:r>
    </w:p>
    <w:p w:rsidR="00D814D6" w:rsidRPr="00925E10" w:rsidRDefault="00D814D6">
      <w:pPr>
        <w:widowControl w:val="0"/>
        <w:autoSpaceDE w:val="0"/>
        <w:autoSpaceDN w:val="0"/>
        <w:adjustRightInd w:val="0"/>
        <w:spacing w:after="340" w:line="480" w:lineRule="auto"/>
        <w:jc w:val="both"/>
        <w:rPr>
          <w:rFonts w:ascii="Calibri" w:eastAsia="MS ??" w:hAnsi="Calibri" w:cs="Calibri"/>
          <w:bCs/>
          <w:sz w:val="24"/>
          <w:szCs w:val="24"/>
          <w:lang w:val="en-US"/>
        </w:rPr>
      </w:pPr>
      <w:r w:rsidRPr="00925E10">
        <w:rPr>
          <w:rFonts w:ascii="Calibri" w:hAnsi="Calibri" w:cs="Calibri"/>
          <w:bCs/>
          <w:sz w:val="24"/>
          <w:szCs w:val="24"/>
          <w:lang w:val="en-US"/>
        </w:rPr>
        <w:t>Y=</w:t>
      </w:r>
      <w:r w:rsidR="000F2203" w:rsidRPr="004353BA">
        <w:rPr>
          <w:rFonts w:ascii="Calibri" w:eastAsia="MS ??" w:hAnsi="Calibri" w:cs="Calibri"/>
          <w:bCs/>
          <w:sz w:val="24"/>
          <w:szCs w:val="24"/>
          <w:lang w:val="en-US"/>
        </w:rPr>
        <w:fldChar w:fldCharType="begin"/>
      </w:r>
      <w:r w:rsidRPr="004353BA">
        <w:rPr>
          <w:rFonts w:ascii="Calibri" w:eastAsia="MS ??" w:hAnsi="Calibri" w:cs="Calibri"/>
          <w:bCs/>
          <w:sz w:val="24"/>
          <w:szCs w:val="24"/>
          <w:lang w:val="en-US"/>
        </w:rPr>
        <w:instrText xml:space="preserve"> QUOTE </w:instrText>
      </w:r>
      <w:r w:rsidR="00273A74">
        <w:pict>
          <v:shape id="_x0000_i1028" type="#_x0000_t75" style="width:172.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557AD&quot;/&gt;&lt;wsp:rsid wsp:val=&quot;00016631&quot;/&gt;&lt;wsp:rsid wsp:val=&quot;001469F0&quot;/&gt;&lt;wsp:rsid wsp:val=&quot;001A6992&quot;/&gt;&lt;wsp:rsid wsp:val=&quot;0029660D&quot;/&gt;&lt;wsp:rsid wsp:val=&quot;002B10FE&quot;/&gt;&lt;wsp:rsid wsp:val=&quot;0032452D&quot;/&gt;&lt;wsp:rsid wsp:val=&quot;00405FCB&quot;/&gt;&lt;wsp:rsid wsp:val=&quot;00427673&quot;/&gt;&lt;wsp:rsid wsp:val=&quot;00433B03&quot;/&gt;&lt;wsp:rsid wsp:val=&quot;004353BA&quot;/&gt;&lt;wsp:rsid wsp:val=&quot;00444F64&quot;/&gt;&lt;wsp:rsid wsp:val=&quot;0049618F&quot;/&gt;&lt;wsp:rsid wsp:val=&quot;004D3ED5&quot;/&gt;&lt;wsp:rsid wsp:val=&quot;005858A2&quot;/&gt;&lt;wsp:rsid wsp:val=&quot;00644292&quot;/&gt;&lt;wsp:rsid wsp:val=&quot;00655C4A&quot;/&gt;&lt;wsp:rsid wsp:val=&quot;006E6E9F&quot;/&gt;&lt;wsp:rsid wsp:val=&quot;006F5744&quot;/&gt;&lt;wsp:rsid wsp:val=&quot;007469AE&quot;/&gt;&lt;wsp:rsid wsp:val=&quot;007833EA&quot;/&gt;&lt;wsp:rsid wsp:val=&quot;008658DB&quot;/&gt;&lt;wsp:rsid wsp:val=&quot;00871513&quot;/&gt;&lt;wsp:rsid wsp:val=&quot;0088271D&quot;/&gt;&lt;wsp:rsid wsp:val=&quot;00925E10&quot;/&gt;&lt;wsp:rsid wsp:val=&quot;009276CC&quot;/&gt;&lt;wsp:rsid wsp:val=&quot;009440B0&quot;/&gt;&lt;wsp:rsid wsp:val=&quot;009A24BC&quot;/&gt;&lt;wsp:rsid wsp:val=&quot;009F0AC8&quot;/&gt;&lt;wsp:rsid wsp:val=&quot;00A664DE&quot;/&gt;&lt;wsp:rsid wsp:val=&quot;00A83516&quot;/&gt;&lt;wsp:rsid wsp:val=&quot;00AB573B&quot;/&gt;&lt;wsp:rsid wsp:val=&quot;00AE1A40&quot;/&gt;&lt;wsp:rsid wsp:val=&quot;00AE4CFF&quot;/&gt;&lt;wsp:rsid wsp:val=&quot;00AE79D4&quot;/&gt;&lt;wsp:rsid wsp:val=&quot;00B227A9&quot;/&gt;&lt;wsp:rsid wsp:val=&quot;00B34289&quot;/&gt;&lt;wsp:rsid wsp:val=&quot;00B37792&quot;/&gt;&lt;wsp:rsid wsp:val=&quot;00B40BC5&quot;/&gt;&lt;wsp:rsid wsp:val=&quot;00B65098&quot;/&gt;&lt;wsp:rsid wsp:val=&quot;00C52107&quot;/&gt;&lt;wsp:rsid wsp:val=&quot;00C6616D&quot;/&gt;&lt;wsp:rsid wsp:val=&quot;00C82608&quot;/&gt;&lt;wsp:rsid wsp:val=&quot;00CA44D0&quot;/&gt;&lt;wsp:rsid wsp:val=&quot;00CB2064&quot;/&gt;&lt;wsp:rsid wsp:val=&quot;00D32A46&quot;/&gt;&lt;wsp:rsid wsp:val=&quot;00D44664&quot;/&gt;&lt;wsp:rsid wsp:val=&quot;00D52BCC&quot;/&gt;&lt;wsp:rsid wsp:val=&quot;00D62F0B&quot;/&gt;&lt;wsp:rsid wsp:val=&quot;00D91FA4&quot;/&gt;&lt;wsp:rsid wsp:val=&quot;00DF1908&quot;/&gt;&lt;wsp:rsid wsp:val=&quot;00E06902&quot;/&gt;&lt;wsp:rsid wsp:val=&quot;00E23060&quot;/&gt;&lt;wsp:rsid wsp:val=&quot;00E557AD&quot;/&gt;&lt;wsp:rsid wsp:val=&quot;00EB16E4&quot;/&gt;&lt;wsp:rsid wsp:val=&quot;00ED6C9C&quot;/&gt;&lt;wsp:rsid wsp:val=&quot;00F07FBF&quot;/&gt;&lt;wsp:rsid wsp:val=&quot;00F91C65&quot;/&gt;&lt;wsp:rsid wsp:val=&quot;00F9718A&quot;/&gt;&lt;/wsp:rsids&gt;&lt;/w:docPr&gt;&lt;w:body&gt;&lt;w:p wsp:rsidR=&quot;00000000&quot; wsp:rsidRDefault=&quot;0049618F&quot;&gt;&lt;m:oMathPara&gt;&lt;m:oMath&gt;&lt;m:r&gt;&lt;w:rPr&gt;&lt;w:rFonts w:ascii=&quot;Cambria Math&quot; w:h-ansi=&quot;Cambria Math&quot; w:cs=&quot;Calibri&quot;/&gt;&lt;wx:font wx:val=&quot;Cambria Math&quot;/&gt;&lt;w:i/&gt;&lt;w:sz w:val=&quot;24&quot;/&gt;&lt;w:sz-cs w:val=&quot;24&quot;/&gt;&lt;w:lang w:val=&quot;EN-US&quot;/&gt;&lt;/w:rPr&gt;&lt;m:t&gt;Î±&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2&lt;/m:t&gt;&lt;/m:r&gt;&lt;m:r&gt;&lt;w:rPr&gt;&lt;w:rFonts w:ascii=&quot;Cambria Math&quot; w:h-ansi=&quot;Cambria Math&quot; w:cs=&quot;Calibri&quot;/&gt;&lt;wx:font wx:val=&quot;Cambria Math&quot;/&gt;&lt;w:i/&gt;&lt;w:sz w:val=&quot;24&quot;/&gt;&lt;w:sz-cs w:val=&quot;24&quot;/&gt;&lt;w:lang w:val=&quot;EN-US&quot;/&gt;&lt;/w:rPr&gt;&lt;m:t&gt;C&lt;/m:t&gt;&lt;/m:r&gt;&lt;m:r&gt;&lt;w:rPr&gt;&lt;w:rFonts w:ascii=&quot;Calibri&quot; w:h-ansi=&quot;Cambria Math&quot; w:cs=&quot;Calibri&quot;/&gt;&lt;wx:font wx:val=&quot;Cambria Math&quot;/&gt;&lt;w:i/&gt;&lt;w:sz w:val=&quot;24&quot;/&gt;&lt;w:sz-cs w:val=&quot;24&quot;/&gt;&lt;w:lang w:val=&quot;EN-US&quot;/&gt;&lt;/w:rPr&gt;&lt;m:t&gt;h&lt;/m:t&gt;&lt;/m:r&gt;&lt;m:r&gt;&lt;w:rPr&gt;&lt;w:rFonts w:ascii=&quot;Cambria Math&quot; w:h-ansi=&quot;Cambria Math&quot; w:cs=&quot;Calibri&quot;/&gt;&lt;wx:font wx:val=&quot;Cambria Math&quot;/&gt;&lt;w:i/&gt;&lt;w:sz w:val=&quot;24&quot;/&gt;&lt;w:sz-cs w:val=&quot;24&quot;/&gt;&lt;w:lang w:val=&quot;EN-US&quot;/&gt;&lt;/w:rPr&gt;&lt;m:t&gt;ild&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3&lt;/m:t&gt;&lt;/m:r&gt;&lt;m:r&gt;&lt;w:rPr&gt;&lt;w:rFonts w:ascii=&quot;Cambria Math&quot; w:h-ansi=&quot;Cambria Math&quot; w:cs=&quot;Calibri&quot;/&gt;&lt;wx:font wx:val=&quot;Cambria Math&quot;/&gt;&lt;w:i/&gt;&lt;w:sz w:val=&quot;24&quot;/&gt;&lt;w:sz-cs w:val=&quot;24&quot;/&gt;&lt;w:lang w:val=&quot;EN-US&quot;/&gt;&lt;/w:rPr&gt;&lt;m:t&gt;education&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µ&lt;/m:t&gt;&lt;/m:r&gt;&lt;m:r&gt;&lt;w:rPr&gt;&lt;w:rFonts w:ascii=&quot;Cambria Math&quot; w:h-ansi=&quot;Calibri&quot; w:cs=&quot;Calibri&quot;/&gt;&lt;wx:font wx:val=&quot;Cambria Math&quot;/&gt;&lt;w:i/&gt;&lt;w:sz w:val=&quot;24&quot;/&gt;&lt;w:sz-cs w:val=&quot;24&quot;/&gt;&lt;w:lang w:val=&quot;EN-US&quot;/&gt;&lt;/w:rPr&gt;&lt;m:t&gt;2&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0" o:title="" chromakey="white"/>
          </v:shape>
        </w:pict>
      </w:r>
      <w:r w:rsidRPr="004353BA">
        <w:rPr>
          <w:rFonts w:ascii="Calibri" w:eastAsia="MS ??" w:hAnsi="Calibri" w:cs="Calibri"/>
          <w:bCs/>
          <w:sz w:val="24"/>
          <w:szCs w:val="24"/>
          <w:lang w:val="en-US"/>
        </w:rPr>
        <w:instrText xml:space="preserve"> </w:instrText>
      </w:r>
      <w:r w:rsidR="000F2203" w:rsidRPr="004353BA">
        <w:rPr>
          <w:rFonts w:ascii="Calibri" w:eastAsia="MS ??" w:hAnsi="Calibri" w:cs="Calibri"/>
          <w:bCs/>
          <w:sz w:val="24"/>
          <w:szCs w:val="24"/>
          <w:lang w:val="en-US"/>
        </w:rPr>
        <w:fldChar w:fldCharType="separate"/>
      </w:r>
      <w:r w:rsidR="00273A74">
        <w:pict>
          <v:shape id="_x0000_i1029" type="#_x0000_t75" style="width:172.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557AD&quot;/&gt;&lt;wsp:rsid wsp:val=&quot;00016631&quot;/&gt;&lt;wsp:rsid wsp:val=&quot;001469F0&quot;/&gt;&lt;wsp:rsid wsp:val=&quot;001A6992&quot;/&gt;&lt;wsp:rsid wsp:val=&quot;0029660D&quot;/&gt;&lt;wsp:rsid wsp:val=&quot;002B10FE&quot;/&gt;&lt;wsp:rsid wsp:val=&quot;0032452D&quot;/&gt;&lt;wsp:rsid wsp:val=&quot;00405FCB&quot;/&gt;&lt;wsp:rsid wsp:val=&quot;00427673&quot;/&gt;&lt;wsp:rsid wsp:val=&quot;00433B03&quot;/&gt;&lt;wsp:rsid wsp:val=&quot;004353BA&quot;/&gt;&lt;wsp:rsid wsp:val=&quot;00444F64&quot;/&gt;&lt;wsp:rsid wsp:val=&quot;0049618F&quot;/&gt;&lt;wsp:rsid wsp:val=&quot;004D3ED5&quot;/&gt;&lt;wsp:rsid wsp:val=&quot;005858A2&quot;/&gt;&lt;wsp:rsid wsp:val=&quot;00644292&quot;/&gt;&lt;wsp:rsid wsp:val=&quot;00655C4A&quot;/&gt;&lt;wsp:rsid wsp:val=&quot;006E6E9F&quot;/&gt;&lt;wsp:rsid wsp:val=&quot;006F5744&quot;/&gt;&lt;wsp:rsid wsp:val=&quot;007469AE&quot;/&gt;&lt;wsp:rsid wsp:val=&quot;007833EA&quot;/&gt;&lt;wsp:rsid wsp:val=&quot;008658DB&quot;/&gt;&lt;wsp:rsid wsp:val=&quot;00871513&quot;/&gt;&lt;wsp:rsid wsp:val=&quot;0088271D&quot;/&gt;&lt;wsp:rsid wsp:val=&quot;00925E10&quot;/&gt;&lt;wsp:rsid wsp:val=&quot;009276CC&quot;/&gt;&lt;wsp:rsid wsp:val=&quot;009440B0&quot;/&gt;&lt;wsp:rsid wsp:val=&quot;009A24BC&quot;/&gt;&lt;wsp:rsid wsp:val=&quot;009F0AC8&quot;/&gt;&lt;wsp:rsid wsp:val=&quot;00A664DE&quot;/&gt;&lt;wsp:rsid wsp:val=&quot;00A83516&quot;/&gt;&lt;wsp:rsid wsp:val=&quot;00AB573B&quot;/&gt;&lt;wsp:rsid wsp:val=&quot;00AE1A40&quot;/&gt;&lt;wsp:rsid wsp:val=&quot;00AE4CFF&quot;/&gt;&lt;wsp:rsid wsp:val=&quot;00AE79D4&quot;/&gt;&lt;wsp:rsid wsp:val=&quot;00B227A9&quot;/&gt;&lt;wsp:rsid wsp:val=&quot;00B34289&quot;/&gt;&lt;wsp:rsid wsp:val=&quot;00B37792&quot;/&gt;&lt;wsp:rsid wsp:val=&quot;00B40BC5&quot;/&gt;&lt;wsp:rsid wsp:val=&quot;00B65098&quot;/&gt;&lt;wsp:rsid wsp:val=&quot;00C52107&quot;/&gt;&lt;wsp:rsid wsp:val=&quot;00C6616D&quot;/&gt;&lt;wsp:rsid wsp:val=&quot;00C82608&quot;/&gt;&lt;wsp:rsid wsp:val=&quot;00CA44D0&quot;/&gt;&lt;wsp:rsid wsp:val=&quot;00CB2064&quot;/&gt;&lt;wsp:rsid wsp:val=&quot;00D32A46&quot;/&gt;&lt;wsp:rsid wsp:val=&quot;00D44664&quot;/&gt;&lt;wsp:rsid wsp:val=&quot;00D52BCC&quot;/&gt;&lt;wsp:rsid wsp:val=&quot;00D62F0B&quot;/&gt;&lt;wsp:rsid wsp:val=&quot;00D91FA4&quot;/&gt;&lt;wsp:rsid wsp:val=&quot;00DF1908&quot;/&gt;&lt;wsp:rsid wsp:val=&quot;00E06902&quot;/&gt;&lt;wsp:rsid wsp:val=&quot;00E23060&quot;/&gt;&lt;wsp:rsid wsp:val=&quot;00E557AD&quot;/&gt;&lt;wsp:rsid wsp:val=&quot;00EB16E4&quot;/&gt;&lt;wsp:rsid wsp:val=&quot;00ED6C9C&quot;/&gt;&lt;wsp:rsid wsp:val=&quot;00F07FBF&quot;/&gt;&lt;wsp:rsid wsp:val=&quot;00F91C65&quot;/&gt;&lt;wsp:rsid wsp:val=&quot;00F9718A&quot;/&gt;&lt;/wsp:rsids&gt;&lt;/w:docPr&gt;&lt;w:body&gt;&lt;w:p wsp:rsidR=&quot;00000000&quot; wsp:rsidRDefault=&quot;0049618F&quot;&gt;&lt;m:oMathPara&gt;&lt;m:oMath&gt;&lt;m:r&gt;&lt;w:rPr&gt;&lt;w:rFonts w:ascii=&quot;Cambria Math&quot; w:h-ansi=&quot;Cambria Math&quot; w:cs=&quot;Calibri&quot;/&gt;&lt;wx:font wx:val=&quot;Cambria Math&quot;/&gt;&lt;w:i/&gt;&lt;w:sz w:val=&quot;24&quot;/&gt;&lt;w:sz-cs w:val=&quot;24&quot;/&gt;&lt;w:lang w:val=&quot;EN-US&quot;/&gt;&lt;/w:rPr&gt;&lt;m:t&gt;Î±&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2&lt;/m:t&gt;&lt;/m:r&gt;&lt;m:r&gt;&lt;w:rPr&gt;&lt;w:rFonts w:ascii=&quot;Cambria Math&quot; w:h-ansi=&quot;Cambria Math&quot; w:cs=&quot;Calibri&quot;/&gt;&lt;wx:font wx:val=&quot;Cambria Math&quot;/&gt;&lt;w:i/&gt;&lt;w:sz w:val=&quot;24&quot;/&gt;&lt;w:sz-cs w:val=&quot;24&quot;/&gt;&lt;w:lang w:val=&quot;EN-US&quot;/&gt;&lt;/w:rPr&gt;&lt;m:t&gt;C&lt;/m:t&gt;&lt;/m:r&gt;&lt;m:r&gt;&lt;w:rPr&gt;&lt;w:rFonts w:ascii=&quot;Calibri&quot; w:h-ansi=&quot;Cambria Math&quot; w:cs=&quot;Calibri&quot;/&gt;&lt;wx:font wx:val=&quot;Cambria Math&quot;/&gt;&lt;w:i/&gt;&lt;w:sz w:val=&quot;24&quot;/&gt;&lt;w:sz-cs w:val=&quot;24&quot;/&gt;&lt;w:lang w:val=&quot;EN-US&quot;/&gt;&lt;/w:rPr&gt;&lt;m:t&gt;h&lt;/m:t&gt;&lt;/m:r&gt;&lt;m:r&gt;&lt;w:rPr&gt;&lt;w:rFonts w:ascii=&quot;Cambria Math&quot; w:h-ansi=&quot;Cambria Math&quot; w:cs=&quot;Calibri&quot;/&gt;&lt;wx:font wx:val=&quot;Cambria Math&quot;/&gt;&lt;w:i/&gt;&lt;w:sz w:val=&quot;24&quot;/&gt;&lt;w:sz-cs w:val=&quot;24&quot;/&gt;&lt;w:lang w:val=&quot;EN-US&quot;/&gt;&lt;/w:rPr&gt;&lt;m:t&gt;ild&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3&lt;/m:t&gt;&lt;/m:r&gt;&lt;m:r&gt;&lt;w:rPr&gt;&lt;w:rFonts w:ascii=&quot;Cambria Math&quot; w:h-ansi=&quot;Cambria Math&quot; w:cs=&quot;Calibri&quot;/&gt;&lt;wx:font wx:val=&quot;Cambria Math&quot;/&gt;&lt;w:i/&gt;&lt;w:sz w:val=&quot;24&quot;/&gt;&lt;w:sz-cs w:val=&quot;24&quot;/&gt;&lt;w:lang w:val=&quot;EN-US&quot;/&gt;&lt;/w:rPr&gt;&lt;m:t&gt;education&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µ&lt;/m:t&gt;&lt;/m:r&gt;&lt;m:r&gt;&lt;w:rPr&gt;&lt;w:rFonts w:ascii=&quot;Cambria Math&quot; w:h-ansi=&quot;Calibri&quot; w:cs=&quot;Calibri&quot;/&gt;&lt;wx:font wx:val=&quot;Cambria Math&quot;/&gt;&lt;w:i/&gt;&lt;w:sz w:val=&quot;24&quot;/&gt;&lt;w:sz-cs w:val=&quot;24&quot;/&gt;&lt;w:lang w:val=&quot;EN-US&quot;/&gt;&lt;/w:rPr&gt;&lt;m:t&gt;2&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0" o:title="" chromakey="white"/>
          </v:shape>
        </w:pict>
      </w:r>
      <w:r w:rsidR="000F2203" w:rsidRPr="004353BA">
        <w:rPr>
          <w:rFonts w:ascii="Calibri" w:eastAsia="MS ??" w:hAnsi="Calibri" w:cs="Calibri"/>
          <w:bCs/>
          <w:sz w:val="24"/>
          <w:szCs w:val="24"/>
          <w:lang w:val="en-US"/>
        </w:rPr>
        <w:fldChar w:fldCharType="end"/>
      </w:r>
      <w:r w:rsidRPr="00925E10">
        <w:rPr>
          <w:rFonts w:ascii="Calibri" w:eastAsia="MS ??" w:hAnsi="Calibri" w:cs="Calibri"/>
          <w:bCs/>
          <w:sz w:val="24"/>
          <w:szCs w:val="24"/>
          <w:lang w:val="en-US"/>
        </w:rPr>
        <w:t xml:space="preserve">     (model 2) </w:t>
      </w:r>
    </w:p>
    <w:p w:rsidR="00D814D6" w:rsidRPr="00925E10" w:rsidRDefault="00D814D6">
      <w:pPr>
        <w:widowControl w:val="0"/>
        <w:autoSpaceDE w:val="0"/>
        <w:autoSpaceDN w:val="0"/>
        <w:adjustRightInd w:val="0"/>
        <w:spacing w:after="340" w:line="480" w:lineRule="auto"/>
        <w:jc w:val="both"/>
        <w:rPr>
          <w:rFonts w:ascii="Calibri" w:eastAsia="MS ??" w:hAnsi="Calibri" w:cs="Calibri"/>
          <w:bCs/>
          <w:sz w:val="24"/>
          <w:szCs w:val="24"/>
          <w:lang w:val="en-US"/>
        </w:rPr>
      </w:pPr>
      <w:r w:rsidRPr="00925E10">
        <w:rPr>
          <w:rFonts w:ascii="Calibri" w:hAnsi="Calibri" w:cs="Calibri"/>
          <w:bCs/>
          <w:sz w:val="24"/>
          <w:szCs w:val="24"/>
          <w:lang w:val="en-US"/>
        </w:rPr>
        <w:lastRenderedPageBreak/>
        <w:t>Y=</w:t>
      </w:r>
      <w:r w:rsidR="000F2203" w:rsidRPr="004353BA">
        <w:rPr>
          <w:rFonts w:ascii="Calibri" w:eastAsia="MS ??" w:hAnsi="Calibri" w:cs="Calibri"/>
          <w:bCs/>
          <w:sz w:val="24"/>
          <w:szCs w:val="24"/>
          <w:lang w:val="en-US"/>
        </w:rPr>
        <w:fldChar w:fldCharType="begin"/>
      </w:r>
      <w:r w:rsidRPr="004353BA">
        <w:rPr>
          <w:rFonts w:ascii="Calibri" w:eastAsia="MS ??" w:hAnsi="Calibri" w:cs="Calibri"/>
          <w:bCs/>
          <w:sz w:val="24"/>
          <w:szCs w:val="24"/>
          <w:lang w:val="en-US"/>
        </w:rPr>
        <w:instrText xml:space="preserve"> QUOTE </w:instrText>
      </w:r>
      <w:r w:rsidR="00273A74">
        <w:pict>
          <v:shape id="_x0000_i1030" type="#_x0000_t75" style="width:241.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557AD&quot;/&gt;&lt;wsp:rsid wsp:val=&quot;00016631&quot;/&gt;&lt;wsp:rsid wsp:val=&quot;001469F0&quot;/&gt;&lt;wsp:rsid wsp:val=&quot;001A6992&quot;/&gt;&lt;wsp:rsid wsp:val=&quot;0029660D&quot;/&gt;&lt;wsp:rsid wsp:val=&quot;002B10FE&quot;/&gt;&lt;wsp:rsid wsp:val=&quot;0032452D&quot;/&gt;&lt;wsp:rsid wsp:val=&quot;00405FCB&quot;/&gt;&lt;wsp:rsid wsp:val=&quot;00427673&quot;/&gt;&lt;wsp:rsid wsp:val=&quot;00433B03&quot;/&gt;&lt;wsp:rsid wsp:val=&quot;004353BA&quot;/&gt;&lt;wsp:rsid wsp:val=&quot;00444F64&quot;/&gt;&lt;wsp:rsid wsp:val=&quot;004D3ED5&quot;/&gt;&lt;wsp:rsid wsp:val=&quot;005858A2&quot;/&gt;&lt;wsp:rsid wsp:val=&quot;00644292&quot;/&gt;&lt;wsp:rsid wsp:val=&quot;00655C4A&quot;/&gt;&lt;wsp:rsid wsp:val=&quot;006E6E9F&quot;/&gt;&lt;wsp:rsid wsp:val=&quot;006F5744&quot;/&gt;&lt;wsp:rsid wsp:val=&quot;007469AE&quot;/&gt;&lt;wsp:rsid wsp:val=&quot;007833EA&quot;/&gt;&lt;wsp:rsid wsp:val=&quot;008658DB&quot;/&gt;&lt;wsp:rsid wsp:val=&quot;00871513&quot;/&gt;&lt;wsp:rsid wsp:val=&quot;0088271D&quot;/&gt;&lt;wsp:rsid wsp:val=&quot;00925E10&quot;/&gt;&lt;wsp:rsid wsp:val=&quot;009276CC&quot;/&gt;&lt;wsp:rsid wsp:val=&quot;009440B0&quot;/&gt;&lt;wsp:rsid wsp:val=&quot;009A24BC&quot;/&gt;&lt;wsp:rsid wsp:val=&quot;009F0AC8&quot;/&gt;&lt;wsp:rsid wsp:val=&quot;00A664DE&quot;/&gt;&lt;wsp:rsid wsp:val=&quot;00A83516&quot;/&gt;&lt;wsp:rsid wsp:val=&quot;00AB573B&quot;/&gt;&lt;wsp:rsid wsp:val=&quot;00AE1A40&quot;/&gt;&lt;wsp:rsid wsp:val=&quot;00AE4CFF&quot;/&gt;&lt;wsp:rsid wsp:val=&quot;00AE79D4&quot;/&gt;&lt;wsp:rsid wsp:val=&quot;00B227A9&quot;/&gt;&lt;wsp:rsid wsp:val=&quot;00B34289&quot;/&gt;&lt;wsp:rsid wsp:val=&quot;00B37792&quot;/&gt;&lt;wsp:rsid wsp:val=&quot;00B40BC5&quot;/&gt;&lt;wsp:rsid wsp:val=&quot;00B65098&quot;/&gt;&lt;wsp:rsid wsp:val=&quot;00C52107&quot;/&gt;&lt;wsp:rsid wsp:val=&quot;00C6616D&quot;/&gt;&lt;wsp:rsid wsp:val=&quot;00C82608&quot;/&gt;&lt;wsp:rsid wsp:val=&quot;00CA44D0&quot;/&gt;&lt;wsp:rsid wsp:val=&quot;00CB2064&quot;/&gt;&lt;wsp:rsid wsp:val=&quot;00D32A46&quot;/&gt;&lt;wsp:rsid wsp:val=&quot;00D44664&quot;/&gt;&lt;wsp:rsid wsp:val=&quot;00D52BCC&quot;/&gt;&lt;wsp:rsid wsp:val=&quot;00D62F0B&quot;/&gt;&lt;wsp:rsid wsp:val=&quot;00D91FA4&quot;/&gt;&lt;wsp:rsid wsp:val=&quot;00DF1908&quot;/&gt;&lt;wsp:rsid wsp:val=&quot;00E0399C&quot;/&gt;&lt;wsp:rsid wsp:val=&quot;00E06902&quot;/&gt;&lt;wsp:rsid wsp:val=&quot;00E23060&quot;/&gt;&lt;wsp:rsid wsp:val=&quot;00E557AD&quot;/&gt;&lt;wsp:rsid wsp:val=&quot;00EB16E4&quot;/&gt;&lt;wsp:rsid wsp:val=&quot;00ED6C9C&quot;/&gt;&lt;wsp:rsid wsp:val=&quot;00F07FBF&quot;/&gt;&lt;wsp:rsid wsp:val=&quot;00F91C65&quot;/&gt;&lt;wsp:rsid wsp:val=&quot;00F9718A&quot;/&gt;&lt;/wsp:rsids&gt;&lt;/w:docPr&gt;&lt;w:body&gt;&lt;w:p wsp:rsidR=&quot;00000000&quot; wsp:rsidRDefault=&quot;00E0399C&quot;&gt;&lt;m:oMathPara&gt;&lt;m:oMath&gt;&lt;m:r&gt;&lt;w:rPr&gt;&lt;w:rFonts w:ascii=&quot;Cambria Math&quot; w:h-ansi=&quot;Cambria Math&quot; w:cs=&quot;Calibri&quot;/&gt;&lt;wx:font wx:val=&quot;Cambria Math&quot;/&gt;&lt;w:i/&gt;&lt;w:sz w:val=&quot;24&quot;/&gt;&lt;w:sz-cs w:val=&quot;24&quot;/&gt;&lt;w:lang w:val=&quot;EN-US&quot;/&gt;&lt;/w:rPr&gt;&lt;m:t&gt;Î±&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4&lt;/m:t&gt;&lt;/m:r&gt;&lt;m:r&gt;&lt;w:rPr&gt;&lt;w:rFonts w:ascii=&quot;Cambria Math&quot; w:h-ansi=&quot;Cambria Math&quot; w:cs=&quot;Calibri&quot;/&gt;&lt;wx:font wx:val=&quot;Cambria Math&quot;/&gt;&lt;w:i/&gt;&lt;w:sz w:val=&quot;24&quot;/&gt;&lt;w:sz-cs w:val=&quot;24&quot;/&gt;&lt;w:lang w:val=&quot;EN-US&quot;/&gt;&lt;/w:rPr&gt;&lt;m:t&gt;C&lt;/m:t&gt;&lt;/m:r&gt;&lt;m:r&gt;&lt;w:rPr&gt;&lt;w:rFonts w:ascii=&quot;Calibri&quot; w:h-ansi=&quot;Cambria Math&quot; w:cs=&quot;Calibri&quot;/&gt;&lt;wx:font wx:val=&quot;Cambria Math&quot;/&gt;&lt;w:i/&gt;&lt;w:sz w:val=&quot;24&quot;/&gt;&lt;w:sz-cs w:val=&quot;24&quot;/&gt;&lt;w:lang w:val=&quot;EN-US&quot;/&gt;&lt;/w:rPr&gt;&lt;m:t&gt;h&lt;/m:t&gt;&lt;/m:r&gt;&lt;m:r&gt;&lt;w:rPr&gt;&lt;w:rFonts w:ascii=&quot;Cambria Math&quot; w:h-ansi=&quot;Cambria Math&quot; w:cs=&quot;Calibri&quot;/&gt;&lt;wx:font wx:val=&quot;Cambria Math&quot;/&gt;&lt;w:i/&gt;&lt;w:sz w:val=&quot;24&quot;/&gt;&lt;w:sz-cs w:val=&quot;24&quot;/&gt;&lt;w:lang w:val=&quot;EN-US&quot;/&gt;&lt;/w:rPr&gt;&lt;m:t&gt;ild&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5&lt;/m:t&gt;&lt;/m:r&gt;&lt;m:r&gt;&lt;w:rPr&gt;&lt;w:rFonts w:ascii=&quot;Cambria Math&quot; w:h-ansi=&quot;Cambria Math&quot; w:cs=&quot;Calibri&quot;/&gt;&lt;wx:font wx:val=&quot;Cambria Math&quot;/&gt;&lt;w:i/&gt;&lt;w:sz w:val=&quot;24&quot;/&gt;&lt;w:sz-cs w:val=&quot;24&quot;/&gt;&lt;w:lang w:val=&quot;EN-US&quot;/&gt;&lt;/w:rPr&gt;&lt;m:t&gt;education&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6&lt;/m:t&gt;&lt;/m:r&gt;&lt;m:r&gt;&lt;w:rPr&gt;&lt;w:rFonts w:ascii=&quot;Cambria Math&quot; w:h-ansi=&quot;Cambria Math&quot; w:cs=&quot;Calibri&quot;/&gt;&lt;wx:font wx:val=&quot;Cambria Math&quot;/&gt;&lt;w:i/&gt;&lt;w:sz w:val=&quot;24&quot;/&gt;&lt;w:sz-cs w:val=&quot;24&quot;/&gt;&lt;w:lang w:val=&quot;EN-US&quot;/&gt;&lt;/w:rPr&gt;&lt;m:t&gt;marital&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µ&lt;/m:t&gt;&lt;/m:r&gt;&lt;m:r&gt;&lt;w:rPr&gt;&lt;w:rFonts w:ascii=&quot;Cambria Math&quot; w:h-ansi=&quot;Calibri&quot; w:cs=&quot;Calibri&quot;/&gt;&lt;wx:font wx:val=&quot;Cambria Math&quot;/&gt;&lt;w:i/&gt;&lt;w:sz w:val=&quot;24&quot;/&gt;&lt;w:sz-cs w:val=&quot;24&quot;/&gt;&lt;w:lang w:val=&quot;EN-US&quot;/&gt;&lt;/w:rPr&gt;&lt;m:t&gt;3&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1" o:title="" chromakey="white"/>
          </v:shape>
        </w:pict>
      </w:r>
      <w:r w:rsidRPr="004353BA">
        <w:rPr>
          <w:rFonts w:ascii="Calibri" w:eastAsia="MS ??" w:hAnsi="Calibri" w:cs="Calibri"/>
          <w:bCs/>
          <w:sz w:val="24"/>
          <w:szCs w:val="24"/>
          <w:lang w:val="en-US"/>
        </w:rPr>
        <w:instrText xml:space="preserve"> </w:instrText>
      </w:r>
      <w:r w:rsidR="000F2203" w:rsidRPr="004353BA">
        <w:rPr>
          <w:rFonts w:ascii="Calibri" w:eastAsia="MS ??" w:hAnsi="Calibri" w:cs="Calibri"/>
          <w:bCs/>
          <w:sz w:val="24"/>
          <w:szCs w:val="24"/>
          <w:lang w:val="en-US"/>
        </w:rPr>
        <w:fldChar w:fldCharType="separate"/>
      </w:r>
      <w:r w:rsidR="00273A74">
        <w:pict>
          <v:shape id="_x0000_i1031" type="#_x0000_t75" style="width:241.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557AD&quot;/&gt;&lt;wsp:rsid wsp:val=&quot;00016631&quot;/&gt;&lt;wsp:rsid wsp:val=&quot;001469F0&quot;/&gt;&lt;wsp:rsid wsp:val=&quot;001A6992&quot;/&gt;&lt;wsp:rsid wsp:val=&quot;0029660D&quot;/&gt;&lt;wsp:rsid wsp:val=&quot;002B10FE&quot;/&gt;&lt;wsp:rsid wsp:val=&quot;0032452D&quot;/&gt;&lt;wsp:rsid wsp:val=&quot;00405FCB&quot;/&gt;&lt;wsp:rsid wsp:val=&quot;00427673&quot;/&gt;&lt;wsp:rsid wsp:val=&quot;00433B03&quot;/&gt;&lt;wsp:rsid wsp:val=&quot;004353BA&quot;/&gt;&lt;wsp:rsid wsp:val=&quot;00444F64&quot;/&gt;&lt;wsp:rsid wsp:val=&quot;004D3ED5&quot;/&gt;&lt;wsp:rsid wsp:val=&quot;005858A2&quot;/&gt;&lt;wsp:rsid wsp:val=&quot;00644292&quot;/&gt;&lt;wsp:rsid wsp:val=&quot;00655C4A&quot;/&gt;&lt;wsp:rsid wsp:val=&quot;006E6E9F&quot;/&gt;&lt;wsp:rsid wsp:val=&quot;006F5744&quot;/&gt;&lt;wsp:rsid wsp:val=&quot;007469AE&quot;/&gt;&lt;wsp:rsid wsp:val=&quot;007833EA&quot;/&gt;&lt;wsp:rsid wsp:val=&quot;008658DB&quot;/&gt;&lt;wsp:rsid wsp:val=&quot;00871513&quot;/&gt;&lt;wsp:rsid wsp:val=&quot;0088271D&quot;/&gt;&lt;wsp:rsid wsp:val=&quot;00925E10&quot;/&gt;&lt;wsp:rsid wsp:val=&quot;009276CC&quot;/&gt;&lt;wsp:rsid wsp:val=&quot;009440B0&quot;/&gt;&lt;wsp:rsid wsp:val=&quot;009A24BC&quot;/&gt;&lt;wsp:rsid wsp:val=&quot;009F0AC8&quot;/&gt;&lt;wsp:rsid wsp:val=&quot;00A664DE&quot;/&gt;&lt;wsp:rsid wsp:val=&quot;00A83516&quot;/&gt;&lt;wsp:rsid wsp:val=&quot;00AB573B&quot;/&gt;&lt;wsp:rsid wsp:val=&quot;00AE1A40&quot;/&gt;&lt;wsp:rsid wsp:val=&quot;00AE4CFF&quot;/&gt;&lt;wsp:rsid wsp:val=&quot;00AE79D4&quot;/&gt;&lt;wsp:rsid wsp:val=&quot;00B227A9&quot;/&gt;&lt;wsp:rsid wsp:val=&quot;00B34289&quot;/&gt;&lt;wsp:rsid wsp:val=&quot;00B37792&quot;/&gt;&lt;wsp:rsid wsp:val=&quot;00B40BC5&quot;/&gt;&lt;wsp:rsid wsp:val=&quot;00B65098&quot;/&gt;&lt;wsp:rsid wsp:val=&quot;00C52107&quot;/&gt;&lt;wsp:rsid wsp:val=&quot;00C6616D&quot;/&gt;&lt;wsp:rsid wsp:val=&quot;00C82608&quot;/&gt;&lt;wsp:rsid wsp:val=&quot;00CA44D0&quot;/&gt;&lt;wsp:rsid wsp:val=&quot;00CB2064&quot;/&gt;&lt;wsp:rsid wsp:val=&quot;00D32A46&quot;/&gt;&lt;wsp:rsid wsp:val=&quot;00D44664&quot;/&gt;&lt;wsp:rsid wsp:val=&quot;00D52BCC&quot;/&gt;&lt;wsp:rsid wsp:val=&quot;00D62F0B&quot;/&gt;&lt;wsp:rsid wsp:val=&quot;00D91FA4&quot;/&gt;&lt;wsp:rsid wsp:val=&quot;00DF1908&quot;/&gt;&lt;wsp:rsid wsp:val=&quot;00E0399C&quot;/&gt;&lt;wsp:rsid wsp:val=&quot;00E06902&quot;/&gt;&lt;wsp:rsid wsp:val=&quot;00E23060&quot;/&gt;&lt;wsp:rsid wsp:val=&quot;00E557AD&quot;/&gt;&lt;wsp:rsid wsp:val=&quot;00EB16E4&quot;/&gt;&lt;wsp:rsid wsp:val=&quot;00ED6C9C&quot;/&gt;&lt;wsp:rsid wsp:val=&quot;00F07FBF&quot;/&gt;&lt;wsp:rsid wsp:val=&quot;00F91C65&quot;/&gt;&lt;wsp:rsid wsp:val=&quot;00F9718A&quot;/&gt;&lt;/wsp:rsids&gt;&lt;/w:docPr&gt;&lt;w:body&gt;&lt;w:p wsp:rsidR=&quot;00000000&quot; wsp:rsidRDefault=&quot;00E0399C&quot;&gt;&lt;m:oMathPara&gt;&lt;m:oMath&gt;&lt;m:r&gt;&lt;w:rPr&gt;&lt;w:rFonts w:ascii=&quot;Cambria Math&quot; w:h-ansi=&quot;Cambria Math&quot; w:cs=&quot;Calibri&quot;/&gt;&lt;wx:font wx:val=&quot;Cambria Math&quot;/&gt;&lt;w:i/&gt;&lt;w:sz w:val=&quot;24&quot;/&gt;&lt;w:sz-cs w:val=&quot;24&quot;/&gt;&lt;w:lang w:val=&quot;EN-US&quot;/&gt;&lt;/w:rPr&gt;&lt;m:t&gt;Î±&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4&lt;/m:t&gt;&lt;/m:r&gt;&lt;m:r&gt;&lt;w:rPr&gt;&lt;w:rFonts w:ascii=&quot;Cambria Math&quot; w:h-ansi=&quot;Cambria Math&quot; w:cs=&quot;Calibri&quot;/&gt;&lt;wx:font wx:val=&quot;Cambria Math&quot;/&gt;&lt;w:i/&gt;&lt;w:sz w:val=&quot;24&quot;/&gt;&lt;w:sz-cs w:val=&quot;24&quot;/&gt;&lt;w:lang w:val=&quot;EN-US&quot;/&gt;&lt;/w:rPr&gt;&lt;m:t&gt;C&lt;/m:t&gt;&lt;/m:r&gt;&lt;m:r&gt;&lt;w:rPr&gt;&lt;w:rFonts w:ascii=&quot;Calibri&quot; w:h-ansi=&quot;Cambria Math&quot; w:cs=&quot;Calibri&quot;/&gt;&lt;wx:font wx:val=&quot;Cambria Math&quot;/&gt;&lt;w:i/&gt;&lt;w:sz w:val=&quot;24&quot;/&gt;&lt;w:sz-cs w:val=&quot;24&quot;/&gt;&lt;w:lang w:val=&quot;EN-US&quot;/&gt;&lt;/w:rPr&gt;&lt;m:t&gt;h&lt;/m:t&gt;&lt;/m:r&gt;&lt;m:r&gt;&lt;w:rPr&gt;&lt;w:rFonts w:ascii=&quot;Cambria Math&quot; w:h-ansi=&quot;Cambria Math&quot; w:cs=&quot;Calibri&quot;/&gt;&lt;wx:font wx:val=&quot;Cambria Math&quot;/&gt;&lt;w:i/&gt;&lt;w:sz w:val=&quot;24&quot;/&gt;&lt;w:sz-cs w:val=&quot;24&quot;/&gt;&lt;w:lang w:val=&quot;EN-US&quot;/&gt;&lt;/w:rPr&gt;&lt;m:t&gt;ild&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5&lt;/m:t&gt;&lt;/m:r&gt;&lt;m:r&gt;&lt;w:rPr&gt;&lt;w:rFonts w:ascii=&quot;Cambria Math&quot; w:h-ansi=&quot;Cambria Math&quot; w:cs=&quot;Calibri&quot;/&gt;&lt;wx:font wx:val=&quot;Cambria Math&quot;/&gt;&lt;w:i/&gt;&lt;w:sz w:val=&quot;24&quot;/&gt;&lt;w:sz-cs w:val=&quot;24&quot;/&gt;&lt;w:lang w:val=&quot;EN-US&quot;/&gt;&lt;/w:rPr&gt;&lt;m:t&gt;education&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6&lt;/m:t&gt;&lt;/m:r&gt;&lt;m:r&gt;&lt;w:rPr&gt;&lt;w:rFonts w:ascii=&quot;Cambria Math&quot; w:h-ansi=&quot;Cambria Math&quot; w:cs=&quot;Calibri&quot;/&gt;&lt;wx:font wx:val=&quot;Cambria Math&quot;/&gt;&lt;w:i/&gt;&lt;w:sz w:val=&quot;24&quot;/&gt;&lt;w:sz-cs w:val=&quot;24&quot;/&gt;&lt;w:lang w:val=&quot;EN-US&quot;/&gt;&lt;/w:rPr&gt;&lt;m:t&gt;marital&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µ&lt;/m:t&gt;&lt;/m:r&gt;&lt;m:r&gt;&lt;w:rPr&gt;&lt;w:rFonts w:ascii=&quot;Cambria Math&quot; w:h-ansi=&quot;Calibri&quot; w:cs=&quot;Calibri&quot;/&gt;&lt;wx:font wx:val=&quot;Cambria Math&quot;/&gt;&lt;w:i/&gt;&lt;w:sz w:val=&quot;24&quot;/&gt;&lt;w:sz-cs w:val=&quot;24&quot;/&gt;&lt;w:lang w:val=&quot;EN-US&quot;/&gt;&lt;/w:rPr&gt;&lt;m:t&gt;3&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1" o:title="" chromakey="white"/>
          </v:shape>
        </w:pict>
      </w:r>
      <w:r w:rsidR="000F2203" w:rsidRPr="004353BA">
        <w:rPr>
          <w:rFonts w:ascii="Calibri" w:eastAsia="MS ??" w:hAnsi="Calibri" w:cs="Calibri"/>
          <w:bCs/>
          <w:sz w:val="24"/>
          <w:szCs w:val="24"/>
          <w:lang w:val="en-US"/>
        </w:rPr>
        <w:fldChar w:fldCharType="end"/>
      </w:r>
      <w:r w:rsidRPr="00925E10">
        <w:rPr>
          <w:rFonts w:ascii="Calibri" w:eastAsia="MS ??" w:hAnsi="Calibri" w:cs="Calibri"/>
          <w:bCs/>
          <w:sz w:val="24"/>
          <w:szCs w:val="24"/>
          <w:lang w:val="en-US"/>
        </w:rPr>
        <w:t xml:space="preserve">      (model 3) </w:t>
      </w:r>
    </w:p>
    <w:p w:rsidR="00D814D6" w:rsidRPr="00925E10" w:rsidRDefault="00D814D6">
      <w:pPr>
        <w:widowControl w:val="0"/>
        <w:autoSpaceDE w:val="0"/>
        <w:autoSpaceDN w:val="0"/>
        <w:adjustRightInd w:val="0"/>
        <w:spacing w:after="340" w:line="480" w:lineRule="auto"/>
        <w:jc w:val="both"/>
        <w:rPr>
          <w:rFonts w:ascii="Calibri" w:eastAsia="MS ??" w:hAnsi="Calibri" w:cs="Calibri"/>
          <w:bCs/>
          <w:sz w:val="24"/>
          <w:szCs w:val="24"/>
          <w:lang w:val="en-US"/>
        </w:rPr>
      </w:pPr>
      <w:r w:rsidRPr="00925E10">
        <w:rPr>
          <w:rFonts w:ascii="Calibri" w:hAnsi="Calibri" w:cs="Calibri"/>
          <w:bCs/>
          <w:sz w:val="24"/>
          <w:szCs w:val="24"/>
          <w:lang w:val="en-US"/>
        </w:rPr>
        <w:t>Y=</w:t>
      </w:r>
      <w:r w:rsidR="000F2203" w:rsidRPr="004353BA">
        <w:rPr>
          <w:rFonts w:ascii="Calibri" w:eastAsia="MS ??" w:hAnsi="Calibri" w:cs="Calibri"/>
          <w:bCs/>
          <w:sz w:val="24"/>
          <w:szCs w:val="24"/>
          <w:lang w:val="en-US"/>
        </w:rPr>
        <w:fldChar w:fldCharType="begin"/>
      </w:r>
      <w:r w:rsidRPr="004353BA">
        <w:rPr>
          <w:rFonts w:ascii="Calibri" w:eastAsia="MS ??" w:hAnsi="Calibri" w:cs="Calibri"/>
          <w:bCs/>
          <w:sz w:val="24"/>
          <w:szCs w:val="24"/>
          <w:lang w:val="en-US"/>
        </w:rPr>
        <w:instrText xml:space="preserve"> QUOTE </w:instrText>
      </w:r>
      <w:r w:rsidR="00273A74">
        <w:pict>
          <v:shape id="_x0000_i1032" type="#_x0000_t75" style="width:309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557AD&quot;/&gt;&lt;wsp:rsid wsp:val=&quot;00016631&quot;/&gt;&lt;wsp:rsid wsp:val=&quot;001469F0&quot;/&gt;&lt;wsp:rsid wsp:val=&quot;001A6992&quot;/&gt;&lt;wsp:rsid wsp:val=&quot;001D336D&quot;/&gt;&lt;wsp:rsid wsp:val=&quot;0029660D&quot;/&gt;&lt;wsp:rsid wsp:val=&quot;002B10FE&quot;/&gt;&lt;wsp:rsid wsp:val=&quot;0032452D&quot;/&gt;&lt;wsp:rsid wsp:val=&quot;00405FCB&quot;/&gt;&lt;wsp:rsid wsp:val=&quot;00427673&quot;/&gt;&lt;wsp:rsid wsp:val=&quot;00433B03&quot;/&gt;&lt;wsp:rsid wsp:val=&quot;004353BA&quot;/&gt;&lt;wsp:rsid wsp:val=&quot;00444F64&quot;/&gt;&lt;wsp:rsid wsp:val=&quot;004D3ED5&quot;/&gt;&lt;wsp:rsid wsp:val=&quot;005858A2&quot;/&gt;&lt;wsp:rsid wsp:val=&quot;00644292&quot;/&gt;&lt;wsp:rsid wsp:val=&quot;00655C4A&quot;/&gt;&lt;wsp:rsid wsp:val=&quot;006E6E9F&quot;/&gt;&lt;wsp:rsid wsp:val=&quot;006F5744&quot;/&gt;&lt;wsp:rsid wsp:val=&quot;007469AE&quot;/&gt;&lt;wsp:rsid wsp:val=&quot;007833EA&quot;/&gt;&lt;wsp:rsid wsp:val=&quot;008658DB&quot;/&gt;&lt;wsp:rsid wsp:val=&quot;00871513&quot;/&gt;&lt;wsp:rsid wsp:val=&quot;0088271D&quot;/&gt;&lt;wsp:rsid wsp:val=&quot;00925E10&quot;/&gt;&lt;wsp:rsid wsp:val=&quot;009276CC&quot;/&gt;&lt;wsp:rsid wsp:val=&quot;009440B0&quot;/&gt;&lt;wsp:rsid wsp:val=&quot;009A24BC&quot;/&gt;&lt;wsp:rsid wsp:val=&quot;009F0AC8&quot;/&gt;&lt;wsp:rsid wsp:val=&quot;00A664DE&quot;/&gt;&lt;wsp:rsid wsp:val=&quot;00A83516&quot;/&gt;&lt;wsp:rsid wsp:val=&quot;00AB573B&quot;/&gt;&lt;wsp:rsid wsp:val=&quot;00AE1A40&quot;/&gt;&lt;wsp:rsid wsp:val=&quot;00AE4CFF&quot;/&gt;&lt;wsp:rsid wsp:val=&quot;00AE79D4&quot;/&gt;&lt;wsp:rsid wsp:val=&quot;00B227A9&quot;/&gt;&lt;wsp:rsid wsp:val=&quot;00B34289&quot;/&gt;&lt;wsp:rsid wsp:val=&quot;00B37792&quot;/&gt;&lt;wsp:rsid wsp:val=&quot;00B40BC5&quot;/&gt;&lt;wsp:rsid wsp:val=&quot;00B65098&quot;/&gt;&lt;wsp:rsid wsp:val=&quot;00C52107&quot;/&gt;&lt;wsp:rsid wsp:val=&quot;00C6616D&quot;/&gt;&lt;wsp:rsid wsp:val=&quot;00C82608&quot;/&gt;&lt;wsp:rsid wsp:val=&quot;00CA44D0&quot;/&gt;&lt;wsp:rsid wsp:val=&quot;00CB2064&quot;/&gt;&lt;wsp:rsid wsp:val=&quot;00D32A46&quot;/&gt;&lt;wsp:rsid wsp:val=&quot;00D44664&quot;/&gt;&lt;wsp:rsid wsp:val=&quot;00D52BCC&quot;/&gt;&lt;wsp:rsid wsp:val=&quot;00D62F0B&quot;/&gt;&lt;wsp:rsid wsp:val=&quot;00D91FA4&quot;/&gt;&lt;wsp:rsid wsp:val=&quot;00DF1908&quot;/&gt;&lt;wsp:rsid wsp:val=&quot;00E06902&quot;/&gt;&lt;wsp:rsid wsp:val=&quot;00E23060&quot;/&gt;&lt;wsp:rsid wsp:val=&quot;00E557AD&quot;/&gt;&lt;wsp:rsid wsp:val=&quot;00EB16E4&quot;/&gt;&lt;wsp:rsid wsp:val=&quot;00ED6C9C&quot;/&gt;&lt;wsp:rsid wsp:val=&quot;00F07FBF&quot;/&gt;&lt;wsp:rsid wsp:val=&quot;00F91C65&quot;/&gt;&lt;wsp:rsid wsp:val=&quot;00F9718A&quot;/&gt;&lt;/wsp:rsids&gt;&lt;/w:docPr&gt;&lt;w:body&gt;&lt;w:p wsp:rsidR=&quot;00000000&quot; wsp:rsidRDefault=&quot;001D336D&quot;&gt;&lt;m:oMathPara&gt;&lt;m:oMath&gt;&lt;m:r&gt;&lt;w:rPr&gt;&lt;w:rFonts w:ascii=&quot;Cambria Math&quot; w:h-ansi=&quot;Cambria Math&quot; w:cs=&quot;Calibri&quot;/&gt;&lt;wx:font wx:val=&quot;Cambria Math&quot;/&gt;&lt;w:i/&gt;&lt;w:sz w:val=&quot;24&quot;/&gt;&lt;w:sz-cs w:val=&quot;24&quot;/&gt;&lt;w:lang w:val=&quot;EN-US&quot;/&gt;&lt;/w:rPr&gt;&lt;m:t&gt;Î±&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7&lt;/m:t&gt;&lt;/m:r&gt;&lt;m:r&gt;&lt;w:rPr&gt;&lt;w:rFonts w:ascii=&quot;Calibri&quot; w:h-ansi=&quot;Cambria Math&quot; w:cs=&quot;Calibri&quot;/&gt;&lt;wx:font wx:val=&quot;Cambria Math&quot;/&gt;&lt;w:i/&gt;&lt;w:sz w:val=&quot;24&quot;/&gt;&lt;w:sz-cs w:val=&quot;24&quot;/&gt;&lt;w:lang w:val=&quot;EN-US&quot;/&gt;&lt;/w:rPr&gt;&lt;m:t&gt;h&lt;/m:t&gt;&lt;/m:r&gt;&lt;m:r&gt;&lt;w:rPr&gt;&lt;w:rFonts w:ascii=&quot;Cambria Math&quot; w:h-ansi=&quot;Cambria Math&quot; w:cs=&quot;Calibri&quot;/&gt;&lt;wx:font wx:val=&quot;Cambria Math&quot;/&gt;&lt;w:i/&gt;&lt;w:sz w:val=&quot;24&quot;/&gt;&lt;w:sz-cs w:val=&quot;24&quot;/&gt;&lt;w:lang w:val=&quot;EN-US&quot;/&gt;&lt;/w:rPr&gt;&lt;m:t&gt;ild&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8&lt;/m:t&gt;&lt;/m:r&gt;&lt;m:r&gt;&lt;w:rPr&gt;&lt;w:rFonts w:ascii=&quot;Cambria Math&quot; w:h-ansi=&quot;Cambria Math&quot; w:cs=&quot;Calibri&quot;/&gt;&lt;wx:font wx:val=&quot;Cambria Math&quot;/&gt;&lt;w:i/&gt;&lt;w:sz w:val=&quot;24&quot;/&gt;&lt;w:sz-cs w:val=&quot;24&quot;/&gt;&lt;w:lang w:val=&quot;EN-US&quot;/&gt;&lt;/w:rPr&gt;&lt;m:t&gt;education&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9&lt;/m:t&gt;&lt;/m:r&gt;&lt;m:r&gt;&lt;w:rPr&gt;&lt;w:rFonts w:ascii=&quot;Cambria Math&quot; w:h-ansi=&quot;Cambria Math&quot; w:cs=&quot;Calibri&quot;/&gt;&lt;wx:font wx:val=&quot;Cambria Math&quot;/&gt;&lt;w:i/&gt;&lt;w:sz w:val=&quot;24&quot;/&gt;&lt;w:sz-cs w:val=&quot;24&quot;/&gt;&lt;w:lang w:val=&quot;EN-US&quot;/&gt;&lt;/w:rPr&gt;&lt;m:t&gt;marital&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10&lt;/m:t&gt;&lt;/m:r&gt;&lt;m:r&gt;&lt;w:rPr&gt;&lt;w:rFonts w:ascii=&quot;Cambria Math&quot; w:h-ansi=&quot;Cambria Math&quot; w:cs=&quot;Calibri&quot;/&gt;&lt;wx:font wx:val=&quot;Cambria Math&quot;/&gt;&lt;w:i/&gt;&lt;w:sz w:val=&quot;24&quot;/&gt;&lt;w:sz-cs w:val=&quot;24&quot;/&gt;&lt;w:lang w:val=&quot;EN-US&quot;/&gt;&lt;/w:rPr&gt;&lt;m:t&gt;latelife&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µ&lt;/m:t&gt;&lt;/m:r&gt;&lt;m:r&gt;&lt;w:rPr&gt;&lt;w:rFonts w:ascii=&quot;Cambria Math&quot; w:h-ansi=&quot;Calibri&quot; w:cs=&quot;Calibri&quot;/&gt;&lt;wx:font wx:val=&quot;Cambria Math&quot;/&gt;&lt;w:i/&gt;&lt;w:sz w:val=&quot;24&quot;/&gt;&lt;w:sz-cs w:val=&quot;24&quot;/&gt;&lt;w:lang w:val=&quot;EN-US&quot;/&gt;&lt;/w:rPr&gt;&lt;m:t&gt;4&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2" o:title="" chromakey="white"/>
          </v:shape>
        </w:pict>
      </w:r>
      <w:r w:rsidRPr="004353BA">
        <w:rPr>
          <w:rFonts w:ascii="Calibri" w:eastAsia="MS ??" w:hAnsi="Calibri" w:cs="Calibri"/>
          <w:bCs/>
          <w:sz w:val="24"/>
          <w:szCs w:val="24"/>
          <w:lang w:val="en-US"/>
        </w:rPr>
        <w:instrText xml:space="preserve"> </w:instrText>
      </w:r>
      <w:r w:rsidR="000F2203" w:rsidRPr="004353BA">
        <w:rPr>
          <w:rFonts w:ascii="Calibri" w:eastAsia="MS ??" w:hAnsi="Calibri" w:cs="Calibri"/>
          <w:bCs/>
          <w:sz w:val="24"/>
          <w:szCs w:val="24"/>
          <w:lang w:val="en-US"/>
        </w:rPr>
        <w:fldChar w:fldCharType="separate"/>
      </w:r>
      <w:r w:rsidR="00273A74">
        <w:pict>
          <v:shape id="_x0000_i1033" type="#_x0000_t75" style="width:309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557AD&quot;/&gt;&lt;wsp:rsid wsp:val=&quot;00016631&quot;/&gt;&lt;wsp:rsid wsp:val=&quot;001469F0&quot;/&gt;&lt;wsp:rsid wsp:val=&quot;001A6992&quot;/&gt;&lt;wsp:rsid wsp:val=&quot;001D336D&quot;/&gt;&lt;wsp:rsid wsp:val=&quot;0029660D&quot;/&gt;&lt;wsp:rsid wsp:val=&quot;002B10FE&quot;/&gt;&lt;wsp:rsid wsp:val=&quot;0032452D&quot;/&gt;&lt;wsp:rsid wsp:val=&quot;00405FCB&quot;/&gt;&lt;wsp:rsid wsp:val=&quot;00427673&quot;/&gt;&lt;wsp:rsid wsp:val=&quot;00433B03&quot;/&gt;&lt;wsp:rsid wsp:val=&quot;004353BA&quot;/&gt;&lt;wsp:rsid wsp:val=&quot;00444F64&quot;/&gt;&lt;wsp:rsid wsp:val=&quot;004D3ED5&quot;/&gt;&lt;wsp:rsid wsp:val=&quot;005858A2&quot;/&gt;&lt;wsp:rsid wsp:val=&quot;00644292&quot;/&gt;&lt;wsp:rsid wsp:val=&quot;00655C4A&quot;/&gt;&lt;wsp:rsid wsp:val=&quot;006E6E9F&quot;/&gt;&lt;wsp:rsid wsp:val=&quot;006F5744&quot;/&gt;&lt;wsp:rsid wsp:val=&quot;007469AE&quot;/&gt;&lt;wsp:rsid wsp:val=&quot;007833EA&quot;/&gt;&lt;wsp:rsid wsp:val=&quot;008658DB&quot;/&gt;&lt;wsp:rsid wsp:val=&quot;00871513&quot;/&gt;&lt;wsp:rsid wsp:val=&quot;0088271D&quot;/&gt;&lt;wsp:rsid wsp:val=&quot;00925E10&quot;/&gt;&lt;wsp:rsid wsp:val=&quot;009276CC&quot;/&gt;&lt;wsp:rsid wsp:val=&quot;009440B0&quot;/&gt;&lt;wsp:rsid wsp:val=&quot;009A24BC&quot;/&gt;&lt;wsp:rsid wsp:val=&quot;009F0AC8&quot;/&gt;&lt;wsp:rsid wsp:val=&quot;00A664DE&quot;/&gt;&lt;wsp:rsid wsp:val=&quot;00A83516&quot;/&gt;&lt;wsp:rsid wsp:val=&quot;00AB573B&quot;/&gt;&lt;wsp:rsid wsp:val=&quot;00AE1A40&quot;/&gt;&lt;wsp:rsid wsp:val=&quot;00AE4CFF&quot;/&gt;&lt;wsp:rsid wsp:val=&quot;00AE79D4&quot;/&gt;&lt;wsp:rsid wsp:val=&quot;00B227A9&quot;/&gt;&lt;wsp:rsid wsp:val=&quot;00B34289&quot;/&gt;&lt;wsp:rsid wsp:val=&quot;00B37792&quot;/&gt;&lt;wsp:rsid wsp:val=&quot;00B40BC5&quot;/&gt;&lt;wsp:rsid wsp:val=&quot;00B65098&quot;/&gt;&lt;wsp:rsid wsp:val=&quot;00C52107&quot;/&gt;&lt;wsp:rsid wsp:val=&quot;00C6616D&quot;/&gt;&lt;wsp:rsid wsp:val=&quot;00C82608&quot;/&gt;&lt;wsp:rsid wsp:val=&quot;00CA44D0&quot;/&gt;&lt;wsp:rsid wsp:val=&quot;00CB2064&quot;/&gt;&lt;wsp:rsid wsp:val=&quot;00D32A46&quot;/&gt;&lt;wsp:rsid wsp:val=&quot;00D44664&quot;/&gt;&lt;wsp:rsid wsp:val=&quot;00D52BCC&quot;/&gt;&lt;wsp:rsid wsp:val=&quot;00D62F0B&quot;/&gt;&lt;wsp:rsid wsp:val=&quot;00D91FA4&quot;/&gt;&lt;wsp:rsid wsp:val=&quot;00DF1908&quot;/&gt;&lt;wsp:rsid wsp:val=&quot;00E06902&quot;/&gt;&lt;wsp:rsid wsp:val=&quot;00E23060&quot;/&gt;&lt;wsp:rsid wsp:val=&quot;00E557AD&quot;/&gt;&lt;wsp:rsid wsp:val=&quot;00EB16E4&quot;/&gt;&lt;wsp:rsid wsp:val=&quot;00ED6C9C&quot;/&gt;&lt;wsp:rsid wsp:val=&quot;00F07FBF&quot;/&gt;&lt;wsp:rsid wsp:val=&quot;00F91C65&quot;/&gt;&lt;wsp:rsid wsp:val=&quot;00F9718A&quot;/&gt;&lt;/wsp:rsids&gt;&lt;/w:docPr&gt;&lt;w:body&gt;&lt;w:p wsp:rsidR=&quot;00000000&quot; wsp:rsidRDefault=&quot;001D336D&quot;&gt;&lt;m:oMathPara&gt;&lt;m:oMath&gt;&lt;m:r&gt;&lt;w:rPr&gt;&lt;w:rFonts w:ascii=&quot;Cambria Math&quot; w:h-ansi=&quot;Cambria Math&quot; w:cs=&quot;Calibri&quot;/&gt;&lt;wx:font wx:val=&quot;Cambria Math&quot;/&gt;&lt;w:i/&gt;&lt;w:sz w:val=&quot;24&quot;/&gt;&lt;w:sz-cs w:val=&quot;24&quot;/&gt;&lt;w:lang w:val=&quot;EN-US&quot;/&gt;&lt;/w:rPr&gt;&lt;m:t&gt;Î±&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7&lt;/m:t&gt;&lt;/m:r&gt;&lt;m:r&gt;&lt;w:rPr&gt;&lt;w:rFonts w:ascii=&quot;Calibri&quot; w:h-ansi=&quot;Cambria Math&quot; w:cs=&quot;Calibri&quot;/&gt;&lt;wx:font wx:val=&quot;Cambria Math&quot;/&gt;&lt;w:i/&gt;&lt;w:sz w:val=&quot;24&quot;/&gt;&lt;w:sz-cs w:val=&quot;24&quot;/&gt;&lt;w:lang w:val=&quot;EN-US&quot;/&gt;&lt;/w:rPr&gt;&lt;m:t&gt;h&lt;/m:t&gt;&lt;/m:r&gt;&lt;m:r&gt;&lt;w:rPr&gt;&lt;w:rFonts w:ascii=&quot;Cambria Math&quot; w:h-ansi=&quot;Cambria Math&quot; w:cs=&quot;Calibri&quot;/&gt;&lt;wx:font wx:val=&quot;Cambria Math&quot;/&gt;&lt;w:i/&gt;&lt;w:sz w:val=&quot;24&quot;/&gt;&lt;w:sz-cs w:val=&quot;24&quot;/&gt;&lt;w:lang w:val=&quot;EN-US&quot;/&gt;&lt;/w:rPr&gt;&lt;m:t&gt;ild&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8&lt;/m:t&gt;&lt;/m:r&gt;&lt;m:r&gt;&lt;w:rPr&gt;&lt;w:rFonts w:ascii=&quot;Cambria Math&quot; w:h-ansi=&quot;Cambria Math&quot; w:cs=&quot;Calibri&quot;/&gt;&lt;wx:font wx:val=&quot;Cambria Math&quot;/&gt;&lt;w:i/&gt;&lt;w:sz w:val=&quot;24&quot;/&gt;&lt;w:sz-cs w:val=&quot;24&quot;/&gt;&lt;w:lang w:val=&quot;EN-US&quot;/&gt;&lt;/w:rPr&gt;&lt;m:t&gt;education&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9&lt;/m:t&gt;&lt;/m:r&gt;&lt;m:r&gt;&lt;w:rPr&gt;&lt;w:rFonts w:ascii=&quot;Cambria Math&quot; w:h-ansi=&quot;Cambria Math&quot; w:cs=&quot;Calibri&quot;/&gt;&lt;wx:font wx:val=&quot;Cambria Math&quot;/&gt;&lt;w:i/&gt;&lt;w:sz w:val=&quot;24&quot;/&gt;&lt;w:sz-cs w:val=&quot;24&quot;/&gt;&lt;w:lang w:val=&quot;EN-US&quot;/&gt;&lt;/w:rPr&gt;&lt;m:t&gt;marital&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²&lt;/m:t&gt;&lt;/m:r&gt;&lt;m:r&gt;&lt;w:rPr&gt;&lt;w:rFonts w:ascii=&quot;Cambria Math&quot; w:h-ansi=&quot;Calibri&quot; w:cs=&quot;Calibri&quot;/&gt;&lt;wx:font wx:val=&quot;Cambria Math&quot;/&gt;&lt;w:i/&gt;&lt;w:sz w:val=&quot;24&quot;/&gt;&lt;w:sz-cs w:val=&quot;24&quot;/&gt;&lt;w:lang w:val=&quot;EN-US&quot;/&gt;&lt;/w:rPr&gt;&lt;m:t&gt;10&lt;/m:t&gt;&lt;/m:r&gt;&lt;m:r&gt;&lt;w:rPr&gt;&lt;w:rFonts w:ascii=&quot;Cambria Math&quot; w:h-ansi=&quot;Cambria Math&quot; w:cs=&quot;Calibri&quot;/&gt;&lt;wx:font wx:val=&quot;Cambria Math&quot;/&gt;&lt;w:i/&gt;&lt;w:sz w:val=&quot;24&quot;/&gt;&lt;w:sz-cs w:val=&quot;24&quot;/&gt;&lt;w:lang w:val=&quot;EN-US&quot;/&gt;&lt;/w:rPr&gt;&lt;m:t&gt;latelife&lt;/m:t&gt;&lt;/m:r&gt;&lt;m:r&gt;&lt;w:rPr&gt;&lt;w:rFonts w:ascii=&quot;Cambria Math&quot; w:h-ansi=&quot;Calibri&quot; w:cs=&quot;Calibri&quot;/&gt;&lt;wx:font wx:val=&quot;Cambria Math&quot;/&gt;&lt;w:i/&gt;&lt;w:sz w:val=&quot;24&quot;/&gt;&lt;w:sz-cs w:val=&quot;24&quot;/&gt;&lt;w:lang w:val=&quot;EN-US&quot;/&gt;&lt;/w:rPr&gt;&lt;m:t&gt;+&lt;/m:t&gt;&lt;/m:r&gt;&lt;m:r&gt;&lt;w:rPr&gt;&lt;w:rFonts w:ascii=&quot;Cambria Math&quot; w:h-ansi=&quot;Cambria Math&quot; w:cs=&quot;Calibri&quot;/&gt;&lt;wx:font wx:val=&quot;Cambria Math&quot;/&gt;&lt;w:i/&gt;&lt;w:sz w:val=&quot;24&quot;/&gt;&lt;w:sz-cs w:val=&quot;24&quot;/&gt;&lt;w:lang w:val=&quot;EN-US&quot;/&gt;&lt;/w:rPr&gt;&lt;m:t&gt;Îµ&lt;/m:t&gt;&lt;/m:r&gt;&lt;m:r&gt;&lt;w:rPr&gt;&lt;w:rFonts w:ascii=&quot;Cambria Math&quot; w:h-ansi=&quot;Calibri&quot; w:cs=&quot;Calibri&quot;/&gt;&lt;wx:font wx:val=&quot;Cambria Math&quot;/&gt;&lt;w:i/&gt;&lt;w:sz w:val=&quot;24&quot;/&gt;&lt;w:sz-cs w:val=&quot;24&quot;/&gt;&lt;w:lang w:val=&quot;EN-US&quot;/&gt;&lt;/w:rPr&gt;&lt;m:t&gt;4&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2" o:title="" chromakey="white"/>
          </v:shape>
        </w:pict>
      </w:r>
      <w:r w:rsidR="000F2203" w:rsidRPr="004353BA">
        <w:rPr>
          <w:rFonts w:ascii="Calibri" w:eastAsia="MS ??" w:hAnsi="Calibri" w:cs="Calibri"/>
          <w:bCs/>
          <w:sz w:val="24"/>
          <w:szCs w:val="24"/>
          <w:lang w:val="en-US"/>
        </w:rPr>
        <w:fldChar w:fldCharType="end"/>
      </w:r>
      <w:r w:rsidRPr="00925E10">
        <w:rPr>
          <w:rFonts w:ascii="Calibri" w:eastAsia="MS ??" w:hAnsi="Calibri" w:cs="Calibri"/>
          <w:bCs/>
          <w:sz w:val="24"/>
          <w:szCs w:val="24"/>
          <w:lang w:val="en-US"/>
        </w:rPr>
        <w:t xml:space="preserve">      (model 4) </w:t>
      </w:r>
    </w:p>
    <w:p w:rsidR="00D814D6" w:rsidRPr="00925E10" w:rsidRDefault="00E4615E">
      <w:pPr>
        <w:widowControl w:val="0"/>
        <w:autoSpaceDE w:val="0"/>
        <w:autoSpaceDN w:val="0"/>
        <w:adjustRightInd w:val="0"/>
        <w:spacing w:after="340" w:line="480" w:lineRule="auto"/>
        <w:jc w:val="both"/>
        <w:rPr>
          <w:rFonts w:ascii="Calibri" w:hAnsi="Calibri" w:cs="Calibri"/>
          <w:sz w:val="24"/>
          <w:szCs w:val="24"/>
        </w:rPr>
      </w:pPr>
      <w:r>
        <w:rPr>
          <w:rFonts w:ascii="Calibri" w:hAnsi="Calibri" w:cs="Calibri"/>
          <w:sz w:val="24"/>
          <w:szCs w:val="24"/>
          <w:lang w:val="en-US"/>
        </w:rPr>
        <w:t>M</w:t>
      </w:r>
      <w:r w:rsidR="00D814D6" w:rsidRPr="00925E10">
        <w:rPr>
          <w:rFonts w:ascii="Calibri" w:hAnsi="Calibri" w:cs="Calibri"/>
          <w:sz w:val="24"/>
          <w:szCs w:val="24"/>
          <w:lang w:val="en-US"/>
        </w:rPr>
        <w:t>odel</w:t>
      </w:r>
      <w:r>
        <w:rPr>
          <w:rFonts w:ascii="Calibri" w:hAnsi="Calibri" w:cs="Calibri"/>
          <w:sz w:val="24"/>
          <w:szCs w:val="24"/>
          <w:lang w:val="en-US"/>
        </w:rPr>
        <w:t xml:space="preserve"> 1</w:t>
      </w:r>
      <w:r w:rsidR="00D814D6" w:rsidRPr="00925E10">
        <w:rPr>
          <w:rFonts w:ascii="Calibri" w:hAnsi="Calibri" w:cs="Calibri"/>
          <w:sz w:val="24"/>
          <w:szCs w:val="24"/>
          <w:lang w:val="en-US"/>
        </w:rPr>
        <w:t xml:space="preserve"> estimates the total effects of a vector of childhood life circumstances adjusted by age. The second model adds educational atta</w:t>
      </w:r>
      <w:r w:rsidR="00D814D6">
        <w:rPr>
          <w:rFonts w:ascii="Calibri" w:hAnsi="Calibri" w:cs="Calibri"/>
          <w:sz w:val="24"/>
          <w:szCs w:val="24"/>
          <w:lang w:val="en-US"/>
        </w:rPr>
        <w:t>inment to assess whether early circumstance</w:t>
      </w:r>
      <w:r w:rsidR="00D814D6" w:rsidRPr="00925E10">
        <w:rPr>
          <w:rFonts w:ascii="Calibri" w:hAnsi="Calibri" w:cs="Calibri"/>
          <w:sz w:val="24"/>
          <w:szCs w:val="24"/>
          <w:lang w:val="en-US"/>
        </w:rPr>
        <w:t>s operate indirectly via educational achieve</w:t>
      </w:r>
      <w:r>
        <w:rPr>
          <w:rFonts w:ascii="Calibri" w:hAnsi="Calibri" w:cs="Calibri"/>
          <w:sz w:val="24"/>
          <w:szCs w:val="24"/>
          <w:lang w:val="en-US"/>
        </w:rPr>
        <w:t>ment</w:t>
      </w:r>
      <w:r w:rsidR="00D814D6" w:rsidRPr="00925E10">
        <w:rPr>
          <w:rFonts w:ascii="Calibri" w:hAnsi="Calibri" w:cs="Calibri"/>
          <w:sz w:val="24"/>
          <w:szCs w:val="24"/>
          <w:lang w:val="en-US"/>
        </w:rPr>
        <w:t xml:space="preserve">. Subsequent models add marital status (model 3) and late life conditions (model 4).  </w:t>
      </w:r>
      <w:r w:rsidR="00D814D6" w:rsidRPr="00925E10">
        <w:rPr>
          <w:rFonts w:ascii="Calibri" w:eastAsia="MS ??" w:hAnsi="Calibri" w:cs="Calibri"/>
          <w:bCs/>
          <w:sz w:val="24"/>
          <w:szCs w:val="24"/>
          <w:lang w:val="en-US"/>
        </w:rPr>
        <w:t>These models allow us to estimate the direct and indirect effects of the early life circumstances which may be mediated by education, marital status and late life circumstances.  A reduction in the size of coefficients for the child variables when education, marital status, and late life circumstances are added to the equation indicates the extent to which the effects of earlier circumstances are mediated by variables in subsequent models (Alwin and Hauser 1975).</w:t>
      </w:r>
      <w:r w:rsidR="00D814D6" w:rsidRPr="00925E10">
        <w:rPr>
          <w:rFonts w:ascii="Calibri" w:hAnsi="Calibri" w:cs="Calibri"/>
          <w:sz w:val="24"/>
          <w:szCs w:val="24"/>
          <w:lang w:val="en-US"/>
        </w:rPr>
        <w:t xml:space="preserve"> Finally, in a fifth model (equation not shown) we evaluate whether the effects of late life circumstances on depressive symptoms are biased when childhood conditions are omitted from the model.</w:t>
      </w:r>
    </w:p>
    <w:p w:rsidR="00D814D6" w:rsidRPr="00925E10" w:rsidRDefault="00A460A5" w:rsidP="00273A74">
      <w:pPr>
        <w:autoSpaceDE w:val="0"/>
        <w:autoSpaceDN w:val="0"/>
        <w:adjustRightInd w:val="0"/>
        <w:spacing w:afterLines="120" w:line="480" w:lineRule="auto"/>
        <w:jc w:val="both"/>
        <w:rPr>
          <w:rFonts w:ascii="Calibri" w:hAnsi="Calibri" w:cs="Calibri"/>
          <w:b/>
          <w:sz w:val="24"/>
          <w:szCs w:val="24"/>
        </w:rPr>
      </w:pPr>
      <w:r>
        <w:rPr>
          <w:rFonts w:ascii="Calibri" w:hAnsi="Calibri" w:cs="Calibri"/>
          <w:b/>
          <w:sz w:val="24"/>
          <w:szCs w:val="24"/>
        </w:rPr>
        <w:br w:type="page"/>
      </w:r>
      <w:r w:rsidR="00D814D6" w:rsidRPr="00925E10">
        <w:rPr>
          <w:rFonts w:ascii="Calibri" w:hAnsi="Calibri" w:cs="Calibri"/>
          <w:b/>
          <w:sz w:val="24"/>
          <w:szCs w:val="24"/>
        </w:rPr>
        <w:lastRenderedPageBreak/>
        <w:t>Results</w:t>
      </w:r>
    </w:p>
    <w:p w:rsidR="00D814D6" w:rsidRPr="00925E10" w:rsidRDefault="008D581F" w:rsidP="00273A74">
      <w:pPr>
        <w:autoSpaceDE w:val="0"/>
        <w:autoSpaceDN w:val="0"/>
        <w:adjustRightInd w:val="0"/>
        <w:spacing w:afterLines="120" w:line="480" w:lineRule="auto"/>
        <w:jc w:val="both"/>
        <w:rPr>
          <w:rFonts w:ascii="Calibri" w:hAnsi="Calibri" w:cs="Calibri"/>
          <w:color w:val="000000"/>
          <w:sz w:val="24"/>
          <w:szCs w:val="24"/>
        </w:rPr>
      </w:pPr>
      <w:r>
        <w:rPr>
          <w:rFonts w:ascii="Calibri" w:hAnsi="Calibri" w:cs="Calibri"/>
          <w:color w:val="000000"/>
          <w:sz w:val="24"/>
          <w:szCs w:val="24"/>
        </w:rPr>
        <w:t>In the older Irish population, m</w:t>
      </w:r>
      <w:r w:rsidR="00D814D6" w:rsidRPr="00925E10">
        <w:rPr>
          <w:rFonts w:ascii="Calibri" w:hAnsi="Calibri" w:cs="Calibri"/>
          <w:color w:val="000000"/>
          <w:sz w:val="24"/>
          <w:szCs w:val="24"/>
        </w:rPr>
        <w:t>en are more likely to have never married than women (17% men, 13% women). Among men, 15% of those aged 65-74 years are never married compared to 21% of those aged 75 years and older, evincing a strong cohort pattern in marriage rates. Among women, 11% of those aged 65-74 years are never married compared to 17% of those aged 75 years and over. Most men are married (65%), while the most prevalent marital status among women is widowed (44%). It is noteworthy that the never married status is the second most prevalent marital status among m</w:t>
      </w:r>
      <w:r w:rsidR="00524B50">
        <w:rPr>
          <w:rFonts w:ascii="Calibri" w:hAnsi="Calibri" w:cs="Calibri"/>
          <w:color w:val="000000"/>
          <w:sz w:val="24"/>
          <w:szCs w:val="24"/>
        </w:rPr>
        <w:t>en aged 65 and over in Ireland</w:t>
      </w:r>
      <w:r w:rsidR="00D814D6" w:rsidRPr="00925E10">
        <w:rPr>
          <w:rFonts w:ascii="Calibri" w:hAnsi="Calibri" w:cs="Calibri"/>
          <w:color w:val="000000"/>
          <w:sz w:val="24"/>
          <w:szCs w:val="24"/>
        </w:rPr>
        <w:tab/>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t xml:space="preserve">Table 1 presents the descriptive statistics for all variables used in the analysis, both dependent and control variables, by sex. Looking firstly at men, never married men are more likely to be poorly educated, to have grown up in a poor family or in a rural area, to have had fathers who were farmers and to live currently in a rural area.  Divorced/separated men are more likely to have migrated abroad for a period of 6 months or longer and to live currently in urban areas. Compared to married men, widowers are more likely to be older and have primary education only. Turning to women, a different picture emerges especially for the never married. Never married women are more likely to come from average or well-off families, to be highly educated, and to live in urban areas. Separated/divorced women are more likely to have parents who were not farmers, and to live in urban areas. Within the female population, widows are more likely to be older, have primary education only, own a house, and live in rural areas. As was the case for men, married women are more likely to own a house and </w:t>
      </w:r>
      <w:r w:rsidR="00524B50">
        <w:rPr>
          <w:rFonts w:ascii="Calibri" w:hAnsi="Calibri" w:cs="Calibri"/>
          <w:sz w:val="24"/>
          <w:szCs w:val="24"/>
        </w:rPr>
        <w:t xml:space="preserve">to </w:t>
      </w:r>
      <w:r w:rsidRPr="00925E10">
        <w:rPr>
          <w:rFonts w:ascii="Calibri" w:hAnsi="Calibri" w:cs="Calibri"/>
          <w:sz w:val="24"/>
          <w:szCs w:val="24"/>
        </w:rPr>
        <w:t xml:space="preserve">have a higher household income than the never married </w:t>
      </w:r>
      <w:r w:rsidRPr="00925E10">
        <w:rPr>
          <w:rFonts w:ascii="Calibri" w:hAnsi="Calibri" w:cs="Calibri"/>
          <w:sz w:val="24"/>
          <w:szCs w:val="24"/>
        </w:rPr>
        <w:lastRenderedPageBreak/>
        <w:t>or the ever-married (widowed/divorced/separated). Among both men and women, divorced/separated individuals are more likely to report poor childhood health and parental substance abuse in childhood. Over</w:t>
      </w:r>
      <w:r w:rsidR="00524B50">
        <w:rPr>
          <w:rFonts w:ascii="Calibri" w:hAnsi="Calibri" w:cs="Calibri"/>
          <w:sz w:val="24"/>
          <w:szCs w:val="24"/>
        </w:rPr>
        <w:t>all, both men and women report</w:t>
      </w:r>
      <w:r w:rsidRPr="00925E10">
        <w:rPr>
          <w:rFonts w:ascii="Calibri" w:hAnsi="Calibri" w:cs="Calibri"/>
          <w:sz w:val="24"/>
          <w:szCs w:val="24"/>
        </w:rPr>
        <w:t xml:space="preserve"> to have at least two close ties. Turning to the dependent variable, there are differences in depressive symptoms by gender and marital status. Women have higher scores in depressive symptoms than men. When differences in depressive symptoms scores are examined by marital status, the divorced/separated have the highest depressive scores among both men and women, followed by widows, never married women, never married men and widowers. Both men and women who are married report the lowest depressive scores among marital status categories.  </w:t>
      </w:r>
    </w:p>
    <w:p w:rsidR="00D814D6" w:rsidRPr="00925E10" w:rsidRDefault="00D814D6" w:rsidP="00273A74">
      <w:pPr>
        <w:autoSpaceDE w:val="0"/>
        <w:autoSpaceDN w:val="0"/>
        <w:adjustRightInd w:val="0"/>
        <w:spacing w:afterLines="120" w:line="480" w:lineRule="auto"/>
        <w:jc w:val="both"/>
        <w:rPr>
          <w:rFonts w:ascii="Calibri" w:hAnsi="Calibri" w:cs="Calibri"/>
          <w:i/>
          <w:sz w:val="24"/>
          <w:szCs w:val="24"/>
        </w:rPr>
      </w:pPr>
      <w:r w:rsidRPr="00925E10">
        <w:rPr>
          <w:rFonts w:ascii="Calibri" w:hAnsi="Calibri" w:cs="Calibri"/>
          <w:sz w:val="24"/>
          <w:szCs w:val="24"/>
        </w:rPr>
        <w:tab/>
      </w:r>
      <w:r w:rsidRPr="00925E10">
        <w:rPr>
          <w:rFonts w:ascii="Calibri" w:hAnsi="Calibri" w:cs="Calibri"/>
          <w:sz w:val="24"/>
          <w:szCs w:val="24"/>
        </w:rPr>
        <w:tab/>
      </w:r>
      <w:r w:rsidRPr="00925E10">
        <w:rPr>
          <w:rFonts w:ascii="Calibri" w:hAnsi="Calibri" w:cs="Calibri"/>
          <w:sz w:val="24"/>
          <w:szCs w:val="24"/>
        </w:rPr>
        <w:tab/>
      </w:r>
      <w:r w:rsidRPr="00925E10">
        <w:rPr>
          <w:rFonts w:ascii="Calibri" w:hAnsi="Calibri" w:cs="Calibri"/>
          <w:sz w:val="24"/>
          <w:szCs w:val="24"/>
        </w:rPr>
        <w:tab/>
      </w:r>
      <w:r w:rsidRPr="00925E10">
        <w:rPr>
          <w:rFonts w:ascii="Calibri" w:hAnsi="Calibri" w:cs="Calibri"/>
          <w:i/>
          <w:sz w:val="24"/>
          <w:szCs w:val="24"/>
        </w:rPr>
        <w:t>---Table 1 around here</w:t>
      </w:r>
    </w:p>
    <w:p w:rsidR="00D814D6" w:rsidRPr="00925E10" w:rsidRDefault="00D814D6" w:rsidP="00273A74">
      <w:pPr>
        <w:autoSpaceDE w:val="0"/>
        <w:autoSpaceDN w:val="0"/>
        <w:adjustRightInd w:val="0"/>
        <w:spacing w:afterLines="120" w:line="480" w:lineRule="auto"/>
        <w:jc w:val="both"/>
        <w:rPr>
          <w:rFonts w:ascii="Calibri" w:hAnsi="Calibri" w:cs="Calibri"/>
          <w:color w:val="000000"/>
          <w:sz w:val="24"/>
          <w:szCs w:val="24"/>
        </w:rPr>
      </w:pPr>
      <w:r w:rsidRPr="00925E10">
        <w:rPr>
          <w:rFonts w:ascii="Calibri" w:hAnsi="Calibri" w:cs="Calibri"/>
          <w:sz w:val="24"/>
          <w:szCs w:val="24"/>
        </w:rPr>
        <w:t>The multinomial logistic regression results are presented in Table 2. First, the relationship between childhood</w:t>
      </w:r>
      <w:r w:rsidR="00524B50">
        <w:rPr>
          <w:rFonts w:ascii="Calibri" w:hAnsi="Calibri" w:cs="Calibri"/>
          <w:sz w:val="24"/>
          <w:szCs w:val="24"/>
        </w:rPr>
        <w:t xml:space="preserve"> circumstances</w:t>
      </w:r>
      <w:r w:rsidRPr="00925E10">
        <w:rPr>
          <w:rFonts w:ascii="Calibri" w:hAnsi="Calibri" w:cs="Calibri"/>
          <w:sz w:val="24"/>
          <w:szCs w:val="24"/>
        </w:rPr>
        <w:t xml:space="preserve">, education and marital status is examined. In this model the most interesting explanatory variable is education. </w:t>
      </w:r>
      <w:r w:rsidRPr="00925E10">
        <w:rPr>
          <w:rFonts w:ascii="Calibri" w:hAnsi="Calibri" w:cs="Calibri"/>
          <w:color w:val="000000"/>
          <w:sz w:val="24"/>
          <w:szCs w:val="24"/>
        </w:rPr>
        <w:t xml:space="preserve">Women with higher education and men with lower education are more likely to remain single. For example, the odds of men to be married (vs. never married) are 1.8 times higher for those with tertiary education compared with men with only primary education. Widowhood is negatively associated with education for women. Father’s occupation, especially having a father who was a farmer, is associated with the likelihood to remain never married for men and it is inversely associated with being divorced/separated for women. The odds for men to be never married (vs. married) are 2.9 times greater for those whose fathers were farmers. </w:t>
      </w:r>
    </w:p>
    <w:p w:rsidR="00D814D6" w:rsidRPr="00925E10" w:rsidRDefault="00D814D6" w:rsidP="00273A74">
      <w:pPr>
        <w:autoSpaceDE w:val="0"/>
        <w:autoSpaceDN w:val="0"/>
        <w:adjustRightInd w:val="0"/>
        <w:spacing w:afterLines="120" w:line="480" w:lineRule="auto"/>
        <w:jc w:val="both"/>
        <w:rPr>
          <w:rFonts w:ascii="Calibri" w:hAnsi="Calibri" w:cs="Calibri"/>
          <w:i/>
          <w:sz w:val="24"/>
          <w:szCs w:val="24"/>
        </w:rPr>
      </w:pPr>
      <w:r w:rsidRPr="00925E10">
        <w:rPr>
          <w:rFonts w:ascii="Calibri" w:hAnsi="Calibri" w:cs="Calibri"/>
          <w:sz w:val="24"/>
          <w:szCs w:val="24"/>
        </w:rPr>
        <w:lastRenderedPageBreak/>
        <w:tab/>
      </w:r>
      <w:r w:rsidRPr="00925E10">
        <w:rPr>
          <w:rFonts w:ascii="Calibri" w:hAnsi="Calibri" w:cs="Calibri"/>
          <w:sz w:val="24"/>
          <w:szCs w:val="24"/>
        </w:rPr>
        <w:tab/>
      </w:r>
      <w:r w:rsidRPr="00925E10">
        <w:rPr>
          <w:rFonts w:ascii="Calibri" w:hAnsi="Calibri" w:cs="Calibri"/>
          <w:sz w:val="24"/>
          <w:szCs w:val="24"/>
        </w:rPr>
        <w:tab/>
      </w:r>
      <w:r w:rsidRPr="00925E10">
        <w:rPr>
          <w:rFonts w:ascii="Calibri" w:hAnsi="Calibri" w:cs="Calibri"/>
          <w:sz w:val="24"/>
          <w:szCs w:val="24"/>
        </w:rPr>
        <w:tab/>
      </w:r>
      <w:r w:rsidRPr="00925E10">
        <w:rPr>
          <w:rFonts w:ascii="Calibri" w:hAnsi="Calibri" w:cs="Calibri"/>
          <w:i/>
          <w:sz w:val="24"/>
          <w:szCs w:val="24"/>
        </w:rPr>
        <w:t xml:space="preserve">---Table 2 around here </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t>Tables 3 and 4 present linear regression models to evaluate which childhood and adulthood circumstances lead to late-life depressive symptoms. Focusing first on men, the results from model 1 indicate that growing up  in a poor family, having had a parent with subst</w:t>
      </w:r>
      <w:r w:rsidR="00DC79E8">
        <w:rPr>
          <w:rFonts w:ascii="Calibri" w:hAnsi="Calibri" w:cs="Calibri"/>
          <w:sz w:val="24"/>
          <w:szCs w:val="24"/>
        </w:rPr>
        <w:t>ance abuse problem, and reporting</w:t>
      </w:r>
      <w:r w:rsidRPr="00925E10">
        <w:rPr>
          <w:rFonts w:ascii="Calibri" w:hAnsi="Calibri" w:cs="Calibri"/>
          <w:sz w:val="24"/>
          <w:szCs w:val="24"/>
        </w:rPr>
        <w:t xml:space="preserve"> poor </w:t>
      </w:r>
      <w:r w:rsidR="00DC79E8">
        <w:rPr>
          <w:rFonts w:ascii="Calibri" w:hAnsi="Calibri" w:cs="Calibri"/>
          <w:sz w:val="24"/>
          <w:szCs w:val="24"/>
        </w:rPr>
        <w:t xml:space="preserve">childhood </w:t>
      </w:r>
      <w:r w:rsidRPr="00925E10">
        <w:rPr>
          <w:rFonts w:ascii="Calibri" w:hAnsi="Calibri" w:cs="Calibri"/>
          <w:sz w:val="24"/>
          <w:szCs w:val="24"/>
        </w:rPr>
        <w:t xml:space="preserve">health have significant total effects on the level of depressive symptoms at old age, even when father’s occupation is controlled. For women, growing up in a poor family or poor health in childhood have significant total effects on late-life depression. </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t>Model 2 adds education. The direct effect of educational attainment on depressive scores shows a strong negative gradient for both men and women. Comparing models 1 and 2, family financial well-being effects are mediated by educational attainment and are no longer statistically significant in model 2.   Childhood health and, for men only, parental substance abuse retain their direct effec</w:t>
      </w:r>
      <w:r w:rsidR="00622852">
        <w:rPr>
          <w:rFonts w:ascii="Calibri" w:hAnsi="Calibri" w:cs="Calibri"/>
          <w:sz w:val="24"/>
          <w:szCs w:val="24"/>
        </w:rPr>
        <w:t>ts indicating that they operate</w:t>
      </w:r>
      <w:r w:rsidRPr="00925E10">
        <w:rPr>
          <w:rFonts w:ascii="Calibri" w:hAnsi="Calibri" w:cs="Calibri"/>
          <w:sz w:val="24"/>
          <w:szCs w:val="24"/>
        </w:rPr>
        <w:t xml:space="preserve"> independently of education.</w:t>
      </w:r>
    </w:p>
    <w:p w:rsidR="00D814D6" w:rsidRPr="00925E10" w:rsidRDefault="00622852" w:rsidP="00273A74">
      <w:pPr>
        <w:autoSpaceDE w:val="0"/>
        <w:autoSpaceDN w:val="0"/>
        <w:adjustRightInd w:val="0"/>
        <w:spacing w:afterLines="120" w:line="480" w:lineRule="auto"/>
        <w:jc w:val="both"/>
        <w:rPr>
          <w:rFonts w:ascii="Calibri" w:hAnsi="Calibri" w:cs="Calibri"/>
          <w:sz w:val="24"/>
          <w:szCs w:val="24"/>
        </w:rPr>
      </w:pPr>
      <w:r>
        <w:rPr>
          <w:rFonts w:ascii="Calibri" w:hAnsi="Calibri" w:cs="Calibri"/>
          <w:sz w:val="24"/>
          <w:szCs w:val="24"/>
        </w:rPr>
        <w:t>Model 3 adds marital status.</w:t>
      </w:r>
      <w:r w:rsidR="00D814D6" w:rsidRPr="00925E10">
        <w:rPr>
          <w:rFonts w:ascii="Calibri" w:hAnsi="Calibri" w:cs="Calibri"/>
          <w:sz w:val="24"/>
          <w:szCs w:val="24"/>
        </w:rPr>
        <w:t xml:space="preserve"> Marital status has a significant net effect. Both men and women who are separated/divorced or widowed have higher depressive symptoms relative to their married peers. However, among never-married older people, only never-married men have higher depressive symptoms. The addition of marital status indicates that it does not mediate the effects of early events to any real extent but it does reduce slightly the effect of te</w:t>
      </w:r>
      <w:r>
        <w:rPr>
          <w:rFonts w:ascii="Calibri" w:hAnsi="Calibri" w:cs="Calibri"/>
          <w:sz w:val="24"/>
          <w:szCs w:val="24"/>
        </w:rPr>
        <w:t>rtiary education on depression.</w:t>
      </w:r>
      <w:r w:rsidR="00D814D6" w:rsidRPr="00925E10">
        <w:rPr>
          <w:rFonts w:ascii="Calibri" w:hAnsi="Calibri" w:cs="Calibri"/>
          <w:sz w:val="24"/>
          <w:szCs w:val="24"/>
        </w:rPr>
        <w:t xml:space="preserve"> Childhood health and, for men, parental substance abuse, continue to have direct effects. </w:t>
      </w:r>
    </w:p>
    <w:p w:rsidR="00D814D6" w:rsidRPr="00925E10" w:rsidRDefault="00D814D6" w:rsidP="00273A74">
      <w:pPr>
        <w:autoSpaceDE w:val="0"/>
        <w:autoSpaceDN w:val="0"/>
        <w:adjustRightInd w:val="0"/>
        <w:spacing w:afterLines="120" w:line="480" w:lineRule="auto"/>
        <w:jc w:val="both"/>
        <w:rPr>
          <w:rFonts w:ascii="Calibri" w:hAnsi="Calibri" w:cs="Calibri"/>
          <w:i/>
          <w:sz w:val="24"/>
          <w:szCs w:val="24"/>
        </w:rPr>
      </w:pPr>
      <w:r w:rsidRPr="00925E10">
        <w:rPr>
          <w:rFonts w:ascii="Calibri" w:hAnsi="Calibri" w:cs="Calibri"/>
          <w:sz w:val="24"/>
          <w:szCs w:val="24"/>
        </w:rPr>
        <w:tab/>
      </w:r>
      <w:r w:rsidRPr="00925E10">
        <w:rPr>
          <w:rFonts w:ascii="Calibri" w:hAnsi="Calibri" w:cs="Calibri"/>
          <w:sz w:val="24"/>
          <w:szCs w:val="24"/>
        </w:rPr>
        <w:tab/>
      </w:r>
      <w:r w:rsidRPr="00925E10">
        <w:rPr>
          <w:rFonts w:ascii="Calibri" w:hAnsi="Calibri" w:cs="Calibri"/>
          <w:sz w:val="24"/>
          <w:szCs w:val="24"/>
        </w:rPr>
        <w:tab/>
      </w:r>
      <w:r w:rsidRPr="00925E10">
        <w:rPr>
          <w:rFonts w:ascii="Calibri" w:hAnsi="Calibri" w:cs="Calibri"/>
          <w:i/>
          <w:sz w:val="24"/>
          <w:szCs w:val="24"/>
        </w:rPr>
        <w:tab/>
        <w:t>----Table 3 and 4 around here</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lastRenderedPageBreak/>
        <w:t>Including later life conditions in model 4, childhood health remains a robust and significant predictor of depressive symptoms. Those who had poor childhood health have higher depressive symptoms even when current health status and socio-economic status are controlled. However the pattern differs markedly for men and women.  Among men, the variables added in models 2 through 4 have virtually no mediating effect on childhood health. For women, about half of the model 1 total effect of childhood health is mediated by later events, almost</w:t>
      </w:r>
      <w:r w:rsidR="00622852">
        <w:rPr>
          <w:rFonts w:ascii="Calibri" w:hAnsi="Calibri" w:cs="Calibri"/>
          <w:sz w:val="24"/>
          <w:szCs w:val="24"/>
        </w:rPr>
        <w:t xml:space="preserve"> all of it by late life events.</w:t>
      </w:r>
      <w:r w:rsidRPr="00925E10">
        <w:rPr>
          <w:rFonts w:ascii="Calibri" w:hAnsi="Calibri" w:cs="Calibri"/>
          <w:sz w:val="24"/>
          <w:szCs w:val="24"/>
        </w:rPr>
        <w:t xml:space="preserve"> The direct effect of marital status increases for widowers; the effect for divorced men is partly mediated by late life events but its direct effect remains significant in attenuated form. For women, only widowhood has a significant effect on depressive symptoms. The effect of being separated or divorced is mediated by late life conditions. </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t xml:space="preserve">The effects of late life conditions, net of the childhood measures, also have statistical associations with depressive symptoms in the expected directions. Poor health in later life is significantly associated with depressive symptoms for both men and women. Interestingly, current income is negatively associated with depressive symptoms only for women. We did not find any association between social support and depressive symptoms. </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t xml:space="preserve">We also estimated the model taking out the early childhood conditions from model 4 to examine whether there is an overestimation of effects of late adult conditions when childhood variables are not included in the model. The effect of tertiary education would be overestimated by 65% for men (from β=-0.61 to β=-1.1). The effect of marital status would be underestimated for widowers, and overestimated </w:t>
      </w:r>
      <w:r w:rsidRPr="00925E10">
        <w:rPr>
          <w:rFonts w:ascii="Calibri" w:hAnsi="Calibri" w:cs="Calibri"/>
          <w:sz w:val="24"/>
          <w:szCs w:val="24"/>
        </w:rPr>
        <w:lastRenderedPageBreak/>
        <w:t xml:space="preserve">for never-married and divorced/separated men and slightly overestimated for women. Current health would also be slightly overestimated. </w:t>
      </w:r>
    </w:p>
    <w:p w:rsidR="00D814D6" w:rsidRPr="00925E10" w:rsidRDefault="00D814D6" w:rsidP="00273A74">
      <w:pPr>
        <w:autoSpaceDE w:val="0"/>
        <w:autoSpaceDN w:val="0"/>
        <w:adjustRightInd w:val="0"/>
        <w:spacing w:afterLines="120" w:line="480" w:lineRule="auto"/>
        <w:jc w:val="both"/>
        <w:rPr>
          <w:rFonts w:ascii="Calibri" w:hAnsi="Calibri" w:cs="Calibri"/>
          <w:sz w:val="24"/>
          <w:szCs w:val="24"/>
        </w:rPr>
      </w:pPr>
      <w:r w:rsidRPr="00925E10">
        <w:rPr>
          <w:rFonts w:ascii="Calibri" w:hAnsi="Calibri" w:cs="Calibri"/>
          <w:sz w:val="24"/>
          <w:szCs w:val="24"/>
        </w:rPr>
        <w:t xml:space="preserve">In order to verify whether models differ by gender, we compared the main effects model 4 with the interaction model of gender with all variables and found evidence that the overall models differ significantly  for men and women </w:t>
      </w:r>
      <w:r w:rsidRPr="00925E10">
        <w:rPr>
          <w:rFonts w:ascii="Calibri" w:hAnsi="Calibri" w:cs="Calibri"/>
          <w:bCs/>
          <w:color w:val="000000"/>
          <w:sz w:val="24"/>
          <w:szCs w:val="24"/>
        </w:rPr>
        <w:t>(F=5,82; df20/2023; p&lt; .01</w:t>
      </w:r>
      <w:r w:rsidRPr="00925E10">
        <w:rPr>
          <w:rFonts w:ascii="Calibri" w:hAnsi="Calibri" w:cs="Calibri"/>
          <w:color w:val="000000"/>
          <w:sz w:val="24"/>
          <w:szCs w:val="24"/>
        </w:rPr>
        <w:t>).</w:t>
      </w:r>
      <w:r w:rsidRPr="00925E10">
        <w:rPr>
          <w:rFonts w:ascii="Calibri" w:hAnsi="Calibri" w:cs="Calibri"/>
          <w:sz w:val="24"/>
          <w:szCs w:val="24"/>
        </w:rPr>
        <w:t xml:space="preserve"> We also tested just the interactions of gender with marital status and found that the effects of marital status on depressive symptoms do not significantly differ between men and women.  It may appear logically inconsistent that different marital status contrasts are statistically significant for men and women but yet we cannot reject the null hypothesis of no gender difference in marital status effects. The explanation is that significance tests are probabilistic statements and need not be logically transitive.  The result depends on the specific hypothesis tested.</w:t>
      </w:r>
    </w:p>
    <w:p w:rsidR="00D814D6" w:rsidRPr="00925E10" w:rsidRDefault="00D814D6">
      <w:pPr>
        <w:autoSpaceDE w:val="0"/>
        <w:autoSpaceDN w:val="0"/>
        <w:adjustRightInd w:val="0"/>
        <w:spacing w:after="240" w:line="480" w:lineRule="auto"/>
        <w:jc w:val="both"/>
        <w:rPr>
          <w:rFonts w:ascii="Calibri" w:hAnsi="Calibri" w:cs="Calibri"/>
          <w:b/>
          <w:color w:val="000000"/>
          <w:sz w:val="24"/>
          <w:szCs w:val="24"/>
        </w:rPr>
      </w:pPr>
      <w:r w:rsidRPr="00925E10">
        <w:rPr>
          <w:rFonts w:ascii="Calibri" w:hAnsi="Calibri" w:cs="Calibri"/>
          <w:b/>
          <w:color w:val="000000"/>
          <w:sz w:val="24"/>
          <w:szCs w:val="24"/>
        </w:rPr>
        <w:t>Discussion</w:t>
      </w:r>
    </w:p>
    <w:p w:rsidR="00D814D6" w:rsidRPr="00925E10" w:rsidRDefault="00D814D6" w:rsidP="00273A74">
      <w:pPr>
        <w:widowControl w:val="0"/>
        <w:autoSpaceDE w:val="0"/>
        <w:autoSpaceDN w:val="0"/>
        <w:adjustRightInd w:val="0"/>
        <w:spacing w:afterLines="120" w:line="480" w:lineRule="auto"/>
        <w:jc w:val="both"/>
        <w:rPr>
          <w:rFonts w:ascii="Calibri" w:hAnsi="Calibri" w:cs="Calibri"/>
          <w:sz w:val="24"/>
          <w:szCs w:val="24"/>
          <w:lang w:val="en-US"/>
        </w:rPr>
      </w:pPr>
      <w:r w:rsidRPr="00925E10">
        <w:rPr>
          <w:rFonts w:ascii="Calibri" w:hAnsi="Calibri" w:cs="Calibri"/>
          <w:sz w:val="24"/>
          <w:szCs w:val="24"/>
          <w:lang w:val="en-US"/>
        </w:rPr>
        <w:t>Many studies have explored the impact of early or later life events on depression, but few examine the two together in order to examine whether later events mediate between early events and late life depression.  We hypothesized that the effects of early life events on depression</w:t>
      </w:r>
      <w:r w:rsidR="00622852">
        <w:rPr>
          <w:rFonts w:ascii="Calibri" w:hAnsi="Calibri" w:cs="Calibri"/>
          <w:sz w:val="24"/>
          <w:szCs w:val="24"/>
          <w:lang w:val="en-US"/>
        </w:rPr>
        <w:t xml:space="preserve"> in later life</w:t>
      </w:r>
      <w:r w:rsidRPr="00925E10">
        <w:rPr>
          <w:rFonts w:ascii="Calibri" w:hAnsi="Calibri" w:cs="Calibri"/>
          <w:sz w:val="24"/>
          <w:szCs w:val="24"/>
          <w:lang w:val="en-US"/>
        </w:rPr>
        <w:t xml:space="preserve"> are mediated by </w:t>
      </w:r>
      <w:r w:rsidRPr="00F9718A">
        <w:rPr>
          <w:rFonts w:ascii="Calibri" w:hAnsi="Calibri" w:cs="Calibri"/>
          <w:sz w:val="24"/>
          <w:szCs w:val="24"/>
          <w:lang w:val="en-US"/>
        </w:rPr>
        <w:t>education</w:t>
      </w:r>
      <w:r>
        <w:rPr>
          <w:rFonts w:ascii="Calibri" w:hAnsi="Calibri" w:cs="Calibri"/>
          <w:sz w:val="24"/>
          <w:szCs w:val="24"/>
          <w:lang w:val="en-US"/>
        </w:rPr>
        <w:t>, marital status differentials</w:t>
      </w:r>
      <w:r w:rsidRPr="00925E10">
        <w:rPr>
          <w:rFonts w:ascii="Calibri" w:hAnsi="Calibri" w:cs="Calibri"/>
          <w:sz w:val="24"/>
          <w:szCs w:val="24"/>
          <w:lang w:val="en-US"/>
        </w:rPr>
        <w:t xml:space="preserve"> and later life </w:t>
      </w:r>
      <w:r w:rsidR="00622852">
        <w:rPr>
          <w:rFonts w:ascii="Calibri" w:hAnsi="Calibri" w:cs="Calibri"/>
          <w:sz w:val="24"/>
          <w:szCs w:val="24"/>
          <w:lang w:val="en-US"/>
        </w:rPr>
        <w:t>circumstances</w:t>
      </w:r>
      <w:r>
        <w:rPr>
          <w:rFonts w:ascii="Calibri" w:hAnsi="Calibri" w:cs="Calibri"/>
          <w:sz w:val="24"/>
          <w:szCs w:val="24"/>
          <w:lang w:val="en-US"/>
        </w:rPr>
        <w:t>,</w:t>
      </w:r>
      <w:r w:rsidRPr="00925E10">
        <w:rPr>
          <w:rFonts w:ascii="Calibri" w:hAnsi="Calibri" w:cs="Calibri"/>
          <w:sz w:val="24"/>
          <w:szCs w:val="24"/>
          <w:lang w:val="en-US"/>
        </w:rPr>
        <w:t xml:space="preserve"> and that the pattern</w:t>
      </w:r>
      <w:r w:rsidR="00622852">
        <w:rPr>
          <w:rFonts w:ascii="Calibri" w:hAnsi="Calibri" w:cs="Calibri"/>
          <w:sz w:val="24"/>
          <w:szCs w:val="24"/>
          <w:lang w:val="en-US"/>
        </w:rPr>
        <w:t xml:space="preserve"> of effects differs by gender.</w:t>
      </w:r>
      <w:r w:rsidRPr="00925E10">
        <w:rPr>
          <w:rFonts w:ascii="Calibri" w:hAnsi="Calibri" w:cs="Calibri"/>
          <w:sz w:val="24"/>
          <w:szCs w:val="24"/>
          <w:lang w:val="en-US"/>
        </w:rPr>
        <w:t xml:space="preserve"> We </w:t>
      </w:r>
      <w:r w:rsidR="00622852">
        <w:rPr>
          <w:rFonts w:ascii="Calibri" w:hAnsi="Calibri" w:cs="Calibri"/>
          <w:sz w:val="24"/>
          <w:szCs w:val="24"/>
          <w:lang w:val="en-US"/>
        </w:rPr>
        <w:t>find</w:t>
      </w:r>
      <w:r w:rsidRPr="00925E10">
        <w:rPr>
          <w:rFonts w:ascii="Calibri" w:hAnsi="Calibri" w:cs="Calibri"/>
          <w:sz w:val="24"/>
          <w:szCs w:val="24"/>
          <w:lang w:val="en-US"/>
        </w:rPr>
        <w:t xml:space="preserve"> significant total effects for childhood health, childhood family financial status, and, among men, parental substance abuse. Childhood health retains significant direct effects in the final model though late life events mediate about</w:t>
      </w:r>
      <w:r w:rsidR="00622852">
        <w:rPr>
          <w:rFonts w:ascii="Calibri" w:hAnsi="Calibri" w:cs="Calibri"/>
          <w:sz w:val="24"/>
          <w:szCs w:val="24"/>
          <w:lang w:val="en-US"/>
        </w:rPr>
        <w:t xml:space="preserve"> half of its effects for women.</w:t>
      </w:r>
      <w:r w:rsidRPr="00925E10">
        <w:rPr>
          <w:rFonts w:ascii="Calibri" w:hAnsi="Calibri" w:cs="Calibri"/>
          <w:sz w:val="24"/>
          <w:szCs w:val="24"/>
          <w:lang w:val="en-US"/>
        </w:rPr>
        <w:t xml:space="preserve"> Childhood family financial status for both men </w:t>
      </w:r>
      <w:r w:rsidRPr="00925E10">
        <w:rPr>
          <w:rFonts w:ascii="Calibri" w:hAnsi="Calibri" w:cs="Calibri"/>
          <w:sz w:val="24"/>
          <w:szCs w:val="24"/>
          <w:lang w:val="en-US"/>
        </w:rPr>
        <w:lastRenderedPageBreak/>
        <w:t>and women is mediated by tertiary education attainment. Parental substance abuse, which is significant for men only, is mediated by late life characteristics.  Hence our expectations are partly confirmed.</w:t>
      </w:r>
    </w:p>
    <w:p w:rsidR="00D814D6" w:rsidRPr="00925E10" w:rsidRDefault="00D814D6" w:rsidP="00273A74">
      <w:pPr>
        <w:widowControl w:val="0"/>
        <w:autoSpaceDE w:val="0"/>
        <w:autoSpaceDN w:val="0"/>
        <w:adjustRightInd w:val="0"/>
        <w:spacing w:afterLines="120" w:line="480" w:lineRule="auto"/>
        <w:jc w:val="both"/>
        <w:rPr>
          <w:rFonts w:ascii="Calibri" w:hAnsi="Calibri" w:cs="Calibri"/>
          <w:color w:val="000000"/>
          <w:sz w:val="24"/>
          <w:szCs w:val="24"/>
        </w:rPr>
      </w:pPr>
      <w:r w:rsidRPr="00925E10">
        <w:rPr>
          <w:rFonts w:ascii="Calibri" w:hAnsi="Calibri" w:cs="Calibri"/>
          <w:sz w:val="24"/>
          <w:szCs w:val="24"/>
          <w:lang w:val="en-US"/>
        </w:rPr>
        <w:t>While we find the overall models for men and women are significantly different, there is ambiguous evidence regarding whether marital status effects differ for men and women. While we find different patterns of coefficients are significant in separate models for men and women, we are unable to reject the null hypothesis of no difference in an interaction mod</w:t>
      </w:r>
      <w:r w:rsidR="00622852">
        <w:rPr>
          <w:rFonts w:ascii="Calibri" w:hAnsi="Calibri" w:cs="Calibri"/>
          <w:sz w:val="24"/>
          <w:szCs w:val="24"/>
          <w:lang w:val="en-US"/>
        </w:rPr>
        <w:t>el.</w:t>
      </w:r>
      <w:r w:rsidRPr="00925E10">
        <w:rPr>
          <w:rFonts w:ascii="Calibri" w:hAnsi="Calibri" w:cs="Calibri"/>
          <w:sz w:val="24"/>
          <w:szCs w:val="24"/>
          <w:lang w:val="en-US"/>
        </w:rPr>
        <w:t xml:space="preserve">  Yet this ambiguity does not affect the clear finding that both </w:t>
      </w:r>
      <w:r w:rsidRPr="00925E10">
        <w:rPr>
          <w:rFonts w:ascii="Calibri" w:hAnsi="Calibri" w:cs="Calibri"/>
          <w:color w:val="000000"/>
          <w:sz w:val="24"/>
          <w:szCs w:val="24"/>
        </w:rPr>
        <w:t xml:space="preserve">widowed men and women are more likely to have higher depressive symptoms than married individuals. This result is consistent with previous studies </w:t>
      </w:r>
      <w:r w:rsidRPr="00925E10">
        <w:rPr>
          <w:rFonts w:ascii="Calibri" w:hAnsi="Calibri" w:cs="Calibri"/>
          <w:sz w:val="24"/>
          <w:szCs w:val="24"/>
        </w:rPr>
        <w:t>(van Grootheest et al. 1999; Wisocki and Skowron, 2000)</w:t>
      </w:r>
      <w:r w:rsidR="00622852">
        <w:rPr>
          <w:rFonts w:ascii="Calibri" w:hAnsi="Calibri" w:cs="Calibri"/>
          <w:color w:val="000000"/>
          <w:sz w:val="24"/>
          <w:szCs w:val="24"/>
        </w:rPr>
        <w:t>.</w:t>
      </w:r>
      <w:r w:rsidRPr="00925E10">
        <w:rPr>
          <w:rFonts w:ascii="Calibri" w:hAnsi="Calibri" w:cs="Calibri"/>
          <w:color w:val="000000"/>
          <w:sz w:val="24"/>
          <w:szCs w:val="24"/>
        </w:rPr>
        <w:t xml:space="preserve"> We did not find a significant association between being never married and depression among men and women once la</w:t>
      </w:r>
      <w:r w:rsidR="00622852">
        <w:rPr>
          <w:rFonts w:ascii="Calibri" w:hAnsi="Calibri" w:cs="Calibri"/>
          <w:color w:val="000000"/>
          <w:sz w:val="24"/>
          <w:szCs w:val="24"/>
        </w:rPr>
        <w:t>te life events were considered.</w:t>
      </w:r>
      <w:r w:rsidRPr="00925E10">
        <w:rPr>
          <w:rFonts w:ascii="Calibri" w:hAnsi="Calibri" w:cs="Calibri"/>
          <w:color w:val="000000"/>
          <w:sz w:val="24"/>
          <w:szCs w:val="24"/>
        </w:rPr>
        <w:t xml:space="preserve"> Focusing on the separate models by gender, we find</w:t>
      </w:r>
      <w:r w:rsidR="00622852">
        <w:rPr>
          <w:rFonts w:ascii="Calibri" w:hAnsi="Calibri" w:cs="Calibri"/>
          <w:sz w:val="24"/>
          <w:szCs w:val="24"/>
        </w:rPr>
        <w:t xml:space="preserve"> that</w:t>
      </w:r>
      <w:r w:rsidRPr="00925E10">
        <w:rPr>
          <w:rFonts w:ascii="Calibri" w:hAnsi="Calibri" w:cs="Calibri"/>
          <w:sz w:val="24"/>
          <w:szCs w:val="24"/>
        </w:rPr>
        <w:t xml:space="preserve"> d</w:t>
      </w:r>
      <w:r w:rsidRPr="00925E10">
        <w:rPr>
          <w:rFonts w:ascii="Calibri" w:hAnsi="Calibri" w:cs="Calibri"/>
          <w:color w:val="000000"/>
          <w:sz w:val="24"/>
          <w:szCs w:val="24"/>
        </w:rPr>
        <w:t xml:space="preserve">ivorced men are more likely to be depressed than married men in line with the findings of </w:t>
      </w:r>
      <w:r w:rsidRPr="00925E10">
        <w:rPr>
          <w:rFonts w:ascii="Calibri" w:hAnsi="Calibri" w:cs="Calibri"/>
          <w:sz w:val="24"/>
          <w:szCs w:val="24"/>
        </w:rPr>
        <w:t>Cohen et al</w:t>
      </w:r>
      <w:r w:rsidR="00622852">
        <w:rPr>
          <w:rFonts w:ascii="Calibri" w:hAnsi="Calibri" w:cs="Calibri"/>
          <w:sz w:val="24"/>
          <w:szCs w:val="24"/>
        </w:rPr>
        <w:t>.</w:t>
      </w:r>
      <w:r w:rsidRPr="00925E10">
        <w:rPr>
          <w:rFonts w:ascii="Calibri" w:hAnsi="Calibri" w:cs="Calibri"/>
          <w:sz w:val="24"/>
          <w:szCs w:val="24"/>
        </w:rPr>
        <w:t xml:space="preserve"> (2007)</w:t>
      </w:r>
      <w:r w:rsidRPr="00925E10">
        <w:rPr>
          <w:rFonts w:ascii="Calibri" w:hAnsi="Calibri" w:cs="Calibri"/>
          <w:color w:val="000000"/>
          <w:sz w:val="24"/>
          <w:szCs w:val="24"/>
        </w:rPr>
        <w:t xml:space="preserve">.  </w:t>
      </w:r>
    </w:p>
    <w:p w:rsidR="00D814D6" w:rsidRPr="00925E10" w:rsidRDefault="00D814D6">
      <w:pPr>
        <w:autoSpaceDE w:val="0"/>
        <w:autoSpaceDN w:val="0"/>
        <w:adjustRightInd w:val="0"/>
        <w:spacing w:after="240" w:line="480" w:lineRule="auto"/>
        <w:jc w:val="both"/>
        <w:rPr>
          <w:rFonts w:ascii="Calibri" w:hAnsi="Calibri" w:cs="Calibri"/>
          <w:sz w:val="24"/>
          <w:szCs w:val="24"/>
        </w:rPr>
      </w:pPr>
      <w:r w:rsidRPr="00925E10">
        <w:rPr>
          <w:rFonts w:ascii="Calibri" w:hAnsi="Calibri" w:cs="Calibri"/>
          <w:color w:val="000000"/>
          <w:sz w:val="24"/>
          <w:szCs w:val="24"/>
        </w:rPr>
        <w:t xml:space="preserve">The results of this study </w:t>
      </w:r>
      <w:r w:rsidRPr="00925E10">
        <w:rPr>
          <w:rFonts w:ascii="Calibri" w:hAnsi="Calibri" w:cs="Calibri"/>
          <w:sz w:val="24"/>
          <w:szCs w:val="24"/>
        </w:rPr>
        <w:t xml:space="preserve">indicate the continuing impact of early events on later life depression and reveal vulnerable populations that have higher average depressive symptoms. Our results suggest that negative childhood circumstances are consequential to depression in later life. In particular, they indicate that ill health in childhood has a strong and direct effect on depression in later life for both men and women while other early stressors are mediated by later characteristics. The results also suggest that when later life circumstances are included, marital disruption (divorce and widowhood) is associated with depression, but singlehood is not. </w:t>
      </w:r>
    </w:p>
    <w:p w:rsidR="00D814D6" w:rsidRPr="00925E10" w:rsidRDefault="00D814D6">
      <w:pPr>
        <w:autoSpaceDE w:val="0"/>
        <w:autoSpaceDN w:val="0"/>
        <w:adjustRightInd w:val="0"/>
        <w:spacing w:after="240" w:line="480" w:lineRule="auto"/>
        <w:jc w:val="both"/>
        <w:rPr>
          <w:rFonts w:ascii="Calibri" w:hAnsi="Calibri" w:cs="Calibri"/>
          <w:sz w:val="24"/>
          <w:szCs w:val="24"/>
        </w:rPr>
      </w:pPr>
      <w:r w:rsidRPr="00925E10">
        <w:rPr>
          <w:rFonts w:ascii="Calibri" w:hAnsi="Calibri" w:cs="Calibri"/>
          <w:sz w:val="24"/>
          <w:szCs w:val="24"/>
        </w:rPr>
        <w:lastRenderedPageBreak/>
        <w:t xml:space="preserve">Our findings highlight the importance of targeting intervention programmes towards young children who experience ill-health, older bereaved adults and divorced men. The specificity of the Irish context must be taken into account when considering the findings. </w:t>
      </w:r>
      <w:r w:rsidR="00622852">
        <w:rPr>
          <w:rFonts w:ascii="Calibri" w:hAnsi="Calibri" w:cs="Calibri"/>
          <w:sz w:val="24"/>
          <w:szCs w:val="24"/>
        </w:rPr>
        <w:t>T</w:t>
      </w:r>
      <w:r w:rsidRPr="00925E10">
        <w:rPr>
          <w:rFonts w:ascii="Calibri" w:hAnsi="Calibri" w:cs="Calibri"/>
          <w:sz w:val="24"/>
          <w:szCs w:val="24"/>
        </w:rPr>
        <w:t xml:space="preserve">he profile of never-married older individuals </w:t>
      </w:r>
      <w:r w:rsidR="00BA2845">
        <w:rPr>
          <w:rFonts w:ascii="Calibri" w:hAnsi="Calibri" w:cs="Calibri"/>
          <w:sz w:val="24"/>
          <w:szCs w:val="24"/>
        </w:rPr>
        <w:t xml:space="preserve">in Ireland </w:t>
      </w:r>
      <w:r w:rsidRPr="00925E10">
        <w:rPr>
          <w:rFonts w:ascii="Calibri" w:hAnsi="Calibri" w:cs="Calibri"/>
          <w:sz w:val="24"/>
          <w:szCs w:val="24"/>
        </w:rPr>
        <w:t xml:space="preserve">may differ </w:t>
      </w:r>
      <w:r w:rsidR="00622852">
        <w:rPr>
          <w:rFonts w:ascii="Calibri" w:hAnsi="Calibri" w:cs="Calibri"/>
          <w:sz w:val="24"/>
          <w:szCs w:val="24"/>
        </w:rPr>
        <w:t>from</w:t>
      </w:r>
      <w:r w:rsidRPr="00925E10">
        <w:rPr>
          <w:rFonts w:ascii="Calibri" w:hAnsi="Calibri" w:cs="Calibri"/>
          <w:sz w:val="24"/>
          <w:szCs w:val="24"/>
        </w:rPr>
        <w:t xml:space="preserve"> that of their European counterparts. Also, given the relatively late legalisati</w:t>
      </w:r>
      <w:r w:rsidR="00622852">
        <w:rPr>
          <w:rFonts w:ascii="Calibri" w:hAnsi="Calibri" w:cs="Calibri"/>
          <w:sz w:val="24"/>
          <w:szCs w:val="24"/>
        </w:rPr>
        <w:t>on of divorce in Ireland in 1996</w:t>
      </w:r>
      <w:r w:rsidRPr="00925E10">
        <w:rPr>
          <w:rFonts w:ascii="Calibri" w:hAnsi="Calibri" w:cs="Calibri"/>
          <w:sz w:val="24"/>
          <w:szCs w:val="24"/>
        </w:rPr>
        <w:t xml:space="preserve">, the numbers of older individuals who are divorced is considerably less than in other Western countries.   </w:t>
      </w:r>
    </w:p>
    <w:p w:rsidR="00D814D6" w:rsidRPr="00925E10" w:rsidRDefault="00D814D6">
      <w:pPr>
        <w:autoSpaceDE w:val="0"/>
        <w:autoSpaceDN w:val="0"/>
        <w:adjustRightInd w:val="0"/>
        <w:spacing w:after="240" w:line="480" w:lineRule="auto"/>
        <w:jc w:val="both"/>
        <w:rPr>
          <w:rFonts w:ascii="Calibri" w:hAnsi="Calibri" w:cs="Calibri"/>
          <w:sz w:val="24"/>
          <w:szCs w:val="24"/>
        </w:rPr>
      </w:pPr>
      <w:r w:rsidRPr="00925E10">
        <w:rPr>
          <w:rFonts w:ascii="Calibri" w:hAnsi="Calibri" w:cs="Calibri"/>
          <w:sz w:val="24"/>
          <w:szCs w:val="24"/>
        </w:rPr>
        <w:t>The findings of this study also signal the possible shortcomings of previous studies which did not include in their analysis early life circumstances. Our findings indicate</w:t>
      </w:r>
      <w:r w:rsidRPr="00925E10">
        <w:rPr>
          <w:rFonts w:ascii="Calibri" w:hAnsi="Calibri" w:cs="Calibri"/>
          <w:color w:val="000000"/>
          <w:sz w:val="24"/>
          <w:szCs w:val="24"/>
        </w:rPr>
        <w:t xml:space="preserve"> that when childhood circumstances are excluded, the direct effects of a number of variables would be overestimated and a few would be underestimated. </w:t>
      </w:r>
      <w:r w:rsidRPr="00925E10">
        <w:rPr>
          <w:rFonts w:ascii="Calibri" w:hAnsi="Calibri" w:cs="Calibri"/>
          <w:sz w:val="24"/>
          <w:szCs w:val="24"/>
        </w:rPr>
        <w:t>These findings suggest that previous studies examining the impact of current socioeconomic status and health on depression may have underestimated or overestimated the association between marital status, current health, education and depression.</w:t>
      </w:r>
    </w:p>
    <w:p w:rsidR="00D814D6" w:rsidRPr="00925E10" w:rsidRDefault="00D814D6">
      <w:pPr>
        <w:autoSpaceDE w:val="0"/>
        <w:autoSpaceDN w:val="0"/>
        <w:adjustRightInd w:val="0"/>
        <w:spacing w:after="240" w:line="480" w:lineRule="auto"/>
        <w:jc w:val="both"/>
        <w:rPr>
          <w:rFonts w:ascii="Calibri" w:hAnsi="Calibri" w:cs="Calibri"/>
          <w:color w:val="000000"/>
          <w:sz w:val="24"/>
          <w:szCs w:val="24"/>
          <w:lang w:eastAsia="en-IE"/>
        </w:rPr>
      </w:pPr>
      <w:r w:rsidRPr="00925E10">
        <w:rPr>
          <w:rFonts w:ascii="Calibri" w:hAnsi="Calibri" w:cs="Calibri"/>
          <w:color w:val="000000"/>
          <w:sz w:val="24"/>
          <w:szCs w:val="24"/>
        </w:rPr>
        <w:t xml:space="preserve">The limitations of the study include the fact that the study is a cross-sectional analysis which cannot capture changes over time. </w:t>
      </w:r>
      <w:r w:rsidR="00BA2845" w:rsidRPr="00925E10">
        <w:rPr>
          <w:rFonts w:ascii="Calibri" w:hAnsi="Calibri" w:cs="Calibri"/>
          <w:color w:val="000000"/>
          <w:sz w:val="24"/>
          <w:szCs w:val="24"/>
          <w:lang w:eastAsia="en-IE"/>
        </w:rPr>
        <w:t>W</w:t>
      </w:r>
      <w:r w:rsidR="00BA2845" w:rsidRPr="00925E10">
        <w:rPr>
          <w:rFonts w:ascii="Calibri" w:hAnsi="Calibri" w:cs="Calibri"/>
          <w:color w:val="000000"/>
          <w:sz w:val="24"/>
          <w:szCs w:val="24"/>
        </w:rPr>
        <w:t>e cannot rule out the reverse causation between depression and self-rated health in later life</w:t>
      </w:r>
      <w:r w:rsidR="00BA2845">
        <w:rPr>
          <w:rFonts w:ascii="Calibri" w:hAnsi="Calibri" w:cs="Calibri"/>
          <w:color w:val="000000"/>
          <w:sz w:val="24"/>
          <w:szCs w:val="24"/>
        </w:rPr>
        <w:t>.</w:t>
      </w:r>
      <w:r w:rsidR="00BA2845" w:rsidRPr="00925E10">
        <w:rPr>
          <w:rFonts w:ascii="Calibri" w:hAnsi="Calibri" w:cs="Calibri"/>
          <w:color w:val="000000"/>
          <w:sz w:val="24"/>
          <w:szCs w:val="24"/>
          <w:lang w:eastAsia="en-IE"/>
        </w:rPr>
        <w:t xml:space="preserve"> </w:t>
      </w:r>
      <w:r w:rsidRPr="00925E10">
        <w:rPr>
          <w:rFonts w:ascii="Calibri" w:hAnsi="Calibri" w:cs="Calibri"/>
          <w:sz w:val="24"/>
          <w:szCs w:val="24"/>
        </w:rPr>
        <w:t>M</w:t>
      </w:r>
      <w:r w:rsidRPr="00925E10">
        <w:rPr>
          <w:rFonts w:ascii="Calibri" w:hAnsi="Calibri" w:cs="Calibri"/>
          <w:color w:val="000000"/>
          <w:sz w:val="24"/>
          <w:szCs w:val="24"/>
          <w:lang w:eastAsia="en-IE"/>
        </w:rPr>
        <w:t xml:space="preserve">ood congruency bias may be a problem as depressed people “selectively recall negative experiences and hence may exaggerate or misrepresent the presence of childhood adversity” </w:t>
      </w:r>
      <w:r w:rsidR="000F2203" w:rsidRPr="00925E10">
        <w:rPr>
          <w:rFonts w:ascii="Calibri" w:hAnsi="Calibri" w:cs="Calibri"/>
          <w:color w:val="000000"/>
          <w:sz w:val="24"/>
          <w:szCs w:val="24"/>
          <w:lang w:eastAsia="en-IE"/>
        </w:rPr>
        <w:fldChar w:fldCharType="begin"/>
      </w:r>
      <w:r w:rsidRPr="00925E10">
        <w:rPr>
          <w:rFonts w:ascii="Calibri" w:hAnsi="Calibri" w:cs="Calibri"/>
          <w:color w:val="000000"/>
          <w:sz w:val="24"/>
          <w:szCs w:val="24"/>
          <w:lang w:eastAsia="en-IE"/>
        </w:rPr>
        <w:instrText xml:space="preserve"> ADDIN EN.CITE &lt;EndNote&gt;&lt;Cite&gt;&lt;Author&gt;FERGUSSON&lt;/Author&gt;&lt;Year&gt;2000&lt;/Year&gt;&lt;RecNum&gt;200&lt;/RecNum&gt;&lt;DisplayText&gt;(Fergusson, Horwood, &amp;amp; J.Woodward, 2000)&lt;/DisplayText&gt;&lt;record&gt;&lt;rec-number&gt;200&lt;/rec-number&gt;&lt;foreign-keys&gt;&lt;key app="EN" db-id="xstaw9exqdxv0zeazr8vdrp6ed0z0z0pa5z5"&gt;200&lt;/key&gt;&lt;/foreign-keys&gt;&lt;ref-type name="Journal Article"&gt;17&lt;/ref-type&gt;&lt;contributors&gt;&lt;authors&gt;&lt;author&gt;D. M. Fergusson&lt;/author&gt;&lt;author&gt;L. J. Horwood &lt;/author&gt;&lt;author&gt;L. J.Woodward &lt;/author&gt;&lt;/authors&gt;&lt;/contributors&gt;&lt;titles&gt;&lt;title&gt;The stability of child abuse reports: a longitudinal study of the reporting behaviour of young adults&lt;/title&gt;&lt;secondary-title&gt;Psychological Medicine&lt;/secondary-title&gt;&lt;/titles&gt;&lt;periodical&gt;&lt;full-title&gt;Psychological Medicine&lt;/full-title&gt;&lt;/periodical&gt;&lt;pages&gt;529-544&amp;#xD;&lt;/pages&gt;&lt;volume&gt;30&lt;/volume&gt;&lt;number&gt;3&lt;/number&gt;&lt;dates&gt;&lt;year&gt;2000&lt;/year&gt;&lt;/dates&gt;&lt;urls&gt;&lt;/urls&gt;&lt;/record&gt;&lt;/Cite&gt;&lt;/EndNote&gt;</w:instrText>
      </w:r>
      <w:r w:rsidR="000F2203" w:rsidRPr="00925E10">
        <w:rPr>
          <w:rFonts w:ascii="Calibri" w:hAnsi="Calibri" w:cs="Calibri"/>
          <w:color w:val="000000"/>
          <w:sz w:val="24"/>
          <w:szCs w:val="24"/>
          <w:lang w:eastAsia="en-IE"/>
        </w:rPr>
        <w:fldChar w:fldCharType="separate"/>
      </w:r>
      <w:r w:rsidRPr="00925E10">
        <w:rPr>
          <w:rFonts w:ascii="Calibri" w:hAnsi="Calibri" w:cs="Calibri"/>
          <w:noProof/>
          <w:color w:val="000000"/>
          <w:sz w:val="24"/>
          <w:szCs w:val="24"/>
          <w:lang w:eastAsia="en-IE"/>
        </w:rPr>
        <w:t>(Fergusson, Horwood and Woodward, 2000)</w:t>
      </w:r>
      <w:r w:rsidR="000F2203" w:rsidRPr="00925E10">
        <w:rPr>
          <w:rFonts w:ascii="Calibri" w:hAnsi="Calibri" w:cs="Calibri"/>
          <w:color w:val="000000"/>
          <w:sz w:val="24"/>
          <w:szCs w:val="24"/>
          <w:lang w:eastAsia="en-IE"/>
        </w:rPr>
        <w:fldChar w:fldCharType="end"/>
      </w:r>
      <w:r w:rsidRPr="00925E10">
        <w:rPr>
          <w:rFonts w:ascii="Calibri" w:hAnsi="Calibri" w:cs="Calibri"/>
          <w:color w:val="000000"/>
          <w:sz w:val="24"/>
          <w:szCs w:val="24"/>
          <w:lang w:eastAsia="en-IE"/>
        </w:rPr>
        <w:t xml:space="preserve">. </w:t>
      </w:r>
      <w:r w:rsidR="00BA2845" w:rsidRPr="00925E10">
        <w:rPr>
          <w:rFonts w:ascii="Calibri" w:hAnsi="Calibri" w:cs="Calibri"/>
          <w:color w:val="000000"/>
          <w:sz w:val="24"/>
          <w:szCs w:val="24"/>
        </w:rPr>
        <w:t xml:space="preserve">Information on childhood circumstances was gathered retrospectively when the respondents were aged 65 </w:t>
      </w:r>
      <w:r w:rsidR="00BA2845" w:rsidRPr="00925E10">
        <w:rPr>
          <w:rFonts w:ascii="Calibri" w:hAnsi="Calibri" w:cs="Calibri"/>
          <w:color w:val="000000"/>
          <w:sz w:val="24"/>
          <w:szCs w:val="24"/>
        </w:rPr>
        <w:lastRenderedPageBreak/>
        <w:t xml:space="preserve">and over; </w:t>
      </w:r>
      <w:r w:rsidR="00BA2845" w:rsidRPr="00925E10">
        <w:rPr>
          <w:rFonts w:ascii="Calibri" w:hAnsi="Calibri" w:cs="Calibri"/>
          <w:sz w:val="24"/>
          <w:szCs w:val="24"/>
        </w:rPr>
        <w:t>such retrospective accounts may be compromised by poor recall (Looker, 1989)</w:t>
      </w:r>
      <w:r w:rsidR="00BA2845" w:rsidRPr="00925E10">
        <w:rPr>
          <w:rFonts w:ascii="Calibri" w:hAnsi="Calibri" w:cs="Calibri"/>
          <w:color w:val="000000"/>
          <w:sz w:val="24"/>
          <w:szCs w:val="24"/>
        </w:rPr>
        <w:t>.</w:t>
      </w:r>
    </w:p>
    <w:p w:rsidR="00D814D6" w:rsidRPr="00925E10" w:rsidRDefault="008168CD">
      <w:pPr>
        <w:spacing w:line="480" w:lineRule="auto"/>
        <w:jc w:val="both"/>
        <w:rPr>
          <w:rFonts w:ascii="Calibri" w:hAnsi="Calibri" w:cs="Calibri"/>
          <w:b/>
          <w:color w:val="000000"/>
          <w:sz w:val="24"/>
          <w:szCs w:val="24"/>
          <w:lang w:eastAsia="en-IE"/>
        </w:rPr>
      </w:pPr>
      <w:r>
        <w:rPr>
          <w:rFonts w:ascii="Calibri" w:hAnsi="Calibri" w:cs="Calibri"/>
          <w:b/>
          <w:sz w:val="24"/>
          <w:szCs w:val="24"/>
        </w:rPr>
        <w:br w:type="page"/>
      </w:r>
      <w:r w:rsidR="00D814D6" w:rsidRPr="00925E10">
        <w:rPr>
          <w:rFonts w:ascii="Calibri" w:hAnsi="Calibri" w:cs="Calibri"/>
          <w:b/>
          <w:sz w:val="24"/>
          <w:szCs w:val="24"/>
        </w:rPr>
        <w:lastRenderedPageBreak/>
        <w:t xml:space="preserve">References </w:t>
      </w:r>
    </w:p>
    <w:p w:rsidR="00D814D6" w:rsidRPr="00925E10" w:rsidRDefault="00D814D6">
      <w:pPr>
        <w:pStyle w:val="NormalWeb"/>
        <w:shd w:val="clear" w:color="auto" w:fill="FFFFFF"/>
        <w:spacing w:before="100" w:beforeAutospacing="1" w:after="0" w:afterAutospacing="0" w:line="480" w:lineRule="auto"/>
        <w:jc w:val="both"/>
        <w:rPr>
          <w:rFonts w:ascii="Calibri" w:hAnsi="Calibri" w:cs="Calibri"/>
          <w:sz w:val="24"/>
          <w:szCs w:val="24"/>
        </w:rPr>
      </w:pPr>
      <w:r>
        <w:rPr>
          <w:rFonts w:ascii="Calibri" w:hAnsi="Calibri" w:cs="Calibri"/>
          <w:sz w:val="24"/>
          <w:szCs w:val="24"/>
        </w:rPr>
        <w:t xml:space="preserve">Alwin, DF and Hauser RM (1975) </w:t>
      </w:r>
      <w:r w:rsidRPr="00925E10">
        <w:rPr>
          <w:rFonts w:ascii="Calibri" w:hAnsi="Calibri" w:cs="Calibri"/>
          <w:sz w:val="24"/>
          <w:szCs w:val="24"/>
        </w:rPr>
        <w:t xml:space="preserve">“The decomposition of effects in path analysis”, </w:t>
      </w:r>
      <w:r w:rsidRPr="00925E10">
        <w:rPr>
          <w:rFonts w:ascii="Calibri" w:hAnsi="Calibri" w:cs="Calibri"/>
          <w:i/>
          <w:sz w:val="24"/>
          <w:szCs w:val="24"/>
        </w:rPr>
        <w:t>American Sociological Review</w:t>
      </w:r>
      <w:r w:rsidRPr="00925E10">
        <w:rPr>
          <w:rFonts w:ascii="Calibri" w:hAnsi="Calibri" w:cs="Calibri"/>
          <w:sz w:val="24"/>
          <w:szCs w:val="24"/>
        </w:rPr>
        <w:t>, 40: 37-47.</w:t>
      </w:r>
    </w:p>
    <w:p w:rsidR="00D814D6" w:rsidRPr="00925E10" w:rsidRDefault="00D814D6">
      <w:pPr>
        <w:spacing w:after="0" w:line="480" w:lineRule="auto"/>
        <w:jc w:val="both"/>
        <w:rPr>
          <w:rFonts w:ascii="Calibri" w:hAnsi="Calibri" w:cs="Calibri"/>
          <w:noProof/>
          <w:sz w:val="24"/>
          <w:szCs w:val="24"/>
        </w:rPr>
      </w:pPr>
      <w:r w:rsidRPr="00925E10">
        <w:rPr>
          <w:rFonts w:ascii="Calibri" w:hAnsi="Calibri" w:cs="Calibri"/>
          <w:noProof/>
          <w:sz w:val="24"/>
          <w:szCs w:val="24"/>
        </w:rPr>
        <w:t xml:space="preserve">Arber, S. (2004) "Gender, marital status, and ageing: Linking material, health and social resources." </w:t>
      </w:r>
      <w:r w:rsidRPr="00925E10">
        <w:rPr>
          <w:rFonts w:ascii="Calibri" w:hAnsi="Calibri" w:cs="Calibri"/>
          <w:i/>
          <w:noProof/>
          <w:sz w:val="24"/>
          <w:szCs w:val="24"/>
        </w:rPr>
        <w:t>Journal of Aging Studies</w:t>
      </w:r>
      <w:r w:rsidRPr="00925E10">
        <w:rPr>
          <w:rFonts w:ascii="Calibri" w:hAnsi="Calibri" w:cs="Calibri"/>
          <w:noProof/>
          <w:sz w:val="24"/>
          <w:szCs w:val="24"/>
          <w:u w:val="single"/>
        </w:rPr>
        <w:t xml:space="preserve"> </w:t>
      </w:r>
      <w:r w:rsidRPr="00925E10">
        <w:rPr>
          <w:rFonts w:ascii="Calibri" w:hAnsi="Calibri" w:cs="Calibri"/>
          <w:noProof/>
          <w:sz w:val="24"/>
          <w:szCs w:val="24"/>
        </w:rPr>
        <w:t>18: 91-108.</w:t>
      </w:r>
    </w:p>
    <w:p w:rsidR="0091428D" w:rsidRPr="0091428D" w:rsidRDefault="0091428D" w:rsidP="0091428D">
      <w:pPr>
        <w:spacing w:line="480" w:lineRule="auto"/>
        <w:rPr>
          <w:rFonts w:asciiTheme="minorHAnsi" w:hAnsiTheme="minorHAnsi" w:cs="Arial"/>
          <w:sz w:val="24"/>
          <w:szCs w:val="24"/>
        </w:rPr>
      </w:pPr>
      <w:r w:rsidRPr="0091428D">
        <w:rPr>
          <w:rFonts w:asciiTheme="minorHAnsi" w:hAnsiTheme="minorHAnsi" w:cs="Arial"/>
          <w:sz w:val="24"/>
          <w:szCs w:val="24"/>
        </w:rPr>
        <w:t>Berkman</w:t>
      </w:r>
      <w:r>
        <w:rPr>
          <w:rFonts w:asciiTheme="minorHAnsi" w:hAnsiTheme="minorHAnsi" w:cs="Arial"/>
          <w:sz w:val="24"/>
          <w:szCs w:val="24"/>
        </w:rPr>
        <w:t xml:space="preserve">, L. and </w:t>
      </w:r>
      <w:r w:rsidRPr="0091428D">
        <w:rPr>
          <w:rFonts w:asciiTheme="minorHAnsi" w:hAnsiTheme="minorHAnsi" w:cs="Arial"/>
          <w:sz w:val="24"/>
          <w:szCs w:val="24"/>
        </w:rPr>
        <w:t xml:space="preserve">Breslow (1983) </w:t>
      </w:r>
      <w:r w:rsidRPr="0091428D">
        <w:rPr>
          <w:rFonts w:asciiTheme="minorHAnsi" w:hAnsiTheme="minorHAnsi" w:cs="Arial"/>
          <w:i/>
          <w:sz w:val="24"/>
          <w:szCs w:val="24"/>
        </w:rPr>
        <w:t>Health and Ways of Living</w:t>
      </w:r>
      <w:r w:rsidRPr="0091428D">
        <w:rPr>
          <w:rFonts w:asciiTheme="minorHAnsi" w:hAnsiTheme="minorHAnsi" w:cs="Arial"/>
          <w:sz w:val="24"/>
          <w:szCs w:val="24"/>
        </w:rPr>
        <w:t>. New York, NY: Oxford Uni</w:t>
      </w:r>
      <w:r>
        <w:rPr>
          <w:rFonts w:asciiTheme="minorHAnsi" w:hAnsiTheme="minorHAnsi" w:cs="Arial"/>
          <w:sz w:val="24"/>
          <w:szCs w:val="24"/>
        </w:rPr>
        <w:t>versity Press</w:t>
      </w:r>
      <w:r w:rsidRPr="0091428D">
        <w:rPr>
          <w:rFonts w:asciiTheme="minorHAnsi" w:hAnsiTheme="minorHAnsi" w:cs="Arial"/>
          <w:sz w:val="24"/>
          <w:szCs w:val="24"/>
        </w:rPr>
        <w:t xml:space="preserve">. </w:t>
      </w:r>
    </w:p>
    <w:p w:rsidR="00D814D6" w:rsidRPr="00925E10" w:rsidRDefault="00D814D6">
      <w:pPr>
        <w:spacing w:after="0" w:line="480" w:lineRule="auto"/>
        <w:jc w:val="both"/>
        <w:rPr>
          <w:rFonts w:ascii="Calibri" w:hAnsi="Calibri" w:cs="Calibri"/>
          <w:sz w:val="24"/>
          <w:szCs w:val="24"/>
          <w:lang w:eastAsia="en-IE"/>
        </w:rPr>
      </w:pPr>
      <w:r w:rsidRPr="00925E10">
        <w:rPr>
          <w:rFonts w:ascii="Calibri" w:hAnsi="Calibri" w:cs="Calibri"/>
          <w:sz w:val="24"/>
          <w:szCs w:val="24"/>
          <w:lang w:eastAsia="en-IE"/>
        </w:rPr>
        <w:t xml:space="preserve">Carney, R. M. and Freedland, K. E. (2000) ‘Depression and medical illness’, In: Lisa F. Berkman and Ichiro Kawachi (Eds.) </w:t>
      </w:r>
      <w:r w:rsidRPr="00925E10">
        <w:rPr>
          <w:rFonts w:ascii="Calibri" w:hAnsi="Calibri" w:cs="Calibri"/>
          <w:i/>
          <w:sz w:val="24"/>
          <w:szCs w:val="24"/>
          <w:lang w:eastAsia="en-IE"/>
        </w:rPr>
        <w:t>Social Epidemiology</w:t>
      </w:r>
      <w:r w:rsidRPr="00925E10">
        <w:rPr>
          <w:rFonts w:ascii="Calibri" w:hAnsi="Calibri" w:cs="Calibri"/>
          <w:sz w:val="24"/>
          <w:szCs w:val="24"/>
          <w:lang w:eastAsia="en-IE"/>
        </w:rPr>
        <w:t>, Oxford University Press, New York, pp. 191-212.</w:t>
      </w:r>
    </w:p>
    <w:p w:rsidR="00D814D6" w:rsidRPr="00925E10" w:rsidRDefault="00D814D6">
      <w:pPr>
        <w:spacing w:after="0" w:line="480" w:lineRule="auto"/>
        <w:jc w:val="both"/>
        <w:rPr>
          <w:rFonts w:ascii="Calibri" w:hAnsi="Calibri" w:cs="Calibri"/>
          <w:sz w:val="24"/>
          <w:szCs w:val="24"/>
          <w:lang w:eastAsia="en-IE"/>
        </w:rPr>
      </w:pPr>
      <w:r w:rsidRPr="00925E10">
        <w:rPr>
          <w:rFonts w:ascii="Calibri" w:hAnsi="Calibri" w:cs="Calibri"/>
          <w:sz w:val="24"/>
          <w:szCs w:val="24"/>
          <w:lang w:eastAsia="en-IE"/>
        </w:rPr>
        <w:t xml:space="preserve">Chang-Quan, H., Xue-Mei, Z, Bi-Rong, D., Zhen-Can, L., Ji-Rong, Y. And Qing-Xiu, L. (2010) Health status and risk for depression among the elderly: a meta-analysis of published literature. </w:t>
      </w:r>
      <w:r w:rsidRPr="00925E10">
        <w:rPr>
          <w:rFonts w:ascii="Calibri" w:hAnsi="Calibri" w:cs="Calibri"/>
          <w:i/>
          <w:sz w:val="24"/>
          <w:szCs w:val="24"/>
          <w:lang w:eastAsia="en-IE"/>
        </w:rPr>
        <w:t>Age and Ageing</w:t>
      </w:r>
      <w:r w:rsidRPr="00925E10">
        <w:rPr>
          <w:rFonts w:ascii="Calibri" w:hAnsi="Calibri" w:cs="Calibri"/>
          <w:sz w:val="24"/>
          <w:szCs w:val="24"/>
          <w:lang w:eastAsia="en-IE"/>
        </w:rPr>
        <w:t xml:space="preserve">, 39, 23-30. </w:t>
      </w:r>
    </w:p>
    <w:p w:rsidR="00D814D6" w:rsidRPr="00925E10" w:rsidRDefault="00D814D6">
      <w:pPr>
        <w:autoSpaceDE w:val="0"/>
        <w:autoSpaceDN w:val="0"/>
        <w:adjustRightInd w:val="0"/>
        <w:spacing w:after="0" w:line="480" w:lineRule="auto"/>
        <w:jc w:val="both"/>
        <w:rPr>
          <w:rFonts w:ascii="Calibri" w:hAnsi="Calibri" w:cs="Calibri"/>
          <w:sz w:val="24"/>
          <w:szCs w:val="24"/>
        </w:rPr>
      </w:pPr>
      <w:r w:rsidRPr="00925E10">
        <w:rPr>
          <w:rFonts w:ascii="Calibri" w:hAnsi="Calibri" w:cs="Calibri"/>
          <w:sz w:val="24"/>
          <w:szCs w:val="24"/>
        </w:rPr>
        <w:t xml:space="preserve">Cohen, S., Klein, D. N., O’ Leary, K. D, (2007) ‘The role of separation/divorce in relapse into and recovery from major depression’, </w:t>
      </w:r>
      <w:r w:rsidRPr="00925E10">
        <w:rPr>
          <w:rFonts w:ascii="Calibri" w:hAnsi="Calibri" w:cs="Calibri"/>
          <w:i/>
          <w:sz w:val="24"/>
          <w:szCs w:val="24"/>
        </w:rPr>
        <w:t>Journal of Social and Personal Relations</w:t>
      </w:r>
      <w:r w:rsidRPr="00925E10">
        <w:rPr>
          <w:rFonts w:ascii="Calibri" w:hAnsi="Calibri" w:cs="Calibri"/>
          <w:sz w:val="24"/>
          <w:szCs w:val="24"/>
        </w:rPr>
        <w:t>, 24:855-873.</w:t>
      </w:r>
    </w:p>
    <w:p w:rsidR="00D814D6" w:rsidRPr="00925E10" w:rsidRDefault="00D814D6">
      <w:pPr>
        <w:autoSpaceDE w:val="0"/>
        <w:autoSpaceDN w:val="0"/>
        <w:adjustRightInd w:val="0"/>
        <w:spacing w:after="0" w:line="480" w:lineRule="auto"/>
        <w:jc w:val="both"/>
        <w:rPr>
          <w:rFonts w:ascii="Calibri" w:hAnsi="Calibri" w:cs="Calibri"/>
          <w:sz w:val="24"/>
          <w:szCs w:val="24"/>
        </w:rPr>
      </w:pPr>
      <w:r w:rsidRPr="00925E10">
        <w:rPr>
          <w:rFonts w:ascii="Calibri" w:hAnsi="Calibri" w:cs="Calibri"/>
          <w:sz w:val="24"/>
          <w:szCs w:val="24"/>
        </w:rPr>
        <w:t xml:space="preserve">Colman, I. and Ataullahjan, A. (2010) Life course perspectives on the epidemiology of depression. </w:t>
      </w:r>
      <w:r w:rsidRPr="00925E10">
        <w:rPr>
          <w:rFonts w:ascii="Calibri" w:hAnsi="Calibri" w:cs="Calibri"/>
          <w:i/>
          <w:sz w:val="24"/>
          <w:szCs w:val="24"/>
        </w:rPr>
        <w:t>Canadian Journal of Psychiatry</w:t>
      </w:r>
      <w:r w:rsidRPr="00925E10">
        <w:rPr>
          <w:rFonts w:ascii="Calibri" w:hAnsi="Calibri" w:cs="Calibri"/>
          <w:sz w:val="24"/>
          <w:szCs w:val="24"/>
        </w:rPr>
        <w:t>, 55(10):622-32.</w:t>
      </w:r>
    </w:p>
    <w:p w:rsidR="00D814D6" w:rsidRPr="00925E10" w:rsidRDefault="00FB71D6">
      <w:pPr>
        <w:spacing w:after="0" w:line="480" w:lineRule="auto"/>
        <w:jc w:val="both"/>
        <w:rPr>
          <w:rFonts w:ascii="Calibri" w:hAnsi="Calibri" w:cs="Calibri"/>
          <w:noProof/>
          <w:sz w:val="24"/>
          <w:szCs w:val="24"/>
        </w:rPr>
      </w:pPr>
      <w:r>
        <w:rPr>
          <w:rFonts w:ascii="Calibri" w:hAnsi="Calibri" w:cs="Calibri"/>
          <w:noProof/>
          <w:sz w:val="24"/>
          <w:szCs w:val="24"/>
        </w:rPr>
        <w:t>Dykstra, P.</w:t>
      </w:r>
      <w:r w:rsidR="00D814D6" w:rsidRPr="00925E10">
        <w:rPr>
          <w:rFonts w:ascii="Calibri" w:hAnsi="Calibri" w:cs="Calibri"/>
          <w:noProof/>
          <w:sz w:val="24"/>
          <w:szCs w:val="24"/>
        </w:rPr>
        <w:t xml:space="preserve">A. and M. Wagner (2007) "Pathways to childlessness and late-life outcomes." </w:t>
      </w:r>
      <w:r w:rsidR="00D814D6" w:rsidRPr="00925E10">
        <w:rPr>
          <w:rFonts w:ascii="Calibri" w:hAnsi="Calibri" w:cs="Calibri"/>
          <w:i/>
          <w:noProof/>
          <w:sz w:val="24"/>
          <w:szCs w:val="24"/>
        </w:rPr>
        <w:t>Journal of Family Issues</w:t>
      </w:r>
      <w:r w:rsidR="00D814D6" w:rsidRPr="00925E10">
        <w:rPr>
          <w:rFonts w:ascii="Calibri" w:hAnsi="Calibri" w:cs="Calibri"/>
          <w:noProof/>
          <w:sz w:val="24"/>
          <w:szCs w:val="24"/>
        </w:rPr>
        <w:t xml:space="preserve"> 28(11): 1487-1517.</w:t>
      </w:r>
    </w:p>
    <w:p w:rsidR="00D814D6" w:rsidRPr="00925E10" w:rsidRDefault="00FB71D6">
      <w:pPr>
        <w:pStyle w:val="ListParagraph"/>
        <w:spacing w:after="0" w:line="480" w:lineRule="auto"/>
        <w:ind w:left="0"/>
        <w:jc w:val="both"/>
        <w:rPr>
          <w:rFonts w:ascii="Calibri" w:hAnsi="Calibri" w:cs="Calibri"/>
          <w:sz w:val="24"/>
          <w:szCs w:val="24"/>
        </w:rPr>
      </w:pPr>
      <w:r>
        <w:rPr>
          <w:rFonts w:ascii="Calibri" w:hAnsi="Calibri" w:cs="Calibri"/>
          <w:sz w:val="24"/>
          <w:szCs w:val="24"/>
        </w:rPr>
        <w:t>Dykstra, P. A. and</w:t>
      </w:r>
      <w:r w:rsidR="00D814D6" w:rsidRPr="00925E10">
        <w:rPr>
          <w:rFonts w:ascii="Calibri" w:hAnsi="Calibri" w:cs="Calibri"/>
          <w:sz w:val="24"/>
          <w:szCs w:val="24"/>
        </w:rPr>
        <w:t xml:space="preserve"> De Jong Gierveld, J. (2004) ‘Gender and marital-history differences in emotional and social loneliness among Dutch older adults’, </w:t>
      </w:r>
      <w:r w:rsidR="00D814D6" w:rsidRPr="00925E10">
        <w:rPr>
          <w:rFonts w:ascii="Calibri" w:hAnsi="Calibri" w:cs="Calibri"/>
          <w:i/>
          <w:sz w:val="24"/>
          <w:szCs w:val="24"/>
        </w:rPr>
        <w:t>Canadian Journal of Aging</w:t>
      </w:r>
      <w:r w:rsidR="00D814D6" w:rsidRPr="00925E10">
        <w:rPr>
          <w:rFonts w:ascii="Calibri" w:hAnsi="Calibri" w:cs="Calibri"/>
          <w:sz w:val="24"/>
          <w:szCs w:val="24"/>
        </w:rPr>
        <w:t>, 23(2), 141-155.</w:t>
      </w:r>
    </w:p>
    <w:p w:rsidR="00D814D6" w:rsidRPr="00925E10" w:rsidRDefault="00D814D6">
      <w:pPr>
        <w:autoSpaceDE w:val="0"/>
        <w:autoSpaceDN w:val="0"/>
        <w:adjustRightInd w:val="0"/>
        <w:spacing w:after="0" w:line="480" w:lineRule="auto"/>
        <w:jc w:val="both"/>
        <w:rPr>
          <w:rFonts w:ascii="Calibri" w:hAnsi="Calibri" w:cs="Calibri"/>
          <w:sz w:val="24"/>
          <w:szCs w:val="24"/>
        </w:rPr>
      </w:pPr>
      <w:r w:rsidRPr="00925E10">
        <w:rPr>
          <w:rFonts w:ascii="Calibri" w:hAnsi="Calibri" w:cs="Calibri"/>
          <w:sz w:val="24"/>
          <w:szCs w:val="24"/>
        </w:rPr>
        <w:lastRenderedPageBreak/>
        <w:t xml:space="preserve">Felitti VJ, Anda RF, Nordenberg D et al. (1998) ‘The relationship of </w:t>
      </w:r>
      <w:r w:rsidRPr="00925E10">
        <w:rPr>
          <w:rFonts w:ascii="Calibri" w:hAnsi="Calibri" w:cs="Calibri"/>
          <w:bCs/>
          <w:sz w:val="24"/>
          <w:szCs w:val="24"/>
        </w:rPr>
        <w:t>adult health</w:t>
      </w:r>
      <w:r w:rsidRPr="00925E10">
        <w:rPr>
          <w:rFonts w:ascii="Calibri" w:hAnsi="Calibri" w:cs="Calibri"/>
          <w:sz w:val="24"/>
          <w:szCs w:val="24"/>
        </w:rPr>
        <w:t xml:space="preserve"> status to </w:t>
      </w:r>
      <w:r w:rsidRPr="00925E10">
        <w:rPr>
          <w:rFonts w:ascii="Calibri" w:hAnsi="Calibri" w:cs="Calibri"/>
          <w:bCs/>
          <w:sz w:val="24"/>
          <w:szCs w:val="24"/>
        </w:rPr>
        <w:t>childhood abuse</w:t>
      </w:r>
      <w:r w:rsidRPr="00925E10">
        <w:rPr>
          <w:rFonts w:ascii="Calibri" w:hAnsi="Calibri" w:cs="Calibri"/>
          <w:sz w:val="24"/>
          <w:szCs w:val="24"/>
        </w:rPr>
        <w:t xml:space="preserve"> &amp; household dysfunction’, </w:t>
      </w:r>
      <w:r w:rsidRPr="00925E10">
        <w:rPr>
          <w:rFonts w:ascii="Calibri" w:hAnsi="Calibri" w:cs="Calibri"/>
          <w:i/>
          <w:sz w:val="24"/>
          <w:szCs w:val="24"/>
        </w:rPr>
        <w:t xml:space="preserve">American Journal of Preventive Medicine </w:t>
      </w:r>
      <w:r w:rsidRPr="00925E10">
        <w:rPr>
          <w:rFonts w:ascii="Calibri" w:hAnsi="Calibri" w:cs="Calibri"/>
          <w:sz w:val="24"/>
          <w:szCs w:val="24"/>
        </w:rPr>
        <w:t>14(4):245-258.</w:t>
      </w:r>
    </w:p>
    <w:p w:rsidR="00D814D6" w:rsidRPr="00925E10" w:rsidRDefault="00D814D6">
      <w:pPr>
        <w:pStyle w:val="ListParagraph"/>
        <w:spacing w:after="0" w:line="480" w:lineRule="auto"/>
        <w:ind w:left="0" w:hanging="720"/>
        <w:jc w:val="both"/>
        <w:rPr>
          <w:rFonts w:ascii="Calibri" w:hAnsi="Calibri" w:cs="Calibri"/>
          <w:noProof/>
          <w:sz w:val="24"/>
          <w:szCs w:val="24"/>
        </w:rPr>
      </w:pPr>
      <w:r w:rsidRPr="00925E10">
        <w:rPr>
          <w:rFonts w:ascii="Calibri" w:hAnsi="Calibri" w:cs="Calibri"/>
          <w:noProof/>
          <w:sz w:val="24"/>
          <w:szCs w:val="24"/>
        </w:rPr>
        <w:tab/>
        <w:t>Fer</w:t>
      </w:r>
      <w:r w:rsidR="00FB71D6">
        <w:rPr>
          <w:rFonts w:ascii="Calibri" w:hAnsi="Calibri" w:cs="Calibri"/>
          <w:noProof/>
          <w:sz w:val="24"/>
          <w:szCs w:val="24"/>
        </w:rPr>
        <w:t xml:space="preserve">gusson, D. M., Horwood, L. J. and </w:t>
      </w:r>
      <w:r w:rsidRPr="00925E10">
        <w:rPr>
          <w:rFonts w:ascii="Calibri" w:hAnsi="Calibri" w:cs="Calibri"/>
          <w:noProof/>
          <w:sz w:val="24"/>
          <w:szCs w:val="24"/>
        </w:rPr>
        <w:t xml:space="preserve">Woodward, L. (2000) ‘The stability of child abuse reports: a longitudinal study of the reporting behaviour of young adults’, </w:t>
      </w:r>
      <w:r w:rsidRPr="00925E10">
        <w:rPr>
          <w:rFonts w:ascii="Calibri" w:hAnsi="Calibri" w:cs="Calibri"/>
          <w:i/>
          <w:noProof/>
          <w:sz w:val="24"/>
          <w:szCs w:val="24"/>
        </w:rPr>
        <w:t>Psychological Medicine, 30</w:t>
      </w:r>
      <w:r w:rsidRPr="00925E10">
        <w:rPr>
          <w:rFonts w:ascii="Calibri" w:hAnsi="Calibri" w:cs="Calibri"/>
          <w:noProof/>
          <w:sz w:val="24"/>
          <w:szCs w:val="24"/>
        </w:rPr>
        <w:t>(3), 529-544.</w:t>
      </w:r>
    </w:p>
    <w:p w:rsidR="00D814D6" w:rsidRPr="00925E10" w:rsidRDefault="00D814D6">
      <w:pPr>
        <w:pStyle w:val="ListParagraph"/>
        <w:spacing w:after="0" w:line="480" w:lineRule="auto"/>
        <w:ind w:left="0" w:hanging="720"/>
        <w:jc w:val="both"/>
        <w:rPr>
          <w:rFonts w:ascii="Calibri" w:hAnsi="Calibri" w:cs="Calibri"/>
          <w:noProof/>
          <w:sz w:val="24"/>
          <w:szCs w:val="24"/>
        </w:rPr>
      </w:pPr>
      <w:r w:rsidRPr="00925E10">
        <w:rPr>
          <w:rFonts w:ascii="Calibri" w:hAnsi="Calibri" w:cs="Calibri"/>
          <w:noProof/>
          <w:sz w:val="24"/>
          <w:szCs w:val="24"/>
        </w:rPr>
        <w:tab/>
        <w:t>Fiske, A., Leobach Wetherell, J., and Gatz, M. (2009) Depression in older adults. Annual Review of Clinical Psychology, 5:363-389.</w:t>
      </w:r>
    </w:p>
    <w:p w:rsidR="00D814D6" w:rsidRPr="00925E10" w:rsidRDefault="00D814D6" w:rsidP="00925E10">
      <w:pPr>
        <w:autoSpaceDE w:val="0"/>
        <w:autoSpaceDN w:val="0"/>
        <w:adjustRightInd w:val="0"/>
        <w:spacing w:after="0" w:line="480" w:lineRule="auto"/>
        <w:jc w:val="both"/>
        <w:rPr>
          <w:rFonts w:ascii="Calibri" w:hAnsi="Calibri" w:cs="Calibri"/>
          <w:sz w:val="24"/>
          <w:szCs w:val="24"/>
        </w:rPr>
      </w:pPr>
      <w:r w:rsidRPr="00925E10">
        <w:rPr>
          <w:rFonts w:ascii="Calibri" w:hAnsi="Calibri" w:cs="Calibri"/>
          <w:sz w:val="24"/>
          <w:szCs w:val="24"/>
        </w:rPr>
        <w:t xml:space="preserve">Glymour, M. M., Ertel, K. A. and Berkman, L. F. (2009) What can life-course epidemiology tell us about health inequalities in old age. In T.C. Antonucci &amp; J.S. Jackson (Eds.) </w:t>
      </w:r>
      <w:r w:rsidRPr="00925E10">
        <w:rPr>
          <w:rFonts w:ascii="Calibri" w:hAnsi="Calibri" w:cs="Calibri"/>
          <w:i/>
          <w:iCs/>
          <w:sz w:val="24"/>
          <w:szCs w:val="24"/>
        </w:rPr>
        <w:t>Annual Review of Gerontology and Geriatrics, Vol 29,</w:t>
      </w:r>
      <w:r w:rsidRPr="00925E10">
        <w:rPr>
          <w:rFonts w:ascii="Calibri" w:hAnsi="Calibri" w:cs="Calibri"/>
          <w:iCs/>
          <w:sz w:val="24"/>
          <w:szCs w:val="24"/>
        </w:rPr>
        <w:t>p 3-25.</w:t>
      </w:r>
    </w:p>
    <w:p w:rsidR="00D814D6" w:rsidRPr="00925E10" w:rsidRDefault="00D814D6">
      <w:pPr>
        <w:pStyle w:val="ListParagraph"/>
        <w:spacing w:after="0" w:line="480" w:lineRule="auto"/>
        <w:ind w:left="0" w:hanging="720"/>
        <w:jc w:val="both"/>
        <w:rPr>
          <w:rFonts w:ascii="Calibri" w:hAnsi="Calibri" w:cs="Calibri"/>
          <w:noProof/>
          <w:sz w:val="24"/>
          <w:szCs w:val="24"/>
        </w:rPr>
      </w:pPr>
      <w:r w:rsidRPr="00925E10">
        <w:rPr>
          <w:rFonts w:ascii="Calibri" w:hAnsi="Calibri" w:cs="Calibri"/>
          <w:noProof/>
          <w:sz w:val="24"/>
          <w:szCs w:val="24"/>
        </w:rPr>
        <w:tab/>
        <w:t xml:space="preserve">Gove, W. (1972) ‘The relationship between sex roles, mental illness and marital status’, </w:t>
      </w:r>
      <w:r w:rsidRPr="00925E10">
        <w:rPr>
          <w:rFonts w:ascii="Calibri" w:hAnsi="Calibri" w:cs="Calibri"/>
          <w:i/>
          <w:noProof/>
          <w:sz w:val="24"/>
          <w:szCs w:val="24"/>
        </w:rPr>
        <w:t xml:space="preserve">Social Forces, </w:t>
      </w:r>
      <w:r w:rsidRPr="00925E10">
        <w:rPr>
          <w:rFonts w:ascii="Calibri" w:hAnsi="Calibri" w:cs="Calibri"/>
          <w:noProof/>
          <w:sz w:val="24"/>
          <w:szCs w:val="24"/>
        </w:rPr>
        <w:t xml:space="preserve">51, 44. </w:t>
      </w:r>
    </w:p>
    <w:p w:rsidR="00D814D6" w:rsidRPr="00925E10" w:rsidRDefault="00D814D6" w:rsidP="00FB71D6">
      <w:pPr>
        <w:autoSpaceDE w:val="0"/>
        <w:autoSpaceDN w:val="0"/>
        <w:adjustRightInd w:val="0"/>
        <w:spacing w:after="0" w:line="480" w:lineRule="auto"/>
        <w:jc w:val="both"/>
        <w:rPr>
          <w:rFonts w:ascii="Calibri" w:hAnsi="Calibri" w:cs="AdvPED1282"/>
          <w:sz w:val="24"/>
          <w:szCs w:val="24"/>
        </w:rPr>
      </w:pPr>
      <w:r w:rsidRPr="00925E10">
        <w:rPr>
          <w:rFonts w:ascii="Calibri" w:hAnsi="Calibri" w:cs="AdvPED1282"/>
          <w:sz w:val="24"/>
          <w:szCs w:val="24"/>
        </w:rPr>
        <w:t xml:space="preserve">Grundy E. &amp; Holt G. 2001. The socioeconomic status of older adults: how should we measure it in studies of health inequalities? </w:t>
      </w:r>
      <w:r w:rsidRPr="00925E10">
        <w:rPr>
          <w:rFonts w:ascii="Calibri" w:hAnsi="Calibri" w:cs="AdvPED1283"/>
          <w:i/>
          <w:sz w:val="24"/>
          <w:szCs w:val="24"/>
        </w:rPr>
        <w:t>Journal of</w:t>
      </w:r>
      <w:r w:rsidRPr="00925E10">
        <w:rPr>
          <w:rFonts w:ascii="Calibri" w:hAnsi="Calibri" w:cs="AdvPED1282"/>
          <w:i/>
          <w:sz w:val="24"/>
          <w:szCs w:val="24"/>
        </w:rPr>
        <w:t xml:space="preserve"> </w:t>
      </w:r>
      <w:r w:rsidRPr="00925E10">
        <w:rPr>
          <w:rFonts w:ascii="Calibri" w:hAnsi="Calibri" w:cs="AdvPED1283"/>
          <w:i/>
          <w:sz w:val="24"/>
          <w:szCs w:val="24"/>
        </w:rPr>
        <w:t>Epidemiology and Community Health,</w:t>
      </w:r>
      <w:r w:rsidRPr="00925E10">
        <w:rPr>
          <w:rFonts w:ascii="Calibri" w:hAnsi="Calibri" w:cs="AdvPED1283"/>
          <w:sz w:val="24"/>
          <w:szCs w:val="24"/>
        </w:rPr>
        <w:t xml:space="preserve"> </w:t>
      </w:r>
      <w:r w:rsidRPr="00925E10">
        <w:rPr>
          <w:rFonts w:ascii="Calibri" w:hAnsi="Calibri" w:cs="AdvPED1286"/>
          <w:sz w:val="24"/>
          <w:szCs w:val="24"/>
        </w:rPr>
        <w:t>55</w:t>
      </w:r>
      <w:r w:rsidRPr="00925E10">
        <w:rPr>
          <w:rFonts w:ascii="Calibri" w:hAnsi="Calibri" w:cs="AdvPED1282"/>
          <w:sz w:val="24"/>
          <w:szCs w:val="24"/>
        </w:rPr>
        <w:t>: 895–904.</w:t>
      </w:r>
    </w:p>
    <w:p w:rsidR="00D814D6" w:rsidRPr="00925E10" w:rsidRDefault="00D814D6">
      <w:pPr>
        <w:spacing w:after="0" w:line="480" w:lineRule="auto"/>
        <w:jc w:val="both"/>
        <w:rPr>
          <w:rFonts w:ascii="Calibri" w:hAnsi="Calibri" w:cs="Calibri"/>
          <w:sz w:val="24"/>
          <w:szCs w:val="24"/>
          <w:lang w:eastAsia="en-IE"/>
        </w:rPr>
      </w:pPr>
      <w:r w:rsidRPr="00925E10">
        <w:rPr>
          <w:rFonts w:ascii="Calibri" w:hAnsi="Calibri" w:cs="Calibri"/>
          <w:sz w:val="24"/>
          <w:szCs w:val="24"/>
          <w:lang w:eastAsia="en-IE"/>
        </w:rPr>
        <w:t xml:space="preserve">Helmchen, H., Baltes, M. M., Geiselmann, B., Kanowski, S., Linden, M., Reischies, F. M., Wagner, M., Wernicke, T. And Wilms, H. U. (1999) Psychiatric Illness in old age.  In: Paul B. Baltes and Karl Ulrich Mayer (Eds.) </w:t>
      </w:r>
      <w:r w:rsidRPr="00925E10">
        <w:rPr>
          <w:rFonts w:ascii="Calibri" w:hAnsi="Calibri" w:cs="Calibri"/>
          <w:i/>
          <w:sz w:val="24"/>
          <w:szCs w:val="24"/>
          <w:lang w:eastAsia="en-IE"/>
        </w:rPr>
        <w:t>The Berlin Aging Study: Aging from 70 to 100</w:t>
      </w:r>
      <w:r w:rsidRPr="00925E10">
        <w:rPr>
          <w:rFonts w:ascii="Calibri" w:hAnsi="Calibri" w:cs="Calibri"/>
          <w:sz w:val="24"/>
          <w:szCs w:val="24"/>
          <w:lang w:eastAsia="en-IE"/>
        </w:rPr>
        <w:t>. Cambridge: Cambridge University Press, pp. 197-226.</w:t>
      </w:r>
    </w:p>
    <w:p w:rsidR="00D814D6" w:rsidRPr="00925E10" w:rsidRDefault="00D814D6">
      <w:pPr>
        <w:spacing w:after="0" w:line="480" w:lineRule="auto"/>
        <w:jc w:val="both"/>
        <w:rPr>
          <w:rFonts w:ascii="Calibri" w:hAnsi="Calibri" w:cs="Calibri"/>
          <w:noProof/>
          <w:sz w:val="24"/>
          <w:szCs w:val="24"/>
        </w:rPr>
      </w:pPr>
      <w:r w:rsidRPr="00925E10">
        <w:rPr>
          <w:rFonts w:ascii="Calibri" w:hAnsi="Calibri" w:cs="Calibri"/>
          <w:noProof/>
          <w:sz w:val="24"/>
          <w:szCs w:val="24"/>
        </w:rPr>
        <w:t xml:space="preserve">Kennedy, R., E. (1973) </w:t>
      </w:r>
      <w:r w:rsidRPr="00925E10">
        <w:rPr>
          <w:rFonts w:ascii="Calibri" w:hAnsi="Calibri" w:cs="Calibri"/>
          <w:i/>
          <w:noProof/>
          <w:sz w:val="24"/>
          <w:szCs w:val="24"/>
        </w:rPr>
        <w:t>The Irish: Emigration, Marriage and Fertility</w:t>
      </w:r>
      <w:r w:rsidRPr="00925E10">
        <w:rPr>
          <w:rFonts w:ascii="Calibri" w:hAnsi="Calibri" w:cs="Calibri"/>
          <w:noProof/>
          <w:sz w:val="24"/>
          <w:szCs w:val="24"/>
        </w:rPr>
        <w:t>. London, University of California Press.</w:t>
      </w:r>
    </w:p>
    <w:p w:rsidR="00D814D6" w:rsidRPr="00925E10" w:rsidRDefault="00D814D6">
      <w:pPr>
        <w:spacing w:after="0" w:line="480" w:lineRule="auto"/>
        <w:jc w:val="both"/>
        <w:rPr>
          <w:rFonts w:ascii="Calibri" w:hAnsi="Calibri" w:cs="Calibri"/>
          <w:noProof/>
          <w:sz w:val="24"/>
          <w:szCs w:val="24"/>
        </w:rPr>
      </w:pPr>
      <w:r w:rsidRPr="00925E10">
        <w:rPr>
          <w:rFonts w:ascii="Calibri" w:hAnsi="Calibri"/>
          <w:sz w:val="24"/>
          <w:szCs w:val="24"/>
        </w:rPr>
        <w:t xml:space="preserve">Kiecolt-Glaser JK, Newton TL (2001). Marriage and health: His and hers. </w:t>
      </w:r>
      <w:r w:rsidRPr="00925E10">
        <w:rPr>
          <w:rFonts w:ascii="Calibri" w:hAnsi="Calibri"/>
          <w:i/>
          <w:iCs/>
          <w:sz w:val="24"/>
          <w:szCs w:val="24"/>
        </w:rPr>
        <w:t>Psychological Bulletin</w:t>
      </w:r>
      <w:r w:rsidRPr="00925E10">
        <w:rPr>
          <w:rFonts w:ascii="Calibri" w:hAnsi="Calibri"/>
          <w:sz w:val="24"/>
          <w:szCs w:val="24"/>
        </w:rPr>
        <w:t xml:space="preserve"> 127:472-503.</w:t>
      </w:r>
    </w:p>
    <w:p w:rsidR="00D814D6" w:rsidRPr="00925E10" w:rsidRDefault="00D814D6">
      <w:pPr>
        <w:spacing w:after="0" w:line="480" w:lineRule="auto"/>
        <w:jc w:val="both"/>
        <w:rPr>
          <w:rFonts w:ascii="Calibri" w:hAnsi="Calibri" w:cs="Calibri"/>
          <w:noProof/>
          <w:sz w:val="24"/>
          <w:szCs w:val="24"/>
        </w:rPr>
      </w:pPr>
      <w:r w:rsidRPr="00925E10">
        <w:rPr>
          <w:rFonts w:ascii="Calibri" w:hAnsi="Calibri" w:cs="Calibri"/>
          <w:noProof/>
          <w:sz w:val="24"/>
          <w:szCs w:val="24"/>
        </w:rPr>
        <w:lastRenderedPageBreak/>
        <w:t xml:space="preserve">Koropeckyj-Cox, T. and V. R. A. Call (2007) "Characteristics of older childless persons and parents: Cross national comparisons" </w:t>
      </w:r>
      <w:r w:rsidRPr="00925E10">
        <w:rPr>
          <w:rFonts w:ascii="Calibri" w:hAnsi="Calibri" w:cs="Calibri"/>
          <w:i/>
          <w:noProof/>
          <w:sz w:val="24"/>
          <w:szCs w:val="24"/>
        </w:rPr>
        <w:t>Journal of Family Issues</w:t>
      </w:r>
      <w:r w:rsidRPr="00925E10">
        <w:rPr>
          <w:rFonts w:ascii="Calibri" w:hAnsi="Calibri" w:cs="Calibri"/>
          <w:noProof/>
          <w:sz w:val="24"/>
          <w:szCs w:val="24"/>
        </w:rPr>
        <w:t xml:space="preserve"> 28: 1362-1414.</w:t>
      </w:r>
    </w:p>
    <w:p w:rsidR="00D814D6" w:rsidRPr="00925E10" w:rsidRDefault="00D814D6">
      <w:pPr>
        <w:spacing w:after="0" w:line="480" w:lineRule="auto"/>
        <w:jc w:val="both"/>
        <w:rPr>
          <w:rFonts w:ascii="Calibri" w:hAnsi="Calibri" w:cs="Calibri"/>
          <w:sz w:val="24"/>
          <w:szCs w:val="24"/>
        </w:rPr>
      </w:pPr>
      <w:r w:rsidRPr="00925E10">
        <w:rPr>
          <w:rFonts w:ascii="Calibri" w:hAnsi="Calibri" w:cs="Calibri"/>
          <w:sz w:val="24"/>
          <w:szCs w:val="24"/>
        </w:rPr>
        <w:t xml:space="preserve">Looker, E. D (1989) ‘Accuracy of proxy reports of parental status characteristics’, </w:t>
      </w:r>
      <w:r w:rsidRPr="00925E10">
        <w:rPr>
          <w:rFonts w:ascii="Calibri" w:hAnsi="Calibri" w:cs="Calibri"/>
          <w:i/>
          <w:sz w:val="24"/>
          <w:szCs w:val="24"/>
        </w:rPr>
        <w:t>Social Education</w:t>
      </w:r>
      <w:r w:rsidRPr="00925E10">
        <w:rPr>
          <w:rFonts w:ascii="Calibri" w:hAnsi="Calibri" w:cs="Calibri"/>
          <w:sz w:val="24"/>
          <w:szCs w:val="24"/>
        </w:rPr>
        <w:t>, 62, 257-276.</w:t>
      </w:r>
    </w:p>
    <w:p w:rsidR="00D814D6" w:rsidRPr="00925E10" w:rsidRDefault="00D814D6" w:rsidP="00925E10">
      <w:pPr>
        <w:spacing w:after="0" w:line="480" w:lineRule="auto"/>
        <w:jc w:val="both"/>
        <w:rPr>
          <w:rFonts w:ascii="Calibri" w:hAnsi="Calibri" w:cs="Calibri"/>
          <w:noProof/>
          <w:sz w:val="24"/>
          <w:szCs w:val="24"/>
        </w:rPr>
      </w:pPr>
      <w:r w:rsidRPr="00925E10">
        <w:rPr>
          <w:rFonts w:ascii="Calibri" w:hAnsi="Calibri" w:cs="Calibri"/>
          <w:noProof/>
          <w:sz w:val="24"/>
          <w:szCs w:val="24"/>
        </w:rPr>
        <w:t xml:space="preserve">MacCurtain, M. and Ó. Corráin, D (1979) </w:t>
      </w:r>
      <w:r w:rsidRPr="00925E10">
        <w:rPr>
          <w:rFonts w:ascii="Calibri" w:hAnsi="Calibri" w:cs="Calibri"/>
          <w:i/>
          <w:noProof/>
          <w:sz w:val="24"/>
          <w:szCs w:val="24"/>
        </w:rPr>
        <w:t>Women in Irish society the historical dimension</w:t>
      </w:r>
      <w:r w:rsidRPr="00925E10">
        <w:rPr>
          <w:rFonts w:ascii="Calibri" w:hAnsi="Calibri" w:cs="Calibri"/>
          <w:noProof/>
          <w:sz w:val="24"/>
          <w:szCs w:val="24"/>
        </w:rPr>
        <w:t>. Nass, Co. Kildare: Arlen House.</w:t>
      </w:r>
    </w:p>
    <w:p w:rsidR="00D814D6" w:rsidRPr="00925E10" w:rsidRDefault="00D814D6" w:rsidP="00925E10">
      <w:pPr>
        <w:spacing w:after="0" w:line="480" w:lineRule="auto"/>
        <w:jc w:val="both"/>
        <w:rPr>
          <w:rFonts w:ascii="Calibri" w:hAnsi="Calibri" w:cs="Calibri"/>
          <w:noProof/>
          <w:sz w:val="24"/>
          <w:szCs w:val="24"/>
        </w:rPr>
      </w:pPr>
      <w:r w:rsidRPr="00925E10">
        <w:rPr>
          <w:rFonts w:ascii="Calibri" w:hAnsi="Calibri" w:cs="Calibri"/>
          <w:noProof/>
          <w:sz w:val="24"/>
          <w:szCs w:val="24"/>
        </w:rPr>
        <w:t xml:space="preserve">McCall, N.T., Parks, P., Smith, K., Pope, G., &amp; Griggs, M. (2002) The prevalence of major depression or dysthymia among aged Medicare Fee-for Service beneficiaries. </w:t>
      </w:r>
      <w:r w:rsidRPr="00925E10">
        <w:rPr>
          <w:rFonts w:ascii="Calibri" w:hAnsi="Calibri" w:cs="Calibri"/>
          <w:i/>
          <w:noProof/>
          <w:sz w:val="24"/>
          <w:szCs w:val="24"/>
        </w:rPr>
        <w:t>International Journal of Geriatric Psychiatry</w:t>
      </w:r>
      <w:r w:rsidRPr="00925E10">
        <w:rPr>
          <w:rFonts w:ascii="Calibri" w:hAnsi="Calibri" w:cs="Calibri"/>
          <w:noProof/>
          <w:sz w:val="24"/>
          <w:szCs w:val="24"/>
        </w:rPr>
        <w:t>, 17: 557-565.</w:t>
      </w:r>
    </w:p>
    <w:p w:rsidR="00D814D6" w:rsidRPr="00925E10" w:rsidRDefault="00D814D6" w:rsidP="00925E10">
      <w:pPr>
        <w:pStyle w:val="ListParagraph"/>
        <w:spacing w:after="0" w:line="480" w:lineRule="auto"/>
        <w:ind w:left="0"/>
        <w:jc w:val="both"/>
        <w:rPr>
          <w:rFonts w:ascii="Calibri" w:hAnsi="Calibri" w:cs="Calibri"/>
          <w:sz w:val="24"/>
          <w:szCs w:val="24"/>
        </w:rPr>
      </w:pPr>
      <w:r w:rsidRPr="00925E10">
        <w:rPr>
          <w:rFonts w:ascii="Calibri" w:hAnsi="Calibri" w:cs="Calibri"/>
          <w:sz w:val="24"/>
          <w:szCs w:val="24"/>
        </w:rPr>
        <w:t xml:space="preserve">Mojtabai, R. &amp; Olfson, M. (2004 Major depression in community-dweliing middle-aged and older adults: Prevalence and 2-year and 4-year follow-up symptoms. Psychological Medicine, 34: 623-634.  </w:t>
      </w:r>
    </w:p>
    <w:p w:rsidR="00D814D6" w:rsidRPr="00925E10" w:rsidRDefault="00D814D6" w:rsidP="00925E10">
      <w:pPr>
        <w:pStyle w:val="ListParagraph"/>
        <w:spacing w:after="0" w:line="480" w:lineRule="auto"/>
        <w:ind w:left="0" w:hanging="720"/>
        <w:jc w:val="both"/>
        <w:rPr>
          <w:rFonts w:ascii="Calibri" w:hAnsi="Calibri" w:cs="Calibri"/>
          <w:noProof/>
          <w:sz w:val="24"/>
          <w:szCs w:val="24"/>
        </w:rPr>
      </w:pPr>
      <w:r w:rsidRPr="00925E10">
        <w:rPr>
          <w:rFonts w:ascii="Calibri" w:hAnsi="Calibri" w:cs="Calibri"/>
          <w:noProof/>
          <w:sz w:val="24"/>
          <w:szCs w:val="24"/>
        </w:rPr>
        <w:tab/>
        <w:t xml:space="preserve">Murphy, M., Grundy, E., &amp; Kalogirou, S. (2007) ‘The increase in marital status differences in mortality up to the olderst age in seven European countries 1990-1999’, </w:t>
      </w:r>
      <w:r w:rsidRPr="00925E10">
        <w:rPr>
          <w:rFonts w:ascii="Calibri" w:hAnsi="Calibri" w:cs="Calibri"/>
          <w:i/>
          <w:noProof/>
          <w:sz w:val="24"/>
          <w:szCs w:val="24"/>
        </w:rPr>
        <w:t>Population Studies, 61</w:t>
      </w:r>
      <w:r w:rsidRPr="00925E10">
        <w:rPr>
          <w:rFonts w:ascii="Calibri" w:hAnsi="Calibri" w:cs="Calibri"/>
          <w:noProof/>
          <w:sz w:val="24"/>
          <w:szCs w:val="24"/>
        </w:rPr>
        <w:t xml:space="preserve">(3), 287-298. </w:t>
      </w:r>
    </w:p>
    <w:p w:rsidR="00D814D6" w:rsidRPr="00925E10" w:rsidRDefault="00D814D6" w:rsidP="00925E10">
      <w:pPr>
        <w:spacing w:after="0" w:line="480" w:lineRule="auto"/>
        <w:jc w:val="both"/>
        <w:rPr>
          <w:rFonts w:ascii="Calibri" w:hAnsi="Calibri" w:cs="Calibri"/>
          <w:noProof/>
          <w:sz w:val="24"/>
          <w:szCs w:val="24"/>
        </w:rPr>
      </w:pPr>
      <w:r>
        <w:rPr>
          <w:rFonts w:ascii="Calibri" w:hAnsi="Calibri" w:cs="Calibri"/>
          <w:noProof/>
          <w:sz w:val="24"/>
          <w:szCs w:val="24"/>
        </w:rPr>
        <w:t>O'</w:t>
      </w:r>
      <w:r w:rsidRPr="00925E10">
        <w:rPr>
          <w:rFonts w:ascii="Calibri" w:hAnsi="Calibri" w:cs="Calibri"/>
          <w:noProof/>
          <w:sz w:val="24"/>
          <w:szCs w:val="24"/>
        </w:rPr>
        <w:t xml:space="preserve">Rand, A. and J. C. Henretta (1999)  </w:t>
      </w:r>
      <w:r w:rsidRPr="00925E10">
        <w:rPr>
          <w:rFonts w:ascii="Calibri" w:hAnsi="Calibri" w:cs="Calibri"/>
          <w:i/>
          <w:noProof/>
          <w:sz w:val="24"/>
          <w:szCs w:val="24"/>
        </w:rPr>
        <w:t>Age and inequality: Diverse pathways through later life</w:t>
      </w:r>
      <w:r w:rsidRPr="00925E10">
        <w:rPr>
          <w:rFonts w:ascii="Calibri" w:hAnsi="Calibri" w:cs="Calibri"/>
          <w:noProof/>
          <w:sz w:val="24"/>
          <w:szCs w:val="24"/>
        </w:rPr>
        <w:t>. Boulder, CO, Westview.</w:t>
      </w:r>
    </w:p>
    <w:p w:rsidR="00D814D6" w:rsidRPr="00925E10" w:rsidRDefault="00D814D6">
      <w:pPr>
        <w:pStyle w:val="Default"/>
        <w:spacing w:line="480" w:lineRule="auto"/>
        <w:jc w:val="both"/>
        <w:rPr>
          <w:rFonts w:ascii="Calibri" w:hAnsi="Calibri" w:cs="Calibri"/>
        </w:rPr>
      </w:pPr>
      <w:r w:rsidRPr="00925E10">
        <w:rPr>
          <w:rFonts w:ascii="Calibri" w:hAnsi="Calibri" w:cs="Calibri"/>
        </w:rPr>
        <w:t xml:space="preserve">Pinquart, M. (2003) ‘Loneliness in married, widowed, divorced, and never-married older adults’, </w:t>
      </w:r>
      <w:r w:rsidRPr="00925E10">
        <w:rPr>
          <w:rFonts w:ascii="Calibri" w:hAnsi="Calibri" w:cs="Calibri"/>
          <w:i/>
        </w:rPr>
        <w:t>Journal of Social and Personal Relationships</w:t>
      </w:r>
      <w:r w:rsidRPr="00925E10">
        <w:rPr>
          <w:rFonts w:ascii="Calibri" w:hAnsi="Calibri" w:cs="Calibri"/>
        </w:rPr>
        <w:t xml:space="preserve"> 20, 31-53. </w:t>
      </w:r>
    </w:p>
    <w:p w:rsidR="00D814D6" w:rsidRPr="00925E10" w:rsidRDefault="00D814D6" w:rsidP="00E23060">
      <w:pPr>
        <w:autoSpaceDE w:val="0"/>
        <w:autoSpaceDN w:val="0"/>
        <w:adjustRightInd w:val="0"/>
        <w:spacing w:after="0" w:line="480" w:lineRule="auto"/>
        <w:jc w:val="both"/>
        <w:rPr>
          <w:rFonts w:ascii="Calibri" w:hAnsi="Calibri" w:cs="Calibri"/>
          <w:sz w:val="24"/>
          <w:szCs w:val="24"/>
        </w:rPr>
      </w:pPr>
      <w:r w:rsidRPr="00925E10">
        <w:rPr>
          <w:rFonts w:ascii="Calibri" w:hAnsi="Calibri" w:cs="Calibri"/>
          <w:sz w:val="24"/>
          <w:szCs w:val="24"/>
        </w:rPr>
        <w:t xml:space="preserve">Potter, C.G. and Steffens, D.C. (2007) ‘Contribution of depression to cognitive impairment and dementia in older adults’, </w:t>
      </w:r>
      <w:r w:rsidRPr="00925E10">
        <w:rPr>
          <w:rFonts w:ascii="Calibri" w:hAnsi="Calibri" w:cs="Calibri"/>
          <w:i/>
          <w:sz w:val="24"/>
          <w:szCs w:val="24"/>
        </w:rPr>
        <w:t>The Neurologist</w:t>
      </w:r>
      <w:r w:rsidRPr="00925E10">
        <w:rPr>
          <w:rFonts w:ascii="Calibri" w:hAnsi="Calibri" w:cs="Calibri"/>
          <w:sz w:val="24"/>
          <w:szCs w:val="24"/>
        </w:rPr>
        <w:t>, 13, 105-17.</w:t>
      </w:r>
    </w:p>
    <w:p w:rsidR="00D814D6" w:rsidRPr="00925E10" w:rsidRDefault="00D814D6">
      <w:pPr>
        <w:spacing w:after="0" w:line="480" w:lineRule="auto"/>
        <w:jc w:val="both"/>
        <w:rPr>
          <w:rFonts w:ascii="Calibri" w:hAnsi="Calibri" w:cs="Calibri"/>
          <w:sz w:val="24"/>
          <w:szCs w:val="24"/>
          <w:lang w:eastAsia="en-GB"/>
        </w:rPr>
      </w:pPr>
      <w:r w:rsidRPr="00925E10">
        <w:rPr>
          <w:rFonts w:ascii="Calibri" w:hAnsi="Calibri" w:cs="Calibri"/>
          <w:sz w:val="24"/>
          <w:szCs w:val="24"/>
          <w:lang w:eastAsia="en-GB"/>
        </w:rPr>
        <w:t xml:space="preserve">Ross, C. E and Mirowsky, J. (1999) </w:t>
      </w:r>
      <w:r w:rsidRPr="00925E10">
        <w:rPr>
          <w:rFonts w:ascii="Calibri" w:hAnsi="Calibri" w:cs="Calibri"/>
          <w:sz w:val="24"/>
          <w:szCs w:val="24"/>
        </w:rPr>
        <w:t>Parental Divorce, Life-Course Disruption, and Adult Depression</w:t>
      </w:r>
      <w:r w:rsidRPr="00925E10">
        <w:rPr>
          <w:rFonts w:ascii="Calibri" w:hAnsi="Calibri" w:cs="Calibri"/>
          <w:sz w:val="24"/>
          <w:szCs w:val="24"/>
          <w:lang w:eastAsia="en-GB"/>
        </w:rPr>
        <w:t xml:space="preserve">. </w:t>
      </w:r>
      <w:r w:rsidRPr="00925E10">
        <w:rPr>
          <w:rFonts w:ascii="Calibri" w:hAnsi="Calibri" w:cs="Calibri"/>
          <w:i/>
          <w:iCs/>
          <w:sz w:val="24"/>
          <w:szCs w:val="24"/>
          <w:lang w:eastAsia="en-GB"/>
        </w:rPr>
        <w:t>Journal of Marriage and Family</w:t>
      </w:r>
      <w:r w:rsidRPr="00925E10">
        <w:rPr>
          <w:rFonts w:ascii="Calibri" w:hAnsi="Calibri" w:cs="Calibri"/>
          <w:sz w:val="24"/>
          <w:szCs w:val="24"/>
          <w:lang w:eastAsia="en-GB"/>
        </w:rPr>
        <w:t>, 61: 4, 1034-1045.</w:t>
      </w:r>
    </w:p>
    <w:p w:rsidR="00D814D6" w:rsidRPr="00925E10" w:rsidRDefault="00D814D6">
      <w:pPr>
        <w:spacing w:after="0" w:line="480" w:lineRule="auto"/>
        <w:jc w:val="both"/>
        <w:rPr>
          <w:rFonts w:ascii="Calibri" w:hAnsi="Calibri" w:cs="Calibri"/>
          <w:sz w:val="24"/>
          <w:szCs w:val="24"/>
          <w:lang w:eastAsia="en-IE"/>
        </w:rPr>
      </w:pPr>
      <w:r w:rsidRPr="00925E10">
        <w:rPr>
          <w:rFonts w:ascii="Calibri" w:hAnsi="Calibri" w:cs="Calibri"/>
          <w:sz w:val="24"/>
          <w:szCs w:val="24"/>
          <w:lang w:eastAsia="en-IE"/>
        </w:rPr>
        <w:lastRenderedPageBreak/>
        <w:t xml:space="preserve">Stek, M.l. Gusseekloo, J., Beekman, A.T.F., van Tilburg, W., &amp; Westendorp, R.G.J. (2004) Prevalence, correlates and recognition of depression in the oldest old: The Leiden 85-plus study. </w:t>
      </w:r>
      <w:r w:rsidRPr="00925E10">
        <w:rPr>
          <w:rFonts w:ascii="Calibri" w:hAnsi="Calibri" w:cs="Calibri"/>
          <w:i/>
          <w:sz w:val="24"/>
          <w:szCs w:val="24"/>
          <w:lang w:eastAsia="en-IE"/>
        </w:rPr>
        <w:t>Journal of Affective Disorders</w:t>
      </w:r>
      <w:r w:rsidRPr="00925E10">
        <w:rPr>
          <w:rFonts w:ascii="Calibri" w:hAnsi="Calibri" w:cs="Calibri"/>
          <w:sz w:val="24"/>
          <w:szCs w:val="24"/>
          <w:lang w:eastAsia="en-IE"/>
        </w:rPr>
        <w:t xml:space="preserve">, 78, 192-200. </w:t>
      </w:r>
    </w:p>
    <w:p w:rsidR="00D814D6" w:rsidRPr="00925E10" w:rsidRDefault="00D814D6" w:rsidP="00925E10">
      <w:pPr>
        <w:autoSpaceDE w:val="0"/>
        <w:autoSpaceDN w:val="0"/>
        <w:adjustRightInd w:val="0"/>
        <w:spacing w:after="0" w:line="480" w:lineRule="auto"/>
        <w:jc w:val="both"/>
        <w:rPr>
          <w:rFonts w:ascii="Calibri" w:hAnsi="Calibri" w:cs="AdvP641C"/>
          <w:sz w:val="24"/>
          <w:szCs w:val="24"/>
        </w:rPr>
      </w:pPr>
      <w:r w:rsidRPr="00925E10">
        <w:rPr>
          <w:rFonts w:ascii="Calibri" w:hAnsi="Calibri" w:cs="AdvP641C"/>
          <w:sz w:val="24"/>
          <w:szCs w:val="24"/>
        </w:rPr>
        <w:t xml:space="preserve">Tomassini, C., Kalogirou, S., Grundy, E., Fokkema, T., Martikainen, P., Broese van Groenou, M., &amp; Karisto, A. (2004). Contacts between elderly parents and their children in four European countries: Current patterns and future prospects. </w:t>
      </w:r>
      <w:r w:rsidRPr="00925E10">
        <w:rPr>
          <w:rFonts w:ascii="Calibri" w:hAnsi="Calibri" w:cs="AdvP640E"/>
          <w:i/>
          <w:sz w:val="24"/>
          <w:szCs w:val="24"/>
        </w:rPr>
        <w:t>European Journal of Ageing</w:t>
      </w:r>
      <w:r w:rsidRPr="00925E10">
        <w:rPr>
          <w:rFonts w:ascii="Calibri" w:hAnsi="Calibri" w:cs="AdvP641C"/>
          <w:sz w:val="24"/>
          <w:szCs w:val="24"/>
        </w:rPr>
        <w:t xml:space="preserve">, </w:t>
      </w:r>
      <w:r w:rsidRPr="00925E10">
        <w:rPr>
          <w:rFonts w:ascii="Calibri" w:hAnsi="Calibri" w:cs="AdvP640E"/>
          <w:sz w:val="24"/>
          <w:szCs w:val="24"/>
        </w:rPr>
        <w:t>1</w:t>
      </w:r>
      <w:r w:rsidRPr="00925E10">
        <w:rPr>
          <w:rFonts w:ascii="Calibri" w:hAnsi="Calibri" w:cs="AdvP641C"/>
          <w:sz w:val="24"/>
          <w:szCs w:val="24"/>
        </w:rPr>
        <w:t>, 54 – 63.</w:t>
      </w:r>
    </w:p>
    <w:p w:rsidR="00D814D6" w:rsidRPr="00925E10" w:rsidRDefault="00D814D6">
      <w:pPr>
        <w:autoSpaceDE w:val="0"/>
        <w:autoSpaceDN w:val="0"/>
        <w:adjustRightInd w:val="0"/>
        <w:spacing w:after="0" w:line="480" w:lineRule="auto"/>
        <w:jc w:val="both"/>
        <w:rPr>
          <w:rFonts w:ascii="Calibri" w:hAnsi="Calibri" w:cs="Calibri"/>
          <w:sz w:val="24"/>
          <w:szCs w:val="24"/>
        </w:rPr>
      </w:pPr>
      <w:r w:rsidRPr="00925E10">
        <w:rPr>
          <w:rFonts w:ascii="Calibri" w:hAnsi="Calibri" w:cs="Calibri"/>
          <w:sz w:val="24"/>
          <w:szCs w:val="24"/>
        </w:rPr>
        <w:t xml:space="preserve">van Grootheest, D.S., Beekman, A.T.F., Broese van Groenou, M.I. and Deeg, D.J.H. (1999) ‘Sex differences in depression after widowhood. Do men suffer more?’ </w:t>
      </w:r>
      <w:r w:rsidRPr="00925E10">
        <w:rPr>
          <w:rFonts w:ascii="Calibri" w:hAnsi="Calibri" w:cs="Calibri"/>
          <w:i/>
          <w:sz w:val="24"/>
          <w:szCs w:val="24"/>
        </w:rPr>
        <w:t>Social Psychiatry Psychiatric Epidemiology (</w:t>
      </w:r>
      <w:r w:rsidRPr="00925E10">
        <w:rPr>
          <w:rFonts w:ascii="Calibri" w:hAnsi="Calibri" w:cs="Calibri"/>
          <w:sz w:val="24"/>
          <w:szCs w:val="24"/>
        </w:rPr>
        <w:t>1999) 34: 391-398.</w:t>
      </w:r>
    </w:p>
    <w:p w:rsidR="00D814D6" w:rsidRPr="00925E10" w:rsidRDefault="00D814D6">
      <w:pPr>
        <w:pStyle w:val="ListParagraph"/>
        <w:spacing w:after="0" w:line="480" w:lineRule="auto"/>
        <w:ind w:left="0" w:hanging="720"/>
        <w:jc w:val="both"/>
        <w:rPr>
          <w:rFonts w:ascii="Calibri" w:hAnsi="Calibri" w:cs="Calibri"/>
          <w:noProof/>
          <w:sz w:val="24"/>
          <w:szCs w:val="24"/>
        </w:rPr>
      </w:pPr>
      <w:r w:rsidRPr="00925E10">
        <w:rPr>
          <w:rFonts w:ascii="Calibri" w:hAnsi="Calibri" w:cs="Calibri"/>
          <w:noProof/>
          <w:sz w:val="24"/>
          <w:szCs w:val="24"/>
        </w:rPr>
        <w:tab/>
        <w:t xml:space="preserve">Waite, L., &amp; Gallagher, M. (2001) </w:t>
      </w:r>
      <w:r w:rsidRPr="00925E10">
        <w:rPr>
          <w:rFonts w:ascii="Calibri" w:hAnsi="Calibri" w:cs="Calibri"/>
          <w:i/>
          <w:noProof/>
          <w:sz w:val="24"/>
          <w:szCs w:val="24"/>
        </w:rPr>
        <w:t>The case for marriage: Why married people are happier, healthier and better off financially</w:t>
      </w:r>
      <w:r w:rsidRPr="00925E10">
        <w:rPr>
          <w:rFonts w:ascii="Calibri" w:hAnsi="Calibri" w:cs="Calibri"/>
          <w:noProof/>
          <w:sz w:val="24"/>
          <w:szCs w:val="24"/>
        </w:rPr>
        <w:t>. New York: Boradway Books.</w:t>
      </w:r>
    </w:p>
    <w:p w:rsidR="00D814D6" w:rsidRPr="00925E10" w:rsidRDefault="00D814D6">
      <w:pPr>
        <w:pStyle w:val="ListParagraph"/>
        <w:spacing w:after="0" w:line="480" w:lineRule="auto"/>
        <w:ind w:left="0" w:hanging="720"/>
        <w:jc w:val="both"/>
        <w:rPr>
          <w:rFonts w:ascii="Calibri" w:hAnsi="Calibri" w:cs="Calibri"/>
          <w:noProof/>
          <w:sz w:val="24"/>
          <w:szCs w:val="24"/>
        </w:rPr>
      </w:pPr>
      <w:r w:rsidRPr="00925E10">
        <w:rPr>
          <w:rFonts w:ascii="Calibri" w:hAnsi="Calibri" w:cs="Calibri"/>
          <w:noProof/>
          <w:sz w:val="24"/>
          <w:szCs w:val="24"/>
        </w:rPr>
        <w:tab/>
      </w:r>
      <w:r w:rsidRPr="00925E10">
        <w:rPr>
          <w:rFonts w:ascii="Calibri" w:hAnsi="Calibri" w:cs="Calibri"/>
          <w:sz w:val="24"/>
          <w:szCs w:val="24"/>
        </w:rPr>
        <w:t xml:space="preserve">Weich, S., Patterson, J., Shaw, R., &amp; Steward-Brown, S. (2009). Family relationships in childhood and common psychiatric disorders in later life: systematic review of prospective studies. </w:t>
      </w:r>
      <w:r w:rsidRPr="00925E10">
        <w:rPr>
          <w:rFonts w:ascii="Calibri" w:hAnsi="Calibri" w:cs="Calibri"/>
          <w:i/>
          <w:iCs/>
          <w:sz w:val="24"/>
          <w:szCs w:val="24"/>
        </w:rPr>
        <w:t>The British Journal of Psychiatry</w:t>
      </w:r>
      <w:r w:rsidRPr="00925E10">
        <w:rPr>
          <w:rFonts w:ascii="Calibri" w:hAnsi="Calibri" w:cs="Calibri"/>
          <w:sz w:val="24"/>
          <w:szCs w:val="24"/>
        </w:rPr>
        <w:t>, 194, 392-398.</w:t>
      </w:r>
    </w:p>
    <w:p w:rsidR="00D814D6" w:rsidRPr="00925E10" w:rsidRDefault="00D814D6">
      <w:pPr>
        <w:autoSpaceDE w:val="0"/>
        <w:autoSpaceDN w:val="0"/>
        <w:adjustRightInd w:val="0"/>
        <w:spacing w:after="0" w:line="480" w:lineRule="auto"/>
        <w:jc w:val="both"/>
        <w:rPr>
          <w:rFonts w:ascii="Calibri" w:hAnsi="Calibri" w:cs="Calibri"/>
          <w:sz w:val="24"/>
          <w:szCs w:val="24"/>
        </w:rPr>
      </w:pPr>
      <w:r w:rsidRPr="00925E10">
        <w:rPr>
          <w:rFonts w:ascii="Calibri" w:hAnsi="Calibri" w:cs="Calibri"/>
          <w:sz w:val="24"/>
          <w:szCs w:val="24"/>
        </w:rPr>
        <w:t xml:space="preserve">Wisocki, P. A., &amp; Skowron, J. (2000) ‘Effects of gender and culture on adjustment to widowhood’, In: R. M. Eisler (Ed.), </w:t>
      </w:r>
      <w:r w:rsidRPr="00925E10">
        <w:rPr>
          <w:rFonts w:ascii="Calibri" w:hAnsi="Calibri" w:cs="Calibri"/>
          <w:i/>
          <w:iCs/>
          <w:sz w:val="24"/>
          <w:szCs w:val="24"/>
        </w:rPr>
        <w:t>Handbook of gender, culture, and health</w:t>
      </w:r>
      <w:r w:rsidRPr="00925E10">
        <w:rPr>
          <w:rFonts w:ascii="Calibri" w:hAnsi="Calibri" w:cs="Calibri"/>
          <w:sz w:val="24"/>
          <w:szCs w:val="24"/>
        </w:rPr>
        <w:t>. Mahwah, NJ: Lawrence Erlbaum, pp. 429-447.</w:t>
      </w:r>
    </w:p>
    <w:p w:rsidR="00D814D6" w:rsidRPr="00925E10" w:rsidRDefault="00D814D6" w:rsidP="00925E10">
      <w:pPr>
        <w:autoSpaceDE w:val="0"/>
        <w:autoSpaceDN w:val="0"/>
        <w:adjustRightInd w:val="0"/>
        <w:spacing w:after="0" w:line="480" w:lineRule="auto"/>
        <w:jc w:val="both"/>
        <w:rPr>
          <w:rFonts w:ascii="Calibri" w:hAnsi="Calibri" w:cs="Calibri"/>
          <w:sz w:val="24"/>
          <w:szCs w:val="24"/>
        </w:rPr>
      </w:pPr>
      <w:r w:rsidRPr="00925E10">
        <w:rPr>
          <w:rFonts w:ascii="Calibri" w:hAnsi="Calibri" w:cs="Calibri"/>
          <w:sz w:val="24"/>
          <w:szCs w:val="24"/>
        </w:rPr>
        <w:t xml:space="preserve">Zimmerman, F. J. and Katon, W. (2005) Socioeconomic Status, Depression Disparities, and Financial Hardship: What Lies Behind the Income – Depression Relationship? </w:t>
      </w:r>
      <w:r w:rsidRPr="00925E10">
        <w:rPr>
          <w:rFonts w:ascii="Calibri" w:hAnsi="Calibri" w:cs="Calibri"/>
          <w:i/>
          <w:sz w:val="24"/>
          <w:szCs w:val="24"/>
        </w:rPr>
        <w:t>Health Economics,</w:t>
      </w:r>
      <w:r w:rsidRPr="00925E10">
        <w:rPr>
          <w:rFonts w:ascii="Calibri" w:hAnsi="Calibri" w:cs="Calibri"/>
          <w:sz w:val="24"/>
          <w:szCs w:val="24"/>
        </w:rPr>
        <w:t xml:space="preserve"> 14: 12,</w:t>
      </w:r>
      <w:r w:rsidRPr="00925E10">
        <w:rPr>
          <w:rFonts w:ascii="Calibri" w:hAnsi="Calibri" w:cs="Calibri"/>
          <w:sz w:val="24"/>
          <w:szCs w:val="24"/>
          <w:lang w:val="en-GB"/>
        </w:rPr>
        <w:t xml:space="preserve"> 1197-1215</w:t>
      </w:r>
      <w:r w:rsidRPr="00925E10">
        <w:rPr>
          <w:rFonts w:ascii="Calibri" w:hAnsi="Calibri" w:cs="Calibri"/>
          <w:sz w:val="24"/>
          <w:szCs w:val="24"/>
        </w:rPr>
        <w:t>.</w:t>
      </w:r>
    </w:p>
    <w:p w:rsidR="00D814D6" w:rsidRPr="00925E10" w:rsidRDefault="00D814D6">
      <w:pPr>
        <w:pStyle w:val="ListParagraph"/>
        <w:spacing w:after="0" w:line="480" w:lineRule="auto"/>
        <w:ind w:left="0"/>
        <w:jc w:val="both"/>
        <w:rPr>
          <w:rFonts w:ascii="Calibri" w:hAnsi="Calibri" w:cs="Calibri"/>
          <w:sz w:val="24"/>
          <w:szCs w:val="24"/>
        </w:rPr>
      </w:pPr>
      <w:r w:rsidRPr="00925E10">
        <w:rPr>
          <w:rFonts w:ascii="Calibri" w:hAnsi="Calibri" w:cs="Calibri"/>
          <w:sz w:val="24"/>
          <w:szCs w:val="24"/>
        </w:rPr>
        <w:t xml:space="preserve">Zizook, S., Kendler, K. S. (2007) Is bereavement-related depression different than non-bereavement-related depression? </w:t>
      </w:r>
      <w:r w:rsidRPr="00925E10">
        <w:rPr>
          <w:rFonts w:ascii="Calibri" w:hAnsi="Calibri" w:cs="Calibri"/>
          <w:i/>
          <w:sz w:val="24"/>
          <w:szCs w:val="24"/>
        </w:rPr>
        <w:t>Psychological Medicine</w:t>
      </w:r>
      <w:r w:rsidRPr="00925E10">
        <w:rPr>
          <w:rFonts w:ascii="Calibri" w:hAnsi="Calibri" w:cs="Calibri"/>
          <w:sz w:val="24"/>
          <w:szCs w:val="24"/>
        </w:rPr>
        <w:t xml:space="preserve">, 37:779-794. </w:t>
      </w:r>
    </w:p>
    <w:p w:rsidR="00D814D6" w:rsidRPr="00925E10" w:rsidRDefault="00D814D6">
      <w:pPr>
        <w:pStyle w:val="ListParagraph"/>
        <w:spacing w:after="0" w:line="480" w:lineRule="auto"/>
        <w:ind w:left="0"/>
        <w:jc w:val="both"/>
        <w:rPr>
          <w:rFonts w:ascii="Calibri" w:hAnsi="Calibri" w:cs="Calibri"/>
          <w:sz w:val="24"/>
          <w:szCs w:val="24"/>
        </w:rPr>
      </w:pPr>
    </w:p>
    <w:p w:rsidR="00D814D6" w:rsidRPr="00925E10" w:rsidRDefault="00D814D6" w:rsidP="00925E10">
      <w:pPr>
        <w:spacing w:line="480" w:lineRule="auto"/>
        <w:jc w:val="both"/>
        <w:rPr>
          <w:rFonts w:ascii="Calibri" w:hAnsi="Calibri" w:cs="Calibri"/>
          <w:sz w:val="24"/>
          <w:szCs w:val="24"/>
        </w:rPr>
        <w:sectPr w:rsidR="00D814D6" w:rsidRPr="00925E10" w:rsidSect="00D91FA4">
          <w:footerReference w:type="default" r:id="rId13"/>
          <w:pgSz w:w="11909" w:h="16834" w:code="9"/>
          <w:pgMar w:top="1440" w:right="1800" w:bottom="1440" w:left="1800" w:header="706" w:footer="706" w:gutter="0"/>
          <w:cols w:space="708"/>
        </w:sectPr>
      </w:pPr>
    </w:p>
    <w:p w:rsidR="00D814D6" w:rsidRPr="00925E10" w:rsidRDefault="00D814D6">
      <w:pPr>
        <w:spacing w:after="240" w:line="480" w:lineRule="auto"/>
        <w:jc w:val="both"/>
        <w:rPr>
          <w:rFonts w:ascii="Calibri" w:hAnsi="Calibri" w:cs="Calibri"/>
          <w:color w:val="000000"/>
          <w:sz w:val="24"/>
          <w:szCs w:val="24"/>
        </w:rPr>
      </w:pPr>
      <w:r w:rsidRPr="00925E10">
        <w:rPr>
          <w:rFonts w:ascii="Calibri" w:hAnsi="Calibri" w:cs="Calibri"/>
          <w:color w:val="000000"/>
          <w:sz w:val="24"/>
          <w:szCs w:val="24"/>
        </w:rPr>
        <w:lastRenderedPageBreak/>
        <w:t>Table 1: Descriptive statistics: Socio-demographic characteristics of TILDA sample by sex and marital status</w:t>
      </w:r>
    </w:p>
    <w:tbl>
      <w:tblPr>
        <w:tblW w:w="12489" w:type="dxa"/>
        <w:tblInd w:w="93" w:type="dxa"/>
        <w:tblLayout w:type="fixed"/>
        <w:tblLook w:val="00A0"/>
      </w:tblPr>
      <w:tblGrid>
        <w:gridCol w:w="3276"/>
        <w:gridCol w:w="991"/>
        <w:gridCol w:w="991"/>
        <w:gridCol w:w="1288"/>
        <w:gridCol w:w="1113"/>
        <w:gridCol w:w="991"/>
        <w:gridCol w:w="991"/>
        <w:gridCol w:w="1288"/>
        <w:gridCol w:w="1560"/>
      </w:tblGrid>
      <w:tr w:rsidR="00D814D6" w:rsidRPr="00925E10" w:rsidTr="001469F0">
        <w:trPr>
          <w:trHeight w:val="300"/>
        </w:trPr>
        <w:tc>
          <w:tcPr>
            <w:tcW w:w="3276"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4383" w:type="dxa"/>
            <w:gridSpan w:val="4"/>
            <w:tcBorders>
              <w:top w:val="single" w:sz="4" w:space="0" w:color="auto"/>
              <w:left w:val="nil"/>
              <w:bottom w:val="single" w:sz="4" w:space="0" w:color="auto"/>
              <w:right w:val="single" w:sz="8" w:space="0" w:color="000000"/>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Men</w:t>
            </w:r>
          </w:p>
        </w:tc>
        <w:tc>
          <w:tcPr>
            <w:tcW w:w="4830" w:type="dxa"/>
            <w:gridSpan w:val="4"/>
            <w:tcBorders>
              <w:top w:val="single" w:sz="4" w:space="0" w:color="auto"/>
              <w:left w:val="nil"/>
              <w:bottom w:val="single" w:sz="4" w:space="0" w:color="auto"/>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Women </w:t>
            </w:r>
          </w:p>
        </w:tc>
      </w:tr>
      <w:tr w:rsidR="00D814D6" w:rsidRPr="00925E10" w:rsidTr="001469F0">
        <w:trPr>
          <w:trHeight w:val="600"/>
        </w:trPr>
        <w:tc>
          <w:tcPr>
            <w:tcW w:w="3276" w:type="dxa"/>
            <w:vMerge w:val="restart"/>
            <w:tcBorders>
              <w:top w:val="nil"/>
              <w:left w:val="nil"/>
              <w:bottom w:val="single" w:sz="4" w:space="0" w:color="000000"/>
              <w:right w:val="nil"/>
            </w:tcBorders>
            <w:vAlign w:val="center"/>
          </w:tcPr>
          <w:p w:rsidR="00D814D6" w:rsidRPr="00925E10" w:rsidRDefault="00D814D6">
            <w:pPr>
              <w:spacing w:after="0"/>
              <w:jc w:val="both"/>
              <w:rPr>
                <w:rFonts w:ascii="Calibri" w:hAnsi="Calibri" w:cs="Calibri"/>
                <w:b/>
                <w:bCs/>
                <w:color w:val="000000"/>
                <w:lang w:val="en-US"/>
              </w:rPr>
            </w:pPr>
          </w:p>
        </w:tc>
        <w:tc>
          <w:tcPr>
            <w:tcW w:w="991" w:type="dxa"/>
            <w:vMerge w:val="restart"/>
            <w:tcBorders>
              <w:top w:val="nil"/>
              <w:left w:val="nil"/>
              <w:bottom w:val="single" w:sz="4" w:space="0" w:color="000000"/>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married</w:t>
            </w:r>
          </w:p>
        </w:tc>
        <w:tc>
          <w:tcPr>
            <w:tcW w:w="991" w:type="dxa"/>
            <w:vMerge w:val="restart"/>
            <w:tcBorders>
              <w:top w:val="nil"/>
              <w:left w:val="nil"/>
              <w:bottom w:val="single" w:sz="4" w:space="0" w:color="000000"/>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never married</w:t>
            </w:r>
          </w:p>
        </w:tc>
        <w:tc>
          <w:tcPr>
            <w:tcW w:w="1288"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p>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separated/divorced</w:t>
            </w:r>
          </w:p>
        </w:tc>
        <w:tc>
          <w:tcPr>
            <w:tcW w:w="1113" w:type="dxa"/>
            <w:vMerge w:val="restart"/>
            <w:tcBorders>
              <w:top w:val="nil"/>
              <w:left w:val="nil"/>
              <w:bottom w:val="single" w:sz="4" w:space="0" w:color="000000"/>
              <w:right w:val="single" w:sz="8" w:space="0" w:color="auto"/>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widowed</w:t>
            </w:r>
          </w:p>
        </w:tc>
        <w:tc>
          <w:tcPr>
            <w:tcW w:w="991" w:type="dxa"/>
            <w:vMerge w:val="restart"/>
            <w:tcBorders>
              <w:top w:val="nil"/>
              <w:left w:val="single" w:sz="8" w:space="0" w:color="auto"/>
              <w:bottom w:val="single" w:sz="4" w:space="0" w:color="000000"/>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married</w:t>
            </w:r>
          </w:p>
        </w:tc>
        <w:tc>
          <w:tcPr>
            <w:tcW w:w="991" w:type="dxa"/>
            <w:vMerge w:val="restart"/>
            <w:tcBorders>
              <w:top w:val="nil"/>
              <w:left w:val="nil"/>
              <w:bottom w:val="single" w:sz="4" w:space="0" w:color="000000"/>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never married</w:t>
            </w:r>
          </w:p>
        </w:tc>
        <w:tc>
          <w:tcPr>
            <w:tcW w:w="1288"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separated/divorced</w:t>
            </w:r>
          </w:p>
        </w:tc>
        <w:tc>
          <w:tcPr>
            <w:tcW w:w="1560" w:type="dxa"/>
            <w:vMerge w:val="restart"/>
            <w:tcBorders>
              <w:top w:val="nil"/>
              <w:left w:val="nil"/>
              <w:bottom w:val="single" w:sz="4" w:space="0" w:color="000000"/>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Widowed</w:t>
            </w:r>
          </w:p>
        </w:tc>
      </w:tr>
      <w:tr w:rsidR="00D814D6" w:rsidRPr="00925E10" w:rsidTr="001469F0">
        <w:trPr>
          <w:trHeight w:val="70"/>
        </w:trPr>
        <w:tc>
          <w:tcPr>
            <w:tcW w:w="3276" w:type="dxa"/>
            <w:vMerge/>
            <w:tcBorders>
              <w:top w:val="nil"/>
              <w:left w:val="nil"/>
              <w:bottom w:val="single" w:sz="4" w:space="0" w:color="000000"/>
              <w:right w:val="nil"/>
            </w:tcBorders>
            <w:vAlign w:val="center"/>
          </w:tcPr>
          <w:p w:rsidR="00D814D6" w:rsidRPr="00925E10" w:rsidRDefault="00D814D6">
            <w:pPr>
              <w:spacing w:after="0"/>
              <w:jc w:val="both"/>
              <w:rPr>
                <w:rFonts w:ascii="Calibri" w:hAnsi="Calibri" w:cs="Calibri"/>
                <w:b/>
                <w:bCs/>
                <w:color w:val="000000"/>
                <w:lang w:val="en-US"/>
              </w:rPr>
            </w:pPr>
          </w:p>
        </w:tc>
        <w:tc>
          <w:tcPr>
            <w:tcW w:w="991" w:type="dxa"/>
            <w:vMerge/>
            <w:tcBorders>
              <w:top w:val="nil"/>
              <w:left w:val="nil"/>
              <w:bottom w:val="single" w:sz="4" w:space="0" w:color="000000"/>
              <w:right w:val="nil"/>
            </w:tcBorders>
            <w:vAlign w:val="center"/>
          </w:tcPr>
          <w:p w:rsidR="00D814D6" w:rsidRPr="00925E10" w:rsidRDefault="00D814D6">
            <w:pPr>
              <w:spacing w:after="0"/>
              <w:jc w:val="both"/>
              <w:rPr>
                <w:rFonts w:ascii="Calibri" w:hAnsi="Calibri" w:cs="Calibri"/>
                <w:color w:val="000000"/>
                <w:lang w:val="en-US"/>
              </w:rPr>
            </w:pPr>
          </w:p>
        </w:tc>
        <w:tc>
          <w:tcPr>
            <w:tcW w:w="991" w:type="dxa"/>
            <w:vMerge/>
            <w:tcBorders>
              <w:top w:val="nil"/>
              <w:left w:val="nil"/>
              <w:bottom w:val="single" w:sz="4" w:space="0" w:color="000000"/>
              <w:right w:val="nil"/>
            </w:tcBorders>
            <w:vAlign w:val="center"/>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single" w:sz="4" w:space="0" w:color="auto"/>
              <w:right w:val="nil"/>
            </w:tcBorders>
            <w:vAlign w:val="center"/>
          </w:tcPr>
          <w:p w:rsidR="00D814D6" w:rsidRPr="00925E10" w:rsidRDefault="00D814D6">
            <w:pPr>
              <w:spacing w:after="0"/>
              <w:jc w:val="both"/>
              <w:rPr>
                <w:rFonts w:ascii="Calibri" w:hAnsi="Calibri" w:cs="Calibri"/>
                <w:color w:val="000000"/>
                <w:lang w:val="en-US"/>
              </w:rPr>
            </w:pPr>
          </w:p>
        </w:tc>
        <w:tc>
          <w:tcPr>
            <w:tcW w:w="1113" w:type="dxa"/>
            <w:vMerge/>
            <w:tcBorders>
              <w:top w:val="nil"/>
              <w:left w:val="nil"/>
              <w:bottom w:val="single" w:sz="4" w:space="0" w:color="000000"/>
              <w:right w:val="single" w:sz="8" w:space="0" w:color="auto"/>
            </w:tcBorders>
            <w:vAlign w:val="center"/>
          </w:tcPr>
          <w:p w:rsidR="00D814D6" w:rsidRPr="00925E10" w:rsidRDefault="00D814D6">
            <w:pPr>
              <w:spacing w:after="0"/>
              <w:jc w:val="both"/>
              <w:rPr>
                <w:rFonts w:ascii="Calibri" w:hAnsi="Calibri" w:cs="Calibri"/>
                <w:color w:val="000000"/>
                <w:lang w:val="en-US"/>
              </w:rPr>
            </w:pPr>
          </w:p>
        </w:tc>
        <w:tc>
          <w:tcPr>
            <w:tcW w:w="991" w:type="dxa"/>
            <w:vMerge/>
            <w:tcBorders>
              <w:top w:val="nil"/>
              <w:left w:val="single" w:sz="8" w:space="0" w:color="auto"/>
              <w:bottom w:val="single" w:sz="4" w:space="0" w:color="000000"/>
              <w:right w:val="nil"/>
            </w:tcBorders>
            <w:vAlign w:val="center"/>
          </w:tcPr>
          <w:p w:rsidR="00D814D6" w:rsidRPr="00925E10" w:rsidRDefault="00D814D6">
            <w:pPr>
              <w:spacing w:after="0"/>
              <w:jc w:val="both"/>
              <w:rPr>
                <w:rFonts w:ascii="Calibri" w:hAnsi="Calibri" w:cs="Calibri"/>
                <w:color w:val="000000"/>
                <w:lang w:val="en-US"/>
              </w:rPr>
            </w:pPr>
          </w:p>
        </w:tc>
        <w:tc>
          <w:tcPr>
            <w:tcW w:w="991" w:type="dxa"/>
            <w:vMerge/>
            <w:tcBorders>
              <w:top w:val="nil"/>
              <w:left w:val="nil"/>
              <w:bottom w:val="single" w:sz="4" w:space="0" w:color="000000"/>
              <w:right w:val="nil"/>
            </w:tcBorders>
            <w:vAlign w:val="center"/>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single" w:sz="4" w:space="0" w:color="auto"/>
              <w:right w:val="nil"/>
            </w:tcBorders>
            <w:vAlign w:val="center"/>
          </w:tcPr>
          <w:p w:rsidR="00D814D6" w:rsidRPr="00925E10" w:rsidRDefault="00D814D6">
            <w:pPr>
              <w:spacing w:after="0"/>
              <w:jc w:val="both"/>
              <w:rPr>
                <w:rFonts w:ascii="Calibri" w:hAnsi="Calibri" w:cs="Calibri"/>
                <w:color w:val="000000"/>
                <w:lang w:val="en-US"/>
              </w:rPr>
            </w:pPr>
          </w:p>
        </w:tc>
        <w:tc>
          <w:tcPr>
            <w:tcW w:w="1560" w:type="dxa"/>
            <w:vMerge/>
            <w:tcBorders>
              <w:top w:val="nil"/>
              <w:left w:val="nil"/>
              <w:bottom w:val="single" w:sz="4" w:space="0" w:color="000000"/>
              <w:right w:val="nil"/>
            </w:tcBorders>
            <w:vAlign w:val="center"/>
          </w:tcPr>
          <w:p w:rsidR="00D814D6" w:rsidRPr="00925E10" w:rsidRDefault="00D814D6">
            <w:pPr>
              <w:spacing w:after="0"/>
              <w:jc w:val="both"/>
              <w:rPr>
                <w:rFonts w:ascii="Calibri" w:hAnsi="Calibri" w:cs="Calibri"/>
                <w:color w:val="000000"/>
                <w:lang w:val="en-US"/>
              </w:rPr>
            </w:pPr>
          </w:p>
        </w:tc>
      </w:tr>
      <w:tr w:rsidR="00D814D6" w:rsidRPr="00925E10" w:rsidTr="001469F0">
        <w:trPr>
          <w:trHeight w:val="6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b/>
                <w:bCs/>
                <w:color w:val="000000"/>
                <w:lang w:val="en-US"/>
              </w:rPr>
            </w:pPr>
            <w:r w:rsidRPr="00925E10">
              <w:rPr>
                <w:rFonts w:ascii="Calibri" w:hAnsi="Calibri" w:cs="Calibri"/>
                <w:b/>
                <w:bCs/>
                <w:color w:val="000000"/>
                <w:lang w:val="en-US"/>
              </w:rPr>
              <w:t>Demographic characteristics</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113"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991" w:type="dxa"/>
            <w:tcBorders>
              <w:top w:val="nil"/>
              <w:left w:val="single" w:sz="8" w:space="0" w:color="auto"/>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w:t>
            </w:r>
          </w:p>
        </w:tc>
        <w:tc>
          <w:tcPr>
            <w:tcW w:w="991"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Age (mean) </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72.3</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74.1</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70.8</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77.1</w:t>
            </w: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71.2</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75.6</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69.8</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77.5</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Current residence </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113" w:type="dxa"/>
            <w:tcBorders>
              <w:top w:val="nil"/>
              <w:left w:val="nil"/>
              <w:bottom w:val="nil"/>
              <w:right w:val="single" w:sz="8" w:space="0" w:color="auto"/>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Dublin</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23.4</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15.8</w:t>
            </w: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28.4</w:t>
            </w:r>
          </w:p>
        </w:tc>
        <w:tc>
          <w:tcPr>
            <w:tcW w:w="1113" w:type="dxa"/>
            <w:tcBorders>
              <w:top w:val="nil"/>
              <w:left w:val="nil"/>
              <w:bottom w:val="nil"/>
              <w:right w:val="single" w:sz="8" w:space="0" w:color="auto"/>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26.9</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27.8</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33.7</w:t>
            </w: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36</w:t>
            </w: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25</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Other city or town</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29.5</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26.4</w:t>
            </w: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33.7</w:t>
            </w:r>
          </w:p>
        </w:tc>
        <w:tc>
          <w:tcPr>
            <w:tcW w:w="1113" w:type="dxa"/>
            <w:tcBorders>
              <w:top w:val="nil"/>
              <w:left w:val="nil"/>
              <w:bottom w:val="nil"/>
              <w:right w:val="single" w:sz="8" w:space="0" w:color="auto"/>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31.3</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30.5</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38.1</w:t>
            </w: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41.1</w:t>
            </w: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22.9</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Rural area</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44.1</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51.8</w:t>
            </w: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37.7</w:t>
            </w:r>
          </w:p>
        </w:tc>
        <w:tc>
          <w:tcPr>
            <w:tcW w:w="1113" w:type="dxa"/>
            <w:tcBorders>
              <w:top w:val="nil"/>
              <w:left w:val="nil"/>
              <w:bottom w:val="nil"/>
              <w:right w:val="single" w:sz="8" w:space="0" w:color="auto"/>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41.2</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41.7</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28.2</w:t>
            </w: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22.9</w:t>
            </w: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43.7</w:t>
            </w:r>
          </w:p>
        </w:tc>
      </w:tr>
      <w:tr w:rsidR="00D814D6" w:rsidRPr="00925E10" w:rsidTr="001469F0">
        <w:trPr>
          <w:trHeight w:val="6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b/>
                <w:bCs/>
                <w:color w:val="000000"/>
                <w:lang w:val="en-US"/>
              </w:rPr>
            </w:pPr>
            <w:r w:rsidRPr="00925E10">
              <w:rPr>
                <w:rFonts w:ascii="Calibri" w:hAnsi="Calibri" w:cs="Calibri"/>
                <w:b/>
                <w:bCs/>
                <w:color w:val="000000"/>
                <w:lang w:val="en-US"/>
              </w:rPr>
              <w:t>Early life circumstances</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113"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Father's occupation</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113"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Professional</w:t>
            </w:r>
          </w:p>
        </w:tc>
        <w:tc>
          <w:tcPr>
            <w:tcW w:w="991"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10.2</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3.4</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18.7</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6.3</w:t>
            </w:r>
          </w:p>
        </w:tc>
        <w:tc>
          <w:tcPr>
            <w:tcW w:w="991" w:type="dxa"/>
            <w:tcBorders>
              <w:top w:val="nil"/>
              <w:left w:val="single" w:sz="8" w:space="0" w:color="auto"/>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10.1</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18</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20.5</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5.9</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Manual</w:t>
            </w:r>
          </w:p>
        </w:tc>
        <w:tc>
          <w:tcPr>
            <w:tcW w:w="991"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56.6</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53.3</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54.5</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61.1</w:t>
            </w:r>
          </w:p>
        </w:tc>
        <w:tc>
          <w:tcPr>
            <w:tcW w:w="991" w:type="dxa"/>
            <w:tcBorders>
              <w:top w:val="nil"/>
              <w:left w:val="single" w:sz="8" w:space="0" w:color="auto"/>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56.3</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44.1</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65.8</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55.9</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Non-manual</w:t>
            </w:r>
          </w:p>
        </w:tc>
        <w:tc>
          <w:tcPr>
            <w:tcW w:w="991"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9.1</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9.1</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6.5</w:t>
            </w:r>
          </w:p>
        </w:tc>
        <w:tc>
          <w:tcPr>
            <w:tcW w:w="991" w:type="dxa"/>
            <w:tcBorders>
              <w:top w:val="nil"/>
              <w:left w:val="single" w:sz="8" w:space="0" w:color="auto"/>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8.5</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11</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5.7</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6.1</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Farmers </w:t>
            </w:r>
          </w:p>
        </w:tc>
        <w:tc>
          <w:tcPr>
            <w:tcW w:w="991"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24.3</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38.2</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17.6</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25.9</w:t>
            </w:r>
          </w:p>
        </w:tc>
        <w:tc>
          <w:tcPr>
            <w:tcW w:w="991" w:type="dxa"/>
            <w:tcBorders>
              <w:top w:val="nil"/>
              <w:left w:val="single" w:sz="8" w:space="0" w:color="auto"/>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25</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26.8</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8</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32.1</w:t>
            </w:r>
          </w:p>
        </w:tc>
      </w:tr>
      <w:tr w:rsidR="00D814D6" w:rsidRPr="00925E10" w:rsidTr="001469F0">
        <w:trPr>
          <w:trHeight w:val="6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Family financial well-being</w:t>
            </w:r>
          </w:p>
        </w:tc>
        <w:tc>
          <w:tcPr>
            <w:tcW w:w="991"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113"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991" w:type="dxa"/>
            <w:tcBorders>
              <w:top w:val="nil"/>
              <w:left w:val="single" w:sz="8" w:space="0" w:color="auto"/>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well-off</w:t>
            </w:r>
          </w:p>
        </w:tc>
        <w:tc>
          <w:tcPr>
            <w:tcW w:w="991"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9.5</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9.6</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7.2</w:t>
            </w:r>
          </w:p>
        </w:tc>
        <w:tc>
          <w:tcPr>
            <w:tcW w:w="991" w:type="dxa"/>
            <w:tcBorders>
              <w:top w:val="nil"/>
              <w:left w:val="single" w:sz="8" w:space="0" w:color="auto"/>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9.1</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13.6</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25.1</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7.9</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Average</w:t>
            </w:r>
          </w:p>
        </w:tc>
        <w:tc>
          <w:tcPr>
            <w:tcW w:w="991"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62.9</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62.6</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60.9</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60.4</w:t>
            </w:r>
          </w:p>
        </w:tc>
        <w:tc>
          <w:tcPr>
            <w:tcW w:w="991" w:type="dxa"/>
            <w:tcBorders>
              <w:top w:val="nil"/>
              <w:left w:val="single" w:sz="8" w:space="0" w:color="auto"/>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69.7</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65.6</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58.3</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72.3</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Poor</w:t>
            </w:r>
          </w:p>
        </w:tc>
        <w:tc>
          <w:tcPr>
            <w:tcW w:w="991" w:type="dxa"/>
            <w:tcBorders>
              <w:top w:val="nil"/>
              <w:left w:val="nil"/>
              <w:bottom w:val="nil"/>
              <w:right w:val="nil"/>
            </w:tcBorders>
            <w:noWrap/>
            <w:vAlign w:val="center"/>
          </w:tcPr>
          <w:p w:rsidR="00D814D6" w:rsidRPr="00925E10" w:rsidRDefault="00D814D6">
            <w:pPr>
              <w:spacing w:after="0"/>
              <w:ind w:left="-45" w:firstLine="45"/>
              <w:jc w:val="both"/>
              <w:rPr>
                <w:rFonts w:ascii="Calibri" w:hAnsi="Calibri" w:cs="Calibri"/>
                <w:color w:val="000000"/>
                <w:lang w:val="en-US"/>
              </w:rPr>
            </w:pPr>
            <w:r w:rsidRPr="00925E10">
              <w:rPr>
                <w:rFonts w:ascii="Calibri" w:hAnsi="Calibri" w:cs="Calibri"/>
                <w:color w:val="000000"/>
                <w:lang w:val="en-US"/>
              </w:rPr>
              <w:t>27.5</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30.3</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29.5</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32.4</w:t>
            </w:r>
          </w:p>
        </w:tc>
        <w:tc>
          <w:tcPr>
            <w:tcW w:w="991" w:type="dxa"/>
            <w:tcBorders>
              <w:top w:val="nil"/>
              <w:left w:val="single" w:sz="8" w:space="0" w:color="auto"/>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21.2</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20.9</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16.6</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19.8</w:t>
            </w:r>
          </w:p>
        </w:tc>
      </w:tr>
      <w:tr w:rsidR="00D814D6" w:rsidRPr="00925E10" w:rsidTr="001469F0">
        <w:trPr>
          <w:trHeight w:val="6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lastRenderedPageBreak/>
              <w:t>Residential location (=rural)</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58.5</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75.4</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56.3</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62.5</w:t>
            </w: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59.1</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62.2</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48.1</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69.6</w:t>
            </w:r>
          </w:p>
        </w:tc>
      </w:tr>
      <w:tr w:rsidR="00D814D6" w:rsidRPr="00925E10" w:rsidTr="001469F0">
        <w:trPr>
          <w:trHeight w:val="6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Childhood  health (=poor)</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5.9</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7.5</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11.3</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4.8</w:t>
            </w: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6.2</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9.9</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10.3</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8.1</w:t>
            </w:r>
          </w:p>
        </w:tc>
      </w:tr>
      <w:tr w:rsidR="00D814D6" w:rsidRPr="00925E10" w:rsidTr="001469F0">
        <w:trPr>
          <w:trHeight w:val="6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Parental substance problem </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4.9</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7.1</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9.5</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4.9</w:t>
            </w: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6.5</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4.3</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11.6</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4.6</w:t>
            </w:r>
          </w:p>
        </w:tc>
      </w:tr>
      <w:tr w:rsidR="00D814D6" w:rsidRPr="00925E10" w:rsidTr="001469F0">
        <w:trPr>
          <w:trHeight w:val="6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b/>
                <w:bCs/>
                <w:color w:val="000000"/>
                <w:lang w:val="en-US"/>
              </w:rPr>
            </w:pPr>
            <w:r w:rsidRPr="00925E10">
              <w:rPr>
                <w:rFonts w:ascii="Calibri" w:hAnsi="Calibri" w:cs="Calibri"/>
                <w:b/>
                <w:bCs/>
                <w:color w:val="000000"/>
                <w:lang w:val="en-US"/>
              </w:rPr>
              <w:t>Early adult life circumstances</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113"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Education</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113"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primary </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52.1</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74.3</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58.7</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64.9</w:t>
            </w: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48.8</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31.7</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38.7</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69.4</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secondary </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32.4</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17.1</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28.3</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26.8</w:t>
            </w: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38.6</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45.7</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35.3</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23.8</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tertiary </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15.4</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8.5</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13</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8.2</w:t>
            </w: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12.5</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22.5</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25.9</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6.7</w:t>
            </w:r>
          </w:p>
        </w:tc>
      </w:tr>
      <w:tr w:rsidR="00D814D6" w:rsidRPr="00925E10" w:rsidTr="001469F0">
        <w:trPr>
          <w:trHeight w:val="6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b/>
                <w:bCs/>
                <w:color w:val="000000"/>
                <w:lang w:val="en-US"/>
              </w:rPr>
            </w:pPr>
            <w:r w:rsidRPr="00925E10">
              <w:rPr>
                <w:rFonts w:ascii="Calibri" w:hAnsi="Calibri" w:cs="Calibri"/>
                <w:b/>
                <w:bCs/>
                <w:color w:val="000000"/>
                <w:lang w:val="en-US"/>
              </w:rPr>
              <w:t>Late adult life circumstances</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113"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r>
      <w:tr w:rsidR="00D814D6" w:rsidRPr="00925E10" w:rsidTr="001469F0">
        <w:trPr>
          <w:trHeight w:val="6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Household Income (mean</w:t>
            </w:r>
            <w:r>
              <w:rPr>
                <w:rFonts w:ascii="Calibri" w:hAnsi="Calibri" w:cs="Calibri"/>
                <w:color w:val="000000"/>
                <w:lang w:val="en-US"/>
              </w:rPr>
              <w:t xml:space="preserve"> in Euro</w:t>
            </w:r>
            <w:r w:rsidRPr="00925E10">
              <w:rPr>
                <w:rFonts w:ascii="Calibri" w:hAnsi="Calibri" w:cs="Calibri"/>
                <w:color w:val="000000"/>
                <w:lang w:val="en-US"/>
              </w:rPr>
              <w:t>)</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32702</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15591</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24396</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21261</w:t>
            </w: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26790</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17661</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19020</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15692</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Own a house</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97.2</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78.1</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61</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87.1</w:t>
            </w:r>
          </w:p>
        </w:tc>
        <w:tc>
          <w:tcPr>
            <w:tcW w:w="991" w:type="dxa"/>
            <w:tcBorders>
              <w:top w:val="nil"/>
              <w:left w:val="single" w:sz="8" w:space="0" w:color="auto"/>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95.9</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78.9</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72.4</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90.2</w:t>
            </w:r>
          </w:p>
        </w:tc>
      </w:tr>
      <w:tr w:rsidR="00D814D6" w:rsidRPr="00925E10" w:rsidTr="001469F0">
        <w:trPr>
          <w:trHeight w:val="6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Self-reported health  (=poor)</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17.9</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18.2</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18.5</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17.1</w:t>
            </w: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15.1</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18.8</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24.4</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19.5</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Social Support</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98.9</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93.8</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96.5</w:t>
            </w:r>
          </w:p>
        </w:tc>
        <w:tc>
          <w:tcPr>
            <w:tcW w:w="1113"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95.3</w:t>
            </w: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98.3</w:t>
            </w:r>
          </w:p>
        </w:tc>
        <w:tc>
          <w:tcPr>
            <w:tcW w:w="991" w:type="dxa"/>
            <w:tcBorders>
              <w:top w:val="nil"/>
              <w:left w:val="nil"/>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95.4</w:t>
            </w:r>
          </w:p>
        </w:tc>
        <w:tc>
          <w:tcPr>
            <w:tcW w:w="1288"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96.9</w:t>
            </w:r>
          </w:p>
        </w:tc>
        <w:tc>
          <w:tcPr>
            <w:tcW w:w="1560" w:type="dxa"/>
            <w:tcBorders>
              <w:top w:val="nil"/>
              <w:left w:val="nil"/>
              <w:bottom w:val="nil"/>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99.1</w:t>
            </w:r>
          </w:p>
        </w:tc>
      </w:tr>
      <w:tr w:rsidR="00D814D6" w:rsidRPr="00925E10" w:rsidTr="001469F0">
        <w:trPr>
          <w:trHeight w:val="300"/>
        </w:trPr>
        <w:tc>
          <w:tcPr>
            <w:tcW w:w="3276" w:type="dxa"/>
            <w:tcBorders>
              <w:top w:val="nil"/>
              <w:left w:val="nil"/>
              <w:bottom w:val="nil"/>
              <w:right w:val="nil"/>
            </w:tcBorders>
            <w:vAlign w:val="center"/>
          </w:tcPr>
          <w:p w:rsidR="00D814D6" w:rsidRPr="00925E10" w:rsidRDefault="00D814D6">
            <w:pPr>
              <w:spacing w:after="0"/>
              <w:jc w:val="both"/>
              <w:rPr>
                <w:rFonts w:ascii="Calibri" w:hAnsi="Calibri" w:cs="Calibri"/>
                <w:b/>
                <w:bCs/>
                <w:color w:val="000000"/>
                <w:lang w:val="en-US"/>
              </w:rPr>
            </w:pPr>
            <w:r w:rsidRPr="00925E10">
              <w:rPr>
                <w:rFonts w:ascii="Calibri" w:hAnsi="Calibri" w:cs="Calibri"/>
                <w:b/>
                <w:bCs/>
                <w:color w:val="000000"/>
                <w:lang w:val="en-US"/>
              </w:rPr>
              <w:t>Mental Health</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113"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991" w:type="dxa"/>
            <w:tcBorders>
              <w:top w:val="nil"/>
              <w:left w:val="single" w:sz="8" w:space="0" w:color="auto"/>
              <w:bottom w:val="nil"/>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w:t>
            </w:r>
          </w:p>
        </w:tc>
        <w:tc>
          <w:tcPr>
            <w:tcW w:w="991" w:type="dxa"/>
            <w:tcBorders>
              <w:top w:val="nil"/>
              <w:left w:val="nil"/>
              <w:bottom w:val="nil"/>
              <w:right w:val="nil"/>
            </w:tcBorders>
          </w:tcPr>
          <w:p w:rsidR="00D814D6" w:rsidRPr="00925E10" w:rsidRDefault="00D814D6">
            <w:pPr>
              <w:spacing w:after="0"/>
              <w:jc w:val="both"/>
              <w:rPr>
                <w:rFonts w:ascii="Calibri" w:hAnsi="Calibri" w:cs="Calibri"/>
                <w:color w:val="000000"/>
                <w:lang w:val="en-US"/>
              </w:rPr>
            </w:pPr>
          </w:p>
        </w:tc>
        <w:tc>
          <w:tcPr>
            <w:tcW w:w="1288"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c>
          <w:tcPr>
            <w:tcW w:w="1560" w:type="dxa"/>
            <w:tcBorders>
              <w:top w:val="nil"/>
              <w:left w:val="nil"/>
              <w:bottom w:val="nil"/>
              <w:right w:val="nil"/>
            </w:tcBorders>
            <w:noWrap/>
            <w:vAlign w:val="bottom"/>
          </w:tcPr>
          <w:p w:rsidR="00D814D6" w:rsidRPr="00925E10" w:rsidRDefault="00D814D6">
            <w:pPr>
              <w:spacing w:after="0"/>
              <w:jc w:val="both"/>
              <w:rPr>
                <w:rFonts w:ascii="Calibri" w:hAnsi="Calibri" w:cs="Calibri"/>
                <w:color w:val="000000"/>
                <w:lang w:val="en-US"/>
              </w:rPr>
            </w:pPr>
          </w:p>
        </w:tc>
      </w:tr>
      <w:tr w:rsidR="00D814D6" w:rsidRPr="00925E10" w:rsidTr="001469F0">
        <w:trPr>
          <w:trHeight w:val="620"/>
        </w:trPr>
        <w:tc>
          <w:tcPr>
            <w:tcW w:w="3276" w:type="dxa"/>
            <w:tcBorders>
              <w:top w:val="nil"/>
              <w:left w:val="nil"/>
              <w:bottom w:val="single" w:sz="8" w:space="0" w:color="auto"/>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 xml:space="preserve"> Depressive symptoms (mean)</w:t>
            </w:r>
          </w:p>
        </w:tc>
        <w:tc>
          <w:tcPr>
            <w:tcW w:w="991" w:type="dxa"/>
            <w:tcBorders>
              <w:top w:val="nil"/>
              <w:left w:val="nil"/>
              <w:bottom w:val="single" w:sz="8" w:space="0" w:color="auto"/>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4.3</w:t>
            </w:r>
          </w:p>
        </w:tc>
        <w:tc>
          <w:tcPr>
            <w:tcW w:w="991" w:type="dxa"/>
            <w:tcBorders>
              <w:top w:val="nil"/>
              <w:left w:val="nil"/>
              <w:bottom w:val="single" w:sz="8" w:space="0" w:color="auto"/>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5.9</w:t>
            </w:r>
          </w:p>
        </w:tc>
        <w:tc>
          <w:tcPr>
            <w:tcW w:w="1288" w:type="dxa"/>
            <w:tcBorders>
              <w:top w:val="nil"/>
              <w:left w:val="nil"/>
              <w:bottom w:val="single" w:sz="8" w:space="0" w:color="auto"/>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6.6</w:t>
            </w:r>
          </w:p>
        </w:tc>
        <w:tc>
          <w:tcPr>
            <w:tcW w:w="1113" w:type="dxa"/>
            <w:tcBorders>
              <w:top w:val="nil"/>
              <w:left w:val="nil"/>
              <w:bottom w:val="single" w:sz="8" w:space="0" w:color="auto"/>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5.8</w:t>
            </w:r>
          </w:p>
        </w:tc>
        <w:tc>
          <w:tcPr>
            <w:tcW w:w="991" w:type="dxa"/>
            <w:tcBorders>
              <w:top w:val="nil"/>
              <w:left w:val="single" w:sz="8" w:space="0" w:color="auto"/>
              <w:bottom w:val="single" w:sz="8" w:space="0" w:color="auto"/>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5.4</w:t>
            </w:r>
          </w:p>
        </w:tc>
        <w:tc>
          <w:tcPr>
            <w:tcW w:w="991" w:type="dxa"/>
            <w:tcBorders>
              <w:top w:val="nil"/>
              <w:left w:val="nil"/>
              <w:bottom w:val="single" w:sz="8" w:space="0" w:color="auto"/>
              <w:right w:val="nil"/>
            </w:tcBorders>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6.2</w:t>
            </w:r>
          </w:p>
        </w:tc>
        <w:tc>
          <w:tcPr>
            <w:tcW w:w="1288" w:type="dxa"/>
            <w:tcBorders>
              <w:top w:val="nil"/>
              <w:left w:val="nil"/>
              <w:bottom w:val="single" w:sz="8" w:space="0" w:color="auto"/>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8.3</w:t>
            </w:r>
          </w:p>
        </w:tc>
        <w:tc>
          <w:tcPr>
            <w:tcW w:w="1560" w:type="dxa"/>
            <w:tcBorders>
              <w:top w:val="nil"/>
              <w:left w:val="nil"/>
              <w:bottom w:val="single" w:sz="8" w:space="0" w:color="auto"/>
              <w:right w:val="nil"/>
            </w:tcBorders>
            <w:noWrap/>
            <w:vAlign w:val="center"/>
          </w:tcPr>
          <w:p w:rsidR="00D814D6" w:rsidRPr="00925E10" w:rsidRDefault="00D814D6">
            <w:pPr>
              <w:spacing w:after="0"/>
              <w:jc w:val="both"/>
              <w:rPr>
                <w:rFonts w:ascii="Calibri" w:hAnsi="Calibri" w:cs="Calibri"/>
                <w:color w:val="000000"/>
                <w:lang w:val="en-US"/>
              </w:rPr>
            </w:pPr>
            <w:r w:rsidRPr="00925E10">
              <w:rPr>
                <w:rFonts w:ascii="Calibri" w:hAnsi="Calibri" w:cs="Calibri"/>
                <w:color w:val="000000"/>
                <w:lang w:val="en-US"/>
              </w:rPr>
              <w:t>7.7</w:t>
            </w:r>
          </w:p>
        </w:tc>
      </w:tr>
    </w:tbl>
    <w:p w:rsidR="00D814D6" w:rsidRPr="00925E10" w:rsidRDefault="00D814D6">
      <w:pPr>
        <w:tabs>
          <w:tab w:val="left" w:pos="1701"/>
        </w:tabs>
        <w:spacing w:after="240" w:line="360" w:lineRule="auto"/>
        <w:jc w:val="both"/>
        <w:rPr>
          <w:rFonts w:ascii="Calibri" w:hAnsi="Calibri" w:cs="Calibri"/>
          <w:color w:val="000000"/>
        </w:rPr>
      </w:pPr>
    </w:p>
    <w:p w:rsidR="00D814D6" w:rsidRPr="00925E10" w:rsidRDefault="00D814D6" w:rsidP="00E23060">
      <w:pPr>
        <w:spacing w:after="240" w:line="360" w:lineRule="auto"/>
        <w:jc w:val="both"/>
        <w:rPr>
          <w:rFonts w:ascii="Calibri" w:hAnsi="Calibri" w:cs="Calibri"/>
          <w:color w:val="000000"/>
        </w:rPr>
        <w:sectPr w:rsidR="00D814D6" w:rsidRPr="00925E10" w:rsidSect="00D91FA4">
          <w:pgSz w:w="16840" w:h="11900" w:orient="landscape" w:code="9"/>
          <w:pgMar w:top="1797" w:right="1440" w:bottom="1797" w:left="1440" w:header="709" w:footer="709" w:gutter="0"/>
          <w:cols w:space="708"/>
        </w:sectPr>
      </w:pPr>
    </w:p>
    <w:p w:rsidR="00D814D6" w:rsidRPr="00925E10" w:rsidRDefault="00D814D6">
      <w:pPr>
        <w:spacing w:after="240" w:line="480" w:lineRule="auto"/>
        <w:jc w:val="both"/>
        <w:rPr>
          <w:rFonts w:ascii="Calibri" w:hAnsi="Calibri" w:cs="Calibri"/>
          <w:color w:val="000000"/>
          <w:sz w:val="24"/>
          <w:szCs w:val="24"/>
        </w:rPr>
      </w:pPr>
      <w:r w:rsidRPr="00925E10">
        <w:rPr>
          <w:rFonts w:ascii="Calibri" w:hAnsi="Calibri" w:cs="Calibri"/>
          <w:color w:val="000000"/>
          <w:sz w:val="24"/>
          <w:szCs w:val="24"/>
        </w:rPr>
        <w:lastRenderedPageBreak/>
        <w:t>Table 2: Multinomial logistic regression for marital status (odds ratios)</w:t>
      </w:r>
    </w:p>
    <w:tbl>
      <w:tblPr>
        <w:tblW w:w="9945" w:type="dxa"/>
        <w:tblInd w:w="93" w:type="dxa"/>
        <w:tblLayout w:type="fixed"/>
        <w:tblLook w:val="00A0"/>
      </w:tblPr>
      <w:tblGrid>
        <w:gridCol w:w="2850"/>
        <w:gridCol w:w="1031"/>
        <w:gridCol w:w="1366"/>
        <w:gridCol w:w="1155"/>
        <w:gridCol w:w="1122"/>
        <w:gridCol w:w="1266"/>
        <w:gridCol w:w="1155"/>
      </w:tblGrid>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p>
        </w:tc>
        <w:tc>
          <w:tcPr>
            <w:tcW w:w="3552" w:type="dxa"/>
            <w:gridSpan w:val="3"/>
            <w:tcBorders>
              <w:top w:val="single" w:sz="4" w:space="0" w:color="auto"/>
              <w:left w:val="nil"/>
              <w:bottom w:val="single" w:sz="4" w:space="0" w:color="auto"/>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Men</w:t>
            </w:r>
          </w:p>
        </w:tc>
        <w:tc>
          <w:tcPr>
            <w:tcW w:w="3543" w:type="dxa"/>
            <w:gridSpan w:val="3"/>
            <w:tcBorders>
              <w:top w:val="single" w:sz="4" w:space="0" w:color="auto"/>
              <w:left w:val="single" w:sz="4" w:space="0" w:color="auto"/>
              <w:bottom w:val="single" w:sz="4" w:space="0" w:color="auto"/>
              <w:right w:val="nil"/>
            </w:tcBorders>
            <w:noWrap/>
            <w:vAlign w:val="bottom"/>
          </w:tcPr>
          <w:p w:rsidR="00D814D6" w:rsidRPr="00925E10" w:rsidRDefault="00524B50">
            <w:pPr>
              <w:spacing w:after="0" w:line="360" w:lineRule="auto"/>
              <w:jc w:val="both"/>
              <w:rPr>
                <w:rFonts w:ascii="Calibri" w:hAnsi="Calibri" w:cs="Calibri"/>
                <w:color w:val="000000"/>
                <w:lang w:val="en-US"/>
              </w:rPr>
            </w:pPr>
            <w:r>
              <w:rPr>
                <w:rFonts w:ascii="Calibri" w:hAnsi="Calibri" w:cs="Calibri"/>
                <w:color w:val="000000"/>
                <w:lang w:val="en-US"/>
              </w:rPr>
              <w:t>W</w:t>
            </w:r>
            <w:r w:rsidR="00D814D6" w:rsidRPr="00925E10">
              <w:rPr>
                <w:rFonts w:ascii="Calibri" w:hAnsi="Calibri" w:cs="Calibri"/>
                <w:color w:val="000000"/>
                <w:lang w:val="en-US"/>
              </w:rPr>
              <w:t>omen</w:t>
            </w:r>
          </w:p>
        </w:tc>
      </w:tr>
      <w:tr w:rsidR="00D814D6" w:rsidRPr="00925E10" w:rsidTr="00D91FA4">
        <w:trPr>
          <w:trHeight w:val="600"/>
        </w:trPr>
        <w:tc>
          <w:tcPr>
            <w:tcW w:w="2850" w:type="dxa"/>
            <w:tcBorders>
              <w:top w:val="nil"/>
              <w:left w:val="nil"/>
              <w:bottom w:val="single" w:sz="4" w:space="0" w:color="auto"/>
              <w:right w:val="nil"/>
            </w:tcBorders>
            <w:vAlign w:val="center"/>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 </w:t>
            </w:r>
          </w:p>
        </w:tc>
        <w:tc>
          <w:tcPr>
            <w:tcW w:w="1031" w:type="dxa"/>
            <w:tcBorders>
              <w:top w:val="nil"/>
              <w:left w:val="nil"/>
              <w:bottom w:val="single" w:sz="4" w:space="0" w:color="auto"/>
              <w:right w:val="nil"/>
            </w:tcBorders>
            <w:vAlign w:val="center"/>
          </w:tcPr>
          <w:p w:rsidR="00D814D6" w:rsidRPr="00925E10" w:rsidRDefault="00524B50">
            <w:pPr>
              <w:spacing w:after="0" w:line="360" w:lineRule="auto"/>
              <w:jc w:val="both"/>
              <w:rPr>
                <w:rFonts w:ascii="Calibri" w:hAnsi="Calibri" w:cs="Calibri"/>
                <w:color w:val="000000"/>
                <w:lang w:val="en-US"/>
              </w:rPr>
            </w:pPr>
            <w:r>
              <w:rPr>
                <w:rFonts w:ascii="Calibri" w:hAnsi="Calibri" w:cs="Calibri"/>
                <w:color w:val="000000"/>
                <w:lang w:val="en-US"/>
              </w:rPr>
              <w:t>N</w:t>
            </w:r>
            <w:r w:rsidR="00D814D6" w:rsidRPr="00925E10">
              <w:rPr>
                <w:rFonts w:ascii="Calibri" w:hAnsi="Calibri" w:cs="Calibri"/>
                <w:color w:val="000000"/>
                <w:lang w:val="en-US"/>
              </w:rPr>
              <w:t>ever married</w:t>
            </w:r>
          </w:p>
        </w:tc>
        <w:tc>
          <w:tcPr>
            <w:tcW w:w="1366" w:type="dxa"/>
            <w:tcBorders>
              <w:top w:val="nil"/>
              <w:left w:val="nil"/>
              <w:bottom w:val="single" w:sz="4" w:space="0" w:color="auto"/>
              <w:right w:val="nil"/>
            </w:tcBorders>
            <w:vAlign w:val="center"/>
          </w:tcPr>
          <w:p w:rsidR="00524B50" w:rsidRDefault="00524B50">
            <w:pPr>
              <w:spacing w:after="0" w:line="360" w:lineRule="auto"/>
              <w:jc w:val="both"/>
              <w:rPr>
                <w:rFonts w:ascii="Calibri" w:hAnsi="Calibri" w:cs="Calibri"/>
                <w:color w:val="000000"/>
                <w:lang w:val="en-US"/>
              </w:rPr>
            </w:pPr>
            <w:r>
              <w:rPr>
                <w:rFonts w:ascii="Calibri" w:hAnsi="Calibri" w:cs="Calibri"/>
                <w:color w:val="000000"/>
                <w:lang w:val="en-US"/>
              </w:rPr>
              <w:t>S</w:t>
            </w:r>
            <w:r w:rsidR="00D814D6" w:rsidRPr="00925E10">
              <w:rPr>
                <w:rFonts w:ascii="Calibri" w:hAnsi="Calibri" w:cs="Calibri"/>
                <w:color w:val="000000"/>
                <w:lang w:val="en-US"/>
              </w:rPr>
              <w:t>eparated/</w:t>
            </w:r>
          </w:p>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divorced</w:t>
            </w:r>
          </w:p>
        </w:tc>
        <w:tc>
          <w:tcPr>
            <w:tcW w:w="1155" w:type="dxa"/>
            <w:tcBorders>
              <w:top w:val="nil"/>
              <w:left w:val="nil"/>
              <w:bottom w:val="single" w:sz="4" w:space="0" w:color="auto"/>
              <w:right w:val="single" w:sz="4" w:space="0" w:color="auto"/>
            </w:tcBorders>
            <w:vAlign w:val="center"/>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Widowed</w:t>
            </w:r>
          </w:p>
        </w:tc>
        <w:tc>
          <w:tcPr>
            <w:tcW w:w="1122" w:type="dxa"/>
            <w:tcBorders>
              <w:top w:val="nil"/>
              <w:left w:val="nil"/>
              <w:bottom w:val="single" w:sz="4" w:space="0" w:color="auto"/>
              <w:right w:val="nil"/>
            </w:tcBorders>
            <w:vAlign w:val="center"/>
          </w:tcPr>
          <w:p w:rsidR="00D814D6" w:rsidRPr="00925E10" w:rsidRDefault="00524B50">
            <w:pPr>
              <w:spacing w:after="0" w:line="360" w:lineRule="auto"/>
              <w:jc w:val="both"/>
              <w:rPr>
                <w:rFonts w:ascii="Calibri" w:hAnsi="Calibri" w:cs="Calibri"/>
                <w:color w:val="000000"/>
                <w:lang w:val="en-US"/>
              </w:rPr>
            </w:pPr>
            <w:r>
              <w:rPr>
                <w:rFonts w:ascii="Calibri" w:hAnsi="Calibri" w:cs="Calibri"/>
                <w:color w:val="000000"/>
                <w:lang w:val="en-US"/>
              </w:rPr>
              <w:t>N</w:t>
            </w:r>
            <w:r w:rsidR="00D814D6" w:rsidRPr="00925E10">
              <w:rPr>
                <w:rFonts w:ascii="Calibri" w:hAnsi="Calibri" w:cs="Calibri"/>
                <w:color w:val="000000"/>
                <w:lang w:val="en-US"/>
              </w:rPr>
              <w:t>ever married</w:t>
            </w:r>
          </w:p>
        </w:tc>
        <w:tc>
          <w:tcPr>
            <w:tcW w:w="1266" w:type="dxa"/>
            <w:tcBorders>
              <w:top w:val="nil"/>
              <w:left w:val="nil"/>
              <w:bottom w:val="single" w:sz="4" w:space="0" w:color="auto"/>
              <w:right w:val="nil"/>
            </w:tcBorders>
            <w:vAlign w:val="center"/>
          </w:tcPr>
          <w:p w:rsidR="00D814D6" w:rsidRPr="00925E10" w:rsidRDefault="00524B50">
            <w:pPr>
              <w:spacing w:after="0" w:line="360" w:lineRule="auto"/>
              <w:jc w:val="both"/>
              <w:rPr>
                <w:rFonts w:ascii="Calibri" w:hAnsi="Calibri" w:cs="Calibri"/>
                <w:color w:val="000000"/>
                <w:lang w:val="en-US"/>
              </w:rPr>
            </w:pPr>
            <w:r>
              <w:rPr>
                <w:rFonts w:ascii="Calibri" w:hAnsi="Calibri" w:cs="Calibri"/>
                <w:color w:val="000000"/>
                <w:lang w:val="en-US"/>
              </w:rPr>
              <w:t>S</w:t>
            </w:r>
            <w:r w:rsidR="00D814D6" w:rsidRPr="00925E10">
              <w:rPr>
                <w:rFonts w:ascii="Calibri" w:hAnsi="Calibri" w:cs="Calibri"/>
                <w:color w:val="000000"/>
                <w:lang w:val="en-US"/>
              </w:rPr>
              <w:t>eparated/divorced</w:t>
            </w:r>
          </w:p>
        </w:tc>
        <w:tc>
          <w:tcPr>
            <w:tcW w:w="1155" w:type="dxa"/>
            <w:tcBorders>
              <w:top w:val="nil"/>
              <w:left w:val="nil"/>
              <w:bottom w:val="single" w:sz="4" w:space="0" w:color="auto"/>
              <w:right w:val="nil"/>
            </w:tcBorders>
            <w:vAlign w:val="center"/>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Widowed</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Age</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1.016</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0.931*</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1.115***</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1.098***</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0.913*</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1.153***</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(0.0158)</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(0.0303)</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(0.0144)</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(0.0186)</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(0.0326)</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(0.0126)</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poor childhood health</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1.726</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1.915</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1.106</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1.832</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1.522</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1.354</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(0.574)</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(0.966)</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(0.376)</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(0.639)</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(0.770)</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(0.325)</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childhood residence</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2.027**</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1.648</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0.934</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1.071</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1.138</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1.317</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(=rural)</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(0.491)</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(0.563)</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(0.176)</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(0.251)</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(0.359)</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(0.194)</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father occupation</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1.909</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0.573</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1.597</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0.656</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0.536</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1.199</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(=manual)</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(0.843)</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(0.263)</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(0.517)</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(0.198)</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(0.216)</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(0.266)</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father occupation</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1.697</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0.843</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1.248</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1.073</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0.509</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1.168</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(=non-manual)</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(0.902)</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(0.465)</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(0.493)</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(0.406)</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(0.307)</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(0.342)</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father occupation</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2.955*</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0.364</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1.386</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0.888</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0.211**</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1.277</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(=farmer)</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(1.342)</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(0.207)</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(0.503)</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(0.292)</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(0.116)</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(0.307)</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childhood family</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1.298</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1.081</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1.044</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1.001</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0.438*</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0.814</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(=average)</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(0.457)</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(0.528)</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(0.302)</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(0.290)</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(0.173)</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(0.163)</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childhood family</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1.132</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0.812</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1.377</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1.215</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0.477</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0.835</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(=poor financially)</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(0.447)</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(0.492)</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(0.446)</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(0.477)</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(0.258)</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(0.209)</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parental substance abuse</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1.676</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1.424</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1.432</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0.903</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1.627</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0.957</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(0.624)</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(0.791)</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(0.513)</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(0.412)</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(0.780)</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(0.273)</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secondary education</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0.481**</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0.797</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0.895</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1.660</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0.562</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0.638**</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(0.115)</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(0.319)</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(0.177)</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(0.461)</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(0.217)</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(0.0938)</w:t>
            </w:r>
          </w:p>
        </w:tc>
      </w:tr>
      <w:tr w:rsidR="00D814D6" w:rsidRPr="00925E10" w:rsidTr="00D91FA4">
        <w:trPr>
          <w:trHeight w:val="300"/>
        </w:trPr>
        <w:tc>
          <w:tcPr>
            <w:tcW w:w="2850"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tertiary education</w:t>
            </w:r>
          </w:p>
        </w:tc>
        <w:tc>
          <w:tcPr>
            <w:tcW w:w="1031"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0.672</w:t>
            </w:r>
          </w:p>
        </w:tc>
        <w:tc>
          <w:tcPr>
            <w:tcW w:w="13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0.938</w:t>
            </w:r>
          </w:p>
        </w:tc>
        <w:tc>
          <w:tcPr>
            <w:tcW w:w="1155" w:type="dxa"/>
            <w:tcBorders>
              <w:top w:val="nil"/>
              <w:left w:val="nil"/>
              <w:bottom w:val="nil"/>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0.636</w:t>
            </w:r>
          </w:p>
        </w:tc>
        <w:tc>
          <w:tcPr>
            <w:tcW w:w="1122"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3.062***</w:t>
            </w:r>
          </w:p>
        </w:tc>
        <w:tc>
          <w:tcPr>
            <w:tcW w:w="126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0.765</w:t>
            </w:r>
          </w:p>
        </w:tc>
        <w:tc>
          <w:tcPr>
            <w:tcW w:w="1155"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0.675*</w:t>
            </w:r>
          </w:p>
        </w:tc>
      </w:tr>
      <w:tr w:rsidR="00D814D6" w:rsidRPr="00925E10" w:rsidTr="00D91FA4">
        <w:trPr>
          <w:trHeight w:val="300"/>
        </w:trPr>
        <w:tc>
          <w:tcPr>
            <w:tcW w:w="2850" w:type="dxa"/>
            <w:tcBorders>
              <w:top w:val="nil"/>
              <w:left w:val="nil"/>
              <w:bottom w:val="single" w:sz="4" w:space="0" w:color="auto"/>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 </w:t>
            </w:r>
          </w:p>
        </w:tc>
        <w:tc>
          <w:tcPr>
            <w:tcW w:w="1031" w:type="dxa"/>
            <w:tcBorders>
              <w:top w:val="nil"/>
              <w:left w:val="nil"/>
              <w:bottom w:val="single" w:sz="4" w:space="0" w:color="auto"/>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(0.177)</w:t>
            </w:r>
          </w:p>
        </w:tc>
        <w:tc>
          <w:tcPr>
            <w:tcW w:w="1366" w:type="dxa"/>
            <w:tcBorders>
              <w:top w:val="nil"/>
              <w:left w:val="nil"/>
              <w:bottom w:val="single" w:sz="4" w:space="0" w:color="auto"/>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(0.399)</w:t>
            </w:r>
          </w:p>
        </w:tc>
        <w:tc>
          <w:tcPr>
            <w:tcW w:w="1155" w:type="dxa"/>
            <w:tcBorders>
              <w:top w:val="nil"/>
              <w:left w:val="nil"/>
              <w:bottom w:val="single" w:sz="4" w:space="0" w:color="auto"/>
              <w:right w:val="single" w:sz="4" w:space="0" w:color="auto"/>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(0.159)</w:t>
            </w:r>
          </w:p>
        </w:tc>
        <w:tc>
          <w:tcPr>
            <w:tcW w:w="1122" w:type="dxa"/>
            <w:tcBorders>
              <w:top w:val="nil"/>
              <w:left w:val="nil"/>
              <w:bottom w:val="single" w:sz="4" w:space="0" w:color="auto"/>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(0.899)</w:t>
            </w:r>
          </w:p>
        </w:tc>
        <w:tc>
          <w:tcPr>
            <w:tcW w:w="1266" w:type="dxa"/>
            <w:tcBorders>
              <w:top w:val="nil"/>
              <w:left w:val="nil"/>
              <w:bottom w:val="single" w:sz="4" w:space="0" w:color="auto"/>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(0.310)</w:t>
            </w:r>
          </w:p>
        </w:tc>
        <w:tc>
          <w:tcPr>
            <w:tcW w:w="1155" w:type="dxa"/>
            <w:tcBorders>
              <w:top w:val="nil"/>
              <w:left w:val="nil"/>
              <w:bottom w:val="single" w:sz="4" w:space="0" w:color="auto"/>
              <w:right w:val="nil"/>
            </w:tcBorders>
            <w:noWrap/>
            <w:vAlign w:val="bottom"/>
          </w:tcPr>
          <w:p w:rsidR="00D814D6" w:rsidRPr="00925E10" w:rsidRDefault="00D814D6">
            <w:pPr>
              <w:spacing w:after="0" w:line="360" w:lineRule="auto"/>
              <w:jc w:val="both"/>
              <w:rPr>
                <w:rFonts w:ascii="Calibri" w:hAnsi="Calibri" w:cs="Calibri"/>
                <w:color w:val="000000"/>
                <w:lang w:val="en-US"/>
              </w:rPr>
            </w:pPr>
            <w:r w:rsidRPr="00925E10">
              <w:rPr>
                <w:rFonts w:ascii="Calibri" w:hAnsi="Calibri" w:cs="Calibri"/>
                <w:color w:val="000000"/>
                <w:lang w:val="en-US"/>
              </w:rPr>
              <w:t>(0.121)</w:t>
            </w:r>
          </w:p>
        </w:tc>
      </w:tr>
    </w:tbl>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Standard errors in parentheses</w:t>
      </w:r>
    </w:p>
    <w:p w:rsidR="00D814D6" w:rsidRPr="00925E10" w:rsidRDefault="00D814D6">
      <w:pPr>
        <w:autoSpaceDE w:val="0"/>
        <w:autoSpaceDN w:val="0"/>
        <w:adjustRightInd w:val="0"/>
        <w:spacing w:after="240" w:line="360" w:lineRule="auto"/>
        <w:jc w:val="both"/>
        <w:rPr>
          <w:rFonts w:ascii="Calibri" w:hAnsi="Calibri" w:cs="Calibri"/>
        </w:rPr>
      </w:pPr>
      <w:r w:rsidRPr="00925E10">
        <w:rPr>
          <w:rFonts w:ascii="Calibri" w:hAnsi="Calibri" w:cs="Calibri"/>
        </w:rPr>
        <w:t>p &lt;.05; ** p &lt;.01; *** p &lt;.001</w:t>
      </w:r>
    </w:p>
    <w:p w:rsidR="00D814D6" w:rsidRPr="00925E10" w:rsidRDefault="00D814D6" w:rsidP="004D3ED5">
      <w:pPr>
        <w:pStyle w:val="ListParagraph"/>
        <w:autoSpaceDE w:val="0"/>
        <w:autoSpaceDN w:val="0"/>
        <w:adjustRightInd w:val="0"/>
        <w:spacing w:after="240" w:line="240" w:lineRule="auto"/>
        <w:jc w:val="both"/>
        <w:rPr>
          <w:rFonts w:ascii="Calibri" w:hAnsi="Calibri" w:cs="Calibri"/>
          <w:color w:val="000000"/>
          <w:sz w:val="24"/>
          <w:szCs w:val="24"/>
        </w:rPr>
      </w:pPr>
      <w:r w:rsidRPr="00925E10">
        <w:rPr>
          <w:rFonts w:ascii="Calibri" w:hAnsi="Calibri" w:cs="Calibri"/>
          <w:color w:val="000000"/>
          <w:sz w:val="24"/>
          <w:szCs w:val="24"/>
        </w:rPr>
        <w:br w:type="page"/>
      </w:r>
      <w:r w:rsidRPr="00925E10">
        <w:rPr>
          <w:rFonts w:ascii="Calibri" w:hAnsi="Calibri" w:cs="Calibri"/>
          <w:color w:val="000000"/>
          <w:sz w:val="24"/>
          <w:szCs w:val="24"/>
        </w:rPr>
        <w:lastRenderedPageBreak/>
        <w:t>Table 3: Depressive symptoms regressed on marital status and early and later life circumstances</w:t>
      </w:r>
    </w:p>
    <w:tbl>
      <w:tblPr>
        <w:tblW w:w="7876" w:type="dxa"/>
        <w:tblInd w:w="99" w:type="dxa"/>
        <w:tblLook w:val="00A0"/>
      </w:tblPr>
      <w:tblGrid>
        <w:gridCol w:w="2456"/>
        <w:gridCol w:w="1036"/>
        <w:gridCol w:w="1036"/>
        <w:gridCol w:w="1116"/>
        <w:gridCol w:w="1116"/>
        <w:gridCol w:w="1046"/>
        <w:gridCol w:w="70"/>
      </w:tblGrid>
      <w:tr w:rsidR="00D814D6" w:rsidRPr="00925E10" w:rsidTr="005E6847">
        <w:trPr>
          <w:gridAfter w:val="1"/>
          <w:wAfter w:w="70" w:type="dxa"/>
          <w:trHeight w:val="288"/>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5350" w:type="dxa"/>
            <w:gridSpan w:val="5"/>
            <w:tcBorders>
              <w:top w:val="single" w:sz="4" w:space="0" w:color="auto"/>
              <w:left w:val="nil"/>
              <w:bottom w:val="single" w:sz="4" w:space="0" w:color="auto"/>
              <w:right w:val="nil"/>
            </w:tcBorders>
            <w:noWrap/>
            <w:vAlign w:val="bottom"/>
          </w:tcPr>
          <w:p w:rsidR="00D814D6" w:rsidRPr="00925E10" w:rsidRDefault="002668BC">
            <w:pPr>
              <w:spacing w:after="0" w:line="360" w:lineRule="auto"/>
              <w:jc w:val="both"/>
              <w:rPr>
                <w:rFonts w:ascii="Calibri" w:hAnsi="Calibri" w:cs="Calibri"/>
                <w:color w:val="000000"/>
                <w:lang w:eastAsia="en-IE"/>
              </w:rPr>
            </w:pPr>
            <w:r>
              <w:rPr>
                <w:rFonts w:ascii="Calibri" w:hAnsi="Calibri" w:cs="Calibri"/>
                <w:color w:val="000000"/>
                <w:lang w:eastAsia="en-IE"/>
              </w:rPr>
              <w:t>M</w:t>
            </w:r>
            <w:r w:rsidR="00D814D6" w:rsidRPr="00925E10">
              <w:rPr>
                <w:rFonts w:ascii="Calibri" w:hAnsi="Calibri" w:cs="Calibri"/>
                <w:color w:val="000000"/>
                <w:lang w:eastAsia="en-IE"/>
              </w:rPr>
              <w:t xml:space="preserve">en </w:t>
            </w:r>
          </w:p>
        </w:tc>
      </w:tr>
      <w:tr w:rsidR="00D814D6" w:rsidRPr="00925E10" w:rsidTr="002668BC">
        <w:trPr>
          <w:trHeight w:val="324"/>
        </w:trPr>
        <w:tc>
          <w:tcPr>
            <w:tcW w:w="245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 </w:t>
            </w:r>
          </w:p>
        </w:tc>
        <w:tc>
          <w:tcPr>
            <w:tcW w:w="103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model 1</w:t>
            </w:r>
          </w:p>
        </w:tc>
        <w:tc>
          <w:tcPr>
            <w:tcW w:w="103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model 2</w:t>
            </w:r>
          </w:p>
        </w:tc>
        <w:tc>
          <w:tcPr>
            <w:tcW w:w="111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model 3</w:t>
            </w:r>
          </w:p>
        </w:tc>
        <w:tc>
          <w:tcPr>
            <w:tcW w:w="111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model 4</w:t>
            </w:r>
          </w:p>
        </w:tc>
        <w:tc>
          <w:tcPr>
            <w:tcW w:w="1116" w:type="dxa"/>
            <w:gridSpan w:val="2"/>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model 5</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Age</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0.0264</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0.0210</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0.00526</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0.0211</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0.0178</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(0.0250)</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(0.0250)</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(0.0257)</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(0.0282)</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(0.0259)</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childhood health</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1.494*</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1.535*</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1.434*</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1.584*</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(=poor)</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(0.610)</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(0.609)</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(0.605)</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(0.686)</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childhood residence</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-0.293</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-0.392</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-0.479</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-0.324</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(=rural)</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(0.345)</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(0.346)</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(0.345)</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(0.397)</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father occupation</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-0.155</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-0.653</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-0.672</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-0.449</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(=manual)</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(0.501)</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(0.525)</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(0.522)</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(0.580)</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father occupation</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0.0454</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-0.107</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-0.140</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0.257</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(=non-manual)</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(0.646)</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(0.646)</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(0.641)</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(0.717)</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father occupation</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0.409</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-0.129</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-0.148</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0.0590</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(=farmer)</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(0.570)</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(0.595)</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(0.592)</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(0.673)</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childhood family</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0.497</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0.311</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0.277</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0.882</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(=average)</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(0.499)</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(0.501)</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(0.497)</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(0.562)</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childhood family</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1.170*</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0.847</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0.807</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0.939</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(=poor financially)</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(0.571)</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(0.585)</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(0.580)</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(0.644)</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parental substance abuse</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1.957**</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2.001**</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1.848**</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0.967</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(0.663)</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(0.661)</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(0.656)</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(0.754)</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secondary education</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-0.349</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-0.231</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0.0475</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-0.308</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(0.370)</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(0.369)</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(0.400)</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(0.364)</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tertiary education</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-1.311**</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-1.189**</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-0.606</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-1.111**</w:t>
            </w:r>
          </w:p>
        </w:tc>
      </w:tr>
      <w:tr w:rsidR="00D814D6" w:rsidRPr="00925E10" w:rsidTr="002668BC">
        <w:trPr>
          <w:trHeight w:val="288"/>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(0.427)</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(0.424)</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(0.472)</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(0.408)</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never married</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1.373**</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0.895</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1.173*</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(0.499)</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(0.547)</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(0.484)</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sep/divorced</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2.739**</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2.062*</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2.407**</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(0.838)</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(0.983)</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(0.862)</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Widow</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1.553***</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1.950***</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1.470**</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(0.445)</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(0.500)</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(0.463)</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current poor health</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3.670***</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3.553***</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(0.464)</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(0.426)</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other city than Dublin</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-0.650</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-1.044*</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(0.454)</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(0.423)</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Rural</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-0.610</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-1.099**</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(0.460)</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(0.390)</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log(income)</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-0.0639</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-0.0273</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(0.138)</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(0.133)</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own house</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-0.121</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-0.0337</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(0.692)</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(0.617)</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social support</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-1.161</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-1.553</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(1.276)</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(1.157)</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Constant</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1.911</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3.408</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4.145*</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3.921</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5.318</w:t>
            </w:r>
          </w:p>
        </w:tc>
      </w:tr>
      <w:tr w:rsidR="00D814D6" w:rsidRPr="00925E10" w:rsidTr="002668BC">
        <w:trPr>
          <w:trHeight w:val="324"/>
        </w:trPr>
        <w:tc>
          <w:tcPr>
            <w:tcW w:w="245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 </w:t>
            </w:r>
          </w:p>
        </w:tc>
        <w:tc>
          <w:tcPr>
            <w:tcW w:w="103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(1.910)</w:t>
            </w:r>
          </w:p>
        </w:tc>
        <w:tc>
          <w:tcPr>
            <w:tcW w:w="103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(1.995)</w:t>
            </w:r>
          </w:p>
        </w:tc>
        <w:tc>
          <w:tcPr>
            <w:tcW w:w="111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(2.024)</w:t>
            </w:r>
          </w:p>
        </w:tc>
        <w:tc>
          <w:tcPr>
            <w:tcW w:w="111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(3.121)</w:t>
            </w:r>
          </w:p>
        </w:tc>
        <w:tc>
          <w:tcPr>
            <w:tcW w:w="1116" w:type="dxa"/>
            <w:gridSpan w:val="2"/>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(2.755)</w:t>
            </w:r>
          </w:p>
        </w:tc>
      </w:tr>
      <w:tr w:rsidR="00D814D6" w:rsidRPr="00925E10" w:rsidTr="002668BC">
        <w:trPr>
          <w:trHeight w:val="312"/>
        </w:trPr>
        <w:tc>
          <w:tcPr>
            <w:tcW w:w="245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N</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1330</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1330</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1330</w:t>
            </w: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1055</w:t>
            </w: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1258</w:t>
            </w:r>
          </w:p>
        </w:tc>
      </w:tr>
      <w:tr w:rsidR="00D814D6" w:rsidRPr="00925E10" w:rsidTr="002668BC">
        <w:trPr>
          <w:trHeight w:val="312"/>
        </w:trPr>
        <w:tc>
          <w:tcPr>
            <w:tcW w:w="3492"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Standard errors in parentheses</w:t>
            </w:r>
          </w:p>
        </w:tc>
        <w:tc>
          <w:tcPr>
            <w:tcW w:w="10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116" w:type="dxa"/>
            <w:gridSpan w:val="2"/>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bl>
    <w:p w:rsidR="00D814D6" w:rsidRPr="00925E10" w:rsidRDefault="00D814D6" w:rsidP="004D3ED5">
      <w:pPr>
        <w:spacing w:line="240" w:lineRule="auto"/>
        <w:rPr>
          <w:rFonts w:ascii="Calibri" w:hAnsi="Calibri" w:cs="Calibri"/>
          <w:color w:val="000000"/>
          <w:sz w:val="24"/>
          <w:szCs w:val="24"/>
        </w:rPr>
      </w:pPr>
      <w:r w:rsidRPr="00925E10">
        <w:rPr>
          <w:rFonts w:ascii="Calibri" w:hAnsi="Calibri" w:cs="Calibri"/>
          <w:sz w:val="24"/>
          <w:szCs w:val="24"/>
        </w:rPr>
        <w:t>* p &lt;.05; ** p &lt;.01; *** p &lt;.001</w:t>
      </w:r>
      <w:r w:rsidRPr="00925E10">
        <w:rPr>
          <w:rFonts w:ascii="Calibri" w:hAnsi="Calibri" w:cs="Calibri"/>
          <w:color w:val="000000"/>
          <w:sz w:val="24"/>
          <w:szCs w:val="24"/>
        </w:rPr>
        <w:br w:type="page"/>
      </w:r>
      <w:r w:rsidRPr="00925E10">
        <w:rPr>
          <w:rFonts w:ascii="Calibri" w:hAnsi="Calibri" w:cs="Calibri"/>
          <w:color w:val="000000"/>
          <w:sz w:val="24"/>
          <w:szCs w:val="24"/>
        </w:rPr>
        <w:lastRenderedPageBreak/>
        <w:t>Table 4: Depressive symptoms regressed on marital status and early and later life circumstances</w:t>
      </w:r>
    </w:p>
    <w:tbl>
      <w:tblPr>
        <w:tblW w:w="7673" w:type="dxa"/>
        <w:tblInd w:w="108" w:type="dxa"/>
        <w:tblLook w:val="00A0"/>
      </w:tblPr>
      <w:tblGrid>
        <w:gridCol w:w="2436"/>
        <w:gridCol w:w="1049"/>
        <w:gridCol w:w="1047"/>
        <w:gridCol w:w="1047"/>
        <w:gridCol w:w="1047"/>
        <w:gridCol w:w="1047"/>
      </w:tblGrid>
      <w:tr w:rsidR="00D814D6" w:rsidRPr="00925E10" w:rsidTr="00D91FA4">
        <w:trPr>
          <w:trHeight w:val="324"/>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5237" w:type="dxa"/>
            <w:gridSpan w:val="5"/>
            <w:tcBorders>
              <w:top w:val="single" w:sz="8" w:space="0" w:color="auto"/>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Pr>
                <w:rFonts w:ascii="Calibri" w:hAnsi="Calibri" w:cs="Calibri"/>
                <w:color w:val="000000"/>
                <w:lang w:eastAsia="en-IE"/>
              </w:rPr>
              <w:t>W</w:t>
            </w:r>
            <w:r w:rsidRPr="00925E10">
              <w:rPr>
                <w:rFonts w:ascii="Calibri" w:hAnsi="Calibri" w:cs="Calibri"/>
                <w:color w:val="000000"/>
                <w:lang w:eastAsia="en-IE"/>
              </w:rPr>
              <w:t xml:space="preserve">omen </w:t>
            </w:r>
          </w:p>
        </w:tc>
      </w:tr>
      <w:tr w:rsidR="00D814D6" w:rsidRPr="00925E10" w:rsidTr="00D91FA4">
        <w:trPr>
          <w:trHeight w:val="324"/>
        </w:trPr>
        <w:tc>
          <w:tcPr>
            <w:tcW w:w="2436" w:type="dxa"/>
            <w:tcBorders>
              <w:top w:val="nil"/>
              <w:left w:val="nil"/>
              <w:bottom w:val="single" w:sz="4"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 </w:t>
            </w:r>
          </w:p>
        </w:tc>
        <w:tc>
          <w:tcPr>
            <w:tcW w:w="1049"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model 1</w:t>
            </w:r>
          </w:p>
        </w:tc>
        <w:tc>
          <w:tcPr>
            <w:tcW w:w="1047"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model 2</w:t>
            </w:r>
          </w:p>
        </w:tc>
        <w:tc>
          <w:tcPr>
            <w:tcW w:w="1047"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model 3</w:t>
            </w:r>
          </w:p>
        </w:tc>
        <w:tc>
          <w:tcPr>
            <w:tcW w:w="1047"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model 4</w:t>
            </w:r>
          </w:p>
        </w:tc>
        <w:tc>
          <w:tcPr>
            <w:tcW w:w="1047"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model 5</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Age</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0.0772**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0.0661*</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0.0304</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0.0355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-0.0265</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(0.0270)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(0.0275)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(0.0296)</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(0.0348)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(0.0320)</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childhood health</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3.838***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3.781***</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3.678***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1.889*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(=poor)</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(0.663)</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(0.662)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(0.659)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(0.798)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childhood residence</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-0.476</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-0.448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-0.524</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-0.627</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(=rural)</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(0.407)</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(0.406)</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(0.405)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(0.515)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father occupation</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0.446</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0.130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0.140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-0.809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(=manual)</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(0.562)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(0.581)</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(0.579)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(0.724)</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father occupation</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0.689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0.677</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0.714</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-0.608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(=non-manual)</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(0.769)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(0.773)</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(0.769)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(0.950)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father occupation</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-0.340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-0.611</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-0.582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-1.272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(=farmer)</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(0.627)</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(0.640)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(0.638)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(0.790)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childhood family</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0.242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0.0227</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0.145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0.386</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(=average)</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(0.535)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(0.545)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(0.543)</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(0.668)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childhood family</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1.681*</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1.207</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1.321</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1.130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(=poor financially)</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(0.668)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(0.693)</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(0.690)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(0.823)</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parental substance abuse</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0.901</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0.882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0.833</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1.337</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(0.763)</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(0.762)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(0.758)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(0.920)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secondary education</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-1.234**</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-1.059*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0.0780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-0.191</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(0.415)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(0.416)</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(0.485)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(0.443)</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tertiary education</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-1.002*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-0.856</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-0.0222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-0.388</w:t>
            </w:r>
          </w:p>
        </w:tc>
      </w:tr>
      <w:tr w:rsidR="00D814D6" w:rsidRPr="00925E10" w:rsidTr="00D91FA4">
        <w:trPr>
          <w:trHeight w:val="288"/>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(0.491)</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(0.493)</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(0.592)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(0.542)</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never married</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0.415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-0.281</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0.300</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(0.650)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(0.772)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(0.735)</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sep/divorced</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2.452**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1.506</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1.907</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(0.945)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(1.099)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(1.039)</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Widow</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1.567***</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1.538**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1.883***</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(0.405)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(0.469)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(0.445)</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current poor health</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4.932***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5.209***</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(0.569)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(0.522)</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other city than Dublin</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-1.055</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-1.541**</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(0.578)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(0.538)</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Rural</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-1.253*</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-1.799***</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(0.574)</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(0.490)</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log(income)</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-0.468*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-0.538**</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(0.184)</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(0.172)</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own house</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0.884</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-0.0397</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(0.819)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(0.723)</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social support</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-0.911</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-1.415</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(1.878)</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(1.568)</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constant</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-0.236</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1.739</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3.510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8.306*</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14.82***</w:t>
            </w:r>
          </w:p>
        </w:tc>
      </w:tr>
      <w:tr w:rsidR="00D814D6" w:rsidRPr="00925E10" w:rsidTr="00D91FA4">
        <w:trPr>
          <w:trHeight w:val="324"/>
        </w:trPr>
        <w:tc>
          <w:tcPr>
            <w:tcW w:w="2436"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 </w:t>
            </w:r>
          </w:p>
        </w:tc>
        <w:tc>
          <w:tcPr>
            <w:tcW w:w="1049"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(2.069)</w:t>
            </w:r>
          </w:p>
        </w:tc>
        <w:tc>
          <w:tcPr>
            <w:tcW w:w="1047"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(2.223)</w:t>
            </w:r>
          </w:p>
        </w:tc>
        <w:tc>
          <w:tcPr>
            <w:tcW w:w="1047"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(2.320)</w:t>
            </w:r>
          </w:p>
        </w:tc>
        <w:tc>
          <w:tcPr>
            <w:tcW w:w="1047"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(3.839)</w:t>
            </w:r>
          </w:p>
        </w:tc>
        <w:tc>
          <w:tcPr>
            <w:tcW w:w="1047" w:type="dxa"/>
            <w:tcBorders>
              <w:top w:val="nil"/>
              <w:left w:val="nil"/>
              <w:bottom w:val="single" w:sz="8" w:space="0" w:color="auto"/>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(3.291)</w:t>
            </w:r>
          </w:p>
        </w:tc>
      </w:tr>
      <w:tr w:rsidR="00D814D6" w:rsidRPr="00925E10" w:rsidTr="00D91FA4">
        <w:trPr>
          <w:trHeight w:val="312"/>
        </w:trPr>
        <w:tc>
          <w:tcPr>
            <w:tcW w:w="2436"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N</w:t>
            </w:r>
          </w:p>
        </w:tc>
        <w:tc>
          <w:tcPr>
            <w:tcW w:w="1049"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1452</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1450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1450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1010</w:t>
            </w:r>
          </w:p>
        </w:tc>
        <w:tc>
          <w:tcPr>
            <w:tcW w:w="1047" w:type="dxa"/>
            <w:tcBorders>
              <w:top w:val="nil"/>
              <w:left w:val="nil"/>
              <w:bottom w:val="nil"/>
              <w:right w:val="nil"/>
            </w:tcBorders>
            <w:noWrap/>
            <w:vAlign w:val="bottom"/>
          </w:tcPr>
          <w:p w:rsidR="00D814D6" w:rsidRPr="00925E10" w:rsidRDefault="00D814D6">
            <w:pPr>
              <w:spacing w:after="0" w:line="360" w:lineRule="auto"/>
              <w:jc w:val="both"/>
              <w:rPr>
                <w:rFonts w:ascii="Calibri" w:hAnsi="Calibri" w:cs="Calibri"/>
                <w:color w:val="000000"/>
                <w:lang w:eastAsia="en-IE"/>
              </w:rPr>
            </w:pPr>
            <w:r w:rsidRPr="00925E10">
              <w:rPr>
                <w:rFonts w:ascii="Calibri" w:hAnsi="Calibri" w:cs="Calibri"/>
                <w:color w:val="000000"/>
                <w:lang w:eastAsia="en-IE"/>
              </w:rPr>
              <w:t>1251</w:t>
            </w:r>
          </w:p>
        </w:tc>
      </w:tr>
    </w:tbl>
    <w:p w:rsidR="00D814D6" w:rsidRPr="00925E10" w:rsidRDefault="00D814D6">
      <w:pPr>
        <w:spacing w:after="0" w:line="480" w:lineRule="auto"/>
        <w:jc w:val="both"/>
        <w:rPr>
          <w:rFonts w:ascii="Calibri" w:hAnsi="Calibri" w:cs="Calibri"/>
          <w:color w:val="000000"/>
          <w:sz w:val="24"/>
          <w:szCs w:val="24"/>
          <w:lang w:eastAsia="en-IE"/>
        </w:rPr>
      </w:pPr>
      <w:r w:rsidRPr="00925E10">
        <w:rPr>
          <w:rFonts w:ascii="Calibri" w:hAnsi="Calibri" w:cs="Calibri"/>
          <w:color w:val="000000"/>
          <w:sz w:val="24"/>
          <w:szCs w:val="24"/>
          <w:lang w:eastAsia="en-IE"/>
        </w:rPr>
        <w:t>Standard errors in parentheses</w:t>
      </w:r>
    </w:p>
    <w:p w:rsidR="00D814D6" w:rsidRPr="00925E10" w:rsidRDefault="00D814D6">
      <w:pPr>
        <w:spacing w:line="480" w:lineRule="auto"/>
        <w:jc w:val="both"/>
        <w:rPr>
          <w:rFonts w:ascii="Calibri" w:hAnsi="Calibri" w:cs="Calibri"/>
          <w:sz w:val="24"/>
          <w:szCs w:val="24"/>
        </w:rPr>
      </w:pPr>
      <w:r w:rsidRPr="00925E10">
        <w:rPr>
          <w:rFonts w:ascii="Calibri" w:hAnsi="Calibri" w:cs="Calibri"/>
          <w:sz w:val="24"/>
          <w:szCs w:val="24"/>
        </w:rPr>
        <w:t>* p &lt;.05; ** p &lt;.01; *** p &lt;.00</w:t>
      </w:r>
    </w:p>
    <w:sectPr w:rsidR="00D814D6" w:rsidRPr="00925E10" w:rsidSect="00D91FA4">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31C" w:rsidRDefault="004F431C" w:rsidP="001A6992">
      <w:pPr>
        <w:spacing w:after="0" w:line="240" w:lineRule="auto"/>
      </w:pPr>
      <w:r>
        <w:separator/>
      </w:r>
    </w:p>
  </w:endnote>
  <w:endnote w:type="continuationSeparator" w:id="0">
    <w:p w:rsidR="004F431C" w:rsidRDefault="004F431C" w:rsidP="001A69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Lucida Grande">
    <w:altName w:val="Arial"/>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AdvPED1282">
    <w:panose1 w:val="00000000000000000000"/>
    <w:charset w:val="00"/>
    <w:family w:val="roman"/>
    <w:notTrueType/>
    <w:pitch w:val="default"/>
    <w:sig w:usb0="00000003" w:usb1="00000000" w:usb2="00000000" w:usb3="00000000" w:csb0="00000001" w:csb1="00000000"/>
  </w:font>
  <w:font w:name="AdvPED1283">
    <w:panose1 w:val="00000000000000000000"/>
    <w:charset w:val="00"/>
    <w:family w:val="roman"/>
    <w:notTrueType/>
    <w:pitch w:val="default"/>
    <w:sig w:usb0="00000003" w:usb1="00000000" w:usb2="00000000" w:usb3="00000000" w:csb0="00000001" w:csb1="00000000"/>
  </w:font>
  <w:font w:name="AdvPED1286">
    <w:panose1 w:val="00000000000000000000"/>
    <w:charset w:val="00"/>
    <w:family w:val="roman"/>
    <w:notTrueType/>
    <w:pitch w:val="default"/>
    <w:sig w:usb0="00000003" w:usb1="00000000" w:usb2="00000000" w:usb3="00000000" w:csb0="00000001" w:csb1="00000000"/>
  </w:font>
  <w:font w:name="AdvP641C">
    <w:panose1 w:val="00000000000000000000"/>
    <w:charset w:val="00"/>
    <w:family w:val="roman"/>
    <w:notTrueType/>
    <w:pitch w:val="default"/>
    <w:sig w:usb0="00000003" w:usb1="00000000" w:usb2="00000000" w:usb3="00000000" w:csb0="00000001" w:csb1="00000000"/>
  </w:font>
  <w:font w:name="AdvP640E">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58E" w:rsidRDefault="000F2203">
    <w:pPr>
      <w:pStyle w:val="Footer"/>
      <w:jc w:val="right"/>
    </w:pPr>
    <w:fldSimple w:instr=" PAGE   \* MERGEFORMAT ">
      <w:r w:rsidR="00273A74">
        <w:rPr>
          <w:noProof/>
        </w:rPr>
        <w:t>3</w:t>
      </w:r>
    </w:fldSimple>
  </w:p>
  <w:p w:rsidR="0040658E" w:rsidRDefault="0040658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58E" w:rsidRDefault="0040658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58E" w:rsidRDefault="000F2203">
    <w:pPr>
      <w:pStyle w:val="Footer"/>
      <w:jc w:val="center"/>
    </w:pPr>
    <w:fldSimple w:instr=" PAGE   \* MERGEFORMAT ">
      <w:r w:rsidR="00273A74">
        <w:rPr>
          <w:noProof/>
        </w:rPr>
        <w:t>30</w:t>
      </w:r>
    </w:fldSimple>
  </w:p>
  <w:p w:rsidR="0040658E" w:rsidRDefault="0040658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58E" w:rsidRDefault="004065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31C" w:rsidRDefault="004F431C" w:rsidP="001A6992">
      <w:pPr>
        <w:spacing w:after="0" w:line="240" w:lineRule="auto"/>
      </w:pPr>
      <w:r>
        <w:separator/>
      </w:r>
    </w:p>
  </w:footnote>
  <w:footnote w:type="continuationSeparator" w:id="0">
    <w:p w:rsidR="004F431C" w:rsidRDefault="004F431C" w:rsidP="001A69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58E" w:rsidRDefault="0040658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58E" w:rsidRDefault="0040658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58E" w:rsidRDefault="0040658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B400D"/>
    <w:multiLevelType w:val="hybridMultilevel"/>
    <w:tmpl w:val="D92296E4"/>
    <w:lvl w:ilvl="0" w:tplc="425AE962">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D276FB"/>
    <w:multiLevelType w:val="hybridMultilevel"/>
    <w:tmpl w:val="BCE04E20"/>
    <w:lvl w:ilvl="0" w:tplc="51489932">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2">
    <w:nsid w:val="316C2744"/>
    <w:multiLevelType w:val="hybridMultilevel"/>
    <w:tmpl w:val="BCE04E20"/>
    <w:lvl w:ilvl="0" w:tplc="51489932">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3">
    <w:nsid w:val="4C8602A3"/>
    <w:multiLevelType w:val="hybridMultilevel"/>
    <w:tmpl w:val="AF725170"/>
    <w:lvl w:ilvl="0" w:tplc="18090011">
      <w:start w:val="1"/>
      <w:numFmt w:val="decimal"/>
      <w:lvlText w:val="%1)"/>
      <w:lvlJc w:val="left"/>
      <w:pPr>
        <w:ind w:left="360" w:hanging="360"/>
      </w:pPr>
      <w:rPr>
        <w:rFonts w:cs="Times New Roman" w:hint="default"/>
      </w:rPr>
    </w:lvl>
    <w:lvl w:ilvl="1" w:tplc="18090019" w:tentative="1">
      <w:start w:val="1"/>
      <w:numFmt w:val="lowerLetter"/>
      <w:lvlText w:val="%2."/>
      <w:lvlJc w:val="left"/>
      <w:pPr>
        <w:ind w:left="1080" w:hanging="360"/>
      </w:pPr>
      <w:rPr>
        <w:rFonts w:cs="Times New Roman"/>
      </w:rPr>
    </w:lvl>
    <w:lvl w:ilvl="2" w:tplc="1809001B" w:tentative="1">
      <w:start w:val="1"/>
      <w:numFmt w:val="lowerRoman"/>
      <w:lvlText w:val="%3."/>
      <w:lvlJc w:val="right"/>
      <w:pPr>
        <w:ind w:left="1800" w:hanging="180"/>
      </w:pPr>
      <w:rPr>
        <w:rFonts w:cs="Times New Roman"/>
      </w:rPr>
    </w:lvl>
    <w:lvl w:ilvl="3" w:tplc="1809000F" w:tentative="1">
      <w:start w:val="1"/>
      <w:numFmt w:val="decimal"/>
      <w:lvlText w:val="%4."/>
      <w:lvlJc w:val="left"/>
      <w:pPr>
        <w:ind w:left="2520" w:hanging="360"/>
      </w:pPr>
      <w:rPr>
        <w:rFonts w:cs="Times New Roman"/>
      </w:rPr>
    </w:lvl>
    <w:lvl w:ilvl="4" w:tplc="18090019" w:tentative="1">
      <w:start w:val="1"/>
      <w:numFmt w:val="lowerLetter"/>
      <w:lvlText w:val="%5."/>
      <w:lvlJc w:val="left"/>
      <w:pPr>
        <w:ind w:left="3240" w:hanging="360"/>
      </w:pPr>
      <w:rPr>
        <w:rFonts w:cs="Times New Roman"/>
      </w:rPr>
    </w:lvl>
    <w:lvl w:ilvl="5" w:tplc="1809001B" w:tentative="1">
      <w:start w:val="1"/>
      <w:numFmt w:val="lowerRoman"/>
      <w:lvlText w:val="%6."/>
      <w:lvlJc w:val="right"/>
      <w:pPr>
        <w:ind w:left="3960" w:hanging="180"/>
      </w:pPr>
      <w:rPr>
        <w:rFonts w:cs="Times New Roman"/>
      </w:rPr>
    </w:lvl>
    <w:lvl w:ilvl="6" w:tplc="1809000F" w:tentative="1">
      <w:start w:val="1"/>
      <w:numFmt w:val="decimal"/>
      <w:lvlText w:val="%7."/>
      <w:lvlJc w:val="left"/>
      <w:pPr>
        <w:ind w:left="4680" w:hanging="360"/>
      </w:pPr>
      <w:rPr>
        <w:rFonts w:cs="Times New Roman"/>
      </w:rPr>
    </w:lvl>
    <w:lvl w:ilvl="7" w:tplc="18090019" w:tentative="1">
      <w:start w:val="1"/>
      <w:numFmt w:val="lowerLetter"/>
      <w:lvlText w:val="%8."/>
      <w:lvlJc w:val="left"/>
      <w:pPr>
        <w:ind w:left="5400" w:hanging="360"/>
      </w:pPr>
      <w:rPr>
        <w:rFonts w:cs="Times New Roman"/>
      </w:rPr>
    </w:lvl>
    <w:lvl w:ilvl="8" w:tplc="1809001B" w:tentative="1">
      <w:start w:val="1"/>
      <w:numFmt w:val="lowerRoman"/>
      <w:lvlText w:val="%9."/>
      <w:lvlJc w:val="right"/>
      <w:pPr>
        <w:ind w:left="6120" w:hanging="180"/>
      </w:pPr>
      <w:rPr>
        <w:rFonts w:cs="Times New Roman"/>
      </w:rPr>
    </w:lvl>
  </w:abstractNum>
  <w:abstractNum w:abstractNumId="4">
    <w:nsid w:val="50C73923"/>
    <w:multiLevelType w:val="hybridMultilevel"/>
    <w:tmpl w:val="BCE04E20"/>
    <w:lvl w:ilvl="0" w:tplc="51489932">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5">
    <w:nsid w:val="5BBE60A2"/>
    <w:multiLevelType w:val="hybridMultilevel"/>
    <w:tmpl w:val="6B6EC37A"/>
    <w:lvl w:ilvl="0" w:tplc="1809000F">
      <w:start w:val="1"/>
      <w:numFmt w:val="decimal"/>
      <w:lvlText w:val="%1."/>
      <w:lvlJc w:val="left"/>
      <w:pPr>
        <w:ind w:left="720" w:hanging="360"/>
      </w:pPr>
      <w:rPr>
        <w:rFonts w:cs="Times New Roman" w:hint="default"/>
      </w:rPr>
    </w:lvl>
    <w:lvl w:ilvl="1" w:tplc="18090019">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57AD"/>
    <w:rsid w:val="00016631"/>
    <w:rsid w:val="000745E8"/>
    <w:rsid w:val="000B28F2"/>
    <w:rsid w:val="000C3389"/>
    <w:rsid w:val="000F11A2"/>
    <w:rsid w:val="000F2203"/>
    <w:rsid w:val="001469F0"/>
    <w:rsid w:val="00186E6E"/>
    <w:rsid w:val="001A6992"/>
    <w:rsid w:val="001F0D68"/>
    <w:rsid w:val="00252AB3"/>
    <w:rsid w:val="002668BC"/>
    <w:rsid w:val="00273A74"/>
    <w:rsid w:val="0029660D"/>
    <w:rsid w:val="002B10FE"/>
    <w:rsid w:val="0032452D"/>
    <w:rsid w:val="003A3B1E"/>
    <w:rsid w:val="00405FCB"/>
    <w:rsid w:val="0040658E"/>
    <w:rsid w:val="0042633C"/>
    <w:rsid w:val="00427673"/>
    <w:rsid w:val="004302C0"/>
    <w:rsid w:val="00433B03"/>
    <w:rsid w:val="004353BA"/>
    <w:rsid w:val="00444F64"/>
    <w:rsid w:val="00450905"/>
    <w:rsid w:val="004D3ED5"/>
    <w:rsid w:val="004F431C"/>
    <w:rsid w:val="00524B50"/>
    <w:rsid w:val="005564BE"/>
    <w:rsid w:val="005858A2"/>
    <w:rsid w:val="005E6847"/>
    <w:rsid w:val="00622852"/>
    <w:rsid w:val="006254A5"/>
    <w:rsid w:val="00644292"/>
    <w:rsid w:val="00653BA9"/>
    <w:rsid w:val="00655C4A"/>
    <w:rsid w:val="0069377D"/>
    <w:rsid w:val="006A6A00"/>
    <w:rsid w:val="006E6E9F"/>
    <w:rsid w:val="006F5744"/>
    <w:rsid w:val="0070350D"/>
    <w:rsid w:val="007469AE"/>
    <w:rsid w:val="00781F3F"/>
    <w:rsid w:val="007833EA"/>
    <w:rsid w:val="008168CD"/>
    <w:rsid w:val="0081761C"/>
    <w:rsid w:val="008658DB"/>
    <w:rsid w:val="00871513"/>
    <w:rsid w:val="0088271D"/>
    <w:rsid w:val="008923E2"/>
    <w:rsid w:val="008D581F"/>
    <w:rsid w:val="009123C3"/>
    <w:rsid w:val="0091428D"/>
    <w:rsid w:val="00925E10"/>
    <w:rsid w:val="009276CC"/>
    <w:rsid w:val="009440B0"/>
    <w:rsid w:val="009A24BC"/>
    <w:rsid w:val="009E5DDF"/>
    <w:rsid w:val="009F0AC8"/>
    <w:rsid w:val="00A140E4"/>
    <w:rsid w:val="00A460A5"/>
    <w:rsid w:val="00A664DE"/>
    <w:rsid w:val="00A73CD9"/>
    <w:rsid w:val="00A83516"/>
    <w:rsid w:val="00A9399B"/>
    <w:rsid w:val="00AA6273"/>
    <w:rsid w:val="00AB573B"/>
    <w:rsid w:val="00AE1A40"/>
    <w:rsid w:val="00AE4CFF"/>
    <w:rsid w:val="00AE79D4"/>
    <w:rsid w:val="00B227A9"/>
    <w:rsid w:val="00B34289"/>
    <w:rsid w:val="00B37792"/>
    <w:rsid w:val="00B40BC5"/>
    <w:rsid w:val="00B65098"/>
    <w:rsid w:val="00B80363"/>
    <w:rsid w:val="00B906F6"/>
    <w:rsid w:val="00BA095A"/>
    <w:rsid w:val="00BA2845"/>
    <w:rsid w:val="00C52107"/>
    <w:rsid w:val="00C56C86"/>
    <w:rsid w:val="00C6616D"/>
    <w:rsid w:val="00C82608"/>
    <w:rsid w:val="00C953AB"/>
    <w:rsid w:val="00CA44D0"/>
    <w:rsid w:val="00CB2064"/>
    <w:rsid w:val="00CF5986"/>
    <w:rsid w:val="00D32A46"/>
    <w:rsid w:val="00D36647"/>
    <w:rsid w:val="00D44664"/>
    <w:rsid w:val="00D44A1C"/>
    <w:rsid w:val="00D52BCC"/>
    <w:rsid w:val="00D62F0B"/>
    <w:rsid w:val="00D814D6"/>
    <w:rsid w:val="00D91FA4"/>
    <w:rsid w:val="00DC79E8"/>
    <w:rsid w:val="00DF1908"/>
    <w:rsid w:val="00E06902"/>
    <w:rsid w:val="00E212A5"/>
    <w:rsid w:val="00E23060"/>
    <w:rsid w:val="00E4615E"/>
    <w:rsid w:val="00E557AD"/>
    <w:rsid w:val="00E570EB"/>
    <w:rsid w:val="00E91778"/>
    <w:rsid w:val="00EB16E4"/>
    <w:rsid w:val="00ED6C9C"/>
    <w:rsid w:val="00F07FBF"/>
    <w:rsid w:val="00F84ABA"/>
    <w:rsid w:val="00F911F5"/>
    <w:rsid w:val="00F91C65"/>
    <w:rsid w:val="00F9718A"/>
    <w:rsid w:val="00FB71D6"/>
    <w:rsid w:val="00FE50CC"/>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44664"/>
    <w:pPr>
      <w:spacing w:after="200" w:line="276" w:lineRule="auto"/>
    </w:pPr>
    <w:rPr>
      <w:rFonts w:ascii="Cambria" w:hAnsi="Cambria"/>
      <w:sz w:val="22"/>
      <w:szCs w:val="22"/>
      <w:lang w:eastAsia="en-US"/>
    </w:rPr>
  </w:style>
  <w:style w:type="paragraph" w:styleId="Heading1">
    <w:name w:val="heading 1"/>
    <w:basedOn w:val="Normal"/>
    <w:next w:val="Normal"/>
    <w:link w:val="Heading1Char"/>
    <w:uiPriority w:val="99"/>
    <w:qFormat/>
    <w:rsid w:val="00E557AD"/>
    <w:pPr>
      <w:spacing w:before="480" w:after="0"/>
      <w:contextualSpacing/>
      <w:outlineLvl w:val="0"/>
    </w:pPr>
    <w:rPr>
      <w:smallCaps/>
      <w:spacing w:val="5"/>
      <w:sz w:val="36"/>
      <w:szCs w:val="36"/>
    </w:rPr>
  </w:style>
  <w:style w:type="paragraph" w:styleId="Heading2">
    <w:name w:val="heading 2"/>
    <w:basedOn w:val="Normal"/>
    <w:next w:val="Normal"/>
    <w:link w:val="Heading2Char"/>
    <w:uiPriority w:val="99"/>
    <w:qFormat/>
    <w:rsid w:val="00E557AD"/>
    <w:pPr>
      <w:spacing w:before="200" w:after="0" w:line="271" w:lineRule="auto"/>
      <w:outlineLvl w:val="1"/>
    </w:pPr>
    <w:rPr>
      <w:smallCaps/>
      <w:sz w:val="28"/>
      <w:szCs w:val="28"/>
    </w:rPr>
  </w:style>
  <w:style w:type="paragraph" w:styleId="Heading3">
    <w:name w:val="heading 3"/>
    <w:basedOn w:val="Normal"/>
    <w:next w:val="Normal"/>
    <w:link w:val="Heading3Char"/>
    <w:uiPriority w:val="99"/>
    <w:qFormat/>
    <w:rsid w:val="00E557AD"/>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9"/>
    <w:qFormat/>
    <w:rsid w:val="00E557AD"/>
    <w:pPr>
      <w:spacing w:after="0" w:line="271" w:lineRule="auto"/>
      <w:outlineLvl w:val="3"/>
    </w:pPr>
    <w:rPr>
      <w:b/>
      <w:bCs/>
      <w:spacing w:val="5"/>
      <w:sz w:val="24"/>
      <w:szCs w:val="24"/>
    </w:rPr>
  </w:style>
  <w:style w:type="paragraph" w:styleId="Heading5">
    <w:name w:val="heading 5"/>
    <w:basedOn w:val="Normal"/>
    <w:next w:val="Normal"/>
    <w:link w:val="Heading5Char"/>
    <w:uiPriority w:val="99"/>
    <w:qFormat/>
    <w:rsid w:val="00E557AD"/>
    <w:pPr>
      <w:spacing w:after="0" w:line="271" w:lineRule="auto"/>
      <w:outlineLvl w:val="4"/>
    </w:pPr>
    <w:rPr>
      <w:i/>
      <w:iCs/>
      <w:sz w:val="24"/>
      <w:szCs w:val="24"/>
    </w:rPr>
  </w:style>
  <w:style w:type="paragraph" w:styleId="Heading6">
    <w:name w:val="heading 6"/>
    <w:basedOn w:val="Normal"/>
    <w:next w:val="Normal"/>
    <w:link w:val="Heading6Char"/>
    <w:uiPriority w:val="99"/>
    <w:qFormat/>
    <w:rsid w:val="00E557AD"/>
    <w:pPr>
      <w:shd w:val="clear" w:color="auto" w:fill="FFFFFF"/>
      <w:spacing w:after="0" w:line="271" w:lineRule="auto"/>
      <w:outlineLvl w:val="5"/>
    </w:pPr>
    <w:rPr>
      <w:b/>
      <w:bCs/>
      <w:color w:val="595959"/>
      <w:spacing w:val="5"/>
    </w:rPr>
  </w:style>
  <w:style w:type="paragraph" w:styleId="Heading7">
    <w:name w:val="heading 7"/>
    <w:basedOn w:val="Normal"/>
    <w:next w:val="Normal"/>
    <w:link w:val="Heading7Char"/>
    <w:uiPriority w:val="99"/>
    <w:qFormat/>
    <w:rsid w:val="00E557AD"/>
    <w:pPr>
      <w:spacing w:after="0"/>
      <w:outlineLvl w:val="6"/>
    </w:pPr>
    <w:rPr>
      <w:b/>
      <w:bCs/>
      <w:i/>
      <w:iCs/>
      <w:color w:val="5A5A5A"/>
      <w:sz w:val="20"/>
      <w:szCs w:val="20"/>
    </w:rPr>
  </w:style>
  <w:style w:type="paragraph" w:styleId="Heading8">
    <w:name w:val="heading 8"/>
    <w:basedOn w:val="Normal"/>
    <w:next w:val="Normal"/>
    <w:link w:val="Heading8Char"/>
    <w:uiPriority w:val="99"/>
    <w:qFormat/>
    <w:rsid w:val="00E557AD"/>
    <w:pPr>
      <w:spacing w:after="0"/>
      <w:outlineLvl w:val="7"/>
    </w:pPr>
    <w:rPr>
      <w:b/>
      <w:bCs/>
      <w:color w:val="7F7F7F"/>
      <w:sz w:val="20"/>
      <w:szCs w:val="20"/>
    </w:rPr>
  </w:style>
  <w:style w:type="paragraph" w:styleId="Heading9">
    <w:name w:val="heading 9"/>
    <w:basedOn w:val="Normal"/>
    <w:next w:val="Normal"/>
    <w:link w:val="Heading9Char"/>
    <w:uiPriority w:val="99"/>
    <w:qFormat/>
    <w:rsid w:val="00E557AD"/>
    <w:pPr>
      <w:spacing w:after="0" w:line="271" w:lineRule="auto"/>
      <w:outlineLvl w:val="8"/>
    </w:pPr>
    <w:rPr>
      <w:b/>
      <w:bCs/>
      <w:i/>
      <w:iCs/>
      <w:color w:val="7F7F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557AD"/>
    <w:rPr>
      <w:rFonts w:ascii="Cambria" w:eastAsia="Times New Roman" w:hAnsi="Cambria" w:cs="Times New Roman"/>
      <w:smallCaps/>
      <w:spacing w:val="5"/>
      <w:sz w:val="36"/>
      <w:szCs w:val="36"/>
      <w:lang w:val="en-IE"/>
    </w:rPr>
  </w:style>
  <w:style w:type="character" w:customStyle="1" w:styleId="Heading2Char">
    <w:name w:val="Heading 2 Char"/>
    <w:basedOn w:val="DefaultParagraphFont"/>
    <w:link w:val="Heading2"/>
    <w:uiPriority w:val="99"/>
    <w:locked/>
    <w:rsid w:val="00E557AD"/>
    <w:rPr>
      <w:rFonts w:ascii="Cambria" w:eastAsia="Times New Roman" w:hAnsi="Cambria" w:cs="Times New Roman"/>
      <w:smallCaps/>
      <w:sz w:val="28"/>
      <w:szCs w:val="28"/>
      <w:lang w:val="en-IE"/>
    </w:rPr>
  </w:style>
  <w:style w:type="character" w:customStyle="1" w:styleId="Heading3Char">
    <w:name w:val="Heading 3 Char"/>
    <w:basedOn w:val="DefaultParagraphFont"/>
    <w:link w:val="Heading3"/>
    <w:uiPriority w:val="99"/>
    <w:locked/>
    <w:rsid w:val="00E557AD"/>
    <w:rPr>
      <w:rFonts w:ascii="Cambria" w:eastAsia="Times New Roman" w:hAnsi="Cambria" w:cs="Times New Roman"/>
      <w:i/>
      <w:iCs/>
      <w:smallCaps/>
      <w:spacing w:val="5"/>
      <w:sz w:val="26"/>
      <w:szCs w:val="26"/>
      <w:lang w:val="en-IE"/>
    </w:rPr>
  </w:style>
  <w:style w:type="character" w:customStyle="1" w:styleId="Heading4Char">
    <w:name w:val="Heading 4 Char"/>
    <w:basedOn w:val="DefaultParagraphFont"/>
    <w:link w:val="Heading4"/>
    <w:uiPriority w:val="99"/>
    <w:locked/>
    <w:rsid w:val="00E557AD"/>
    <w:rPr>
      <w:rFonts w:ascii="Cambria" w:eastAsia="Times New Roman" w:hAnsi="Cambria" w:cs="Times New Roman"/>
      <w:b/>
      <w:bCs/>
      <w:spacing w:val="5"/>
      <w:sz w:val="24"/>
      <w:szCs w:val="24"/>
      <w:lang w:val="en-IE"/>
    </w:rPr>
  </w:style>
  <w:style w:type="character" w:customStyle="1" w:styleId="Heading5Char">
    <w:name w:val="Heading 5 Char"/>
    <w:basedOn w:val="DefaultParagraphFont"/>
    <w:link w:val="Heading5"/>
    <w:uiPriority w:val="99"/>
    <w:locked/>
    <w:rsid w:val="00E557AD"/>
    <w:rPr>
      <w:rFonts w:ascii="Cambria" w:eastAsia="Times New Roman" w:hAnsi="Cambria" w:cs="Times New Roman"/>
      <w:i/>
      <w:iCs/>
      <w:sz w:val="24"/>
      <w:szCs w:val="24"/>
      <w:lang w:val="en-IE"/>
    </w:rPr>
  </w:style>
  <w:style w:type="character" w:customStyle="1" w:styleId="Heading6Char">
    <w:name w:val="Heading 6 Char"/>
    <w:basedOn w:val="DefaultParagraphFont"/>
    <w:link w:val="Heading6"/>
    <w:uiPriority w:val="99"/>
    <w:locked/>
    <w:rsid w:val="00E557AD"/>
    <w:rPr>
      <w:rFonts w:ascii="Cambria" w:eastAsia="Times New Roman" w:hAnsi="Cambria" w:cs="Times New Roman"/>
      <w:b/>
      <w:bCs/>
      <w:color w:val="595959"/>
      <w:spacing w:val="5"/>
      <w:shd w:val="clear" w:color="auto" w:fill="FFFFFF"/>
      <w:lang w:val="en-IE"/>
    </w:rPr>
  </w:style>
  <w:style w:type="character" w:customStyle="1" w:styleId="Heading7Char">
    <w:name w:val="Heading 7 Char"/>
    <w:basedOn w:val="DefaultParagraphFont"/>
    <w:link w:val="Heading7"/>
    <w:uiPriority w:val="99"/>
    <w:locked/>
    <w:rsid w:val="00E557AD"/>
    <w:rPr>
      <w:rFonts w:ascii="Cambria" w:eastAsia="Times New Roman" w:hAnsi="Cambria" w:cs="Times New Roman"/>
      <w:b/>
      <w:bCs/>
      <w:i/>
      <w:iCs/>
      <w:color w:val="5A5A5A"/>
      <w:sz w:val="20"/>
      <w:szCs w:val="20"/>
      <w:lang w:val="en-IE"/>
    </w:rPr>
  </w:style>
  <w:style w:type="character" w:customStyle="1" w:styleId="Heading8Char">
    <w:name w:val="Heading 8 Char"/>
    <w:basedOn w:val="DefaultParagraphFont"/>
    <w:link w:val="Heading8"/>
    <w:uiPriority w:val="99"/>
    <w:locked/>
    <w:rsid w:val="00E557AD"/>
    <w:rPr>
      <w:rFonts w:ascii="Cambria" w:eastAsia="Times New Roman" w:hAnsi="Cambria" w:cs="Times New Roman"/>
      <w:b/>
      <w:bCs/>
      <w:color w:val="7F7F7F"/>
      <w:sz w:val="20"/>
      <w:szCs w:val="20"/>
      <w:lang w:val="en-IE"/>
    </w:rPr>
  </w:style>
  <w:style w:type="character" w:customStyle="1" w:styleId="Heading9Char">
    <w:name w:val="Heading 9 Char"/>
    <w:basedOn w:val="DefaultParagraphFont"/>
    <w:link w:val="Heading9"/>
    <w:uiPriority w:val="99"/>
    <w:locked/>
    <w:rsid w:val="00E557AD"/>
    <w:rPr>
      <w:rFonts w:ascii="Cambria" w:eastAsia="Times New Roman" w:hAnsi="Cambria" w:cs="Times New Roman"/>
      <w:b/>
      <w:bCs/>
      <w:i/>
      <w:iCs/>
      <w:color w:val="7F7F7F"/>
      <w:sz w:val="18"/>
      <w:szCs w:val="18"/>
      <w:lang w:val="en-IE"/>
    </w:rPr>
  </w:style>
  <w:style w:type="paragraph" w:styleId="ListParagraph">
    <w:name w:val="List Paragraph"/>
    <w:basedOn w:val="Normal"/>
    <w:uiPriority w:val="99"/>
    <w:qFormat/>
    <w:rsid w:val="00E557AD"/>
    <w:pPr>
      <w:ind w:left="720"/>
      <w:contextualSpacing/>
    </w:pPr>
  </w:style>
  <w:style w:type="character" w:styleId="Hyperlink">
    <w:name w:val="Hyperlink"/>
    <w:basedOn w:val="DefaultParagraphFont"/>
    <w:uiPriority w:val="99"/>
    <w:rsid w:val="00E557AD"/>
    <w:rPr>
      <w:rFonts w:cs="Times New Roman"/>
      <w:color w:val="0000FF"/>
      <w:u w:val="single"/>
    </w:rPr>
  </w:style>
  <w:style w:type="character" w:customStyle="1" w:styleId="highlight">
    <w:name w:val="highlight"/>
    <w:basedOn w:val="DefaultParagraphFont"/>
    <w:uiPriority w:val="99"/>
    <w:rsid w:val="00E557AD"/>
    <w:rPr>
      <w:rFonts w:cs="Times New Roman"/>
    </w:rPr>
  </w:style>
  <w:style w:type="paragraph" w:styleId="NormalWeb">
    <w:name w:val="Normal (Web)"/>
    <w:basedOn w:val="Normal"/>
    <w:uiPriority w:val="99"/>
    <w:rsid w:val="00E557AD"/>
    <w:pPr>
      <w:spacing w:before="150" w:after="150" w:afterAutospacing="1" w:line="384" w:lineRule="auto"/>
    </w:pPr>
    <w:rPr>
      <w:rFonts w:ascii="Times New Roman" w:eastAsia="Times New Roman" w:hAnsi="Times New Roman"/>
      <w:sz w:val="17"/>
      <w:szCs w:val="17"/>
      <w:lang w:eastAsia="en-IE"/>
    </w:rPr>
  </w:style>
  <w:style w:type="paragraph" w:customStyle="1" w:styleId="Default">
    <w:name w:val="Default"/>
    <w:uiPriority w:val="99"/>
    <w:rsid w:val="00E557AD"/>
    <w:pPr>
      <w:autoSpaceDE w:val="0"/>
      <w:autoSpaceDN w:val="0"/>
      <w:adjustRightInd w:val="0"/>
    </w:pPr>
    <w:rPr>
      <w:rFonts w:ascii="Times New Roman" w:hAnsi="Times New Roman"/>
      <w:color w:val="000000"/>
      <w:sz w:val="24"/>
      <w:szCs w:val="24"/>
      <w:lang w:val="en-GB" w:eastAsia="en-US"/>
    </w:rPr>
  </w:style>
  <w:style w:type="paragraph" w:styleId="Header">
    <w:name w:val="header"/>
    <w:basedOn w:val="Normal"/>
    <w:link w:val="HeaderChar"/>
    <w:uiPriority w:val="99"/>
    <w:rsid w:val="00E557AD"/>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E557AD"/>
    <w:rPr>
      <w:rFonts w:ascii="Cambria" w:eastAsia="Times New Roman" w:hAnsi="Cambria" w:cs="Times New Roman"/>
      <w:lang w:val="en-IE"/>
    </w:rPr>
  </w:style>
  <w:style w:type="paragraph" w:styleId="Footer">
    <w:name w:val="footer"/>
    <w:basedOn w:val="Normal"/>
    <w:link w:val="FooterChar"/>
    <w:uiPriority w:val="99"/>
    <w:rsid w:val="00E557AD"/>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E557AD"/>
    <w:rPr>
      <w:rFonts w:ascii="Cambria" w:eastAsia="Times New Roman" w:hAnsi="Cambria" w:cs="Times New Roman"/>
      <w:lang w:val="en-IE"/>
    </w:rPr>
  </w:style>
  <w:style w:type="paragraph" w:styleId="TOC1">
    <w:name w:val="toc 1"/>
    <w:basedOn w:val="Normal"/>
    <w:next w:val="Normal"/>
    <w:autoRedefine/>
    <w:uiPriority w:val="99"/>
    <w:rsid w:val="00E557AD"/>
    <w:pPr>
      <w:spacing w:after="100"/>
    </w:pPr>
  </w:style>
  <w:style w:type="paragraph" w:styleId="TOC2">
    <w:name w:val="toc 2"/>
    <w:basedOn w:val="Normal"/>
    <w:next w:val="Normal"/>
    <w:autoRedefine/>
    <w:uiPriority w:val="99"/>
    <w:rsid w:val="00E557AD"/>
    <w:pPr>
      <w:spacing w:after="100"/>
      <w:ind w:left="220"/>
    </w:pPr>
  </w:style>
  <w:style w:type="paragraph" w:styleId="TOC3">
    <w:name w:val="toc 3"/>
    <w:basedOn w:val="Normal"/>
    <w:next w:val="Normal"/>
    <w:autoRedefine/>
    <w:uiPriority w:val="99"/>
    <w:rsid w:val="00E557AD"/>
    <w:pPr>
      <w:spacing w:after="100"/>
      <w:ind w:left="440"/>
    </w:pPr>
  </w:style>
  <w:style w:type="paragraph" w:styleId="Title">
    <w:name w:val="Title"/>
    <w:basedOn w:val="Normal"/>
    <w:next w:val="Normal"/>
    <w:link w:val="TitleChar"/>
    <w:uiPriority w:val="99"/>
    <w:qFormat/>
    <w:rsid w:val="00E557AD"/>
    <w:pPr>
      <w:spacing w:after="300" w:line="240" w:lineRule="auto"/>
      <w:contextualSpacing/>
    </w:pPr>
    <w:rPr>
      <w:smallCaps/>
      <w:sz w:val="52"/>
      <w:szCs w:val="52"/>
    </w:rPr>
  </w:style>
  <w:style w:type="character" w:customStyle="1" w:styleId="TitleChar">
    <w:name w:val="Title Char"/>
    <w:basedOn w:val="DefaultParagraphFont"/>
    <w:link w:val="Title"/>
    <w:uiPriority w:val="99"/>
    <w:locked/>
    <w:rsid w:val="00E557AD"/>
    <w:rPr>
      <w:rFonts w:ascii="Cambria" w:eastAsia="Times New Roman" w:hAnsi="Cambria" w:cs="Times New Roman"/>
      <w:smallCaps/>
      <w:sz w:val="52"/>
      <w:szCs w:val="52"/>
      <w:lang w:val="en-IE"/>
    </w:rPr>
  </w:style>
  <w:style w:type="paragraph" w:styleId="Subtitle">
    <w:name w:val="Subtitle"/>
    <w:basedOn w:val="Normal"/>
    <w:next w:val="Normal"/>
    <w:link w:val="SubtitleChar"/>
    <w:uiPriority w:val="99"/>
    <w:qFormat/>
    <w:rsid w:val="00E557AD"/>
    <w:rPr>
      <w:i/>
      <w:iCs/>
      <w:smallCaps/>
      <w:spacing w:val="10"/>
      <w:sz w:val="28"/>
      <w:szCs w:val="28"/>
    </w:rPr>
  </w:style>
  <w:style w:type="character" w:customStyle="1" w:styleId="SubtitleChar">
    <w:name w:val="Subtitle Char"/>
    <w:basedOn w:val="DefaultParagraphFont"/>
    <w:link w:val="Subtitle"/>
    <w:uiPriority w:val="99"/>
    <w:locked/>
    <w:rsid w:val="00E557AD"/>
    <w:rPr>
      <w:rFonts w:ascii="Cambria" w:eastAsia="Times New Roman" w:hAnsi="Cambria" w:cs="Times New Roman"/>
      <w:i/>
      <w:iCs/>
      <w:smallCaps/>
      <w:spacing w:val="10"/>
      <w:sz w:val="28"/>
      <w:szCs w:val="28"/>
      <w:lang w:val="en-IE"/>
    </w:rPr>
  </w:style>
  <w:style w:type="character" w:styleId="Strong">
    <w:name w:val="Strong"/>
    <w:basedOn w:val="DefaultParagraphFont"/>
    <w:uiPriority w:val="99"/>
    <w:qFormat/>
    <w:rsid w:val="00E557AD"/>
    <w:rPr>
      <w:rFonts w:cs="Times New Roman"/>
      <w:b/>
    </w:rPr>
  </w:style>
  <w:style w:type="character" w:styleId="Emphasis">
    <w:name w:val="Emphasis"/>
    <w:basedOn w:val="DefaultParagraphFont"/>
    <w:uiPriority w:val="99"/>
    <w:qFormat/>
    <w:rsid w:val="00E557AD"/>
    <w:rPr>
      <w:rFonts w:cs="Times New Roman"/>
      <w:b/>
      <w:i/>
      <w:spacing w:val="10"/>
    </w:rPr>
  </w:style>
  <w:style w:type="paragraph" w:styleId="NoSpacing">
    <w:name w:val="No Spacing"/>
    <w:basedOn w:val="Normal"/>
    <w:link w:val="NoSpacingChar"/>
    <w:uiPriority w:val="99"/>
    <w:qFormat/>
    <w:rsid w:val="00E557AD"/>
    <w:pPr>
      <w:spacing w:after="0" w:line="240" w:lineRule="auto"/>
    </w:pPr>
  </w:style>
  <w:style w:type="character" w:customStyle="1" w:styleId="NoSpacingChar">
    <w:name w:val="No Spacing Char"/>
    <w:basedOn w:val="DefaultParagraphFont"/>
    <w:link w:val="NoSpacing"/>
    <w:uiPriority w:val="99"/>
    <w:locked/>
    <w:rsid w:val="00E557AD"/>
    <w:rPr>
      <w:rFonts w:ascii="Cambria" w:eastAsia="Times New Roman" w:hAnsi="Cambria" w:cs="Times New Roman"/>
      <w:lang w:val="en-IE"/>
    </w:rPr>
  </w:style>
  <w:style w:type="paragraph" w:styleId="Quote">
    <w:name w:val="Quote"/>
    <w:basedOn w:val="Normal"/>
    <w:next w:val="Normal"/>
    <w:link w:val="QuoteChar"/>
    <w:uiPriority w:val="99"/>
    <w:qFormat/>
    <w:rsid w:val="00E557AD"/>
    <w:rPr>
      <w:i/>
      <w:iCs/>
    </w:rPr>
  </w:style>
  <w:style w:type="character" w:customStyle="1" w:styleId="QuoteChar">
    <w:name w:val="Quote Char"/>
    <w:basedOn w:val="DefaultParagraphFont"/>
    <w:link w:val="Quote"/>
    <w:uiPriority w:val="99"/>
    <w:locked/>
    <w:rsid w:val="00E557AD"/>
    <w:rPr>
      <w:rFonts w:ascii="Cambria" w:eastAsia="Times New Roman" w:hAnsi="Cambria" w:cs="Times New Roman"/>
      <w:i/>
      <w:iCs/>
      <w:lang w:val="en-IE"/>
    </w:rPr>
  </w:style>
  <w:style w:type="paragraph" w:styleId="IntenseQuote">
    <w:name w:val="Intense Quote"/>
    <w:basedOn w:val="Normal"/>
    <w:next w:val="Normal"/>
    <w:link w:val="IntenseQuoteChar"/>
    <w:uiPriority w:val="99"/>
    <w:qFormat/>
    <w:rsid w:val="00E557AD"/>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99"/>
    <w:locked/>
    <w:rsid w:val="00E557AD"/>
    <w:rPr>
      <w:rFonts w:ascii="Cambria" w:eastAsia="Times New Roman" w:hAnsi="Cambria" w:cs="Times New Roman"/>
      <w:i/>
      <w:iCs/>
      <w:lang w:val="en-IE"/>
    </w:rPr>
  </w:style>
  <w:style w:type="character" w:styleId="SubtleEmphasis">
    <w:name w:val="Subtle Emphasis"/>
    <w:basedOn w:val="DefaultParagraphFont"/>
    <w:uiPriority w:val="99"/>
    <w:qFormat/>
    <w:rsid w:val="00E557AD"/>
    <w:rPr>
      <w:rFonts w:cs="Times New Roman"/>
      <w:i/>
    </w:rPr>
  </w:style>
  <w:style w:type="character" w:styleId="IntenseEmphasis">
    <w:name w:val="Intense Emphasis"/>
    <w:basedOn w:val="DefaultParagraphFont"/>
    <w:uiPriority w:val="99"/>
    <w:qFormat/>
    <w:rsid w:val="00E557AD"/>
    <w:rPr>
      <w:rFonts w:cs="Times New Roman"/>
      <w:b/>
      <w:i/>
    </w:rPr>
  </w:style>
  <w:style w:type="character" w:styleId="SubtleReference">
    <w:name w:val="Subtle Reference"/>
    <w:basedOn w:val="DefaultParagraphFont"/>
    <w:uiPriority w:val="99"/>
    <w:qFormat/>
    <w:rsid w:val="00E557AD"/>
    <w:rPr>
      <w:rFonts w:cs="Times New Roman"/>
      <w:smallCaps/>
    </w:rPr>
  </w:style>
  <w:style w:type="character" w:styleId="IntenseReference">
    <w:name w:val="Intense Reference"/>
    <w:basedOn w:val="DefaultParagraphFont"/>
    <w:uiPriority w:val="99"/>
    <w:qFormat/>
    <w:rsid w:val="00E557AD"/>
    <w:rPr>
      <w:rFonts w:cs="Times New Roman"/>
      <w:b/>
      <w:smallCaps/>
    </w:rPr>
  </w:style>
  <w:style w:type="character" w:styleId="BookTitle">
    <w:name w:val="Book Title"/>
    <w:basedOn w:val="DefaultParagraphFont"/>
    <w:uiPriority w:val="99"/>
    <w:qFormat/>
    <w:rsid w:val="00E557AD"/>
    <w:rPr>
      <w:rFonts w:cs="Times New Roman"/>
      <w:i/>
      <w:iCs/>
      <w:smallCaps/>
      <w:spacing w:val="5"/>
    </w:rPr>
  </w:style>
  <w:style w:type="paragraph" w:styleId="TOCHeading">
    <w:name w:val="TOC Heading"/>
    <w:basedOn w:val="Heading1"/>
    <w:next w:val="Normal"/>
    <w:uiPriority w:val="99"/>
    <w:qFormat/>
    <w:rsid w:val="00E557AD"/>
    <w:pPr>
      <w:outlineLvl w:val="9"/>
    </w:pPr>
  </w:style>
  <w:style w:type="character" w:customStyle="1" w:styleId="FootnoteTextChar">
    <w:name w:val="Footnote Text Char"/>
    <w:basedOn w:val="DefaultParagraphFont"/>
    <w:link w:val="FootnoteText"/>
    <w:uiPriority w:val="99"/>
    <w:semiHidden/>
    <w:locked/>
    <w:rsid w:val="00E557AD"/>
    <w:rPr>
      <w:rFonts w:ascii="Arial" w:hAnsi="Arial" w:cs="Times New Roman"/>
      <w:sz w:val="20"/>
      <w:szCs w:val="20"/>
      <w:lang w:val="en-IE"/>
    </w:rPr>
  </w:style>
  <w:style w:type="paragraph" w:styleId="FootnoteText">
    <w:name w:val="footnote text"/>
    <w:basedOn w:val="Normal"/>
    <w:link w:val="FootnoteTextChar"/>
    <w:uiPriority w:val="99"/>
    <w:semiHidden/>
    <w:rsid w:val="00E557AD"/>
    <w:pPr>
      <w:spacing w:after="0" w:line="240" w:lineRule="auto"/>
      <w:jc w:val="both"/>
    </w:pPr>
    <w:rPr>
      <w:rFonts w:ascii="Arial" w:eastAsia="Times New Roman" w:hAnsi="Arial"/>
      <w:sz w:val="16"/>
      <w:szCs w:val="20"/>
    </w:rPr>
  </w:style>
  <w:style w:type="character" w:customStyle="1" w:styleId="FootnoteTextChar1">
    <w:name w:val="Footnote Text Char1"/>
    <w:basedOn w:val="DefaultParagraphFont"/>
    <w:link w:val="FootnoteText"/>
    <w:uiPriority w:val="99"/>
    <w:semiHidden/>
    <w:rsid w:val="00D57DD7"/>
    <w:rPr>
      <w:rFonts w:ascii="Cambria" w:hAnsi="Cambria"/>
      <w:sz w:val="20"/>
      <w:szCs w:val="20"/>
      <w:lang w:val="en-IE" w:eastAsia="en-US"/>
    </w:rPr>
  </w:style>
  <w:style w:type="paragraph" w:styleId="BalloonText">
    <w:name w:val="Balloon Text"/>
    <w:basedOn w:val="Normal"/>
    <w:link w:val="BalloonTextChar"/>
    <w:uiPriority w:val="99"/>
    <w:semiHidden/>
    <w:rsid w:val="00E557A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E557AD"/>
    <w:rPr>
      <w:rFonts w:ascii="Lucida Grande" w:eastAsia="Times New Roman" w:hAnsi="Lucida Grande" w:cs="Lucida Grande"/>
      <w:sz w:val="18"/>
      <w:szCs w:val="18"/>
      <w:lang w:val="en-IE"/>
    </w:rPr>
  </w:style>
  <w:style w:type="character" w:styleId="CommentReference">
    <w:name w:val="annotation reference"/>
    <w:basedOn w:val="DefaultParagraphFont"/>
    <w:uiPriority w:val="99"/>
    <w:semiHidden/>
    <w:rsid w:val="00E557AD"/>
    <w:rPr>
      <w:rFonts w:cs="Times New Roman"/>
      <w:sz w:val="18"/>
      <w:szCs w:val="18"/>
    </w:rPr>
  </w:style>
  <w:style w:type="paragraph" w:styleId="CommentText">
    <w:name w:val="annotation text"/>
    <w:basedOn w:val="Normal"/>
    <w:link w:val="CommentTextChar"/>
    <w:uiPriority w:val="99"/>
    <w:semiHidden/>
    <w:rsid w:val="00E557AD"/>
    <w:pPr>
      <w:spacing w:line="240" w:lineRule="auto"/>
    </w:pPr>
    <w:rPr>
      <w:sz w:val="24"/>
      <w:szCs w:val="24"/>
    </w:rPr>
  </w:style>
  <w:style w:type="character" w:customStyle="1" w:styleId="CommentTextChar">
    <w:name w:val="Comment Text Char"/>
    <w:basedOn w:val="DefaultParagraphFont"/>
    <w:link w:val="CommentText"/>
    <w:uiPriority w:val="99"/>
    <w:semiHidden/>
    <w:locked/>
    <w:rsid w:val="00E557AD"/>
    <w:rPr>
      <w:rFonts w:ascii="Cambria" w:eastAsia="Times New Roman" w:hAnsi="Cambria" w:cs="Times New Roman"/>
      <w:sz w:val="24"/>
      <w:szCs w:val="24"/>
      <w:lang w:val="en-IE"/>
    </w:rPr>
  </w:style>
  <w:style w:type="paragraph" w:styleId="CommentSubject">
    <w:name w:val="annotation subject"/>
    <w:basedOn w:val="CommentText"/>
    <w:next w:val="CommentText"/>
    <w:link w:val="CommentSubjectChar"/>
    <w:uiPriority w:val="99"/>
    <w:semiHidden/>
    <w:rsid w:val="00E557AD"/>
    <w:rPr>
      <w:b/>
      <w:bCs/>
      <w:sz w:val="20"/>
      <w:szCs w:val="20"/>
    </w:rPr>
  </w:style>
  <w:style w:type="character" w:customStyle="1" w:styleId="CommentSubjectChar">
    <w:name w:val="Comment Subject Char"/>
    <w:basedOn w:val="CommentTextChar"/>
    <w:link w:val="CommentSubject"/>
    <w:uiPriority w:val="99"/>
    <w:semiHidden/>
    <w:locked/>
    <w:rsid w:val="00E557AD"/>
    <w:rPr>
      <w:b/>
      <w:bCs/>
      <w:sz w:val="20"/>
      <w:szCs w:val="20"/>
    </w:rPr>
  </w:style>
  <w:style w:type="character" w:customStyle="1" w:styleId="st">
    <w:name w:val="st"/>
    <w:basedOn w:val="DefaultParagraphFont"/>
    <w:uiPriority w:val="99"/>
    <w:rsid w:val="00E557AD"/>
    <w:rPr>
      <w:rFonts w:cs="Times New Roman"/>
    </w:rPr>
  </w:style>
  <w:style w:type="paragraph" w:styleId="PlainText">
    <w:name w:val="Plain Text"/>
    <w:basedOn w:val="Normal"/>
    <w:link w:val="PlainTextChar"/>
    <w:uiPriority w:val="99"/>
    <w:rsid w:val="00E557A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locked/>
    <w:rsid w:val="00E557AD"/>
    <w:rPr>
      <w:rFonts w:ascii="Consolas" w:eastAsia="Times New Roman" w:hAnsi="Consolas" w:cs="Times New Roman"/>
      <w:sz w:val="21"/>
      <w:szCs w:val="21"/>
      <w:lang w:val="en-IE"/>
    </w:rPr>
  </w:style>
  <w:style w:type="character" w:customStyle="1" w:styleId="slug-vol">
    <w:name w:val="slug-vol"/>
    <w:basedOn w:val="DefaultParagraphFont"/>
    <w:uiPriority w:val="99"/>
    <w:rsid w:val="00E557AD"/>
    <w:rPr>
      <w:rFonts w:cs="Times New Roman"/>
    </w:rPr>
  </w:style>
  <w:style w:type="character" w:customStyle="1" w:styleId="slug-pages">
    <w:name w:val="slug-pages"/>
    <w:basedOn w:val="DefaultParagraphFont"/>
    <w:uiPriority w:val="99"/>
    <w:rsid w:val="00E557AD"/>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timonenv@tcd.ie" TargetMode="Externa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30</Pages>
  <Words>6178</Words>
  <Characters>35218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Depressive symptoms in later life: The impact of early life circumstances, marital status and later life circumstances</vt:lpstr>
    </vt:vector>
  </TitlesOfParts>
  <Company/>
  <LinksUpToDate>false</LinksUpToDate>
  <CharactersWithSpaces>41314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Depressive symptoms in later life: The impact of early life circumstances, marital status and later life circumstances</dc:title>
  <dc:subject/>
  <dc:creator>Martha</dc:creator>
  <cp:keywords/>
  <dc:description/>
  <cp:lastModifiedBy>Virpi Timonen</cp:lastModifiedBy>
  <cp:revision>41</cp:revision>
  <cp:lastPrinted>2012-10-05T10:41:00Z</cp:lastPrinted>
  <dcterms:created xsi:type="dcterms:W3CDTF">2012-10-05T09:04:00Z</dcterms:created>
  <dcterms:modified xsi:type="dcterms:W3CDTF">2012-10-05T14:05:00Z</dcterms:modified>
</cp:coreProperties>
</file>