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00B" w:rsidRDefault="00B3100B" w:rsidP="00B3100B">
      <w:pPr>
        <w:pStyle w:val="NormalWeb"/>
      </w:pPr>
      <w:r>
        <w:rPr>
          <w:rFonts w:ascii="Gentium Plus" w:hAnsi="Gentium Plus"/>
          <w:i/>
          <w:iCs/>
          <w:sz w:val="24"/>
          <w:szCs w:val="24"/>
        </w:rPr>
        <w:t xml:space="preserve">Review of </w:t>
      </w:r>
      <w:proofErr w:type="spellStart"/>
      <w:r>
        <w:rPr>
          <w:rFonts w:ascii="Gentium Plus" w:hAnsi="Gentium Plus"/>
          <w:i/>
          <w:iCs/>
          <w:sz w:val="24"/>
          <w:szCs w:val="24"/>
        </w:rPr>
        <w:t>Qur’anic</w:t>
      </w:r>
      <w:proofErr w:type="spellEnd"/>
      <w:r>
        <w:rPr>
          <w:rFonts w:ascii="Gentium Plus" w:hAnsi="Gentium Plus"/>
          <w:i/>
          <w:iCs/>
          <w:sz w:val="24"/>
          <w:szCs w:val="24"/>
        </w:rPr>
        <w:t xml:space="preserve"> Research</w:t>
      </w:r>
      <w:r>
        <w:rPr>
          <w:rFonts w:ascii="Gentium Plus" w:hAnsi="Gentium Plus"/>
          <w:sz w:val="24"/>
          <w:szCs w:val="24"/>
        </w:rPr>
        <w:t xml:space="preserve">, vol. 4, no. 5 (2018) </w:t>
      </w:r>
    </w:p>
    <w:p w:rsidR="00B3100B" w:rsidRDefault="00B3100B" w:rsidP="00B3100B">
      <w:pPr>
        <w:pStyle w:val="NormalWeb"/>
        <w:shd w:val="clear" w:color="auto" w:fill="FFFFFF"/>
      </w:pPr>
      <w:proofErr w:type="spellStart"/>
      <w:r>
        <w:rPr>
          <w:rFonts w:ascii="Gentium Plus" w:hAnsi="Gentium Plus"/>
          <w:sz w:val="28"/>
          <w:szCs w:val="28"/>
        </w:rPr>
        <w:t>Shahab</w:t>
      </w:r>
      <w:proofErr w:type="spellEnd"/>
      <w:r>
        <w:rPr>
          <w:rFonts w:ascii="Gentium Plus" w:hAnsi="Gentium Plus"/>
          <w:sz w:val="28"/>
          <w:szCs w:val="28"/>
        </w:rPr>
        <w:t xml:space="preserve"> AHMED </w:t>
      </w:r>
    </w:p>
    <w:p w:rsidR="00B3100B" w:rsidRDefault="00B3100B" w:rsidP="00B3100B">
      <w:pPr>
        <w:pStyle w:val="NormalWeb"/>
        <w:shd w:val="clear" w:color="auto" w:fill="FFFFFF"/>
      </w:pPr>
      <w:r>
        <w:rPr>
          <w:rFonts w:ascii="Gentium Plus" w:hAnsi="Gentium Plus"/>
          <w:i/>
          <w:iCs/>
          <w:sz w:val="28"/>
          <w:szCs w:val="28"/>
        </w:rPr>
        <w:t xml:space="preserve">Before Orthodoxy: The Satanic Verses in Early Islam </w:t>
      </w:r>
    </w:p>
    <w:p w:rsidR="00B3100B" w:rsidRDefault="00B3100B" w:rsidP="00B3100B">
      <w:pPr>
        <w:pStyle w:val="NormalWeb"/>
        <w:shd w:val="clear" w:color="auto" w:fill="FFFFFF"/>
      </w:pPr>
      <w:r>
        <w:rPr>
          <w:rFonts w:ascii="Gentium Plus" w:hAnsi="Gentium Plus"/>
          <w:sz w:val="28"/>
          <w:szCs w:val="28"/>
        </w:rPr>
        <w:t xml:space="preserve">Cambridge, MA: Harvard University Press, 2017. Pp. xii + 336 </w:t>
      </w:r>
    </w:p>
    <w:p w:rsidR="00B3100B" w:rsidRDefault="00B3100B" w:rsidP="00B3100B">
      <w:pPr>
        <w:pStyle w:val="NormalWeb"/>
        <w:shd w:val="clear" w:color="auto" w:fill="FFFFFF"/>
      </w:pPr>
      <w:proofErr w:type="gramStart"/>
      <w:r>
        <w:rPr>
          <w:rFonts w:ascii="Gentium Plus" w:hAnsi="Gentium Plus"/>
          <w:sz w:val="28"/>
          <w:szCs w:val="28"/>
        </w:rPr>
        <w:t>Hardcover US$49.95.</w:t>
      </w:r>
      <w:proofErr w:type="gramEnd"/>
      <w:r>
        <w:rPr>
          <w:rFonts w:ascii="Gentium Plus" w:hAnsi="Gentium Plus"/>
          <w:sz w:val="28"/>
          <w:szCs w:val="28"/>
        </w:rPr>
        <w:t xml:space="preserve"> ISBN 978-0674047426 </w:t>
      </w:r>
    </w:p>
    <w:p w:rsidR="00B3100B" w:rsidRDefault="00B3100B" w:rsidP="00B3100B">
      <w:pPr>
        <w:pStyle w:val="NormalWeb"/>
      </w:pPr>
      <w:r>
        <w:rPr>
          <w:rFonts w:ascii="Gentium Plus" w:hAnsi="Gentium Plus"/>
          <w:sz w:val="24"/>
          <w:szCs w:val="24"/>
        </w:rPr>
        <w:t>This volume originally aimed at being the first of three volumes concerning the history of Islamic approaches towards the story of the satanic verses (</w:t>
      </w:r>
      <w:proofErr w:type="spellStart"/>
      <w:r>
        <w:rPr>
          <w:rFonts w:ascii="Gentium Plus" w:hAnsi="Gentium Plus"/>
          <w:i/>
          <w:iCs/>
          <w:sz w:val="24"/>
          <w:szCs w:val="24"/>
        </w:rPr>
        <w:t>qiṣṣat</w:t>
      </w:r>
      <w:proofErr w:type="spellEnd"/>
      <w:r>
        <w:rPr>
          <w:rFonts w:ascii="Gentium Plus" w:hAnsi="Gentium Plus"/>
          <w:i/>
          <w:iCs/>
          <w:sz w:val="24"/>
          <w:szCs w:val="24"/>
        </w:rPr>
        <w:t xml:space="preserve"> </w:t>
      </w:r>
      <w:proofErr w:type="spellStart"/>
      <w:r>
        <w:rPr>
          <w:rFonts w:ascii="Gentium Plus" w:hAnsi="Gentium Plus"/>
          <w:i/>
          <w:iCs/>
          <w:sz w:val="24"/>
          <w:szCs w:val="24"/>
        </w:rPr>
        <w:t>al-gharānīq</w:t>
      </w:r>
      <w:proofErr w:type="spellEnd"/>
      <w:r>
        <w:rPr>
          <w:rFonts w:ascii="Gentium Plus" w:hAnsi="Gentium Plus"/>
          <w:sz w:val="24"/>
          <w:szCs w:val="24"/>
        </w:rPr>
        <w:t xml:space="preserve">); unfortunately, volumes 2 and 3 of this project could not be completed, due to the passing away of the author. According to the satanic verses story, while the prophet </w:t>
      </w:r>
      <w:proofErr w:type="spellStart"/>
      <w:r>
        <w:rPr>
          <w:rFonts w:ascii="Gentium Plus" w:hAnsi="Gentium Plus"/>
          <w:sz w:val="24"/>
          <w:szCs w:val="24"/>
        </w:rPr>
        <w:t>Muḥammad</w:t>
      </w:r>
      <w:proofErr w:type="spellEnd"/>
      <w:r>
        <w:rPr>
          <w:rFonts w:ascii="Gentium Plus" w:hAnsi="Gentium Plus"/>
          <w:sz w:val="24"/>
          <w:szCs w:val="24"/>
        </w:rPr>
        <w:t xml:space="preserve"> recited Q al-</w:t>
      </w:r>
      <w:proofErr w:type="spellStart"/>
      <w:r>
        <w:rPr>
          <w:rFonts w:ascii="Gentium Plus" w:hAnsi="Gentium Plus"/>
          <w:sz w:val="24"/>
          <w:szCs w:val="24"/>
        </w:rPr>
        <w:t>Najm</w:t>
      </w:r>
      <w:proofErr w:type="spellEnd"/>
      <w:r>
        <w:rPr>
          <w:rFonts w:ascii="Gentium Plus" w:hAnsi="Gentium Plus"/>
          <w:sz w:val="24"/>
          <w:szCs w:val="24"/>
        </w:rPr>
        <w:t xml:space="preserve"> 53 in Mecca, Satan interpolated his own words into the divine revelation, making the prophet pronounce words in </w:t>
      </w:r>
      <w:proofErr w:type="spellStart"/>
      <w:r>
        <w:rPr>
          <w:rFonts w:ascii="Gentium Plus" w:hAnsi="Gentium Plus"/>
          <w:sz w:val="24"/>
          <w:szCs w:val="24"/>
        </w:rPr>
        <w:t>favor</w:t>
      </w:r>
      <w:proofErr w:type="spellEnd"/>
      <w:r>
        <w:rPr>
          <w:rFonts w:ascii="Gentium Plus" w:hAnsi="Gentium Plus"/>
          <w:sz w:val="24"/>
          <w:szCs w:val="24"/>
        </w:rPr>
        <w:t xml:space="preserve"> of </w:t>
      </w:r>
      <w:proofErr w:type="spellStart"/>
      <w:r>
        <w:rPr>
          <w:rFonts w:ascii="Gentium Plus" w:hAnsi="Gentium Plus"/>
          <w:sz w:val="24"/>
          <w:szCs w:val="24"/>
        </w:rPr>
        <w:t>Allāt</w:t>
      </w:r>
      <w:proofErr w:type="spellEnd"/>
      <w:r>
        <w:rPr>
          <w:rFonts w:ascii="Gentium Plus" w:hAnsi="Gentium Plus"/>
          <w:sz w:val="24"/>
          <w:szCs w:val="24"/>
        </w:rPr>
        <w:t xml:space="preserve">, </w:t>
      </w:r>
      <w:proofErr w:type="spellStart"/>
      <w:r>
        <w:rPr>
          <w:rFonts w:ascii="Gentium Plus" w:hAnsi="Gentium Plus"/>
          <w:sz w:val="24"/>
          <w:szCs w:val="24"/>
        </w:rPr>
        <w:t>Manāt</w:t>
      </w:r>
      <w:proofErr w:type="spellEnd"/>
      <w:r>
        <w:rPr>
          <w:rFonts w:ascii="Gentium Plus" w:hAnsi="Gentium Plus"/>
          <w:sz w:val="24"/>
          <w:szCs w:val="24"/>
        </w:rPr>
        <w:t xml:space="preserve"> and al-‘</w:t>
      </w:r>
      <w:proofErr w:type="spellStart"/>
      <w:r>
        <w:rPr>
          <w:rFonts w:ascii="Gentium Plus" w:hAnsi="Gentium Plus"/>
          <w:sz w:val="24"/>
          <w:szCs w:val="24"/>
        </w:rPr>
        <w:t>Uzza</w:t>
      </w:r>
      <w:proofErr w:type="spellEnd"/>
      <w:r>
        <w:rPr>
          <w:rFonts w:ascii="Gentium Plus" w:hAnsi="Gentium Plus"/>
          <w:sz w:val="24"/>
          <w:szCs w:val="24"/>
        </w:rPr>
        <w:t>̄, the three female deities that were worshipped by the non-believers (</w:t>
      </w:r>
      <w:proofErr w:type="spellStart"/>
      <w:r>
        <w:rPr>
          <w:rFonts w:ascii="Gentium Plus" w:hAnsi="Gentium Plus"/>
          <w:i/>
          <w:iCs/>
          <w:sz w:val="24"/>
          <w:szCs w:val="24"/>
        </w:rPr>
        <w:t>mushrikūn</w:t>
      </w:r>
      <w:proofErr w:type="spellEnd"/>
      <w:r>
        <w:rPr>
          <w:rFonts w:ascii="Gentium Plus" w:hAnsi="Gentium Plus"/>
          <w:sz w:val="24"/>
          <w:szCs w:val="24"/>
        </w:rPr>
        <w:t xml:space="preserve">) of </w:t>
      </w:r>
      <w:proofErr w:type="spellStart"/>
      <w:r>
        <w:rPr>
          <w:rFonts w:ascii="Gentium Plus" w:hAnsi="Gentium Plus"/>
          <w:sz w:val="24"/>
          <w:szCs w:val="24"/>
        </w:rPr>
        <w:t>Quraysh</w:t>
      </w:r>
      <w:proofErr w:type="spellEnd"/>
      <w:r>
        <w:rPr>
          <w:rFonts w:ascii="Gentium Plus" w:hAnsi="Gentium Plus"/>
          <w:sz w:val="24"/>
          <w:szCs w:val="24"/>
        </w:rPr>
        <w:t xml:space="preserve">. This compromise over monotheism made the </w:t>
      </w:r>
      <w:proofErr w:type="spellStart"/>
      <w:r>
        <w:rPr>
          <w:rFonts w:ascii="Gentium Plus" w:hAnsi="Gentium Plus"/>
          <w:i/>
          <w:iCs/>
          <w:sz w:val="24"/>
          <w:szCs w:val="24"/>
        </w:rPr>
        <w:t>mushrikūn</w:t>
      </w:r>
      <w:proofErr w:type="spellEnd"/>
      <w:r>
        <w:rPr>
          <w:rFonts w:ascii="Gentium Plus" w:hAnsi="Gentium Plus"/>
          <w:i/>
          <w:iCs/>
          <w:sz w:val="24"/>
          <w:szCs w:val="24"/>
        </w:rPr>
        <w:t xml:space="preserve"> </w:t>
      </w:r>
      <w:r>
        <w:rPr>
          <w:rFonts w:ascii="Gentium Plus" w:hAnsi="Gentium Plus"/>
          <w:sz w:val="24"/>
          <w:szCs w:val="24"/>
        </w:rPr>
        <w:t xml:space="preserve">of Mecca accept Islam. However, later this interpolation was corrected, which led the </w:t>
      </w:r>
      <w:proofErr w:type="spellStart"/>
      <w:r>
        <w:rPr>
          <w:rFonts w:ascii="Gentium Plus" w:hAnsi="Gentium Plus"/>
          <w:i/>
          <w:iCs/>
          <w:sz w:val="24"/>
          <w:szCs w:val="24"/>
        </w:rPr>
        <w:t>mushrikūn</w:t>
      </w:r>
      <w:proofErr w:type="spellEnd"/>
      <w:r>
        <w:rPr>
          <w:rFonts w:ascii="Gentium Plus" w:hAnsi="Gentium Plus"/>
          <w:i/>
          <w:iCs/>
          <w:sz w:val="24"/>
          <w:szCs w:val="24"/>
        </w:rPr>
        <w:t xml:space="preserve"> </w:t>
      </w:r>
      <w:r>
        <w:rPr>
          <w:rFonts w:ascii="Gentium Plus" w:hAnsi="Gentium Plus"/>
          <w:sz w:val="24"/>
          <w:szCs w:val="24"/>
        </w:rPr>
        <w:t xml:space="preserve">to again reject Islam. </w:t>
      </w:r>
    </w:p>
    <w:p w:rsidR="00B3100B" w:rsidRDefault="00B3100B" w:rsidP="00B3100B">
      <w:pPr>
        <w:pStyle w:val="NormalWeb"/>
      </w:pPr>
      <w:r>
        <w:rPr>
          <w:rFonts w:ascii="Gentium Plus" w:hAnsi="Gentium Plus"/>
          <w:sz w:val="24"/>
          <w:szCs w:val="24"/>
        </w:rPr>
        <w:t xml:space="preserve">The book is comprised of four sections: an introduction and three chapters. The first chapter discusses methodology. The second chapter, which makes up roughly two-thirds of the book, presents fifty early narrative versions of the story and </w:t>
      </w:r>
      <w:proofErr w:type="spellStart"/>
      <w:r>
        <w:rPr>
          <w:rFonts w:ascii="Gentium Plus" w:hAnsi="Gentium Plus"/>
          <w:sz w:val="24"/>
          <w:szCs w:val="24"/>
        </w:rPr>
        <w:t>analyzes</w:t>
      </w:r>
      <w:proofErr w:type="spellEnd"/>
      <w:r>
        <w:rPr>
          <w:rFonts w:ascii="Gentium Plus" w:hAnsi="Gentium Plus"/>
          <w:sz w:val="24"/>
          <w:szCs w:val="24"/>
        </w:rPr>
        <w:t xml:space="preserve"> the chains of transmissions (</w:t>
      </w:r>
      <w:proofErr w:type="spellStart"/>
      <w:r>
        <w:rPr>
          <w:rFonts w:ascii="Gentium Plus" w:hAnsi="Gentium Plus"/>
          <w:i/>
          <w:iCs/>
          <w:sz w:val="24"/>
          <w:szCs w:val="24"/>
        </w:rPr>
        <w:t>isnād</w:t>
      </w:r>
      <w:r>
        <w:rPr>
          <w:rFonts w:ascii="Gentium Plus" w:hAnsi="Gentium Plus"/>
          <w:sz w:val="24"/>
          <w:szCs w:val="24"/>
        </w:rPr>
        <w:t>s</w:t>
      </w:r>
      <w:proofErr w:type="spellEnd"/>
      <w:r>
        <w:rPr>
          <w:rFonts w:ascii="Gentium Plus" w:hAnsi="Gentium Plus"/>
          <w:sz w:val="24"/>
          <w:szCs w:val="24"/>
        </w:rPr>
        <w:t>) and content (</w:t>
      </w:r>
      <w:proofErr w:type="spellStart"/>
      <w:r>
        <w:rPr>
          <w:rFonts w:ascii="Gentium Plus" w:hAnsi="Gentium Plus"/>
          <w:i/>
          <w:iCs/>
          <w:sz w:val="24"/>
          <w:szCs w:val="24"/>
        </w:rPr>
        <w:t>matn</w:t>
      </w:r>
      <w:proofErr w:type="spellEnd"/>
      <w:r>
        <w:rPr>
          <w:rFonts w:ascii="Gentium Plus" w:hAnsi="Gentium Plus"/>
          <w:sz w:val="24"/>
          <w:szCs w:val="24"/>
        </w:rPr>
        <w:t xml:space="preserve">) of each. The third chapter considers why the early Muslim community regarded the satanic verses incident to be true. </w:t>
      </w:r>
    </w:p>
    <w:p w:rsidR="00B3100B" w:rsidRDefault="00B3100B" w:rsidP="00B3100B">
      <w:pPr>
        <w:pStyle w:val="NormalWeb"/>
      </w:pPr>
      <w:r>
        <w:rPr>
          <w:rFonts w:ascii="Gentium Plus" w:hAnsi="Gentium Plus"/>
          <w:sz w:val="24"/>
          <w:szCs w:val="24"/>
        </w:rPr>
        <w:t xml:space="preserve">The introduction emphasizes that whereas today Muslims generally agree that the satanic verses story is not historically valid, this was not the case in earlier periods. </w:t>
      </w:r>
      <w:proofErr w:type="gramStart"/>
      <w:r>
        <w:rPr>
          <w:rFonts w:ascii="Gentium Plus" w:hAnsi="Gentium Plus"/>
          <w:sz w:val="24"/>
          <w:szCs w:val="24"/>
        </w:rPr>
        <w:t>Rather, this story was generally accepted in early Islam (600–800 CE), then equally accepted/rejected by Islamic scholars</w:t>
      </w:r>
      <w:proofErr w:type="gramEnd"/>
      <w:r>
        <w:rPr>
          <w:rFonts w:ascii="Gentium Plus" w:hAnsi="Gentium Plus"/>
          <w:sz w:val="24"/>
          <w:szCs w:val="24"/>
        </w:rPr>
        <w:t xml:space="preserve"> (800–1100). This developed into dominance of the rejection, with accusations that supporters were heretics—although some prominent scholars continued to support the story (1100–1800). As of 1800, the story has been universally rejected, and those who acknowledge it are regarded heretics and unorthodox. </w:t>
      </w:r>
    </w:p>
    <w:p w:rsidR="00B3100B" w:rsidRDefault="00B3100B" w:rsidP="00B3100B">
      <w:pPr>
        <w:pStyle w:val="NormalWeb"/>
      </w:pPr>
      <w:r>
        <w:rPr>
          <w:rFonts w:ascii="Gentium Plus" w:hAnsi="Gentium Plus"/>
          <w:sz w:val="24"/>
          <w:szCs w:val="24"/>
        </w:rPr>
        <w:t xml:space="preserve">Through discussions of fifty early reports about the satanic verses, the current volume strives to emphasize the broad acceptance in early Islam of this story. It presents the foundational historical data concerning the story and discusses how </w:t>
      </w:r>
      <w:r>
        <w:rPr>
          <w:rFonts w:ascii="Gentium Plus" w:hAnsi="Gentium Plus"/>
          <w:sz w:val="24"/>
          <w:szCs w:val="24"/>
        </w:rPr>
        <w:lastRenderedPageBreak/>
        <w:t xml:space="preserve">Muslims treated this story during these first two hundred years of Islam. The later conceptual change towards this story is not discussed, as Ahmed meant to treat it in later volumes. </w:t>
      </w:r>
    </w:p>
    <w:p w:rsidR="00B3100B" w:rsidRDefault="00B3100B" w:rsidP="00B3100B">
      <w:pPr>
        <w:pStyle w:val="NormalWeb"/>
      </w:pPr>
      <w:r>
        <w:rPr>
          <w:rFonts w:ascii="Gentium Plus" w:hAnsi="Gentium Plus"/>
          <w:sz w:val="24"/>
          <w:szCs w:val="24"/>
        </w:rPr>
        <w:t xml:space="preserve">Since this story represents the ways in which the early Muslim community perceived </w:t>
      </w:r>
      <w:proofErr w:type="spellStart"/>
      <w:r>
        <w:rPr>
          <w:rFonts w:ascii="Gentium Plus" w:hAnsi="Gentium Plus"/>
          <w:sz w:val="24"/>
          <w:szCs w:val="24"/>
        </w:rPr>
        <w:t>Muḥammad’s</w:t>
      </w:r>
      <w:proofErr w:type="spellEnd"/>
      <w:r>
        <w:rPr>
          <w:rFonts w:ascii="Gentium Plus" w:hAnsi="Gentium Plus"/>
          <w:sz w:val="24"/>
          <w:szCs w:val="24"/>
        </w:rPr>
        <w:t xml:space="preserve"> </w:t>
      </w:r>
      <w:proofErr w:type="spellStart"/>
      <w:r>
        <w:rPr>
          <w:rFonts w:ascii="Gentium Plus" w:hAnsi="Gentium Plus"/>
          <w:sz w:val="24"/>
          <w:szCs w:val="24"/>
        </w:rPr>
        <w:t>prophethood</w:t>
      </w:r>
      <w:proofErr w:type="spellEnd"/>
      <w:r>
        <w:rPr>
          <w:rFonts w:ascii="Gentium Plus" w:hAnsi="Gentium Plus"/>
          <w:sz w:val="24"/>
          <w:szCs w:val="24"/>
        </w:rPr>
        <w:t xml:space="preserve"> and divine revelation, the author regards it as a good example of how orthodoxy is created and a truth claim becomes exclusive. This Ahmed sees as a particularly interesting matter in the Muslim context, which has no church-like body responsible for producing authoritative truth, and with the geographical, political, ethnic, and linguistic diversity of Muslims; however, the book does not develop further this interesting point regarding how Islamic orthodoxy emerged despite the lack of a central authoritative body. </w:t>
      </w:r>
    </w:p>
    <w:p w:rsidR="00B3100B" w:rsidRDefault="00B3100B" w:rsidP="00B3100B">
      <w:pPr>
        <w:pStyle w:val="NormalWeb"/>
      </w:pPr>
      <w:r>
        <w:rPr>
          <w:rFonts w:ascii="Gentium Plus" w:hAnsi="Gentium Plus"/>
          <w:sz w:val="24"/>
          <w:szCs w:val="24"/>
        </w:rPr>
        <w:t xml:space="preserve">Ahmed explains the emergence of contemporary rejection of the story by noting that the story does not fit in with the currently accepted Islamic epistemological principles of truthfulness. These include the historiographical principle of validating </w:t>
      </w:r>
      <w:proofErr w:type="spellStart"/>
      <w:r>
        <w:rPr>
          <w:rFonts w:ascii="Gentium Plus" w:hAnsi="Gentium Plus"/>
          <w:i/>
          <w:iCs/>
          <w:sz w:val="24"/>
          <w:szCs w:val="24"/>
        </w:rPr>
        <w:t>ḥadīth</w:t>
      </w:r>
      <w:proofErr w:type="spellEnd"/>
      <w:r>
        <w:rPr>
          <w:rFonts w:ascii="Gentium Plus" w:hAnsi="Gentium Plus"/>
          <w:i/>
          <w:iCs/>
          <w:sz w:val="24"/>
          <w:szCs w:val="24"/>
        </w:rPr>
        <w:t xml:space="preserve"> </w:t>
      </w:r>
      <w:r>
        <w:rPr>
          <w:rFonts w:ascii="Gentium Plus" w:hAnsi="Gentium Plus"/>
          <w:sz w:val="24"/>
          <w:szCs w:val="24"/>
        </w:rPr>
        <w:t xml:space="preserve">through </w:t>
      </w:r>
      <w:proofErr w:type="spellStart"/>
      <w:r>
        <w:rPr>
          <w:rFonts w:ascii="Gentium Plus" w:hAnsi="Gentium Plus"/>
          <w:i/>
          <w:iCs/>
          <w:sz w:val="24"/>
          <w:szCs w:val="24"/>
        </w:rPr>
        <w:t>isnād</w:t>
      </w:r>
      <w:proofErr w:type="spellEnd"/>
      <w:r>
        <w:rPr>
          <w:rFonts w:ascii="Gentium Plus" w:hAnsi="Gentium Plus"/>
          <w:i/>
          <w:iCs/>
          <w:sz w:val="24"/>
          <w:szCs w:val="24"/>
        </w:rPr>
        <w:t xml:space="preserve"> </w:t>
      </w:r>
      <w:r>
        <w:rPr>
          <w:rFonts w:ascii="Gentium Plus" w:hAnsi="Gentium Plus"/>
          <w:sz w:val="24"/>
          <w:szCs w:val="24"/>
        </w:rPr>
        <w:t xml:space="preserve">(of the 50 traditions discussed, only one has a </w:t>
      </w:r>
      <w:proofErr w:type="spellStart"/>
      <w:r>
        <w:rPr>
          <w:rFonts w:ascii="Gentium Plus" w:hAnsi="Gentium Plus"/>
          <w:i/>
          <w:iCs/>
          <w:sz w:val="24"/>
          <w:szCs w:val="24"/>
        </w:rPr>
        <w:t>ṣaḥīh</w:t>
      </w:r>
      <w:proofErr w:type="spellEnd"/>
      <w:r>
        <w:rPr>
          <w:rFonts w:ascii="Gentium Plus" w:hAnsi="Gentium Plus"/>
          <w:i/>
          <w:iCs/>
          <w:sz w:val="24"/>
          <w:szCs w:val="24"/>
        </w:rPr>
        <w:t xml:space="preserve">̣ </w:t>
      </w:r>
      <w:r>
        <w:rPr>
          <w:rFonts w:ascii="Gentium Plus" w:hAnsi="Gentium Plus"/>
          <w:sz w:val="24"/>
          <w:szCs w:val="24"/>
        </w:rPr>
        <w:t xml:space="preserve">and full </w:t>
      </w:r>
      <w:proofErr w:type="spellStart"/>
      <w:r>
        <w:rPr>
          <w:rFonts w:ascii="Gentium Plus" w:hAnsi="Gentium Plus"/>
          <w:i/>
          <w:iCs/>
          <w:sz w:val="24"/>
          <w:szCs w:val="24"/>
        </w:rPr>
        <w:t>isnād</w:t>
      </w:r>
      <w:proofErr w:type="spellEnd"/>
      <w:r>
        <w:rPr>
          <w:rFonts w:ascii="Gentium Plus" w:hAnsi="Gentium Plus"/>
          <w:sz w:val="24"/>
          <w:szCs w:val="24"/>
        </w:rPr>
        <w:t xml:space="preserve">), and the theological principle of prophetic </w:t>
      </w:r>
      <w:r>
        <w:rPr>
          <w:rFonts w:ascii="Gentium Plus" w:hAnsi="Gentium Plus"/>
          <w:i/>
          <w:iCs/>
          <w:sz w:val="24"/>
          <w:szCs w:val="24"/>
        </w:rPr>
        <w:t>‘</w:t>
      </w:r>
      <w:proofErr w:type="spellStart"/>
      <w:r>
        <w:rPr>
          <w:rFonts w:ascii="Gentium Plus" w:hAnsi="Gentium Plus"/>
          <w:i/>
          <w:iCs/>
          <w:sz w:val="24"/>
          <w:szCs w:val="24"/>
        </w:rPr>
        <w:t>iṣmah</w:t>
      </w:r>
      <w:proofErr w:type="spellEnd"/>
      <w:r>
        <w:rPr>
          <w:rFonts w:ascii="Gentium Plus" w:hAnsi="Gentium Plus"/>
          <w:i/>
          <w:iCs/>
          <w:sz w:val="24"/>
          <w:szCs w:val="24"/>
        </w:rPr>
        <w:t xml:space="preserve"> </w:t>
      </w:r>
      <w:r>
        <w:rPr>
          <w:rFonts w:ascii="Gentium Plus" w:hAnsi="Gentium Plus"/>
          <w:sz w:val="24"/>
          <w:szCs w:val="24"/>
        </w:rPr>
        <w:t xml:space="preserve">(infallibility) concerning revelation. He thus deduces that when the story was still regarded as historically valid, the criteria for truthfulness were different; however, he does not elaborate what these might have been. </w:t>
      </w:r>
    </w:p>
    <w:p w:rsidR="00B3100B" w:rsidRDefault="00B3100B" w:rsidP="00B3100B">
      <w:pPr>
        <w:pStyle w:val="NormalWeb"/>
      </w:pPr>
      <w:r>
        <w:rPr>
          <w:rFonts w:ascii="Gentium Plus" w:hAnsi="Gentium Plus"/>
          <w:sz w:val="24"/>
          <w:szCs w:val="24"/>
        </w:rPr>
        <w:t xml:space="preserve">Chapter 1 (“How to Read the Earliest Sources”) focuses on the methodology Ahmed uses for reading early sources on the life of </w:t>
      </w:r>
      <w:proofErr w:type="spellStart"/>
      <w:r>
        <w:rPr>
          <w:rFonts w:ascii="Gentium Plus" w:hAnsi="Gentium Plus"/>
          <w:sz w:val="24"/>
          <w:szCs w:val="24"/>
        </w:rPr>
        <w:t>Muḥammad</w:t>
      </w:r>
      <w:proofErr w:type="spellEnd"/>
      <w:r>
        <w:rPr>
          <w:rFonts w:ascii="Gentium Plus" w:hAnsi="Gentium Plus"/>
          <w:sz w:val="24"/>
          <w:szCs w:val="24"/>
        </w:rPr>
        <w:t xml:space="preserve">, in order to understand why the satanic verses story was initially accepted. This understanding is to be achieved through close textual analysis (in terms of both </w:t>
      </w:r>
      <w:proofErr w:type="spellStart"/>
      <w:r>
        <w:rPr>
          <w:rFonts w:ascii="Gentium Plus" w:hAnsi="Gentium Plus"/>
          <w:i/>
          <w:iCs/>
          <w:sz w:val="24"/>
          <w:szCs w:val="24"/>
        </w:rPr>
        <w:t>isnād</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matn</w:t>
      </w:r>
      <w:proofErr w:type="spellEnd"/>
      <w:r>
        <w:rPr>
          <w:rFonts w:ascii="Gentium Plus" w:hAnsi="Gentium Plus"/>
          <w:sz w:val="24"/>
          <w:szCs w:val="24"/>
        </w:rPr>
        <w:t xml:space="preserve">) of the earliest narratives of this story, from second- to fourth-century (AH) sources on </w:t>
      </w:r>
      <w:proofErr w:type="spellStart"/>
      <w:r>
        <w:rPr>
          <w:rFonts w:ascii="Gentium Plus" w:hAnsi="Gentium Plus"/>
          <w:sz w:val="24"/>
          <w:szCs w:val="24"/>
        </w:rPr>
        <w:t>Muḥammad</w:t>
      </w:r>
      <w:proofErr w:type="spellEnd"/>
      <w:r>
        <w:rPr>
          <w:rFonts w:ascii="Gentium Plus" w:hAnsi="Gentium Plus"/>
          <w:sz w:val="24"/>
          <w:szCs w:val="24"/>
        </w:rPr>
        <w:t xml:space="preserve">. </w:t>
      </w:r>
    </w:p>
    <w:p w:rsidR="00B3100B" w:rsidRDefault="00B3100B" w:rsidP="00B3100B">
      <w:pPr>
        <w:pStyle w:val="NormalWeb"/>
      </w:pPr>
      <w:r>
        <w:rPr>
          <w:rFonts w:ascii="Gentium Plus" w:hAnsi="Gentium Plus"/>
          <w:sz w:val="24"/>
          <w:szCs w:val="24"/>
        </w:rPr>
        <w:t xml:space="preserve">Ahmed’s book is not concerned with the historical validity of the story (whether the incident really happened). Rather, Ahmed attempts at identifying its transmission history. Through textual analysis, he </w:t>
      </w:r>
      <w:proofErr w:type="spellStart"/>
      <w:r>
        <w:rPr>
          <w:rFonts w:ascii="Gentium Plus" w:hAnsi="Gentium Plus"/>
          <w:sz w:val="24"/>
          <w:szCs w:val="24"/>
        </w:rPr>
        <w:t>endeavors</w:t>
      </w:r>
      <w:proofErr w:type="spellEnd"/>
      <w:r>
        <w:rPr>
          <w:rFonts w:ascii="Gentium Plus" w:hAnsi="Gentium Plus"/>
          <w:sz w:val="24"/>
          <w:szCs w:val="24"/>
        </w:rPr>
        <w:t xml:space="preserve"> to date when each narrative report first circulated, which first- and second-century (AH) scholars transmitted it, in what geographical area it circulated, and (content-wise) how early Muslims understood the story in terms of their perception of </w:t>
      </w:r>
      <w:proofErr w:type="spellStart"/>
      <w:r>
        <w:rPr>
          <w:rFonts w:ascii="Gentium Plus" w:hAnsi="Gentium Plus"/>
          <w:sz w:val="24"/>
          <w:szCs w:val="24"/>
        </w:rPr>
        <w:t>Muḥammad</w:t>
      </w:r>
      <w:proofErr w:type="spellEnd"/>
      <w:r>
        <w:rPr>
          <w:rFonts w:ascii="Gentium Plus" w:hAnsi="Gentium Plus"/>
          <w:sz w:val="24"/>
          <w:szCs w:val="24"/>
        </w:rPr>
        <w:t xml:space="preserve"> and his mission. </w:t>
      </w:r>
    </w:p>
    <w:p w:rsidR="00B3100B" w:rsidRDefault="00B3100B" w:rsidP="00B3100B">
      <w:pPr>
        <w:pStyle w:val="NormalWeb"/>
      </w:pPr>
      <w:r>
        <w:rPr>
          <w:rFonts w:ascii="Gentium Plus" w:hAnsi="Gentium Plus"/>
          <w:sz w:val="24"/>
          <w:szCs w:val="24"/>
        </w:rPr>
        <w:t xml:space="preserve">This latter point is significant since Ahmed sees the early Islamic sources as products of the culture from which they emerged, and hence as sources for information about this culture. The way one reads these sources has implications for questions regarding the production of culture, particularly in a society that is polyvalent and multi-vocal—as are its cultural products. The satanic verses story was a cultural product of the early Islamic community, which regarded this story as narrating a true event. However, the way in which this story has been perceived changed in later times and Islamic societies, as did the way in which these later societies perceived the early Islamic community and its way of producing truth. How to read the early Islamic sources is therefore a relevant question also for understanding later Islamic approaches to this story (however, this significant point is not further developed in this volume, and again was possibly meant to be discussed in the subsequent volumes). </w:t>
      </w:r>
    </w:p>
    <w:p w:rsidR="00B3100B" w:rsidRDefault="00B3100B" w:rsidP="00B3100B">
      <w:pPr>
        <w:pStyle w:val="NormalWeb"/>
      </w:pPr>
      <w:r>
        <w:rPr>
          <w:rFonts w:ascii="Gentium Plus" w:hAnsi="Gentium Plus"/>
          <w:sz w:val="24"/>
          <w:szCs w:val="24"/>
        </w:rPr>
        <w:t xml:space="preserve">The source for mapping the circulation history of the story is, in this study, the </w:t>
      </w:r>
      <w:proofErr w:type="spellStart"/>
      <w:r>
        <w:rPr>
          <w:rFonts w:ascii="Gentium Plus" w:hAnsi="Gentium Plus"/>
          <w:i/>
          <w:iCs/>
          <w:sz w:val="24"/>
          <w:szCs w:val="24"/>
        </w:rPr>
        <w:t>isnād</w:t>
      </w:r>
      <w:r>
        <w:rPr>
          <w:rFonts w:ascii="Gentium Plus" w:hAnsi="Gentium Plus"/>
          <w:sz w:val="24"/>
          <w:szCs w:val="24"/>
        </w:rPr>
        <w:t>s</w:t>
      </w:r>
      <w:proofErr w:type="spellEnd"/>
      <w:r>
        <w:rPr>
          <w:rFonts w:ascii="Gentium Plus" w:hAnsi="Gentium Plus"/>
          <w:sz w:val="24"/>
          <w:szCs w:val="24"/>
        </w:rPr>
        <w:t xml:space="preserve">, which are presented here as historically valid. The author argues that Joseph Schacht’s argument regarding the backwards growth of </w:t>
      </w:r>
      <w:proofErr w:type="spellStart"/>
      <w:r>
        <w:rPr>
          <w:rFonts w:ascii="Gentium Plus" w:hAnsi="Gentium Plus"/>
          <w:i/>
          <w:iCs/>
          <w:sz w:val="24"/>
          <w:szCs w:val="24"/>
        </w:rPr>
        <w:t>isnād</w:t>
      </w:r>
      <w:r>
        <w:rPr>
          <w:rFonts w:ascii="Gentium Plus" w:hAnsi="Gentium Plus"/>
          <w:sz w:val="24"/>
          <w:szCs w:val="24"/>
        </w:rPr>
        <w:t>s</w:t>
      </w:r>
      <w:proofErr w:type="spellEnd"/>
      <w:r>
        <w:rPr>
          <w:rFonts w:ascii="Gentium Plus" w:hAnsi="Gentium Plus"/>
          <w:sz w:val="24"/>
          <w:szCs w:val="24"/>
        </w:rPr>
        <w:t xml:space="preserve"> in the </w:t>
      </w:r>
      <w:proofErr w:type="spellStart"/>
      <w:r>
        <w:rPr>
          <w:rFonts w:ascii="Gentium Plus" w:hAnsi="Gentium Plus"/>
          <w:i/>
          <w:iCs/>
          <w:sz w:val="24"/>
          <w:szCs w:val="24"/>
        </w:rPr>
        <w:t>ḥadīth</w:t>
      </w:r>
      <w:proofErr w:type="spellEnd"/>
      <w:r>
        <w:rPr>
          <w:rFonts w:ascii="Gentium Plus" w:hAnsi="Gentium Plus"/>
          <w:i/>
          <w:iCs/>
          <w:sz w:val="24"/>
          <w:szCs w:val="24"/>
        </w:rPr>
        <w:t xml:space="preserve"> </w:t>
      </w:r>
      <w:r>
        <w:rPr>
          <w:rFonts w:ascii="Gentium Plus" w:hAnsi="Gentium Plus"/>
          <w:sz w:val="24"/>
          <w:szCs w:val="24"/>
        </w:rPr>
        <w:t xml:space="preserve">literature is not applicable to the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sources, since </w:t>
      </w:r>
      <w:proofErr w:type="spellStart"/>
      <w:r>
        <w:rPr>
          <w:rFonts w:ascii="Gentium Plus" w:hAnsi="Gentium Plus"/>
          <w:i/>
          <w:iCs/>
          <w:sz w:val="24"/>
          <w:szCs w:val="24"/>
        </w:rPr>
        <w:t>ḥadīth</w:t>
      </w:r>
      <w:proofErr w:type="spellEnd"/>
      <w:r>
        <w:rPr>
          <w:rFonts w:ascii="Gentium Plus" w:hAnsi="Gentium Plus"/>
          <w:sz w:val="24"/>
          <w:szCs w:val="24"/>
        </w:rPr>
        <w:t xml:space="preserve">, </w:t>
      </w:r>
      <w:proofErr w:type="spellStart"/>
      <w:r>
        <w:rPr>
          <w:rFonts w:ascii="Gentium Plus" w:hAnsi="Gentium Plus"/>
          <w:i/>
          <w:iCs/>
          <w:sz w:val="24"/>
          <w:szCs w:val="24"/>
        </w:rPr>
        <w:t>sīrah-maghāzi</w:t>
      </w:r>
      <w:proofErr w:type="spellEnd"/>
      <w:r>
        <w:rPr>
          <w:rFonts w:ascii="Gentium Plus" w:hAnsi="Gentium Plus"/>
          <w:i/>
          <w:iCs/>
          <w:sz w:val="24"/>
          <w:szCs w:val="24"/>
        </w:rPr>
        <w:t>̄</w:t>
      </w:r>
      <w:r>
        <w:rPr>
          <w:rFonts w:ascii="Gentium Plus" w:hAnsi="Gentium Plus"/>
          <w:sz w:val="24"/>
          <w:szCs w:val="24"/>
        </w:rPr>
        <w:t xml:space="preserve">, and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were three, “distinct truth projects” (20). Whereas the </w:t>
      </w:r>
      <w:proofErr w:type="spellStart"/>
      <w:r>
        <w:rPr>
          <w:rFonts w:ascii="Gentium Plus" w:hAnsi="Gentium Plus"/>
          <w:i/>
          <w:iCs/>
          <w:sz w:val="24"/>
          <w:szCs w:val="24"/>
        </w:rPr>
        <w:t>ḥadith</w:t>
      </w:r>
      <w:proofErr w:type="spellEnd"/>
      <w:r>
        <w:rPr>
          <w:rFonts w:ascii="Gentium Plus" w:hAnsi="Gentium Plus"/>
          <w:i/>
          <w:iCs/>
          <w:sz w:val="24"/>
          <w:szCs w:val="24"/>
        </w:rPr>
        <w:t xml:space="preserve"> </w:t>
      </w:r>
      <w:r>
        <w:rPr>
          <w:rFonts w:ascii="Gentium Plus" w:hAnsi="Gentium Plus"/>
          <w:sz w:val="24"/>
          <w:szCs w:val="24"/>
        </w:rPr>
        <w:t xml:space="preserve">was meant to create norms of religious praxis, the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aims at creating a narrative of the Prophet’s life and his heroic struggle to create a </w:t>
      </w:r>
      <w:proofErr w:type="gramStart"/>
      <w:r>
        <w:rPr>
          <w:rFonts w:ascii="Gentium Plus" w:hAnsi="Gentium Plus"/>
          <w:sz w:val="24"/>
          <w:szCs w:val="24"/>
        </w:rPr>
        <w:t>divinely-guided</w:t>
      </w:r>
      <w:proofErr w:type="gramEnd"/>
      <w:r>
        <w:rPr>
          <w:rFonts w:ascii="Gentium Plus" w:hAnsi="Gentium Plus"/>
          <w:sz w:val="24"/>
          <w:szCs w:val="24"/>
        </w:rPr>
        <w:t xml:space="preserve"> community. The </w:t>
      </w:r>
      <w:proofErr w:type="spellStart"/>
      <w:r>
        <w:rPr>
          <w:rFonts w:ascii="Gentium Plus" w:hAnsi="Gentium Plus"/>
          <w:i/>
          <w:iCs/>
          <w:sz w:val="24"/>
          <w:szCs w:val="24"/>
        </w:rPr>
        <w:t>tafsīr</w:t>
      </w:r>
      <w:proofErr w:type="spellEnd"/>
      <w:r>
        <w:rPr>
          <w:rFonts w:ascii="Gentium Plus" w:hAnsi="Gentium Plus"/>
          <w:sz w:val="24"/>
          <w:szCs w:val="24"/>
        </w:rPr>
        <w:t xml:space="preserve">, on the other hand, is meant to explain the elusive divine revelation, which can only be understood through references to the life of the Prophet. Despite the shared interest of both genres in the life of </w:t>
      </w:r>
      <w:proofErr w:type="spellStart"/>
      <w:r>
        <w:rPr>
          <w:rFonts w:ascii="Gentium Plus" w:hAnsi="Gentium Plus"/>
          <w:sz w:val="24"/>
          <w:szCs w:val="24"/>
        </w:rPr>
        <w:t>Muḥammad</w:t>
      </w:r>
      <w:proofErr w:type="spellEnd"/>
      <w:r>
        <w:rPr>
          <w:rFonts w:ascii="Gentium Plus" w:hAnsi="Gentium Plus"/>
          <w:sz w:val="24"/>
          <w:szCs w:val="24"/>
        </w:rPr>
        <w:t xml:space="preserve">, most reports in the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differ from what appears in the </w:t>
      </w:r>
      <w:proofErr w:type="spellStart"/>
      <w:r>
        <w:rPr>
          <w:rFonts w:ascii="Gentium Plus" w:hAnsi="Gentium Plus"/>
          <w:i/>
          <w:iCs/>
          <w:sz w:val="24"/>
          <w:szCs w:val="24"/>
        </w:rPr>
        <w:t>sīrah-maghāzi</w:t>
      </w:r>
      <w:proofErr w:type="spellEnd"/>
      <w:r>
        <w:rPr>
          <w:rFonts w:ascii="Gentium Plus" w:hAnsi="Gentium Plus"/>
          <w:i/>
          <w:iCs/>
          <w:sz w:val="24"/>
          <w:szCs w:val="24"/>
        </w:rPr>
        <w:t>̄</w:t>
      </w:r>
      <w:r>
        <w:rPr>
          <w:rFonts w:ascii="Gentium Plus" w:hAnsi="Gentium Plus"/>
          <w:sz w:val="24"/>
          <w:szCs w:val="24"/>
        </w:rPr>
        <w:t xml:space="preserve">. When the same story does appear, the reports are different, since the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lacks the chronological framework of the </w:t>
      </w:r>
      <w:proofErr w:type="spellStart"/>
      <w:r>
        <w:rPr>
          <w:rFonts w:ascii="Gentium Plus" w:hAnsi="Gentium Plus"/>
          <w:i/>
          <w:iCs/>
          <w:sz w:val="24"/>
          <w:szCs w:val="24"/>
        </w:rPr>
        <w:t>sīrah-maghāzi</w:t>
      </w:r>
      <w:proofErr w:type="spellEnd"/>
      <w:r>
        <w:rPr>
          <w:rFonts w:ascii="Gentium Plus" w:hAnsi="Gentium Plus"/>
          <w:i/>
          <w:iCs/>
          <w:sz w:val="24"/>
          <w:szCs w:val="24"/>
        </w:rPr>
        <w:t>̄</w:t>
      </w:r>
      <w:r>
        <w:rPr>
          <w:rFonts w:ascii="Gentium Plus" w:hAnsi="Gentium Plus"/>
          <w:sz w:val="24"/>
          <w:szCs w:val="24"/>
        </w:rPr>
        <w:t xml:space="preserve">. Notably, this difference between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is not evident throughout the textual analysis in chapter 2. For example, the first text to be discussed (report 1, p. 44</w:t>
      </w:r>
      <w:r>
        <w:rPr>
          <w:rFonts w:ascii="Gentium Plus" w:hAnsi="Gentium Plus"/>
          <w:i/>
          <w:iCs/>
          <w:sz w:val="24"/>
          <w:szCs w:val="24"/>
        </w:rPr>
        <w:t>ff</w:t>
      </w:r>
      <w:r>
        <w:rPr>
          <w:rFonts w:ascii="Gentium Plus" w:hAnsi="Gentium Plus"/>
          <w:sz w:val="24"/>
          <w:szCs w:val="24"/>
        </w:rPr>
        <w:t xml:space="preserve">.) appears both in the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ta’rīkh</w:t>
      </w:r>
      <w:proofErr w:type="spellEnd"/>
      <w:r>
        <w:rPr>
          <w:rFonts w:ascii="Gentium Plus" w:hAnsi="Gentium Plus"/>
          <w:i/>
          <w:iCs/>
          <w:sz w:val="24"/>
          <w:szCs w:val="24"/>
        </w:rPr>
        <w:t xml:space="preserve"> </w:t>
      </w:r>
      <w:r>
        <w:rPr>
          <w:rFonts w:ascii="Gentium Plus" w:hAnsi="Gentium Plus"/>
          <w:sz w:val="24"/>
          <w:szCs w:val="24"/>
        </w:rPr>
        <w:t xml:space="preserve">of </w:t>
      </w:r>
      <w:proofErr w:type="spellStart"/>
      <w:r>
        <w:rPr>
          <w:rFonts w:ascii="Gentium Plus" w:hAnsi="Gentium Plus"/>
          <w:sz w:val="24"/>
          <w:szCs w:val="24"/>
        </w:rPr>
        <w:t>al-Ṭabari</w:t>
      </w:r>
      <w:proofErr w:type="spellEnd"/>
      <w:r>
        <w:rPr>
          <w:rFonts w:ascii="Gentium Plus" w:hAnsi="Gentium Plus"/>
          <w:sz w:val="24"/>
          <w:szCs w:val="24"/>
        </w:rPr>
        <w:t xml:space="preserve">̄, without further discussion of this point. </w:t>
      </w:r>
    </w:p>
    <w:p w:rsidR="00B3100B" w:rsidRDefault="00B3100B" w:rsidP="00B3100B">
      <w:pPr>
        <w:pStyle w:val="NormalWeb"/>
      </w:pPr>
      <w:r>
        <w:rPr>
          <w:rFonts w:ascii="Gentium Plus" w:hAnsi="Gentium Plus"/>
          <w:sz w:val="24"/>
          <w:szCs w:val="24"/>
        </w:rPr>
        <w:t xml:space="preserve">The author further suggests that the transmission history in each of the three genres was different due to the rejection of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scholars in the biographical dictionaries of the </w:t>
      </w:r>
      <w:proofErr w:type="spellStart"/>
      <w:r>
        <w:rPr>
          <w:rFonts w:ascii="Gentium Plus" w:hAnsi="Gentium Plus"/>
          <w:i/>
          <w:iCs/>
          <w:sz w:val="24"/>
          <w:szCs w:val="24"/>
        </w:rPr>
        <w:t>ḥadīth</w:t>
      </w:r>
      <w:proofErr w:type="spellEnd"/>
      <w:r>
        <w:rPr>
          <w:rFonts w:ascii="Gentium Plus" w:hAnsi="Gentium Plus"/>
          <w:i/>
          <w:iCs/>
          <w:sz w:val="24"/>
          <w:szCs w:val="24"/>
        </w:rPr>
        <w:t xml:space="preserve"> </w:t>
      </w:r>
      <w:r>
        <w:rPr>
          <w:rFonts w:ascii="Gentium Plus" w:hAnsi="Gentium Plus"/>
          <w:sz w:val="24"/>
          <w:szCs w:val="24"/>
        </w:rPr>
        <w:t>(</w:t>
      </w:r>
      <w:r>
        <w:rPr>
          <w:rFonts w:ascii="Gentium Plus" w:hAnsi="Gentium Plus"/>
          <w:i/>
          <w:iCs/>
          <w:sz w:val="24"/>
          <w:szCs w:val="24"/>
        </w:rPr>
        <w:t>al-</w:t>
      </w:r>
      <w:proofErr w:type="spellStart"/>
      <w:r>
        <w:rPr>
          <w:rFonts w:ascii="Gentium Plus" w:hAnsi="Gentium Plus"/>
          <w:i/>
          <w:iCs/>
          <w:sz w:val="24"/>
          <w:szCs w:val="24"/>
        </w:rPr>
        <w:t>jarh</w:t>
      </w:r>
      <w:proofErr w:type="spellEnd"/>
      <w:r>
        <w:rPr>
          <w:rFonts w:ascii="Gentium Plus" w:hAnsi="Gentium Plus"/>
          <w:i/>
          <w:iCs/>
          <w:sz w:val="24"/>
          <w:szCs w:val="24"/>
        </w:rPr>
        <w:t xml:space="preserve">̣ </w:t>
      </w:r>
      <w:proofErr w:type="spellStart"/>
      <w:r>
        <w:rPr>
          <w:rFonts w:ascii="Gentium Plus" w:hAnsi="Gentium Plus"/>
          <w:i/>
          <w:iCs/>
          <w:sz w:val="24"/>
          <w:szCs w:val="24"/>
        </w:rPr>
        <w:t>wa’l-ta‘dīl</w:t>
      </w:r>
      <w:proofErr w:type="spellEnd"/>
      <w:r>
        <w:rPr>
          <w:rFonts w:ascii="Gentium Plus" w:hAnsi="Gentium Plus"/>
          <w:i/>
          <w:iCs/>
          <w:sz w:val="24"/>
          <w:szCs w:val="24"/>
        </w:rPr>
        <w:t xml:space="preserve"> </w:t>
      </w:r>
      <w:r>
        <w:rPr>
          <w:rFonts w:ascii="Gentium Plus" w:hAnsi="Gentium Plus"/>
          <w:sz w:val="24"/>
          <w:szCs w:val="24"/>
        </w:rPr>
        <w:t xml:space="preserve">literature). However, he does not give further support for this assumption. The rejection is explained in that the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scholars refused to “complete” the </w:t>
      </w:r>
      <w:proofErr w:type="spellStart"/>
      <w:r>
        <w:rPr>
          <w:rFonts w:ascii="Gentium Plus" w:hAnsi="Gentium Plus"/>
          <w:i/>
          <w:iCs/>
          <w:sz w:val="24"/>
          <w:szCs w:val="24"/>
        </w:rPr>
        <w:t>isnād</w:t>
      </w:r>
      <w:r>
        <w:rPr>
          <w:rFonts w:ascii="Gentium Plus" w:hAnsi="Gentium Plus"/>
          <w:sz w:val="24"/>
          <w:szCs w:val="24"/>
        </w:rPr>
        <w:t>s</w:t>
      </w:r>
      <w:proofErr w:type="spellEnd"/>
      <w:r>
        <w:rPr>
          <w:rFonts w:ascii="Gentium Plus" w:hAnsi="Gentium Plus"/>
          <w:sz w:val="24"/>
          <w:szCs w:val="24"/>
        </w:rPr>
        <w:t xml:space="preserve">, as done in the </w:t>
      </w:r>
      <w:proofErr w:type="spellStart"/>
      <w:r>
        <w:rPr>
          <w:rFonts w:ascii="Gentium Plus" w:hAnsi="Gentium Plus"/>
          <w:i/>
          <w:iCs/>
          <w:sz w:val="24"/>
          <w:szCs w:val="24"/>
        </w:rPr>
        <w:t>ḥadīth</w:t>
      </w:r>
      <w:proofErr w:type="spellEnd"/>
      <w:r>
        <w:rPr>
          <w:rFonts w:ascii="Gentium Plus" w:hAnsi="Gentium Plus"/>
          <w:i/>
          <w:iCs/>
          <w:sz w:val="24"/>
          <w:szCs w:val="24"/>
        </w:rPr>
        <w:t xml:space="preserve"> </w:t>
      </w:r>
      <w:r>
        <w:rPr>
          <w:rFonts w:ascii="Gentium Plus" w:hAnsi="Gentium Plus"/>
          <w:sz w:val="24"/>
          <w:szCs w:val="24"/>
        </w:rPr>
        <w:t xml:space="preserve">as of the mid-second century AH, since they had different cultural and methodological criteria for verifying reports. What these criteria were, however, is not explained. Furthermore, if the rejection emerged from a change to the transmission criteria, which occurred in the mid-second century AH, what this implies is that up until then there would have been shared transmission and validation criteria for the different genres. Ahmed’s quoting Harris </w:t>
      </w:r>
      <w:proofErr w:type="spellStart"/>
      <w:r>
        <w:rPr>
          <w:rFonts w:ascii="Gentium Plus" w:hAnsi="Gentium Plus"/>
          <w:sz w:val="24"/>
          <w:szCs w:val="24"/>
        </w:rPr>
        <w:t>Birkeland’s</w:t>
      </w:r>
      <w:proofErr w:type="spellEnd"/>
      <w:r>
        <w:rPr>
          <w:rFonts w:ascii="Gentium Plus" w:hAnsi="Gentium Plus"/>
          <w:sz w:val="24"/>
          <w:szCs w:val="24"/>
        </w:rPr>
        <w:t xml:space="preserve"> contention (28) that pre-200 AH </w:t>
      </w:r>
      <w:proofErr w:type="spellStart"/>
      <w:r>
        <w:rPr>
          <w:rFonts w:ascii="Gentium Plus" w:hAnsi="Gentium Plus"/>
          <w:i/>
          <w:iCs/>
          <w:sz w:val="24"/>
          <w:szCs w:val="24"/>
        </w:rPr>
        <w:t>tafāsīr</w:t>
      </w:r>
      <w:proofErr w:type="spellEnd"/>
      <w:r>
        <w:rPr>
          <w:rFonts w:ascii="Gentium Plus" w:hAnsi="Gentium Plus"/>
          <w:i/>
          <w:iCs/>
          <w:sz w:val="24"/>
          <w:szCs w:val="24"/>
        </w:rPr>
        <w:t xml:space="preserve"> </w:t>
      </w:r>
      <w:r>
        <w:rPr>
          <w:rFonts w:ascii="Gentium Plus" w:hAnsi="Gentium Plus"/>
          <w:sz w:val="24"/>
          <w:szCs w:val="24"/>
        </w:rPr>
        <w:t xml:space="preserve">were lost since they did not comply with later critical criteria in fact suggests that as of the third century AH similar criteria were applied in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as in </w:t>
      </w:r>
      <w:proofErr w:type="spellStart"/>
      <w:r>
        <w:rPr>
          <w:rFonts w:ascii="Gentium Plus" w:hAnsi="Gentium Plus"/>
          <w:i/>
          <w:iCs/>
          <w:sz w:val="24"/>
          <w:szCs w:val="24"/>
        </w:rPr>
        <w:t>ḥadīth</w:t>
      </w:r>
      <w:proofErr w:type="spellEnd"/>
      <w:r>
        <w:rPr>
          <w:rFonts w:ascii="Gentium Plus" w:hAnsi="Gentium Plus"/>
          <w:sz w:val="24"/>
          <w:szCs w:val="24"/>
        </w:rPr>
        <w:t xml:space="preserve">. </w:t>
      </w:r>
    </w:p>
    <w:p w:rsidR="00B3100B" w:rsidRDefault="00B3100B" w:rsidP="00B3100B">
      <w:pPr>
        <w:pStyle w:val="NormalWeb"/>
      </w:pPr>
      <w:r>
        <w:rPr>
          <w:rFonts w:ascii="Gentium Plus" w:hAnsi="Gentium Plus"/>
          <w:sz w:val="24"/>
          <w:szCs w:val="24"/>
        </w:rPr>
        <w:t xml:space="preserve">The author also points to a stronger, significant distinction as an explanation for the rejection of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scholars by the </w:t>
      </w:r>
      <w:proofErr w:type="spellStart"/>
      <w:r>
        <w:rPr>
          <w:rFonts w:ascii="Gentium Plus" w:hAnsi="Gentium Plus"/>
          <w:i/>
          <w:iCs/>
          <w:sz w:val="24"/>
          <w:szCs w:val="24"/>
        </w:rPr>
        <w:t>muḥaddithūn</w:t>
      </w:r>
      <w:proofErr w:type="spellEnd"/>
      <w:r>
        <w:rPr>
          <w:rFonts w:ascii="Gentium Plus" w:hAnsi="Gentium Plus"/>
          <w:sz w:val="24"/>
          <w:szCs w:val="24"/>
        </w:rPr>
        <w:t xml:space="preserve">. This rejection, he suggests, also emerged from the attempts of the </w:t>
      </w:r>
      <w:proofErr w:type="spellStart"/>
      <w:r>
        <w:rPr>
          <w:rFonts w:ascii="Gentium Plus" w:hAnsi="Gentium Plus"/>
          <w:i/>
          <w:iCs/>
          <w:sz w:val="24"/>
          <w:szCs w:val="24"/>
        </w:rPr>
        <w:t>ḥadīth</w:t>
      </w:r>
      <w:proofErr w:type="spellEnd"/>
      <w:r>
        <w:rPr>
          <w:rFonts w:ascii="Gentium Plus" w:hAnsi="Gentium Plus"/>
          <w:i/>
          <w:iCs/>
          <w:sz w:val="24"/>
          <w:szCs w:val="24"/>
        </w:rPr>
        <w:t xml:space="preserve"> </w:t>
      </w:r>
      <w:r>
        <w:rPr>
          <w:rFonts w:ascii="Gentium Plus" w:hAnsi="Gentium Plus"/>
          <w:sz w:val="24"/>
          <w:szCs w:val="24"/>
        </w:rPr>
        <w:t xml:space="preserve">collectors to create a single-voiced authority, versus the </w:t>
      </w:r>
      <w:proofErr w:type="spellStart"/>
      <w:r>
        <w:rPr>
          <w:rFonts w:ascii="Gentium Plus" w:hAnsi="Gentium Plus"/>
          <w:sz w:val="24"/>
          <w:szCs w:val="24"/>
        </w:rPr>
        <w:t>multivocal</w:t>
      </w:r>
      <w:proofErr w:type="spellEnd"/>
      <w:r>
        <w:rPr>
          <w:rFonts w:ascii="Gentium Plus" w:hAnsi="Gentium Plus"/>
          <w:sz w:val="24"/>
          <w:szCs w:val="24"/>
        </w:rPr>
        <w:t xml:space="preserve"> nature of the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works and in particular the </w:t>
      </w:r>
      <w:proofErr w:type="spellStart"/>
      <w:r>
        <w:rPr>
          <w:rFonts w:ascii="Gentium Plus" w:hAnsi="Gentium Plus"/>
          <w:i/>
          <w:iCs/>
          <w:sz w:val="24"/>
          <w:szCs w:val="24"/>
        </w:rPr>
        <w:t>tafsīr</w:t>
      </w:r>
      <w:proofErr w:type="spellEnd"/>
      <w:r>
        <w:rPr>
          <w:rFonts w:ascii="Gentium Plus" w:hAnsi="Gentium Plus"/>
          <w:sz w:val="24"/>
          <w:szCs w:val="24"/>
        </w:rPr>
        <w:t xml:space="preserve">. The </w:t>
      </w:r>
      <w:proofErr w:type="spellStart"/>
      <w:r>
        <w:rPr>
          <w:rFonts w:ascii="Gentium Plus" w:hAnsi="Gentium Plus"/>
          <w:i/>
          <w:iCs/>
          <w:sz w:val="24"/>
          <w:szCs w:val="24"/>
        </w:rPr>
        <w:t>muḥaddithūn</w:t>
      </w:r>
      <w:proofErr w:type="spellEnd"/>
      <w:r>
        <w:rPr>
          <w:rFonts w:ascii="Gentium Plus" w:hAnsi="Gentium Plus"/>
          <w:i/>
          <w:iCs/>
          <w:sz w:val="24"/>
          <w:szCs w:val="24"/>
        </w:rPr>
        <w:t xml:space="preserve"> </w:t>
      </w:r>
      <w:r>
        <w:rPr>
          <w:rFonts w:ascii="Gentium Plus" w:hAnsi="Gentium Plus"/>
          <w:sz w:val="24"/>
          <w:szCs w:val="24"/>
        </w:rPr>
        <w:t xml:space="preserve">were anxious mainly regarding the content in the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literatures that affected doctrines promoted by the </w:t>
      </w:r>
      <w:proofErr w:type="spellStart"/>
      <w:r>
        <w:rPr>
          <w:rFonts w:ascii="Gentium Plus" w:hAnsi="Gentium Plus"/>
          <w:i/>
          <w:iCs/>
          <w:sz w:val="24"/>
          <w:szCs w:val="24"/>
        </w:rPr>
        <w:t>muḥaddithūn</w:t>
      </w:r>
      <w:proofErr w:type="spellEnd"/>
      <w:r>
        <w:rPr>
          <w:rFonts w:ascii="Gentium Plus" w:hAnsi="Gentium Plus"/>
          <w:sz w:val="24"/>
          <w:szCs w:val="24"/>
        </w:rPr>
        <w:t xml:space="preserve">, especially those doctrines which undermined the </w:t>
      </w:r>
      <w:proofErr w:type="spellStart"/>
      <w:r>
        <w:rPr>
          <w:rFonts w:ascii="Gentium Plus" w:hAnsi="Gentium Plus"/>
          <w:i/>
          <w:iCs/>
          <w:sz w:val="24"/>
          <w:szCs w:val="24"/>
        </w:rPr>
        <w:t>muḥaddithūn</w:t>
      </w:r>
      <w:r>
        <w:rPr>
          <w:rFonts w:ascii="Gentium Plus" w:hAnsi="Gentium Plus"/>
          <w:sz w:val="24"/>
          <w:szCs w:val="24"/>
        </w:rPr>
        <w:t>s</w:t>
      </w:r>
      <w:proofErr w:type="spellEnd"/>
      <w:r>
        <w:rPr>
          <w:rFonts w:ascii="Gentium Plus" w:hAnsi="Gentium Plus"/>
          <w:sz w:val="24"/>
          <w:szCs w:val="24"/>
        </w:rPr>
        <w:t xml:space="preserve">’ authority. The satanic verses account is a typical example. In chapter 2 the author demonstrates how the </w:t>
      </w:r>
      <w:proofErr w:type="spellStart"/>
      <w:r>
        <w:rPr>
          <w:rFonts w:ascii="Gentium Plus" w:hAnsi="Gentium Plus"/>
          <w:i/>
          <w:iCs/>
          <w:sz w:val="24"/>
          <w:szCs w:val="24"/>
        </w:rPr>
        <w:t>muḥaddithūn</w:t>
      </w:r>
      <w:proofErr w:type="spellEnd"/>
      <w:r>
        <w:rPr>
          <w:rFonts w:ascii="Gentium Plus" w:hAnsi="Gentium Plus"/>
          <w:i/>
          <w:iCs/>
          <w:sz w:val="24"/>
          <w:szCs w:val="24"/>
        </w:rPr>
        <w:t xml:space="preserve"> </w:t>
      </w:r>
      <w:r>
        <w:rPr>
          <w:rFonts w:ascii="Gentium Plus" w:hAnsi="Gentium Plus"/>
          <w:sz w:val="24"/>
          <w:szCs w:val="24"/>
        </w:rPr>
        <w:t xml:space="preserve">fought against these reports, and undermined their authority, even when their </w:t>
      </w:r>
      <w:proofErr w:type="spellStart"/>
      <w:r>
        <w:rPr>
          <w:rFonts w:ascii="Gentium Plus" w:hAnsi="Gentium Plus"/>
          <w:i/>
          <w:iCs/>
          <w:sz w:val="24"/>
          <w:szCs w:val="24"/>
        </w:rPr>
        <w:t>isnād</w:t>
      </w:r>
      <w:r>
        <w:rPr>
          <w:rFonts w:ascii="Gentium Plus" w:hAnsi="Gentium Plus"/>
          <w:sz w:val="24"/>
          <w:szCs w:val="24"/>
        </w:rPr>
        <w:t>s</w:t>
      </w:r>
      <w:proofErr w:type="spellEnd"/>
      <w:r>
        <w:rPr>
          <w:rFonts w:ascii="Gentium Plus" w:hAnsi="Gentium Plus"/>
          <w:sz w:val="24"/>
          <w:szCs w:val="24"/>
        </w:rPr>
        <w:t xml:space="preserve"> were seemingly acceptable. </w:t>
      </w:r>
    </w:p>
    <w:p w:rsidR="00B3100B" w:rsidRDefault="00B3100B" w:rsidP="00B3100B">
      <w:pPr>
        <w:pStyle w:val="NormalWeb"/>
      </w:pPr>
      <w:r>
        <w:rPr>
          <w:rFonts w:ascii="Gentium Plus" w:hAnsi="Gentium Plus"/>
          <w:sz w:val="24"/>
          <w:szCs w:val="24"/>
        </w:rPr>
        <w:t xml:space="preserve">Based on the differences between </w:t>
      </w:r>
      <w:proofErr w:type="spellStart"/>
      <w:r>
        <w:rPr>
          <w:rFonts w:ascii="Gentium Plus" w:hAnsi="Gentium Plus"/>
          <w:i/>
          <w:iCs/>
          <w:sz w:val="24"/>
          <w:szCs w:val="24"/>
        </w:rPr>
        <w:t>ḥadīth</w:t>
      </w:r>
      <w:proofErr w:type="spellEnd"/>
      <w:r>
        <w:rPr>
          <w:rFonts w:ascii="Gentium Plus" w:hAnsi="Gentium Plus"/>
          <w:i/>
          <w:iCs/>
          <w:sz w:val="24"/>
          <w:szCs w:val="24"/>
        </w:rPr>
        <w:t xml:space="preserve"> </w:t>
      </w:r>
      <w:r>
        <w:rPr>
          <w:rFonts w:ascii="Gentium Plus" w:hAnsi="Gentium Plus"/>
          <w:sz w:val="24"/>
          <w:szCs w:val="24"/>
        </w:rPr>
        <w:t xml:space="preserve">on the one hand and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on the other, the author accepts the </w:t>
      </w:r>
      <w:proofErr w:type="spellStart"/>
      <w:r>
        <w:rPr>
          <w:rFonts w:ascii="Gentium Plus" w:hAnsi="Gentium Plus"/>
          <w:i/>
          <w:iCs/>
          <w:sz w:val="24"/>
          <w:szCs w:val="24"/>
        </w:rPr>
        <w:t>isnād</w:t>
      </w:r>
      <w:r>
        <w:rPr>
          <w:rFonts w:ascii="Gentium Plus" w:hAnsi="Gentium Plus"/>
          <w:sz w:val="24"/>
          <w:szCs w:val="24"/>
        </w:rPr>
        <w:t>s</w:t>
      </w:r>
      <w:proofErr w:type="spellEnd"/>
      <w:r>
        <w:rPr>
          <w:rFonts w:ascii="Gentium Plus" w:hAnsi="Gentium Plus"/>
          <w:sz w:val="24"/>
          <w:szCs w:val="24"/>
        </w:rPr>
        <w:t xml:space="preserve"> of the latter genres as authentic. This allows for the dating of these reports, using the </w:t>
      </w:r>
      <w:proofErr w:type="spellStart"/>
      <w:r>
        <w:rPr>
          <w:rFonts w:ascii="Gentium Plus" w:hAnsi="Gentium Plus"/>
          <w:i/>
          <w:iCs/>
          <w:sz w:val="24"/>
          <w:szCs w:val="24"/>
        </w:rPr>
        <w:t>isnād</w:t>
      </w:r>
      <w:proofErr w:type="spellEnd"/>
      <w:r>
        <w:rPr>
          <w:rFonts w:ascii="Gentium Plus" w:hAnsi="Gentium Plus"/>
          <w:i/>
          <w:iCs/>
          <w:sz w:val="24"/>
          <w:szCs w:val="24"/>
        </w:rPr>
        <w:t xml:space="preserve"> </w:t>
      </w:r>
      <w:r>
        <w:rPr>
          <w:rFonts w:ascii="Gentium Plus" w:hAnsi="Gentium Plus"/>
          <w:sz w:val="24"/>
          <w:szCs w:val="24"/>
        </w:rPr>
        <w:t xml:space="preserve">cum </w:t>
      </w:r>
      <w:proofErr w:type="spellStart"/>
      <w:r>
        <w:rPr>
          <w:rFonts w:ascii="Gentium Plus" w:hAnsi="Gentium Plus"/>
          <w:i/>
          <w:iCs/>
          <w:sz w:val="24"/>
          <w:szCs w:val="24"/>
        </w:rPr>
        <w:t>matn</w:t>
      </w:r>
      <w:proofErr w:type="spellEnd"/>
      <w:r>
        <w:rPr>
          <w:rFonts w:ascii="Gentium Plus" w:hAnsi="Gentium Plus"/>
          <w:i/>
          <w:iCs/>
          <w:sz w:val="24"/>
          <w:szCs w:val="24"/>
        </w:rPr>
        <w:t xml:space="preserve"> </w:t>
      </w:r>
      <w:r>
        <w:rPr>
          <w:rFonts w:ascii="Gentium Plus" w:hAnsi="Gentium Plus"/>
          <w:sz w:val="24"/>
          <w:szCs w:val="24"/>
        </w:rPr>
        <w:t xml:space="preserve">analysis, while locating this method in the broader context of “social and cultural constitution of historical memory” (15). </w:t>
      </w:r>
    </w:p>
    <w:p w:rsidR="00B3100B" w:rsidRDefault="00B3100B" w:rsidP="00B3100B">
      <w:pPr>
        <w:pStyle w:val="NormalWeb"/>
      </w:pPr>
      <w:r>
        <w:rPr>
          <w:rFonts w:ascii="Gentium Plus" w:hAnsi="Gentium Plus"/>
          <w:sz w:val="24"/>
          <w:szCs w:val="24"/>
        </w:rPr>
        <w:t xml:space="preserve">The last few pages of chapter 1 discuss the treatment of the content of the satanic verses reports: what was transmitted and how. The quantitative relationship between the methodological discussion of </w:t>
      </w:r>
      <w:proofErr w:type="spellStart"/>
      <w:r>
        <w:rPr>
          <w:rFonts w:ascii="Gentium Plus" w:hAnsi="Gentium Plus"/>
          <w:i/>
          <w:iCs/>
          <w:sz w:val="24"/>
          <w:szCs w:val="24"/>
        </w:rPr>
        <w:t>isnād</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matn</w:t>
      </w:r>
      <w:proofErr w:type="spellEnd"/>
      <w:r>
        <w:rPr>
          <w:rFonts w:ascii="Gentium Plus" w:hAnsi="Gentium Plus"/>
          <w:i/>
          <w:iCs/>
          <w:sz w:val="24"/>
          <w:szCs w:val="24"/>
        </w:rPr>
        <w:t xml:space="preserve"> </w:t>
      </w:r>
      <w:r>
        <w:rPr>
          <w:rFonts w:ascii="Gentium Plus" w:hAnsi="Gentium Plus"/>
          <w:sz w:val="24"/>
          <w:szCs w:val="24"/>
        </w:rPr>
        <w:t xml:space="preserve">is representative also of the discussion in chapter 2, which puts a lot of emphasis on </w:t>
      </w:r>
      <w:proofErr w:type="spellStart"/>
      <w:r>
        <w:rPr>
          <w:rFonts w:ascii="Gentium Plus" w:hAnsi="Gentium Plus"/>
          <w:sz w:val="24"/>
          <w:szCs w:val="24"/>
        </w:rPr>
        <w:t>analyzing</w:t>
      </w:r>
      <w:proofErr w:type="spellEnd"/>
      <w:r>
        <w:rPr>
          <w:rFonts w:ascii="Gentium Plus" w:hAnsi="Gentium Plus"/>
          <w:sz w:val="24"/>
          <w:szCs w:val="24"/>
        </w:rPr>
        <w:t xml:space="preserve"> transmission, and less on the content. Based on the studies of </w:t>
      </w:r>
      <w:proofErr w:type="spellStart"/>
      <w:r>
        <w:rPr>
          <w:rFonts w:ascii="Gentium Plus" w:hAnsi="Gentium Plus"/>
          <w:sz w:val="24"/>
          <w:szCs w:val="24"/>
        </w:rPr>
        <w:t>Azami</w:t>
      </w:r>
      <w:proofErr w:type="spellEnd"/>
      <w:r>
        <w:rPr>
          <w:rFonts w:ascii="Gentium Plus" w:hAnsi="Gentium Plus"/>
          <w:sz w:val="24"/>
          <w:szCs w:val="24"/>
        </w:rPr>
        <w:t xml:space="preserve"> and </w:t>
      </w:r>
      <w:proofErr w:type="spellStart"/>
      <w:r>
        <w:rPr>
          <w:rFonts w:ascii="Gentium Plus" w:hAnsi="Gentium Plus"/>
          <w:sz w:val="24"/>
          <w:szCs w:val="24"/>
        </w:rPr>
        <w:t>Schoeler</w:t>
      </w:r>
      <w:proofErr w:type="spellEnd"/>
      <w:r>
        <w:rPr>
          <w:rFonts w:ascii="Gentium Plus" w:hAnsi="Gentium Plus"/>
          <w:sz w:val="24"/>
          <w:szCs w:val="24"/>
        </w:rPr>
        <w:t>, the author notes that reports were being transmitted both orally and in writing, both in terms of meaning (</w:t>
      </w:r>
      <w:proofErr w:type="spellStart"/>
      <w:r>
        <w:rPr>
          <w:rFonts w:ascii="Gentium Plus" w:hAnsi="Gentium Plus"/>
          <w:i/>
          <w:iCs/>
          <w:sz w:val="24"/>
          <w:szCs w:val="24"/>
        </w:rPr>
        <w:t>bi‘l-ma‘na</w:t>
      </w:r>
      <w:proofErr w:type="spellEnd"/>
      <w:r>
        <w:rPr>
          <w:rFonts w:ascii="Gentium Plus" w:hAnsi="Gentium Plus"/>
          <w:i/>
          <w:iCs/>
          <w:sz w:val="24"/>
          <w:szCs w:val="24"/>
        </w:rPr>
        <w:t>̄</w:t>
      </w:r>
      <w:r>
        <w:rPr>
          <w:rFonts w:ascii="Gentium Plus" w:hAnsi="Gentium Plus"/>
          <w:sz w:val="24"/>
          <w:szCs w:val="24"/>
        </w:rPr>
        <w:t>) and (later) maintaining the exact verbal form (</w:t>
      </w:r>
      <w:proofErr w:type="spellStart"/>
      <w:r>
        <w:rPr>
          <w:rFonts w:ascii="Gentium Plus" w:hAnsi="Gentium Plus"/>
          <w:i/>
          <w:iCs/>
          <w:sz w:val="24"/>
          <w:szCs w:val="24"/>
        </w:rPr>
        <w:t>bi’l-lafz</w:t>
      </w:r>
      <w:proofErr w:type="spellEnd"/>
      <w:r>
        <w:rPr>
          <w:rFonts w:ascii="Gentium Plus" w:hAnsi="Gentium Plus"/>
          <w:i/>
          <w:iCs/>
          <w:sz w:val="24"/>
          <w:szCs w:val="24"/>
        </w:rPr>
        <w:t>̣</w:t>
      </w:r>
      <w:r>
        <w:rPr>
          <w:rFonts w:ascii="Gentium Plus" w:hAnsi="Gentium Plus"/>
          <w:sz w:val="24"/>
          <w:szCs w:val="24"/>
        </w:rPr>
        <w:t xml:space="preserve">). His dating relates to both forms. </w:t>
      </w:r>
    </w:p>
    <w:p w:rsidR="00B3100B" w:rsidRDefault="00B3100B" w:rsidP="00B3100B">
      <w:pPr>
        <w:pStyle w:val="NormalWeb"/>
      </w:pPr>
      <w:r>
        <w:rPr>
          <w:rFonts w:ascii="Gentium Plus" w:hAnsi="Gentium Plus"/>
          <w:sz w:val="24"/>
          <w:szCs w:val="24"/>
        </w:rPr>
        <w:t>Chapter 2 (“The Earliest Narrative Reports (</w:t>
      </w:r>
      <w:proofErr w:type="spellStart"/>
      <w:r>
        <w:rPr>
          <w:rFonts w:ascii="Gentium Plus" w:hAnsi="Gentium Plus"/>
          <w:i/>
          <w:iCs/>
          <w:sz w:val="24"/>
          <w:szCs w:val="24"/>
        </w:rPr>
        <w:t>Riwāyah</w:t>
      </w:r>
      <w:r>
        <w:rPr>
          <w:rFonts w:ascii="Gentium Plus" w:hAnsi="Gentium Plus"/>
          <w:sz w:val="24"/>
          <w:szCs w:val="24"/>
        </w:rPr>
        <w:t>s</w:t>
      </w:r>
      <w:proofErr w:type="spellEnd"/>
      <w:r>
        <w:rPr>
          <w:rFonts w:ascii="Gentium Plus" w:hAnsi="Gentium Plus"/>
          <w:sz w:val="24"/>
          <w:szCs w:val="24"/>
        </w:rPr>
        <w:t xml:space="preserve">) and Their Transmitters”), as suggested by its title, </w:t>
      </w:r>
      <w:proofErr w:type="spellStart"/>
      <w:r>
        <w:rPr>
          <w:rFonts w:ascii="Gentium Plus" w:hAnsi="Gentium Plus"/>
          <w:sz w:val="24"/>
          <w:szCs w:val="24"/>
        </w:rPr>
        <w:t>analyzes</w:t>
      </w:r>
      <w:proofErr w:type="spellEnd"/>
      <w:r>
        <w:rPr>
          <w:rFonts w:ascii="Gentium Plus" w:hAnsi="Gentium Plus"/>
          <w:sz w:val="24"/>
          <w:szCs w:val="24"/>
        </w:rPr>
        <w:t xml:space="preserve"> the earliest layer of the account in order to determine when, where and why the satanic verses story became a standard in the early Islamic community’s memory of the Prophet’s life. For each narrative report, the discussion begins with the analysis of the transmitters in the </w:t>
      </w:r>
      <w:proofErr w:type="spellStart"/>
      <w:r>
        <w:rPr>
          <w:rFonts w:ascii="Gentium Plus" w:hAnsi="Gentium Plus"/>
          <w:i/>
          <w:iCs/>
          <w:sz w:val="24"/>
          <w:szCs w:val="24"/>
        </w:rPr>
        <w:t>isnād</w:t>
      </w:r>
      <w:proofErr w:type="spellEnd"/>
      <w:r>
        <w:rPr>
          <w:rFonts w:ascii="Gentium Plus" w:hAnsi="Gentium Plus"/>
          <w:sz w:val="24"/>
          <w:szCs w:val="24"/>
        </w:rPr>
        <w:t xml:space="preserve">, then quotes and discusses the narrative content. The extensive analysis of the </w:t>
      </w:r>
      <w:proofErr w:type="spellStart"/>
      <w:r>
        <w:rPr>
          <w:rFonts w:ascii="Gentium Plus" w:hAnsi="Gentium Plus"/>
          <w:i/>
          <w:iCs/>
          <w:sz w:val="24"/>
          <w:szCs w:val="24"/>
        </w:rPr>
        <w:t>isnād</w:t>
      </w:r>
      <w:proofErr w:type="spellEnd"/>
      <w:r>
        <w:rPr>
          <w:rFonts w:ascii="Gentium Plus" w:hAnsi="Gentium Plus"/>
          <w:i/>
          <w:iCs/>
          <w:sz w:val="24"/>
          <w:szCs w:val="24"/>
        </w:rPr>
        <w:t xml:space="preserve"> </w:t>
      </w:r>
      <w:r>
        <w:rPr>
          <w:rFonts w:ascii="Gentium Plus" w:hAnsi="Gentium Plus"/>
          <w:sz w:val="24"/>
          <w:szCs w:val="24"/>
        </w:rPr>
        <w:t xml:space="preserve">aims at locating each report in terms of the starting date of its circulation, geographical region, extent of circulation and literary genres of the transmitters, as well as at identifying the literary-cultural context in which each report was transmitted in early Islam. Also examined are the ways in which these transmitters are treated by the </w:t>
      </w:r>
      <w:proofErr w:type="spellStart"/>
      <w:r>
        <w:rPr>
          <w:rFonts w:ascii="Gentium Plus" w:hAnsi="Gentium Plus"/>
          <w:i/>
          <w:iCs/>
          <w:sz w:val="24"/>
          <w:szCs w:val="24"/>
        </w:rPr>
        <w:t>ḥadīth</w:t>
      </w:r>
      <w:r>
        <w:rPr>
          <w:rFonts w:ascii="Gentium Plus" w:hAnsi="Gentium Plus"/>
          <w:sz w:val="24"/>
          <w:szCs w:val="24"/>
        </w:rPr>
        <w:t>-related</w:t>
      </w:r>
      <w:proofErr w:type="spellEnd"/>
      <w:r>
        <w:rPr>
          <w:rFonts w:ascii="Gentium Plus" w:hAnsi="Gentium Plus"/>
          <w:sz w:val="24"/>
          <w:szCs w:val="24"/>
        </w:rPr>
        <w:t xml:space="preserve"> biographical literature, which are often negative, thus reflecting the rejection of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and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material in the context of </w:t>
      </w:r>
      <w:proofErr w:type="spellStart"/>
      <w:r>
        <w:rPr>
          <w:rFonts w:ascii="Gentium Plus" w:hAnsi="Gentium Plus"/>
          <w:i/>
          <w:iCs/>
          <w:sz w:val="24"/>
          <w:szCs w:val="24"/>
        </w:rPr>
        <w:t>ḥad</w:t>
      </w:r>
      <w:r>
        <w:rPr>
          <w:rFonts w:ascii="Gentium Plus" w:hAnsi="Gentium Plus"/>
          <w:sz w:val="24"/>
          <w:szCs w:val="24"/>
        </w:rPr>
        <w:t>i</w:t>
      </w:r>
      <w:r>
        <w:rPr>
          <w:rFonts w:ascii="Gentium Plus" w:hAnsi="Gentium Plus"/>
          <w:i/>
          <w:iCs/>
          <w:sz w:val="24"/>
          <w:szCs w:val="24"/>
        </w:rPr>
        <w:t>th</w:t>
      </w:r>
      <w:proofErr w:type="spellEnd"/>
      <w:r>
        <w:rPr>
          <w:rFonts w:ascii="Gentium Plus" w:hAnsi="Gentium Plus"/>
          <w:i/>
          <w:iCs/>
          <w:sz w:val="24"/>
          <w:szCs w:val="24"/>
        </w:rPr>
        <w:t xml:space="preserve"> </w:t>
      </w:r>
      <w:r>
        <w:rPr>
          <w:rFonts w:ascii="Gentium Plus" w:hAnsi="Gentium Plus"/>
          <w:sz w:val="24"/>
          <w:szCs w:val="24"/>
        </w:rPr>
        <w:t xml:space="preserve">literature. This detailed attention to identifying the transmitters, and their socio-political and scholarly backgrounds, is one of the strongest </w:t>
      </w:r>
      <w:r w:rsidR="00F30421">
        <w:rPr>
          <w:rFonts w:ascii="Gentium Plus" w:hAnsi="Gentium Plus"/>
          <w:sz w:val="24"/>
          <w:szCs w:val="24"/>
        </w:rPr>
        <w:t xml:space="preserve">aspects of the book, and makes it a valuable database of the biographical background of the transmission history of the satanic verses reports in early sources. The content of the reports sometimes seems to receive less attention; the analysis of the content is often less detailed, and sometimes only the </w:t>
      </w:r>
      <w:proofErr w:type="spellStart"/>
      <w:r w:rsidR="00F30421">
        <w:rPr>
          <w:rFonts w:ascii="Gentium Plus" w:hAnsi="Gentium Plus"/>
          <w:i/>
          <w:iCs/>
          <w:sz w:val="24"/>
          <w:szCs w:val="24"/>
        </w:rPr>
        <w:t>isnād</w:t>
      </w:r>
      <w:proofErr w:type="spellEnd"/>
      <w:r w:rsidR="00F30421">
        <w:rPr>
          <w:rFonts w:ascii="Gentium Plus" w:hAnsi="Gentium Plus"/>
          <w:i/>
          <w:iCs/>
          <w:sz w:val="24"/>
          <w:szCs w:val="24"/>
        </w:rPr>
        <w:t xml:space="preserve"> </w:t>
      </w:r>
      <w:r w:rsidR="00F30421">
        <w:rPr>
          <w:rFonts w:ascii="Gentium Plus" w:hAnsi="Gentium Plus"/>
          <w:sz w:val="24"/>
          <w:szCs w:val="24"/>
        </w:rPr>
        <w:t xml:space="preserve">is </w:t>
      </w:r>
      <w:proofErr w:type="spellStart"/>
      <w:r w:rsidR="00F30421">
        <w:rPr>
          <w:rFonts w:ascii="Gentium Plus" w:hAnsi="Gentium Plus"/>
          <w:sz w:val="24"/>
          <w:szCs w:val="24"/>
        </w:rPr>
        <w:t>analyzed</w:t>
      </w:r>
      <w:proofErr w:type="spellEnd"/>
      <w:r w:rsidR="00F30421">
        <w:rPr>
          <w:rFonts w:ascii="Gentium Plus" w:hAnsi="Gentium Plus"/>
          <w:sz w:val="24"/>
          <w:szCs w:val="24"/>
        </w:rPr>
        <w:t xml:space="preserve"> (for example, report 40, pp. 224–227). The questions examined in regard to each report are whether the Prophet uttered the satanic verses, why he did, and whether he later realized the mistake on his own or needed divine guidance (through Gabriel). Other elements in the content are not always discussed, although in some cases these could contribute to the context of the early Islamic community’s understanding of </w:t>
      </w:r>
      <w:proofErr w:type="spellStart"/>
      <w:r w:rsidR="00F30421">
        <w:rPr>
          <w:rFonts w:ascii="Gentium Plus" w:hAnsi="Gentium Plus"/>
          <w:sz w:val="24"/>
          <w:szCs w:val="24"/>
        </w:rPr>
        <w:t>Muḥammad’s</w:t>
      </w:r>
      <w:proofErr w:type="spellEnd"/>
      <w:r w:rsidR="00F30421">
        <w:rPr>
          <w:rFonts w:ascii="Gentium Plus" w:hAnsi="Gentium Plus"/>
          <w:sz w:val="24"/>
          <w:szCs w:val="24"/>
        </w:rPr>
        <w:t xml:space="preserve"> </w:t>
      </w:r>
      <w:proofErr w:type="spellStart"/>
      <w:r w:rsidR="00F30421">
        <w:rPr>
          <w:rFonts w:ascii="Gentium Plus" w:hAnsi="Gentium Plus"/>
          <w:sz w:val="24"/>
          <w:szCs w:val="24"/>
        </w:rPr>
        <w:t>prophethood</w:t>
      </w:r>
      <w:proofErr w:type="spellEnd"/>
      <w:r w:rsidR="00F30421">
        <w:rPr>
          <w:rFonts w:ascii="Gentium Plus" w:hAnsi="Gentium Plus"/>
          <w:sz w:val="24"/>
          <w:szCs w:val="24"/>
        </w:rPr>
        <w:t xml:space="preserve">. </w:t>
      </w:r>
    </w:p>
    <w:p w:rsidR="00B3100B" w:rsidRDefault="00B3100B" w:rsidP="00B3100B">
      <w:pPr>
        <w:pStyle w:val="NormalWeb"/>
      </w:pPr>
      <w:r>
        <w:rPr>
          <w:rFonts w:ascii="Gentium Plus" w:hAnsi="Gentium Plus"/>
          <w:sz w:val="24"/>
          <w:szCs w:val="24"/>
        </w:rPr>
        <w:t xml:space="preserve">The reports analysis (pp. 44–264) forms the main part of chapter 2 and of the book. The fifty reports are divided into groups, according to the earliest transmitter in each report (for example, reports 1–7 are ascribed to </w:t>
      </w:r>
      <w:proofErr w:type="spellStart"/>
      <w:r>
        <w:rPr>
          <w:rFonts w:ascii="Gentium Plus" w:hAnsi="Gentium Plus"/>
          <w:sz w:val="24"/>
          <w:szCs w:val="24"/>
        </w:rPr>
        <w:t>Muḥammad</w:t>
      </w:r>
      <w:proofErr w:type="spellEnd"/>
      <w:r>
        <w:rPr>
          <w:rFonts w:ascii="Gentium Plus" w:hAnsi="Gentium Plus"/>
          <w:sz w:val="24"/>
          <w:szCs w:val="24"/>
        </w:rPr>
        <w:t xml:space="preserve"> b. </w:t>
      </w:r>
      <w:proofErr w:type="spellStart"/>
      <w:r>
        <w:rPr>
          <w:rFonts w:ascii="Gentium Plus" w:hAnsi="Gentium Plus"/>
          <w:sz w:val="24"/>
          <w:szCs w:val="24"/>
        </w:rPr>
        <w:t>Ka‘b</w:t>
      </w:r>
      <w:proofErr w:type="spellEnd"/>
      <w:r>
        <w:rPr>
          <w:rFonts w:ascii="Gentium Plus" w:hAnsi="Gentium Plus"/>
          <w:sz w:val="24"/>
          <w:szCs w:val="24"/>
        </w:rPr>
        <w:t xml:space="preserve"> </w:t>
      </w:r>
      <w:proofErr w:type="spellStart"/>
      <w:r>
        <w:rPr>
          <w:rFonts w:ascii="Gentium Plus" w:hAnsi="Gentium Plus"/>
          <w:sz w:val="24"/>
          <w:szCs w:val="24"/>
        </w:rPr>
        <w:t>al-Quraẓi</w:t>
      </w:r>
      <w:proofErr w:type="spellEnd"/>
      <w:r>
        <w:rPr>
          <w:rFonts w:ascii="Gentium Plus" w:hAnsi="Gentium Plus"/>
          <w:sz w:val="24"/>
          <w:szCs w:val="24"/>
        </w:rPr>
        <w:t xml:space="preserve">̄). The criterion for the order in which the groups are presented is not clear. Although the explicit purpose of the analysis is the dating of the reports, the groups are not chronologically ordered. For example, the reports ascribed to </w:t>
      </w:r>
      <w:proofErr w:type="spellStart"/>
      <w:r>
        <w:rPr>
          <w:rFonts w:ascii="Gentium Plus" w:hAnsi="Gentium Plus"/>
          <w:sz w:val="24"/>
          <w:szCs w:val="24"/>
        </w:rPr>
        <w:t>Muḥammad</w:t>
      </w:r>
      <w:proofErr w:type="spellEnd"/>
      <w:r>
        <w:rPr>
          <w:rFonts w:ascii="Gentium Plus" w:hAnsi="Gentium Plus"/>
          <w:sz w:val="24"/>
          <w:szCs w:val="24"/>
        </w:rPr>
        <w:t xml:space="preserve"> b. </w:t>
      </w:r>
      <w:proofErr w:type="spellStart"/>
      <w:r>
        <w:rPr>
          <w:rFonts w:ascii="Gentium Plus" w:hAnsi="Gentium Plus"/>
          <w:sz w:val="24"/>
          <w:szCs w:val="24"/>
        </w:rPr>
        <w:t>Ka‘b</w:t>
      </w:r>
      <w:proofErr w:type="spellEnd"/>
      <w:r>
        <w:rPr>
          <w:rFonts w:ascii="Gentium Plus" w:hAnsi="Gentium Plus"/>
          <w:sz w:val="24"/>
          <w:szCs w:val="24"/>
        </w:rPr>
        <w:t xml:space="preserve"> </w:t>
      </w:r>
      <w:proofErr w:type="spellStart"/>
      <w:r>
        <w:rPr>
          <w:rFonts w:ascii="Gentium Plus" w:hAnsi="Gentium Plus"/>
          <w:sz w:val="24"/>
          <w:szCs w:val="24"/>
        </w:rPr>
        <w:t>al-Quraẓi</w:t>
      </w:r>
      <w:proofErr w:type="spellEnd"/>
      <w:r>
        <w:rPr>
          <w:rFonts w:ascii="Gentium Plus" w:hAnsi="Gentium Plus"/>
          <w:sz w:val="24"/>
          <w:szCs w:val="24"/>
        </w:rPr>
        <w:t>̄ (d. 108/726) are numbered 1–7, whereas those ascribed to ‘</w:t>
      </w:r>
      <w:proofErr w:type="spellStart"/>
      <w:r>
        <w:rPr>
          <w:rFonts w:ascii="Gentium Plus" w:hAnsi="Gentium Plus"/>
          <w:sz w:val="24"/>
          <w:szCs w:val="24"/>
        </w:rPr>
        <w:t>Urwa</w:t>
      </w:r>
      <w:proofErr w:type="spellEnd"/>
      <w:r>
        <w:rPr>
          <w:rFonts w:ascii="Gentium Plus" w:hAnsi="Gentium Plus"/>
          <w:sz w:val="24"/>
          <w:szCs w:val="24"/>
        </w:rPr>
        <w:t xml:space="preserve"> b. al-</w:t>
      </w:r>
      <w:proofErr w:type="spellStart"/>
      <w:r>
        <w:rPr>
          <w:rFonts w:ascii="Gentium Plus" w:hAnsi="Gentium Plus"/>
          <w:sz w:val="24"/>
          <w:szCs w:val="24"/>
        </w:rPr>
        <w:t>Zubayr</w:t>
      </w:r>
      <w:proofErr w:type="spellEnd"/>
      <w:r>
        <w:rPr>
          <w:rFonts w:ascii="Gentium Plus" w:hAnsi="Gentium Plus"/>
          <w:sz w:val="24"/>
          <w:szCs w:val="24"/>
        </w:rPr>
        <w:t xml:space="preserve"> (d. 94/712–13) are numbered 8–13; the reports ascribed to al- </w:t>
      </w:r>
      <w:proofErr w:type="spellStart"/>
      <w:r>
        <w:rPr>
          <w:rFonts w:ascii="Gentium Plus" w:hAnsi="Gentium Plus"/>
          <w:sz w:val="24"/>
          <w:szCs w:val="24"/>
        </w:rPr>
        <w:t>Suddi</w:t>
      </w:r>
      <w:proofErr w:type="spellEnd"/>
      <w:r>
        <w:rPr>
          <w:rFonts w:ascii="Gentium Plus" w:hAnsi="Gentium Plus"/>
          <w:sz w:val="24"/>
          <w:szCs w:val="24"/>
        </w:rPr>
        <w:t xml:space="preserve">̄ (d. 128/745) are numbered 21–22, while reports 35–44 are ascribed to </w:t>
      </w:r>
      <w:proofErr w:type="spellStart"/>
      <w:r>
        <w:rPr>
          <w:rFonts w:ascii="Gentium Plus" w:hAnsi="Gentium Plus"/>
          <w:sz w:val="24"/>
          <w:szCs w:val="24"/>
        </w:rPr>
        <w:t>Ibn</w:t>
      </w:r>
      <w:proofErr w:type="spellEnd"/>
      <w:r>
        <w:rPr>
          <w:rFonts w:ascii="Gentium Plus" w:hAnsi="Gentium Plus"/>
          <w:sz w:val="24"/>
          <w:szCs w:val="24"/>
        </w:rPr>
        <w:t xml:space="preserve"> ‘</w:t>
      </w:r>
      <w:proofErr w:type="spellStart"/>
      <w:r>
        <w:rPr>
          <w:rFonts w:ascii="Gentium Plus" w:hAnsi="Gentium Plus"/>
          <w:sz w:val="24"/>
          <w:szCs w:val="24"/>
        </w:rPr>
        <w:t>Abbās</w:t>
      </w:r>
      <w:proofErr w:type="spellEnd"/>
      <w:r>
        <w:rPr>
          <w:rFonts w:ascii="Gentium Plus" w:hAnsi="Gentium Plus"/>
          <w:sz w:val="24"/>
          <w:szCs w:val="24"/>
        </w:rPr>
        <w:t xml:space="preserve"> (d. 68/687). The discussion of most (but not all) groups is followed by conclusions, although these sections are more summative then concluding. A concluding discussion of the fifty reports is given at the end of the chapter. </w:t>
      </w:r>
    </w:p>
    <w:p w:rsidR="00B3100B" w:rsidRDefault="00B3100B" w:rsidP="00B3100B">
      <w:pPr>
        <w:pStyle w:val="NormalWeb"/>
      </w:pPr>
      <w:r>
        <w:rPr>
          <w:rFonts w:ascii="Gentium Plus" w:hAnsi="Gentium Plus"/>
          <w:sz w:val="24"/>
          <w:szCs w:val="24"/>
        </w:rPr>
        <w:t xml:space="preserve">The analysis of report 1 is the most detailed, since it includes a full content analysis according to narrative units (e.g., the response of the </w:t>
      </w:r>
      <w:proofErr w:type="spellStart"/>
      <w:r>
        <w:rPr>
          <w:rFonts w:ascii="Gentium Plus" w:hAnsi="Gentium Plus"/>
          <w:sz w:val="24"/>
          <w:szCs w:val="24"/>
        </w:rPr>
        <w:t>Quraysh</w:t>
      </w:r>
      <w:proofErr w:type="spellEnd"/>
      <w:r>
        <w:rPr>
          <w:rFonts w:ascii="Gentium Plus" w:hAnsi="Gentium Plus"/>
          <w:sz w:val="24"/>
          <w:szCs w:val="24"/>
        </w:rPr>
        <w:t xml:space="preserve">), narrative motifs (e.g., the response of the </w:t>
      </w:r>
      <w:proofErr w:type="spellStart"/>
      <w:r>
        <w:rPr>
          <w:rFonts w:ascii="Gentium Plus" w:hAnsi="Gentium Plus"/>
          <w:sz w:val="24"/>
          <w:szCs w:val="24"/>
        </w:rPr>
        <w:t>Quraysh</w:t>
      </w:r>
      <w:proofErr w:type="spellEnd"/>
      <w:r>
        <w:rPr>
          <w:rFonts w:ascii="Gentium Plus" w:hAnsi="Gentium Plus"/>
          <w:sz w:val="24"/>
          <w:szCs w:val="24"/>
        </w:rPr>
        <w:t xml:space="preserve"> was to prostrate themselves), and hermeneutical elaborations (an element in the narrative, which interprets another element, e.g., the persecution by the </w:t>
      </w:r>
      <w:proofErr w:type="spellStart"/>
      <w:r>
        <w:rPr>
          <w:rFonts w:ascii="Gentium Plus" w:hAnsi="Gentium Plus"/>
          <w:sz w:val="24"/>
          <w:szCs w:val="24"/>
        </w:rPr>
        <w:t>Quraysh</w:t>
      </w:r>
      <w:proofErr w:type="spellEnd"/>
      <w:r>
        <w:rPr>
          <w:rFonts w:ascii="Gentium Plus" w:hAnsi="Gentium Plus"/>
          <w:sz w:val="24"/>
          <w:szCs w:val="24"/>
        </w:rPr>
        <w:t xml:space="preserve"> led to Satan’s intervention). This analysis serves as a point of reference for all other reports as well. </w:t>
      </w:r>
    </w:p>
    <w:p w:rsidR="00B3100B" w:rsidRDefault="00B3100B" w:rsidP="00B3100B">
      <w:pPr>
        <w:pStyle w:val="NormalWeb"/>
      </w:pPr>
      <w:r>
        <w:rPr>
          <w:rFonts w:ascii="Gentium Plus" w:hAnsi="Gentium Plus"/>
          <w:sz w:val="24"/>
          <w:szCs w:val="24"/>
        </w:rPr>
        <w:t xml:space="preserve">Ahmed writes explicitly that the first report appears as first due to its length (three pages, 49–51). Opening the chapter with this lengthy narrative enables Ahmed to present at this early point multiple content units and motifs that can be found in other versions of the story. Having presented them, he can move on to the other narrative versions, without needing to introduce new motifs along the way. Even so, and in view of the chronological emphasis of this work, this choice requires an </w:t>
      </w:r>
      <w:proofErr w:type="gramStart"/>
      <w:r>
        <w:rPr>
          <w:rFonts w:ascii="Gentium Plus" w:hAnsi="Gentium Plus"/>
          <w:sz w:val="24"/>
          <w:szCs w:val="24"/>
        </w:rPr>
        <w:t>explanation,</w:t>
      </w:r>
      <w:proofErr w:type="gramEnd"/>
      <w:r>
        <w:rPr>
          <w:rFonts w:ascii="Gentium Plus" w:hAnsi="Gentium Plus"/>
          <w:sz w:val="24"/>
          <w:szCs w:val="24"/>
        </w:rPr>
        <w:t xml:space="preserve"> seeing that narratives often tend to grow longer over time, and a long version of the story could imply it being later rather than earlier. </w:t>
      </w:r>
    </w:p>
    <w:p w:rsidR="00B3100B" w:rsidRDefault="00B3100B" w:rsidP="00B3100B">
      <w:pPr>
        <w:pStyle w:val="NormalWeb"/>
      </w:pPr>
      <w:r>
        <w:rPr>
          <w:rFonts w:ascii="Gentium Plus" w:hAnsi="Gentium Plus"/>
          <w:sz w:val="24"/>
          <w:szCs w:val="24"/>
        </w:rPr>
        <w:t xml:space="preserve">Ahmed’s content analysis leads to a number of significant findings. For example, report 34 (197–202) includes the motif of the Prophet’s repetition of the names of the deities during his recitation of the </w:t>
      </w:r>
      <w:proofErr w:type="spellStart"/>
      <w:r>
        <w:rPr>
          <w:rFonts w:ascii="Gentium Plus" w:hAnsi="Gentium Plus"/>
          <w:sz w:val="24"/>
          <w:szCs w:val="24"/>
        </w:rPr>
        <w:t>qur’ānic</w:t>
      </w:r>
      <w:proofErr w:type="spellEnd"/>
      <w:r>
        <w:rPr>
          <w:rFonts w:ascii="Gentium Plus" w:hAnsi="Gentium Plus"/>
          <w:sz w:val="24"/>
          <w:szCs w:val="24"/>
        </w:rPr>
        <w:t xml:space="preserve"> verses in which these names are mentioned. This motif is </w:t>
      </w:r>
      <w:proofErr w:type="spellStart"/>
      <w:r>
        <w:rPr>
          <w:rFonts w:ascii="Gentium Plus" w:hAnsi="Gentium Plus"/>
          <w:sz w:val="24"/>
          <w:szCs w:val="24"/>
        </w:rPr>
        <w:t>analyzed</w:t>
      </w:r>
      <w:proofErr w:type="spellEnd"/>
      <w:r>
        <w:rPr>
          <w:rFonts w:ascii="Gentium Plus" w:hAnsi="Gentium Plus"/>
          <w:sz w:val="24"/>
          <w:szCs w:val="24"/>
        </w:rPr>
        <w:t xml:space="preserve"> in the context of anthropological data concerning the process of composing oral Arabic poetry. The similarity of the Prophet’s reported action to the production of poetry locates the report in the social and cultural context of early Islam and enables Ahmed to conclude that for the early Islamic community a satanic intervention in the divine revelation would seem natural, since </w:t>
      </w:r>
      <w:proofErr w:type="spellStart"/>
      <w:r>
        <w:rPr>
          <w:rFonts w:ascii="Gentium Plus" w:hAnsi="Gentium Plus"/>
          <w:sz w:val="24"/>
          <w:szCs w:val="24"/>
        </w:rPr>
        <w:t>satans</w:t>
      </w:r>
      <w:proofErr w:type="spellEnd"/>
      <w:r>
        <w:rPr>
          <w:rFonts w:ascii="Gentium Plus" w:hAnsi="Gentium Plus"/>
          <w:sz w:val="24"/>
          <w:szCs w:val="24"/>
        </w:rPr>
        <w:t xml:space="preserve"> (</w:t>
      </w:r>
      <w:proofErr w:type="spellStart"/>
      <w:r>
        <w:rPr>
          <w:rFonts w:ascii="Gentium Plus" w:hAnsi="Gentium Plus"/>
          <w:i/>
          <w:iCs/>
          <w:sz w:val="24"/>
          <w:szCs w:val="24"/>
        </w:rPr>
        <w:t>shayāṭīn</w:t>
      </w:r>
      <w:proofErr w:type="spellEnd"/>
      <w:r>
        <w:rPr>
          <w:rFonts w:ascii="Gentium Plus" w:hAnsi="Gentium Plus"/>
          <w:sz w:val="24"/>
          <w:szCs w:val="24"/>
        </w:rPr>
        <w:t xml:space="preserve">) were perceived as inspiring soothsayers and poets. Also, the </w:t>
      </w:r>
      <w:proofErr w:type="spellStart"/>
      <w:r>
        <w:rPr>
          <w:rFonts w:ascii="Gentium Plus" w:hAnsi="Gentium Plus"/>
          <w:sz w:val="24"/>
          <w:szCs w:val="24"/>
        </w:rPr>
        <w:t>qur’ānic</w:t>
      </w:r>
      <w:proofErr w:type="spellEnd"/>
      <w:r>
        <w:rPr>
          <w:rFonts w:ascii="Gentium Plus" w:hAnsi="Gentium Plus"/>
          <w:sz w:val="24"/>
          <w:szCs w:val="24"/>
        </w:rPr>
        <w:t xml:space="preserve"> text reflects efforts to differentiate prophecy from poetry or demonic possession, and the </w:t>
      </w:r>
      <w:proofErr w:type="spellStart"/>
      <w:r>
        <w:rPr>
          <w:rFonts w:ascii="Gentium Plus" w:hAnsi="Gentium Plus"/>
          <w:sz w:val="24"/>
          <w:szCs w:val="24"/>
        </w:rPr>
        <w:t>Qur’ān</w:t>
      </w:r>
      <w:proofErr w:type="spellEnd"/>
      <w:r>
        <w:rPr>
          <w:rFonts w:ascii="Gentium Plus" w:hAnsi="Gentium Plus"/>
          <w:sz w:val="24"/>
          <w:szCs w:val="24"/>
        </w:rPr>
        <w:t xml:space="preserve"> also identifies both divine revelation and satanic inspiration as </w:t>
      </w:r>
      <w:proofErr w:type="spellStart"/>
      <w:r>
        <w:rPr>
          <w:rFonts w:ascii="Gentium Plus" w:hAnsi="Gentium Plus"/>
          <w:i/>
          <w:iCs/>
          <w:sz w:val="24"/>
          <w:szCs w:val="24"/>
        </w:rPr>
        <w:t>waḥy</w:t>
      </w:r>
      <w:proofErr w:type="spellEnd"/>
      <w:r>
        <w:rPr>
          <w:rFonts w:ascii="Gentium Plus" w:hAnsi="Gentium Plus"/>
          <w:i/>
          <w:iCs/>
          <w:sz w:val="24"/>
          <w:szCs w:val="24"/>
        </w:rPr>
        <w:t xml:space="preserve"> </w:t>
      </w:r>
      <w:r>
        <w:rPr>
          <w:rFonts w:ascii="Gentium Plus" w:hAnsi="Gentium Plus"/>
          <w:sz w:val="24"/>
          <w:szCs w:val="24"/>
        </w:rPr>
        <w:t xml:space="preserve">(inspiration) (Q </w:t>
      </w:r>
      <w:proofErr w:type="spellStart"/>
      <w:r>
        <w:rPr>
          <w:rFonts w:ascii="Gentium Plus" w:hAnsi="Gentium Plus"/>
          <w:sz w:val="24"/>
          <w:szCs w:val="24"/>
        </w:rPr>
        <w:t>Ghāfir</w:t>
      </w:r>
      <w:proofErr w:type="spellEnd"/>
      <w:r>
        <w:rPr>
          <w:rFonts w:ascii="Gentium Plus" w:hAnsi="Gentium Plus"/>
          <w:sz w:val="24"/>
          <w:szCs w:val="24"/>
        </w:rPr>
        <w:t xml:space="preserve"> 40:15, Q </w:t>
      </w:r>
      <w:proofErr w:type="spellStart"/>
      <w:r>
        <w:rPr>
          <w:rFonts w:ascii="Gentium Plus" w:hAnsi="Gentium Plus"/>
          <w:sz w:val="24"/>
          <w:szCs w:val="24"/>
        </w:rPr>
        <w:t>Muzzammil</w:t>
      </w:r>
      <w:proofErr w:type="spellEnd"/>
      <w:r>
        <w:rPr>
          <w:rFonts w:ascii="Gentium Plus" w:hAnsi="Gentium Plus"/>
          <w:sz w:val="24"/>
          <w:szCs w:val="24"/>
        </w:rPr>
        <w:t xml:space="preserve"> 73:5, Q </w:t>
      </w:r>
      <w:proofErr w:type="spellStart"/>
      <w:r>
        <w:rPr>
          <w:rFonts w:ascii="Gentium Plus" w:hAnsi="Gentium Plus"/>
          <w:sz w:val="24"/>
          <w:szCs w:val="24"/>
        </w:rPr>
        <w:t>An‘ām</w:t>
      </w:r>
      <w:proofErr w:type="spellEnd"/>
      <w:r>
        <w:rPr>
          <w:rFonts w:ascii="Gentium Plus" w:hAnsi="Gentium Plus"/>
          <w:sz w:val="24"/>
          <w:szCs w:val="24"/>
        </w:rPr>
        <w:t xml:space="preserve"> 6:112). This then explains why the satanic verses story would have been an acceptable, familiar concept to early Muslims. To this, another motif is </w:t>
      </w:r>
      <w:proofErr w:type="gramStart"/>
      <w:r>
        <w:rPr>
          <w:rFonts w:ascii="Gentium Plus" w:hAnsi="Gentium Plus"/>
          <w:sz w:val="24"/>
          <w:szCs w:val="24"/>
        </w:rPr>
        <w:t>related,</w:t>
      </w:r>
      <w:proofErr w:type="gramEnd"/>
      <w:r>
        <w:rPr>
          <w:rFonts w:ascii="Gentium Plus" w:hAnsi="Gentium Plus"/>
          <w:sz w:val="24"/>
          <w:szCs w:val="24"/>
        </w:rPr>
        <w:t xml:space="preserve"> that what made </w:t>
      </w:r>
      <w:proofErr w:type="spellStart"/>
      <w:r>
        <w:rPr>
          <w:rFonts w:ascii="Gentium Plus" w:hAnsi="Gentium Plus"/>
          <w:sz w:val="24"/>
          <w:szCs w:val="24"/>
        </w:rPr>
        <w:t>Muḥammad</w:t>
      </w:r>
      <w:proofErr w:type="spellEnd"/>
      <w:r>
        <w:rPr>
          <w:rFonts w:ascii="Gentium Plus" w:hAnsi="Gentium Plus"/>
          <w:sz w:val="24"/>
          <w:szCs w:val="24"/>
        </w:rPr>
        <w:t xml:space="preserve"> err was that while Satan interpolated words into the divine revelation, he took the form of the angel Gabriel (report 36, pp. 211–212). In this context Ahmed brings a report from </w:t>
      </w:r>
      <w:proofErr w:type="spellStart"/>
      <w:r>
        <w:rPr>
          <w:rFonts w:ascii="Gentium Plus" w:hAnsi="Gentium Plus"/>
          <w:sz w:val="24"/>
          <w:szCs w:val="24"/>
        </w:rPr>
        <w:t>al-Ṭabari</w:t>
      </w:r>
      <w:proofErr w:type="spellEnd"/>
      <w:r>
        <w:rPr>
          <w:rFonts w:ascii="Gentium Plus" w:hAnsi="Gentium Plus"/>
          <w:sz w:val="24"/>
          <w:szCs w:val="24"/>
        </w:rPr>
        <w:t xml:space="preserve">̄’s commentary to Q Jinn 72:27, that the angel of revelation would appear to </w:t>
      </w:r>
      <w:proofErr w:type="spellStart"/>
      <w:r>
        <w:rPr>
          <w:rFonts w:ascii="Gentium Plus" w:hAnsi="Gentium Plus"/>
          <w:sz w:val="24"/>
          <w:szCs w:val="24"/>
        </w:rPr>
        <w:t>Muḥammad</w:t>
      </w:r>
      <w:proofErr w:type="spellEnd"/>
      <w:r>
        <w:rPr>
          <w:rFonts w:ascii="Gentium Plus" w:hAnsi="Gentium Plus"/>
          <w:sz w:val="24"/>
          <w:szCs w:val="24"/>
        </w:rPr>
        <w:t xml:space="preserve"> along with guarding angels. Ahmed takes this to mean that the Prophet could not independently tell an angel from a </w:t>
      </w:r>
      <w:proofErr w:type="spellStart"/>
      <w:proofErr w:type="gramStart"/>
      <w:r>
        <w:rPr>
          <w:rFonts w:ascii="Gentium Plus" w:hAnsi="Gentium Plus"/>
          <w:sz w:val="24"/>
          <w:szCs w:val="24"/>
        </w:rPr>
        <w:t>satan</w:t>
      </w:r>
      <w:proofErr w:type="spellEnd"/>
      <w:proofErr w:type="gramEnd"/>
      <w:r>
        <w:rPr>
          <w:rFonts w:ascii="Gentium Plus" w:hAnsi="Gentium Plus"/>
          <w:sz w:val="24"/>
          <w:szCs w:val="24"/>
        </w:rPr>
        <w:t xml:space="preserve">. However, the claim that Satan himself took the form of Gabriel could also be understood as an attempt to protect the Prophet’s image and explain his mistake—that is, as a form of softening, if not rejecting, the satanic verses story. The implication that the story might have been criticized already in early Islam is not considered in the book. </w:t>
      </w:r>
    </w:p>
    <w:p w:rsidR="00F30421" w:rsidRDefault="00F30421" w:rsidP="00F30421">
      <w:pPr>
        <w:pStyle w:val="NormalWeb"/>
      </w:pPr>
      <w:r>
        <w:rPr>
          <w:rFonts w:ascii="Gentium Plus" w:hAnsi="Gentium Plus"/>
          <w:sz w:val="24"/>
          <w:szCs w:val="24"/>
        </w:rPr>
        <w:t xml:space="preserve">In this context, it is also worth noting that in reports 37 and 38 the disguised Satan (al- </w:t>
      </w:r>
      <w:proofErr w:type="spellStart"/>
      <w:r>
        <w:rPr>
          <w:rFonts w:ascii="Gentium Plus" w:hAnsi="Gentium Plus"/>
          <w:sz w:val="24"/>
          <w:szCs w:val="24"/>
        </w:rPr>
        <w:t>Shayṭān</w:t>
      </w:r>
      <w:proofErr w:type="spellEnd"/>
      <w:r>
        <w:rPr>
          <w:rFonts w:ascii="Gentium Plus" w:hAnsi="Gentium Plus"/>
          <w:sz w:val="24"/>
          <w:szCs w:val="24"/>
        </w:rPr>
        <w:t xml:space="preserve">) is replaced by a </w:t>
      </w:r>
      <w:proofErr w:type="spellStart"/>
      <w:proofErr w:type="gramStart"/>
      <w:r>
        <w:rPr>
          <w:rFonts w:ascii="Gentium Plus" w:hAnsi="Gentium Plus"/>
          <w:sz w:val="24"/>
          <w:szCs w:val="24"/>
        </w:rPr>
        <w:t>satan</w:t>
      </w:r>
      <w:proofErr w:type="spellEnd"/>
      <w:proofErr w:type="gramEnd"/>
      <w:r>
        <w:rPr>
          <w:rFonts w:ascii="Gentium Plus" w:hAnsi="Gentium Plus"/>
          <w:sz w:val="24"/>
          <w:szCs w:val="24"/>
        </w:rPr>
        <w:t xml:space="preserve"> named al-</w:t>
      </w:r>
      <w:proofErr w:type="spellStart"/>
      <w:r>
        <w:rPr>
          <w:rFonts w:ascii="Gentium Plus" w:hAnsi="Gentium Plus"/>
          <w:sz w:val="24"/>
          <w:szCs w:val="24"/>
        </w:rPr>
        <w:t>Abyad</w:t>
      </w:r>
      <w:proofErr w:type="spellEnd"/>
      <w:r>
        <w:rPr>
          <w:rFonts w:ascii="Gentium Plus" w:hAnsi="Gentium Plus"/>
          <w:sz w:val="24"/>
          <w:szCs w:val="24"/>
        </w:rPr>
        <w:t xml:space="preserve">̣ (The White One). Other narratives are related which describe this </w:t>
      </w:r>
      <w:proofErr w:type="spellStart"/>
      <w:proofErr w:type="gramStart"/>
      <w:r>
        <w:rPr>
          <w:rFonts w:ascii="Gentium Plus" w:hAnsi="Gentium Plus"/>
          <w:sz w:val="24"/>
          <w:szCs w:val="24"/>
        </w:rPr>
        <w:t>satan</w:t>
      </w:r>
      <w:proofErr w:type="spellEnd"/>
      <w:proofErr w:type="gramEnd"/>
      <w:r>
        <w:rPr>
          <w:rFonts w:ascii="Gentium Plus" w:hAnsi="Gentium Plus"/>
          <w:sz w:val="24"/>
          <w:szCs w:val="24"/>
        </w:rPr>
        <w:t xml:space="preserve"> as the companion of prophets who, having attempted to mislead the Prophet through </w:t>
      </w:r>
      <w:proofErr w:type="spellStart"/>
      <w:r>
        <w:rPr>
          <w:rFonts w:ascii="Gentium Plus" w:hAnsi="Gentium Plus"/>
          <w:i/>
          <w:iCs/>
          <w:sz w:val="24"/>
          <w:szCs w:val="24"/>
        </w:rPr>
        <w:t>waḥy</w:t>
      </w:r>
      <w:proofErr w:type="spellEnd"/>
      <w:r>
        <w:rPr>
          <w:rFonts w:ascii="Gentium Plus" w:hAnsi="Gentium Plus"/>
          <w:sz w:val="24"/>
          <w:szCs w:val="24"/>
        </w:rPr>
        <w:t xml:space="preserve">, was expelled from Mecca by Gabriel. In this context, Ahmed notes the demotion from Satan to a </w:t>
      </w:r>
      <w:proofErr w:type="spellStart"/>
      <w:proofErr w:type="gramStart"/>
      <w:r>
        <w:rPr>
          <w:rFonts w:ascii="Gentium Plus" w:hAnsi="Gentium Plus"/>
          <w:sz w:val="24"/>
          <w:szCs w:val="24"/>
        </w:rPr>
        <w:t>satan</w:t>
      </w:r>
      <w:proofErr w:type="spellEnd"/>
      <w:proofErr w:type="gramEnd"/>
      <w:r>
        <w:rPr>
          <w:rFonts w:ascii="Gentium Plus" w:hAnsi="Gentium Plus"/>
          <w:sz w:val="24"/>
          <w:szCs w:val="24"/>
        </w:rPr>
        <w:t>. Al-</w:t>
      </w:r>
      <w:proofErr w:type="spellStart"/>
      <w:r>
        <w:rPr>
          <w:rFonts w:ascii="Gentium Plus" w:hAnsi="Gentium Plus"/>
          <w:sz w:val="24"/>
          <w:szCs w:val="24"/>
        </w:rPr>
        <w:t>Abyad</w:t>
      </w:r>
      <w:proofErr w:type="spellEnd"/>
      <w:r>
        <w:rPr>
          <w:rFonts w:ascii="Gentium Plus" w:hAnsi="Gentium Plus"/>
          <w:sz w:val="24"/>
          <w:szCs w:val="24"/>
        </w:rPr>
        <w:t xml:space="preserve">̣, however, is not a mere </w:t>
      </w:r>
      <w:proofErr w:type="spellStart"/>
      <w:proofErr w:type="gramStart"/>
      <w:r>
        <w:rPr>
          <w:rFonts w:ascii="Gentium Plus" w:hAnsi="Gentium Plus"/>
          <w:sz w:val="24"/>
          <w:szCs w:val="24"/>
        </w:rPr>
        <w:t>satan</w:t>
      </w:r>
      <w:proofErr w:type="spellEnd"/>
      <w:proofErr w:type="gramEnd"/>
      <w:r>
        <w:rPr>
          <w:rFonts w:ascii="Gentium Plus" w:hAnsi="Gentium Plus"/>
          <w:sz w:val="24"/>
          <w:szCs w:val="24"/>
        </w:rPr>
        <w:t xml:space="preserve">, but one of the seven kings of the </w:t>
      </w:r>
      <w:proofErr w:type="spellStart"/>
      <w:r>
        <w:rPr>
          <w:rFonts w:ascii="Gentium Plus" w:hAnsi="Gentium Plus"/>
          <w:sz w:val="24"/>
          <w:szCs w:val="24"/>
        </w:rPr>
        <w:t>satans</w:t>
      </w:r>
      <w:proofErr w:type="spellEnd"/>
      <w:r>
        <w:rPr>
          <w:rFonts w:ascii="Gentium Plus" w:hAnsi="Gentium Plus"/>
          <w:sz w:val="24"/>
          <w:szCs w:val="24"/>
        </w:rPr>
        <w:t>, which suggests that the prominence of Satan is still preserved.</w:t>
      </w:r>
      <w:r>
        <w:rPr>
          <w:rStyle w:val="FootnoteReference"/>
          <w:rFonts w:ascii="Gentium Plus" w:hAnsi="Gentium Plus"/>
          <w:sz w:val="24"/>
          <w:szCs w:val="24"/>
        </w:rPr>
        <w:footnoteReference w:id="1"/>
      </w:r>
      <w:r>
        <w:rPr>
          <w:rFonts w:ascii="Gentium Plus" w:hAnsi="Gentium Plus"/>
          <w:sz w:val="24"/>
          <w:szCs w:val="24"/>
        </w:rPr>
        <w:t xml:space="preserve"> </w:t>
      </w:r>
    </w:p>
    <w:p w:rsidR="00B3100B" w:rsidRDefault="00B3100B" w:rsidP="00F30421">
      <w:pPr>
        <w:pStyle w:val="NormalWeb"/>
      </w:pPr>
      <w:r>
        <w:rPr>
          <w:rFonts w:ascii="Gentium Plus" w:hAnsi="Gentium Plus"/>
          <w:sz w:val="24"/>
          <w:szCs w:val="24"/>
        </w:rPr>
        <w:t>Further examination of other motifs could also benefit the discussion. Similar to the disguised Satan motif, reports which explain that the Prophet erred because he was unmindful (</w:t>
      </w:r>
      <w:proofErr w:type="spellStart"/>
      <w:r>
        <w:rPr>
          <w:rFonts w:ascii="Gentium Plus" w:hAnsi="Gentium Plus"/>
          <w:i/>
          <w:iCs/>
          <w:sz w:val="24"/>
          <w:szCs w:val="24"/>
        </w:rPr>
        <w:t>saha</w:t>
      </w:r>
      <w:proofErr w:type="spellEnd"/>
      <w:r>
        <w:rPr>
          <w:rFonts w:ascii="Gentium Plus" w:hAnsi="Gentium Plus"/>
          <w:i/>
          <w:iCs/>
          <w:sz w:val="24"/>
          <w:szCs w:val="24"/>
        </w:rPr>
        <w:t>̄</w:t>
      </w:r>
      <w:r>
        <w:rPr>
          <w:rFonts w:ascii="Gentium Plus" w:hAnsi="Gentium Plus"/>
          <w:sz w:val="24"/>
          <w:szCs w:val="24"/>
        </w:rPr>
        <w:t xml:space="preserve">), and not because he wished for the persecution against him to cease, are regarded by the author as an innocent first-/seventh-century comment, or a second-/eighth-century theological intervention (report 14, pp. 142–143). The option that this might reflect a first (AH)/ seventh (CE) century theological intervention is not considered. However, this option has support in the text of the report, which describes the Prophet as independently understanding his mistake, without Gabriel’s help (unlike reports 1–13, for example). As is indicated by the author, the fact that the incident occurs during </w:t>
      </w:r>
      <w:proofErr w:type="spellStart"/>
      <w:r>
        <w:rPr>
          <w:rFonts w:ascii="Gentium Plus" w:hAnsi="Gentium Plus"/>
          <w:sz w:val="24"/>
          <w:szCs w:val="24"/>
        </w:rPr>
        <w:t>Muḥammad’s</w:t>
      </w:r>
      <w:proofErr w:type="spellEnd"/>
      <w:r>
        <w:rPr>
          <w:rFonts w:ascii="Gentium Plus" w:hAnsi="Gentium Plus"/>
          <w:sz w:val="24"/>
          <w:szCs w:val="24"/>
        </w:rPr>
        <w:t xml:space="preserve"> recitation of Q 53, rather than during its initial revelation, also allows for reading it as an innocent mistake. Finally, the </w:t>
      </w:r>
      <w:proofErr w:type="spellStart"/>
      <w:r>
        <w:rPr>
          <w:rFonts w:ascii="Gentium Plus" w:hAnsi="Gentium Plus"/>
          <w:i/>
          <w:iCs/>
          <w:sz w:val="24"/>
          <w:szCs w:val="24"/>
        </w:rPr>
        <w:t>isnād</w:t>
      </w:r>
      <w:proofErr w:type="spellEnd"/>
      <w:r>
        <w:rPr>
          <w:rFonts w:ascii="Gentium Plus" w:hAnsi="Gentium Plus"/>
          <w:i/>
          <w:iCs/>
          <w:sz w:val="24"/>
          <w:szCs w:val="24"/>
        </w:rPr>
        <w:t xml:space="preserve"> </w:t>
      </w:r>
      <w:r>
        <w:rPr>
          <w:rFonts w:ascii="Gentium Plus" w:hAnsi="Gentium Plus"/>
          <w:sz w:val="24"/>
          <w:szCs w:val="24"/>
        </w:rPr>
        <w:t xml:space="preserve">of this report is </w:t>
      </w:r>
      <w:proofErr w:type="spellStart"/>
      <w:r>
        <w:rPr>
          <w:rFonts w:ascii="Gentium Plus" w:hAnsi="Gentium Plus"/>
          <w:i/>
          <w:iCs/>
          <w:sz w:val="24"/>
          <w:szCs w:val="24"/>
        </w:rPr>
        <w:t>ṣaḥīh</w:t>
      </w:r>
      <w:proofErr w:type="spellEnd"/>
      <w:r>
        <w:rPr>
          <w:rFonts w:ascii="Gentium Plus" w:hAnsi="Gentium Plus"/>
          <w:i/>
          <w:iCs/>
          <w:sz w:val="24"/>
          <w:szCs w:val="24"/>
        </w:rPr>
        <w:t>̣</w:t>
      </w:r>
      <w:r>
        <w:rPr>
          <w:rFonts w:ascii="Gentium Plus" w:hAnsi="Gentium Plus"/>
          <w:sz w:val="24"/>
          <w:szCs w:val="24"/>
        </w:rPr>
        <w:t xml:space="preserve">. These elements suggest that the report might reflect criticism of the story earlier than mid-second/eighth century, or alternatively that it should be dated to a later period; however, despite including all these elements in his analysis of the report, Ahmed does not explore them and their possible implications. </w:t>
      </w:r>
    </w:p>
    <w:p w:rsidR="00B3100B" w:rsidRDefault="00B3100B" w:rsidP="00B3100B">
      <w:pPr>
        <w:pStyle w:val="NormalWeb"/>
      </w:pPr>
      <w:r>
        <w:rPr>
          <w:rFonts w:ascii="Gentium Plus" w:hAnsi="Gentium Plus"/>
          <w:sz w:val="24"/>
          <w:szCs w:val="24"/>
        </w:rPr>
        <w:t xml:space="preserve">Also, report 43 (231–236), which is ascribed to </w:t>
      </w:r>
      <w:proofErr w:type="spellStart"/>
      <w:r>
        <w:rPr>
          <w:rFonts w:ascii="Gentium Plus" w:hAnsi="Gentium Plus"/>
          <w:sz w:val="24"/>
          <w:szCs w:val="24"/>
        </w:rPr>
        <w:t>Ibn</w:t>
      </w:r>
      <w:proofErr w:type="spellEnd"/>
      <w:r>
        <w:rPr>
          <w:rFonts w:ascii="Gentium Plus" w:hAnsi="Gentium Plus"/>
          <w:sz w:val="24"/>
          <w:szCs w:val="24"/>
        </w:rPr>
        <w:t xml:space="preserve"> ‘</w:t>
      </w:r>
      <w:proofErr w:type="spellStart"/>
      <w:r>
        <w:rPr>
          <w:rFonts w:ascii="Gentium Plus" w:hAnsi="Gentium Plus"/>
          <w:sz w:val="24"/>
          <w:szCs w:val="24"/>
        </w:rPr>
        <w:t>Abbās</w:t>
      </w:r>
      <w:proofErr w:type="spellEnd"/>
      <w:r>
        <w:rPr>
          <w:rFonts w:ascii="Gentium Plus" w:hAnsi="Gentium Plus"/>
          <w:sz w:val="24"/>
          <w:szCs w:val="24"/>
        </w:rPr>
        <w:t xml:space="preserve">, might reflect an edited version of the story. While discussing the cautionary </w:t>
      </w:r>
      <w:proofErr w:type="gramStart"/>
      <w:r>
        <w:rPr>
          <w:rFonts w:ascii="Gentium Plus" w:hAnsi="Gentium Plus"/>
          <w:sz w:val="24"/>
          <w:szCs w:val="24"/>
        </w:rPr>
        <w:t>comment which</w:t>
      </w:r>
      <w:proofErr w:type="gramEnd"/>
      <w:r>
        <w:rPr>
          <w:rFonts w:ascii="Gentium Plus" w:hAnsi="Gentium Plus"/>
          <w:sz w:val="24"/>
          <w:szCs w:val="24"/>
        </w:rPr>
        <w:t xml:space="preserve"> had been added to this report in regards to its </w:t>
      </w:r>
      <w:proofErr w:type="spellStart"/>
      <w:r>
        <w:rPr>
          <w:rFonts w:ascii="Gentium Plus" w:hAnsi="Gentium Plus"/>
          <w:i/>
          <w:iCs/>
          <w:sz w:val="24"/>
          <w:szCs w:val="24"/>
        </w:rPr>
        <w:t>isnād</w:t>
      </w:r>
      <w:proofErr w:type="spellEnd"/>
      <w:r>
        <w:rPr>
          <w:rFonts w:ascii="Gentium Plus" w:hAnsi="Gentium Plus"/>
          <w:sz w:val="24"/>
          <w:szCs w:val="24"/>
        </w:rPr>
        <w:t>, the author does not discuss textual elements which suggest that the text was edited. For example, the report does not mention Satan (rather it says that the verses “ran on the [Prophet’s] tongue”—</w:t>
      </w:r>
      <w:proofErr w:type="spellStart"/>
      <w:r>
        <w:rPr>
          <w:rFonts w:ascii="Gentium Plus" w:hAnsi="Gentium Plus"/>
          <w:i/>
          <w:iCs/>
          <w:sz w:val="24"/>
          <w:szCs w:val="24"/>
        </w:rPr>
        <w:t>jara</w:t>
      </w:r>
      <w:proofErr w:type="spellEnd"/>
      <w:r>
        <w:rPr>
          <w:rFonts w:ascii="Gentium Plus" w:hAnsi="Gentium Plus"/>
          <w:i/>
          <w:iCs/>
          <w:sz w:val="24"/>
          <w:szCs w:val="24"/>
        </w:rPr>
        <w:t>̄ ‘</w:t>
      </w:r>
      <w:proofErr w:type="spellStart"/>
      <w:r>
        <w:rPr>
          <w:rFonts w:ascii="Gentium Plus" w:hAnsi="Gentium Plus"/>
          <w:i/>
          <w:iCs/>
          <w:sz w:val="24"/>
          <w:szCs w:val="24"/>
        </w:rPr>
        <w:t>ala</w:t>
      </w:r>
      <w:proofErr w:type="spellEnd"/>
      <w:r>
        <w:rPr>
          <w:rFonts w:ascii="Gentium Plus" w:hAnsi="Gentium Plus"/>
          <w:i/>
          <w:iCs/>
          <w:sz w:val="24"/>
          <w:szCs w:val="24"/>
        </w:rPr>
        <w:t xml:space="preserve">̄ </w:t>
      </w:r>
      <w:proofErr w:type="spellStart"/>
      <w:r>
        <w:rPr>
          <w:rFonts w:ascii="Gentium Plus" w:hAnsi="Gentium Plus"/>
          <w:i/>
          <w:iCs/>
          <w:sz w:val="24"/>
          <w:szCs w:val="24"/>
        </w:rPr>
        <w:t>lisānihi</w:t>
      </w:r>
      <w:proofErr w:type="spellEnd"/>
      <w:r>
        <w:rPr>
          <w:rFonts w:ascii="Gentium Plus" w:hAnsi="Gentium Plus"/>
          <w:sz w:val="24"/>
          <w:szCs w:val="24"/>
        </w:rPr>
        <w:t xml:space="preserve">); the incident occurs during recitation, rather than revelation; and Gabriel is absent. The author does argue that reports in which the Prophet independently understands his mistake put him in a better position than those in which he needs to be corrected (232–241). A chronological examination of how this change developed could be of interest. </w:t>
      </w:r>
    </w:p>
    <w:p w:rsidR="00B3100B" w:rsidRDefault="00B3100B" w:rsidP="00B3100B">
      <w:pPr>
        <w:pStyle w:val="NormalWeb"/>
      </w:pPr>
      <w:r>
        <w:rPr>
          <w:rFonts w:ascii="Gentium Plus" w:hAnsi="Gentium Plus"/>
          <w:sz w:val="24"/>
          <w:szCs w:val="24"/>
        </w:rPr>
        <w:t xml:space="preserve">A third example concerns three short reports (31–33) that are ascribed to </w:t>
      </w:r>
      <w:proofErr w:type="spellStart"/>
      <w:r>
        <w:rPr>
          <w:rFonts w:ascii="Gentium Plus" w:hAnsi="Gentium Plus"/>
          <w:sz w:val="24"/>
          <w:szCs w:val="24"/>
        </w:rPr>
        <w:t>Mujāhid</w:t>
      </w:r>
      <w:proofErr w:type="spellEnd"/>
      <w:r>
        <w:rPr>
          <w:rFonts w:ascii="Gentium Plus" w:hAnsi="Gentium Plus"/>
          <w:sz w:val="24"/>
          <w:szCs w:val="24"/>
        </w:rPr>
        <w:t xml:space="preserve"> b. </w:t>
      </w:r>
      <w:proofErr w:type="spellStart"/>
      <w:r>
        <w:rPr>
          <w:rFonts w:ascii="Gentium Plus" w:hAnsi="Gentium Plus"/>
          <w:sz w:val="24"/>
          <w:szCs w:val="24"/>
        </w:rPr>
        <w:t>Jabr</w:t>
      </w:r>
      <w:proofErr w:type="spellEnd"/>
      <w:r>
        <w:rPr>
          <w:rFonts w:ascii="Gentium Plus" w:hAnsi="Gentium Plus"/>
          <w:sz w:val="24"/>
          <w:szCs w:val="24"/>
        </w:rPr>
        <w:t xml:space="preserve"> (d. 103/722), in the context of the commentary to Q </w:t>
      </w:r>
      <w:proofErr w:type="spellStart"/>
      <w:r>
        <w:rPr>
          <w:rFonts w:ascii="Gentium Plus" w:hAnsi="Gentium Plus"/>
          <w:sz w:val="24"/>
          <w:szCs w:val="24"/>
        </w:rPr>
        <w:t>Ḥajj</w:t>
      </w:r>
      <w:proofErr w:type="spellEnd"/>
      <w:r>
        <w:rPr>
          <w:rFonts w:ascii="Gentium Plus" w:hAnsi="Gentium Plus"/>
          <w:sz w:val="24"/>
          <w:szCs w:val="24"/>
        </w:rPr>
        <w:t xml:space="preserve"> 22:52, Q </w:t>
      </w:r>
      <w:proofErr w:type="spellStart"/>
      <w:r>
        <w:rPr>
          <w:rFonts w:ascii="Gentium Plus" w:hAnsi="Gentium Plus"/>
          <w:sz w:val="24"/>
          <w:szCs w:val="24"/>
        </w:rPr>
        <w:t>Zumar</w:t>
      </w:r>
      <w:proofErr w:type="spellEnd"/>
      <w:r>
        <w:rPr>
          <w:rFonts w:ascii="Gentium Plus" w:hAnsi="Gentium Plus"/>
          <w:sz w:val="24"/>
          <w:szCs w:val="24"/>
        </w:rPr>
        <w:t xml:space="preserve"> 39:45 and Q </w:t>
      </w:r>
      <w:proofErr w:type="spellStart"/>
      <w:r>
        <w:rPr>
          <w:rFonts w:ascii="Gentium Plus" w:hAnsi="Gentium Plus"/>
          <w:sz w:val="24"/>
          <w:szCs w:val="24"/>
        </w:rPr>
        <w:t>Isra</w:t>
      </w:r>
      <w:proofErr w:type="spellEnd"/>
      <w:r>
        <w:rPr>
          <w:rFonts w:ascii="Gentium Plus" w:hAnsi="Gentium Plus"/>
          <w:sz w:val="24"/>
          <w:szCs w:val="24"/>
        </w:rPr>
        <w:t xml:space="preserve">̄’ 17:73. Ahmed attributes their brevity to the genre of </w:t>
      </w:r>
      <w:proofErr w:type="spellStart"/>
      <w:r>
        <w:rPr>
          <w:rFonts w:ascii="Gentium Plus" w:hAnsi="Gentium Plus"/>
          <w:i/>
          <w:iCs/>
          <w:sz w:val="24"/>
          <w:szCs w:val="24"/>
        </w:rPr>
        <w:t>tafsīr</w:t>
      </w:r>
      <w:proofErr w:type="spellEnd"/>
      <w:r>
        <w:rPr>
          <w:rFonts w:ascii="Gentium Plus" w:hAnsi="Gentium Plus"/>
          <w:sz w:val="24"/>
          <w:szCs w:val="24"/>
        </w:rPr>
        <w:t xml:space="preserve">, in which reports are not required to relate to a clear full chronological context, as in the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literature (261). Even so, that two of these reports altogether omit the verses that Satan introduced into </w:t>
      </w:r>
      <w:proofErr w:type="spellStart"/>
      <w:r>
        <w:rPr>
          <w:rFonts w:ascii="Gentium Plus" w:hAnsi="Gentium Plus"/>
          <w:sz w:val="24"/>
          <w:szCs w:val="24"/>
        </w:rPr>
        <w:t>Muḥammad’s</w:t>
      </w:r>
      <w:proofErr w:type="spellEnd"/>
      <w:r>
        <w:rPr>
          <w:rFonts w:ascii="Gentium Plus" w:hAnsi="Gentium Plus"/>
          <w:sz w:val="24"/>
          <w:szCs w:val="24"/>
        </w:rPr>
        <w:t xml:space="preserve"> speech, whereas the third (32) has only an abbreviated version (“these are the high flying cranes”), and omits any reference to the deities as intercessors, seems significant. Seeing that </w:t>
      </w:r>
      <w:proofErr w:type="spellStart"/>
      <w:r>
        <w:rPr>
          <w:rFonts w:ascii="Gentium Plus" w:hAnsi="Gentium Plus"/>
          <w:sz w:val="24"/>
          <w:szCs w:val="24"/>
        </w:rPr>
        <w:t>Mujāhid</w:t>
      </w:r>
      <w:proofErr w:type="spellEnd"/>
      <w:r>
        <w:rPr>
          <w:rFonts w:ascii="Gentium Plus" w:hAnsi="Gentium Plus"/>
          <w:sz w:val="24"/>
          <w:szCs w:val="24"/>
        </w:rPr>
        <w:t xml:space="preserve"> was acknowledged as an acceptable </w:t>
      </w:r>
      <w:proofErr w:type="spellStart"/>
      <w:r>
        <w:rPr>
          <w:rFonts w:ascii="Gentium Plus" w:hAnsi="Gentium Plus"/>
          <w:i/>
          <w:iCs/>
          <w:sz w:val="24"/>
          <w:szCs w:val="24"/>
        </w:rPr>
        <w:t>muḥaddith</w:t>
      </w:r>
      <w:proofErr w:type="spellEnd"/>
      <w:r>
        <w:rPr>
          <w:rFonts w:ascii="Gentium Plus" w:hAnsi="Gentium Plus"/>
          <w:sz w:val="24"/>
          <w:szCs w:val="24"/>
        </w:rPr>
        <w:t xml:space="preserve">, it is worth considering that this report might reflect an early criticism of the story, or alternatively, should be dated to a later period. </w:t>
      </w:r>
    </w:p>
    <w:p w:rsidR="00B3100B" w:rsidRDefault="00B3100B" w:rsidP="00B3100B">
      <w:pPr>
        <w:pStyle w:val="NormalWeb"/>
      </w:pPr>
      <w:r>
        <w:rPr>
          <w:rFonts w:ascii="Gentium Plus" w:hAnsi="Gentium Plus"/>
          <w:sz w:val="24"/>
          <w:szCs w:val="24"/>
        </w:rPr>
        <w:t xml:space="preserve">Ahmed applies critical views of the story only to a few stories, which he regards as reflecting the views of </w:t>
      </w:r>
      <w:proofErr w:type="spellStart"/>
      <w:r>
        <w:rPr>
          <w:rFonts w:ascii="Gentium Plus" w:hAnsi="Gentium Plus"/>
          <w:i/>
          <w:iCs/>
          <w:sz w:val="24"/>
          <w:szCs w:val="24"/>
        </w:rPr>
        <w:t>hadīth</w:t>
      </w:r>
      <w:proofErr w:type="spellEnd"/>
      <w:r>
        <w:rPr>
          <w:rFonts w:ascii="Gentium Plus" w:hAnsi="Gentium Plus"/>
          <w:i/>
          <w:iCs/>
          <w:sz w:val="24"/>
          <w:szCs w:val="24"/>
        </w:rPr>
        <w:t xml:space="preserve"> </w:t>
      </w:r>
      <w:r>
        <w:rPr>
          <w:rFonts w:ascii="Gentium Plus" w:hAnsi="Gentium Plus"/>
          <w:sz w:val="24"/>
          <w:szCs w:val="24"/>
        </w:rPr>
        <w:t xml:space="preserve">scholars from around 150/767. In addition to the formerly mentioned reports 43–44, he regards report 9, transmitted by </w:t>
      </w:r>
      <w:proofErr w:type="spellStart"/>
      <w:r>
        <w:rPr>
          <w:rFonts w:ascii="Gentium Plus" w:hAnsi="Gentium Plus"/>
          <w:i/>
          <w:iCs/>
          <w:sz w:val="24"/>
          <w:szCs w:val="24"/>
        </w:rPr>
        <w:t>muḥaddithūn</w:t>
      </w:r>
      <w:proofErr w:type="spellEnd"/>
      <w:r>
        <w:rPr>
          <w:rFonts w:ascii="Gentium Plus" w:hAnsi="Gentium Plus"/>
          <w:sz w:val="24"/>
          <w:szCs w:val="24"/>
        </w:rPr>
        <w:t xml:space="preserve">, as including an attempt to manipulate the text in a way that makes it uncertain whether the Prophet actually did utter the verses. Reports 49–50, which are ascribed to </w:t>
      </w:r>
      <w:proofErr w:type="spellStart"/>
      <w:r>
        <w:rPr>
          <w:rFonts w:ascii="Gentium Plus" w:hAnsi="Gentium Plus"/>
          <w:sz w:val="24"/>
          <w:szCs w:val="24"/>
        </w:rPr>
        <w:t>Ḥasan</w:t>
      </w:r>
      <w:proofErr w:type="spellEnd"/>
      <w:r>
        <w:rPr>
          <w:rFonts w:ascii="Gentium Plus" w:hAnsi="Gentium Plus"/>
          <w:sz w:val="24"/>
          <w:szCs w:val="24"/>
        </w:rPr>
        <w:t xml:space="preserve"> </w:t>
      </w:r>
      <w:proofErr w:type="spellStart"/>
      <w:r>
        <w:rPr>
          <w:rFonts w:ascii="Gentium Plus" w:hAnsi="Gentium Plus"/>
          <w:sz w:val="24"/>
          <w:szCs w:val="24"/>
        </w:rPr>
        <w:t>al-Baṣri</w:t>
      </w:r>
      <w:proofErr w:type="spellEnd"/>
      <w:r>
        <w:rPr>
          <w:rFonts w:ascii="Gentium Plus" w:hAnsi="Gentium Plus"/>
          <w:sz w:val="24"/>
          <w:szCs w:val="24"/>
        </w:rPr>
        <w:t xml:space="preserve">̄ (d. 110/728), he regards as the earliest criticism of the story. Regardless of the validity of their </w:t>
      </w:r>
      <w:proofErr w:type="spellStart"/>
      <w:r>
        <w:rPr>
          <w:rFonts w:ascii="Gentium Plus" w:hAnsi="Gentium Plus"/>
          <w:i/>
          <w:iCs/>
          <w:sz w:val="24"/>
          <w:szCs w:val="24"/>
        </w:rPr>
        <w:t>isnād</w:t>
      </w:r>
      <w:r>
        <w:rPr>
          <w:rFonts w:ascii="Gentium Plus" w:hAnsi="Gentium Plus"/>
          <w:sz w:val="24"/>
          <w:szCs w:val="24"/>
        </w:rPr>
        <w:t>s</w:t>
      </w:r>
      <w:proofErr w:type="spellEnd"/>
      <w:r>
        <w:rPr>
          <w:rFonts w:ascii="Gentium Plus" w:hAnsi="Gentium Plus"/>
          <w:sz w:val="24"/>
          <w:szCs w:val="24"/>
        </w:rPr>
        <w:t xml:space="preserve">, he indicates that they contain critical comments; for example, when the Prophet spoke positively of the deities, he was referring only to the </w:t>
      </w:r>
      <w:proofErr w:type="spellStart"/>
      <w:r>
        <w:rPr>
          <w:rFonts w:ascii="Gentium Plus" w:hAnsi="Gentium Plus"/>
          <w:sz w:val="24"/>
          <w:szCs w:val="24"/>
        </w:rPr>
        <w:t>Quraysh’s</w:t>
      </w:r>
      <w:proofErr w:type="spellEnd"/>
      <w:r>
        <w:rPr>
          <w:rFonts w:ascii="Gentium Plus" w:hAnsi="Gentium Plus"/>
          <w:sz w:val="24"/>
          <w:szCs w:val="24"/>
        </w:rPr>
        <w:t xml:space="preserve"> view of them (254). However, as indicated above, other reports can also be understood as reflecting levels of criticism or at least moderation of the satanic verses concept, through the actual words of the report, and not necessarily through added comments. </w:t>
      </w:r>
    </w:p>
    <w:p w:rsidR="00B3100B" w:rsidRDefault="00B3100B" w:rsidP="00B3100B">
      <w:pPr>
        <w:pStyle w:val="NormalWeb"/>
      </w:pPr>
      <w:r>
        <w:rPr>
          <w:rFonts w:ascii="Gentium Plus" w:hAnsi="Gentium Plus"/>
          <w:sz w:val="24"/>
          <w:szCs w:val="24"/>
        </w:rPr>
        <w:t xml:space="preserve">Possibly due to the emphasis in this chapter on textual analysis, scholarly discussions are sometimes located in the extensive footnotes (e.g., pp. 257–258 n. 615). Discussions of other scholarly works are sometimes confined to the footnotes as well. For example, in the analysis of report 1 (52–72), the discussion of </w:t>
      </w:r>
      <w:proofErr w:type="spellStart"/>
      <w:r>
        <w:rPr>
          <w:rFonts w:ascii="Gentium Plus" w:hAnsi="Gentium Plus"/>
          <w:sz w:val="24"/>
          <w:szCs w:val="24"/>
        </w:rPr>
        <w:t>Allāt</w:t>
      </w:r>
      <w:proofErr w:type="spellEnd"/>
      <w:r>
        <w:rPr>
          <w:rFonts w:ascii="Gentium Plus" w:hAnsi="Gentium Plus"/>
          <w:sz w:val="24"/>
          <w:szCs w:val="24"/>
        </w:rPr>
        <w:t xml:space="preserve">, </w:t>
      </w:r>
      <w:proofErr w:type="spellStart"/>
      <w:r>
        <w:rPr>
          <w:rFonts w:ascii="Gentium Plus" w:hAnsi="Gentium Plus"/>
          <w:sz w:val="24"/>
          <w:szCs w:val="24"/>
        </w:rPr>
        <w:t>Manāt</w:t>
      </w:r>
      <w:proofErr w:type="spellEnd"/>
      <w:r>
        <w:rPr>
          <w:rFonts w:ascii="Gentium Plus" w:hAnsi="Gentium Plus"/>
          <w:sz w:val="24"/>
          <w:szCs w:val="24"/>
        </w:rPr>
        <w:t>, and al-‘</w:t>
      </w:r>
      <w:proofErr w:type="spellStart"/>
      <w:r>
        <w:rPr>
          <w:rFonts w:ascii="Gentium Plus" w:hAnsi="Gentium Plus"/>
          <w:sz w:val="24"/>
          <w:szCs w:val="24"/>
        </w:rPr>
        <w:t>Uzza</w:t>
      </w:r>
      <w:proofErr w:type="spellEnd"/>
      <w:r>
        <w:rPr>
          <w:rFonts w:ascii="Gentium Plus" w:hAnsi="Gentium Plus"/>
          <w:sz w:val="24"/>
          <w:szCs w:val="24"/>
        </w:rPr>
        <w:t xml:space="preserve">̄ as pre-Islamic deities mentions G. R. </w:t>
      </w:r>
      <w:proofErr w:type="spellStart"/>
      <w:r>
        <w:rPr>
          <w:rFonts w:ascii="Gentium Plus" w:hAnsi="Gentium Plus"/>
          <w:sz w:val="24"/>
          <w:szCs w:val="24"/>
        </w:rPr>
        <w:t>Hawting’s</w:t>
      </w:r>
      <w:proofErr w:type="spellEnd"/>
      <w:r>
        <w:rPr>
          <w:rFonts w:ascii="Gentium Plus" w:hAnsi="Gentium Plus"/>
          <w:sz w:val="24"/>
          <w:szCs w:val="24"/>
        </w:rPr>
        <w:t xml:space="preserve"> noteworthy discussion on these deities only in a footnote (59 n. 44), where it is offered as a suggestion for reading a “hyper-</w:t>
      </w:r>
      <w:proofErr w:type="spellStart"/>
      <w:r>
        <w:rPr>
          <w:rFonts w:ascii="Gentium Plus" w:hAnsi="Gentium Plus"/>
          <w:sz w:val="24"/>
          <w:szCs w:val="24"/>
        </w:rPr>
        <w:t>skeptical</w:t>
      </w:r>
      <w:proofErr w:type="spellEnd"/>
      <w:r>
        <w:rPr>
          <w:rFonts w:ascii="Gentium Plus" w:hAnsi="Gentium Plus"/>
          <w:sz w:val="24"/>
          <w:szCs w:val="24"/>
        </w:rPr>
        <w:t xml:space="preserve"> view,” with no specification of the actual argument regarding the three deities.</w:t>
      </w:r>
      <w:r>
        <w:rPr>
          <w:rFonts w:ascii="Gentium Plus" w:hAnsi="Gentium Plus"/>
          <w:position w:val="10"/>
          <w:sz w:val="14"/>
          <w:szCs w:val="14"/>
        </w:rPr>
        <w:t xml:space="preserve">2 </w:t>
      </w:r>
      <w:proofErr w:type="spellStart"/>
      <w:r>
        <w:rPr>
          <w:rFonts w:ascii="Gentium Plus" w:hAnsi="Gentium Plus"/>
          <w:sz w:val="24"/>
          <w:szCs w:val="24"/>
        </w:rPr>
        <w:t>Hawting’s</w:t>
      </w:r>
      <w:proofErr w:type="spellEnd"/>
      <w:r>
        <w:rPr>
          <w:rFonts w:ascii="Gentium Plus" w:hAnsi="Gentium Plus"/>
          <w:sz w:val="24"/>
          <w:szCs w:val="24"/>
        </w:rPr>
        <w:t xml:space="preserve"> work would seem relevant also to the discussion of the identification of these deities as angels (185–187); alas it is not mentioned there either. </w:t>
      </w:r>
    </w:p>
    <w:p w:rsidR="00B3100B" w:rsidRDefault="00B3100B" w:rsidP="00B3100B">
      <w:pPr>
        <w:pStyle w:val="NormalWeb"/>
      </w:pPr>
      <w:r>
        <w:rPr>
          <w:rFonts w:ascii="Gentium Plus" w:hAnsi="Gentium Plus"/>
          <w:sz w:val="24"/>
          <w:szCs w:val="24"/>
        </w:rPr>
        <w:t xml:space="preserve">The conclusions of chapter 2 (246–264) depict the satanic verses story as a standard element in the early Islamic community’s memory of </w:t>
      </w:r>
      <w:proofErr w:type="spellStart"/>
      <w:r>
        <w:rPr>
          <w:rFonts w:ascii="Gentium Plus" w:hAnsi="Gentium Plus"/>
          <w:sz w:val="24"/>
          <w:szCs w:val="24"/>
        </w:rPr>
        <w:t>Muḥammad</w:t>
      </w:r>
      <w:proofErr w:type="spellEnd"/>
      <w:r>
        <w:rPr>
          <w:rFonts w:ascii="Gentium Plus" w:hAnsi="Gentium Plus"/>
          <w:sz w:val="24"/>
          <w:szCs w:val="24"/>
        </w:rPr>
        <w:t xml:space="preserve">, and appears in </w:t>
      </w:r>
      <w:proofErr w:type="gramStart"/>
      <w:r>
        <w:rPr>
          <w:rFonts w:ascii="Gentium Plus" w:hAnsi="Gentium Plus"/>
          <w:sz w:val="24"/>
          <w:szCs w:val="24"/>
        </w:rPr>
        <w:t>all important</w:t>
      </w:r>
      <w:proofErr w:type="gramEnd"/>
      <w:r>
        <w:rPr>
          <w:rFonts w:ascii="Gentium Plus" w:hAnsi="Gentium Plus"/>
          <w:sz w:val="24"/>
          <w:szCs w:val="24"/>
        </w:rPr>
        <w:t xml:space="preserve"> biographies of the Prophet from the first two centuries of Islam. It was also preserved by the main </w:t>
      </w:r>
      <w:proofErr w:type="spellStart"/>
      <w:r>
        <w:rPr>
          <w:rFonts w:ascii="Gentium Plus" w:hAnsi="Gentium Plus"/>
          <w:sz w:val="24"/>
          <w:szCs w:val="24"/>
        </w:rPr>
        <w:t>Qur’ān</w:t>
      </w:r>
      <w:proofErr w:type="spellEnd"/>
      <w:r>
        <w:rPr>
          <w:rFonts w:ascii="Gentium Plus" w:hAnsi="Gentium Plus"/>
          <w:sz w:val="24"/>
          <w:szCs w:val="24"/>
        </w:rPr>
        <w:t xml:space="preserve"> commentators of the first two centuries. Ahmed notes that </w:t>
      </w:r>
      <w:proofErr w:type="gramStart"/>
      <w:r>
        <w:rPr>
          <w:rFonts w:ascii="Gentium Plus" w:hAnsi="Gentium Plus"/>
          <w:sz w:val="24"/>
          <w:szCs w:val="24"/>
        </w:rPr>
        <w:t>the story is related by transmitters</w:t>
      </w:r>
      <w:proofErr w:type="gramEnd"/>
      <w:r>
        <w:rPr>
          <w:rFonts w:ascii="Gentium Plus" w:hAnsi="Gentium Plus"/>
          <w:sz w:val="24"/>
          <w:szCs w:val="24"/>
        </w:rPr>
        <w:t xml:space="preserve"> from the late first and early second centuries; however, the absence of early first century transmitters and its possible meanings are not discussed. Ahmed also concludes that the story is absent from canonical </w:t>
      </w:r>
      <w:proofErr w:type="spellStart"/>
      <w:r>
        <w:rPr>
          <w:rFonts w:ascii="Gentium Plus" w:hAnsi="Gentium Plus"/>
          <w:i/>
          <w:iCs/>
          <w:sz w:val="24"/>
          <w:szCs w:val="24"/>
        </w:rPr>
        <w:t>ḥadīth</w:t>
      </w:r>
      <w:proofErr w:type="spellEnd"/>
      <w:r>
        <w:rPr>
          <w:rFonts w:ascii="Gentium Plus" w:hAnsi="Gentium Plus"/>
          <w:i/>
          <w:iCs/>
          <w:sz w:val="24"/>
          <w:szCs w:val="24"/>
        </w:rPr>
        <w:t xml:space="preserve"> </w:t>
      </w:r>
      <w:r>
        <w:rPr>
          <w:rFonts w:ascii="Gentium Plus" w:hAnsi="Gentium Plus"/>
          <w:sz w:val="24"/>
          <w:szCs w:val="24"/>
        </w:rPr>
        <w:t>literature (although this has been noted by other scholars as well).</w:t>
      </w:r>
      <w:r>
        <w:rPr>
          <w:rFonts w:ascii="Gentium Plus" w:hAnsi="Gentium Plus"/>
          <w:position w:val="10"/>
          <w:sz w:val="14"/>
          <w:szCs w:val="14"/>
        </w:rPr>
        <w:t xml:space="preserve">3 </w:t>
      </w:r>
      <w:r>
        <w:rPr>
          <w:rFonts w:ascii="Gentium Plus" w:hAnsi="Gentium Plus"/>
          <w:sz w:val="24"/>
          <w:szCs w:val="24"/>
        </w:rPr>
        <w:t xml:space="preserve">In terms of the questions that the analysis aims to answer, the reports up until the early second century agree that the Prophet did utter the verses. The author regards the few reports that are ambiguous about this as having been changed at a later time (9 and 10 in regards to 8, 26 in regards to 25). The main cause suggested for the utterance is the Prophet’s desire to reconcile with the </w:t>
      </w:r>
      <w:proofErr w:type="spellStart"/>
      <w:r>
        <w:rPr>
          <w:rFonts w:ascii="Gentium Plus" w:hAnsi="Gentium Plus"/>
          <w:sz w:val="24"/>
          <w:szCs w:val="24"/>
        </w:rPr>
        <w:t>Quraysh</w:t>
      </w:r>
      <w:proofErr w:type="spellEnd"/>
      <w:r>
        <w:rPr>
          <w:rFonts w:ascii="Gentium Plus" w:hAnsi="Gentium Plus"/>
          <w:sz w:val="24"/>
          <w:szCs w:val="24"/>
        </w:rPr>
        <w:t xml:space="preserve"> and/or accept their reconciliation proposal, that is: to end their persecution against him. Some reports speak only of the Prophet’s desire (with no reference to any persecution) as a sufficient cause in itself for uttering the verses; or of </w:t>
      </w:r>
      <w:proofErr w:type="spellStart"/>
      <w:r>
        <w:rPr>
          <w:rFonts w:ascii="Gentium Plus" w:hAnsi="Gentium Plus"/>
          <w:sz w:val="24"/>
          <w:szCs w:val="24"/>
        </w:rPr>
        <w:t>Muḥammad</w:t>
      </w:r>
      <w:proofErr w:type="spellEnd"/>
      <w:r>
        <w:rPr>
          <w:rFonts w:ascii="Gentium Plus" w:hAnsi="Gentium Plus"/>
          <w:sz w:val="24"/>
          <w:szCs w:val="24"/>
        </w:rPr>
        <w:t xml:space="preserve"> being unmindful, or drowsy during prayer. The mistake is also related sometimes to Satan appearing in the form of Gabriel. The Prophet is usually described as being unaware of his mistake until Gabriel corrects him. As for whether the incident took place during the revelation of </w:t>
      </w:r>
      <w:proofErr w:type="spellStart"/>
      <w:r>
        <w:rPr>
          <w:rFonts w:ascii="Gentium Plus" w:hAnsi="Gentium Plus"/>
          <w:sz w:val="24"/>
          <w:szCs w:val="24"/>
        </w:rPr>
        <w:t>Sūrat</w:t>
      </w:r>
      <w:proofErr w:type="spellEnd"/>
      <w:r>
        <w:rPr>
          <w:rFonts w:ascii="Gentium Plus" w:hAnsi="Gentium Plus"/>
          <w:sz w:val="24"/>
          <w:szCs w:val="24"/>
        </w:rPr>
        <w:t xml:space="preserve"> al-</w:t>
      </w:r>
      <w:proofErr w:type="spellStart"/>
      <w:r>
        <w:rPr>
          <w:rFonts w:ascii="Gentium Plus" w:hAnsi="Gentium Plus"/>
          <w:sz w:val="24"/>
          <w:szCs w:val="24"/>
        </w:rPr>
        <w:t>Najm</w:t>
      </w:r>
      <w:proofErr w:type="spellEnd"/>
      <w:r>
        <w:rPr>
          <w:rFonts w:ascii="Gentium Plus" w:hAnsi="Gentium Plus"/>
          <w:sz w:val="24"/>
          <w:szCs w:val="24"/>
        </w:rPr>
        <w:t xml:space="preserve">, or during its casual recitation, Ahmed regards this as insignificant (263). This is surprising, seeing that this difference too, represents different views concerning the extent of the satanic intervention and prophetic mistake—is it a simple confusion, or an actual satanic intervention with implications regarding the validity of the divine revelation. </w:t>
      </w:r>
    </w:p>
    <w:p w:rsidR="00B3100B" w:rsidRDefault="00B3100B" w:rsidP="00B3100B">
      <w:pPr>
        <w:pStyle w:val="NormalWeb"/>
      </w:pPr>
      <w:r>
        <w:rPr>
          <w:rFonts w:ascii="Gentium Plus" w:hAnsi="Gentium Plus"/>
          <w:sz w:val="24"/>
          <w:szCs w:val="24"/>
        </w:rPr>
        <w:t xml:space="preserve">Finally, chapter 3 (“Why Did the Early Muslim Community Accept the Satanic Verses Incident as Truth?”) seeks to explore the question that is presented in its title. It repeats the conclusion that the story was a widely circulated, standard element in the biography of </w:t>
      </w:r>
      <w:proofErr w:type="spellStart"/>
      <w:r>
        <w:rPr>
          <w:rFonts w:ascii="Gentium Plus" w:hAnsi="Gentium Plus"/>
          <w:sz w:val="24"/>
          <w:szCs w:val="24"/>
        </w:rPr>
        <w:t>Muḥammad</w:t>
      </w:r>
      <w:proofErr w:type="spellEnd"/>
      <w:r>
        <w:rPr>
          <w:rFonts w:ascii="Gentium Plus" w:hAnsi="Gentium Plus"/>
          <w:sz w:val="24"/>
          <w:szCs w:val="24"/>
        </w:rPr>
        <w:t xml:space="preserve"> during the first 200 years of Islam. This is demonstrated through the identity of the transmitters, many of whom were </w:t>
      </w:r>
      <w:proofErr w:type="spellStart"/>
      <w:r>
        <w:rPr>
          <w:rFonts w:ascii="Gentium Plus" w:hAnsi="Gentium Plus"/>
          <w:i/>
          <w:iCs/>
          <w:sz w:val="24"/>
          <w:szCs w:val="24"/>
        </w:rPr>
        <w:t>quṣṣās</w:t>
      </w:r>
      <w:proofErr w:type="spellEnd"/>
      <w:r>
        <w:rPr>
          <w:rFonts w:ascii="Gentium Plus" w:hAnsi="Gentium Plus"/>
          <w:i/>
          <w:iCs/>
          <w:sz w:val="24"/>
          <w:szCs w:val="24"/>
        </w:rPr>
        <w:t>̣</w:t>
      </w:r>
      <w:r>
        <w:rPr>
          <w:rFonts w:ascii="Gentium Plus" w:hAnsi="Gentium Plus"/>
          <w:sz w:val="24"/>
          <w:szCs w:val="24"/>
        </w:rPr>
        <w:t xml:space="preserve">, with a broad, popular dissemination; by contrast, the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works which include the story were composed by scholars who were closely related to the </w:t>
      </w:r>
      <w:proofErr w:type="spellStart"/>
      <w:r>
        <w:rPr>
          <w:rFonts w:ascii="Gentium Plus" w:hAnsi="Gentium Plus"/>
          <w:sz w:val="24"/>
          <w:szCs w:val="24"/>
        </w:rPr>
        <w:t>caliphal</w:t>
      </w:r>
      <w:proofErr w:type="spellEnd"/>
      <w:r>
        <w:rPr>
          <w:rFonts w:ascii="Gentium Plus" w:hAnsi="Gentium Plus"/>
          <w:sz w:val="24"/>
          <w:szCs w:val="24"/>
        </w:rPr>
        <w:t xml:space="preserve"> court and the circles attached to it. The story fit well into early </w:t>
      </w:r>
      <w:proofErr w:type="spellStart"/>
      <w:r>
        <w:rPr>
          <w:rFonts w:ascii="Gentium Plus" w:hAnsi="Gentium Plus"/>
          <w:i/>
          <w:iCs/>
          <w:sz w:val="24"/>
          <w:szCs w:val="24"/>
        </w:rPr>
        <w:t>sīrah</w:t>
      </w:r>
      <w:proofErr w:type="spellEnd"/>
      <w:r>
        <w:rPr>
          <w:rFonts w:ascii="Gentium Plus" w:hAnsi="Gentium Plus"/>
          <w:i/>
          <w:iCs/>
          <w:sz w:val="24"/>
          <w:szCs w:val="24"/>
        </w:rPr>
        <w:t>-</w:t>
      </w:r>
      <w:r w:rsidRPr="00B3100B">
        <w:rPr>
          <w:rFonts w:ascii="Gentium Plus" w:hAnsi="Gentium Plus"/>
          <w:i/>
          <w:iCs/>
        </w:rPr>
        <w:t xml:space="preserve"> </w:t>
      </w:r>
      <w:proofErr w:type="spellStart"/>
      <w:r>
        <w:rPr>
          <w:rFonts w:ascii="Gentium Plus" w:hAnsi="Gentium Plus"/>
          <w:i/>
          <w:iCs/>
          <w:sz w:val="24"/>
          <w:szCs w:val="24"/>
        </w:rPr>
        <w:t>maghāzi</w:t>
      </w:r>
      <w:proofErr w:type="spellEnd"/>
      <w:r>
        <w:rPr>
          <w:rFonts w:ascii="Gentium Plus" w:hAnsi="Gentium Plus"/>
          <w:i/>
          <w:iCs/>
          <w:sz w:val="24"/>
          <w:szCs w:val="24"/>
        </w:rPr>
        <w:t xml:space="preserve">̄ </w:t>
      </w:r>
      <w:r>
        <w:rPr>
          <w:rFonts w:ascii="Gentium Plus" w:hAnsi="Gentium Plus"/>
          <w:sz w:val="24"/>
          <w:szCs w:val="24"/>
        </w:rPr>
        <w:t xml:space="preserve">literature, which Ahmed depicts as moral-historical epics: the Prophet of noble origins and a disadvantaged childhood is a vulnerable orphan who grows up to be acknowledged as a person of virtue but lacking fortune or power. As a prophet he is rejected and persecuted, and only in exile is salvation achieved. Within this context, the satanic verses story demonstrates the suffering of the epic hero and the Islamic community, a trying situation from which they emerged fortified. The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thus did not require an infallible prophet, but rather the possibility for things to go wrong, for dramatic moments to occur. However, despite the obvious emphasis in the </w:t>
      </w:r>
      <w:proofErr w:type="spellStart"/>
      <w:r>
        <w:rPr>
          <w:rFonts w:ascii="Gentium Plus" w:hAnsi="Gentium Plus"/>
          <w:i/>
          <w:iCs/>
          <w:sz w:val="24"/>
          <w:szCs w:val="24"/>
        </w:rPr>
        <w:t>sīrah-maghāzi</w:t>
      </w:r>
      <w:proofErr w:type="spellEnd"/>
      <w:r>
        <w:rPr>
          <w:rFonts w:ascii="Gentium Plus" w:hAnsi="Gentium Plus"/>
          <w:i/>
          <w:iCs/>
          <w:sz w:val="24"/>
          <w:szCs w:val="24"/>
        </w:rPr>
        <w:t xml:space="preserve">̄ </w:t>
      </w:r>
      <w:r>
        <w:rPr>
          <w:rFonts w:ascii="Gentium Plus" w:hAnsi="Gentium Plus"/>
          <w:sz w:val="24"/>
          <w:szCs w:val="24"/>
        </w:rPr>
        <w:t xml:space="preserve">on the figure of </w:t>
      </w:r>
      <w:proofErr w:type="spellStart"/>
      <w:r>
        <w:rPr>
          <w:rFonts w:ascii="Gentium Plus" w:hAnsi="Gentium Plus"/>
          <w:sz w:val="24"/>
          <w:szCs w:val="24"/>
        </w:rPr>
        <w:t>Muḥammad</w:t>
      </w:r>
      <w:proofErr w:type="spellEnd"/>
      <w:r>
        <w:rPr>
          <w:rFonts w:ascii="Gentium Plus" w:hAnsi="Gentium Plus"/>
          <w:sz w:val="24"/>
          <w:szCs w:val="24"/>
        </w:rPr>
        <w:t xml:space="preserve">, its epic character is perhaps less dramatic. </w:t>
      </w:r>
      <w:proofErr w:type="spellStart"/>
      <w:r>
        <w:rPr>
          <w:rFonts w:ascii="Gentium Plus" w:hAnsi="Gentium Plus"/>
          <w:sz w:val="24"/>
          <w:szCs w:val="24"/>
        </w:rPr>
        <w:t>Birkeland</w:t>
      </w:r>
      <w:proofErr w:type="spellEnd"/>
      <w:r>
        <w:rPr>
          <w:rFonts w:ascii="Gentium Plus" w:hAnsi="Gentium Plus"/>
          <w:sz w:val="24"/>
          <w:szCs w:val="24"/>
        </w:rPr>
        <w:t xml:space="preserve"> points out that the image of a poor orphan is inconsistent with the description of </w:t>
      </w:r>
      <w:proofErr w:type="spellStart"/>
      <w:r>
        <w:rPr>
          <w:rFonts w:ascii="Gentium Plus" w:hAnsi="Gentium Plus"/>
          <w:sz w:val="24"/>
          <w:szCs w:val="24"/>
        </w:rPr>
        <w:t>Muḥammad’s</w:t>
      </w:r>
      <w:proofErr w:type="spellEnd"/>
      <w:r>
        <w:rPr>
          <w:rFonts w:ascii="Gentium Plus" w:hAnsi="Gentium Plus"/>
          <w:sz w:val="24"/>
          <w:szCs w:val="24"/>
        </w:rPr>
        <w:t xml:space="preserve"> childhood in </w:t>
      </w:r>
      <w:proofErr w:type="spellStart"/>
      <w:r>
        <w:rPr>
          <w:rFonts w:ascii="Gentium Plus" w:hAnsi="Gentium Plus"/>
          <w:sz w:val="24"/>
          <w:szCs w:val="24"/>
        </w:rPr>
        <w:t>Ibn</w:t>
      </w:r>
      <w:proofErr w:type="spellEnd"/>
      <w:r>
        <w:rPr>
          <w:rFonts w:ascii="Gentium Plus" w:hAnsi="Gentium Plus"/>
          <w:sz w:val="24"/>
          <w:szCs w:val="24"/>
        </w:rPr>
        <w:t xml:space="preserve"> </w:t>
      </w:r>
      <w:proofErr w:type="spellStart"/>
      <w:r>
        <w:rPr>
          <w:rFonts w:ascii="Gentium Plus" w:hAnsi="Gentium Plus"/>
          <w:sz w:val="24"/>
          <w:szCs w:val="24"/>
        </w:rPr>
        <w:t>Hishām’s</w:t>
      </w:r>
      <w:proofErr w:type="spellEnd"/>
      <w:r>
        <w:rPr>
          <w:rFonts w:ascii="Gentium Plus" w:hAnsi="Gentium Plus"/>
          <w:sz w:val="24"/>
          <w:szCs w:val="24"/>
        </w:rPr>
        <w:t xml:space="preserve"> recession of the </w:t>
      </w:r>
      <w:proofErr w:type="spellStart"/>
      <w:r>
        <w:rPr>
          <w:rFonts w:ascii="Gentium Plus" w:hAnsi="Gentium Plus"/>
          <w:i/>
          <w:iCs/>
          <w:sz w:val="24"/>
          <w:szCs w:val="24"/>
        </w:rPr>
        <w:t>sīrah</w:t>
      </w:r>
      <w:proofErr w:type="spellEnd"/>
      <w:r>
        <w:rPr>
          <w:rFonts w:ascii="Gentium Plus" w:hAnsi="Gentium Plus"/>
          <w:sz w:val="24"/>
          <w:szCs w:val="24"/>
        </w:rPr>
        <w:t>.</w:t>
      </w:r>
      <w:r>
        <w:rPr>
          <w:rFonts w:ascii="Gentium Plus" w:hAnsi="Gentium Plus"/>
          <w:position w:val="10"/>
          <w:sz w:val="14"/>
          <w:szCs w:val="14"/>
        </w:rPr>
        <w:t xml:space="preserve">4 </w:t>
      </w:r>
      <w:r>
        <w:rPr>
          <w:rFonts w:ascii="Gentium Plus" w:hAnsi="Gentium Plus"/>
          <w:sz w:val="24"/>
          <w:szCs w:val="24"/>
        </w:rPr>
        <w:t xml:space="preserve">As for power and fortune, his marriage to </w:t>
      </w:r>
      <w:proofErr w:type="spellStart"/>
      <w:r>
        <w:rPr>
          <w:rFonts w:ascii="Gentium Plus" w:hAnsi="Gentium Plus"/>
          <w:sz w:val="24"/>
          <w:szCs w:val="24"/>
        </w:rPr>
        <w:t>Khadījah</w:t>
      </w:r>
      <w:proofErr w:type="spellEnd"/>
      <w:r>
        <w:rPr>
          <w:rFonts w:ascii="Gentium Plus" w:hAnsi="Gentium Plus"/>
          <w:sz w:val="24"/>
          <w:szCs w:val="24"/>
        </w:rPr>
        <w:t xml:space="preserve"> gave him exactly these. </w:t>
      </w:r>
    </w:p>
    <w:p w:rsidR="00B3100B" w:rsidRDefault="00B3100B" w:rsidP="00B3100B">
      <w:pPr>
        <w:pStyle w:val="NormalWeb"/>
      </w:pPr>
      <w:r>
        <w:rPr>
          <w:rFonts w:ascii="Gentium Plus" w:hAnsi="Gentium Plus"/>
          <w:sz w:val="24"/>
          <w:szCs w:val="24"/>
        </w:rPr>
        <w:t xml:space="preserve">The </w:t>
      </w:r>
      <w:proofErr w:type="spellStart"/>
      <w:r>
        <w:rPr>
          <w:rFonts w:ascii="Gentium Plus" w:hAnsi="Gentium Plus"/>
          <w:i/>
          <w:iCs/>
          <w:sz w:val="24"/>
          <w:szCs w:val="24"/>
        </w:rPr>
        <w:t>tafsīr</w:t>
      </w:r>
      <w:proofErr w:type="spellEnd"/>
      <w:r>
        <w:rPr>
          <w:rFonts w:ascii="Gentium Plus" w:hAnsi="Gentium Plus"/>
          <w:i/>
          <w:iCs/>
          <w:sz w:val="24"/>
          <w:szCs w:val="24"/>
        </w:rPr>
        <w:t xml:space="preserve"> </w:t>
      </w:r>
      <w:r>
        <w:rPr>
          <w:rFonts w:ascii="Gentium Plus" w:hAnsi="Gentium Plus"/>
          <w:sz w:val="24"/>
          <w:szCs w:val="24"/>
        </w:rPr>
        <w:t xml:space="preserve">regards </w:t>
      </w:r>
      <w:proofErr w:type="spellStart"/>
      <w:r>
        <w:rPr>
          <w:rFonts w:ascii="Gentium Plus" w:hAnsi="Gentium Plus"/>
          <w:sz w:val="24"/>
          <w:szCs w:val="24"/>
        </w:rPr>
        <w:t>Muḥammad</w:t>
      </w:r>
      <w:proofErr w:type="spellEnd"/>
      <w:r>
        <w:rPr>
          <w:rFonts w:ascii="Gentium Plus" w:hAnsi="Gentium Plus"/>
          <w:sz w:val="24"/>
          <w:szCs w:val="24"/>
        </w:rPr>
        <w:t xml:space="preserve"> as part of a prophetic chain, with a history of trial, sin, and forgiveness. Ahmed perceives the satanic verses episode as part of this conceptualization. He highlights the exploratory nature of the </w:t>
      </w:r>
      <w:proofErr w:type="spellStart"/>
      <w:r>
        <w:rPr>
          <w:rFonts w:ascii="Gentium Plus" w:hAnsi="Gentium Plus"/>
          <w:i/>
          <w:iCs/>
          <w:sz w:val="24"/>
          <w:szCs w:val="24"/>
        </w:rPr>
        <w:t>tafsīr</w:t>
      </w:r>
      <w:proofErr w:type="spellEnd"/>
      <w:r>
        <w:rPr>
          <w:rFonts w:ascii="Gentium Plus" w:hAnsi="Gentium Plus"/>
          <w:sz w:val="24"/>
          <w:szCs w:val="24"/>
        </w:rPr>
        <w:t xml:space="preserve">, as a genre that presents several possible versions of the truth, hence receptive of different explanations of a single phrase or event (notably, this can also be said of the </w:t>
      </w:r>
      <w:proofErr w:type="spellStart"/>
      <w:r>
        <w:rPr>
          <w:rFonts w:ascii="Gentium Plus" w:hAnsi="Gentium Plus"/>
          <w:i/>
          <w:iCs/>
          <w:sz w:val="24"/>
          <w:szCs w:val="24"/>
        </w:rPr>
        <w:t>sīrah-maghāzi</w:t>
      </w:r>
      <w:proofErr w:type="spellEnd"/>
      <w:r>
        <w:rPr>
          <w:rFonts w:ascii="Gentium Plus" w:hAnsi="Gentium Plus"/>
          <w:i/>
          <w:iCs/>
          <w:sz w:val="24"/>
          <w:szCs w:val="24"/>
        </w:rPr>
        <w:t>̄</w:t>
      </w:r>
      <w:r>
        <w:rPr>
          <w:rFonts w:ascii="Gentium Plus" w:hAnsi="Gentium Plus"/>
          <w:sz w:val="24"/>
          <w:szCs w:val="24"/>
        </w:rPr>
        <w:t xml:space="preserve">). He argues that the commentators accepted the satanic verses story </w:t>
      </w:r>
      <w:r>
        <w:rPr>
          <w:rFonts w:ascii="Gentium Plus" w:hAnsi="Gentium Plus"/>
          <w:i/>
          <w:iCs/>
          <w:sz w:val="24"/>
          <w:szCs w:val="24"/>
        </w:rPr>
        <w:t xml:space="preserve">because </w:t>
      </w:r>
      <w:r>
        <w:rPr>
          <w:rFonts w:ascii="Gentium Plus" w:hAnsi="Gentium Plus"/>
          <w:sz w:val="24"/>
          <w:szCs w:val="24"/>
        </w:rPr>
        <w:t xml:space="preserve">of the opening verses of </w:t>
      </w:r>
      <w:proofErr w:type="spellStart"/>
      <w:r>
        <w:rPr>
          <w:rFonts w:ascii="Gentium Plus" w:hAnsi="Gentium Plus"/>
          <w:sz w:val="24"/>
          <w:szCs w:val="24"/>
        </w:rPr>
        <w:t>Sūrat</w:t>
      </w:r>
      <w:proofErr w:type="spellEnd"/>
      <w:r>
        <w:rPr>
          <w:rFonts w:ascii="Gentium Plus" w:hAnsi="Gentium Plus"/>
          <w:sz w:val="24"/>
          <w:szCs w:val="24"/>
        </w:rPr>
        <w:t xml:space="preserve"> al-</w:t>
      </w:r>
      <w:proofErr w:type="spellStart"/>
      <w:r>
        <w:rPr>
          <w:rFonts w:ascii="Gentium Plus" w:hAnsi="Gentium Plus"/>
          <w:sz w:val="24"/>
          <w:szCs w:val="24"/>
        </w:rPr>
        <w:t>Najm</w:t>
      </w:r>
      <w:proofErr w:type="spellEnd"/>
      <w:r>
        <w:rPr>
          <w:rFonts w:ascii="Gentium Plus" w:hAnsi="Gentium Plus"/>
          <w:sz w:val="24"/>
          <w:szCs w:val="24"/>
        </w:rPr>
        <w:t xml:space="preserve"> (e.g., Q 53:2, “Your companion was not misguided, nor has he erred”); that is, they read these verses as confirming the idea that Satan deceived the Prophet. This is an interesting argument. However, it is not clear how it fits with the content of Q 53:1–10, which </w:t>
      </w:r>
      <w:proofErr w:type="gramStart"/>
      <w:r>
        <w:rPr>
          <w:rFonts w:ascii="Gentium Plus" w:hAnsi="Gentium Plus"/>
          <w:sz w:val="24"/>
          <w:szCs w:val="24"/>
        </w:rPr>
        <w:t>seems</w:t>
      </w:r>
      <w:proofErr w:type="gramEnd"/>
      <w:r>
        <w:rPr>
          <w:rFonts w:ascii="Gentium Plus" w:hAnsi="Gentium Plus"/>
          <w:sz w:val="24"/>
          <w:szCs w:val="24"/>
        </w:rPr>
        <w:t xml:space="preserve"> to be referring to a truthful revelation. </w:t>
      </w:r>
    </w:p>
    <w:p w:rsidR="00B3100B" w:rsidRDefault="00B3100B" w:rsidP="00B3100B">
      <w:pPr>
        <w:pStyle w:val="NormalWeb"/>
      </w:pPr>
      <w:r>
        <w:rPr>
          <w:rFonts w:ascii="Gentium Plus" w:hAnsi="Gentium Plus"/>
          <w:sz w:val="24"/>
          <w:szCs w:val="24"/>
        </w:rPr>
        <w:t xml:space="preserve">The author follows other scholars who have shown that in early Islam </w:t>
      </w:r>
      <w:proofErr w:type="spellStart"/>
      <w:r>
        <w:rPr>
          <w:rFonts w:ascii="Gentium Plus" w:hAnsi="Gentium Plus"/>
          <w:sz w:val="24"/>
          <w:szCs w:val="24"/>
        </w:rPr>
        <w:t>Muḥammad</w:t>
      </w:r>
      <w:proofErr w:type="spellEnd"/>
      <w:r>
        <w:rPr>
          <w:rFonts w:ascii="Gentium Plus" w:hAnsi="Gentium Plus"/>
          <w:sz w:val="24"/>
          <w:szCs w:val="24"/>
        </w:rPr>
        <w:t xml:space="preserve"> was perceived as human and fallible (this changed later, with the development of the concept of </w:t>
      </w:r>
      <w:r>
        <w:rPr>
          <w:rFonts w:ascii="Gentium Plus" w:hAnsi="Gentium Plus"/>
          <w:i/>
          <w:iCs/>
          <w:sz w:val="24"/>
          <w:szCs w:val="24"/>
        </w:rPr>
        <w:t>‘</w:t>
      </w:r>
      <w:proofErr w:type="spellStart"/>
      <w:r>
        <w:rPr>
          <w:rFonts w:ascii="Gentium Plus" w:hAnsi="Gentium Plus"/>
          <w:i/>
          <w:iCs/>
          <w:sz w:val="24"/>
          <w:szCs w:val="24"/>
        </w:rPr>
        <w:t>iṣmah</w:t>
      </w:r>
      <w:proofErr w:type="spellEnd"/>
      <w:r>
        <w:rPr>
          <w:rFonts w:ascii="Gentium Plus" w:hAnsi="Gentium Plus"/>
          <w:sz w:val="24"/>
          <w:szCs w:val="24"/>
        </w:rPr>
        <w:t xml:space="preserve">). He regards the satanic verses as demonstrating that </w:t>
      </w:r>
      <w:proofErr w:type="spellStart"/>
      <w:r>
        <w:rPr>
          <w:rFonts w:ascii="Gentium Plus" w:hAnsi="Gentium Plus"/>
          <w:sz w:val="24"/>
          <w:szCs w:val="24"/>
        </w:rPr>
        <w:t>Muḥammad</w:t>
      </w:r>
      <w:proofErr w:type="spellEnd"/>
      <w:r>
        <w:rPr>
          <w:rFonts w:ascii="Gentium Plus" w:hAnsi="Gentium Plus"/>
          <w:sz w:val="24"/>
          <w:szCs w:val="24"/>
        </w:rPr>
        <w:t xml:space="preserve"> was unaware of what it meant to be a prophet. Only gradually, and from his errors, did he come to understand his prophetic role. Ahmed supports this convincingly by referring to several other stories about incidents in which a deficient understanding of the essence of </w:t>
      </w:r>
      <w:proofErr w:type="spellStart"/>
      <w:r>
        <w:rPr>
          <w:rFonts w:ascii="Gentium Plus" w:hAnsi="Gentium Plus"/>
          <w:sz w:val="24"/>
          <w:szCs w:val="24"/>
        </w:rPr>
        <w:t>prophethood</w:t>
      </w:r>
      <w:proofErr w:type="spellEnd"/>
      <w:r>
        <w:rPr>
          <w:rFonts w:ascii="Gentium Plus" w:hAnsi="Gentium Plus"/>
          <w:sz w:val="24"/>
          <w:szCs w:val="24"/>
        </w:rPr>
        <w:t xml:space="preserve"> led </w:t>
      </w:r>
      <w:proofErr w:type="spellStart"/>
      <w:r>
        <w:rPr>
          <w:rFonts w:ascii="Gentium Plus" w:hAnsi="Gentium Plus"/>
          <w:sz w:val="24"/>
          <w:szCs w:val="24"/>
        </w:rPr>
        <w:t>Muḥammad</w:t>
      </w:r>
      <w:proofErr w:type="spellEnd"/>
      <w:r>
        <w:rPr>
          <w:rFonts w:ascii="Gentium Plus" w:hAnsi="Gentium Plus"/>
          <w:sz w:val="24"/>
          <w:szCs w:val="24"/>
        </w:rPr>
        <w:t xml:space="preserve"> to commit prophetic errors, following which he was corrected. The uniqueness of the satanic verses story concerns the involvement of Satan, which made the error even worse. That Satan might interfere with divine revelation was an idea with which early Muslims were familiar; the absence of attempts to explain prophetic vulnerability to satanic incitements, argues Ahmed, is indicative of the lack of significant opposition to the story until the mid-second century AH. However, as noted above, such attempts might have indeed existed, for example, through </w:t>
      </w:r>
      <w:proofErr w:type="gramStart"/>
      <w:r>
        <w:rPr>
          <w:rFonts w:ascii="Gentium Plus" w:hAnsi="Gentium Plus"/>
          <w:sz w:val="24"/>
          <w:szCs w:val="24"/>
        </w:rPr>
        <w:t>reports which</w:t>
      </w:r>
      <w:proofErr w:type="gramEnd"/>
      <w:r>
        <w:rPr>
          <w:rFonts w:ascii="Gentium Plus" w:hAnsi="Gentium Plus"/>
          <w:sz w:val="24"/>
          <w:szCs w:val="24"/>
        </w:rPr>
        <w:t xml:space="preserve"> describe Satan as disguising himself in the form of Gabriel. </w:t>
      </w:r>
    </w:p>
    <w:p w:rsidR="00B3100B" w:rsidRDefault="00B3100B" w:rsidP="00B3100B">
      <w:pPr>
        <w:pStyle w:val="NormalWeb"/>
      </w:pPr>
      <w:r>
        <w:rPr>
          <w:rFonts w:ascii="Gentium Plus" w:hAnsi="Gentium Plus"/>
          <w:sz w:val="24"/>
          <w:szCs w:val="24"/>
        </w:rPr>
        <w:t xml:space="preserve">Chapter 3 is followed by a short index of one page in length. This includes references to some of the terms, as well as primary and secondary sources that are mentioned in the book, however in a partial way. For example, only one reference is given to Gabriel (44), who is mentioned many times in the book. </w:t>
      </w:r>
      <w:proofErr w:type="spellStart"/>
      <w:r>
        <w:rPr>
          <w:rFonts w:ascii="Gentium Plus" w:hAnsi="Gentium Plus"/>
          <w:sz w:val="24"/>
          <w:szCs w:val="24"/>
        </w:rPr>
        <w:t>Birkeland</w:t>
      </w:r>
      <w:proofErr w:type="spellEnd"/>
      <w:r>
        <w:rPr>
          <w:rFonts w:ascii="Gentium Plus" w:hAnsi="Gentium Plus"/>
          <w:sz w:val="24"/>
          <w:szCs w:val="24"/>
        </w:rPr>
        <w:t xml:space="preserve">, whose work is referred to and cited many times in the book, is not mentioned, nor is </w:t>
      </w:r>
      <w:proofErr w:type="spellStart"/>
      <w:r>
        <w:rPr>
          <w:rFonts w:ascii="Gentium Plus" w:hAnsi="Gentium Plus"/>
          <w:sz w:val="24"/>
          <w:szCs w:val="24"/>
        </w:rPr>
        <w:t>Harald</w:t>
      </w:r>
      <w:proofErr w:type="spellEnd"/>
      <w:r>
        <w:rPr>
          <w:rFonts w:ascii="Gentium Plus" w:hAnsi="Gentium Plus"/>
          <w:sz w:val="24"/>
          <w:szCs w:val="24"/>
        </w:rPr>
        <w:t xml:space="preserve"> </w:t>
      </w:r>
      <w:proofErr w:type="spellStart"/>
      <w:r>
        <w:rPr>
          <w:rFonts w:ascii="Gentium Plus" w:hAnsi="Gentium Plus"/>
          <w:sz w:val="24"/>
          <w:szCs w:val="24"/>
        </w:rPr>
        <w:t>Motzki</w:t>
      </w:r>
      <w:proofErr w:type="spellEnd"/>
      <w:r>
        <w:rPr>
          <w:rFonts w:ascii="Gentium Plus" w:hAnsi="Gentium Plus"/>
          <w:sz w:val="24"/>
          <w:szCs w:val="24"/>
        </w:rPr>
        <w:t xml:space="preserve">, whose reports-dating methodology is used in the work (14). </w:t>
      </w:r>
    </w:p>
    <w:p w:rsidR="00B3100B" w:rsidRDefault="00B3100B" w:rsidP="00B3100B">
      <w:pPr>
        <w:pStyle w:val="NormalWeb"/>
      </w:pPr>
      <w:r>
        <w:rPr>
          <w:rFonts w:ascii="Gentium Plus" w:hAnsi="Gentium Plus"/>
          <w:sz w:val="24"/>
          <w:szCs w:val="24"/>
        </w:rPr>
        <w:t xml:space="preserve">The book, which is based on the author’s doctoral dissertation, still contains some marks of its doctoral origin. The bulky chapter 2 reflects the main body of the dissertation, which originally contained 37 reports, in addition to an introduction and conclusions. It could have been helpful for the reader if chapter 2 were divided into shorter chapters, or even subsections (rather than an unnumbered list of groups of reports). There are also many repetitions (e.g., the same quotation from </w:t>
      </w:r>
      <w:proofErr w:type="spellStart"/>
      <w:r>
        <w:rPr>
          <w:rFonts w:ascii="Gentium Plus" w:hAnsi="Gentium Plus"/>
          <w:sz w:val="24"/>
          <w:szCs w:val="24"/>
        </w:rPr>
        <w:t>Birkeland</w:t>
      </w:r>
      <w:proofErr w:type="spellEnd"/>
      <w:r>
        <w:rPr>
          <w:rFonts w:ascii="Gentium Plus" w:hAnsi="Gentium Plus"/>
          <w:sz w:val="24"/>
          <w:szCs w:val="24"/>
        </w:rPr>
        <w:t xml:space="preserve"> appears on page 31 and on page 204, footnote 32; the same paragraph, containing a list of research questions, appears verbatim on pages 12, 42, and 256). </w:t>
      </w:r>
    </w:p>
    <w:p w:rsidR="00B3100B" w:rsidRDefault="00B3100B" w:rsidP="00B3100B">
      <w:pPr>
        <w:pStyle w:val="NormalWeb"/>
      </w:pPr>
      <w:r>
        <w:rPr>
          <w:rFonts w:ascii="Gentium Plus" w:hAnsi="Gentium Plus"/>
          <w:sz w:val="24"/>
          <w:szCs w:val="24"/>
        </w:rPr>
        <w:t xml:space="preserve">Nevertheless, this study is highly significant in a number of ways. For one, through its primary purpose of presenting the foundational historical data concerning the satanic verses story, it offers an important tool for studying this story and its development from early Islam to modern times. The attention to </w:t>
      </w:r>
      <w:proofErr w:type="spellStart"/>
      <w:r>
        <w:rPr>
          <w:rFonts w:ascii="Gentium Plus" w:hAnsi="Gentium Plus"/>
          <w:i/>
          <w:iCs/>
          <w:sz w:val="24"/>
          <w:szCs w:val="24"/>
        </w:rPr>
        <w:t>isnāds</w:t>
      </w:r>
      <w:proofErr w:type="spellEnd"/>
      <w:r>
        <w:rPr>
          <w:rFonts w:ascii="Gentium Plus" w:hAnsi="Gentium Plus"/>
          <w:i/>
          <w:iCs/>
          <w:sz w:val="24"/>
          <w:szCs w:val="24"/>
        </w:rPr>
        <w:t xml:space="preserve"> </w:t>
      </w:r>
      <w:r>
        <w:rPr>
          <w:rFonts w:ascii="Gentium Plus" w:hAnsi="Gentium Plus"/>
          <w:sz w:val="24"/>
          <w:szCs w:val="24"/>
        </w:rPr>
        <w:t xml:space="preserve">on the one hand, and variants from manuscripts on the other makes it highly useful as a starting point for such studies. The in-depth discussion of the transmitters, their biographies, relationships, and scholarly activities is of great significance for further studies of the transmission history of the story. For example, whereas the current work does not examine in detail the differences between reports that are ascribed to acknowledged </w:t>
      </w:r>
      <w:proofErr w:type="spellStart"/>
      <w:r>
        <w:rPr>
          <w:rFonts w:ascii="Gentium Plus" w:hAnsi="Gentium Plus"/>
          <w:i/>
          <w:iCs/>
          <w:sz w:val="24"/>
          <w:szCs w:val="24"/>
        </w:rPr>
        <w:t>muḥaddithūn</w:t>
      </w:r>
      <w:proofErr w:type="spellEnd"/>
      <w:r>
        <w:rPr>
          <w:rFonts w:ascii="Gentium Plus" w:hAnsi="Gentium Plus"/>
          <w:i/>
          <w:iCs/>
          <w:sz w:val="24"/>
          <w:szCs w:val="24"/>
        </w:rPr>
        <w:t xml:space="preserve"> </w:t>
      </w:r>
      <w:r>
        <w:rPr>
          <w:rFonts w:ascii="Gentium Plus" w:hAnsi="Gentium Plus"/>
          <w:sz w:val="24"/>
          <w:szCs w:val="24"/>
        </w:rPr>
        <w:t xml:space="preserve">(such as </w:t>
      </w:r>
      <w:proofErr w:type="spellStart"/>
      <w:r>
        <w:rPr>
          <w:rFonts w:ascii="Gentium Plus" w:hAnsi="Gentium Plus"/>
          <w:sz w:val="24"/>
          <w:szCs w:val="24"/>
        </w:rPr>
        <w:t>Mujāhid</w:t>
      </w:r>
      <w:proofErr w:type="spellEnd"/>
      <w:r>
        <w:rPr>
          <w:rFonts w:ascii="Gentium Plus" w:hAnsi="Gentium Plus"/>
          <w:sz w:val="24"/>
          <w:szCs w:val="24"/>
        </w:rPr>
        <w:t xml:space="preserve">) and those ascribed to scholars rejected by the </w:t>
      </w:r>
      <w:proofErr w:type="spellStart"/>
      <w:r>
        <w:rPr>
          <w:rFonts w:ascii="Gentium Plus" w:hAnsi="Gentium Plus"/>
          <w:i/>
          <w:iCs/>
          <w:sz w:val="24"/>
          <w:szCs w:val="24"/>
        </w:rPr>
        <w:t>muḥaddithūn</w:t>
      </w:r>
      <w:proofErr w:type="spellEnd"/>
      <w:r>
        <w:rPr>
          <w:rFonts w:ascii="Gentium Plus" w:hAnsi="Gentium Plus"/>
          <w:i/>
          <w:iCs/>
          <w:sz w:val="24"/>
          <w:szCs w:val="24"/>
        </w:rPr>
        <w:t xml:space="preserve"> </w:t>
      </w:r>
      <w:r>
        <w:rPr>
          <w:rFonts w:ascii="Gentium Plus" w:hAnsi="Gentium Plus"/>
          <w:sz w:val="24"/>
          <w:szCs w:val="24"/>
        </w:rPr>
        <w:t xml:space="preserve">(such as </w:t>
      </w:r>
      <w:proofErr w:type="spellStart"/>
      <w:r>
        <w:rPr>
          <w:rFonts w:ascii="Gentium Plus" w:hAnsi="Gentium Plus"/>
          <w:sz w:val="24"/>
          <w:szCs w:val="24"/>
        </w:rPr>
        <w:t>Ibn</w:t>
      </w:r>
      <w:proofErr w:type="spellEnd"/>
      <w:r>
        <w:rPr>
          <w:rFonts w:ascii="Gentium Plus" w:hAnsi="Gentium Plus"/>
          <w:sz w:val="24"/>
          <w:szCs w:val="24"/>
        </w:rPr>
        <w:t xml:space="preserve"> </w:t>
      </w:r>
      <w:proofErr w:type="spellStart"/>
      <w:r>
        <w:rPr>
          <w:rFonts w:ascii="Gentium Plus" w:hAnsi="Gentium Plus"/>
          <w:sz w:val="24"/>
          <w:szCs w:val="24"/>
        </w:rPr>
        <w:t>Isḥāq</w:t>
      </w:r>
      <w:proofErr w:type="spellEnd"/>
      <w:r>
        <w:rPr>
          <w:rFonts w:ascii="Gentium Plus" w:hAnsi="Gentium Plus"/>
          <w:sz w:val="24"/>
          <w:szCs w:val="24"/>
        </w:rPr>
        <w:t xml:space="preserve">), with this valuable database of reports in our hands, nothing stops the curious reader from deducing this for themselves. </w:t>
      </w:r>
    </w:p>
    <w:p w:rsidR="00B3100B" w:rsidRDefault="00B3100B" w:rsidP="00F30421">
      <w:pPr>
        <w:pStyle w:val="NormalWeb"/>
      </w:pPr>
      <w:r>
        <w:rPr>
          <w:rFonts w:ascii="Gentium Plus" w:hAnsi="Gentium Plus"/>
          <w:sz w:val="24"/>
          <w:szCs w:val="24"/>
        </w:rPr>
        <w:t xml:space="preserve">This book also evokes some important questions for further study. For example, the observation that early Islamic society and early Islamic sources are both polyvalent and </w:t>
      </w:r>
      <w:proofErr w:type="spellStart"/>
      <w:r>
        <w:rPr>
          <w:rFonts w:ascii="Gentium Plus" w:hAnsi="Gentium Plus"/>
          <w:sz w:val="24"/>
          <w:szCs w:val="24"/>
        </w:rPr>
        <w:t>multivocal</w:t>
      </w:r>
      <w:proofErr w:type="spellEnd"/>
      <w:r>
        <w:rPr>
          <w:rFonts w:ascii="Gentium Plus" w:hAnsi="Gentium Plus"/>
          <w:sz w:val="24"/>
          <w:szCs w:val="24"/>
        </w:rPr>
        <w:t xml:space="preserve"> indeed, as Ahmed suggests, turns the manner in which the Islamic sources are read from a technical matter into a question of culture production and the relationship between the cultural product and the society that produced it. </w:t>
      </w:r>
    </w:p>
    <w:p w:rsidR="0085603A" w:rsidRDefault="0085603A">
      <w:bookmarkStart w:id="0" w:name="_GoBack"/>
      <w:bookmarkEnd w:id="0"/>
    </w:p>
    <w:sectPr w:rsidR="0085603A" w:rsidSect="0092576A">
      <w:pgSz w:w="11900" w:h="1682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421" w:rsidRDefault="00F30421" w:rsidP="00F30421">
      <w:r>
        <w:separator/>
      </w:r>
    </w:p>
  </w:endnote>
  <w:endnote w:type="continuationSeparator" w:id="0">
    <w:p w:rsidR="00F30421" w:rsidRDefault="00F30421" w:rsidP="00F30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Gentium Plus">
    <w:panose1 w:val="02000503060000020004"/>
    <w:charset w:val="00"/>
    <w:family w:val="auto"/>
    <w:pitch w:val="variable"/>
    <w:sig w:usb0="E00002FF" w:usb1="5200A1FB" w:usb2="02000009" w:usb3="00000000" w:csb0="0000019F" w:csb1="00000000"/>
  </w:font>
  <w:font w:name="TimesNewRomanP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421" w:rsidRDefault="00F30421" w:rsidP="00F30421">
      <w:r>
        <w:separator/>
      </w:r>
    </w:p>
  </w:footnote>
  <w:footnote w:type="continuationSeparator" w:id="0">
    <w:p w:rsidR="00F30421" w:rsidRDefault="00F30421" w:rsidP="00F30421">
      <w:r>
        <w:continuationSeparator/>
      </w:r>
    </w:p>
  </w:footnote>
  <w:footnote w:id="1">
    <w:p w:rsidR="00F30421" w:rsidRDefault="00F30421" w:rsidP="00F30421">
      <w:pPr>
        <w:pStyle w:val="NormalWeb"/>
      </w:pPr>
      <w:r>
        <w:rPr>
          <w:rStyle w:val="FootnoteReference"/>
        </w:rPr>
        <w:footnoteRef/>
      </w:r>
      <w:r>
        <w:t xml:space="preserve"> </w:t>
      </w:r>
      <w:r>
        <w:t xml:space="preserve">G. </w:t>
      </w:r>
      <w:proofErr w:type="spellStart"/>
      <w:r>
        <w:t>Scholem</w:t>
      </w:r>
      <w:proofErr w:type="spellEnd"/>
      <w:r>
        <w:t xml:space="preserve">, “Some Sources of Jewish-Arabic Demonology,” </w:t>
      </w:r>
      <w:r>
        <w:rPr>
          <w:rFonts w:ascii="TimesNewRomanPS" w:hAnsi="TimesNewRomanPS"/>
          <w:i/>
          <w:iCs/>
        </w:rPr>
        <w:t xml:space="preserve">Journal of Jewish Studies </w:t>
      </w:r>
      <w:r>
        <w:t xml:space="preserve">16 (1965), 1–13.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00B"/>
    <w:rsid w:val="004B2048"/>
    <w:rsid w:val="0085603A"/>
    <w:rsid w:val="0092576A"/>
    <w:rsid w:val="00B3100B"/>
    <w:rsid w:val="00F304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632B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100B"/>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B3100B"/>
  </w:style>
  <w:style w:type="paragraph" w:styleId="FootnoteText">
    <w:name w:val="footnote text"/>
    <w:basedOn w:val="Normal"/>
    <w:link w:val="FootnoteTextChar"/>
    <w:uiPriority w:val="99"/>
    <w:unhideWhenUsed/>
    <w:rsid w:val="00F30421"/>
  </w:style>
  <w:style w:type="character" w:customStyle="1" w:styleId="FootnoteTextChar">
    <w:name w:val="Footnote Text Char"/>
    <w:basedOn w:val="DefaultParagraphFont"/>
    <w:link w:val="FootnoteText"/>
    <w:uiPriority w:val="99"/>
    <w:rsid w:val="00F30421"/>
  </w:style>
  <w:style w:type="character" w:styleId="FootnoteReference">
    <w:name w:val="footnote reference"/>
    <w:basedOn w:val="DefaultParagraphFont"/>
    <w:uiPriority w:val="99"/>
    <w:unhideWhenUsed/>
    <w:rsid w:val="00F30421"/>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100B"/>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B3100B"/>
  </w:style>
  <w:style w:type="paragraph" w:styleId="FootnoteText">
    <w:name w:val="footnote text"/>
    <w:basedOn w:val="Normal"/>
    <w:link w:val="FootnoteTextChar"/>
    <w:uiPriority w:val="99"/>
    <w:unhideWhenUsed/>
    <w:rsid w:val="00F30421"/>
  </w:style>
  <w:style w:type="character" w:customStyle="1" w:styleId="FootnoteTextChar">
    <w:name w:val="Footnote Text Char"/>
    <w:basedOn w:val="DefaultParagraphFont"/>
    <w:link w:val="FootnoteText"/>
    <w:uiPriority w:val="99"/>
    <w:rsid w:val="00F30421"/>
  </w:style>
  <w:style w:type="character" w:styleId="FootnoteReference">
    <w:name w:val="footnote reference"/>
    <w:basedOn w:val="DefaultParagraphFont"/>
    <w:uiPriority w:val="99"/>
    <w:unhideWhenUsed/>
    <w:rsid w:val="00F304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80069">
      <w:bodyDiv w:val="1"/>
      <w:marLeft w:val="0"/>
      <w:marRight w:val="0"/>
      <w:marTop w:val="0"/>
      <w:marBottom w:val="0"/>
      <w:divBdr>
        <w:top w:val="none" w:sz="0" w:space="0" w:color="auto"/>
        <w:left w:val="none" w:sz="0" w:space="0" w:color="auto"/>
        <w:bottom w:val="none" w:sz="0" w:space="0" w:color="auto"/>
        <w:right w:val="none" w:sz="0" w:space="0" w:color="auto"/>
      </w:divBdr>
      <w:divsChild>
        <w:div w:id="1216088922">
          <w:marLeft w:val="0"/>
          <w:marRight w:val="0"/>
          <w:marTop w:val="0"/>
          <w:marBottom w:val="0"/>
          <w:divBdr>
            <w:top w:val="none" w:sz="0" w:space="0" w:color="auto"/>
            <w:left w:val="none" w:sz="0" w:space="0" w:color="auto"/>
            <w:bottom w:val="none" w:sz="0" w:space="0" w:color="auto"/>
            <w:right w:val="none" w:sz="0" w:space="0" w:color="auto"/>
          </w:divBdr>
          <w:divsChild>
            <w:div w:id="520624802">
              <w:marLeft w:val="0"/>
              <w:marRight w:val="0"/>
              <w:marTop w:val="0"/>
              <w:marBottom w:val="0"/>
              <w:divBdr>
                <w:top w:val="none" w:sz="0" w:space="0" w:color="auto"/>
                <w:left w:val="none" w:sz="0" w:space="0" w:color="auto"/>
                <w:bottom w:val="none" w:sz="0" w:space="0" w:color="auto"/>
                <w:right w:val="none" w:sz="0" w:space="0" w:color="auto"/>
              </w:divBdr>
              <w:divsChild>
                <w:div w:id="142252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8737">
      <w:bodyDiv w:val="1"/>
      <w:marLeft w:val="0"/>
      <w:marRight w:val="0"/>
      <w:marTop w:val="0"/>
      <w:marBottom w:val="0"/>
      <w:divBdr>
        <w:top w:val="none" w:sz="0" w:space="0" w:color="auto"/>
        <w:left w:val="none" w:sz="0" w:space="0" w:color="auto"/>
        <w:bottom w:val="none" w:sz="0" w:space="0" w:color="auto"/>
        <w:right w:val="none" w:sz="0" w:space="0" w:color="auto"/>
      </w:divBdr>
      <w:divsChild>
        <w:div w:id="1440179721">
          <w:marLeft w:val="0"/>
          <w:marRight w:val="0"/>
          <w:marTop w:val="0"/>
          <w:marBottom w:val="0"/>
          <w:divBdr>
            <w:top w:val="none" w:sz="0" w:space="0" w:color="auto"/>
            <w:left w:val="none" w:sz="0" w:space="0" w:color="auto"/>
            <w:bottom w:val="none" w:sz="0" w:space="0" w:color="auto"/>
            <w:right w:val="none" w:sz="0" w:space="0" w:color="auto"/>
          </w:divBdr>
          <w:divsChild>
            <w:div w:id="1579364915">
              <w:marLeft w:val="0"/>
              <w:marRight w:val="0"/>
              <w:marTop w:val="0"/>
              <w:marBottom w:val="0"/>
              <w:divBdr>
                <w:top w:val="none" w:sz="0" w:space="0" w:color="auto"/>
                <w:left w:val="none" w:sz="0" w:space="0" w:color="auto"/>
                <w:bottom w:val="none" w:sz="0" w:space="0" w:color="auto"/>
                <w:right w:val="none" w:sz="0" w:space="0" w:color="auto"/>
              </w:divBdr>
              <w:divsChild>
                <w:div w:id="40469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4333">
      <w:bodyDiv w:val="1"/>
      <w:marLeft w:val="0"/>
      <w:marRight w:val="0"/>
      <w:marTop w:val="0"/>
      <w:marBottom w:val="0"/>
      <w:divBdr>
        <w:top w:val="none" w:sz="0" w:space="0" w:color="auto"/>
        <w:left w:val="none" w:sz="0" w:space="0" w:color="auto"/>
        <w:bottom w:val="none" w:sz="0" w:space="0" w:color="auto"/>
        <w:right w:val="none" w:sz="0" w:space="0" w:color="auto"/>
      </w:divBdr>
      <w:divsChild>
        <w:div w:id="59790232">
          <w:marLeft w:val="0"/>
          <w:marRight w:val="0"/>
          <w:marTop w:val="0"/>
          <w:marBottom w:val="0"/>
          <w:divBdr>
            <w:top w:val="none" w:sz="0" w:space="0" w:color="auto"/>
            <w:left w:val="none" w:sz="0" w:space="0" w:color="auto"/>
            <w:bottom w:val="none" w:sz="0" w:space="0" w:color="auto"/>
            <w:right w:val="none" w:sz="0" w:space="0" w:color="auto"/>
          </w:divBdr>
          <w:divsChild>
            <w:div w:id="521746009">
              <w:marLeft w:val="0"/>
              <w:marRight w:val="0"/>
              <w:marTop w:val="0"/>
              <w:marBottom w:val="0"/>
              <w:divBdr>
                <w:top w:val="none" w:sz="0" w:space="0" w:color="auto"/>
                <w:left w:val="none" w:sz="0" w:space="0" w:color="auto"/>
                <w:bottom w:val="none" w:sz="0" w:space="0" w:color="auto"/>
                <w:right w:val="none" w:sz="0" w:space="0" w:color="auto"/>
              </w:divBdr>
              <w:divsChild>
                <w:div w:id="76195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42185">
      <w:bodyDiv w:val="1"/>
      <w:marLeft w:val="0"/>
      <w:marRight w:val="0"/>
      <w:marTop w:val="0"/>
      <w:marBottom w:val="0"/>
      <w:divBdr>
        <w:top w:val="none" w:sz="0" w:space="0" w:color="auto"/>
        <w:left w:val="none" w:sz="0" w:space="0" w:color="auto"/>
        <w:bottom w:val="none" w:sz="0" w:space="0" w:color="auto"/>
        <w:right w:val="none" w:sz="0" w:space="0" w:color="auto"/>
      </w:divBdr>
      <w:divsChild>
        <w:div w:id="1583955746">
          <w:marLeft w:val="0"/>
          <w:marRight w:val="0"/>
          <w:marTop w:val="0"/>
          <w:marBottom w:val="0"/>
          <w:divBdr>
            <w:top w:val="none" w:sz="0" w:space="0" w:color="auto"/>
            <w:left w:val="none" w:sz="0" w:space="0" w:color="auto"/>
            <w:bottom w:val="none" w:sz="0" w:space="0" w:color="auto"/>
            <w:right w:val="none" w:sz="0" w:space="0" w:color="auto"/>
          </w:divBdr>
          <w:divsChild>
            <w:div w:id="994181239">
              <w:marLeft w:val="0"/>
              <w:marRight w:val="0"/>
              <w:marTop w:val="0"/>
              <w:marBottom w:val="0"/>
              <w:divBdr>
                <w:top w:val="none" w:sz="0" w:space="0" w:color="auto"/>
                <w:left w:val="none" w:sz="0" w:space="0" w:color="auto"/>
                <w:bottom w:val="none" w:sz="0" w:space="0" w:color="auto"/>
                <w:right w:val="none" w:sz="0" w:space="0" w:color="auto"/>
              </w:divBdr>
              <w:divsChild>
                <w:div w:id="153730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16125">
      <w:bodyDiv w:val="1"/>
      <w:marLeft w:val="0"/>
      <w:marRight w:val="0"/>
      <w:marTop w:val="0"/>
      <w:marBottom w:val="0"/>
      <w:divBdr>
        <w:top w:val="none" w:sz="0" w:space="0" w:color="auto"/>
        <w:left w:val="none" w:sz="0" w:space="0" w:color="auto"/>
        <w:bottom w:val="none" w:sz="0" w:space="0" w:color="auto"/>
        <w:right w:val="none" w:sz="0" w:space="0" w:color="auto"/>
      </w:divBdr>
      <w:divsChild>
        <w:div w:id="1363944120">
          <w:marLeft w:val="0"/>
          <w:marRight w:val="0"/>
          <w:marTop w:val="0"/>
          <w:marBottom w:val="0"/>
          <w:divBdr>
            <w:top w:val="none" w:sz="0" w:space="0" w:color="auto"/>
            <w:left w:val="none" w:sz="0" w:space="0" w:color="auto"/>
            <w:bottom w:val="none" w:sz="0" w:space="0" w:color="auto"/>
            <w:right w:val="none" w:sz="0" w:space="0" w:color="auto"/>
          </w:divBdr>
          <w:divsChild>
            <w:div w:id="899247531">
              <w:marLeft w:val="0"/>
              <w:marRight w:val="0"/>
              <w:marTop w:val="0"/>
              <w:marBottom w:val="0"/>
              <w:divBdr>
                <w:top w:val="none" w:sz="0" w:space="0" w:color="auto"/>
                <w:left w:val="none" w:sz="0" w:space="0" w:color="auto"/>
                <w:bottom w:val="none" w:sz="0" w:space="0" w:color="auto"/>
                <w:right w:val="none" w:sz="0" w:space="0" w:color="auto"/>
              </w:divBdr>
              <w:divsChild>
                <w:div w:id="143428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133726">
      <w:bodyDiv w:val="1"/>
      <w:marLeft w:val="0"/>
      <w:marRight w:val="0"/>
      <w:marTop w:val="0"/>
      <w:marBottom w:val="0"/>
      <w:divBdr>
        <w:top w:val="none" w:sz="0" w:space="0" w:color="auto"/>
        <w:left w:val="none" w:sz="0" w:space="0" w:color="auto"/>
        <w:bottom w:val="none" w:sz="0" w:space="0" w:color="auto"/>
        <w:right w:val="none" w:sz="0" w:space="0" w:color="auto"/>
      </w:divBdr>
      <w:divsChild>
        <w:div w:id="1907182244">
          <w:marLeft w:val="0"/>
          <w:marRight w:val="0"/>
          <w:marTop w:val="0"/>
          <w:marBottom w:val="0"/>
          <w:divBdr>
            <w:top w:val="none" w:sz="0" w:space="0" w:color="auto"/>
            <w:left w:val="none" w:sz="0" w:space="0" w:color="auto"/>
            <w:bottom w:val="none" w:sz="0" w:space="0" w:color="auto"/>
            <w:right w:val="none" w:sz="0" w:space="0" w:color="auto"/>
          </w:divBdr>
          <w:divsChild>
            <w:div w:id="1808816354">
              <w:marLeft w:val="0"/>
              <w:marRight w:val="0"/>
              <w:marTop w:val="0"/>
              <w:marBottom w:val="0"/>
              <w:divBdr>
                <w:top w:val="none" w:sz="0" w:space="0" w:color="auto"/>
                <w:left w:val="none" w:sz="0" w:space="0" w:color="auto"/>
                <w:bottom w:val="none" w:sz="0" w:space="0" w:color="auto"/>
                <w:right w:val="none" w:sz="0" w:space="0" w:color="auto"/>
              </w:divBdr>
              <w:divsChild>
                <w:div w:id="69154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551956">
      <w:bodyDiv w:val="1"/>
      <w:marLeft w:val="0"/>
      <w:marRight w:val="0"/>
      <w:marTop w:val="0"/>
      <w:marBottom w:val="0"/>
      <w:divBdr>
        <w:top w:val="none" w:sz="0" w:space="0" w:color="auto"/>
        <w:left w:val="none" w:sz="0" w:space="0" w:color="auto"/>
        <w:bottom w:val="none" w:sz="0" w:space="0" w:color="auto"/>
        <w:right w:val="none" w:sz="0" w:space="0" w:color="auto"/>
      </w:divBdr>
      <w:divsChild>
        <w:div w:id="22634026">
          <w:marLeft w:val="0"/>
          <w:marRight w:val="0"/>
          <w:marTop w:val="0"/>
          <w:marBottom w:val="0"/>
          <w:divBdr>
            <w:top w:val="none" w:sz="0" w:space="0" w:color="auto"/>
            <w:left w:val="none" w:sz="0" w:space="0" w:color="auto"/>
            <w:bottom w:val="none" w:sz="0" w:space="0" w:color="auto"/>
            <w:right w:val="none" w:sz="0" w:space="0" w:color="auto"/>
          </w:divBdr>
          <w:divsChild>
            <w:div w:id="767893283">
              <w:marLeft w:val="0"/>
              <w:marRight w:val="0"/>
              <w:marTop w:val="0"/>
              <w:marBottom w:val="0"/>
              <w:divBdr>
                <w:top w:val="none" w:sz="0" w:space="0" w:color="auto"/>
                <w:left w:val="none" w:sz="0" w:space="0" w:color="auto"/>
                <w:bottom w:val="none" w:sz="0" w:space="0" w:color="auto"/>
                <w:right w:val="none" w:sz="0" w:space="0" w:color="auto"/>
              </w:divBdr>
              <w:divsChild>
                <w:div w:id="86359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213961">
      <w:bodyDiv w:val="1"/>
      <w:marLeft w:val="0"/>
      <w:marRight w:val="0"/>
      <w:marTop w:val="0"/>
      <w:marBottom w:val="0"/>
      <w:divBdr>
        <w:top w:val="none" w:sz="0" w:space="0" w:color="auto"/>
        <w:left w:val="none" w:sz="0" w:space="0" w:color="auto"/>
        <w:bottom w:val="none" w:sz="0" w:space="0" w:color="auto"/>
        <w:right w:val="none" w:sz="0" w:space="0" w:color="auto"/>
      </w:divBdr>
      <w:divsChild>
        <w:div w:id="1649480365">
          <w:marLeft w:val="0"/>
          <w:marRight w:val="0"/>
          <w:marTop w:val="0"/>
          <w:marBottom w:val="0"/>
          <w:divBdr>
            <w:top w:val="none" w:sz="0" w:space="0" w:color="auto"/>
            <w:left w:val="none" w:sz="0" w:space="0" w:color="auto"/>
            <w:bottom w:val="none" w:sz="0" w:space="0" w:color="auto"/>
            <w:right w:val="none" w:sz="0" w:space="0" w:color="auto"/>
          </w:divBdr>
          <w:divsChild>
            <w:div w:id="2063402601">
              <w:marLeft w:val="0"/>
              <w:marRight w:val="0"/>
              <w:marTop w:val="0"/>
              <w:marBottom w:val="0"/>
              <w:divBdr>
                <w:top w:val="none" w:sz="0" w:space="0" w:color="auto"/>
                <w:left w:val="none" w:sz="0" w:space="0" w:color="auto"/>
                <w:bottom w:val="none" w:sz="0" w:space="0" w:color="auto"/>
                <w:right w:val="none" w:sz="0" w:space="0" w:color="auto"/>
              </w:divBdr>
              <w:divsChild>
                <w:div w:id="212726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481839">
      <w:bodyDiv w:val="1"/>
      <w:marLeft w:val="0"/>
      <w:marRight w:val="0"/>
      <w:marTop w:val="0"/>
      <w:marBottom w:val="0"/>
      <w:divBdr>
        <w:top w:val="none" w:sz="0" w:space="0" w:color="auto"/>
        <w:left w:val="none" w:sz="0" w:space="0" w:color="auto"/>
        <w:bottom w:val="none" w:sz="0" w:space="0" w:color="auto"/>
        <w:right w:val="none" w:sz="0" w:space="0" w:color="auto"/>
      </w:divBdr>
      <w:divsChild>
        <w:div w:id="2007632991">
          <w:marLeft w:val="0"/>
          <w:marRight w:val="0"/>
          <w:marTop w:val="0"/>
          <w:marBottom w:val="0"/>
          <w:divBdr>
            <w:top w:val="none" w:sz="0" w:space="0" w:color="auto"/>
            <w:left w:val="none" w:sz="0" w:space="0" w:color="auto"/>
            <w:bottom w:val="none" w:sz="0" w:space="0" w:color="auto"/>
            <w:right w:val="none" w:sz="0" w:space="0" w:color="auto"/>
          </w:divBdr>
          <w:divsChild>
            <w:div w:id="93984683">
              <w:marLeft w:val="0"/>
              <w:marRight w:val="0"/>
              <w:marTop w:val="0"/>
              <w:marBottom w:val="0"/>
              <w:divBdr>
                <w:top w:val="none" w:sz="0" w:space="0" w:color="auto"/>
                <w:left w:val="none" w:sz="0" w:space="0" w:color="auto"/>
                <w:bottom w:val="none" w:sz="0" w:space="0" w:color="auto"/>
                <w:right w:val="none" w:sz="0" w:space="0" w:color="auto"/>
              </w:divBdr>
              <w:divsChild>
                <w:div w:id="19873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5928">
      <w:bodyDiv w:val="1"/>
      <w:marLeft w:val="0"/>
      <w:marRight w:val="0"/>
      <w:marTop w:val="0"/>
      <w:marBottom w:val="0"/>
      <w:divBdr>
        <w:top w:val="none" w:sz="0" w:space="0" w:color="auto"/>
        <w:left w:val="none" w:sz="0" w:space="0" w:color="auto"/>
        <w:bottom w:val="none" w:sz="0" w:space="0" w:color="auto"/>
        <w:right w:val="none" w:sz="0" w:space="0" w:color="auto"/>
      </w:divBdr>
      <w:divsChild>
        <w:div w:id="1296255449">
          <w:marLeft w:val="0"/>
          <w:marRight w:val="0"/>
          <w:marTop w:val="0"/>
          <w:marBottom w:val="0"/>
          <w:divBdr>
            <w:top w:val="none" w:sz="0" w:space="0" w:color="auto"/>
            <w:left w:val="none" w:sz="0" w:space="0" w:color="auto"/>
            <w:bottom w:val="none" w:sz="0" w:space="0" w:color="auto"/>
            <w:right w:val="none" w:sz="0" w:space="0" w:color="auto"/>
          </w:divBdr>
          <w:divsChild>
            <w:div w:id="897319925">
              <w:marLeft w:val="0"/>
              <w:marRight w:val="0"/>
              <w:marTop w:val="0"/>
              <w:marBottom w:val="0"/>
              <w:divBdr>
                <w:top w:val="none" w:sz="0" w:space="0" w:color="auto"/>
                <w:left w:val="none" w:sz="0" w:space="0" w:color="auto"/>
                <w:bottom w:val="none" w:sz="0" w:space="0" w:color="auto"/>
                <w:right w:val="none" w:sz="0" w:space="0" w:color="auto"/>
              </w:divBdr>
              <w:divsChild>
                <w:div w:id="78939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890979">
      <w:bodyDiv w:val="1"/>
      <w:marLeft w:val="0"/>
      <w:marRight w:val="0"/>
      <w:marTop w:val="0"/>
      <w:marBottom w:val="0"/>
      <w:divBdr>
        <w:top w:val="none" w:sz="0" w:space="0" w:color="auto"/>
        <w:left w:val="none" w:sz="0" w:space="0" w:color="auto"/>
        <w:bottom w:val="none" w:sz="0" w:space="0" w:color="auto"/>
        <w:right w:val="none" w:sz="0" w:space="0" w:color="auto"/>
      </w:divBdr>
      <w:divsChild>
        <w:div w:id="2121216761">
          <w:marLeft w:val="0"/>
          <w:marRight w:val="0"/>
          <w:marTop w:val="0"/>
          <w:marBottom w:val="0"/>
          <w:divBdr>
            <w:top w:val="none" w:sz="0" w:space="0" w:color="auto"/>
            <w:left w:val="none" w:sz="0" w:space="0" w:color="auto"/>
            <w:bottom w:val="none" w:sz="0" w:space="0" w:color="auto"/>
            <w:right w:val="none" w:sz="0" w:space="0" w:color="auto"/>
          </w:divBdr>
          <w:divsChild>
            <w:div w:id="722755277">
              <w:marLeft w:val="0"/>
              <w:marRight w:val="0"/>
              <w:marTop w:val="0"/>
              <w:marBottom w:val="0"/>
              <w:divBdr>
                <w:top w:val="none" w:sz="0" w:space="0" w:color="auto"/>
                <w:left w:val="none" w:sz="0" w:space="0" w:color="auto"/>
                <w:bottom w:val="none" w:sz="0" w:space="0" w:color="auto"/>
                <w:right w:val="none" w:sz="0" w:space="0" w:color="auto"/>
              </w:divBdr>
              <w:divsChild>
                <w:div w:id="46643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776943">
      <w:bodyDiv w:val="1"/>
      <w:marLeft w:val="0"/>
      <w:marRight w:val="0"/>
      <w:marTop w:val="0"/>
      <w:marBottom w:val="0"/>
      <w:divBdr>
        <w:top w:val="none" w:sz="0" w:space="0" w:color="auto"/>
        <w:left w:val="none" w:sz="0" w:space="0" w:color="auto"/>
        <w:bottom w:val="none" w:sz="0" w:space="0" w:color="auto"/>
        <w:right w:val="none" w:sz="0" w:space="0" w:color="auto"/>
      </w:divBdr>
      <w:divsChild>
        <w:div w:id="1125931605">
          <w:marLeft w:val="0"/>
          <w:marRight w:val="0"/>
          <w:marTop w:val="0"/>
          <w:marBottom w:val="0"/>
          <w:divBdr>
            <w:top w:val="none" w:sz="0" w:space="0" w:color="auto"/>
            <w:left w:val="none" w:sz="0" w:space="0" w:color="auto"/>
            <w:bottom w:val="none" w:sz="0" w:space="0" w:color="auto"/>
            <w:right w:val="none" w:sz="0" w:space="0" w:color="auto"/>
          </w:divBdr>
          <w:divsChild>
            <w:div w:id="1695955790">
              <w:marLeft w:val="0"/>
              <w:marRight w:val="0"/>
              <w:marTop w:val="0"/>
              <w:marBottom w:val="0"/>
              <w:divBdr>
                <w:top w:val="none" w:sz="0" w:space="0" w:color="auto"/>
                <w:left w:val="none" w:sz="0" w:space="0" w:color="auto"/>
                <w:bottom w:val="none" w:sz="0" w:space="0" w:color="auto"/>
                <w:right w:val="none" w:sz="0" w:space="0" w:color="auto"/>
              </w:divBdr>
              <w:divsChild>
                <w:div w:id="176515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268777">
      <w:bodyDiv w:val="1"/>
      <w:marLeft w:val="0"/>
      <w:marRight w:val="0"/>
      <w:marTop w:val="0"/>
      <w:marBottom w:val="0"/>
      <w:divBdr>
        <w:top w:val="none" w:sz="0" w:space="0" w:color="auto"/>
        <w:left w:val="none" w:sz="0" w:space="0" w:color="auto"/>
        <w:bottom w:val="none" w:sz="0" w:space="0" w:color="auto"/>
        <w:right w:val="none" w:sz="0" w:space="0" w:color="auto"/>
      </w:divBdr>
      <w:divsChild>
        <w:div w:id="1850289937">
          <w:marLeft w:val="0"/>
          <w:marRight w:val="0"/>
          <w:marTop w:val="0"/>
          <w:marBottom w:val="0"/>
          <w:divBdr>
            <w:top w:val="none" w:sz="0" w:space="0" w:color="auto"/>
            <w:left w:val="none" w:sz="0" w:space="0" w:color="auto"/>
            <w:bottom w:val="none" w:sz="0" w:space="0" w:color="auto"/>
            <w:right w:val="none" w:sz="0" w:space="0" w:color="auto"/>
          </w:divBdr>
          <w:divsChild>
            <w:div w:id="1583955388">
              <w:marLeft w:val="0"/>
              <w:marRight w:val="0"/>
              <w:marTop w:val="0"/>
              <w:marBottom w:val="0"/>
              <w:divBdr>
                <w:top w:val="none" w:sz="0" w:space="0" w:color="auto"/>
                <w:left w:val="none" w:sz="0" w:space="0" w:color="auto"/>
                <w:bottom w:val="none" w:sz="0" w:space="0" w:color="auto"/>
                <w:right w:val="none" w:sz="0" w:space="0" w:color="auto"/>
              </w:divBdr>
              <w:divsChild>
                <w:div w:id="117711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566652">
      <w:bodyDiv w:val="1"/>
      <w:marLeft w:val="0"/>
      <w:marRight w:val="0"/>
      <w:marTop w:val="0"/>
      <w:marBottom w:val="0"/>
      <w:divBdr>
        <w:top w:val="none" w:sz="0" w:space="0" w:color="auto"/>
        <w:left w:val="none" w:sz="0" w:space="0" w:color="auto"/>
        <w:bottom w:val="none" w:sz="0" w:space="0" w:color="auto"/>
        <w:right w:val="none" w:sz="0" w:space="0" w:color="auto"/>
      </w:divBdr>
      <w:divsChild>
        <w:div w:id="1002120446">
          <w:marLeft w:val="0"/>
          <w:marRight w:val="0"/>
          <w:marTop w:val="0"/>
          <w:marBottom w:val="0"/>
          <w:divBdr>
            <w:top w:val="none" w:sz="0" w:space="0" w:color="auto"/>
            <w:left w:val="none" w:sz="0" w:space="0" w:color="auto"/>
            <w:bottom w:val="none" w:sz="0" w:space="0" w:color="auto"/>
            <w:right w:val="none" w:sz="0" w:space="0" w:color="auto"/>
          </w:divBdr>
          <w:divsChild>
            <w:div w:id="287316812">
              <w:marLeft w:val="0"/>
              <w:marRight w:val="0"/>
              <w:marTop w:val="0"/>
              <w:marBottom w:val="0"/>
              <w:divBdr>
                <w:top w:val="none" w:sz="0" w:space="0" w:color="auto"/>
                <w:left w:val="none" w:sz="0" w:space="0" w:color="auto"/>
                <w:bottom w:val="none" w:sz="0" w:space="0" w:color="auto"/>
                <w:right w:val="none" w:sz="0" w:space="0" w:color="auto"/>
              </w:divBdr>
              <w:divsChild>
                <w:div w:id="28134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327076">
      <w:bodyDiv w:val="1"/>
      <w:marLeft w:val="0"/>
      <w:marRight w:val="0"/>
      <w:marTop w:val="0"/>
      <w:marBottom w:val="0"/>
      <w:divBdr>
        <w:top w:val="none" w:sz="0" w:space="0" w:color="auto"/>
        <w:left w:val="none" w:sz="0" w:space="0" w:color="auto"/>
        <w:bottom w:val="none" w:sz="0" w:space="0" w:color="auto"/>
        <w:right w:val="none" w:sz="0" w:space="0" w:color="auto"/>
      </w:divBdr>
      <w:divsChild>
        <w:div w:id="310984236">
          <w:marLeft w:val="0"/>
          <w:marRight w:val="0"/>
          <w:marTop w:val="0"/>
          <w:marBottom w:val="0"/>
          <w:divBdr>
            <w:top w:val="none" w:sz="0" w:space="0" w:color="auto"/>
            <w:left w:val="none" w:sz="0" w:space="0" w:color="auto"/>
            <w:bottom w:val="none" w:sz="0" w:space="0" w:color="auto"/>
            <w:right w:val="none" w:sz="0" w:space="0" w:color="auto"/>
          </w:divBdr>
          <w:divsChild>
            <w:div w:id="679157579">
              <w:marLeft w:val="0"/>
              <w:marRight w:val="0"/>
              <w:marTop w:val="0"/>
              <w:marBottom w:val="0"/>
              <w:divBdr>
                <w:top w:val="none" w:sz="0" w:space="0" w:color="auto"/>
                <w:left w:val="none" w:sz="0" w:space="0" w:color="auto"/>
                <w:bottom w:val="none" w:sz="0" w:space="0" w:color="auto"/>
                <w:right w:val="none" w:sz="0" w:space="0" w:color="auto"/>
              </w:divBdr>
              <w:divsChild>
                <w:div w:id="206860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399720">
      <w:bodyDiv w:val="1"/>
      <w:marLeft w:val="0"/>
      <w:marRight w:val="0"/>
      <w:marTop w:val="0"/>
      <w:marBottom w:val="0"/>
      <w:divBdr>
        <w:top w:val="none" w:sz="0" w:space="0" w:color="auto"/>
        <w:left w:val="none" w:sz="0" w:space="0" w:color="auto"/>
        <w:bottom w:val="none" w:sz="0" w:space="0" w:color="auto"/>
        <w:right w:val="none" w:sz="0" w:space="0" w:color="auto"/>
      </w:divBdr>
      <w:divsChild>
        <w:div w:id="44762931">
          <w:marLeft w:val="0"/>
          <w:marRight w:val="0"/>
          <w:marTop w:val="0"/>
          <w:marBottom w:val="0"/>
          <w:divBdr>
            <w:top w:val="none" w:sz="0" w:space="0" w:color="auto"/>
            <w:left w:val="none" w:sz="0" w:space="0" w:color="auto"/>
            <w:bottom w:val="none" w:sz="0" w:space="0" w:color="auto"/>
            <w:right w:val="none" w:sz="0" w:space="0" w:color="auto"/>
          </w:divBdr>
          <w:divsChild>
            <w:div w:id="221529677">
              <w:marLeft w:val="0"/>
              <w:marRight w:val="0"/>
              <w:marTop w:val="0"/>
              <w:marBottom w:val="0"/>
              <w:divBdr>
                <w:top w:val="none" w:sz="0" w:space="0" w:color="auto"/>
                <w:left w:val="none" w:sz="0" w:space="0" w:color="auto"/>
                <w:bottom w:val="none" w:sz="0" w:space="0" w:color="auto"/>
                <w:right w:val="none" w:sz="0" w:space="0" w:color="auto"/>
              </w:divBdr>
              <w:divsChild>
                <w:div w:id="64280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664603">
      <w:bodyDiv w:val="1"/>
      <w:marLeft w:val="0"/>
      <w:marRight w:val="0"/>
      <w:marTop w:val="0"/>
      <w:marBottom w:val="0"/>
      <w:divBdr>
        <w:top w:val="none" w:sz="0" w:space="0" w:color="auto"/>
        <w:left w:val="none" w:sz="0" w:space="0" w:color="auto"/>
        <w:bottom w:val="none" w:sz="0" w:space="0" w:color="auto"/>
        <w:right w:val="none" w:sz="0" w:space="0" w:color="auto"/>
      </w:divBdr>
      <w:divsChild>
        <w:div w:id="1424764038">
          <w:marLeft w:val="0"/>
          <w:marRight w:val="0"/>
          <w:marTop w:val="0"/>
          <w:marBottom w:val="0"/>
          <w:divBdr>
            <w:top w:val="none" w:sz="0" w:space="0" w:color="auto"/>
            <w:left w:val="none" w:sz="0" w:space="0" w:color="auto"/>
            <w:bottom w:val="none" w:sz="0" w:space="0" w:color="auto"/>
            <w:right w:val="none" w:sz="0" w:space="0" w:color="auto"/>
          </w:divBdr>
          <w:divsChild>
            <w:div w:id="1602227506">
              <w:marLeft w:val="0"/>
              <w:marRight w:val="0"/>
              <w:marTop w:val="0"/>
              <w:marBottom w:val="0"/>
              <w:divBdr>
                <w:top w:val="none" w:sz="0" w:space="0" w:color="auto"/>
                <w:left w:val="none" w:sz="0" w:space="0" w:color="auto"/>
                <w:bottom w:val="none" w:sz="0" w:space="0" w:color="auto"/>
                <w:right w:val="none" w:sz="0" w:space="0" w:color="auto"/>
              </w:divBdr>
              <w:divsChild>
                <w:div w:id="155111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356896">
      <w:bodyDiv w:val="1"/>
      <w:marLeft w:val="0"/>
      <w:marRight w:val="0"/>
      <w:marTop w:val="0"/>
      <w:marBottom w:val="0"/>
      <w:divBdr>
        <w:top w:val="none" w:sz="0" w:space="0" w:color="auto"/>
        <w:left w:val="none" w:sz="0" w:space="0" w:color="auto"/>
        <w:bottom w:val="none" w:sz="0" w:space="0" w:color="auto"/>
        <w:right w:val="none" w:sz="0" w:space="0" w:color="auto"/>
      </w:divBdr>
      <w:divsChild>
        <w:div w:id="1376851958">
          <w:marLeft w:val="0"/>
          <w:marRight w:val="0"/>
          <w:marTop w:val="0"/>
          <w:marBottom w:val="0"/>
          <w:divBdr>
            <w:top w:val="none" w:sz="0" w:space="0" w:color="auto"/>
            <w:left w:val="none" w:sz="0" w:space="0" w:color="auto"/>
            <w:bottom w:val="none" w:sz="0" w:space="0" w:color="auto"/>
            <w:right w:val="none" w:sz="0" w:space="0" w:color="auto"/>
          </w:divBdr>
          <w:divsChild>
            <w:div w:id="1044064014">
              <w:marLeft w:val="0"/>
              <w:marRight w:val="0"/>
              <w:marTop w:val="0"/>
              <w:marBottom w:val="0"/>
              <w:divBdr>
                <w:top w:val="none" w:sz="0" w:space="0" w:color="auto"/>
                <w:left w:val="none" w:sz="0" w:space="0" w:color="auto"/>
                <w:bottom w:val="none" w:sz="0" w:space="0" w:color="auto"/>
                <w:right w:val="none" w:sz="0" w:space="0" w:color="auto"/>
              </w:divBdr>
              <w:divsChild>
                <w:div w:id="166273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612179">
      <w:bodyDiv w:val="1"/>
      <w:marLeft w:val="0"/>
      <w:marRight w:val="0"/>
      <w:marTop w:val="0"/>
      <w:marBottom w:val="0"/>
      <w:divBdr>
        <w:top w:val="none" w:sz="0" w:space="0" w:color="auto"/>
        <w:left w:val="none" w:sz="0" w:space="0" w:color="auto"/>
        <w:bottom w:val="none" w:sz="0" w:space="0" w:color="auto"/>
        <w:right w:val="none" w:sz="0" w:space="0" w:color="auto"/>
      </w:divBdr>
      <w:divsChild>
        <w:div w:id="1790398378">
          <w:marLeft w:val="0"/>
          <w:marRight w:val="0"/>
          <w:marTop w:val="0"/>
          <w:marBottom w:val="0"/>
          <w:divBdr>
            <w:top w:val="none" w:sz="0" w:space="0" w:color="auto"/>
            <w:left w:val="none" w:sz="0" w:space="0" w:color="auto"/>
            <w:bottom w:val="none" w:sz="0" w:space="0" w:color="auto"/>
            <w:right w:val="none" w:sz="0" w:space="0" w:color="auto"/>
          </w:divBdr>
          <w:divsChild>
            <w:div w:id="842473250">
              <w:marLeft w:val="0"/>
              <w:marRight w:val="0"/>
              <w:marTop w:val="0"/>
              <w:marBottom w:val="0"/>
              <w:divBdr>
                <w:top w:val="none" w:sz="0" w:space="0" w:color="auto"/>
                <w:left w:val="none" w:sz="0" w:space="0" w:color="auto"/>
                <w:bottom w:val="none" w:sz="0" w:space="0" w:color="auto"/>
                <w:right w:val="none" w:sz="0" w:space="0" w:color="auto"/>
              </w:divBdr>
              <w:divsChild>
                <w:div w:id="166874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771790">
      <w:bodyDiv w:val="1"/>
      <w:marLeft w:val="0"/>
      <w:marRight w:val="0"/>
      <w:marTop w:val="0"/>
      <w:marBottom w:val="0"/>
      <w:divBdr>
        <w:top w:val="none" w:sz="0" w:space="0" w:color="auto"/>
        <w:left w:val="none" w:sz="0" w:space="0" w:color="auto"/>
        <w:bottom w:val="none" w:sz="0" w:space="0" w:color="auto"/>
        <w:right w:val="none" w:sz="0" w:space="0" w:color="auto"/>
      </w:divBdr>
      <w:divsChild>
        <w:div w:id="1691755814">
          <w:marLeft w:val="0"/>
          <w:marRight w:val="0"/>
          <w:marTop w:val="0"/>
          <w:marBottom w:val="0"/>
          <w:divBdr>
            <w:top w:val="none" w:sz="0" w:space="0" w:color="auto"/>
            <w:left w:val="none" w:sz="0" w:space="0" w:color="auto"/>
            <w:bottom w:val="none" w:sz="0" w:space="0" w:color="auto"/>
            <w:right w:val="none" w:sz="0" w:space="0" w:color="auto"/>
          </w:divBdr>
          <w:divsChild>
            <w:div w:id="1479346766">
              <w:marLeft w:val="0"/>
              <w:marRight w:val="0"/>
              <w:marTop w:val="0"/>
              <w:marBottom w:val="0"/>
              <w:divBdr>
                <w:top w:val="none" w:sz="0" w:space="0" w:color="auto"/>
                <w:left w:val="none" w:sz="0" w:space="0" w:color="auto"/>
                <w:bottom w:val="none" w:sz="0" w:space="0" w:color="auto"/>
                <w:right w:val="none" w:sz="0" w:space="0" w:color="auto"/>
              </w:divBdr>
              <w:divsChild>
                <w:div w:id="100455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081495">
      <w:bodyDiv w:val="1"/>
      <w:marLeft w:val="0"/>
      <w:marRight w:val="0"/>
      <w:marTop w:val="0"/>
      <w:marBottom w:val="0"/>
      <w:divBdr>
        <w:top w:val="none" w:sz="0" w:space="0" w:color="auto"/>
        <w:left w:val="none" w:sz="0" w:space="0" w:color="auto"/>
        <w:bottom w:val="none" w:sz="0" w:space="0" w:color="auto"/>
        <w:right w:val="none" w:sz="0" w:space="0" w:color="auto"/>
      </w:divBdr>
      <w:divsChild>
        <w:div w:id="359207882">
          <w:marLeft w:val="0"/>
          <w:marRight w:val="0"/>
          <w:marTop w:val="0"/>
          <w:marBottom w:val="0"/>
          <w:divBdr>
            <w:top w:val="none" w:sz="0" w:space="0" w:color="auto"/>
            <w:left w:val="none" w:sz="0" w:space="0" w:color="auto"/>
            <w:bottom w:val="none" w:sz="0" w:space="0" w:color="auto"/>
            <w:right w:val="none" w:sz="0" w:space="0" w:color="auto"/>
          </w:divBdr>
          <w:divsChild>
            <w:div w:id="1615602037">
              <w:marLeft w:val="0"/>
              <w:marRight w:val="0"/>
              <w:marTop w:val="0"/>
              <w:marBottom w:val="0"/>
              <w:divBdr>
                <w:top w:val="none" w:sz="0" w:space="0" w:color="auto"/>
                <w:left w:val="none" w:sz="0" w:space="0" w:color="auto"/>
                <w:bottom w:val="none" w:sz="0" w:space="0" w:color="auto"/>
                <w:right w:val="none" w:sz="0" w:space="0" w:color="auto"/>
              </w:divBdr>
              <w:divsChild>
                <w:div w:id="185291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020627">
      <w:bodyDiv w:val="1"/>
      <w:marLeft w:val="0"/>
      <w:marRight w:val="0"/>
      <w:marTop w:val="0"/>
      <w:marBottom w:val="0"/>
      <w:divBdr>
        <w:top w:val="none" w:sz="0" w:space="0" w:color="auto"/>
        <w:left w:val="none" w:sz="0" w:space="0" w:color="auto"/>
        <w:bottom w:val="none" w:sz="0" w:space="0" w:color="auto"/>
        <w:right w:val="none" w:sz="0" w:space="0" w:color="auto"/>
      </w:divBdr>
      <w:divsChild>
        <w:div w:id="1012072510">
          <w:marLeft w:val="0"/>
          <w:marRight w:val="0"/>
          <w:marTop w:val="0"/>
          <w:marBottom w:val="0"/>
          <w:divBdr>
            <w:top w:val="none" w:sz="0" w:space="0" w:color="auto"/>
            <w:left w:val="none" w:sz="0" w:space="0" w:color="auto"/>
            <w:bottom w:val="none" w:sz="0" w:space="0" w:color="auto"/>
            <w:right w:val="none" w:sz="0" w:space="0" w:color="auto"/>
          </w:divBdr>
          <w:divsChild>
            <w:div w:id="227304797">
              <w:marLeft w:val="0"/>
              <w:marRight w:val="0"/>
              <w:marTop w:val="0"/>
              <w:marBottom w:val="0"/>
              <w:divBdr>
                <w:top w:val="none" w:sz="0" w:space="0" w:color="auto"/>
                <w:left w:val="none" w:sz="0" w:space="0" w:color="auto"/>
                <w:bottom w:val="none" w:sz="0" w:space="0" w:color="auto"/>
                <w:right w:val="none" w:sz="0" w:space="0" w:color="auto"/>
              </w:divBdr>
              <w:divsChild>
                <w:div w:id="168620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13461">
      <w:bodyDiv w:val="1"/>
      <w:marLeft w:val="0"/>
      <w:marRight w:val="0"/>
      <w:marTop w:val="0"/>
      <w:marBottom w:val="0"/>
      <w:divBdr>
        <w:top w:val="none" w:sz="0" w:space="0" w:color="auto"/>
        <w:left w:val="none" w:sz="0" w:space="0" w:color="auto"/>
        <w:bottom w:val="none" w:sz="0" w:space="0" w:color="auto"/>
        <w:right w:val="none" w:sz="0" w:space="0" w:color="auto"/>
      </w:divBdr>
      <w:divsChild>
        <w:div w:id="289291667">
          <w:marLeft w:val="0"/>
          <w:marRight w:val="0"/>
          <w:marTop w:val="0"/>
          <w:marBottom w:val="0"/>
          <w:divBdr>
            <w:top w:val="none" w:sz="0" w:space="0" w:color="auto"/>
            <w:left w:val="none" w:sz="0" w:space="0" w:color="auto"/>
            <w:bottom w:val="none" w:sz="0" w:space="0" w:color="auto"/>
            <w:right w:val="none" w:sz="0" w:space="0" w:color="auto"/>
          </w:divBdr>
          <w:divsChild>
            <w:div w:id="533545599">
              <w:marLeft w:val="0"/>
              <w:marRight w:val="0"/>
              <w:marTop w:val="0"/>
              <w:marBottom w:val="0"/>
              <w:divBdr>
                <w:top w:val="none" w:sz="0" w:space="0" w:color="auto"/>
                <w:left w:val="none" w:sz="0" w:space="0" w:color="auto"/>
                <w:bottom w:val="none" w:sz="0" w:space="0" w:color="auto"/>
                <w:right w:val="none" w:sz="0" w:space="0" w:color="auto"/>
              </w:divBdr>
              <w:divsChild>
                <w:div w:id="530846635">
                  <w:marLeft w:val="0"/>
                  <w:marRight w:val="0"/>
                  <w:marTop w:val="0"/>
                  <w:marBottom w:val="0"/>
                  <w:divBdr>
                    <w:top w:val="none" w:sz="0" w:space="0" w:color="auto"/>
                    <w:left w:val="none" w:sz="0" w:space="0" w:color="auto"/>
                    <w:bottom w:val="none" w:sz="0" w:space="0" w:color="auto"/>
                    <w:right w:val="none" w:sz="0" w:space="0" w:color="auto"/>
                  </w:divBdr>
                  <w:divsChild>
                    <w:div w:id="154910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471077">
      <w:bodyDiv w:val="1"/>
      <w:marLeft w:val="0"/>
      <w:marRight w:val="0"/>
      <w:marTop w:val="0"/>
      <w:marBottom w:val="0"/>
      <w:divBdr>
        <w:top w:val="none" w:sz="0" w:space="0" w:color="auto"/>
        <w:left w:val="none" w:sz="0" w:space="0" w:color="auto"/>
        <w:bottom w:val="none" w:sz="0" w:space="0" w:color="auto"/>
        <w:right w:val="none" w:sz="0" w:space="0" w:color="auto"/>
      </w:divBdr>
      <w:divsChild>
        <w:div w:id="1950773078">
          <w:marLeft w:val="0"/>
          <w:marRight w:val="0"/>
          <w:marTop w:val="0"/>
          <w:marBottom w:val="0"/>
          <w:divBdr>
            <w:top w:val="none" w:sz="0" w:space="0" w:color="auto"/>
            <w:left w:val="none" w:sz="0" w:space="0" w:color="auto"/>
            <w:bottom w:val="none" w:sz="0" w:space="0" w:color="auto"/>
            <w:right w:val="none" w:sz="0" w:space="0" w:color="auto"/>
          </w:divBdr>
          <w:divsChild>
            <w:div w:id="251280531">
              <w:marLeft w:val="0"/>
              <w:marRight w:val="0"/>
              <w:marTop w:val="0"/>
              <w:marBottom w:val="0"/>
              <w:divBdr>
                <w:top w:val="none" w:sz="0" w:space="0" w:color="auto"/>
                <w:left w:val="none" w:sz="0" w:space="0" w:color="auto"/>
                <w:bottom w:val="none" w:sz="0" w:space="0" w:color="auto"/>
                <w:right w:val="none" w:sz="0" w:space="0" w:color="auto"/>
              </w:divBdr>
              <w:divsChild>
                <w:div w:id="2571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638734">
      <w:bodyDiv w:val="1"/>
      <w:marLeft w:val="0"/>
      <w:marRight w:val="0"/>
      <w:marTop w:val="0"/>
      <w:marBottom w:val="0"/>
      <w:divBdr>
        <w:top w:val="none" w:sz="0" w:space="0" w:color="auto"/>
        <w:left w:val="none" w:sz="0" w:space="0" w:color="auto"/>
        <w:bottom w:val="none" w:sz="0" w:space="0" w:color="auto"/>
        <w:right w:val="none" w:sz="0" w:space="0" w:color="auto"/>
      </w:divBdr>
      <w:divsChild>
        <w:div w:id="101922778">
          <w:marLeft w:val="0"/>
          <w:marRight w:val="0"/>
          <w:marTop w:val="0"/>
          <w:marBottom w:val="0"/>
          <w:divBdr>
            <w:top w:val="none" w:sz="0" w:space="0" w:color="auto"/>
            <w:left w:val="none" w:sz="0" w:space="0" w:color="auto"/>
            <w:bottom w:val="none" w:sz="0" w:space="0" w:color="auto"/>
            <w:right w:val="none" w:sz="0" w:space="0" w:color="auto"/>
          </w:divBdr>
          <w:divsChild>
            <w:div w:id="1441606479">
              <w:marLeft w:val="0"/>
              <w:marRight w:val="0"/>
              <w:marTop w:val="0"/>
              <w:marBottom w:val="0"/>
              <w:divBdr>
                <w:top w:val="none" w:sz="0" w:space="0" w:color="auto"/>
                <w:left w:val="none" w:sz="0" w:space="0" w:color="auto"/>
                <w:bottom w:val="none" w:sz="0" w:space="0" w:color="auto"/>
                <w:right w:val="none" w:sz="0" w:space="0" w:color="auto"/>
              </w:divBdr>
              <w:divsChild>
                <w:div w:id="10049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28940">
      <w:bodyDiv w:val="1"/>
      <w:marLeft w:val="0"/>
      <w:marRight w:val="0"/>
      <w:marTop w:val="0"/>
      <w:marBottom w:val="0"/>
      <w:divBdr>
        <w:top w:val="none" w:sz="0" w:space="0" w:color="auto"/>
        <w:left w:val="none" w:sz="0" w:space="0" w:color="auto"/>
        <w:bottom w:val="none" w:sz="0" w:space="0" w:color="auto"/>
        <w:right w:val="none" w:sz="0" w:space="0" w:color="auto"/>
      </w:divBdr>
      <w:divsChild>
        <w:div w:id="1219124963">
          <w:marLeft w:val="0"/>
          <w:marRight w:val="0"/>
          <w:marTop w:val="0"/>
          <w:marBottom w:val="0"/>
          <w:divBdr>
            <w:top w:val="none" w:sz="0" w:space="0" w:color="auto"/>
            <w:left w:val="none" w:sz="0" w:space="0" w:color="auto"/>
            <w:bottom w:val="none" w:sz="0" w:space="0" w:color="auto"/>
            <w:right w:val="none" w:sz="0" w:space="0" w:color="auto"/>
          </w:divBdr>
          <w:divsChild>
            <w:div w:id="1106970506">
              <w:marLeft w:val="0"/>
              <w:marRight w:val="0"/>
              <w:marTop w:val="0"/>
              <w:marBottom w:val="0"/>
              <w:divBdr>
                <w:top w:val="none" w:sz="0" w:space="0" w:color="auto"/>
                <w:left w:val="none" w:sz="0" w:space="0" w:color="auto"/>
                <w:bottom w:val="none" w:sz="0" w:space="0" w:color="auto"/>
                <w:right w:val="none" w:sz="0" w:space="0" w:color="auto"/>
              </w:divBdr>
              <w:divsChild>
                <w:div w:id="108614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812915">
      <w:bodyDiv w:val="1"/>
      <w:marLeft w:val="0"/>
      <w:marRight w:val="0"/>
      <w:marTop w:val="0"/>
      <w:marBottom w:val="0"/>
      <w:divBdr>
        <w:top w:val="none" w:sz="0" w:space="0" w:color="auto"/>
        <w:left w:val="none" w:sz="0" w:space="0" w:color="auto"/>
        <w:bottom w:val="none" w:sz="0" w:space="0" w:color="auto"/>
        <w:right w:val="none" w:sz="0" w:space="0" w:color="auto"/>
      </w:divBdr>
      <w:divsChild>
        <w:div w:id="1847791766">
          <w:marLeft w:val="0"/>
          <w:marRight w:val="0"/>
          <w:marTop w:val="0"/>
          <w:marBottom w:val="0"/>
          <w:divBdr>
            <w:top w:val="none" w:sz="0" w:space="0" w:color="auto"/>
            <w:left w:val="none" w:sz="0" w:space="0" w:color="auto"/>
            <w:bottom w:val="none" w:sz="0" w:space="0" w:color="auto"/>
            <w:right w:val="none" w:sz="0" w:space="0" w:color="auto"/>
          </w:divBdr>
          <w:divsChild>
            <w:div w:id="1442217051">
              <w:marLeft w:val="0"/>
              <w:marRight w:val="0"/>
              <w:marTop w:val="0"/>
              <w:marBottom w:val="0"/>
              <w:divBdr>
                <w:top w:val="none" w:sz="0" w:space="0" w:color="auto"/>
                <w:left w:val="none" w:sz="0" w:space="0" w:color="auto"/>
                <w:bottom w:val="none" w:sz="0" w:space="0" w:color="auto"/>
                <w:right w:val="none" w:sz="0" w:space="0" w:color="auto"/>
              </w:divBdr>
              <w:divsChild>
                <w:div w:id="77536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37406">
      <w:bodyDiv w:val="1"/>
      <w:marLeft w:val="0"/>
      <w:marRight w:val="0"/>
      <w:marTop w:val="0"/>
      <w:marBottom w:val="0"/>
      <w:divBdr>
        <w:top w:val="none" w:sz="0" w:space="0" w:color="auto"/>
        <w:left w:val="none" w:sz="0" w:space="0" w:color="auto"/>
        <w:bottom w:val="none" w:sz="0" w:space="0" w:color="auto"/>
        <w:right w:val="none" w:sz="0" w:space="0" w:color="auto"/>
      </w:divBdr>
      <w:divsChild>
        <w:div w:id="1481460046">
          <w:marLeft w:val="0"/>
          <w:marRight w:val="0"/>
          <w:marTop w:val="0"/>
          <w:marBottom w:val="0"/>
          <w:divBdr>
            <w:top w:val="none" w:sz="0" w:space="0" w:color="auto"/>
            <w:left w:val="none" w:sz="0" w:space="0" w:color="auto"/>
            <w:bottom w:val="none" w:sz="0" w:space="0" w:color="auto"/>
            <w:right w:val="none" w:sz="0" w:space="0" w:color="auto"/>
          </w:divBdr>
          <w:divsChild>
            <w:div w:id="1895773517">
              <w:marLeft w:val="0"/>
              <w:marRight w:val="0"/>
              <w:marTop w:val="0"/>
              <w:marBottom w:val="0"/>
              <w:divBdr>
                <w:top w:val="none" w:sz="0" w:space="0" w:color="auto"/>
                <w:left w:val="none" w:sz="0" w:space="0" w:color="auto"/>
                <w:bottom w:val="none" w:sz="0" w:space="0" w:color="auto"/>
                <w:right w:val="none" w:sz="0" w:space="0" w:color="auto"/>
              </w:divBdr>
              <w:divsChild>
                <w:div w:id="99295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82815">
      <w:bodyDiv w:val="1"/>
      <w:marLeft w:val="0"/>
      <w:marRight w:val="0"/>
      <w:marTop w:val="0"/>
      <w:marBottom w:val="0"/>
      <w:divBdr>
        <w:top w:val="none" w:sz="0" w:space="0" w:color="auto"/>
        <w:left w:val="none" w:sz="0" w:space="0" w:color="auto"/>
        <w:bottom w:val="none" w:sz="0" w:space="0" w:color="auto"/>
        <w:right w:val="none" w:sz="0" w:space="0" w:color="auto"/>
      </w:divBdr>
      <w:divsChild>
        <w:div w:id="1539661239">
          <w:marLeft w:val="0"/>
          <w:marRight w:val="0"/>
          <w:marTop w:val="0"/>
          <w:marBottom w:val="0"/>
          <w:divBdr>
            <w:top w:val="none" w:sz="0" w:space="0" w:color="auto"/>
            <w:left w:val="none" w:sz="0" w:space="0" w:color="auto"/>
            <w:bottom w:val="none" w:sz="0" w:space="0" w:color="auto"/>
            <w:right w:val="none" w:sz="0" w:space="0" w:color="auto"/>
          </w:divBdr>
          <w:divsChild>
            <w:div w:id="968434306">
              <w:marLeft w:val="0"/>
              <w:marRight w:val="0"/>
              <w:marTop w:val="0"/>
              <w:marBottom w:val="0"/>
              <w:divBdr>
                <w:top w:val="none" w:sz="0" w:space="0" w:color="auto"/>
                <w:left w:val="none" w:sz="0" w:space="0" w:color="auto"/>
                <w:bottom w:val="none" w:sz="0" w:space="0" w:color="auto"/>
                <w:right w:val="none" w:sz="0" w:space="0" w:color="auto"/>
              </w:divBdr>
              <w:divsChild>
                <w:div w:id="6109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155277">
      <w:bodyDiv w:val="1"/>
      <w:marLeft w:val="0"/>
      <w:marRight w:val="0"/>
      <w:marTop w:val="0"/>
      <w:marBottom w:val="0"/>
      <w:divBdr>
        <w:top w:val="none" w:sz="0" w:space="0" w:color="auto"/>
        <w:left w:val="none" w:sz="0" w:space="0" w:color="auto"/>
        <w:bottom w:val="none" w:sz="0" w:space="0" w:color="auto"/>
        <w:right w:val="none" w:sz="0" w:space="0" w:color="auto"/>
      </w:divBdr>
      <w:divsChild>
        <w:div w:id="175653525">
          <w:marLeft w:val="0"/>
          <w:marRight w:val="0"/>
          <w:marTop w:val="0"/>
          <w:marBottom w:val="0"/>
          <w:divBdr>
            <w:top w:val="none" w:sz="0" w:space="0" w:color="auto"/>
            <w:left w:val="none" w:sz="0" w:space="0" w:color="auto"/>
            <w:bottom w:val="none" w:sz="0" w:space="0" w:color="auto"/>
            <w:right w:val="none" w:sz="0" w:space="0" w:color="auto"/>
          </w:divBdr>
          <w:divsChild>
            <w:div w:id="111292653">
              <w:marLeft w:val="0"/>
              <w:marRight w:val="0"/>
              <w:marTop w:val="0"/>
              <w:marBottom w:val="0"/>
              <w:divBdr>
                <w:top w:val="none" w:sz="0" w:space="0" w:color="auto"/>
                <w:left w:val="none" w:sz="0" w:space="0" w:color="auto"/>
                <w:bottom w:val="none" w:sz="0" w:space="0" w:color="auto"/>
                <w:right w:val="none" w:sz="0" w:space="0" w:color="auto"/>
              </w:divBdr>
              <w:divsChild>
                <w:div w:id="61664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81111">
      <w:bodyDiv w:val="1"/>
      <w:marLeft w:val="0"/>
      <w:marRight w:val="0"/>
      <w:marTop w:val="0"/>
      <w:marBottom w:val="0"/>
      <w:divBdr>
        <w:top w:val="none" w:sz="0" w:space="0" w:color="auto"/>
        <w:left w:val="none" w:sz="0" w:space="0" w:color="auto"/>
        <w:bottom w:val="none" w:sz="0" w:space="0" w:color="auto"/>
        <w:right w:val="none" w:sz="0" w:space="0" w:color="auto"/>
      </w:divBdr>
      <w:divsChild>
        <w:div w:id="1518889263">
          <w:marLeft w:val="0"/>
          <w:marRight w:val="0"/>
          <w:marTop w:val="0"/>
          <w:marBottom w:val="0"/>
          <w:divBdr>
            <w:top w:val="none" w:sz="0" w:space="0" w:color="auto"/>
            <w:left w:val="none" w:sz="0" w:space="0" w:color="auto"/>
            <w:bottom w:val="none" w:sz="0" w:space="0" w:color="auto"/>
            <w:right w:val="none" w:sz="0" w:space="0" w:color="auto"/>
          </w:divBdr>
          <w:divsChild>
            <w:div w:id="79327746">
              <w:marLeft w:val="0"/>
              <w:marRight w:val="0"/>
              <w:marTop w:val="0"/>
              <w:marBottom w:val="0"/>
              <w:divBdr>
                <w:top w:val="none" w:sz="0" w:space="0" w:color="auto"/>
                <w:left w:val="none" w:sz="0" w:space="0" w:color="auto"/>
                <w:bottom w:val="none" w:sz="0" w:space="0" w:color="auto"/>
                <w:right w:val="none" w:sz="0" w:space="0" w:color="auto"/>
              </w:divBdr>
              <w:divsChild>
                <w:div w:id="61984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12071">
      <w:bodyDiv w:val="1"/>
      <w:marLeft w:val="0"/>
      <w:marRight w:val="0"/>
      <w:marTop w:val="0"/>
      <w:marBottom w:val="0"/>
      <w:divBdr>
        <w:top w:val="none" w:sz="0" w:space="0" w:color="auto"/>
        <w:left w:val="none" w:sz="0" w:space="0" w:color="auto"/>
        <w:bottom w:val="none" w:sz="0" w:space="0" w:color="auto"/>
        <w:right w:val="none" w:sz="0" w:space="0" w:color="auto"/>
      </w:divBdr>
      <w:divsChild>
        <w:div w:id="1336615694">
          <w:marLeft w:val="0"/>
          <w:marRight w:val="0"/>
          <w:marTop w:val="0"/>
          <w:marBottom w:val="0"/>
          <w:divBdr>
            <w:top w:val="none" w:sz="0" w:space="0" w:color="auto"/>
            <w:left w:val="none" w:sz="0" w:space="0" w:color="auto"/>
            <w:bottom w:val="none" w:sz="0" w:space="0" w:color="auto"/>
            <w:right w:val="none" w:sz="0" w:space="0" w:color="auto"/>
          </w:divBdr>
          <w:divsChild>
            <w:div w:id="1689598321">
              <w:marLeft w:val="0"/>
              <w:marRight w:val="0"/>
              <w:marTop w:val="0"/>
              <w:marBottom w:val="0"/>
              <w:divBdr>
                <w:top w:val="none" w:sz="0" w:space="0" w:color="auto"/>
                <w:left w:val="none" w:sz="0" w:space="0" w:color="auto"/>
                <w:bottom w:val="none" w:sz="0" w:space="0" w:color="auto"/>
                <w:right w:val="none" w:sz="0" w:space="0" w:color="auto"/>
              </w:divBdr>
              <w:divsChild>
                <w:div w:id="521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390199">
      <w:bodyDiv w:val="1"/>
      <w:marLeft w:val="0"/>
      <w:marRight w:val="0"/>
      <w:marTop w:val="0"/>
      <w:marBottom w:val="0"/>
      <w:divBdr>
        <w:top w:val="none" w:sz="0" w:space="0" w:color="auto"/>
        <w:left w:val="none" w:sz="0" w:space="0" w:color="auto"/>
        <w:bottom w:val="none" w:sz="0" w:space="0" w:color="auto"/>
        <w:right w:val="none" w:sz="0" w:space="0" w:color="auto"/>
      </w:divBdr>
      <w:divsChild>
        <w:div w:id="1684628613">
          <w:marLeft w:val="0"/>
          <w:marRight w:val="0"/>
          <w:marTop w:val="0"/>
          <w:marBottom w:val="0"/>
          <w:divBdr>
            <w:top w:val="none" w:sz="0" w:space="0" w:color="auto"/>
            <w:left w:val="none" w:sz="0" w:space="0" w:color="auto"/>
            <w:bottom w:val="none" w:sz="0" w:space="0" w:color="auto"/>
            <w:right w:val="none" w:sz="0" w:space="0" w:color="auto"/>
          </w:divBdr>
          <w:divsChild>
            <w:div w:id="438724711">
              <w:marLeft w:val="0"/>
              <w:marRight w:val="0"/>
              <w:marTop w:val="0"/>
              <w:marBottom w:val="0"/>
              <w:divBdr>
                <w:top w:val="none" w:sz="0" w:space="0" w:color="auto"/>
                <w:left w:val="none" w:sz="0" w:space="0" w:color="auto"/>
                <w:bottom w:val="none" w:sz="0" w:space="0" w:color="auto"/>
                <w:right w:val="none" w:sz="0" w:space="0" w:color="auto"/>
              </w:divBdr>
              <w:divsChild>
                <w:div w:id="171897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78178">
      <w:bodyDiv w:val="1"/>
      <w:marLeft w:val="0"/>
      <w:marRight w:val="0"/>
      <w:marTop w:val="0"/>
      <w:marBottom w:val="0"/>
      <w:divBdr>
        <w:top w:val="none" w:sz="0" w:space="0" w:color="auto"/>
        <w:left w:val="none" w:sz="0" w:space="0" w:color="auto"/>
        <w:bottom w:val="none" w:sz="0" w:space="0" w:color="auto"/>
        <w:right w:val="none" w:sz="0" w:space="0" w:color="auto"/>
      </w:divBdr>
      <w:divsChild>
        <w:div w:id="1198590178">
          <w:marLeft w:val="0"/>
          <w:marRight w:val="0"/>
          <w:marTop w:val="0"/>
          <w:marBottom w:val="0"/>
          <w:divBdr>
            <w:top w:val="none" w:sz="0" w:space="0" w:color="auto"/>
            <w:left w:val="none" w:sz="0" w:space="0" w:color="auto"/>
            <w:bottom w:val="none" w:sz="0" w:space="0" w:color="auto"/>
            <w:right w:val="none" w:sz="0" w:space="0" w:color="auto"/>
          </w:divBdr>
          <w:divsChild>
            <w:div w:id="111214657">
              <w:marLeft w:val="0"/>
              <w:marRight w:val="0"/>
              <w:marTop w:val="0"/>
              <w:marBottom w:val="0"/>
              <w:divBdr>
                <w:top w:val="none" w:sz="0" w:space="0" w:color="auto"/>
                <w:left w:val="none" w:sz="0" w:space="0" w:color="auto"/>
                <w:bottom w:val="none" w:sz="0" w:space="0" w:color="auto"/>
                <w:right w:val="none" w:sz="0" w:space="0" w:color="auto"/>
              </w:divBdr>
              <w:divsChild>
                <w:div w:id="69836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929252">
      <w:bodyDiv w:val="1"/>
      <w:marLeft w:val="0"/>
      <w:marRight w:val="0"/>
      <w:marTop w:val="0"/>
      <w:marBottom w:val="0"/>
      <w:divBdr>
        <w:top w:val="none" w:sz="0" w:space="0" w:color="auto"/>
        <w:left w:val="none" w:sz="0" w:space="0" w:color="auto"/>
        <w:bottom w:val="none" w:sz="0" w:space="0" w:color="auto"/>
        <w:right w:val="none" w:sz="0" w:space="0" w:color="auto"/>
      </w:divBdr>
      <w:divsChild>
        <w:div w:id="1489403502">
          <w:marLeft w:val="0"/>
          <w:marRight w:val="0"/>
          <w:marTop w:val="0"/>
          <w:marBottom w:val="0"/>
          <w:divBdr>
            <w:top w:val="none" w:sz="0" w:space="0" w:color="auto"/>
            <w:left w:val="none" w:sz="0" w:space="0" w:color="auto"/>
            <w:bottom w:val="none" w:sz="0" w:space="0" w:color="auto"/>
            <w:right w:val="none" w:sz="0" w:space="0" w:color="auto"/>
          </w:divBdr>
          <w:divsChild>
            <w:div w:id="1955554850">
              <w:marLeft w:val="0"/>
              <w:marRight w:val="0"/>
              <w:marTop w:val="0"/>
              <w:marBottom w:val="0"/>
              <w:divBdr>
                <w:top w:val="none" w:sz="0" w:space="0" w:color="auto"/>
                <w:left w:val="none" w:sz="0" w:space="0" w:color="auto"/>
                <w:bottom w:val="none" w:sz="0" w:space="0" w:color="auto"/>
                <w:right w:val="none" w:sz="0" w:space="0" w:color="auto"/>
              </w:divBdr>
              <w:divsChild>
                <w:div w:id="61849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210824">
      <w:bodyDiv w:val="1"/>
      <w:marLeft w:val="0"/>
      <w:marRight w:val="0"/>
      <w:marTop w:val="0"/>
      <w:marBottom w:val="0"/>
      <w:divBdr>
        <w:top w:val="none" w:sz="0" w:space="0" w:color="auto"/>
        <w:left w:val="none" w:sz="0" w:space="0" w:color="auto"/>
        <w:bottom w:val="none" w:sz="0" w:space="0" w:color="auto"/>
        <w:right w:val="none" w:sz="0" w:space="0" w:color="auto"/>
      </w:divBdr>
      <w:divsChild>
        <w:div w:id="1998799856">
          <w:marLeft w:val="0"/>
          <w:marRight w:val="0"/>
          <w:marTop w:val="0"/>
          <w:marBottom w:val="0"/>
          <w:divBdr>
            <w:top w:val="none" w:sz="0" w:space="0" w:color="auto"/>
            <w:left w:val="none" w:sz="0" w:space="0" w:color="auto"/>
            <w:bottom w:val="none" w:sz="0" w:space="0" w:color="auto"/>
            <w:right w:val="none" w:sz="0" w:space="0" w:color="auto"/>
          </w:divBdr>
          <w:divsChild>
            <w:div w:id="565533705">
              <w:marLeft w:val="0"/>
              <w:marRight w:val="0"/>
              <w:marTop w:val="0"/>
              <w:marBottom w:val="0"/>
              <w:divBdr>
                <w:top w:val="none" w:sz="0" w:space="0" w:color="auto"/>
                <w:left w:val="none" w:sz="0" w:space="0" w:color="auto"/>
                <w:bottom w:val="none" w:sz="0" w:space="0" w:color="auto"/>
                <w:right w:val="none" w:sz="0" w:space="0" w:color="auto"/>
              </w:divBdr>
              <w:divsChild>
                <w:div w:id="210734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626849">
      <w:bodyDiv w:val="1"/>
      <w:marLeft w:val="0"/>
      <w:marRight w:val="0"/>
      <w:marTop w:val="0"/>
      <w:marBottom w:val="0"/>
      <w:divBdr>
        <w:top w:val="none" w:sz="0" w:space="0" w:color="auto"/>
        <w:left w:val="none" w:sz="0" w:space="0" w:color="auto"/>
        <w:bottom w:val="none" w:sz="0" w:space="0" w:color="auto"/>
        <w:right w:val="none" w:sz="0" w:space="0" w:color="auto"/>
      </w:divBdr>
      <w:divsChild>
        <w:div w:id="1719206541">
          <w:marLeft w:val="0"/>
          <w:marRight w:val="0"/>
          <w:marTop w:val="0"/>
          <w:marBottom w:val="0"/>
          <w:divBdr>
            <w:top w:val="none" w:sz="0" w:space="0" w:color="auto"/>
            <w:left w:val="none" w:sz="0" w:space="0" w:color="auto"/>
            <w:bottom w:val="none" w:sz="0" w:space="0" w:color="auto"/>
            <w:right w:val="none" w:sz="0" w:space="0" w:color="auto"/>
          </w:divBdr>
          <w:divsChild>
            <w:div w:id="1518813735">
              <w:marLeft w:val="0"/>
              <w:marRight w:val="0"/>
              <w:marTop w:val="0"/>
              <w:marBottom w:val="0"/>
              <w:divBdr>
                <w:top w:val="none" w:sz="0" w:space="0" w:color="auto"/>
                <w:left w:val="none" w:sz="0" w:space="0" w:color="auto"/>
                <w:bottom w:val="none" w:sz="0" w:space="0" w:color="auto"/>
                <w:right w:val="none" w:sz="0" w:space="0" w:color="auto"/>
              </w:divBdr>
              <w:divsChild>
                <w:div w:id="151830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208581">
      <w:bodyDiv w:val="1"/>
      <w:marLeft w:val="0"/>
      <w:marRight w:val="0"/>
      <w:marTop w:val="0"/>
      <w:marBottom w:val="0"/>
      <w:divBdr>
        <w:top w:val="none" w:sz="0" w:space="0" w:color="auto"/>
        <w:left w:val="none" w:sz="0" w:space="0" w:color="auto"/>
        <w:bottom w:val="none" w:sz="0" w:space="0" w:color="auto"/>
        <w:right w:val="none" w:sz="0" w:space="0" w:color="auto"/>
      </w:divBdr>
      <w:divsChild>
        <w:div w:id="723455506">
          <w:marLeft w:val="0"/>
          <w:marRight w:val="0"/>
          <w:marTop w:val="0"/>
          <w:marBottom w:val="0"/>
          <w:divBdr>
            <w:top w:val="none" w:sz="0" w:space="0" w:color="auto"/>
            <w:left w:val="none" w:sz="0" w:space="0" w:color="auto"/>
            <w:bottom w:val="none" w:sz="0" w:space="0" w:color="auto"/>
            <w:right w:val="none" w:sz="0" w:space="0" w:color="auto"/>
          </w:divBdr>
          <w:divsChild>
            <w:div w:id="1011417843">
              <w:marLeft w:val="0"/>
              <w:marRight w:val="0"/>
              <w:marTop w:val="0"/>
              <w:marBottom w:val="0"/>
              <w:divBdr>
                <w:top w:val="none" w:sz="0" w:space="0" w:color="auto"/>
                <w:left w:val="none" w:sz="0" w:space="0" w:color="auto"/>
                <w:bottom w:val="none" w:sz="0" w:space="0" w:color="auto"/>
                <w:right w:val="none" w:sz="0" w:space="0" w:color="auto"/>
              </w:divBdr>
              <w:divsChild>
                <w:div w:id="1595817656">
                  <w:marLeft w:val="0"/>
                  <w:marRight w:val="0"/>
                  <w:marTop w:val="0"/>
                  <w:marBottom w:val="0"/>
                  <w:divBdr>
                    <w:top w:val="none" w:sz="0" w:space="0" w:color="auto"/>
                    <w:left w:val="none" w:sz="0" w:space="0" w:color="auto"/>
                    <w:bottom w:val="none" w:sz="0" w:space="0" w:color="auto"/>
                    <w:right w:val="none" w:sz="0" w:space="0" w:color="auto"/>
                  </w:divBdr>
                  <w:divsChild>
                    <w:div w:id="211485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329100">
      <w:bodyDiv w:val="1"/>
      <w:marLeft w:val="0"/>
      <w:marRight w:val="0"/>
      <w:marTop w:val="0"/>
      <w:marBottom w:val="0"/>
      <w:divBdr>
        <w:top w:val="none" w:sz="0" w:space="0" w:color="auto"/>
        <w:left w:val="none" w:sz="0" w:space="0" w:color="auto"/>
        <w:bottom w:val="none" w:sz="0" w:space="0" w:color="auto"/>
        <w:right w:val="none" w:sz="0" w:space="0" w:color="auto"/>
      </w:divBdr>
      <w:divsChild>
        <w:div w:id="1762026189">
          <w:marLeft w:val="0"/>
          <w:marRight w:val="0"/>
          <w:marTop w:val="0"/>
          <w:marBottom w:val="0"/>
          <w:divBdr>
            <w:top w:val="none" w:sz="0" w:space="0" w:color="auto"/>
            <w:left w:val="none" w:sz="0" w:space="0" w:color="auto"/>
            <w:bottom w:val="none" w:sz="0" w:space="0" w:color="auto"/>
            <w:right w:val="none" w:sz="0" w:space="0" w:color="auto"/>
          </w:divBdr>
          <w:divsChild>
            <w:div w:id="17397307">
              <w:marLeft w:val="0"/>
              <w:marRight w:val="0"/>
              <w:marTop w:val="0"/>
              <w:marBottom w:val="0"/>
              <w:divBdr>
                <w:top w:val="none" w:sz="0" w:space="0" w:color="auto"/>
                <w:left w:val="none" w:sz="0" w:space="0" w:color="auto"/>
                <w:bottom w:val="none" w:sz="0" w:space="0" w:color="auto"/>
                <w:right w:val="none" w:sz="0" w:space="0" w:color="auto"/>
              </w:divBdr>
              <w:divsChild>
                <w:div w:id="4403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835051">
      <w:bodyDiv w:val="1"/>
      <w:marLeft w:val="0"/>
      <w:marRight w:val="0"/>
      <w:marTop w:val="0"/>
      <w:marBottom w:val="0"/>
      <w:divBdr>
        <w:top w:val="none" w:sz="0" w:space="0" w:color="auto"/>
        <w:left w:val="none" w:sz="0" w:space="0" w:color="auto"/>
        <w:bottom w:val="none" w:sz="0" w:space="0" w:color="auto"/>
        <w:right w:val="none" w:sz="0" w:space="0" w:color="auto"/>
      </w:divBdr>
      <w:divsChild>
        <w:div w:id="328949379">
          <w:marLeft w:val="0"/>
          <w:marRight w:val="0"/>
          <w:marTop w:val="0"/>
          <w:marBottom w:val="0"/>
          <w:divBdr>
            <w:top w:val="none" w:sz="0" w:space="0" w:color="auto"/>
            <w:left w:val="none" w:sz="0" w:space="0" w:color="auto"/>
            <w:bottom w:val="none" w:sz="0" w:space="0" w:color="auto"/>
            <w:right w:val="none" w:sz="0" w:space="0" w:color="auto"/>
          </w:divBdr>
          <w:divsChild>
            <w:div w:id="688413129">
              <w:marLeft w:val="0"/>
              <w:marRight w:val="0"/>
              <w:marTop w:val="0"/>
              <w:marBottom w:val="0"/>
              <w:divBdr>
                <w:top w:val="none" w:sz="0" w:space="0" w:color="auto"/>
                <w:left w:val="none" w:sz="0" w:space="0" w:color="auto"/>
                <w:bottom w:val="none" w:sz="0" w:space="0" w:color="auto"/>
                <w:right w:val="none" w:sz="0" w:space="0" w:color="auto"/>
              </w:divBdr>
              <w:divsChild>
                <w:div w:id="200481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19076">
      <w:bodyDiv w:val="1"/>
      <w:marLeft w:val="0"/>
      <w:marRight w:val="0"/>
      <w:marTop w:val="0"/>
      <w:marBottom w:val="0"/>
      <w:divBdr>
        <w:top w:val="none" w:sz="0" w:space="0" w:color="auto"/>
        <w:left w:val="none" w:sz="0" w:space="0" w:color="auto"/>
        <w:bottom w:val="none" w:sz="0" w:space="0" w:color="auto"/>
        <w:right w:val="none" w:sz="0" w:space="0" w:color="auto"/>
      </w:divBdr>
      <w:divsChild>
        <w:div w:id="1929923669">
          <w:marLeft w:val="0"/>
          <w:marRight w:val="0"/>
          <w:marTop w:val="0"/>
          <w:marBottom w:val="0"/>
          <w:divBdr>
            <w:top w:val="none" w:sz="0" w:space="0" w:color="auto"/>
            <w:left w:val="none" w:sz="0" w:space="0" w:color="auto"/>
            <w:bottom w:val="none" w:sz="0" w:space="0" w:color="auto"/>
            <w:right w:val="none" w:sz="0" w:space="0" w:color="auto"/>
          </w:divBdr>
          <w:divsChild>
            <w:div w:id="1023094150">
              <w:marLeft w:val="0"/>
              <w:marRight w:val="0"/>
              <w:marTop w:val="0"/>
              <w:marBottom w:val="0"/>
              <w:divBdr>
                <w:top w:val="none" w:sz="0" w:space="0" w:color="auto"/>
                <w:left w:val="none" w:sz="0" w:space="0" w:color="auto"/>
                <w:bottom w:val="none" w:sz="0" w:space="0" w:color="auto"/>
                <w:right w:val="none" w:sz="0" w:space="0" w:color="auto"/>
              </w:divBdr>
              <w:divsChild>
                <w:div w:id="57254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899389">
      <w:bodyDiv w:val="1"/>
      <w:marLeft w:val="0"/>
      <w:marRight w:val="0"/>
      <w:marTop w:val="0"/>
      <w:marBottom w:val="0"/>
      <w:divBdr>
        <w:top w:val="none" w:sz="0" w:space="0" w:color="auto"/>
        <w:left w:val="none" w:sz="0" w:space="0" w:color="auto"/>
        <w:bottom w:val="none" w:sz="0" w:space="0" w:color="auto"/>
        <w:right w:val="none" w:sz="0" w:space="0" w:color="auto"/>
      </w:divBdr>
      <w:divsChild>
        <w:div w:id="1168013553">
          <w:marLeft w:val="0"/>
          <w:marRight w:val="0"/>
          <w:marTop w:val="0"/>
          <w:marBottom w:val="0"/>
          <w:divBdr>
            <w:top w:val="none" w:sz="0" w:space="0" w:color="auto"/>
            <w:left w:val="none" w:sz="0" w:space="0" w:color="auto"/>
            <w:bottom w:val="none" w:sz="0" w:space="0" w:color="auto"/>
            <w:right w:val="none" w:sz="0" w:space="0" w:color="auto"/>
          </w:divBdr>
          <w:divsChild>
            <w:div w:id="14579302">
              <w:marLeft w:val="0"/>
              <w:marRight w:val="0"/>
              <w:marTop w:val="0"/>
              <w:marBottom w:val="0"/>
              <w:divBdr>
                <w:top w:val="none" w:sz="0" w:space="0" w:color="auto"/>
                <w:left w:val="none" w:sz="0" w:space="0" w:color="auto"/>
                <w:bottom w:val="none" w:sz="0" w:space="0" w:color="auto"/>
                <w:right w:val="none" w:sz="0" w:space="0" w:color="auto"/>
              </w:divBdr>
              <w:divsChild>
                <w:div w:id="195895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359192">
      <w:bodyDiv w:val="1"/>
      <w:marLeft w:val="0"/>
      <w:marRight w:val="0"/>
      <w:marTop w:val="0"/>
      <w:marBottom w:val="0"/>
      <w:divBdr>
        <w:top w:val="none" w:sz="0" w:space="0" w:color="auto"/>
        <w:left w:val="none" w:sz="0" w:space="0" w:color="auto"/>
        <w:bottom w:val="none" w:sz="0" w:space="0" w:color="auto"/>
        <w:right w:val="none" w:sz="0" w:space="0" w:color="auto"/>
      </w:divBdr>
      <w:divsChild>
        <w:div w:id="1417553265">
          <w:marLeft w:val="0"/>
          <w:marRight w:val="0"/>
          <w:marTop w:val="0"/>
          <w:marBottom w:val="0"/>
          <w:divBdr>
            <w:top w:val="none" w:sz="0" w:space="0" w:color="auto"/>
            <w:left w:val="none" w:sz="0" w:space="0" w:color="auto"/>
            <w:bottom w:val="none" w:sz="0" w:space="0" w:color="auto"/>
            <w:right w:val="none" w:sz="0" w:space="0" w:color="auto"/>
          </w:divBdr>
          <w:divsChild>
            <w:div w:id="1118253348">
              <w:marLeft w:val="0"/>
              <w:marRight w:val="0"/>
              <w:marTop w:val="0"/>
              <w:marBottom w:val="0"/>
              <w:divBdr>
                <w:top w:val="none" w:sz="0" w:space="0" w:color="auto"/>
                <w:left w:val="none" w:sz="0" w:space="0" w:color="auto"/>
                <w:bottom w:val="none" w:sz="0" w:space="0" w:color="auto"/>
                <w:right w:val="none" w:sz="0" w:space="0" w:color="auto"/>
              </w:divBdr>
              <w:divsChild>
                <w:div w:id="27564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514210">
      <w:bodyDiv w:val="1"/>
      <w:marLeft w:val="0"/>
      <w:marRight w:val="0"/>
      <w:marTop w:val="0"/>
      <w:marBottom w:val="0"/>
      <w:divBdr>
        <w:top w:val="none" w:sz="0" w:space="0" w:color="auto"/>
        <w:left w:val="none" w:sz="0" w:space="0" w:color="auto"/>
        <w:bottom w:val="none" w:sz="0" w:space="0" w:color="auto"/>
        <w:right w:val="none" w:sz="0" w:space="0" w:color="auto"/>
      </w:divBdr>
      <w:divsChild>
        <w:div w:id="413474010">
          <w:marLeft w:val="0"/>
          <w:marRight w:val="0"/>
          <w:marTop w:val="0"/>
          <w:marBottom w:val="0"/>
          <w:divBdr>
            <w:top w:val="none" w:sz="0" w:space="0" w:color="auto"/>
            <w:left w:val="none" w:sz="0" w:space="0" w:color="auto"/>
            <w:bottom w:val="none" w:sz="0" w:space="0" w:color="auto"/>
            <w:right w:val="none" w:sz="0" w:space="0" w:color="auto"/>
          </w:divBdr>
          <w:divsChild>
            <w:div w:id="926696467">
              <w:marLeft w:val="0"/>
              <w:marRight w:val="0"/>
              <w:marTop w:val="0"/>
              <w:marBottom w:val="0"/>
              <w:divBdr>
                <w:top w:val="none" w:sz="0" w:space="0" w:color="auto"/>
                <w:left w:val="none" w:sz="0" w:space="0" w:color="auto"/>
                <w:bottom w:val="none" w:sz="0" w:space="0" w:color="auto"/>
                <w:right w:val="none" w:sz="0" w:space="0" w:color="auto"/>
              </w:divBdr>
              <w:divsChild>
                <w:div w:id="177177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501182">
      <w:bodyDiv w:val="1"/>
      <w:marLeft w:val="0"/>
      <w:marRight w:val="0"/>
      <w:marTop w:val="0"/>
      <w:marBottom w:val="0"/>
      <w:divBdr>
        <w:top w:val="none" w:sz="0" w:space="0" w:color="auto"/>
        <w:left w:val="none" w:sz="0" w:space="0" w:color="auto"/>
        <w:bottom w:val="none" w:sz="0" w:space="0" w:color="auto"/>
        <w:right w:val="none" w:sz="0" w:space="0" w:color="auto"/>
      </w:divBdr>
      <w:divsChild>
        <w:div w:id="804350880">
          <w:marLeft w:val="0"/>
          <w:marRight w:val="0"/>
          <w:marTop w:val="0"/>
          <w:marBottom w:val="0"/>
          <w:divBdr>
            <w:top w:val="none" w:sz="0" w:space="0" w:color="auto"/>
            <w:left w:val="none" w:sz="0" w:space="0" w:color="auto"/>
            <w:bottom w:val="none" w:sz="0" w:space="0" w:color="auto"/>
            <w:right w:val="none" w:sz="0" w:space="0" w:color="auto"/>
          </w:divBdr>
          <w:divsChild>
            <w:div w:id="289282501">
              <w:marLeft w:val="0"/>
              <w:marRight w:val="0"/>
              <w:marTop w:val="0"/>
              <w:marBottom w:val="0"/>
              <w:divBdr>
                <w:top w:val="none" w:sz="0" w:space="0" w:color="auto"/>
                <w:left w:val="none" w:sz="0" w:space="0" w:color="auto"/>
                <w:bottom w:val="none" w:sz="0" w:space="0" w:color="auto"/>
                <w:right w:val="none" w:sz="0" w:space="0" w:color="auto"/>
              </w:divBdr>
              <w:divsChild>
                <w:div w:id="70151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095085">
      <w:bodyDiv w:val="1"/>
      <w:marLeft w:val="0"/>
      <w:marRight w:val="0"/>
      <w:marTop w:val="0"/>
      <w:marBottom w:val="0"/>
      <w:divBdr>
        <w:top w:val="none" w:sz="0" w:space="0" w:color="auto"/>
        <w:left w:val="none" w:sz="0" w:space="0" w:color="auto"/>
        <w:bottom w:val="none" w:sz="0" w:space="0" w:color="auto"/>
        <w:right w:val="none" w:sz="0" w:space="0" w:color="auto"/>
      </w:divBdr>
      <w:divsChild>
        <w:div w:id="1879776127">
          <w:marLeft w:val="0"/>
          <w:marRight w:val="0"/>
          <w:marTop w:val="0"/>
          <w:marBottom w:val="0"/>
          <w:divBdr>
            <w:top w:val="none" w:sz="0" w:space="0" w:color="auto"/>
            <w:left w:val="none" w:sz="0" w:space="0" w:color="auto"/>
            <w:bottom w:val="none" w:sz="0" w:space="0" w:color="auto"/>
            <w:right w:val="none" w:sz="0" w:space="0" w:color="auto"/>
          </w:divBdr>
          <w:divsChild>
            <w:div w:id="461465563">
              <w:marLeft w:val="0"/>
              <w:marRight w:val="0"/>
              <w:marTop w:val="0"/>
              <w:marBottom w:val="0"/>
              <w:divBdr>
                <w:top w:val="none" w:sz="0" w:space="0" w:color="auto"/>
                <w:left w:val="none" w:sz="0" w:space="0" w:color="auto"/>
                <w:bottom w:val="none" w:sz="0" w:space="0" w:color="auto"/>
                <w:right w:val="none" w:sz="0" w:space="0" w:color="auto"/>
              </w:divBdr>
              <w:divsChild>
                <w:div w:id="34112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901640">
      <w:bodyDiv w:val="1"/>
      <w:marLeft w:val="0"/>
      <w:marRight w:val="0"/>
      <w:marTop w:val="0"/>
      <w:marBottom w:val="0"/>
      <w:divBdr>
        <w:top w:val="none" w:sz="0" w:space="0" w:color="auto"/>
        <w:left w:val="none" w:sz="0" w:space="0" w:color="auto"/>
        <w:bottom w:val="none" w:sz="0" w:space="0" w:color="auto"/>
        <w:right w:val="none" w:sz="0" w:space="0" w:color="auto"/>
      </w:divBdr>
      <w:divsChild>
        <w:div w:id="2064674583">
          <w:marLeft w:val="0"/>
          <w:marRight w:val="0"/>
          <w:marTop w:val="0"/>
          <w:marBottom w:val="0"/>
          <w:divBdr>
            <w:top w:val="none" w:sz="0" w:space="0" w:color="auto"/>
            <w:left w:val="none" w:sz="0" w:space="0" w:color="auto"/>
            <w:bottom w:val="none" w:sz="0" w:space="0" w:color="auto"/>
            <w:right w:val="none" w:sz="0" w:space="0" w:color="auto"/>
          </w:divBdr>
          <w:divsChild>
            <w:div w:id="1287159246">
              <w:marLeft w:val="0"/>
              <w:marRight w:val="0"/>
              <w:marTop w:val="0"/>
              <w:marBottom w:val="0"/>
              <w:divBdr>
                <w:top w:val="none" w:sz="0" w:space="0" w:color="auto"/>
                <w:left w:val="none" w:sz="0" w:space="0" w:color="auto"/>
                <w:bottom w:val="none" w:sz="0" w:space="0" w:color="auto"/>
                <w:right w:val="none" w:sz="0" w:space="0" w:color="auto"/>
              </w:divBdr>
              <w:divsChild>
                <w:div w:id="106437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188062">
      <w:bodyDiv w:val="1"/>
      <w:marLeft w:val="0"/>
      <w:marRight w:val="0"/>
      <w:marTop w:val="0"/>
      <w:marBottom w:val="0"/>
      <w:divBdr>
        <w:top w:val="none" w:sz="0" w:space="0" w:color="auto"/>
        <w:left w:val="none" w:sz="0" w:space="0" w:color="auto"/>
        <w:bottom w:val="none" w:sz="0" w:space="0" w:color="auto"/>
        <w:right w:val="none" w:sz="0" w:space="0" w:color="auto"/>
      </w:divBdr>
      <w:divsChild>
        <w:div w:id="678653930">
          <w:marLeft w:val="0"/>
          <w:marRight w:val="0"/>
          <w:marTop w:val="0"/>
          <w:marBottom w:val="0"/>
          <w:divBdr>
            <w:top w:val="none" w:sz="0" w:space="0" w:color="auto"/>
            <w:left w:val="none" w:sz="0" w:space="0" w:color="auto"/>
            <w:bottom w:val="none" w:sz="0" w:space="0" w:color="auto"/>
            <w:right w:val="none" w:sz="0" w:space="0" w:color="auto"/>
          </w:divBdr>
          <w:divsChild>
            <w:div w:id="566573064">
              <w:marLeft w:val="0"/>
              <w:marRight w:val="0"/>
              <w:marTop w:val="0"/>
              <w:marBottom w:val="0"/>
              <w:divBdr>
                <w:top w:val="none" w:sz="0" w:space="0" w:color="auto"/>
                <w:left w:val="none" w:sz="0" w:space="0" w:color="auto"/>
                <w:bottom w:val="none" w:sz="0" w:space="0" w:color="auto"/>
                <w:right w:val="none" w:sz="0" w:space="0" w:color="auto"/>
              </w:divBdr>
              <w:divsChild>
                <w:div w:id="169025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563503">
      <w:bodyDiv w:val="1"/>
      <w:marLeft w:val="0"/>
      <w:marRight w:val="0"/>
      <w:marTop w:val="0"/>
      <w:marBottom w:val="0"/>
      <w:divBdr>
        <w:top w:val="none" w:sz="0" w:space="0" w:color="auto"/>
        <w:left w:val="none" w:sz="0" w:space="0" w:color="auto"/>
        <w:bottom w:val="none" w:sz="0" w:space="0" w:color="auto"/>
        <w:right w:val="none" w:sz="0" w:space="0" w:color="auto"/>
      </w:divBdr>
      <w:divsChild>
        <w:div w:id="2004778229">
          <w:marLeft w:val="0"/>
          <w:marRight w:val="0"/>
          <w:marTop w:val="0"/>
          <w:marBottom w:val="0"/>
          <w:divBdr>
            <w:top w:val="none" w:sz="0" w:space="0" w:color="auto"/>
            <w:left w:val="none" w:sz="0" w:space="0" w:color="auto"/>
            <w:bottom w:val="none" w:sz="0" w:space="0" w:color="auto"/>
            <w:right w:val="none" w:sz="0" w:space="0" w:color="auto"/>
          </w:divBdr>
          <w:divsChild>
            <w:div w:id="65107756">
              <w:marLeft w:val="0"/>
              <w:marRight w:val="0"/>
              <w:marTop w:val="0"/>
              <w:marBottom w:val="0"/>
              <w:divBdr>
                <w:top w:val="none" w:sz="0" w:space="0" w:color="auto"/>
                <w:left w:val="none" w:sz="0" w:space="0" w:color="auto"/>
                <w:bottom w:val="none" w:sz="0" w:space="0" w:color="auto"/>
                <w:right w:val="none" w:sz="0" w:space="0" w:color="auto"/>
              </w:divBdr>
              <w:divsChild>
                <w:div w:id="6057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11</Pages>
  <Words>4362</Words>
  <Characters>24866</Characters>
  <Application>Microsoft Macintosh Word</Application>
  <DocSecurity>0</DocSecurity>
  <Lines>207</Lines>
  <Paragraphs>58</Paragraphs>
  <ScaleCrop>false</ScaleCrop>
  <Company/>
  <LinksUpToDate>false</LinksUpToDate>
  <CharactersWithSpaces>29170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Zohar</dc:creator>
  <cp:keywords/>
  <dc:description/>
  <cp:lastModifiedBy>Zohar</cp:lastModifiedBy>
  <cp:revision>1</cp:revision>
  <dcterms:created xsi:type="dcterms:W3CDTF">2021-03-30T05:16:00Z</dcterms:created>
  <dcterms:modified xsi:type="dcterms:W3CDTF">2021-03-30T05:42:00Z</dcterms:modified>
</cp:coreProperties>
</file>