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A1FF51" w14:textId="77777777" w:rsidR="00E60535" w:rsidRPr="00474D1B" w:rsidRDefault="00254C1B" w:rsidP="00AB3717">
      <w:pPr>
        <w:spacing w:line="360" w:lineRule="auto"/>
        <w:jc w:val="center"/>
        <w:rPr>
          <w:b/>
        </w:rPr>
      </w:pPr>
      <w:bookmarkStart w:id="0" w:name="_GoBack"/>
      <w:bookmarkEnd w:id="0"/>
      <w:r w:rsidRPr="00474D1B">
        <w:rPr>
          <w:b/>
          <w:lang w:val="en-IE"/>
        </w:rPr>
        <w:t>Formulation</w:t>
      </w:r>
      <w:r w:rsidRPr="00474D1B">
        <w:rPr>
          <w:b/>
        </w:rPr>
        <w:t>, stability and pharmacokinetics of sugar-based salmon calcitonin-loaded nanoporous/nanoparticulate microparticles (NPMPs) for inhalation</w:t>
      </w:r>
    </w:p>
    <w:p w14:paraId="79CCCB45" w14:textId="17115012" w:rsidR="00254C1B" w:rsidRPr="00474D1B" w:rsidRDefault="00254C1B" w:rsidP="00AB3717">
      <w:pPr>
        <w:spacing w:line="360" w:lineRule="auto"/>
        <w:jc w:val="center"/>
        <w:rPr>
          <w:vertAlign w:val="superscript"/>
        </w:rPr>
      </w:pPr>
      <w:r w:rsidRPr="00474D1B">
        <w:t>Maria Inês Amaro</w:t>
      </w:r>
      <w:r w:rsidR="006E663A" w:rsidRPr="00474D1B">
        <w:rPr>
          <w:vertAlign w:val="superscript"/>
        </w:rPr>
        <w:t>1</w:t>
      </w:r>
      <w:r w:rsidRPr="00474D1B">
        <w:t>,</w:t>
      </w:r>
      <w:r w:rsidR="00E60535" w:rsidRPr="00474D1B">
        <w:t xml:space="preserve"> </w:t>
      </w:r>
      <w:r w:rsidR="00E70526" w:rsidRPr="00474D1B">
        <w:t xml:space="preserve">Frederic </w:t>
      </w:r>
      <w:r w:rsidR="00E60535" w:rsidRPr="00474D1B">
        <w:t>Tewes</w:t>
      </w:r>
      <w:r w:rsidR="006E663A" w:rsidRPr="00474D1B">
        <w:rPr>
          <w:vertAlign w:val="superscript"/>
        </w:rPr>
        <w:t>1,2</w:t>
      </w:r>
      <w:r w:rsidR="00E60535" w:rsidRPr="00474D1B">
        <w:t>, Oliviero Gobbo</w:t>
      </w:r>
      <w:r w:rsidR="006E663A" w:rsidRPr="00474D1B">
        <w:rPr>
          <w:vertAlign w:val="superscript"/>
        </w:rPr>
        <w:t>1</w:t>
      </w:r>
      <w:r w:rsidR="00E60535" w:rsidRPr="00474D1B">
        <w:t>,</w:t>
      </w:r>
      <w:r w:rsidRPr="00474D1B">
        <w:t xml:space="preserve"> Lidia Tajber</w:t>
      </w:r>
      <w:r w:rsidR="006E663A" w:rsidRPr="00474D1B">
        <w:rPr>
          <w:vertAlign w:val="superscript"/>
        </w:rPr>
        <w:t>1</w:t>
      </w:r>
      <w:r w:rsidRPr="00474D1B">
        <w:t>, Owen I Corrigan</w:t>
      </w:r>
      <w:r w:rsidR="006E663A" w:rsidRPr="00474D1B">
        <w:rPr>
          <w:vertAlign w:val="superscript"/>
        </w:rPr>
        <w:t>1</w:t>
      </w:r>
      <w:r w:rsidRPr="00474D1B">
        <w:t>,</w:t>
      </w:r>
      <w:r w:rsidR="00E60535" w:rsidRPr="00474D1B">
        <w:t xml:space="preserve"> Carsten Ehrhardt</w:t>
      </w:r>
      <w:r w:rsidR="006E663A" w:rsidRPr="00474D1B">
        <w:rPr>
          <w:vertAlign w:val="superscript"/>
        </w:rPr>
        <w:t>1</w:t>
      </w:r>
      <w:r w:rsidR="00E60535" w:rsidRPr="00474D1B">
        <w:t>,</w:t>
      </w:r>
      <w:r w:rsidRPr="00474D1B">
        <w:t xml:space="preserve"> Anne Marie Healy</w:t>
      </w:r>
      <w:r w:rsidR="006E663A" w:rsidRPr="00474D1B">
        <w:rPr>
          <w:vertAlign w:val="superscript"/>
        </w:rPr>
        <w:t>1</w:t>
      </w:r>
    </w:p>
    <w:p w14:paraId="409F1838" w14:textId="77777777" w:rsidR="00254C1B" w:rsidRPr="006E663A" w:rsidRDefault="00254C1B" w:rsidP="00AB3717">
      <w:pPr>
        <w:spacing w:line="360" w:lineRule="auto"/>
        <w:jc w:val="both"/>
        <w:rPr>
          <w:i/>
        </w:rPr>
      </w:pPr>
      <w:r w:rsidRPr="006E663A">
        <w:rPr>
          <w:i/>
        </w:rPr>
        <w:t>School of Pharmacy and Pharmaceutical Sciences, Trinity College, University of Dublin, Dublin 2, Ireland.</w:t>
      </w:r>
    </w:p>
    <w:p w14:paraId="3270E374" w14:textId="77777777" w:rsidR="00C33CFD" w:rsidRPr="00474D1B" w:rsidRDefault="00C33CFD" w:rsidP="00AB3717">
      <w:pPr>
        <w:spacing w:line="360" w:lineRule="auto"/>
        <w:jc w:val="both"/>
        <w:rPr>
          <w:i/>
          <w:lang w:val="pt-PT"/>
        </w:rPr>
      </w:pPr>
      <w:r w:rsidRPr="00474D1B">
        <w:rPr>
          <w:i/>
          <w:lang w:val="pt-PT"/>
        </w:rPr>
        <w:t>INSERM ERI-23, P</w:t>
      </w:r>
      <w:r w:rsidR="006E663A" w:rsidRPr="00474D1B">
        <w:rPr>
          <w:i/>
          <w:lang w:val="pt-PT"/>
        </w:rPr>
        <w:t>ô</w:t>
      </w:r>
      <w:r w:rsidRPr="00474D1B">
        <w:rPr>
          <w:i/>
          <w:lang w:val="pt-PT"/>
        </w:rPr>
        <w:t>le Biologie-San</w:t>
      </w:r>
      <w:r w:rsidR="006E663A" w:rsidRPr="00474D1B">
        <w:rPr>
          <w:i/>
          <w:lang w:val="pt-PT"/>
        </w:rPr>
        <w:t>té</w:t>
      </w:r>
      <w:r w:rsidRPr="00474D1B">
        <w:rPr>
          <w:i/>
          <w:lang w:val="pt-PT"/>
        </w:rPr>
        <w:t>, Facult</w:t>
      </w:r>
      <w:r w:rsidR="006E663A" w:rsidRPr="00474D1B">
        <w:rPr>
          <w:i/>
          <w:lang w:val="pt-PT"/>
        </w:rPr>
        <w:t xml:space="preserve">é </w:t>
      </w:r>
      <w:r w:rsidRPr="00474D1B">
        <w:rPr>
          <w:i/>
          <w:lang w:val="pt-PT"/>
        </w:rPr>
        <w:t>de</w:t>
      </w:r>
      <w:r w:rsidR="006E663A" w:rsidRPr="00474D1B">
        <w:rPr>
          <w:i/>
          <w:lang w:val="pt-PT"/>
        </w:rPr>
        <w:t xml:space="preserve"> </w:t>
      </w:r>
      <w:r w:rsidRPr="00474D1B">
        <w:rPr>
          <w:i/>
          <w:lang w:val="pt-PT"/>
        </w:rPr>
        <w:t>M</w:t>
      </w:r>
      <w:r w:rsidR="006E663A" w:rsidRPr="00474D1B">
        <w:rPr>
          <w:i/>
          <w:lang w:val="pt-PT"/>
        </w:rPr>
        <w:t>é</w:t>
      </w:r>
      <w:r w:rsidRPr="00474D1B">
        <w:rPr>
          <w:i/>
          <w:lang w:val="pt-PT"/>
        </w:rPr>
        <w:t>decine &amp; Pharmacie, Universit</w:t>
      </w:r>
      <w:r w:rsidR="006E663A" w:rsidRPr="00474D1B">
        <w:rPr>
          <w:i/>
          <w:lang w:val="pt-PT"/>
        </w:rPr>
        <w:t>é</w:t>
      </w:r>
      <w:r w:rsidRPr="00474D1B">
        <w:rPr>
          <w:i/>
          <w:lang w:val="pt-PT"/>
        </w:rPr>
        <w:t xml:space="preserve"> de Poitiers, 40 av. du Recteur Pineau,86022 Poitiers Cedex, France</w:t>
      </w:r>
    </w:p>
    <w:p w14:paraId="2FD29B14" w14:textId="77777777" w:rsidR="00254C1B" w:rsidRPr="00474D1B" w:rsidRDefault="00254C1B" w:rsidP="00AB3717">
      <w:pPr>
        <w:spacing w:line="360" w:lineRule="auto"/>
        <w:jc w:val="both"/>
        <w:rPr>
          <w:i/>
          <w:lang w:val="pt-PT"/>
        </w:rPr>
      </w:pPr>
    </w:p>
    <w:p w14:paraId="3D94221C" w14:textId="77777777" w:rsidR="00254C1B" w:rsidRPr="00474D1B" w:rsidRDefault="00254C1B" w:rsidP="00AB3717">
      <w:pPr>
        <w:spacing w:line="360" w:lineRule="auto"/>
        <w:jc w:val="both"/>
        <w:rPr>
          <w:i/>
          <w:lang w:val="pt-PT"/>
        </w:rPr>
      </w:pPr>
    </w:p>
    <w:p w14:paraId="76ED6FD3" w14:textId="77777777" w:rsidR="00254C1B" w:rsidRPr="00474D1B" w:rsidRDefault="00254C1B" w:rsidP="00AB3717">
      <w:pPr>
        <w:spacing w:line="360" w:lineRule="auto"/>
        <w:jc w:val="both"/>
        <w:rPr>
          <w:i/>
          <w:lang w:val="pt-PT"/>
        </w:rPr>
      </w:pPr>
    </w:p>
    <w:p w14:paraId="0DE7E1D3" w14:textId="77777777" w:rsidR="00254C1B" w:rsidRPr="00474D1B" w:rsidRDefault="00254C1B" w:rsidP="00AB3717">
      <w:pPr>
        <w:spacing w:line="360" w:lineRule="auto"/>
        <w:jc w:val="both"/>
        <w:rPr>
          <w:i/>
          <w:lang w:val="pt-PT"/>
        </w:rPr>
      </w:pPr>
    </w:p>
    <w:p w14:paraId="13CF0BFC" w14:textId="77777777" w:rsidR="00254C1B" w:rsidRPr="00474D1B" w:rsidRDefault="00254C1B" w:rsidP="00AB3717">
      <w:pPr>
        <w:spacing w:line="360" w:lineRule="auto"/>
        <w:jc w:val="both"/>
        <w:rPr>
          <w:i/>
          <w:lang w:val="pt-PT"/>
        </w:rPr>
      </w:pPr>
    </w:p>
    <w:p w14:paraId="090B7C18" w14:textId="77777777" w:rsidR="00254C1B" w:rsidRPr="00474D1B" w:rsidRDefault="00254C1B" w:rsidP="00AB3717">
      <w:pPr>
        <w:spacing w:line="360" w:lineRule="auto"/>
        <w:jc w:val="both"/>
        <w:rPr>
          <w:i/>
          <w:lang w:val="pt-PT"/>
        </w:rPr>
      </w:pPr>
    </w:p>
    <w:p w14:paraId="18A46B61" w14:textId="77777777" w:rsidR="00254C1B" w:rsidRPr="00474D1B" w:rsidRDefault="00254C1B" w:rsidP="00AB3717">
      <w:pPr>
        <w:spacing w:line="360" w:lineRule="auto"/>
        <w:jc w:val="both"/>
        <w:rPr>
          <w:i/>
          <w:lang w:val="pt-PT"/>
        </w:rPr>
      </w:pPr>
    </w:p>
    <w:p w14:paraId="76B826BA" w14:textId="77777777" w:rsidR="00254C1B" w:rsidRPr="00F34AEE" w:rsidRDefault="00254C1B" w:rsidP="00AB3717">
      <w:pPr>
        <w:spacing w:line="360" w:lineRule="auto"/>
        <w:jc w:val="both"/>
        <w:rPr>
          <w:b/>
        </w:rPr>
      </w:pPr>
      <w:r w:rsidRPr="00F34AEE">
        <w:rPr>
          <w:b/>
        </w:rPr>
        <w:t>Corresponding author:</w:t>
      </w:r>
    </w:p>
    <w:p w14:paraId="11B29A25" w14:textId="77777777" w:rsidR="00254C1B" w:rsidRPr="00F34AEE" w:rsidRDefault="00254C1B" w:rsidP="00AB3717">
      <w:pPr>
        <w:spacing w:line="360" w:lineRule="auto"/>
        <w:jc w:val="both"/>
      </w:pPr>
      <w:r w:rsidRPr="00F34AEE">
        <w:t>Anne Marie Healy</w:t>
      </w:r>
    </w:p>
    <w:p w14:paraId="0BD03890" w14:textId="77777777" w:rsidR="00254C1B" w:rsidRPr="00F34AEE" w:rsidRDefault="00254C1B" w:rsidP="00AB3717">
      <w:pPr>
        <w:spacing w:line="360" w:lineRule="auto"/>
        <w:jc w:val="both"/>
      </w:pPr>
      <w:r w:rsidRPr="00F34AEE">
        <w:t>School of Pharmacy and Pharmaceutical Sciences, Trinity College, University of Dublin, Dublin 2, Ireland</w:t>
      </w:r>
    </w:p>
    <w:p w14:paraId="4E16ABDA" w14:textId="77777777" w:rsidR="00254C1B" w:rsidRPr="00F34AEE" w:rsidRDefault="00254C1B" w:rsidP="00AB3717">
      <w:pPr>
        <w:spacing w:line="360" w:lineRule="auto"/>
        <w:jc w:val="both"/>
      </w:pPr>
      <w:r w:rsidRPr="00F34AEE">
        <w:t>Phone: +353-1-8961444</w:t>
      </w:r>
    </w:p>
    <w:p w14:paraId="56CBA53B" w14:textId="0E397053" w:rsidR="00254C1B" w:rsidRPr="00F34AEE" w:rsidRDefault="00254C1B" w:rsidP="00AB3717">
      <w:pPr>
        <w:spacing w:line="360" w:lineRule="auto"/>
        <w:jc w:val="both"/>
      </w:pPr>
      <w:r w:rsidRPr="00F34AEE">
        <w:t>Fax: +353-1-</w:t>
      </w:r>
      <w:r w:rsidR="00E70526" w:rsidRPr="00F34AEE">
        <w:t>8962</w:t>
      </w:r>
      <w:r w:rsidR="00E70526">
        <w:t>810</w:t>
      </w:r>
    </w:p>
    <w:p w14:paraId="5D8EBCDF" w14:textId="77777777" w:rsidR="00F54C0C" w:rsidRPr="00F34AEE" w:rsidRDefault="00254C1B" w:rsidP="00AB3717">
      <w:pPr>
        <w:spacing w:line="360" w:lineRule="auto"/>
        <w:jc w:val="both"/>
        <w:rPr>
          <w:rStyle w:val="Hyperlink"/>
        </w:rPr>
      </w:pPr>
      <w:r w:rsidRPr="00F34AEE">
        <w:t xml:space="preserve">e-mail: </w:t>
      </w:r>
      <w:hyperlink r:id="rId7" w:history="1">
        <w:r w:rsidRPr="00F34AEE">
          <w:rPr>
            <w:rStyle w:val="Hyperlink"/>
          </w:rPr>
          <w:t>healyam@tcd.ie</w:t>
        </w:r>
      </w:hyperlink>
    </w:p>
    <w:p w14:paraId="47F09B31" w14:textId="77777777" w:rsidR="00254C1B" w:rsidRPr="00F34AEE" w:rsidRDefault="00254C1B" w:rsidP="00AB3717">
      <w:pPr>
        <w:spacing w:line="360" w:lineRule="auto"/>
        <w:jc w:val="both"/>
        <w:rPr>
          <w:rStyle w:val="Hyperlink"/>
        </w:rPr>
      </w:pPr>
    </w:p>
    <w:p w14:paraId="747E7B04" w14:textId="77777777" w:rsidR="00254C1B" w:rsidRPr="00F34AEE" w:rsidRDefault="00254C1B" w:rsidP="00AB3717">
      <w:pPr>
        <w:spacing w:line="360" w:lineRule="auto"/>
        <w:jc w:val="both"/>
        <w:rPr>
          <w:rStyle w:val="Hyperlink"/>
        </w:rPr>
      </w:pPr>
    </w:p>
    <w:p w14:paraId="33424EF3" w14:textId="77777777" w:rsidR="005F1C76" w:rsidRDefault="005F1C76" w:rsidP="00AB3717">
      <w:pPr>
        <w:spacing w:line="360" w:lineRule="auto"/>
        <w:jc w:val="both"/>
        <w:rPr>
          <w:b/>
          <w:caps/>
        </w:rPr>
      </w:pPr>
    </w:p>
    <w:p w14:paraId="11DB9BEB" w14:textId="77777777" w:rsidR="00254C1B" w:rsidRPr="00F34AEE" w:rsidRDefault="00254C1B" w:rsidP="00AB3717">
      <w:pPr>
        <w:spacing w:line="360" w:lineRule="auto"/>
        <w:jc w:val="both"/>
        <w:rPr>
          <w:b/>
          <w:caps/>
        </w:rPr>
      </w:pPr>
      <w:r w:rsidRPr="00F34AEE">
        <w:rPr>
          <w:b/>
          <w:caps/>
        </w:rPr>
        <w:lastRenderedPageBreak/>
        <w:t>Abstract</w:t>
      </w:r>
    </w:p>
    <w:p w14:paraId="6504A1CD" w14:textId="6ED1C764" w:rsidR="005F1C76" w:rsidRDefault="00E70526" w:rsidP="00792E54">
      <w:pPr>
        <w:spacing w:line="360" w:lineRule="auto"/>
        <w:jc w:val="both"/>
        <w:rPr>
          <w:lang w:val="en-GB"/>
        </w:rPr>
      </w:pPr>
      <w:r>
        <w:t xml:space="preserve">A </w:t>
      </w:r>
      <w:r w:rsidR="005E302E" w:rsidRPr="00F34AEE">
        <w:t xml:space="preserve">challenge </w:t>
      </w:r>
      <w:r>
        <w:t xml:space="preserve">exists to produce </w:t>
      </w:r>
      <w:r w:rsidR="00100136">
        <w:t>dry powder inhaler (</w:t>
      </w:r>
      <w:r>
        <w:t>DPI</w:t>
      </w:r>
      <w:r w:rsidR="00100136">
        <w:t>)</w:t>
      </w:r>
      <w:r>
        <w:t xml:space="preserve"> formulations with appropriate</w:t>
      </w:r>
      <w:r w:rsidR="005E302E" w:rsidRPr="00F34AEE">
        <w:t xml:space="preserve"> formulation stability</w:t>
      </w:r>
      <w:r w:rsidR="00100136">
        <w:t>,</w:t>
      </w:r>
      <w:r w:rsidRPr="00F34AEE">
        <w:rPr>
          <w:rFonts w:eastAsia="Arial Unicode MS"/>
        </w:rPr>
        <w:t xml:space="preserve"> biological activity </w:t>
      </w:r>
      <w:r>
        <w:rPr>
          <w:rFonts w:eastAsia="Arial Unicode MS"/>
        </w:rPr>
        <w:t xml:space="preserve">and </w:t>
      </w:r>
      <w:r w:rsidR="005E302E" w:rsidRPr="00F34AEE">
        <w:rPr>
          <w:rFonts w:eastAsia="Arial Unicode MS"/>
        </w:rPr>
        <w:t xml:space="preserve">suitable physicochemical </w:t>
      </w:r>
      <w:r>
        <w:rPr>
          <w:rFonts w:eastAsia="Arial Unicode MS"/>
        </w:rPr>
        <w:t xml:space="preserve">and aerosolisation </w:t>
      </w:r>
      <w:r w:rsidR="005E302E" w:rsidRPr="00F34AEE">
        <w:rPr>
          <w:rFonts w:eastAsia="Arial Unicode MS"/>
        </w:rPr>
        <w:t>characteristics</w:t>
      </w:r>
      <w:r w:rsidR="00100136">
        <w:rPr>
          <w:rFonts w:eastAsia="Arial Unicode MS"/>
        </w:rPr>
        <w:t xml:space="preserve"> that provide a viable</w:t>
      </w:r>
      <w:r w:rsidR="001E78D2">
        <w:rPr>
          <w:rFonts w:eastAsia="Arial Unicode MS"/>
        </w:rPr>
        <w:t xml:space="preserve"> </w:t>
      </w:r>
      <w:r w:rsidR="001E78D2" w:rsidRPr="00F34AEE">
        <w:t xml:space="preserve">alternative </w:t>
      </w:r>
      <w:r w:rsidR="001E78D2">
        <w:t>to parenteral formulations</w:t>
      </w:r>
      <w:r w:rsidR="005E302E" w:rsidRPr="00F34AEE">
        <w:rPr>
          <w:rFonts w:eastAsia="Arial Unicode MS"/>
        </w:rPr>
        <w:t xml:space="preserve">. </w:t>
      </w:r>
      <w:r w:rsidR="00EB334A">
        <w:t>T</w:t>
      </w:r>
      <w:r w:rsidR="003531E9">
        <w:t>he present</w:t>
      </w:r>
      <w:r w:rsidR="005E302E" w:rsidRPr="00F34AEE">
        <w:t xml:space="preserve"> </w:t>
      </w:r>
      <w:r w:rsidR="00BE5E4F" w:rsidRPr="00F34AEE">
        <w:t xml:space="preserve">study </w:t>
      </w:r>
      <w:r w:rsidR="00EB334A">
        <w:t>aimed</w:t>
      </w:r>
      <w:r w:rsidR="00BE5E4F" w:rsidRPr="00F34AEE">
        <w:t xml:space="preserve"> to produce sugar-based nanoporous/nanoparticulate microparticles (NPMPs) loaded with a </w:t>
      </w:r>
      <w:r w:rsidR="0066042B">
        <w:t>therapeutic</w:t>
      </w:r>
      <w:r w:rsidR="00BE5E4F" w:rsidRPr="00F34AEE">
        <w:t xml:space="preserve"> peptide - salmon calcitonin (sCT)</w:t>
      </w:r>
      <w:r w:rsidR="00100136">
        <w:t>. The</w:t>
      </w:r>
      <w:r w:rsidR="00BE5E4F" w:rsidRPr="00F34AEE">
        <w:t xml:space="preserve"> physicochemical properties </w:t>
      </w:r>
      <w:r w:rsidR="00100136">
        <w:t xml:space="preserve">of the powders </w:t>
      </w:r>
      <w:r w:rsidR="00BE5E4F" w:rsidRPr="00F34AEE">
        <w:t xml:space="preserve">and </w:t>
      </w:r>
      <w:r w:rsidR="00100136">
        <w:t>their</w:t>
      </w:r>
      <w:r w:rsidR="00EB334A">
        <w:t xml:space="preserve"> </w:t>
      </w:r>
      <w:r w:rsidR="00BE5E4F" w:rsidRPr="00F34AEE">
        <w:t>suitability for pulmonary delivery</w:t>
      </w:r>
      <w:r w:rsidR="00612D32">
        <w:t xml:space="preserve"> of sCT</w:t>
      </w:r>
      <w:r w:rsidR="00100136">
        <w:t xml:space="preserve"> were determined</w:t>
      </w:r>
      <w:r w:rsidR="00BE5E4F" w:rsidRPr="00F34AEE">
        <w:t xml:space="preserve">. </w:t>
      </w:r>
      <w:r w:rsidR="008360E6" w:rsidRPr="00F34AEE">
        <w:t xml:space="preserve">Production of powders </w:t>
      </w:r>
      <w:r w:rsidR="00612D32">
        <w:t xml:space="preserve">composed of sCT loaded into raffinose or trehalose with or without </w:t>
      </w:r>
      <w:r w:rsidR="00612D32" w:rsidRPr="005F1C76">
        <w:rPr>
          <w:rFonts w:cs="Arial"/>
        </w:rPr>
        <w:t>hydroxypropyl-β-cyclodextrin</w:t>
      </w:r>
      <w:r w:rsidR="00612D32">
        <w:rPr>
          <w:rFonts w:cs="Arial"/>
        </w:rPr>
        <w:t xml:space="preserve"> </w:t>
      </w:r>
      <w:r w:rsidR="008360E6" w:rsidRPr="00F34AEE">
        <w:t>was carried out using a laboratory scale spray dryer.</w:t>
      </w:r>
      <w:r w:rsidR="0004007A" w:rsidRPr="00F34AEE">
        <w:rPr>
          <w:rFonts w:cs="Arial"/>
          <w:color w:val="0070C0"/>
        </w:rPr>
        <w:t xml:space="preserve"> </w:t>
      </w:r>
      <w:r w:rsidR="00100136">
        <w:rPr>
          <w:rFonts w:cs="Arial"/>
        </w:rPr>
        <w:t>Spray dried</w:t>
      </w:r>
      <w:r w:rsidR="0004007A" w:rsidRPr="005F1C76">
        <w:rPr>
          <w:rFonts w:cs="Arial"/>
        </w:rPr>
        <w:t xml:space="preserve"> </w:t>
      </w:r>
      <w:r w:rsidR="00486D82">
        <w:rPr>
          <w:rFonts w:cs="Arial"/>
        </w:rPr>
        <w:t xml:space="preserve">microparticles </w:t>
      </w:r>
      <w:r w:rsidR="00100136">
        <w:rPr>
          <w:rFonts w:cs="Arial"/>
        </w:rPr>
        <w:t xml:space="preserve">were </w:t>
      </w:r>
      <w:r w:rsidR="0089145F">
        <w:rPr>
          <w:rFonts w:cs="Arial"/>
        </w:rPr>
        <w:t>spherical</w:t>
      </w:r>
      <w:r w:rsidR="00100136">
        <w:rPr>
          <w:rFonts w:cs="Arial"/>
        </w:rPr>
        <w:t xml:space="preserve">, porous and </w:t>
      </w:r>
      <w:r w:rsidR="00486D82">
        <w:rPr>
          <w:rFonts w:cs="Arial"/>
        </w:rPr>
        <w:t xml:space="preserve">of small </w:t>
      </w:r>
      <w:r w:rsidR="00100136">
        <w:rPr>
          <w:rFonts w:cs="Arial"/>
        </w:rPr>
        <w:t xml:space="preserve">geometric </w:t>
      </w:r>
      <w:r w:rsidR="00486D82">
        <w:rPr>
          <w:rFonts w:cs="Arial"/>
        </w:rPr>
        <w:t>size (</w:t>
      </w:r>
      <w:r w:rsidR="0004007A" w:rsidRPr="005F1C76">
        <w:rPr>
          <w:rFonts w:cs="Arial"/>
        </w:rPr>
        <w:t>≤ 2</w:t>
      </w:r>
      <w:r w:rsidR="00612D32">
        <w:rPr>
          <w:rFonts w:cs="Arial"/>
        </w:rPr>
        <w:t xml:space="preserve"> </w:t>
      </w:r>
      <w:r w:rsidR="0004007A" w:rsidRPr="005F1C76">
        <w:rPr>
          <w:rFonts w:cs="Arial"/>
        </w:rPr>
        <w:t>µm</w:t>
      </w:r>
      <w:r w:rsidR="00486D82">
        <w:rPr>
          <w:rFonts w:cs="Arial"/>
        </w:rPr>
        <w:t>)</w:t>
      </w:r>
      <w:r w:rsidR="0004007A" w:rsidRPr="005F1C76">
        <w:rPr>
          <w:rFonts w:cs="Arial"/>
        </w:rPr>
        <w:t xml:space="preserve">. Aerodynamic assessment </w:t>
      </w:r>
      <w:r w:rsidR="005F1C76" w:rsidRPr="005F1C76">
        <w:rPr>
          <w:rFonts w:cs="Arial"/>
        </w:rPr>
        <w:t xml:space="preserve">showed </w:t>
      </w:r>
      <w:r w:rsidR="00100136">
        <w:rPr>
          <w:rFonts w:cs="Arial"/>
        </w:rPr>
        <w:t xml:space="preserve">that the </w:t>
      </w:r>
      <w:r w:rsidR="005F1C76" w:rsidRPr="005F1C76">
        <w:rPr>
          <w:rFonts w:cs="Arial"/>
        </w:rPr>
        <w:t>fine p</w:t>
      </w:r>
      <w:r w:rsidR="0004007A" w:rsidRPr="005F1C76">
        <w:rPr>
          <w:rFonts w:cs="Arial"/>
        </w:rPr>
        <w:t xml:space="preserve">article </w:t>
      </w:r>
      <w:r w:rsidR="005F1C76" w:rsidRPr="005F1C76">
        <w:rPr>
          <w:rFonts w:cs="Arial"/>
        </w:rPr>
        <w:t>f</w:t>
      </w:r>
      <w:r w:rsidR="0004007A" w:rsidRPr="005F1C76">
        <w:rPr>
          <w:rFonts w:cs="Arial"/>
        </w:rPr>
        <w:t>raction</w:t>
      </w:r>
      <w:r w:rsidR="005F1C76" w:rsidRPr="005F1C76">
        <w:rPr>
          <w:rFonts w:cs="Arial"/>
        </w:rPr>
        <w:t xml:space="preserve"> (FPF) </w:t>
      </w:r>
      <w:r w:rsidR="0089145F">
        <w:rPr>
          <w:rFonts w:cs="Arial"/>
        </w:rPr>
        <w:t>less than</w:t>
      </w:r>
      <w:r w:rsidR="0089145F" w:rsidRPr="005F1C76">
        <w:rPr>
          <w:rFonts w:cs="Arial"/>
        </w:rPr>
        <w:t xml:space="preserve"> </w:t>
      </w:r>
      <w:r w:rsidR="005F1C76" w:rsidRPr="005F1C76">
        <w:rPr>
          <w:rFonts w:cs="Arial"/>
        </w:rPr>
        <w:t>5 µm</w:t>
      </w:r>
      <w:r w:rsidR="00EB334A">
        <w:rPr>
          <w:rFonts w:cs="Arial"/>
        </w:rPr>
        <w:t xml:space="preserve"> </w:t>
      </w:r>
      <w:r w:rsidR="005F1C76" w:rsidRPr="005F1C76">
        <w:rPr>
          <w:rFonts w:cs="Arial"/>
        </w:rPr>
        <w:t>ranged from 45 to 86%</w:t>
      </w:r>
      <w:r w:rsidR="00100136">
        <w:rPr>
          <w:rFonts w:cs="Arial"/>
        </w:rPr>
        <w:t>, depending on the formulation</w:t>
      </w:r>
      <w:r w:rsidR="0004007A" w:rsidRPr="005F1C76">
        <w:rPr>
          <w:rFonts w:cs="Arial"/>
        </w:rPr>
        <w:t>.</w:t>
      </w:r>
      <w:r w:rsidR="005F1C76" w:rsidRPr="005F1C76">
        <w:rPr>
          <w:rFonts w:cs="Arial"/>
        </w:rPr>
        <w:t xml:space="preserve"> The mass m</w:t>
      </w:r>
      <w:r w:rsidR="0004007A" w:rsidRPr="005F1C76">
        <w:rPr>
          <w:rFonts w:cs="Arial"/>
        </w:rPr>
        <w:t xml:space="preserve">edian </w:t>
      </w:r>
      <w:r w:rsidR="005F1C76" w:rsidRPr="005F1C76">
        <w:rPr>
          <w:rFonts w:cs="Arial"/>
        </w:rPr>
        <w:t>a</w:t>
      </w:r>
      <w:r w:rsidR="0004007A" w:rsidRPr="005F1C76">
        <w:rPr>
          <w:rFonts w:cs="Arial"/>
        </w:rPr>
        <w:t xml:space="preserve">erodynamic </w:t>
      </w:r>
      <w:r w:rsidR="005F1C76" w:rsidRPr="005F1C76">
        <w:rPr>
          <w:rFonts w:cs="Arial"/>
        </w:rPr>
        <w:t>d</w:t>
      </w:r>
      <w:r w:rsidR="0004007A" w:rsidRPr="005F1C76">
        <w:rPr>
          <w:rFonts w:cs="Arial"/>
        </w:rPr>
        <w:t xml:space="preserve">iameter (MMAD) </w:t>
      </w:r>
      <w:r w:rsidR="005F1C76" w:rsidRPr="005F1C76">
        <w:rPr>
          <w:rFonts w:cs="Arial"/>
        </w:rPr>
        <w:t>varied between 1.9 and 4.7 μm</w:t>
      </w:r>
      <w:r w:rsidR="0004007A" w:rsidRPr="005F1C76">
        <w:rPr>
          <w:rFonts w:cs="Arial"/>
        </w:rPr>
        <w:t>. Compared to unprocessed sCT, sCT:raffinose</w:t>
      </w:r>
      <w:r w:rsidR="005F1C76" w:rsidRPr="005F1C76">
        <w:rPr>
          <w:rFonts w:cs="Arial"/>
        </w:rPr>
        <w:t xml:space="preserve"> composite systems</w:t>
      </w:r>
      <w:r w:rsidR="0004007A" w:rsidRPr="005F1C76">
        <w:rPr>
          <w:rFonts w:cs="Arial"/>
        </w:rPr>
        <w:t xml:space="preserve"> presented </w:t>
      </w:r>
      <w:r w:rsidR="003531E9">
        <w:rPr>
          <w:rFonts w:cs="Arial"/>
        </w:rPr>
        <w:t xml:space="preserve">a bioactivity of approximately </w:t>
      </w:r>
      <w:r w:rsidR="005F1C76" w:rsidRPr="005F1C76">
        <w:rPr>
          <w:rFonts w:cs="Arial"/>
        </w:rPr>
        <w:t>100</w:t>
      </w:r>
      <w:r w:rsidR="0004007A" w:rsidRPr="005F1C76">
        <w:rPr>
          <w:rFonts w:cs="Arial"/>
        </w:rPr>
        <w:t>% and sCT:trehalose</w:t>
      </w:r>
      <w:r w:rsidR="005F1C76" w:rsidRPr="005F1C76">
        <w:rPr>
          <w:rFonts w:cs="Arial"/>
        </w:rPr>
        <w:t xml:space="preserve"> composite systems</w:t>
      </w:r>
      <w:r w:rsidR="0004007A" w:rsidRPr="005F1C76">
        <w:rPr>
          <w:rFonts w:cs="Arial"/>
        </w:rPr>
        <w:t xml:space="preserve"> </w:t>
      </w:r>
      <w:r w:rsidR="003531E9">
        <w:rPr>
          <w:rFonts w:cs="Arial"/>
        </w:rPr>
        <w:t xml:space="preserve">between </w:t>
      </w:r>
      <w:r w:rsidR="005F1C76" w:rsidRPr="005F1C76">
        <w:rPr>
          <w:rFonts w:cs="Arial"/>
        </w:rPr>
        <w:t>70 to 9</w:t>
      </w:r>
      <w:r w:rsidR="0004007A" w:rsidRPr="005F1C76">
        <w:rPr>
          <w:rFonts w:cs="Arial"/>
        </w:rPr>
        <w:t xml:space="preserve">0% </w:t>
      </w:r>
      <w:r w:rsidR="005F1C76" w:rsidRPr="005F1C76">
        <w:rPr>
          <w:rFonts w:cs="Arial"/>
        </w:rPr>
        <w:t>after spray drying</w:t>
      </w:r>
      <w:r w:rsidR="0004007A" w:rsidRPr="005F1C76">
        <w:rPr>
          <w:rFonts w:cs="Arial"/>
        </w:rPr>
        <w:t xml:space="preserve">. </w:t>
      </w:r>
      <w:r w:rsidR="005F1C76">
        <w:rPr>
          <w:rFonts w:cs="Arial"/>
        </w:rPr>
        <w:t xml:space="preserve"> Storage stability studies </w:t>
      </w:r>
      <w:r w:rsidR="00100136">
        <w:rPr>
          <w:rFonts w:cs="Arial"/>
        </w:rPr>
        <w:t xml:space="preserve">demonstrated </w:t>
      </w:r>
      <w:r w:rsidR="005F1C76">
        <w:rPr>
          <w:rFonts w:cs="Arial"/>
        </w:rPr>
        <w:t xml:space="preserve">composite systems with raffinose to be more stable than those </w:t>
      </w:r>
      <w:r w:rsidR="00100136">
        <w:rPr>
          <w:rFonts w:cs="Arial"/>
        </w:rPr>
        <w:t xml:space="preserve">containing </w:t>
      </w:r>
      <w:r w:rsidR="005F1C76">
        <w:rPr>
          <w:rFonts w:cs="Arial"/>
        </w:rPr>
        <w:t>trehalose.</w:t>
      </w:r>
      <w:r w:rsidR="00792E54">
        <w:rPr>
          <w:rFonts w:cs="Arial"/>
        </w:rPr>
        <w:t xml:space="preserve"> </w:t>
      </w:r>
      <w:r w:rsidR="002F42ED" w:rsidRPr="00F34AEE">
        <w:rPr>
          <w:lang w:val="en-GB"/>
        </w:rPr>
        <w:t xml:space="preserve">These </w:t>
      </w:r>
      <w:r w:rsidR="005F1C76" w:rsidRPr="005F1C76">
        <w:rPr>
          <w:lang w:val="en-GB"/>
        </w:rPr>
        <w:t xml:space="preserve">sugar-based salmon calcitonin-loaded </w:t>
      </w:r>
      <w:r w:rsidR="002F42ED" w:rsidRPr="00F34AEE">
        <w:rPr>
          <w:lang w:val="en-GB"/>
        </w:rPr>
        <w:t>NPMPs retain reasonable sCT bioactivity and have micromeritic and physicochemical properties which indicate their suitability for pulmonary delivery. Formulation</w:t>
      </w:r>
      <w:r w:rsidR="005F1C76">
        <w:rPr>
          <w:lang w:val="en-GB"/>
        </w:rPr>
        <w:t>s</w:t>
      </w:r>
      <w:r w:rsidR="002F42ED" w:rsidRPr="00F34AEE">
        <w:rPr>
          <w:lang w:val="en-GB"/>
        </w:rPr>
        <w:t xml:space="preserve"> </w:t>
      </w:r>
      <w:r w:rsidR="005F1C76">
        <w:rPr>
          <w:lang w:val="en-GB"/>
        </w:rPr>
        <w:t>presented</w:t>
      </w:r>
      <w:r w:rsidR="002F42ED" w:rsidRPr="00F34AEE">
        <w:rPr>
          <w:lang w:val="en-GB"/>
        </w:rPr>
        <w:t xml:space="preserve"> a similar pharmacokinetic profile </w:t>
      </w:r>
      <w:r w:rsidR="00612D32">
        <w:rPr>
          <w:lang w:val="en-GB"/>
        </w:rPr>
        <w:t>to</w:t>
      </w:r>
      <w:r w:rsidR="00612D32" w:rsidRPr="00F34AEE">
        <w:rPr>
          <w:lang w:val="en-GB"/>
        </w:rPr>
        <w:t xml:space="preserve"> </w:t>
      </w:r>
      <w:r w:rsidR="002F42ED" w:rsidRPr="00F34AEE">
        <w:rPr>
          <w:lang w:val="en-GB"/>
        </w:rPr>
        <w:t>sCT solution. Hence the advantage of a dry powder formulation is its non-invasive delivery</w:t>
      </w:r>
      <w:r w:rsidR="0089145F">
        <w:rPr>
          <w:lang w:val="en-GB"/>
        </w:rPr>
        <w:t xml:space="preserve"> route</w:t>
      </w:r>
      <w:r w:rsidR="002F42ED" w:rsidRPr="00F34AEE">
        <w:rPr>
          <w:lang w:val="en-GB"/>
        </w:rPr>
        <w:t xml:space="preserve"> </w:t>
      </w:r>
      <w:r w:rsidR="005F1C76">
        <w:rPr>
          <w:lang w:val="en-GB"/>
        </w:rPr>
        <w:t xml:space="preserve">and ease of administration </w:t>
      </w:r>
      <w:r w:rsidR="002F42ED" w:rsidRPr="00F34AEE">
        <w:rPr>
          <w:lang w:val="en-GB"/>
        </w:rPr>
        <w:t>of the sCT</w:t>
      </w:r>
      <w:r w:rsidR="00EB334A">
        <w:rPr>
          <w:lang w:val="en-GB"/>
        </w:rPr>
        <w:t>.</w:t>
      </w:r>
    </w:p>
    <w:p w14:paraId="7DC0330D" w14:textId="77777777" w:rsidR="00612D32" w:rsidRDefault="00612D32" w:rsidP="00AB3717">
      <w:pPr>
        <w:spacing w:line="360" w:lineRule="auto"/>
        <w:jc w:val="both"/>
        <w:rPr>
          <w:lang w:val="en-GB"/>
        </w:rPr>
      </w:pPr>
    </w:p>
    <w:p w14:paraId="5173640C" w14:textId="77777777" w:rsidR="00BE5E4F" w:rsidRPr="008A2812" w:rsidRDefault="00BE5E4F" w:rsidP="00AB3717">
      <w:pPr>
        <w:tabs>
          <w:tab w:val="left" w:pos="340"/>
        </w:tabs>
        <w:spacing w:line="360" w:lineRule="auto"/>
        <w:jc w:val="both"/>
        <w:rPr>
          <w:b/>
        </w:rPr>
      </w:pPr>
      <w:r w:rsidRPr="008A2812">
        <w:rPr>
          <w:b/>
        </w:rPr>
        <w:t>INTRODUCTION</w:t>
      </w:r>
    </w:p>
    <w:p w14:paraId="52D1F09B" w14:textId="73D82B12" w:rsidR="009018AC" w:rsidRDefault="002F42ED" w:rsidP="00AB3717">
      <w:pPr>
        <w:spacing w:line="360" w:lineRule="auto"/>
        <w:jc w:val="both"/>
        <w:rPr>
          <w:rFonts w:eastAsia="Arial Unicode MS"/>
          <w:bCs/>
        </w:rPr>
      </w:pPr>
      <w:r w:rsidRPr="00F34AEE">
        <w:rPr>
          <w:rFonts w:eastAsia="Arial Unicode MS"/>
          <w:bCs/>
        </w:rPr>
        <w:t>Pulmonary drug delivery using dry powder inhalers (DPIs) i</w:t>
      </w:r>
      <w:r w:rsidR="003531E9">
        <w:rPr>
          <w:rFonts w:eastAsia="Arial Unicode MS"/>
          <w:bCs/>
        </w:rPr>
        <w:t>s an important research area</w:t>
      </w:r>
      <w:r w:rsidRPr="00F34AEE">
        <w:rPr>
          <w:rFonts w:eastAsia="Arial Unicode MS"/>
          <w:bCs/>
        </w:rPr>
        <w:t xml:space="preserve"> impacting on the treatment of respiratory diseases such as asthma and chronic obstructive pulmonary disease.</w:t>
      </w:r>
      <w:r w:rsidR="00365E72">
        <w:rPr>
          <w:rFonts w:eastAsia="Arial Unicode MS"/>
          <w:bCs/>
        </w:rPr>
        <w:t xml:space="preserve"> </w:t>
      </w:r>
      <w:r w:rsidR="00365E72" w:rsidRPr="00D61F1F">
        <w:t>The lung</w:t>
      </w:r>
      <w:r w:rsidR="008A12A5">
        <w:t xml:space="preserve"> is</w:t>
      </w:r>
      <w:r w:rsidR="00365E72" w:rsidRPr="00D61F1F">
        <w:t xml:space="preserve"> an efficient port of entry for drugs into the bloodstream due to the large and highly vascularised surface area (80-100 m</w:t>
      </w:r>
      <w:r w:rsidR="00365E72" w:rsidRPr="00D61F1F">
        <w:rPr>
          <w:vertAlign w:val="superscript"/>
        </w:rPr>
        <w:t>2</w:t>
      </w:r>
      <w:r w:rsidR="00365E72" w:rsidRPr="00D61F1F">
        <w:t xml:space="preserve">/adult and 5 L blood/min respectively), its thin non-ciliated epithelial barrier (0.1-0.2 µm), relatively low enzymatic activity compared to the stomach, and most importantly, the avoidance of hepatic first pass metabolism </w:t>
      </w:r>
      <w:r w:rsidR="00177CBD" w:rsidRPr="00365E72">
        <w:fldChar w:fldCharType="begin" w:fldLock="1"/>
      </w:r>
      <w:r w:rsidR="009869DD">
        <w:instrText>ADDIN CSL_CITATION { "citationItems" : [ { "id" : "ITEM-1", "itemData" : { "author" : [ { "dropping-particle" : "", "family" : "Patton", "given" : "JS", "non-dropping-particle" : "", "parse-names" : false, "suffix" : "" } ], "container-title" : "Advanced Drug Delivery Reviews", "id" : "ITEM-1", "issued" : { "date-parts" : [ [ "1996" ] ] }, "page" : "3-36", "title" : "Mechanisms of macromolecule absorption by the lungs", "type" : "article-journal", "volume" : "19" }, "uris" : [ "http://www.mendeley.com/documents/?uuid=7bf4fab3-9aab-4782-8abc-38553d9f5047" ] }, { "id" : "ITEM-2", "itemData" : { "author" : [ { "dropping-particle" : "", "family" : "Telko", "given" : "MJ", "non-dropping-particle" : "", "parse-names" : false, "suffix" : "" }, { "dropping-particle" : "", "family" : "Hickey", "given" : "AJ", "non-dropping-particle" : "", "parse-names" : false, "suffix" : "" } ], "container-title" : "Respiratory care", "id" : "ITEM-2", "issued" : { "date-parts" : [ [ "2005" ] ] }, "page" : "1209-1227", "title" : "Dry powder inhaler formulation", "type" : "article-journal" }, "uris" : [ "http://www.mendeley.com/documents/?uuid=521ce649-bb08-484f-bae7-c6324f62c10d" ] }, { "id" : "ITEM-3", "itemData" : { "DOI" : "10.1016/j.partic.2008.04.004", "ISSN" : "16742001", "author" : [ { "dropping-particle" : "", "family" : "Daniher", "given" : "Derek Ivan", "non-dropping-particle" : "", "parse-names" : false, "suffix" : "" }, { "dropping-particle" : "", "family" : "Zhu", "given" : "Jesse", "non-dropping-particle" : "", "parse-names" : false, "suffix" : "" } ], "container-title" : "Particuology", "id" : "ITEM-3", "issue" : "4", "issued" : { "date-parts" : [ [ "2008", "8" ] ] }, "page" : "225-238", "title" : "Dry powder platform for pulmonary drug delivery", "type" : "article-journal", "volume" : "6" }, "uris" : [ "http://www.mendeley.com/documents/?uuid=e6018613-9d12-4aa5-a9df-eba016f4290e" ] }, { "id" : "ITEM-4", "itemData" : { "DOI" : "10.1016/j.ijpharm.2010.03.017", "ISSN" : "1873-3476", "PMID" : "20223286", "abstract" : "Pulmonary administration of drugs presents several advantages in the treatment of many diseases. Considering local and systemic delivery, drug inhalation enables a rapid and predictable onset of action and induces fewer side effects than other routes of administration. Three main inhalation systems have been developed for the aerosolization of drugs; namely, nebulizers, pressurized metered-dose inhalers (MDIs) and dry powder inhalers (DPIs). The latter are currently the most convenient alternative as they are breath-actuated and do not require the use of any propellants. The deposition site in the respiratory tract and the efficiency of inhaled aerosols are critically influenced by the aerodynamic diameter, size distribution, shape and density of particles. In the case of DPIs, since micronized particles are generally very cohesive and exhibit poor flow properties, drug particles are usually blended with coarse and fine carrier particles. This increases particle aerodynamic behavior and flow properties of the drugs and ensures accurate dosage of active ingredients. At present, particles with controlled properties are obtained by milling, spray drying or supercritical fluid techniques. Several excipients such as sugars, lipids, amino acids, surfactants, polymers and absorption enhancers have been tested for their efficacy in improving drug pulmonary administration. The purpose of this article is to describe various observations that have been made in the field of inhalation product development, especially for the dry powder inhalation formulation, and to review the use of various additives, their effectiveness and their potential toxicity for pulmonary administration.", "author" : [ { "dropping-particle" : "", "family" : "Pilcer", "given" : "Gabrielle", "non-dropping-particle" : "", "parse-names" : false, "suffix" : "" }, { "dropping-particle" : "", "family" : "Amighi", "given" : "Karim", "non-dropping-particle" : "", "parse-names" : false, "suffix" : "" } ], "container-title" : "International journal of pharmaceutics", "id" : "ITEM-4", "issue" : "1-2", "issued" : { "date-parts" : [ [ "2010", "6", "15" ] ] }, "page" : "1-19", "publisher" : "Elsevier B.V.", "title" : "Formulation strategy and use of excipients in pulmonary drug delivery.", "type" : "article-journal", "volume" : "392" }, "uris" : [ "http://www.mendeley.com/documents/?uuid=752f0a69-a6a9-49b0-9eb0-ba38ce1116a5" ] } ], "mendeley" : { "previouslyFormattedCitation" : "(Patton 1996; Telko &amp; Hickey 2005; Daniher &amp; Zhu 2008; Pilcer &amp; Amighi 2010)" }, "properties" : { "noteIndex" : 0 }, "schema" : "https://github.com/citation-style-language/schema/raw/master/csl-citation.json" }</w:instrText>
      </w:r>
      <w:r w:rsidR="00177CBD" w:rsidRPr="00365E72">
        <w:fldChar w:fldCharType="separate"/>
      </w:r>
      <w:r w:rsidR="001D7087" w:rsidRPr="001D7087">
        <w:rPr>
          <w:noProof/>
        </w:rPr>
        <w:t>(Patton 1996; Telko &amp; Hickey 2005; Daniher &amp; Zhu 2008; Pilcer &amp; Amighi 2010)</w:t>
      </w:r>
      <w:r w:rsidR="00177CBD" w:rsidRPr="00365E72">
        <w:fldChar w:fldCharType="end"/>
      </w:r>
      <w:r w:rsidR="00365E72" w:rsidRPr="00365E72">
        <w:t xml:space="preserve">. </w:t>
      </w:r>
      <w:r w:rsidR="00D76CE5" w:rsidRPr="00365E72">
        <w:rPr>
          <w:rFonts w:eastAsia="Arial Unicode MS"/>
          <w:bCs/>
        </w:rPr>
        <w:t>The main advantage</w:t>
      </w:r>
      <w:r w:rsidRPr="00365E72">
        <w:rPr>
          <w:rFonts w:eastAsia="Arial Unicode MS"/>
          <w:bCs/>
        </w:rPr>
        <w:t xml:space="preserve"> </w:t>
      </w:r>
      <w:r w:rsidR="00D76CE5" w:rsidRPr="00365E72">
        <w:rPr>
          <w:rFonts w:eastAsia="Arial Unicode MS"/>
          <w:bCs/>
        </w:rPr>
        <w:t>of i</w:t>
      </w:r>
      <w:r w:rsidRPr="00365E72">
        <w:rPr>
          <w:rFonts w:eastAsia="Arial Unicode MS"/>
          <w:bCs/>
        </w:rPr>
        <w:t xml:space="preserve">nhalation </w:t>
      </w:r>
      <w:r w:rsidR="00D76CE5" w:rsidRPr="00365E72">
        <w:rPr>
          <w:rFonts w:eastAsia="Arial Unicode MS"/>
          <w:bCs/>
        </w:rPr>
        <w:t xml:space="preserve">is </w:t>
      </w:r>
      <w:r w:rsidR="0066042B">
        <w:rPr>
          <w:rFonts w:eastAsia="Arial Unicode MS"/>
          <w:bCs/>
        </w:rPr>
        <w:t xml:space="preserve">the </w:t>
      </w:r>
      <w:r w:rsidRPr="00365E72">
        <w:rPr>
          <w:rFonts w:eastAsia="Arial Unicode MS"/>
          <w:bCs/>
        </w:rPr>
        <w:t xml:space="preserve">non-invasive drug targeting. </w:t>
      </w:r>
    </w:p>
    <w:p w14:paraId="5B0858C0" w14:textId="00DB2AB0" w:rsidR="00365E72" w:rsidRPr="00F34AEE" w:rsidRDefault="002F42ED" w:rsidP="00AB3717">
      <w:pPr>
        <w:spacing w:line="360" w:lineRule="auto"/>
        <w:jc w:val="both"/>
        <w:rPr>
          <w:color w:val="FF0000"/>
        </w:rPr>
      </w:pPr>
      <w:r w:rsidRPr="00365E72">
        <w:rPr>
          <w:rFonts w:eastAsia="Arial Unicode MS"/>
          <w:bCs/>
        </w:rPr>
        <w:t xml:space="preserve">In recent years, </w:t>
      </w:r>
      <w:r w:rsidR="003531E9">
        <w:rPr>
          <w:rFonts w:eastAsia="Arial Unicode MS"/>
          <w:bCs/>
        </w:rPr>
        <w:t xml:space="preserve">inhalation </w:t>
      </w:r>
      <w:r w:rsidRPr="00365E72">
        <w:rPr>
          <w:rFonts w:eastAsia="Arial Unicode MS"/>
          <w:bCs/>
        </w:rPr>
        <w:t xml:space="preserve">has </w:t>
      </w:r>
      <w:r w:rsidR="00B0494F">
        <w:rPr>
          <w:rFonts w:eastAsia="Arial Unicode MS"/>
          <w:bCs/>
        </w:rPr>
        <w:t>emerged as a possible</w:t>
      </w:r>
      <w:r w:rsidRPr="00365E72">
        <w:rPr>
          <w:rFonts w:eastAsia="Arial Unicode MS"/>
          <w:bCs/>
        </w:rPr>
        <w:t xml:space="preserve"> alternative </w:t>
      </w:r>
      <w:r w:rsidR="00B0494F">
        <w:rPr>
          <w:rFonts w:eastAsia="Arial Unicode MS"/>
          <w:bCs/>
        </w:rPr>
        <w:t xml:space="preserve">to parenteral administration </w:t>
      </w:r>
      <w:r w:rsidRPr="00365E72">
        <w:rPr>
          <w:rFonts w:eastAsia="Arial Unicode MS"/>
          <w:bCs/>
        </w:rPr>
        <w:t xml:space="preserve">for </w:t>
      </w:r>
      <w:r w:rsidR="00B0494F">
        <w:rPr>
          <w:rFonts w:eastAsia="Arial Unicode MS"/>
          <w:bCs/>
        </w:rPr>
        <w:t xml:space="preserve">the </w:t>
      </w:r>
      <w:r w:rsidRPr="00365E72">
        <w:rPr>
          <w:rFonts w:eastAsia="Arial Unicode MS"/>
          <w:bCs/>
        </w:rPr>
        <w:t>systemic delivery of peptides and proteins</w:t>
      </w:r>
      <w:r w:rsidR="00B0494F">
        <w:rPr>
          <w:rFonts w:eastAsia="Arial Unicode MS"/>
          <w:bCs/>
        </w:rPr>
        <w:t xml:space="preserve"> </w:t>
      </w:r>
      <w:r w:rsidR="00177CBD" w:rsidRPr="00365E72">
        <w:rPr>
          <w:rFonts w:eastAsia="Arial Unicode MS"/>
          <w:bCs/>
        </w:rPr>
        <w:fldChar w:fldCharType="begin" w:fldLock="1"/>
      </w:r>
      <w:r w:rsidR="009869DD">
        <w:rPr>
          <w:rFonts w:eastAsia="Arial Unicode MS"/>
          <w:bCs/>
        </w:rPr>
        <w:instrText>ADDIN CSL_CITATION { "citationItems" : [ { "id" : "ITEM-1", "itemData" : { "author" : [ { "dropping-particle" : "", "family" : "Patton", "given" : "JS", "non-dropping-particle" : "", "parse-names" : false, "suffix" : "" } ], "container-title" : "Advanced Drug Delivery Reviews", "id" : "ITEM-1", "issued" : { "date-parts" : [ [ "1996" ] ] }, "page" : "3-36", "title" : "Mechanisms of macromolecule absorption by the lungs", "type" : "article-journal", "volume" : "19" }, "uris" : [ "http://www.mendeley.com/documents/?uuid=7bf4fab3-9aab-4782-8abc-38553d9f5047" ] }, { "id" : "ITEM-2", "itemData" : { "DOI" : "10.1513/pats.200409-049TA", "ISSN" : "1546-3222", "PMID" : "16113455", "abstract" : "The lung is naturally permeable to all small-molecule drugs studied and to many therapeutic peptides and proteins. Absorption can be estimated using a simple animal test, intratracheal instillation. Inhalation offers a noninvasive route for the delivery of peptides and proteins that otherwise must be injected. Peptides that have been chemically altered to inhibit peptidase enzymes exhibit very high bioavailabilities by the pulmonary route. Natural mammalian peptides, less than about 30 amino acids, are broken down in the lung by ubiquitous peptidases and have very poor bioavailabilities. In general, proteins with molecular weights between 6,000 and 50,000 D are relatively resistant to most peptidases and have good bioavailabilities following inhalation. For larger proteins the bioavailability picture is not clear. Although the lung is rich in antiproteases, aggregation of inhaled proteins will stimulate opsonization (coating) by special proteins in the lung lining fluids, which will then mark the aggregated proteins for phagocytosis and intracellular enzymatic destruction. Small peptides and proteins are absorbed more rapidly after inhalation than after subcutaneous injection. For other small molecules, inhalation is also a fast way to get into the body because drug efflux transporters and metabolizing enzymes are present in the lung at much lower levels than the gastrointestinal tract. Lipophilic small molecules are absorbed extremely fast, t(1/2) (abs) approximately 1 to 2 minutes. Water-soluble small molecules are absorbed rapidly t(1/2) (abs) approximately 65 minutes. Small molecules can exhibit prolonged absorption if they are highly insoluble or highly cationic. Encapsulation in slow release particles such as liposomes can also be used to control absorption.", "author" : [ { "dropping-particle" : "", "family" : "Patton", "given" : "John S", "non-dropping-particle" : "", "parse-names" : false, "suffix" : "" }, { "dropping-particle" : "", "family" : "Fishburn", "given" : "C Simone", "non-dropping-particle" : "", "parse-names" : false, "suffix" : "" }, { "dropping-particle" : "", "family" : "Weers", "given" : "Jeffry G", "non-dropping-particle" : "", "parse-names" : false, "suffix" : "" } ], "container-title" : "Proceedings of the American Thoracic Society", "id" : "ITEM-2", "issue" : "4", "issued" : { "date-parts" : [ [ "2004", "1" ] ] }, "page" : "338-44", "title" : "The lungs as a portal of entry for systemic drug delivery.", "type" : "article-journal", "volume" : "1" }, "uris" : [ "http://www.mendeley.com/documents/?uuid=43a7f50f-1b47-41b4-8310-aaa2b3d530fb" ] }, { "id" : "ITEM-3", "itemData" : { "DOI" : "10.1016/j.partic.2008.04.004", "ISSN" : "16742001", "author" : [ { "dropping-particle" : "", "family" : "Daniher", "given" : "Derek Ivan", "non-dropping-particle" : "", "parse-names" : false, "suffix" : "" }, { "dropping-particle" : "", "family" : "Zhu", "given" : "Jesse", "non-dropping-particle" : "", "parse-names" : false, "suffix" : "" } ], "container-title" : "Particuology", "id" : "ITEM-3", "issue" : "4", "issued" : { "date-parts" : [ [ "2008", "8" ] ] }, "page" : "225-238", "title" : "Dry powder platform for pulmonary drug delivery", "type" : "article-journal", "volume" : "6" }, "uris" : [ "http://www.mendeley.com/documents/?uuid=e6018613-9d12-4aa5-a9df-eba016f4290e" ] } ], "mendeley" : { "previouslyFormattedCitation" : "(Patton 1996; Patton et al. 2004; Daniher &amp; Zhu 2008)" }, "properties" : { "noteIndex" : 0 }, "schema" : "https://github.com/citation-style-language/schema/raw/master/csl-citation.json" }</w:instrText>
      </w:r>
      <w:r w:rsidR="00177CBD" w:rsidRPr="00365E72">
        <w:rPr>
          <w:rFonts w:eastAsia="Arial Unicode MS"/>
          <w:bCs/>
        </w:rPr>
        <w:fldChar w:fldCharType="separate"/>
      </w:r>
      <w:r w:rsidR="00D76CE5" w:rsidRPr="00365E72">
        <w:rPr>
          <w:rFonts w:eastAsia="Arial Unicode MS"/>
          <w:bCs/>
          <w:noProof/>
        </w:rPr>
        <w:t>(Patton 1996; Patton et al. 2004; Daniher &amp; Zhu 2008)</w:t>
      </w:r>
      <w:r w:rsidR="00177CBD" w:rsidRPr="00365E72">
        <w:rPr>
          <w:rFonts w:eastAsia="Arial Unicode MS"/>
          <w:bCs/>
        </w:rPr>
        <w:fldChar w:fldCharType="end"/>
      </w:r>
      <w:r w:rsidR="00D76CE5" w:rsidRPr="00365E72">
        <w:rPr>
          <w:rFonts w:eastAsia="Arial Unicode MS"/>
          <w:bCs/>
        </w:rPr>
        <w:t xml:space="preserve">. </w:t>
      </w:r>
      <w:r w:rsidR="00365E72" w:rsidRPr="00365E72">
        <w:t>Exubera</w:t>
      </w:r>
      <w:r w:rsidR="00365E72" w:rsidRPr="00365E72">
        <w:rPr>
          <w:vertAlign w:val="superscript"/>
        </w:rPr>
        <w:t>TM</w:t>
      </w:r>
      <w:r w:rsidR="00365E72" w:rsidRPr="00365E72">
        <w:t xml:space="preserve"> was a marketed insulin dry powder inhaler that presented good stability and bioavailability, </w:t>
      </w:r>
      <w:r w:rsidR="009018AC">
        <w:t>nevertheless it</w:t>
      </w:r>
      <w:r w:rsidR="00365E72" w:rsidRPr="00365E72">
        <w:t xml:space="preserve"> was withdrawn due to poor sales </w:t>
      </w:r>
      <w:r w:rsidR="00177CBD" w:rsidRPr="00365E72">
        <w:fldChar w:fldCharType="begin" w:fldLock="1"/>
      </w:r>
      <w:r w:rsidR="009869DD">
        <w:instrText>ADDIN CSL_CITATION { "citationItems" : [ { "id" : "ITEM-1", "itemData" : { "DOI" : "10.1007/s11095-007-9377-2", "ISBN" : "1109500793", "ISSN" : "0724-8741", "PMID" : "17619997", "abstract" : "PURPOSE: At present, there is no published data examining the effect of relative humidity on the electrostatic charges of dry powder inhaler aerosols. The charging behaviour of two commercial products, Pulmicort and Bricanyl Turbuhalers, were investigated using an electrical low pressure impactor (ELPI).\n\nMETHODS: ELPI was successfully modified to disperse the aerosols at 60 l/min. Four doses from each new inhaler were sampled at 15, 40, 65, and 90% RH. Particles deposited on the impactor stages according to their aerodynamic diameters and their charges were measured simultaneously by the electrometers. The drug in each size fraction was quantified using HPLC.\n\nRESULTS: Both products generated bipolar charges. The charging behaviour of the two types of inhaler showed different humidity dependence although the mass output was not significantly affected. The absolute specific charge of budesonide fine particles from Pulmicort was the lowest at 40% RH but increased at lower and higher RHs. In contrast, the terbutaline sulfate fine particles from Bricanyl followed the expected trend of charge reduction with increasing RH.\n\nCONCLUSIONS: The distinct trends of charging of aerosols from Pulmicort and Bricanyl Turbuhalers was explained by differences in hygroscopicity and other physicochemical factors between the two drugs.", "author" : [ { "dropping-particle" : "", "family" : "Kwok", "given" : "Philip Chi Lip", "non-dropping-particle" : "", "parse-names" : false, "suffix" : "" }, { "dropping-particle" : "", "family" : "Chan", "given" : "Hak-Kim", "non-dropping-particle" : "", "parse-names" : false, "suffix" : "" } ], "container-title" : "Pharmaceutical research", "id" : "ITEM-1", "issue" : "2", "issued" : { "date-parts" : [ [ "2008", "3" ] ] }, "page" : "277-88", "title" : "Effect of relative humidity on the electrostatic charge properties of dry powder inhaler aerosols.", "type" : "article-journal", "volume" : "25" }, "uris" : [ "http://www.mendeley.com/documents/?uuid=9f02ad68-aabb-431d-8d8f-8e679f85ad7b" ] } ], "mendeley" : { "previouslyFormattedCitation" : "(Kwok &amp; Chan 2008)" }, "properties" : { "noteIndex" : 0 }, "schema" : "https://github.com/citation-style-language/schema/raw/master/csl-citation.json" }</w:instrText>
      </w:r>
      <w:r w:rsidR="00177CBD" w:rsidRPr="00365E72">
        <w:fldChar w:fldCharType="separate"/>
      </w:r>
      <w:r w:rsidR="00365E72" w:rsidRPr="00365E72">
        <w:rPr>
          <w:noProof/>
        </w:rPr>
        <w:t>(Kwok &amp; Chan 2008)</w:t>
      </w:r>
      <w:r w:rsidR="00177CBD" w:rsidRPr="00365E72">
        <w:fldChar w:fldCharType="end"/>
      </w:r>
      <w:r w:rsidR="00365E72" w:rsidRPr="00365E72">
        <w:t xml:space="preserve">. </w:t>
      </w:r>
      <w:r w:rsidR="0089145F">
        <w:t xml:space="preserve">In late </w:t>
      </w:r>
      <w:r w:rsidR="0087043A">
        <w:t>June 2014</w:t>
      </w:r>
      <w:r w:rsidR="0087043A" w:rsidRPr="00365E72">
        <w:t xml:space="preserve"> </w:t>
      </w:r>
      <w:r w:rsidR="00B0494F">
        <w:t xml:space="preserve">Afrezza®, a </w:t>
      </w:r>
      <w:r w:rsidR="00B0494F">
        <w:lastRenderedPageBreak/>
        <w:t>new DPI insulin product</w:t>
      </w:r>
      <w:r w:rsidR="00B0494F" w:rsidRPr="00365E72">
        <w:t xml:space="preserve"> </w:t>
      </w:r>
      <w:r w:rsidR="00B0494F">
        <w:t xml:space="preserve">based on </w:t>
      </w:r>
      <w:r w:rsidR="00365E72" w:rsidRPr="00365E72">
        <w:t xml:space="preserve">the Technosphere technology by Mannkind </w:t>
      </w:r>
      <w:r w:rsidR="00365E72" w:rsidRPr="00F34AEE">
        <w:t xml:space="preserve">(US) </w:t>
      </w:r>
      <w:r w:rsidR="0087043A">
        <w:t>was approved by FDA</w:t>
      </w:r>
      <w:r w:rsidR="00882E81">
        <w:t xml:space="preserve"> (Mannkind, 20</w:t>
      </w:r>
      <w:r w:rsidR="0087043A">
        <w:t>14</w:t>
      </w:r>
      <w:r w:rsidR="00882E81">
        <w:t>)</w:t>
      </w:r>
      <w:r w:rsidR="009018AC">
        <w:t>.</w:t>
      </w:r>
    </w:p>
    <w:p w14:paraId="6A41B3E9" w14:textId="15651362" w:rsidR="002C62A0" w:rsidRPr="00444DAC" w:rsidRDefault="002C62A0" w:rsidP="00AB3717">
      <w:pPr>
        <w:spacing w:line="360" w:lineRule="auto"/>
        <w:jc w:val="both"/>
        <w:rPr>
          <w:rFonts w:eastAsia="Arial Unicode MS"/>
          <w:bCs/>
        </w:rPr>
      </w:pPr>
      <w:r w:rsidRPr="00444DAC">
        <w:rPr>
          <w:rFonts w:eastAsia="Arial Unicode MS"/>
          <w:bCs/>
        </w:rPr>
        <w:t>Studies have demonstrated that aerosol particles must present a specific aerodynamic diameter</w:t>
      </w:r>
      <w:r w:rsidR="00B0494F">
        <w:rPr>
          <w:rFonts w:eastAsia="Arial Unicode MS"/>
          <w:bCs/>
        </w:rPr>
        <w:t>, i.e.</w:t>
      </w:r>
      <w:r w:rsidR="00B0494F" w:rsidRPr="00444DAC">
        <w:rPr>
          <w:rFonts w:eastAsia="Arial Unicode MS"/>
          <w:bCs/>
        </w:rPr>
        <w:t xml:space="preserve"> </w:t>
      </w:r>
      <w:r w:rsidRPr="00444DAC">
        <w:rPr>
          <w:rFonts w:eastAsia="Arial Unicode MS"/>
          <w:bCs/>
        </w:rPr>
        <w:t>&lt; 5 µm, to clear the oropharyngeal impaction barrier</w:t>
      </w:r>
      <w:r w:rsidR="00B0494F">
        <w:rPr>
          <w:rFonts w:eastAsia="Arial Unicode MS"/>
          <w:bCs/>
        </w:rPr>
        <w:t>, and should be</w:t>
      </w:r>
      <w:r w:rsidR="00B0494F" w:rsidRPr="00444DAC">
        <w:rPr>
          <w:rFonts w:eastAsia="Arial Unicode MS"/>
          <w:bCs/>
        </w:rPr>
        <w:t xml:space="preserve"> </w:t>
      </w:r>
      <w:r w:rsidRPr="00444DAC">
        <w:rPr>
          <w:rFonts w:eastAsia="Arial Unicode MS"/>
          <w:bCs/>
        </w:rPr>
        <w:t xml:space="preserve">&lt; 3 µm, to reach the terminal bronchi and the alveoli </w:t>
      </w:r>
      <w:r w:rsidR="00177CBD" w:rsidRPr="00444DAC">
        <w:rPr>
          <w:rFonts w:eastAsia="Arial Unicode MS"/>
          <w:bCs/>
        </w:rPr>
        <w:fldChar w:fldCharType="begin" w:fldLock="1"/>
      </w:r>
      <w:r w:rsidR="009869DD">
        <w:rPr>
          <w:rFonts w:eastAsia="Arial Unicode MS"/>
          <w:bCs/>
        </w:rPr>
        <w:instrText>ADDIN CSL_CITATION { "citationItems" : [ { "id" : "ITEM-1", "itemData" : { "ISSN" : "1872-8294", "PMID" : "10837528", "abstract" : "Innovations in biotechnology and recombinant techniques have led to a large increase in the number of macromolecule drugs developed over the last several years. These molecules are enabling new therapies for many previously untreated or poorly treated diseases. Due to poor oral absorption, most biopharmaceuticals are delivered by injection. Medical science, health care providers and consumers have been searching for alternative methods of delivering macromolecule drugs. Animal and human clinical studies have demonstrated that pharmacological doses of bioactive peptides and proteins pass, by a natural biological process, from the lungs into the bloodstream or local tissue. New macromolecule drugs are also being developed for treatment of respiratory diseases such as cystic fibrosis, adult and infant respiratory distress syndromes, asthma and emphysema. This paper reviews formulations for delivering therapeutic aerosols to the lungs. Particular emphasis will be placed on preparing fine powders containing macromolecule drugs.", "author" : [ { "dropping-particle" : "", "family" : "Johnson", "given" : "Ka", "non-dropping-particle" : "", "parse-names" : false, "suffix" : "" } ], "container-title" : "Advanced drug delivery reviews", "id" : "ITEM-1", "issue" : "1", "issued" : { "date-parts" : [ [ "1997", "6", "9" ] ] }, "page" : "3-15", "title" : "Preparation of peptide and protein powders for inhalation.", "type" : "article-journal", "volume" : "26" }, "uris" : [ "http://www.mendeley.com/documents/?uuid=893e4244-8164-41c9-992c-ec6bafbd6b26" ] }, { "id" : "ITEM-2", "itemData" : { "author" : [ { "dropping-particle" : "", "family" : "Telko", "given" : "MJ", "non-dropping-particle" : "", "parse-names" : false, "suffix" : "" }, { "dropping-particle" : "", "family" : "Hickey", "given" : "AJ", "non-dropping-particle" : "", "parse-names" : false, "suffix" : "" } ], "container-title" : "Respiratory care", "id" : "ITEM-2", "issued" : { "date-parts" : [ [ "2005" ] ] }, "page" : "1209-1227", "title" : "Dry powder inhaler formulation", "type" : "article-journal" }, "uris" : [ "http://www.mendeley.com/documents/?uuid=521ce649-bb08-484f-bae7-c6324f62c10d" ] }, { "id" : "ITEM-3", "itemData" : { "DOI" : "10.1007/s11095-006-9174-3", "ISSN" : "0724-8741", "PMID" : "17245651", "abstract" : "With the rapidly growing popularity and sophistication of inhalation therapy, there is an increasing demand for tailor-made inhalable drug particles capable of affording the most efficient delivery to the lungs and the most optimal therapeutic outcomes. To cope with this formulation demand, a wide variety of novel particle technologies have emerged over the past decade. The present review is intended to provide a critical account of the current goals and technologies of particle engineering for the development of pulmonary drug delivery systems. These technologies cover traditional micronization and powder blending, controlled solvent crystallization, spray drying, spray freeze drying, particle formation from liquid dispersion systems, supercritical fluid processing and particle coating. The merits and limitations of these technologies are discussed with reference to their applications to specific drug and/or excipient materials. The regulatory requirements applicable to particulate inhalation products are also reviewed briefly.", "author" : [ { "dropping-particle" : "", "family" : "Chow", "given" : "Albert H L", "non-dropping-particle" : "", "parse-names" : false, "suffix" : "" }, { "dropping-particle" : "", "family" : "Tong", "given" : "Henry H Y", "non-dropping-particle" : "", "parse-names" : false, "suffix" : "" }, { "dropping-particle" : "", "family" : "Chattopadhyay", "given" : "Pratibhash", "non-dropping-particle" : "", "parse-names" : false, "suffix" : "" }, { "dropping-particle" : "", "family" : "Shekunov", "given" : "Boris Y", "non-dropping-particle" : "", "parse-names" : false, "suffix" : "" } ], "container-title" : "Pharmaceutical research", "id" : "ITEM-3", "issue" : "3", "issued" : { "date-parts" : [ [ "2007", "3" ] ] }, "page" : "411-37", "title" : "Particle engineering for pulmonary drug delivery.", "type" : "article-journal", "volume" : "24" }, "uris" : [ "http://www.mendeley.com/documents/?uuid=cf9c0037-e4c0-4a1f-a946-7f12821ab106" ] }, { "id" : "ITEM-4", "itemData" : { "DOI" : "10.1016/j.partic.2008.04.004", "ISSN" : "16742001", "author" : [ { "dropping-particle" : "", "family" : "Daniher", "given" : "Derek Ivan", "non-dropping-particle" : "", "parse-names" : false, "suffix" : "" }, { "dropping-particle" : "", "family" : "Zhu", "given" : "Jesse", "non-dropping-particle" : "", "parse-names" : false, "suffix" : "" } ], "container-title" : "Particuology", "id" : "ITEM-4", "issue" : "4", "issued" : { "date-parts" : [ [ "2008", "8" ] ] }, "page" : "225-238", "title" : "Dry powder platform for pulmonary drug delivery", "type" : "article-journal", "volume" : "6" }, "uris" : [ "http://www.mendeley.com/documents/?uuid=e6018613-9d12-4aa5-a9df-eba016f4290e" ] }, { "id" : "ITEM-5", "itemData" : { "DOI" : "10.1016/j.ijpharm.2010.03.017", "ISSN" : "1873-3476", "PMID" : "20223286", "abstract" : "Pulmonary administration of drugs presents several advantages in the treatment of many diseases. Considering local and systemic delivery, drug inhalation enables a rapid and predictable onset of action and induces fewer side effects than other routes of administration. Three main inhalation systems have been developed for the aerosolization of drugs; namely, nebulizers, pressurized metered-dose inhalers (MDIs) and dry powder inhalers (DPIs). The latter are currently the most convenient alternative as they are breath-actuated and do not require the use of any propellants. The deposition site in the respiratory tract and the efficiency of inhaled aerosols are critically influenced by the aerodynamic diameter, size distribution, shape and density of particles. In the case of DPIs, since micronized particles are generally very cohesive and exhibit poor flow properties, drug particles are usually blended with coarse and fine carrier particles. This increases particle aerodynamic behavior and flow properties of the drugs and ensures accurate dosage of active ingredients. At present, particles with controlled properties are obtained by milling, spray drying or supercritical fluid techniques. Several excipients such as sugars, lipids, amino acids, surfactants, polymers and absorption enhancers have been tested for their efficacy in improving drug pulmonary administration. The purpose of this article is to describe various observations that have been made in the field of inhalation product development, especially for the dry powder inhalation formulation, and to review the use of various additives, their effectiveness and their potential toxicity for pulmonary administration.", "author" : [ { "dropping-particle" : "", "family" : "Pilcer", "given" : "Gabrielle", "non-dropping-particle" : "", "parse-names" : false, "suffix" : "" }, { "dropping-particle" : "", "family" : "Amighi", "given" : "Karim", "non-dropping-particle" : "", "parse-names" : false, "suffix" : "" } ], "container-title" : "International journal of pharmaceutics", "id" : "ITEM-5", "issue" : "1-2", "issued" : { "date-parts" : [ [ "2010", "6", "15" ] ] }, "page" : "1-19", "publisher" : "Elsevier B.V.", "title" : "Formulation strategy and use of excipients in pulmonary drug delivery.", "type" : "article-journal", "volume" : "392" }, "uris" : [ "http://www.mendeley.com/documents/?uuid=752f0a69-a6a9-49b0-9eb0-ba38ce1116a5" ] } ], "mendeley" : { "previouslyFormattedCitation" : "(Johnson 1997; Telko &amp; Hickey 2005; Chow et al. 2007; Daniher &amp; Zhu 2008; Pilcer &amp; Amighi 2010)" }, "properties" : { "noteIndex" : 0 }, "schema" : "https://github.com/citation-style-language/schema/raw/master/csl-citation.json" }</w:instrText>
      </w:r>
      <w:r w:rsidR="00177CBD" w:rsidRPr="00444DAC">
        <w:rPr>
          <w:rFonts w:eastAsia="Arial Unicode MS"/>
          <w:bCs/>
        </w:rPr>
        <w:fldChar w:fldCharType="separate"/>
      </w:r>
      <w:r w:rsidR="001D7087" w:rsidRPr="001D7087">
        <w:rPr>
          <w:rFonts w:eastAsia="Arial Unicode MS"/>
          <w:bCs/>
          <w:noProof/>
        </w:rPr>
        <w:t>(Johnson 1997; Telko &amp; Hickey 2005; Chow et al. 2007; Daniher &amp; Zhu 2008; Pilcer &amp; Amighi 2010)</w:t>
      </w:r>
      <w:r w:rsidR="00177CBD" w:rsidRPr="00444DAC">
        <w:rPr>
          <w:rFonts w:eastAsia="Arial Unicode MS"/>
          <w:bCs/>
        </w:rPr>
        <w:fldChar w:fldCharType="end"/>
      </w:r>
      <w:r w:rsidRPr="00444DAC">
        <w:rPr>
          <w:rFonts w:eastAsia="Arial Unicode MS"/>
          <w:bCs/>
        </w:rPr>
        <w:t>.</w:t>
      </w:r>
      <w:r w:rsidR="009018AC">
        <w:rPr>
          <w:rFonts w:eastAsia="Arial Unicode MS"/>
          <w:bCs/>
        </w:rPr>
        <w:t xml:space="preserve"> Hence, t</w:t>
      </w:r>
      <w:r w:rsidR="009018AC" w:rsidRPr="00444DAC">
        <w:rPr>
          <w:rFonts w:eastAsia="Arial Unicode MS"/>
          <w:bCs/>
        </w:rPr>
        <w:t>he DPI aerosol cloud should be constituted by particles with aerodynamic diameters between 1 and 3 µm</w:t>
      </w:r>
      <w:r w:rsidR="00B0494F">
        <w:rPr>
          <w:rFonts w:eastAsia="Arial Unicode MS"/>
          <w:bCs/>
        </w:rPr>
        <w:t>,</w:t>
      </w:r>
      <w:r w:rsidR="009018AC" w:rsidRPr="00444DAC">
        <w:rPr>
          <w:rFonts w:eastAsia="Arial Unicode MS"/>
          <w:bCs/>
        </w:rPr>
        <w:t xml:space="preserve"> with good dispersibility (good flow) to efficiently deliver the drug into the lower regions of the lungs</w:t>
      </w:r>
      <w:r w:rsidR="008A12A5">
        <w:rPr>
          <w:rFonts w:eastAsia="Arial Unicode MS"/>
          <w:bCs/>
        </w:rPr>
        <w:t xml:space="preserve"> </w:t>
      </w:r>
      <w:r w:rsidR="00177CBD" w:rsidRPr="00444DAC">
        <w:rPr>
          <w:rFonts w:eastAsia="Arial Unicode MS"/>
          <w:bCs/>
        </w:rPr>
        <w:fldChar w:fldCharType="begin" w:fldLock="1"/>
      </w:r>
      <w:r w:rsidR="009869DD">
        <w:rPr>
          <w:rFonts w:eastAsia="Arial Unicode MS"/>
          <w:bCs/>
        </w:rPr>
        <w:instrText>ADDIN CSL_CITATION { "citationItems" : [ { "id" : "ITEM-1", "itemData" : { "ISSN" : "1872-8294", "PMID" : "10837528", "abstract" : "Innovations in biotechnology and recombinant techniques have led to a large increase in the number of macromolecule drugs developed over the last several years. These molecules are enabling new therapies for many previously untreated or poorly treated diseases. Due to poor oral absorption, most biopharmaceuticals are delivered by injection. Medical science, health care providers and consumers have been searching for alternative methods of delivering macromolecule drugs. Animal and human clinical studies have demonstrated that pharmacological doses of bioactive peptides and proteins pass, by a natural biological process, from the lungs into the bloodstream or local tissue. New macromolecule drugs are also being developed for treatment of respiratory diseases such as cystic fibrosis, adult and infant respiratory distress syndromes, asthma and emphysema. This paper reviews formulations for delivering therapeutic aerosols to the lungs. Particular emphasis will be placed on preparing fine powders containing macromolecule drugs.", "author" : [ { "dropping-particle" : "", "family" : "Johnson", "given" : "Ka", "non-dropping-particle" : "", "parse-names" : false, "suffix" : "" } ], "container-title" : "Advanced drug delivery reviews", "id" : "ITEM-1", "issue" : "1", "issued" : { "date-parts" : [ [ "1997", "6", "9" ] ] }, "page" : "3-15", "title" : "Preparation of peptide and protein powders for inhalation.", "type" : "article-journal", "volume" : "26" }, "uris" : [ "http://www.mendeley.com/documents/?uuid=893e4244-8164-41c9-992c-ec6bafbd6b26" ] }, { "id" : "ITEM-2", "itemData" : { "DOI" : "10.1007/s11095-006-9174-3", "ISSN" : "0724-8741", "PMID" : "17245651", "abstract" : "With the rapidly growing popularity and sophistication of inhalation therapy, there is an increasing demand for tailor-made inhalable drug particles capable of affording the most efficient delivery to the lungs and the most optimal therapeutic outcomes. To cope with this formulation demand, a wide variety of novel particle technologies have emerged over the past decade. The present review is intended to provide a critical account of the current goals and technologies of particle engineering for the development of pulmonary drug delivery systems. These technologies cover traditional micronization and powder blending, controlled solvent crystallization, spray drying, spray freeze drying, particle formation from liquid dispersion systems, supercritical fluid processing and particle coating. The merits and limitations of these technologies are discussed with reference to their applications to specific drug and/or excipient materials. The regulatory requirements applicable to particulate inhalation products are also reviewed briefly.", "author" : [ { "dropping-particle" : "", "family" : "Chow", "given" : "Albert H L", "non-dropping-particle" : "", "parse-names" : false, "suffix" : "" }, { "dropping-particle" : "", "family" : "Tong", "given" : "Henry H Y", "non-dropping-particle" : "", "parse-names" : false, "suffix" : "" }, { "dropping-particle" : "", "family" : "Chattopadhyay", "given" : "Pratibhash", "non-dropping-particle" : "", "parse-names" : false, "suffix" : "" }, { "dropping-particle" : "", "family" : "Shekunov", "given" : "Boris Y", "non-dropping-particle" : "", "parse-names" : false, "suffix" : "" } ], "container-title" : "Pharmaceutical research", "id" : "ITEM-2", "issue" : "3", "issued" : { "date-parts" : [ [ "2007", "3" ] ] }, "page" : "411-37", "title" : "Particle engineering for pulmonary drug delivery.", "type" : "article-journal", "volume" : "24" }, "uris" : [ "http://www.mendeley.com/documents/?uuid=cf9c0037-e4c0-4a1f-a946-7f12821ab106" ] } ], "mendeley" : { "previouslyFormattedCitation" : "(Johnson 1997; Chow et al. 2007)" }, "properties" : { "noteIndex" : 0 }, "schema" : "https://github.com/citation-style-language/schema/raw/master/csl-citation.json" }</w:instrText>
      </w:r>
      <w:r w:rsidR="00177CBD" w:rsidRPr="00444DAC">
        <w:rPr>
          <w:rFonts w:eastAsia="Arial Unicode MS"/>
          <w:bCs/>
        </w:rPr>
        <w:fldChar w:fldCharType="separate"/>
      </w:r>
      <w:r w:rsidR="009018AC" w:rsidRPr="00444DAC">
        <w:rPr>
          <w:rFonts w:eastAsia="Arial Unicode MS"/>
          <w:bCs/>
          <w:noProof/>
        </w:rPr>
        <w:t>(Johnson 1997; Chow et al. 2007)</w:t>
      </w:r>
      <w:r w:rsidR="00177CBD" w:rsidRPr="00444DAC">
        <w:rPr>
          <w:rFonts w:eastAsia="Arial Unicode MS"/>
          <w:bCs/>
        </w:rPr>
        <w:fldChar w:fldCharType="end"/>
      </w:r>
      <w:r w:rsidR="009018AC" w:rsidRPr="00444DAC">
        <w:rPr>
          <w:rFonts w:eastAsia="Arial Unicode MS"/>
          <w:bCs/>
        </w:rPr>
        <w:t>.</w:t>
      </w:r>
    </w:p>
    <w:p w14:paraId="759FDCA4" w14:textId="77777777" w:rsidR="003A732C" w:rsidRPr="00F959F0" w:rsidRDefault="003A732C" w:rsidP="00AB3717">
      <w:pPr>
        <w:spacing w:line="360" w:lineRule="auto"/>
        <w:jc w:val="both"/>
        <w:rPr>
          <w:rFonts w:eastAsia="Arial Unicode MS"/>
          <w:bCs/>
        </w:rPr>
      </w:pPr>
      <w:r w:rsidRPr="00F959F0">
        <w:rPr>
          <w:rFonts w:eastAsia="Arial Unicode MS"/>
          <w:bCs/>
        </w:rPr>
        <w:t xml:space="preserve">Spray drying is a commonly used technique which may be employed to produce powders of fine particle size (Masters, 1991). The process consists of the atomisation of a feed solution into droplets that dry rapidly because of their high surface area and intimate contact with the drying gas. Dried powder is protected from overheating by rapid removal from the drying zone. The final product can be removed from the air stream by cyclones and/or filters (Masters, 1991). </w:t>
      </w:r>
    </w:p>
    <w:p w14:paraId="10E0681B" w14:textId="00CD5364" w:rsidR="000F38C2" w:rsidRPr="00F959F0" w:rsidRDefault="000F38C2" w:rsidP="00AB3717">
      <w:pPr>
        <w:spacing w:line="360" w:lineRule="auto"/>
        <w:jc w:val="both"/>
        <w:rPr>
          <w:rFonts w:eastAsia="Arial Unicode MS"/>
          <w:bCs/>
        </w:rPr>
      </w:pPr>
      <w:r w:rsidRPr="00F959F0">
        <w:t xml:space="preserve">Spray drying can cause physical degradation of peptides and </w:t>
      </w:r>
      <w:r w:rsidR="008A12A5" w:rsidRPr="00F959F0">
        <w:t>protein</w:t>
      </w:r>
      <w:r w:rsidR="008A12A5">
        <w:t>,</w:t>
      </w:r>
      <w:r w:rsidR="008A12A5" w:rsidRPr="00F959F0">
        <w:t xml:space="preserve"> </w:t>
      </w:r>
      <w:r w:rsidRPr="00F959F0">
        <w:t xml:space="preserve">conformational changes, aggregation, denaturation and adsorption to surfaces </w:t>
      </w:r>
      <w:r w:rsidR="00177CBD" w:rsidRPr="00F959F0">
        <w:fldChar w:fldCharType="begin" w:fldLock="1"/>
      </w:r>
      <w:r w:rsidR="009869DD">
        <w:instrText>ADDIN CSL_CITATION { "citationItems" : [ { "id" : "ITEM-1", "itemData" : { "DOI" : "10.1021/js980374e", "ISSN" : "0022-3549", "PMID" : "10229638", "abstract" : "Peptide and protein drugs are often formulated in the solid-state to provide stabilization during storage. However, reactions can occur in the solid-state, leading to degradation and inactivation of these agents. This review summarizes the major chemical reactions affecting proteins and peptides in the solid-state: deamidation, peptide bond cleavage, oxidation, the Maillard reaction, beta-elimination, and dimerization/aggregation. Physical and chemical factors influencing these reactions are also discussed. These include temperature, moisture content, excipients, and the physical state of the formulation (amorphous vs crystalline). The review is intended to serve as an aid for those involved in formulation, and to stimulate further research on the determinants of peptide and protein reactivity in the solid-state.", "author" : [ { "dropping-particle" : "", "family" : "Lai", "given" : "M C", "non-dropping-particle" : "", "parse-names" : false, "suffix" : "" }, { "dropping-particle" : "", "family" : "Topp", "given" : "E M", "non-dropping-particle" : "", "parse-names" : false, "suffix" : "" } ], "container-title" : "Journal of pharmaceutical sciences", "id" : "ITEM-1", "issue" : "5", "issued" : { "date-parts" : [ [ "1999", "5" ] ] }, "page" : "489-500", "title" : "Solid-state chemical stability of proteins and peptides.", "type" : "article-journal", "volume" : "88" }, "uris" : [ "http://www.mendeley.com/documents/?uuid=af25c483-3155-4e5b-ae5b-c6dc1bcb2bd9" ] } ], "mendeley" : { "previouslyFormattedCitation" : "(Lai &amp; Topp 1999)" }, "properties" : { "noteIndex" : 0 }, "schema" : "https://github.com/citation-style-language/schema/raw/master/csl-citation.json" }</w:instrText>
      </w:r>
      <w:r w:rsidR="00177CBD" w:rsidRPr="00F959F0">
        <w:fldChar w:fldCharType="separate"/>
      </w:r>
      <w:r w:rsidRPr="00F959F0">
        <w:rPr>
          <w:noProof/>
        </w:rPr>
        <w:t>(Lai &amp; Topp 1999)</w:t>
      </w:r>
      <w:r w:rsidR="00177CBD" w:rsidRPr="00F959F0">
        <w:fldChar w:fldCharType="end"/>
      </w:r>
      <w:r w:rsidRPr="00F959F0">
        <w:t xml:space="preserve">. </w:t>
      </w:r>
      <w:r w:rsidR="003531E9">
        <w:t>The need</w:t>
      </w:r>
      <w:r w:rsidRPr="00F959F0">
        <w:t xml:space="preserve"> to process these macromolecules with care to maintain their physical stability</w:t>
      </w:r>
      <w:r w:rsidR="009018AC">
        <w:t>,</w:t>
      </w:r>
      <w:r w:rsidRPr="00F959F0">
        <w:t xml:space="preserve"> as well as provide protection from moisture</w:t>
      </w:r>
      <w:r w:rsidR="009018AC">
        <w:t xml:space="preserve"> to prevent degradation upon storage</w:t>
      </w:r>
      <w:r w:rsidR="003531E9">
        <w:t xml:space="preserve"> becomes pivotal</w:t>
      </w:r>
      <w:r w:rsidRPr="00F959F0">
        <w:t xml:space="preserve">. </w:t>
      </w:r>
      <w:r w:rsidR="009018AC">
        <w:t>In order t</w:t>
      </w:r>
      <w:r w:rsidRPr="00F959F0">
        <w:t>o satisfy these requirements, peptides and proteins are usually formulated as amorphous glasses</w:t>
      </w:r>
      <w:r w:rsidR="002E7EDD" w:rsidRPr="00F959F0">
        <w:t xml:space="preserve">. The principle is </w:t>
      </w:r>
      <w:r w:rsidR="009018AC">
        <w:t>based on the</w:t>
      </w:r>
      <w:r w:rsidR="002E7EDD" w:rsidRPr="00F959F0">
        <w:t xml:space="preserve"> add</w:t>
      </w:r>
      <w:r w:rsidR="009018AC">
        <w:t>ition of</w:t>
      </w:r>
      <w:r w:rsidR="002E7EDD" w:rsidRPr="00F959F0">
        <w:t xml:space="preserve"> a glass-forming excipient </w:t>
      </w:r>
      <w:r w:rsidR="003531E9">
        <w:t>(</w:t>
      </w:r>
      <w:r w:rsidR="002E7EDD" w:rsidRPr="00F959F0">
        <w:t>typically a carbohydrate, polym</w:t>
      </w:r>
      <w:r w:rsidR="003531E9">
        <w:t>er or organic salts)</w:t>
      </w:r>
      <w:r w:rsidR="002E7EDD" w:rsidRPr="00F959F0">
        <w:t xml:space="preserve"> to a solution of the pharmaceutically active material</w:t>
      </w:r>
      <w:r w:rsidR="00B0494F">
        <w:t>, followed by</w:t>
      </w:r>
      <w:r w:rsidR="002E7EDD" w:rsidRPr="00F959F0">
        <w:t xml:space="preserve"> dry</w:t>
      </w:r>
      <w:r w:rsidR="00B0494F">
        <w:t>ing of the</w:t>
      </w:r>
      <w:r w:rsidR="002E7EDD" w:rsidRPr="00F959F0">
        <w:t xml:space="preserve"> solution under conditions that result in the formation of an amorphous glassy matrix in which the pharmaceutically active material is protected from degradation </w:t>
      </w:r>
      <w:r w:rsidR="00177CBD" w:rsidRPr="00F959F0">
        <w:fldChar w:fldCharType="begin" w:fldLock="1"/>
      </w:r>
      <w:r w:rsidR="009869DD">
        <w:instrText>ADDIN CSL_CITATION { "citationItems" : [ { "id" : "ITEM-1", "itemData" : { "DOI" : "10.1016/S1381-1177(99)00018-1", "ISSN" : "13811177", "author" : [ { "dropping-particle" : "", "family" : "Hatley", "given" : "Ross H.M.", "non-dropping-particle" : "", "parse-names" : false, "suffix" : "" }, { "dropping-particle" : "", "family" : "Blair", "given" : "Julian a.", "non-dropping-particle" : "", "parse-names" : false, "suffix" : "" } ], "container-title" : "Journal of Molecular Catalysis B: Enzymatic", "id" : "ITEM-1", "issue" : "1-4", "issued" : { "date-parts" : [ [ "1999", "9" ] ] }, "page" : "11-19", "title" : "Stabilisation and delivery of labile materials by amorphous carbohydrates and their derivatives", "type" : "article-journal", "volume" : "7" }, "uris" : [ "http://www.mendeley.com/documents/?uuid=c831155b-173a-438b-972d-55514eac9896" ] }, { "id" : "ITEM-2", "itemData" : { "author" : [ { "dropping-particle" : "", "family" : "Telko", "given" : "MJ", "non-dropping-particle" : "", "parse-names" : false, "suffix" : "" }, { "dropping-particle" : "", "family" : "Hickey", "given" : "AJ", "non-dropping-particle" : "", "parse-names" : false, "suffix" : "" } ], "container-title" : "Respiratory care", "id" : "ITEM-2", "issued" : { "date-parts" : [ [ "2005" ] ] }, "page" : "1209-1227", "title" : "Dry powder inhaler formulation", "type" : "article-journal" }, "uris" : [ "http://www.mendeley.com/documents/?uuid=521ce649-bb08-484f-bae7-c6324f62c10d" ] } ], "mendeley" : { "previouslyFormattedCitation" : "(Hatley &amp; Blair 1999; Telko &amp; Hickey 2005)" }, "properties" : { "noteIndex" : 0 }, "schema" : "https://github.com/citation-style-language/schema/raw/master/csl-citation.json" }</w:instrText>
      </w:r>
      <w:r w:rsidR="00177CBD" w:rsidRPr="00F959F0">
        <w:fldChar w:fldCharType="separate"/>
      </w:r>
      <w:r w:rsidR="001D7087" w:rsidRPr="001D7087">
        <w:rPr>
          <w:noProof/>
        </w:rPr>
        <w:t>(Hatley &amp; Blair 1999; Telko &amp; Hickey 2005)</w:t>
      </w:r>
      <w:r w:rsidR="00177CBD" w:rsidRPr="00F959F0">
        <w:fldChar w:fldCharType="end"/>
      </w:r>
      <w:r w:rsidR="002E7EDD" w:rsidRPr="00F959F0">
        <w:t xml:space="preserve">. Franks et al. (1991) described a possible mechanism of glassy immobilisation for protection of proteins: the formation of an amorphous glass during drying provides a rigid matrix around the protein molecules to restrict and stabilise their motion. Carpenter and Crowe (1988, 1989) suggested the water replacement theory to explain the protective action of </w:t>
      </w:r>
      <w:r w:rsidR="0071356E">
        <w:t>carbohydrates</w:t>
      </w:r>
      <w:r w:rsidR="002E7EDD" w:rsidRPr="00F959F0">
        <w:t xml:space="preserve">, where the formation of H-bonding between the excipient and the biomolecule occurs when water is removed, maintaining the structural integrity of the peptide/protein. The mobility restriction and H-bonding provided by the glass forming excipient is thought to reduce the peptide </w:t>
      </w:r>
      <w:r w:rsidR="008A12A5">
        <w:t>or</w:t>
      </w:r>
      <w:r w:rsidR="008A12A5" w:rsidRPr="00F959F0">
        <w:t xml:space="preserve"> </w:t>
      </w:r>
      <w:r w:rsidR="002E7EDD" w:rsidRPr="00F959F0">
        <w:t xml:space="preserve">protein reactivity. </w:t>
      </w:r>
    </w:p>
    <w:p w14:paraId="0C069646" w14:textId="1791FFEF" w:rsidR="002C62A0" w:rsidRPr="00387562" w:rsidRDefault="002C62A0" w:rsidP="00AB3717">
      <w:pPr>
        <w:spacing w:line="360" w:lineRule="auto"/>
        <w:jc w:val="both"/>
        <w:rPr>
          <w:rFonts w:eastAsia="Arial Unicode MS"/>
          <w:bCs/>
        </w:rPr>
      </w:pPr>
      <w:r w:rsidRPr="00387562">
        <w:rPr>
          <w:rFonts w:eastAsia="Arial Unicode MS"/>
          <w:bCs/>
        </w:rPr>
        <w:t>Non-reducing sugars, such as raffinose and trehalose, appear to be effective stabilisers of proteins in the amorphous state</w:t>
      </w:r>
      <w:r w:rsidR="00387562">
        <w:rPr>
          <w:rFonts w:eastAsia="Arial Unicode MS"/>
          <w:bCs/>
        </w:rPr>
        <w:t>, reducing their loss of bioactivity</w:t>
      </w:r>
      <w:r w:rsidR="0071356E">
        <w:rPr>
          <w:rFonts w:eastAsia="Arial Unicode MS"/>
          <w:bCs/>
        </w:rPr>
        <w:t xml:space="preserve"> by means of the </w:t>
      </w:r>
      <w:r w:rsidR="00B0494F">
        <w:rPr>
          <w:rFonts w:eastAsia="Arial Unicode MS"/>
          <w:bCs/>
        </w:rPr>
        <w:t xml:space="preserve">mechanisms </w:t>
      </w:r>
      <w:r w:rsidR="0071356E">
        <w:rPr>
          <w:rFonts w:eastAsia="Arial Unicode MS"/>
          <w:bCs/>
        </w:rPr>
        <w:t xml:space="preserve">described </w:t>
      </w:r>
      <w:r w:rsidR="00B0494F">
        <w:rPr>
          <w:rFonts w:eastAsia="Arial Unicode MS"/>
          <w:bCs/>
        </w:rPr>
        <w:t>above</w:t>
      </w:r>
      <w:r w:rsidR="00CB752B">
        <w:rPr>
          <w:rFonts w:eastAsia="Arial Unicode MS"/>
          <w:bCs/>
        </w:rPr>
        <w:t xml:space="preserve"> </w:t>
      </w:r>
      <w:r w:rsidR="00177CBD">
        <w:rPr>
          <w:rFonts w:eastAsia="Arial Unicode MS"/>
          <w:bCs/>
        </w:rPr>
        <w:fldChar w:fldCharType="begin" w:fldLock="1"/>
      </w:r>
      <w:r w:rsidR="009869DD">
        <w:rPr>
          <w:rFonts w:eastAsia="Arial Unicode MS"/>
          <w:bCs/>
        </w:rPr>
        <w:instrText>ADDIN CSL_CITATION { "citationItems" : [ { "id" : "ITEM-1", "itemData" : { "ISSN" : "1872-8294", "PMID" : "10837528", "abstract" : "Innovations in biotechnology and recombinant techniques have led to a large increase in the number of macromolecule drugs developed over the last several years. These molecules are enabling new therapies for many previously untreated or poorly treated diseases. Due to poor oral absorption, most biopharmaceuticals are delivered by injection. Medical science, health care providers and consumers have been searching for alternative methods of delivering macromolecule drugs. Animal and human clinical studies have demonstrated that pharmacological doses of bioactive peptides and proteins pass, by a natural biological process, from the lungs into the bloodstream or local tissue. New macromolecule drugs are also being developed for treatment of respiratory diseases such as cystic fibrosis, adult and infant respiratory distress syndromes, asthma and emphysema. This paper reviews formulations for delivering therapeutic aerosols to the lungs. Particular emphasis will be placed on preparing fine powders containing macromolecule drugs.", "author" : [ { "dropping-particle" : "", "family" : "Johnson", "given" : "Ka", "non-dropping-particle" : "", "parse-names" : false, "suffix" : "" } ], "container-title" : "Advanced drug delivery reviews", "id" : "ITEM-1", "issue" : "1", "issued" : { "date-parts" : [ [ "1997", "6", "9" ] ] }, "page" : "3-15", "title" : "Preparation of peptide and protein powders for inhalation.", "type" : "article-journal", "volume" : "26" }, "uris" : [ "http://www.mendeley.com/documents/?uuid=893e4244-8164-41c9-992c-ec6bafbd6b26" ] }, { "id" : "ITEM-2", "itemData" : { "DOI" : "10.1016/j.ejpb.2004.07.010", "ISSN" : "0939-6411", "PMID" : "15661497", "abstract" : "An immunoglobulin G (IgG) was spray-dried on a Buchi 190 laboratory spray-dryer at inlet and outlet air temperatures of 130 and 190 degrees C, respectively. The IgG solution contains initially 115 mg/ml IgG plus 50 mg/ml sorbitol. After dialysis, at least 80% of low molecular weight component was removed. After spray-drying the dialyzed IgG and immediate redissolution of the powder, an increase in aggregates from 1 to 17% occurred. A major shift towards increase beta-sheet structure was detected in the spray-dried solid, which, however, reverted to native structure on redissolution of the powder. A correlation between aggregation determined by size exclusion chromatography and alterations in secondary structure determined by Fourier transformation infra-red spectroscopy could not therefore be established. On spray-drying a non-dialyzed, sorbitol-containing IgG only some 0.7% aggregates were formed. The sorbitol is therefore evidently able to stabilize partially the IgG during the process of spray-drying. Addition of trehalose to the liquid feed produced quantitatively the same stabilizing action on the IgG during spray-drying as did the sorbitol. This finding again points towards a water replacement stabilization mechanism. The IgG spray-dried powder prepared from the dialyzed liquid feed showed continued substantial aggregation on dry storage at 25 degrees C. This was substantially less in the non-dialyzed, sorbitol-containing spray-dried powder. Addition of trehalose to both dialyzed and non-dialyzed system produced substantial improvement in storage stability and reduction in aggregate formation in storage. The quantitative stabilizing effect of the trehalose was only slightly higher than that of the sorbitol. Taken together, these results indicate that both the sorbitol and trehalose stabilize the IgG primarily by a water replacement mechanism rather than by glassy immobilization. The relevance of this work is its questioning of the importance of the usually considered dominance of glassy stabilization of protein in dried systems of high glass transition temperature, such as trehalose. The low glass transition temperature sorbitol produces almost equal process and storage stability in this case.", "author" : [ { "dropping-particle" : "", "family" : "Maury", "given" : "Michael", "non-dropping-particle" : "", "parse-names" : false, "suffix" : "" }, { "dropping-particle" : "", "family" : "Murphy", "given" : "Keith", "non-dropping-particle" : "", "parse-names" : false, "suffix" : "" }, { "dropping-particle" : "", "family" : "Kumar", "given" : "Sandeep", "non-dropping-particle" : "", "parse-names" : false, "suffix" : "" }, { "dropping-particle" : "", "family" : "Mauerer", "given" : "Alexander", "non-dropping-particle" : "", "parse-names" : false, "suffix" : "" }, { "dropping-particle" : "", "family" : "Lee", "given" : "Geoffrey", "non-dropping-particle" : "", "parse-names" : false, "suffix" : "" } ], "container-title" : "European journal of pharmaceutics and biopharmaceutics : official journal of Arbeitsgemeinschaft f\u00fcr Pharmazeutische Verfahrenstechnik e.V", "id" : "ITEM-2", "issue" : "2", "issued" : { "date-parts" : [ [ "2005", "3" ] ] }, "page" : "251-61", "title" : "Spray-drying of proteins: effects of sorbitol and trehalose on aggregation and FT-IR amide I spectrum of an immunoglobulin G.", "type" : "article-journal", "volume" : "59" }, "uris" : [ "http://www.mendeley.com/documents/?uuid=14f19e72-e7c0-45bf-afb9-a86c2531dbf6" ] }, { "id" : "ITEM-3", "itemData" : { "DOI" : "10.1016/j.bbagen.2004.04.010", "ISBN" : "4412483827", "ISSN" : "0006-3002", "PMID" : "15279885", "abstract" : "Preservation of the native protein structure and biological activity in dry protein/excipient mixtures has been previously attributed to either the glass forming properties of the additives or to their ability to hydrogen bond to the protein. There is evidence that both processes are important but it has not yet been elucidated which is the limiting factor that determines the efficiency of a given molecule as a protectant. In this work, gravimetric measurements together with enzyme activity assays have been employed to investigate the protection of proteins by sugars, through direct interaction via hydrogen bonding and as the result of glass formation. As a model protein, trypsin has been employed and the modes of action of two similar disaccharides, sucrose and trehalose, which offer different levels of protection, evaluated and compared. Data obtained on freeze-dried formulations indicate that protein and sugars interact through hydrogen bonding to protein hydration sites. The extent of interaction is found to change dramatically at elevated temperatures; sucrose showing a significantly decreased, and trehalose a considerably increased level of interaction. Protein preservation is shown to be directly related to the number of hydrogen bonds formed. Possible reasons why trehalose interacts more extensively with the protein than sucrose are discussed in terms of differences in the anhydrous structures and molecular mobilities of the sugar molecules.", "author" : [ { "dropping-particle" : "", "family" : "L\u00f3pez-D\u00edez", "given" : "E C", "non-dropping-particle" : "", "parse-names" : false, "suffix" : "" }, { "dropping-particle" : "", "family" : "Bone", "given" : "S", "non-dropping-particle" : "", "parse-names" : false, "suffix" : "" } ], "container-title" : "Biochimica et biophysica acta", "id" : "ITEM-3", "issue" : "3", "issued" : { "date-parts" : [ [ "2004", "8", "4" ] ] }, "page" : "139-48", "title" : "The interaction of trypsin with trehalose: an investigation of protein preservation mechanisms.", "type" : "article-journal", "volume" : "1673" }, "uris" : [ "http://www.mendeley.com/documents/?uuid=8ed44910-f73b-4b85-94b2-bd0b49c54712" ] }, { "id" : "ITEM-4", "itemData" : { "DOI" : "10.1016/j.jfoodeng.2007.03.014", "ISSN" : "02608774", "author" : [ { "dropping-particle" : "", "family" : "Yoshii", "given" : "H.", "non-dropping-particle" : "", "parse-names" : false, "suffix" : "" }, { "dropping-particle" : "", "family" : "Buche", "given" : "F.", "non-dropping-particle" : "", "parse-names" : false, "suffix" : "" }, { "dropping-particle" : "", "family" : "Takeuchi", "given" : "N.", "non-dropping-particle" : "", "parse-names" : false, "suffix" : "" }, { "dropping-particle" : "", "family" : "Terrol", "given" : "C.", "non-dropping-particle" : "", "parse-names" : false, "suffix" : "" }, { "dropping-particle" : "", "family" : "Ohgawara", "given" : "M.", "non-dropping-particle" : "", "parse-names" : false, "suffix" : "" }, { "dropping-particle" : "", "family" : "Furuta", "given" : "T.", "non-dropping-particle" : "", "parse-names" : false, "suffix" : "" } ], "container-title" : "Journal of Food Engineering", "id" : "ITEM-4", "issue" : "1", "issued" : { "date-parts" : [ [ "2008", "7" ] ] }, "page" : "34-39", "title" : "Effects of protein on retention of ADH enzyme activity encapsulated in trehalose matrices by spray drying", "type" : "article-journal", "volume" : "87" }, "uris" : [ "http://www.mendeley.com/documents/?uuid=579f141a-cf9c-4e65-9bba-8d98ce517eb1" ] }, { "id" : "ITEM-5", "itemData" : { "DOI" : "10.1016/j.ijpharm.2010.11.039", "ISSN" : "1873-3476", "PMID" : "21129458", "abstract" : "The pulmonary route of delivery offers a potential alternative to parenteral administration of peptides and proteins. Protection of protein structure is essential in both processing and storage of the final formulation. Sugars, such as trehalose and raffinose, have been employed to act as protein stabilisers. Optimisation of the aerodynamic characteristics of microparticles in dry powder inhaler formulations is critical to ensure optimum deposition of the formulation into the respiratory tract. In the present study we examine the adaptation to hydrophilic materials, specifically the disaccharide, trehalose and the trisaccharide, raffinose, of a previously reported spray drying process for producing nanoporous microparticles (NPMPs). We also investigate the feasibility of incorporating a model protein, lysozyme, into these sugar-based NPMPs. While spray drying raffinose or trehalose from aqueous solution or ethanol:water solutions resulted in non-porous microspheres, spray drying from a methanol:n-butyl acetate mixed solvent system resulted in microparticles which appeared to consist of an agglomeration of individual nanoparticles, i.e. nanoporous/nanoparticulate microparticles. NPMPs of trehalose and raffinose were amorphous, with glass transition temperatures (Tgs) that were sufficiently high (124\u00b0C and \u223c120\u00b0C for trehalose and raffinose, respectively) to suggest good physical stability at room temperature and good potential to act as protein carriers and/or stabilisers. NPMPs demonstrated improved aerosolisation properties compared to spray dried non-porous particles. The successful incorporation of lysozyme into these NPMPs at a sugar to protein weight ratio of 1:4 demonstrated the potential of these systems to act as carriers for peptide or protein drugs which could be delivered via the pulmonary route.", "author" : [ { "dropping-particle" : "", "family" : "Og\u00e1in", "given" : "Orla N\u00ed", "non-dropping-particle" : "", "parse-names" : false, "suffix" : "" }, { "dropping-particle" : "", "family" : "Li", "given" : "Jianhe", "non-dropping-particle" : "", "parse-names" : false, "suffix" : "" }, { "dropping-particle" : "", "family" : "Tajber", "given" : "Lidia", "non-dropping-particle" : "", "parse-names" : false, "suffix" : "" }, { "dropping-particle" : "", "family" : "Corrigan", "given" : "Owen I", "non-dropping-particle" : "", "parse-names" : false, "suffix" : "" }, { "dropping-particle" : "", "family" : "Healy", "given" : "Anne Marie", "non-dropping-particle" : "", "parse-names" : false, "suffix" : "" } ], "container-title" : "International journal of pharmaceutics", "id" : "ITEM-5", "issue" : "1-2", "issued" : { "date-parts" : [ [ "2011", "3", "28" ] ] }, "page" : "23-35", "publisher" : "Elsevier B.V.", "title" : "Particle engineering of materials for oral inhalation by dry powder inhalers. I-Particles of sugar excipients (trehalose and raffinose) for protein delivery.", "type" : "article-journal", "volume" : "405" }, "uris" : [ "http://www.mendeley.com/documents/?uuid=6a3aa904-1dde-4ecc-8d10-075172de35f4" ] } ], "mendeley" : { "previouslyFormattedCitation" : "(Johnson 1997; Maury et al. 2005; L\u00f3pez-D\u00edez &amp; Bone 2004; Yoshii et al. 2008; Og\u00e1in et al. 2011)" }, "properties" : { "noteIndex" : 0 }, "schema" : "https://github.com/citation-style-language/schema/raw/master/csl-citation.json" }</w:instrText>
      </w:r>
      <w:r w:rsidR="00177CBD">
        <w:rPr>
          <w:rFonts w:eastAsia="Arial Unicode MS"/>
          <w:bCs/>
        </w:rPr>
        <w:fldChar w:fldCharType="separate"/>
      </w:r>
      <w:r w:rsidR="00387562" w:rsidRPr="00387562">
        <w:rPr>
          <w:rFonts w:eastAsia="Arial Unicode MS"/>
          <w:bCs/>
          <w:noProof/>
        </w:rPr>
        <w:t>(Johnson 1997; Maury et al. 2005; López-Díez &amp; Bone 2004; Yoshii et al. 2008; Ogáin et al. 2011)</w:t>
      </w:r>
      <w:r w:rsidR="00177CBD">
        <w:rPr>
          <w:rFonts w:eastAsia="Arial Unicode MS"/>
          <w:bCs/>
        </w:rPr>
        <w:fldChar w:fldCharType="end"/>
      </w:r>
      <w:r w:rsidR="00387562">
        <w:rPr>
          <w:rFonts w:eastAsia="Arial Unicode MS"/>
          <w:bCs/>
        </w:rPr>
        <w:t>.</w:t>
      </w:r>
    </w:p>
    <w:p w14:paraId="73BFB353" w14:textId="77777777" w:rsidR="003531E9" w:rsidRDefault="002C62A0" w:rsidP="00AB3717">
      <w:pPr>
        <w:spacing w:line="360" w:lineRule="auto"/>
        <w:jc w:val="both"/>
        <w:rPr>
          <w:rFonts w:eastAsia="Arial Unicode MS"/>
          <w:bCs/>
        </w:rPr>
      </w:pPr>
      <w:r w:rsidRPr="00387562">
        <w:rPr>
          <w:rFonts w:eastAsia="Arial Unicode MS"/>
          <w:bCs/>
        </w:rPr>
        <w:lastRenderedPageBreak/>
        <w:t xml:space="preserve">Ní Ógáin et al. (2011) studied the production of raffinose and trehalose </w:t>
      </w:r>
      <w:r w:rsidR="00A66623" w:rsidRPr="00A66623">
        <w:rPr>
          <w:rFonts w:eastAsia="Arial Unicode MS"/>
          <w:bCs/>
        </w:rPr>
        <w:t>nanoporous/nanoparticulate</w:t>
      </w:r>
      <w:r w:rsidRPr="00387562">
        <w:rPr>
          <w:rFonts w:eastAsia="Arial Unicode MS"/>
          <w:bCs/>
        </w:rPr>
        <w:t xml:space="preserve"> microparticles (NPMPs) for inhalation, evaluating different ratios of </w:t>
      </w:r>
      <w:r w:rsidR="0071356E">
        <w:rPr>
          <w:rFonts w:eastAsia="Arial Unicode MS"/>
          <w:bCs/>
        </w:rPr>
        <w:t>co-</w:t>
      </w:r>
      <w:r w:rsidRPr="00387562">
        <w:rPr>
          <w:rFonts w:eastAsia="Arial Unicode MS"/>
          <w:bCs/>
        </w:rPr>
        <w:t>solvent system</w:t>
      </w:r>
      <w:r w:rsidR="0071356E">
        <w:rPr>
          <w:rFonts w:eastAsia="Arial Unicode MS"/>
          <w:bCs/>
        </w:rPr>
        <w:t>s</w:t>
      </w:r>
      <w:r w:rsidRPr="00387562">
        <w:rPr>
          <w:rFonts w:eastAsia="Arial Unicode MS"/>
          <w:bCs/>
        </w:rPr>
        <w:t xml:space="preserve"> for the solution to be spray dried</w:t>
      </w:r>
      <w:r w:rsidR="0071356E">
        <w:rPr>
          <w:rFonts w:eastAsia="Arial Unicode MS"/>
          <w:bCs/>
        </w:rPr>
        <w:t xml:space="preserve">. </w:t>
      </w:r>
      <w:r w:rsidRPr="00387562">
        <w:rPr>
          <w:rFonts w:eastAsia="Arial Unicode MS"/>
          <w:bCs/>
        </w:rPr>
        <w:t xml:space="preserve">Ní Ógáin et al. (2011) also demonstrated that a model protein, lysozyme, could be incorporated into the carrier particles at a ratio of 1:4 (w/w) protein:carrier, while still retaining the characteristic porous morphology. </w:t>
      </w:r>
    </w:p>
    <w:p w14:paraId="1C4F6453" w14:textId="08856B36" w:rsidR="002C62A0" w:rsidRDefault="0012135E" w:rsidP="00AB3717">
      <w:pPr>
        <w:spacing w:line="360" w:lineRule="auto"/>
        <w:jc w:val="both"/>
        <w:rPr>
          <w:rFonts w:eastAsia="Arial Unicode MS"/>
          <w:bCs/>
        </w:rPr>
      </w:pPr>
      <w:r w:rsidRPr="002D465F">
        <w:rPr>
          <w:rFonts w:eastAsia="Arial Unicode MS"/>
          <w:bCs/>
        </w:rPr>
        <w:t xml:space="preserve">We have previously reported on the </w:t>
      </w:r>
      <w:r>
        <w:rPr>
          <w:rFonts w:eastAsia="Arial Unicode MS"/>
          <w:bCs/>
        </w:rPr>
        <w:t>optimisation</w:t>
      </w:r>
      <w:r w:rsidRPr="002D465F">
        <w:rPr>
          <w:rFonts w:eastAsia="Arial Unicode MS"/>
          <w:bCs/>
        </w:rPr>
        <w:t xml:space="preserve"> of a spray drying method to produce </w:t>
      </w:r>
      <w:r>
        <w:rPr>
          <w:rFonts w:eastAsia="Arial Unicode MS"/>
          <w:bCs/>
        </w:rPr>
        <w:t xml:space="preserve">raffinose and trehalose </w:t>
      </w:r>
      <w:r w:rsidRPr="00A66623">
        <w:rPr>
          <w:rFonts w:eastAsia="Arial Unicode MS"/>
          <w:bCs/>
        </w:rPr>
        <w:t>nanoporous/nanoparticulate</w:t>
      </w:r>
      <w:r>
        <w:rPr>
          <w:rFonts w:eastAsia="Arial Unicode MS"/>
          <w:bCs/>
        </w:rPr>
        <w:t xml:space="preserve"> microparticles and </w:t>
      </w:r>
      <w:r w:rsidR="008A12A5">
        <w:rPr>
          <w:rFonts w:eastAsia="Arial Unicode MS"/>
          <w:bCs/>
        </w:rPr>
        <w:t xml:space="preserve">the </w:t>
      </w:r>
      <w:r>
        <w:rPr>
          <w:rFonts w:eastAsia="Arial Unicode MS"/>
          <w:bCs/>
        </w:rPr>
        <w:t>formulatio</w:t>
      </w:r>
      <w:r w:rsidR="003531E9">
        <w:rPr>
          <w:rFonts w:eastAsia="Arial Unicode MS"/>
          <w:bCs/>
        </w:rPr>
        <w:t xml:space="preserve">n enhancement of these powders </w:t>
      </w:r>
      <w:r>
        <w:rPr>
          <w:rFonts w:eastAsia="Arial Unicode MS"/>
          <w:bCs/>
        </w:rPr>
        <w:t>by inclusion of hydroxypropyl-β-</w:t>
      </w:r>
      <w:r w:rsidR="00CB752B">
        <w:rPr>
          <w:rFonts w:eastAsia="Arial Unicode MS"/>
          <w:bCs/>
        </w:rPr>
        <w:t>c</w:t>
      </w:r>
      <w:r>
        <w:rPr>
          <w:rFonts w:eastAsia="Arial Unicode MS"/>
          <w:bCs/>
        </w:rPr>
        <w:t>yclodextrin (Amaro et al., 2011; Amaro et al</w:t>
      </w:r>
      <w:r w:rsidRPr="0082741A">
        <w:rPr>
          <w:rFonts w:eastAsia="Arial Unicode MS"/>
          <w:bCs/>
        </w:rPr>
        <w:t xml:space="preserve">., </w:t>
      </w:r>
      <w:r w:rsidR="008A12A5" w:rsidRPr="0082741A">
        <w:rPr>
          <w:rFonts w:eastAsia="Arial Unicode MS"/>
          <w:bCs/>
        </w:rPr>
        <w:t>2014</w:t>
      </w:r>
      <w:r>
        <w:rPr>
          <w:rFonts w:eastAsia="Arial Unicode MS"/>
          <w:bCs/>
        </w:rPr>
        <w:t>).</w:t>
      </w:r>
    </w:p>
    <w:p w14:paraId="2CC890A8" w14:textId="404482EB" w:rsidR="0012135E" w:rsidRDefault="0012135E" w:rsidP="00AB3717">
      <w:pPr>
        <w:spacing w:line="360" w:lineRule="auto"/>
        <w:jc w:val="both"/>
        <w:rPr>
          <w:rFonts w:eastAsia="Arial Unicode MS"/>
          <w:bCs/>
        </w:rPr>
      </w:pPr>
      <w:r>
        <w:rPr>
          <w:rFonts w:eastAsia="Arial Unicode MS"/>
          <w:bCs/>
        </w:rPr>
        <w:t xml:space="preserve">The NPMP technology has been well </w:t>
      </w:r>
      <w:r w:rsidR="00CB752B">
        <w:rPr>
          <w:rFonts w:eastAsia="Arial Unicode MS"/>
          <w:bCs/>
        </w:rPr>
        <w:t xml:space="preserve">characterised </w:t>
      </w:r>
      <w:r>
        <w:rPr>
          <w:rFonts w:eastAsia="Arial Unicode MS"/>
          <w:bCs/>
        </w:rPr>
        <w:t xml:space="preserve">by </w:t>
      </w:r>
      <w:r w:rsidR="00177CBD">
        <w:rPr>
          <w:rFonts w:eastAsia="Arial Unicode MS"/>
          <w:bCs/>
        </w:rPr>
        <w:fldChar w:fldCharType="begin" w:fldLock="1"/>
      </w:r>
      <w:r w:rsidR="009869DD">
        <w:rPr>
          <w:rFonts w:eastAsia="Arial Unicode MS"/>
          <w:bCs/>
        </w:rPr>
        <w:instrText>ADDIN CSL_CITATION { "citationItems" : [ { "id" : "ITEM-1", "itemData" : { "DOI" : "10.1016/j.ejpb.2008.04.020", "ISSN" : "0939-6411", "PMID" : "18595674", "abstract" : "The purpose of this study was to prepare excipient-free porous microparticles of bendroflumethiazide by spray drying and to characterise the physicochemical properties of the particles produced. Solutions of bendroflumethiazide in ethanol/water, ethanol/water/ammonium carbonate or methanol/water/ammonium carbonate were spray dried using a laboratory spray dryer. Spray dried products were characterised by scanning electron microscopy, X-ray powder diffraction, differential scanning calorimetry, FTIR, laser diffraction particle sizing and density measurement. Nanoporous microparticles (NPMPs) were prepared from the alcoholic solutions containing ammonium carbonate. NPMPs were amorphous in nature, had median particles sizes less than 3 microm and densities that were significantly reduced compared to non-porous spray dried bendroflumethiazide powder. The novel process may be used to produce excipient-free amorphous microparticles with desirable physical properties such as amorphous solid state, porosity and low bulk density. This new engineering technology has applications in the design of other therapeutic agents such as those used in pulmonary delivery.", "author" : [ { "dropping-particle" : "", "family" : "Healy", "given" : "a M", "non-dropping-particle" : "", "parse-names" : false, "suffix" : "" }, { "dropping-particle" : "", "family" : "McDonald", "given" : "B F", "non-dropping-particle" : "", "parse-names" : false, "suffix" : "" }, { "dropping-particle" : "", "family" : "Tajber", "given" : "L", "non-dropping-particle" : "", "parse-names" : false, "suffix" : "" }, { "dropping-particle" : "", "family" : "Corrigan", "given" : "O I", "non-dropping-particle" : "", "parse-names" : false, "suffix" : "" } ], "container-title" : "European journal of pharmaceutics and biopharmaceutics : official journal of Arbeitsgemeinschaft f\u00fcr Pharmazeutische Verfahrenstechnik e.V", "id" : "ITEM-1", "issue" : "3", "issued" : { "date-parts" : [ [ "2008", "8" ] ] }, "page" : "1182-6", "title" : "Characterisation of excipient-free nanoporous microparticles (NPMPs) of bendroflumethiazide.", "type" : "article-journal", "volume" : "69" }, "uris" : [ "http://www.mendeley.com/documents/?uuid=17d44c41-7cdc-4e16-8aac-da850943f8ca" ] }, { "id" : "ITEM-2", "itemData" : { "DOI" : "10.1016/j.ijpharm.2010.11.040", "ISSN" : "1873-3476", "PMID" : "21129460", "abstract" : "Sodium cromoglicate is an antiasthmatic and antiallergenic drug used in inhalation therapy and commonly administered by a dry powder inhaler. In the present study we sought to examine the feasibility of producing nanoporous microparticles (NPMPs) of this hydrophilic material by adaptation of a spray drying process previously applied to hydrophobic drugs, and to examine the physicochemical and in vitro deposition properties of the spray dried particles in comparison to a commercial product. The storage stability of successfully prepared NPMPs was assessed under a number of conditions (4\u00b0C with dessicant, 25\u00b0C at 60% relative humidity and 25\u00b0C with dessicant). Spray dried sodium cromoglicate was amorphous in nature. NPMPs of sodium cromoglicate displayed superior aerodynamic properties resulting in improved in vitro drug deposition, as assessed by Andersen Cascade Impactor and twin impinger studies, in comparison to the commercial product, Intal. Deposition studies indicated that porosity and sphericity were important factors in improving deposition properties. The optimum solvent system for NPMP production was water:methanol:n-butyl acetate, as spherical NPMPs spray dried from this solvent system had a higher respirable fraction than non-spherical NPMPs of sodium cromoglicate (spray dried from methanol:n-butyl acetate), non-porous sodium cromoglicate (spray dried from water) and micronised sodium cromoglicate (Intal). While particle morphology was altered by storage at high humidity (60% RH) and in vitro deposition performance deteriorated, it was possible to maintain NPMP morphology and aerosolisation performance by storing the powder with dessicant.", "author" : [ { "dropping-particle" : "", "family" : "Nolan", "given" : "Lorraine M", "non-dropping-particle" : "", "parse-names" : false, "suffix" : "" }, { "dropping-particle" : "", "family" : "Li", "given" : "Jianhe", "non-dropping-particle" : "", "parse-names" : false, "suffix" : "" }, { "dropping-particle" : "", "family" : "Tajber", "given" : "Lidia", "non-dropping-particle" : "", "parse-names" : false, "suffix" : "" }, { "dropping-particle" : "", "family" : "Corrigan", "given" : "Owen I", "non-dropping-particle" : "", "parse-names" : false, "suffix" : "" }, { "dropping-particle" : "", "family" : "Healy", "given" : "Anne Marie", "non-dropping-particle" : "", "parse-names" : false, "suffix" : "" } ], "container-title" : "International journal of pharmaceutics", "id" : "ITEM-2", "issue" : "1-2", "issued" : { "date-parts" : [ [ "2011", "3", "28" ] ] }, "page" : "36-46", "publisher" : "Elsevier B.V.", "title" : "Particle engineering of materials for oral inhalation by dry powder inhalers. II-Sodium cromoglicate.", "type" : "article-journal", "volume" : "405" }, "uris" : [ "http://www.mendeley.com/documents/?uuid=e6311d12-f999-41e6-ab41-5181f1465da6" ] }, { "id" : "ITEM-3", "itemData" : { "DOI" : "10.1016/j.ijpharm.2010.11.039", "ISSN" : "1873-3476", "PMID" : "21129458", "abstract" : "The pulmonary route of delivery offers a potential alternative to parenteral administration of peptides and proteins. Protection of protein structure is essential in both processing and storage of the final formulation. Sugars, such as trehalose and raffinose, have been employed to act as protein stabilisers. Optimisation of the aerodynamic characteristics of microparticles in dry powder inhaler formulations is critical to ensure optimum deposition of the formulation into the respiratory tract. In the present study we examine the adaptation to hydrophilic materials, specifically the disaccharide, trehalose and the trisaccharide, raffinose, of a previously reported spray drying process for producing nanoporous microparticles (NPMPs). We also investigate the feasibility of incorporating a model protein, lysozyme, into these sugar-based NPMPs. While spray drying raffinose or trehalose from aqueous solution or ethanol:water solutions resulted in non-porous microspheres, spray drying from a methanol:n-butyl acetate mixed solvent system resulted in microparticles which appeared to consist of an agglomeration of individual nanoparticles, i.e. nanoporous/nanoparticulate microparticles. NPMPs of trehalose and raffinose were amorphous, with glass transition temperatures (Tgs) that were sufficiently high (124\u00b0C and \u223c120\u00b0C for trehalose and raffinose, respectively) to suggest good physical stability at room temperature and good potential to act as protein carriers and/or stabilisers. NPMPs demonstrated improved aerosolisation properties compared to spray dried non-porous particles. The successful incorporation of lysozyme into these NPMPs at a sugar to protein weight ratio of 1:4 demonstrated the potential of these systems to act as carriers for peptide or protein drugs which could be delivered via the pulmonary route.", "author" : [ { "dropping-particle" : "", "family" : "Og\u00e1in", "given" : "Orla N\u00ed", "non-dropping-particle" : "", "parse-names" : false, "suffix" : "" }, { "dropping-particle" : "", "family" : "Li", "given" : "Jianhe", "non-dropping-particle" : "", "parse-names" : false, "suffix" : "" }, { "dropping-particle" : "", "family" : "Tajber", "given" : "Lidia", "non-dropping-particle" : "", "parse-names" : false, "suffix" : "" }, { "dropping-particle" : "", "family" : "Corrigan", "given" : "Owen I", "non-dropping-particle" : "", "parse-names" : false, "suffix" : "" }, { "dropping-particle" : "", "family" : "Healy", "given" : "Anne Marie", "non-dropping-particle" : "", "parse-names" : false, "suffix" : "" } ], "container-title" : "International journal of pharmaceutics", "id" : "ITEM-3", "issue" : "1-2", "issued" : { "date-parts" : [ [ "2011", "3", "28" ] ] }, "page" : "23-35", "publisher" : "Elsevier B.V.", "title" : "Particle engineering of materials for oral inhalation by dry powder inhalers. I-Particles of sugar excipients (trehalose and raffinose) for protein delivery.", "type" : "article-journal", "volume" : "405" }, "uris" : [ "http://www.mendeley.com/documents/?uuid=6a3aa904-1dde-4ecc-8d10-075172de35f4" ] }, { "id" : "ITEM-4", "itemData" : { "DOI" : "10.1016/j.ijpharm.2011.09.021", "author" : [ { "dropping-particle" : "", "family" : "Amaro", "given" : "MI", "non-dropping-particle" : "", "parse-names" : false, "suffix" : "" }, { "dropping-particle" : "", "family" : "Tajber", "given" : "Lidia", "non-dropping-particle" : "", "parse-names" : false, "suffix" : "" }, { "dropping-particle" : "", "family" : "Corrigan", "given" : "OI", "non-dropping-particle" : "", "parse-names" : false, "suffix" : "" }, { "dropping-particle" : "", "family" : "Healy", "given" : "AM", "non-dropping-particle" : "", "parse-names" : false, "suffix" : "" } ], "container-title" : "International journal of \u2026", "id" : "ITEM-4", "issued" : { "date-parts" : [ [ "2011" ] ] }, "page" : "99-109", "title" : "Optimisation of spray drying process conditions for sugar nanoporous microparticles (NPMPs) intended for inhalation", "type" : "article-journal", "volume" : "421" }, "uris" : [ "http://www.mendeley.com/documents/?uuid=4483a812-7246-4973-ab54-0adcde935cf2" ] } ], "mendeley" : { "manualFormatting" : " Healy et al. (2008), Nolan et al. (2011), N\u00ed Og\u00e1in et al. (2011), Amaro et al. (2011", "previouslyFormattedCitation" : "(Healy et al. 2008; Nolan et al. 2011; Og\u00e1in et al. 2011; Amaro et al. 2011)" }, "properties" : { "noteIndex" : 0 }, "schema" : "https://github.com/citation-style-language/schema/raw/master/csl-citation.json" }</w:instrText>
      </w:r>
      <w:r w:rsidR="00177CBD">
        <w:rPr>
          <w:rFonts w:eastAsia="Arial Unicode MS"/>
          <w:bCs/>
        </w:rPr>
        <w:fldChar w:fldCharType="separate"/>
      </w:r>
      <w:r>
        <w:rPr>
          <w:rFonts w:eastAsia="Arial Unicode MS"/>
          <w:bCs/>
          <w:noProof/>
        </w:rPr>
        <w:t xml:space="preserve"> </w:t>
      </w:r>
      <w:r w:rsidRPr="0012135E">
        <w:rPr>
          <w:rFonts w:eastAsia="Arial Unicode MS"/>
          <w:bCs/>
          <w:noProof/>
        </w:rPr>
        <w:t xml:space="preserve">Healy et al. </w:t>
      </w:r>
      <w:r>
        <w:rPr>
          <w:rFonts w:eastAsia="Arial Unicode MS"/>
          <w:bCs/>
          <w:noProof/>
        </w:rPr>
        <w:t>(2008),</w:t>
      </w:r>
      <w:r w:rsidRPr="0012135E">
        <w:rPr>
          <w:rFonts w:eastAsia="Arial Unicode MS"/>
          <w:bCs/>
          <w:noProof/>
        </w:rPr>
        <w:t xml:space="preserve"> Nolan et al. </w:t>
      </w:r>
      <w:r>
        <w:rPr>
          <w:rFonts w:eastAsia="Arial Unicode MS"/>
          <w:bCs/>
          <w:noProof/>
        </w:rPr>
        <w:t>(</w:t>
      </w:r>
      <w:r w:rsidRPr="0012135E">
        <w:rPr>
          <w:rFonts w:eastAsia="Arial Unicode MS"/>
          <w:bCs/>
          <w:noProof/>
        </w:rPr>
        <w:t>2011</w:t>
      </w:r>
      <w:r>
        <w:rPr>
          <w:rFonts w:eastAsia="Arial Unicode MS"/>
          <w:bCs/>
          <w:noProof/>
        </w:rPr>
        <w:t>),</w:t>
      </w:r>
      <w:r w:rsidRPr="0012135E">
        <w:rPr>
          <w:rFonts w:eastAsia="Arial Unicode MS"/>
          <w:bCs/>
          <w:noProof/>
        </w:rPr>
        <w:t xml:space="preserve"> </w:t>
      </w:r>
      <w:r w:rsidRPr="00387562">
        <w:rPr>
          <w:rFonts w:eastAsia="Arial Unicode MS"/>
          <w:bCs/>
          <w:noProof/>
        </w:rPr>
        <w:t xml:space="preserve">Ní </w:t>
      </w:r>
      <w:r w:rsidRPr="0012135E">
        <w:rPr>
          <w:rFonts w:eastAsia="Arial Unicode MS"/>
          <w:bCs/>
          <w:noProof/>
        </w:rPr>
        <w:t xml:space="preserve">Ogáin et al. </w:t>
      </w:r>
      <w:r>
        <w:rPr>
          <w:rFonts w:eastAsia="Arial Unicode MS"/>
          <w:bCs/>
          <w:noProof/>
        </w:rPr>
        <w:t>(</w:t>
      </w:r>
      <w:r w:rsidRPr="0012135E">
        <w:rPr>
          <w:rFonts w:eastAsia="Arial Unicode MS"/>
          <w:bCs/>
          <w:noProof/>
        </w:rPr>
        <w:t>2011</w:t>
      </w:r>
      <w:r>
        <w:rPr>
          <w:rFonts w:eastAsia="Arial Unicode MS"/>
          <w:bCs/>
          <w:noProof/>
        </w:rPr>
        <w:t>),</w:t>
      </w:r>
      <w:r w:rsidRPr="0012135E">
        <w:rPr>
          <w:rFonts w:eastAsia="Arial Unicode MS"/>
          <w:bCs/>
          <w:noProof/>
        </w:rPr>
        <w:t xml:space="preserve"> Amaro et al. </w:t>
      </w:r>
      <w:r>
        <w:rPr>
          <w:rFonts w:eastAsia="Arial Unicode MS"/>
          <w:bCs/>
          <w:noProof/>
        </w:rPr>
        <w:t>(</w:t>
      </w:r>
      <w:r w:rsidRPr="0012135E">
        <w:rPr>
          <w:rFonts w:eastAsia="Arial Unicode MS"/>
          <w:bCs/>
          <w:noProof/>
        </w:rPr>
        <w:t>2011</w:t>
      </w:r>
      <w:r w:rsidR="00177CBD">
        <w:rPr>
          <w:rFonts w:eastAsia="Arial Unicode MS"/>
          <w:bCs/>
        </w:rPr>
        <w:fldChar w:fldCharType="end"/>
      </w:r>
      <w:r w:rsidR="009869DD" w:rsidRPr="0082741A">
        <w:rPr>
          <w:rFonts w:eastAsia="Arial Unicode MS"/>
          <w:bCs/>
        </w:rPr>
        <w:t>, 20</w:t>
      </w:r>
      <w:r w:rsidR="008A12A5" w:rsidRPr="00474D1B">
        <w:rPr>
          <w:rFonts w:eastAsia="Arial Unicode MS"/>
          <w:bCs/>
        </w:rPr>
        <w:t>14</w:t>
      </w:r>
      <w:r w:rsidRPr="0082741A">
        <w:rPr>
          <w:rFonts w:eastAsia="Arial Unicode MS"/>
          <w:bCs/>
        </w:rPr>
        <w:t>),</w:t>
      </w:r>
      <w:r>
        <w:rPr>
          <w:rFonts w:eastAsia="Arial Unicode MS"/>
          <w:bCs/>
        </w:rPr>
        <w:t xml:space="preserve"> with spray dried powders displaying </w:t>
      </w:r>
      <w:r w:rsidRPr="00387562">
        <w:rPr>
          <w:rFonts w:eastAsia="Arial Unicode MS"/>
          <w:bCs/>
        </w:rPr>
        <w:t>favourable micromeritic characteristics, suggesting potential suitability for pulmonary delivery</w:t>
      </w:r>
      <w:r>
        <w:rPr>
          <w:rFonts w:eastAsia="Arial Unicode MS"/>
          <w:bCs/>
        </w:rPr>
        <w:t xml:space="preserve">. More recently a novel morphology classification system </w:t>
      </w:r>
      <w:r w:rsidR="008A12A5">
        <w:rPr>
          <w:rFonts w:eastAsia="Arial Unicode MS"/>
          <w:bCs/>
        </w:rPr>
        <w:t xml:space="preserve">for porous microparticles </w:t>
      </w:r>
      <w:r>
        <w:rPr>
          <w:rFonts w:eastAsia="Arial Unicode MS"/>
          <w:bCs/>
        </w:rPr>
        <w:t xml:space="preserve">was introduced by </w:t>
      </w:r>
      <w:r w:rsidR="00177CBD">
        <w:rPr>
          <w:rFonts w:eastAsia="Arial Unicode MS"/>
          <w:bCs/>
        </w:rPr>
        <w:fldChar w:fldCharType="begin" w:fldLock="1"/>
      </w:r>
      <w:r w:rsidR="009869DD">
        <w:rPr>
          <w:rFonts w:eastAsia="Arial Unicode MS"/>
          <w:bCs/>
        </w:rPr>
        <w:instrText>ADDIN CSL_CITATION { "citationItems" : [ { "id" : "ITEM-1", "itemData" : { "DOI" : "10.1111/j.2042-7158.2012.01539.x", "ISSN" : "2042-7158", "PMID" : "23058044", "abstract" : "OBJECTIVES: This work investigated the impact of spray drying variables such as feed concentration, solvent composition and the drying mode, on the micromeritic properties of chlorothiazide sodium (CTZNa) and chlorothiazide potassium (CTZK).\n\nMETHODS: Microparticles were prepared by spray drying and characterised using thermal analysis, helium pycnometry, laser diffraction, specific surface area analysis and scanning electron microscopy.\n\nKEY FINDINGS: Microparticles produced under different process conditions presented several types of morphology. To systematise the description of morphology of microparticles, a novel morphology classification system was introduced. The shape of the microparticles was described as spherical (1) or irregular (2) and the surface was classified as smooth (A) or crumpled (B). Three classes of morphology of microparticles were discerned visually: class I, non-porous; classes II and III, comprising differing types of porosity characteristics. The interior was categorised as solid/continuous (\u03b1), hollow (\u03b2), unknown (\u03b3) and hollow with microparticulate content (\u03b4). Nanoporous microparticles of CTZNa and CTZK, produced without recirculation of the drying gas, had the largest specific surface area of 72.3 and 90.2 m\u00b2/g, respectively, and presented morphology of class 1BIII\u03b1.\n\nCONCLUSIONS: Alteration of spray drying process variables, particularly solvent composition and feed concentration can have a significant effect on the morphology of spray dried microparticulate products. Morphology of spray dried particles may be usefully described using the morphology classification system.", "author" : [ { "dropping-particle" : "", "family" : "Paluch", "given" : "Krzysztof J", "non-dropping-particle" : "", "parse-names" : false, "suffix" : "" }, { "dropping-particle" : "", "family" : "Tajber", "given" : "Lidia", "non-dropping-particle" : "", "parse-names" : false, "suffix" : "" }, { "dropping-particle" : "", "family" : "Corrigan", "given" : "Owen I", "non-dropping-particle" : "", "parse-names" : false, "suffix" : "" }, { "dropping-particle" : "", "family" : "Healy", "given" : "Anne Marie", "non-dropping-particle" : "", "parse-names" : false, "suffix" : "" } ], "container-title" : "The Journal of pharmacy and pharmacology", "id" : "ITEM-1", "issue" : "11", "issued" : { "date-parts" : [ [ "2012", "11" ] ] }, "page" : "1570-82", "title" : "Impact of process variables on the micromeritic and physicochemical properties of spray-dried porous microparticles, part I: introduction of a new morphology classification system.", "type" : "article-journal", "volume" : "64" }, "uris" : [ "http://www.mendeley.com/documents/?uuid=fa23e9dd-c511-4bf4-be13-2eaec7deceec" ] } ], "mendeley" : { "manualFormatting" : "Paluch et al. (2012)", "previouslyFormattedCitation" : "(Paluch et al. 2012)" }, "properties" : { "noteIndex" : 0 }, "schema" : "https://github.com/citation-style-language/schema/raw/master/csl-citation.json" }</w:instrText>
      </w:r>
      <w:r w:rsidR="00177CBD">
        <w:rPr>
          <w:rFonts w:eastAsia="Arial Unicode MS"/>
          <w:bCs/>
        </w:rPr>
        <w:fldChar w:fldCharType="separate"/>
      </w:r>
      <w:r w:rsidR="0018169A" w:rsidRPr="0018169A">
        <w:rPr>
          <w:rFonts w:eastAsia="Arial Unicode MS"/>
          <w:bCs/>
          <w:noProof/>
        </w:rPr>
        <w:t xml:space="preserve">Paluch et al. </w:t>
      </w:r>
      <w:r w:rsidR="0018169A">
        <w:rPr>
          <w:rFonts w:eastAsia="Arial Unicode MS"/>
          <w:bCs/>
          <w:noProof/>
        </w:rPr>
        <w:t>(</w:t>
      </w:r>
      <w:r w:rsidR="0018169A" w:rsidRPr="0018169A">
        <w:rPr>
          <w:rFonts w:eastAsia="Arial Unicode MS"/>
          <w:bCs/>
          <w:noProof/>
        </w:rPr>
        <w:t>2012)</w:t>
      </w:r>
      <w:r w:rsidR="00177CBD">
        <w:rPr>
          <w:rFonts w:eastAsia="Arial Unicode MS"/>
          <w:bCs/>
        </w:rPr>
        <w:fldChar w:fldCharType="end"/>
      </w:r>
      <w:r w:rsidR="00CB752B">
        <w:rPr>
          <w:rFonts w:eastAsia="Arial Unicode MS"/>
          <w:bCs/>
        </w:rPr>
        <w:t xml:space="preserve"> </w:t>
      </w:r>
      <w:r w:rsidR="008A12A5">
        <w:rPr>
          <w:rFonts w:eastAsia="Arial Unicode MS"/>
          <w:bCs/>
        </w:rPr>
        <w:t>and</w:t>
      </w:r>
      <w:r>
        <w:rPr>
          <w:rFonts w:eastAsia="Arial Unicode MS"/>
          <w:bCs/>
        </w:rPr>
        <w:t xml:space="preserve"> is applied in the present study.</w:t>
      </w:r>
    </w:p>
    <w:p w14:paraId="6DEED506" w14:textId="6A7F9383" w:rsidR="005A7585" w:rsidRDefault="005A7585" w:rsidP="005A7585">
      <w:pPr>
        <w:spacing w:line="360" w:lineRule="auto"/>
        <w:jc w:val="both"/>
        <w:rPr>
          <w:rFonts w:eastAsia="Arial Unicode MS"/>
          <w:bCs/>
        </w:rPr>
      </w:pPr>
      <w:r w:rsidRPr="005A7585">
        <w:rPr>
          <w:rFonts w:eastAsia="Arial Unicode MS"/>
          <w:bCs/>
        </w:rPr>
        <w:t>Salmon calcitonin (sCT) has the most similar structure to human calcitonin (hCT).</w:t>
      </w:r>
      <w:r>
        <w:rPr>
          <w:rFonts w:eastAsia="Arial Unicode MS"/>
          <w:bCs/>
        </w:rPr>
        <w:t xml:space="preserve"> </w:t>
      </w:r>
      <w:r w:rsidRPr="005A7585">
        <w:rPr>
          <w:rFonts w:eastAsia="Arial Unicode MS"/>
          <w:bCs/>
        </w:rPr>
        <w:t>It only differs in 16 aa, has the greatest biological activity, undergoes the least amount of degradation by serum factors, has the longest half-life; and shows the highest affinity for receptors in bones and kidneys (Patton, 2000).</w:t>
      </w:r>
      <w:r w:rsidR="000E7729">
        <w:rPr>
          <w:rFonts w:eastAsia="Arial Unicode MS"/>
          <w:bCs/>
        </w:rPr>
        <w:t xml:space="preserve"> </w:t>
      </w:r>
      <w:r>
        <w:rPr>
          <w:rFonts w:eastAsia="Arial Unicode MS"/>
          <w:bCs/>
        </w:rPr>
        <w:t>It</w:t>
      </w:r>
      <w:r w:rsidRPr="005A7585">
        <w:rPr>
          <w:rFonts w:eastAsia="Arial Unicode MS"/>
          <w:bCs/>
        </w:rPr>
        <w:t xml:space="preserve"> is usually administered intravenously, intraperitoneally or subcutaneously</w:t>
      </w:r>
      <w:r>
        <w:rPr>
          <w:rFonts w:eastAsia="Arial Unicode MS"/>
          <w:bCs/>
        </w:rPr>
        <w:t xml:space="preserve"> </w:t>
      </w:r>
      <w:r w:rsidRPr="005A7585">
        <w:rPr>
          <w:rFonts w:eastAsia="Arial Unicode MS"/>
          <w:bCs/>
        </w:rPr>
        <w:t>for various bone metabolism diseases such as Paget’s disease, hypercalcemia and osteoporosis</w:t>
      </w:r>
      <w:r w:rsidR="000B5CA6">
        <w:rPr>
          <w:rFonts w:eastAsia="Arial Unicode MS"/>
          <w:bCs/>
        </w:rPr>
        <w:t xml:space="preserve"> (Patton, 2000</w:t>
      </w:r>
      <w:r w:rsidRPr="005A7585">
        <w:rPr>
          <w:rFonts w:eastAsia="Arial Unicode MS"/>
          <w:bCs/>
        </w:rPr>
        <w:t>).</w:t>
      </w:r>
    </w:p>
    <w:p w14:paraId="256241F8" w14:textId="66382282" w:rsidR="00BE5E4F" w:rsidRDefault="002D465F" w:rsidP="00AB3717">
      <w:pPr>
        <w:spacing w:line="360" w:lineRule="auto"/>
        <w:jc w:val="both"/>
      </w:pPr>
      <w:r w:rsidRPr="002D465F">
        <w:rPr>
          <w:rFonts w:eastAsia="Arial Unicode MS"/>
          <w:bCs/>
        </w:rPr>
        <w:t>In this paper</w:t>
      </w:r>
      <w:r w:rsidR="00A66623">
        <w:rPr>
          <w:rFonts w:eastAsia="Arial Unicode MS"/>
          <w:bCs/>
        </w:rPr>
        <w:t xml:space="preserve"> </w:t>
      </w:r>
      <w:r w:rsidRPr="002D465F">
        <w:rPr>
          <w:rFonts w:eastAsia="Arial Unicode MS"/>
          <w:bCs/>
        </w:rPr>
        <w:t>we</w:t>
      </w:r>
      <w:r w:rsidR="00A66623">
        <w:rPr>
          <w:rFonts w:eastAsia="Arial Unicode MS"/>
          <w:bCs/>
        </w:rPr>
        <w:t xml:space="preserve"> </w:t>
      </w:r>
      <w:r w:rsidRPr="002D465F">
        <w:rPr>
          <w:rFonts w:eastAsia="Arial Unicode MS"/>
          <w:bCs/>
        </w:rPr>
        <w:t xml:space="preserve">explore the </w:t>
      </w:r>
      <w:r w:rsidR="0071356E">
        <w:rPr>
          <w:rFonts w:eastAsia="Arial Unicode MS"/>
          <w:bCs/>
        </w:rPr>
        <w:t>inclus</w:t>
      </w:r>
      <w:r w:rsidR="00A66623">
        <w:rPr>
          <w:rFonts w:eastAsia="Arial Unicode MS"/>
          <w:bCs/>
        </w:rPr>
        <w:t xml:space="preserve">ion of a </w:t>
      </w:r>
      <w:r w:rsidR="0066042B">
        <w:rPr>
          <w:rFonts w:eastAsia="Arial Unicode MS"/>
          <w:bCs/>
        </w:rPr>
        <w:t>therapeutic</w:t>
      </w:r>
      <w:r w:rsidR="00A66623">
        <w:rPr>
          <w:rFonts w:eastAsia="Arial Unicode MS"/>
          <w:bCs/>
        </w:rPr>
        <w:t xml:space="preserve"> peptide, salmon calcitonin, in the sugar-based nanoporous/nanoparticulate microparticles</w:t>
      </w:r>
      <w:r w:rsidR="00A66623" w:rsidRPr="00A66623">
        <w:rPr>
          <w:rFonts w:eastAsia="Arial Unicode MS"/>
          <w:bCs/>
        </w:rPr>
        <w:t xml:space="preserve"> for inhalation</w:t>
      </w:r>
      <w:r w:rsidR="0066042B">
        <w:rPr>
          <w:rFonts w:eastAsia="Arial Unicode MS"/>
          <w:bCs/>
        </w:rPr>
        <w:t xml:space="preserve"> as an alternative route to intravenous administration</w:t>
      </w:r>
      <w:r w:rsidR="00A66623">
        <w:rPr>
          <w:rFonts w:eastAsia="Arial Unicode MS"/>
          <w:bCs/>
        </w:rPr>
        <w:t>. The</w:t>
      </w:r>
      <w:r w:rsidR="00BE5E4F" w:rsidRPr="00F34AEE">
        <w:rPr>
          <w:color w:val="1F497D" w:themeColor="text2"/>
        </w:rPr>
        <w:t xml:space="preserve"> </w:t>
      </w:r>
      <w:r w:rsidR="00BE5E4F" w:rsidRPr="00A66623">
        <w:t xml:space="preserve">physicochemical properties, aerodynamic </w:t>
      </w:r>
      <w:r w:rsidR="00A66623" w:rsidRPr="00A66623">
        <w:t>behavior</w:t>
      </w:r>
      <w:r w:rsidR="0007054B">
        <w:t xml:space="preserve"> and</w:t>
      </w:r>
      <w:r w:rsidR="00A66623" w:rsidRPr="00A66623">
        <w:t xml:space="preserve"> storage</w:t>
      </w:r>
      <w:r w:rsidR="00BE5E4F" w:rsidRPr="00A66623">
        <w:t xml:space="preserve"> stability</w:t>
      </w:r>
      <w:r w:rsidR="0007054B">
        <w:t xml:space="preserve"> </w:t>
      </w:r>
      <w:r w:rsidR="00A66623">
        <w:t>were</w:t>
      </w:r>
      <w:r w:rsidR="0071356E">
        <w:t xml:space="preserve"> studied</w:t>
      </w:r>
      <w:r w:rsidR="0007054B">
        <w:t xml:space="preserve">. We also </w:t>
      </w:r>
      <w:r w:rsidR="00CB752B">
        <w:t xml:space="preserve">conducted </w:t>
      </w:r>
      <w:r w:rsidR="0007054B" w:rsidRPr="0007054B">
        <w:rPr>
          <w:i/>
        </w:rPr>
        <w:t>in vivo</w:t>
      </w:r>
      <w:r w:rsidR="0007054B">
        <w:t xml:space="preserve"> studies to evaluate the</w:t>
      </w:r>
      <w:r w:rsidR="0007054B" w:rsidRPr="00A66623">
        <w:t xml:space="preserve"> pharmacokinetic profiles</w:t>
      </w:r>
      <w:r w:rsidR="0007054B">
        <w:t xml:space="preserve"> of the sugar-based peptide-loaded </w:t>
      </w:r>
      <w:r w:rsidR="008A12A5">
        <w:t>NPMPs</w:t>
      </w:r>
      <w:r w:rsidR="00BE5E4F" w:rsidRPr="00A66623">
        <w:t>.</w:t>
      </w:r>
    </w:p>
    <w:p w14:paraId="30A63BCF" w14:textId="77777777" w:rsidR="00A66623" w:rsidRPr="00F34AEE" w:rsidRDefault="00A66623" w:rsidP="00AB3717">
      <w:pPr>
        <w:spacing w:line="360" w:lineRule="auto"/>
        <w:contextualSpacing/>
        <w:jc w:val="both"/>
        <w:rPr>
          <w:color w:val="1F497D" w:themeColor="text2"/>
        </w:rPr>
      </w:pPr>
    </w:p>
    <w:p w14:paraId="74513A8E" w14:textId="77777777" w:rsidR="002C62A0" w:rsidRPr="00F34AEE" w:rsidRDefault="002C62A0" w:rsidP="00AB3717">
      <w:pPr>
        <w:spacing w:line="360" w:lineRule="auto"/>
        <w:jc w:val="both"/>
        <w:rPr>
          <w:b/>
          <w:caps/>
        </w:rPr>
      </w:pPr>
      <w:r w:rsidRPr="00F34AEE">
        <w:rPr>
          <w:b/>
          <w:caps/>
        </w:rPr>
        <w:t>Materials and Methods</w:t>
      </w:r>
    </w:p>
    <w:p w14:paraId="6B4048ED" w14:textId="77777777" w:rsidR="002C62A0" w:rsidRPr="00F34AEE" w:rsidRDefault="002C62A0" w:rsidP="00AB3717">
      <w:pPr>
        <w:spacing w:line="360" w:lineRule="auto"/>
        <w:jc w:val="both"/>
        <w:rPr>
          <w:b/>
        </w:rPr>
      </w:pPr>
      <w:r w:rsidRPr="00F34AEE">
        <w:rPr>
          <w:b/>
        </w:rPr>
        <w:t>Materials</w:t>
      </w:r>
    </w:p>
    <w:p w14:paraId="1C3AA94E" w14:textId="1290D428" w:rsidR="002C62A0" w:rsidRPr="00F34AEE" w:rsidRDefault="002C62A0" w:rsidP="00982CF9">
      <w:pPr>
        <w:spacing w:line="360" w:lineRule="auto"/>
        <w:jc w:val="both"/>
      </w:pPr>
      <w:r w:rsidRPr="00F34AEE">
        <w:t xml:space="preserve">d-Raffinose pentahydrate, d-(+)-trehalose </w:t>
      </w:r>
      <w:r w:rsidR="00764E86">
        <w:t>dehydrate, sodium chloride (NaCl)</w:t>
      </w:r>
      <w:r w:rsidR="00982CF9">
        <w:t>, L-g</w:t>
      </w:r>
      <w:r w:rsidR="00982CF9" w:rsidRPr="00982CF9">
        <w:t>lutamine solution</w:t>
      </w:r>
      <w:r w:rsidR="00982CF9">
        <w:t>,</w:t>
      </w:r>
      <w:r w:rsidR="00982CF9" w:rsidRPr="00982CF9">
        <w:t xml:space="preserve"> </w:t>
      </w:r>
      <w:r w:rsidR="00982CF9">
        <w:t>f</w:t>
      </w:r>
      <w:r w:rsidR="00982CF9" w:rsidRPr="00982CF9">
        <w:t>etal bovine serum</w:t>
      </w:r>
      <w:r w:rsidR="00982CF9">
        <w:t>, insulin solution from bovine pancreas, 3-i</w:t>
      </w:r>
      <w:r w:rsidR="00982CF9" w:rsidRPr="00982CF9">
        <w:t>sobutyl-1-methylxanthine</w:t>
      </w:r>
      <w:r w:rsidR="00982CF9">
        <w:t>,</w:t>
      </w:r>
      <w:r w:rsidR="00982CF9" w:rsidRPr="00982CF9">
        <w:t xml:space="preserve"> </w:t>
      </w:r>
      <w:r w:rsidR="00982CF9">
        <w:t>penicillin-streptomycin solution stabilized,</w:t>
      </w:r>
      <w:r w:rsidR="00982CF9" w:rsidRPr="00982CF9">
        <w:t xml:space="preserve"> </w:t>
      </w:r>
      <w:r w:rsidR="00982CF9">
        <w:t>p</w:t>
      </w:r>
      <w:r w:rsidR="00982CF9" w:rsidRPr="00982CF9">
        <w:t>hosphate buffered saline</w:t>
      </w:r>
      <w:r w:rsidR="00982CF9">
        <w:t>,</w:t>
      </w:r>
      <w:r w:rsidR="00982CF9" w:rsidRPr="00982CF9">
        <w:t xml:space="preserve"> </w:t>
      </w:r>
      <w:r w:rsidR="00982CF9">
        <w:t>RPMI-1640 Medium with 25 mM HEPES, collagen,</w:t>
      </w:r>
      <w:r w:rsidRPr="00F34AEE">
        <w:t xml:space="preserve"> and potassium bromide (KBr) were purchased from Sigma-Aldrich (Ireland). Hydroxypropyl-β-cyclodextrin </w:t>
      </w:r>
      <w:r w:rsidR="00764E86">
        <w:t xml:space="preserve">(HPβCD) </w:t>
      </w:r>
      <w:r w:rsidRPr="00F34AEE">
        <w:t>was purchased from Janssen Biotech N.V. (Belgium)</w:t>
      </w:r>
      <w:r w:rsidR="00782A99" w:rsidRPr="00F34AEE">
        <w:t xml:space="preserve">, and </w:t>
      </w:r>
      <w:r w:rsidR="00782A99" w:rsidRPr="00F34AEE">
        <w:rPr>
          <w:lang w:val="en-GB"/>
        </w:rPr>
        <w:t xml:space="preserve">salmon calcitonin </w:t>
      </w:r>
      <w:r w:rsidR="00782A99" w:rsidRPr="00F34AEE">
        <w:rPr>
          <w:lang w:val="en-GB"/>
        </w:rPr>
        <w:lastRenderedPageBreak/>
        <w:t>acetate salt (sCT) from Polypeptide Laboratories (Malmö, Sweden).</w:t>
      </w:r>
      <w:r w:rsidRPr="00F34AEE">
        <w:t xml:space="preserve"> Solvents used were: n-Butyl acetate</w:t>
      </w:r>
      <w:r w:rsidR="00764E86">
        <w:t xml:space="preserve"> (BA)</w:t>
      </w:r>
      <w:r w:rsidRPr="00F34AEE">
        <w:t xml:space="preserve"> purchased from Merck (UK), methanol </w:t>
      </w:r>
      <w:r w:rsidR="00764E86">
        <w:t xml:space="preserve">(MeOH) </w:t>
      </w:r>
      <w:r w:rsidRPr="00F34AEE">
        <w:t>obtained from Lab Scan Analytical Sciences (Ireland)</w:t>
      </w:r>
      <w:r w:rsidR="0022269D">
        <w:t>, ethyl acetate</w:t>
      </w:r>
      <w:r w:rsidR="00764E86">
        <w:t xml:space="preserve"> (EA)</w:t>
      </w:r>
      <w:r w:rsidR="0022269D">
        <w:t xml:space="preserve"> purchased from Fluka (Germany), 1-propanol</w:t>
      </w:r>
      <w:r w:rsidR="00764E86">
        <w:t xml:space="preserve"> (POH)</w:t>
      </w:r>
      <w:r w:rsidR="0022269D">
        <w:t xml:space="preserve"> </w:t>
      </w:r>
      <w:r w:rsidR="00764E86">
        <w:t xml:space="preserve">and trifluoroacetic acid (TFA) were </w:t>
      </w:r>
      <w:r w:rsidR="0022269D">
        <w:t>acquired from</w:t>
      </w:r>
      <w:r w:rsidR="0022269D" w:rsidRPr="0022269D">
        <w:t xml:space="preserve"> </w:t>
      </w:r>
      <w:r w:rsidR="0022269D" w:rsidRPr="00F34AEE">
        <w:t>Sigma-Aldrich (Ireland)</w:t>
      </w:r>
      <w:r w:rsidR="00764E86">
        <w:t>, Acetonitrile &gt; 99.9% HPLC grade from Fisher Scientific (Ireland)</w:t>
      </w:r>
      <w:r w:rsidRPr="00F34AEE">
        <w:t xml:space="preserve"> and, deionised water was obtained from a Purite Prestige Analyst HP (Purite Limited, UK) water purification system. Coumarin-6 was purchased from Polysciences Inc., U.S.A..</w:t>
      </w:r>
      <w:r w:rsidR="00B46AEC">
        <w:t xml:space="preserve"> Vetalar (ketamine), Domitor (medetomidine hydrochloride) and Antisedan (atipamezole hydrochloride) were purchased from Pfizer (Ireland).</w:t>
      </w:r>
    </w:p>
    <w:p w14:paraId="117DDCE5" w14:textId="77777777" w:rsidR="002C62A0" w:rsidRPr="00F34AEE" w:rsidRDefault="002C62A0" w:rsidP="00AB3717">
      <w:pPr>
        <w:spacing w:line="360" w:lineRule="auto"/>
        <w:jc w:val="both"/>
        <w:rPr>
          <w:b/>
        </w:rPr>
      </w:pPr>
      <w:r w:rsidRPr="00F34AEE">
        <w:rPr>
          <w:b/>
        </w:rPr>
        <w:t xml:space="preserve">Preparation of </w:t>
      </w:r>
      <w:r w:rsidR="0046194E" w:rsidRPr="00F34AEE">
        <w:rPr>
          <w:b/>
        </w:rPr>
        <w:t>the sugar-based salmon calcitonin</w:t>
      </w:r>
      <w:r w:rsidRPr="00F34AEE">
        <w:rPr>
          <w:b/>
        </w:rPr>
        <w:t xml:space="preserve"> composite systems</w:t>
      </w:r>
    </w:p>
    <w:p w14:paraId="24900294" w14:textId="5C5E8AD9" w:rsidR="00153ED9" w:rsidRPr="00F34AEE" w:rsidRDefault="00153ED9" w:rsidP="00AB3717">
      <w:pPr>
        <w:spacing w:line="360" w:lineRule="auto"/>
        <w:jc w:val="both"/>
        <w:rPr>
          <w:rFonts w:eastAsia="Arial Unicode MS"/>
        </w:rPr>
      </w:pPr>
      <w:r w:rsidRPr="00F34AEE">
        <w:rPr>
          <w:rFonts w:eastAsia="Arial Unicode MS"/>
        </w:rPr>
        <w:t>Powders were spray dried as solutions with 5:95 (w/w) ratio of salmon calcitonin:</w:t>
      </w:r>
      <w:r w:rsidR="0026552F">
        <w:rPr>
          <w:rFonts w:eastAsia="Arial Unicode MS"/>
        </w:rPr>
        <w:t xml:space="preserve">excipients </w:t>
      </w:r>
      <w:r w:rsidR="0026552F" w:rsidRPr="00F34AEE">
        <w:rPr>
          <w:rFonts w:eastAsia="Arial Unicode MS"/>
        </w:rPr>
        <w:t>using a Büchi Mini Spray dryer B-290 operating in the closed mode with an inert loop B-295 accessory (Büchi, Switzerland).</w:t>
      </w:r>
      <w:r w:rsidR="0026552F" w:rsidRPr="0026552F">
        <w:rPr>
          <w:rFonts w:eastAsia="Arial Unicode MS"/>
        </w:rPr>
        <w:t xml:space="preserve"> </w:t>
      </w:r>
      <w:r w:rsidR="0026552F" w:rsidRPr="00F34AEE">
        <w:rPr>
          <w:rFonts w:eastAsia="Arial Unicode MS"/>
        </w:rPr>
        <w:t>A 0.7 mm nozzle tip and a 1.5 mm diameter nozzle screw cap were used. Solutions were composed of methanol:n-butyl acetate mixture in a 4:1 (v/v) proportion</w:t>
      </w:r>
      <w:r w:rsidR="0026552F">
        <w:rPr>
          <w:rFonts w:eastAsia="Arial Unicode MS"/>
        </w:rPr>
        <w:t>. Two types of composite systems were produced: a</w:t>
      </w:r>
      <w:r w:rsidR="008A12A5">
        <w:rPr>
          <w:rFonts w:eastAsia="Arial Unicode MS"/>
        </w:rPr>
        <w:t xml:space="preserve"> </w:t>
      </w:r>
      <w:r w:rsidRPr="00F34AEE">
        <w:rPr>
          <w:rFonts w:eastAsia="Arial Unicode MS"/>
        </w:rPr>
        <w:t>single</w:t>
      </w:r>
      <w:r w:rsidR="008A12A5">
        <w:rPr>
          <w:rFonts w:eastAsia="Arial Unicode MS"/>
        </w:rPr>
        <w:t>-</w:t>
      </w:r>
      <w:r w:rsidRPr="00F34AEE">
        <w:rPr>
          <w:rFonts w:eastAsia="Arial Unicode MS"/>
        </w:rPr>
        <w:t>excipient composite system</w:t>
      </w:r>
      <w:r w:rsidR="0026552F">
        <w:rPr>
          <w:rFonts w:eastAsia="Arial Unicode MS"/>
        </w:rPr>
        <w:t xml:space="preserve"> consisting of sCT and raffinose or trehalose</w:t>
      </w:r>
      <w:r w:rsidRPr="00F34AEE">
        <w:rPr>
          <w:rFonts w:eastAsia="Arial Unicode MS"/>
        </w:rPr>
        <w:t xml:space="preserve"> and </w:t>
      </w:r>
      <w:r w:rsidR="0026552F">
        <w:rPr>
          <w:rFonts w:eastAsia="Arial Unicode MS"/>
        </w:rPr>
        <w:t xml:space="preserve">a </w:t>
      </w:r>
      <w:r w:rsidR="008A12A5" w:rsidRPr="00F34AEE">
        <w:rPr>
          <w:rFonts w:eastAsia="Arial Unicode MS"/>
        </w:rPr>
        <w:t>two</w:t>
      </w:r>
      <w:r w:rsidR="008A12A5">
        <w:rPr>
          <w:rFonts w:eastAsia="Arial Unicode MS"/>
        </w:rPr>
        <w:t>-</w:t>
      </w:r>
      <w:r w:rsidRPr="00F34AEE">
        <w:rPr>
          <w:rFonts w:eastAsia="Arial Unicode MS"/>
        </w:rPr>
        <w:t xml:space="preserve">excipient composite system, </w:t>
      </w:r>
      <w:r w:rsidR="008A12A5">
        <w:rPr>
          <w:rFonts w:eastAsia="Arial Unicode MS"/>
        </w:rPr>
        <w:t>consisting of</w:t>
      </w:r>
      <w:r w:rsidR="0026552F">
        <w:rPr>
          <w:rFonts w:eastAsia="Arial Unicode MS"/>
        </w:rPr>
        <w:t xml:space="preserve"> sCT, raffinose or trehalose, and HPβCD (</w:t>
      </w:r>
      <w:r w:rsidR="0026552F" w:rsidRPr="00F34AEE">
        <w:rPr>
          <w:rFonts w:eastAsia="Arial Unicode MS"/>
        </w:rPr>
        <w:t>oligosaccharide</w:t>
      </w:r>
      <w:r w:rsidR="0026552F">
        <w:rPr>
          <w:rFonts w:eastAsia="Arial Unicode MS"/>
        </w:rPr>
        <w:t>).</w:t>
      </w:r>
      <w:r w:rsidR="0026552F" w:rsidRPr="00F34AEE">
        <w:rPr>
          <w:rFonts w:eastAsia="Arial Unicode MS"/>
        </w:rPr>
        <w:t xml:space="preserve"> </w:t>
      </w:r>
      <w:r w:rsidRPr="00F34AEE">
        <w:rPr>
          <w:rFonts w:eastAsia="Arial Unicode MS"/>
        </w:rPr>
        <w:t xml:space="preserve"> The peptide load was chosen based on previous studies by</w:t>
      </w:r>
      <w:r w:rsidR="0022269D">
        <w:rPr>
          <w:rFonts w:eastAsia="Arial Unicode MS"/>
        </w:rPr>
        <w:t xml:space="preserve"> </w:t>
      </w:r>
      <w:r w:rsidR="00177CBD">
        <w:rPr>
          <w:rFonts w:eastAsia="Arial Unicode MS"/>
        </w:rPr>
        <w:fldChar w:fldCharType="begin" w:fldLock="1"/>
      </w:r>
      <w:r w:rsidR="009869DD">
        <w:rPr>
          <w:rFonts w:eastAsia="Arial Unicode MS"/>
        </w:rPr>
        <w:instrText>ADDIN CSL_CITATION { "citationItems" : [ { "id" : "ITEM-1", "itemData" : { "DOI" : "10.1016/j.ijpharm.2006.10.030", "ISSN" : "0378-5173", "PMID" : "17126507", "abstract" : "Salmon calcitonin (sCT) powders suitable for inhalation, containing chitosan and mannitol as absorption enhancer and protection agent, respectively, were prepared using a spray-drying process. The effect of chitosan on physicochemical stability of sCT in the dry powder was investigated by different analytical techniques. High-performance liquid chromatography (HPLC) analysis indicated that sCT was chemically stable upon spray-drying. With the proportion of chitosan in spray-drying formulation being increased, dissolution of sCT from the dry powders was decreased both in phosphate buffer and acetate buffer. The thioflavine T fluorescence assay showed that no fibrils were present in the spray-dried powder. However, sCT partly fibrillated in the phosphate buffer, but not in acetate buffer. Fourier transform infrared (FTIR) spectra showed that the secondary structure of sCT was slightly changed in the dry powder, yet no aggregate signal was observed. Circular dichroism analysis indicated that the structure of sCT in an aqueous formulation was slightly altered by addition of chitosan. Nevertheless, recovery of sCT was not influenced by chitosan in the aqueous formulation as indicated by HPLC analysis. This study suggested that sCT, in absence of any additives, was stable during the spray-drying process under certain conditions. Addition of chitosan affects recovery of sCT from spray-dried powders, which may be due to formation of a partially irreversible complex between the protein and chitosan during the spray-drying process.", "author" : [ { "dropping-particle" : "", "family" : "Yang", "given" : "M", "non-dropping-particle" : "", "parse-names" : false, "suffix" : "" }, { "dropping-particle" : "", "family" : "Velaga", "given" : "S", "non-dropping-particle" : "", "parse-names" : false, "suffix" : "" }, { "dropping-particle" : "", "family" : "Yamamoto", "given" : "H", "non-dropping-particle" : "", "parse-names" : false, "suffix" : "" }, { "dropping-particle" : "", "family" : "Takeuchi", "given" : "H", "non-dropping-particle" : "", "parse-names" : false, "suffix" : "" }, { "dropping-particle" : "", "family" : "Kawashima", "given" : "Y", "non-dropping-particle" : "", "parse-names" : false, "suffix" : "" }, { "dropping-particle" : "", "family" : "Hovgaard", "given" : "L", "non-dropping-particle" : "", "parse-names" : false, "suffix" : "" }, { "dropping-particle" : "", "family" : "Weert", "given" : "M", "non-dropping-particle" : "van de", "parse-names" : false, "suffix" : "" }, { "dropping-particle" : "", "family" : "Frokjaer", "given" : "S", "non-dropping-particle" : "", "parse-names" : false, "suffix" : "" } ], "container-title" : "International journal of pharmaceutics", "id" : "ITEM-1", "issue" : "2", "issued" : { "date-parts" : [ [ "2007", "3", "1" ] ] }, "page" : "176-81", "title" : "Characterisation of salmon calcitonin in spray-dried powder for inhalation. Effect of chitosan.", "type" : "article-journal", "volume" : "331" }, "uris" : [ "http://www.mendeley.com/documents/?uuid=9ca7a561-b8a9-427b-9f4b-303ca4e7abaf" ] }, { "id" : "ITEM-2", "itemData" : { "DOI" : "10.1007/s11095-008-9547-x", "ISSN" : "0724-8741", "PMID" : "18288448", "abstract" : "PURPOSE: To compare the pulmonary pharmacokinetics and relative bioavailability of salmon calcitonin delivered as aqueous droplets, pH 6.6 and pH 4.8 with that of a spray dried powder in healthy volunteers.\n\nMETHODS: Spray dried powders (1.6 microm [GSD 2.1]) containing 5% by wt. sCal, 6.25% human serum albumin, 73.55% mannitol and 15% citric acid/sodium citrate were prepared using a Buchi model 190 spray drier. Aqueous solutions were prepared by dissolving the spray dried powder at a sCal concentration of 1.25 mg/ml, pH was adjusted using 21 mM sodium hydroxide. Aerosols were delivered as part of a 4 way cross-over study to 16 healthy volunteers. The Nektar pulmonary delivery device was used to deliver the dry powder aerosol. A Salter nebulizer controlled by a Rosenthal dosimeter was used to deliver the aqueous aerosols. Miacalcin injection was used as the subcutaneous control. Dose delivered to the lung was estimated by gamma scintigraphy. Plasma concentrations of sCal were measured using a radioimmunoassay.\n\nRESULTS: Aerosol size distributions were matched, 3.3 microm MMAD and approximately 2.2 GSD. Inhaled flow rates were similar, although not equal, 5.8 and approximately 9.8 l/min respectively for dry powder and liquid inhalations. Lung doses of sCal ranged from 53 to 88 microgm, peripheral lung doses from 25 to 51 microgm. Pharmacokinetic profiles and lung bioavailability relative to subcutaneous injection for all formulations were similar (not statistically significantly different p &gt; 0.05), relative lung bioavailability ranged from 11% to 18%, estimates of relative bioavailability based on peripheral lung dose ranged from 20% to 33%.\n\nCONCLUSION: The study showed no difference in pharmacokinetic profiles between the various aerosol dosage forms. pH of the aqueous solutions did not affect kinetics or relative bioavailability.", "author" : [ { "dropping-particle" : "", "family" : "Clark", "given" : "Andrew", "non-dropping-particle" : "", "parse-names" : false, "suffix" : "" }, { "dropping-particle" : "", "family" : "Kuo", "given" : "Mei-Chang", "non-dropping-particle" : "", "parse-names" : false, "suffix" : "" }, { "dropping-particle" : "", "family" : "Newman", "given" : "Stephen", "non-dropping-particle" : "", "parse-names" : false, "suffix" : "" }, { "dropping-particle" : "", "family" : "Hirst", "given" : "Peter", "non-dropping-particle" : "", "parse-names" : false, "suffix" : "" }, { "dropping-particle" : "", "family" : "Pitcairn", "given" : "Gary", "non-dropping-particle" : "", "parse-names" : false, "suffix" : "" }, { "dropping-particle" : "", "family" : "Pickford", "given" : "Matt", "non-dropping-particle" : "", "parse-names" : false, "suffix" : "" } ], "container-title" : "Pharmaceutical research", "id" : "ITEM-2", "issue" : "7", "issued" : { "date-parts" : [ [ "2008", "7" ] ] }, "page" : "1583-90", "title" : "A comparison of the pulmonary bioavailability of powder and liquid aerosol formulations of salmon calcitonin.", "type" : "article-journal", "volume" : "25" }, "uris" : [ "http://www.mendeley.com/documents/?uuid=399a1719-d43f-486f-9d27-e9541f6ffc0c" ] }, { "id" : "ITEM-3", "itemData" : { "DOI" : "10.1016/j.ijpharm.2010.11.039", "ISSN" : "1873-3476", "PMID" : "21129458", "abstract" : "The pulmonary route of delivery offers a potential alternative to parenteral administration of peptides and proteins. Protection of protein structure is essential in both processing and storage of the final formulation. Sugars, such as trehalose and raffinose, have been employed to act as protein stabilisers. Optimisation of the aerodynamic characteristics of microparticles in dry powder inhaler formulations is critical to ensure optimum deposition of the formulation into the respiratory tract. In the present study we examine the adaptation to hydrophilic materials, specifically the disaccharide, trehalose and the trisaccharide, raffinose, of a previously reported spray drying process for producing nanoporous microparticles (NPMPs). We also investigate the feasibility of incorporating a model protein, lysozyme, into these sugar-based NPMPs. While spray drying raffinose or trehalose from aqueous solution or ethanol:water solutions resulted in non-porous microspheres, spray drying from a methanol:n-butyl acetate mixed solvent system resulted in microparticles which appeared to consist of an agglomeration of individual nanoparticles, i.e. nanoporous/nanoparticulate microparticles. NPMPs of trehalose and raffinose were amorphous, with glass transition temperatures (Tgs) that were sufficiently high (124\u00b0C and \u223c120\u00b0C for trehalose and raffinose, respectively) to suggest good physical stability at room temperature and good potential to act as protein carriers and/or stabilisers. NPMPs demonstrated improved aerosolisation properties compared to spray dried non-porous particles. The successful incorporation of lysozyme into these NPMPs at a sugar to protein weight ratio of 1:4 demonstrated the potential of these systems to act as carriers for peptide or protein drugs which could be delivered via the pulmonary route.", "author" : [ { "dropping-particle" : "", "family" : "Og\u00e1in", "given" : "Orla N\u00ed", "non-dropping-particle" : "", "parse-names" : false, "suffix" : "" }, { "dropping-particle" : "", "family" : "Li", "given" : "Jianhe", "non-dropping-particle" : "", "parse-names" : false, "suffix" : "" }, { "dropping-particle" : "", "family" : "Tajber", "given" : "Lidia", "non-dropping-particle" : "", "parse-names" : false, "suffix" : "" }, { "dropping-particle" : "", "family" : "Corrigan", "given" : "Owen I", "non-dropping-particle" : "", "parse-names" : false, "suffix" : "" }, { "dropping-particle" : "", "family" : "Healy", "given" : "Anne Marie", "non-dropping-particle" : "", "parse-names" : false, "suffix" : "" } ], "container-title" : "International journal of pharmaceutics", "id" : "ITEM-3", "issue" : "1-2", "issued" : { "date-parts" : [ [ "2011", "3", "28" ] ] }, "page" : "23-35", "publisher" : "Elsevier B.V.", "title" : "Particle engineering of materials for oral inhalation by dry powder inhalers. I-Particles of sugar excipients (trehalose and raffinose) for protein delivery.", "type" : "article-journal", "volume" : "405" }, "uris" : [ "http://www.mendeley.com/documents/?uuid=6a3aa904-1dde-4ecc-8d10-075172de35f4" ] } ], "mendeley" : { "manualFormatting" : "Yang et al. (2007) and Clark et al. (2008)", "previouslyFormattedCitation" : "(Yang et al. 2007; Clark et al. 2008; Og\u00e1in et al. 2011)" }, "properties" : { "noteIndex" : 0 }, "schema" : "https://github.com/citation-style-language/schema/raw/master/csl-citation.json" }</w:instrText>
      </w:r>
      <w:r w:rsidR="00177CBD">
        <w:rPr>
          <w:rFonts w:eastAsia="Arial Unicode MS"/>
        </w:rPr>
        <w:fldChar w:fldCharType="separate"/>
      </w:r>
      <w:r w:rsidR="0022269D">
        <w:rPr>
          <w:rFonts w:eastAsia="Arial Unicode MS"/>
          <w:noProof/>
        </w:rPr>
        <w:t>Yang et al. (2007) and</w:t>
      </w:r>
      <w:r w:rsidR="0022269D" w:rsidRPr="0022269D">
        <w:rPr>
          <w:rFonts w:eastAsia="Arial Unicode MS"/>
          <w:noProof/>
        </w:rPr>
        <w:t xml:space="preserve"> Clar</w:t>
      </w:r>
      <w:r w:rsidR="0022269D">
        <w:rPr>
          <w:rFonts w:eastAsia="Arial Unicode MS"/>
          <w:noProof/>
        </w:rPr>
        <w:t>k et al. (2008</w:t>
      </w:r>
      <w:r w:rsidR="0022269D" w:rsidRPr="0022269D">
        <w:rPr>
          <w:rFonts w:eastAsia="Arial Unicode MS"/>
          <w:noProof/>
        </w:rPr>
        <w:t>)</w:t>
      </w:r>
      <w:r w:rsidR="00177CBD">
        <w:rPr>
          <w:rFonts w:eastAsia="Arial Unicode MS"/>
        </w:rPr>
        <w:fldChar w:fldCharType="end"/>
      </w:r>
      <w:r w:rsidR="008A12A5">
        <w:rPr>
          <w:rFonts w:eastAsia="Arial Unicode MS"/>
        </w:rPr>
        <w:t xml:space="preserve"> </w:t>
      </w:r>
      <w:r w:rsidRPr="00F34AEE">
        <w:rPr>
          <w:rFonts w:eastAsia="Arial Unicode MS"/>
          <w:bCs/>
        </w:rPr>
        <w:t>who spray dried powders with a salmon calcitonin loading of 5 % w/w using different excipients such as mannitol, citric acid and trehalose</w:t>
      </w:r>
      <w:r w:rsidRPr="00F34AEE">
        <w:rPr>
          <w:rFonts w:eastAsia="Arial Unicode MS"/>
        </w:rPr>
        <w:t xml:space="preserve">. Table 1 describes in detail the composition of the spray dried solutions. </w:t>
      </w:r>
    </w:p>
    <w:p w14:paraId="43BFA2E2" w14:textId="413048EA" w:rsidR="002C62A0" w:rsidRPr="00F34AEE" w:rsidRDefault="002C62A0" w:rsidP="00AB3717">
      <w:pPr>
        <w:spacing w:line="360" w:lineRule="auto"/>
        <w:jc w:val="both"/>
        <w:rPr>
          <w:rFonts w:eastAsia="Arial Unicode MS"/>
        </w:rPr>
      </w:pPr>
      <w:r w:rsidRPr="00F34AEE">
        <w:t>Nitrogen (at 6 bar) was used as the drying gas in a co-current mode. Spray drying parameters were set as for optimised raffinose and trehalose NPMP production</w:t>
      </w:r>
      <w:r w:rsidR="00CB752B">
        <w:t>,</w:t>
      </w:r>
      <w:r w:rsidRPr="00F34AEE">
        <w:t xml:space="preserve"> as previously described </w:t>
      </w:r>
      <w:r w:rsidR="00CB752B">
        <w:t>(</w:t>
      </w:r>
      <w:r w:rsidRPr="00F34AEE">
        <w:t>Amaro et al.</w:t>
      </w:r>
      <w:r w:rsidR="00CB752B">
        <w:t xml:space="preserve">, </w:t>
      </w:r>
      <w:r w:rsidRPr="00F34AEE">
        <w:t>2011). Spray dried particles were separated from the drying gas using a high-performance cyclone (Büchi, Switzerland).</w:t>
      </w:r>
    </w:p>
    <w:p w14:paraId="29D89E01" w14:textId="31D52357" w:rsidR="002C62A0" w:rsidRPr="00F34AEE" w:rsidRDefault="002C62A0" w:rsidP="00AB3717">
      <w:pPr>
        <w:spacing w:line="360" w:lineRule="auto"/>
        <w:jc w:val="both"/>
      </w:pPr>
      <w:r w:rsidRPr="00F34AEE">
        <w:t xml:space="preserve">For </w:t>
      </w:r>
      <w:r w:rsidRPr="00F34AEE">
        <w:rPr>
          <w:i/>
        </w:rPr>
        <w:t>in vitro</w:t>
      </w:r>
      <w:r w:rsidRPr="00F34AEE">
        <w:t xml:space="preserve"> aerosol deposition studies of the spray dried powders, a fluorescent marker (coumarin-6) was incorporated at a low load (0.2% by weight of solid content) during spray-drying, to enable sub</w:t>
      </w:r>
      <w:r w:rsidR="0022269D">
        <w:t xml:space="preserve">sequent quantitation of powder </w:t>
      </w:r>
      <w:r w:rsidR="00177CBD">
        <w:fldChar w:fldCharType="begin" w:fldLock="1"/>
      </w:r>
      <w:r w:rsidR="009869DD">
        <w:instrText>ADDIN CSL_CITATION { "citationItems" : [ { "id" : "ITEM-1", "itemData" : { "ISSN" : "0168-3659", "PMID" : "11182203", "abstract" : "The objective of this study was to determine the effects of formulation excipients and physical characteristics of inhalation particles on their in vitro aerosolization performance, and thereby to maximize their respirable fraction. Dry powders were produced by spray-drying using excipients that are FDA-approved for inhalation as lactose, materials that are endogenous to the lungs as albumin and dipalmitoylphosphatidylcholine (DPPC); and/or protein stabilizers as trehalose or mannitol. Dry powders suitable for deep lung deposition, i.e. with an aerodynamic diameter of individual particles &lt;3 microm, were prepared. They presented 0.04--0.25 g/cm(3) bulk tap densities, 3--5 microm geometric particle sizes, up to 90% emitted doses and 50% respirable fractions in the Andersen cascade impactor using a Spinhaler inhaler device. The incorporation of lactose, albumin and DPPC in the formulation all improved the aerosolization properties, in contrast to trehalose and the mannitol which decreased powder flowability. The relative proportion of the excipients affected aerosol performance as well. The lower the bulk powder tap density, the higher the respirable fraction. Optimization of in vitro aerosolization properties of inhalation dry powders can be achieved by appropriately selecting composition and physical characteristics of the particles.", "author" : [ { "dropping-particle" : "", "family" : "Bosquillon", "given" : "C", "non-dropping-particle" : "", "parse-names" : false, "suffix" : "" }, { "dropping-particle" : "", "family" : "Lombry", "given" : "C", "non-dropping-particle" : "", "parse-names" : false, "suffix" : "" }, { "dropping-particle" : "", "family" : "Pr\u00e9at", "given" : "V", "non-dropping-particle" : "", "parse-names" : false, "suffix" : "" }, { "dropping-particle" : "", "family" : "Vanbever", "given" : "R", "non-dropping-particle" : "", "parse-names" : false, "suffix" : "" } ], "container-title" : "Journal of controlled release : official journal of the Controlled Release Society", "id" : "ITEM-1", "issue" : "3", "issued" : { "date-parts" : [ [ "2001", "3", "23" ] ] }, "page" : "329-39", "title" : "Influence of formulation excipients and physical characteristics of inhalation dry powders on their aerosolization performance.", "type" : "article-journal", "volume" : "70" }, "uris" : [ "http://www.mendeley.com/documents/?uuid=b49fee36-5037-47ba-843f-6c9b2eb8f97e" ] }, { "id" : "ITEM-2", "itemData" : { "ISSN" : "0022-3549", "PMID" : "11745762", "abstract" : "The objectives of this work were (i) to validate electrical zone sensing and laser diffraction for the analysis of primary particle size in the case of inhalation dry powders and (ii) to study the influence of the aggregation state of the powder on the sizing techniques. Free-flowing dry powders were prepared by spray-drying with a combination of albumin, lactose, and dipalmitoylphosphatidylcholine. The replacement of lactose by mannitol, the removal of albumin, and the atomization at high relative humidity all increased powder cohesion. Automated measurements were compared with primary particle sizes collected by light and electron microscopy. The mass mode obtained by electrical zone sensing and the mass median diameter measured by laser diffraction following dispersion with compressed air at a pressure of 3 bar or following suspension in water and ultrasonic dispersion at a power of 60 W for 30 s each provided primary particle sizes close to microscopy measurements. However, these conditions only applied in the case of slightly to moderately aggregated powders. For strongly agglomerated powders, an exact measurement of the size was only collected by laser diffraction in the wet state combined with ultrasonic dispersion. Our study underlies how measurement of primary particle size highly depends on both powder material and proper particle dispersion.", "author" : [ { "dropping-particle" : "", "family" : "Bosquillon", "given" : "C", "non-dropping-particle" : "", "parse-names" : false, "suffix" : "" }, { "dropping-particle" : "", "family" : "Lombry", "given" : "C", "non-dropping-particle" : "", "parse-names" : false, "suffix" : "" }, { "dropping-particle" : "", "family" : "Preat", "given" : "V", "non-dropping-particle" : "", "parse-names" : false, "suffix" : "" }, { "dropping-particle" : "", "family" : "Vanbever", "given" : "R", "non-dropping-particle" : "", "parse-names" : false, "suffix" : "" } ], "container-title" : "Journal of pharmaceutical sciences", "id" : "ITEM-2", "issue" : "12", "issued" : { "date-parts" : [ [ "2001", "12" ] ] }, "page" : "2032-41", "title" : "Comparison of particle sizing techniques in the case of inhalation dry powders.", "type" : "article-journal", "volume" : "90" }, "uris" : [ "http://www.mendeley.com/documents/?uuid=247f33ad-3caf-43c4-9efd-420eca3161f7" ] } ], "mendeley" : { "manualFormatting" : "(Bosquillon, et al. 2001a; Bosquillon, et al. 2001b", "previouslyFormattedCitation" : "(Bosquillon, Lombry, Pr\u00e9at, et al. 2001; Bosquillon, Lombry, Preat, et al. 2001)" }, "properties" : { "noteIndex" : 0 }, "schema" : "https://github.com/citation-style-language/schema/raw/master/csl-citation.json" }</w:instrText>
      </w:r>
      <w:r w:rsidR="00177CBD">
        <w:fldChar w:fldCharType="separate"/>
      </w:r>
      <w:r w:rsidR="0022269D" w:rsidRPr="0022269D">
        <w:rPr>
          <w:noProof/>
        </w:rPr>
        <w:t>(Bosquillon, et al. 2001</w:t>
      </w:r>
      <w:r w:rsidR="0022269D">
        <w:rPr>
          <w:noProof/>
        </w:rPr>
        <w:t>a</w:t>
      </w:r>
      <w:r w:rsidR="0022269D" w:rsidRPr="0022269D">
        <w:rPr>
          <w:noProof/>
        </w:rPr>
        <w:t>; Bosquillon</w:t>
      </w:r>
      <w:r w:rsidR="0022269D">
        <w:rPr>
          <w:noProof/>
        </w:rPr>
        <w:t xml:space="preserve">, </w:t>
      </w:r>
      <w:r w:rsidR="0022269D" w:rsidRPr="0022269D">
        <w:rPr>
          <w:noProof/>
        </w:rPr>
        <w:t>et al. 2001</w:t>
      </w:r>
      <w:r w:rsidR="0022269D">
        <w:rPr>
          <w:noProof/>
        </w:rPr>
        <w:t>b</w:t>
      </w:r>
      <w:r w:rsidR="00177CBD">
        <w:fldChar w:fldCharType="end"/>
      </w:r>
      <w:r w:rsidR="0022269D">
        <w:t xml:space="preserve">; </w:t>
      </w:r>
      <w:r w:rsidRPr="00F34AEE">
        <w:t>Ní Ógáin et al., 2011</w:t>
      </w:r>
      <w:r w:rsidR="003531E9">
        <w:t xml:space="preserve">; Amaro et al., </w:t>
      </w:r>
      <w:r w:rsidR="00581216" w:rsidRPr="0082741A">
        <w:t>2014</w:t>
      </w:r>
      <w:r w:rsidRPr="00F34AEE">
        <w:t>).</w:t>
      </w:r>
      <w:r w:rsidR="00F07846">
        <w:t xml:space="preserve"> </w:t>
      </w:r>
      <w:r w:rsidR="00F07846" w:rsidRPr="00F34AEE">
        <w:t xml:space="preserve">Ní Ógáin et al. </w:t>
      </w:r>
      <w:r w:rsidR="00F07846">
        <w:t>(</w:t>
      </w:r>
      <w:r w:rsidR="00F07846" w:rsidRPr="00F34AEE">
        <w:t>2011</w:t>
      </w:r>
      <w:r w:rsidR="00F07846">
        <w:t>) have shown</w:t>
      </w:r>
      <w:r w:rsidR="00581216">
        <w:t xml:space="preserve"> that</w:t>
      </w:r>
      <w:r w:rsidR="00F07846">
        <w:t xml:space="preserve"> th</w:t>
      </w:r>
      <w:r w:rsidR="00581216">
        <w:t>e incorporation of this</w:t>
      </w:r>
      <w:r w:rsidR="00F07846">
        <w:t xml:space="preserve"> </w:t>
      </w:r>
      <w:r w:rsidR="00581216">
        <w:t>marker has</w:t>
      </w:r>
      <w:r w:rsidR="00F07846">
        <w:t xml:space="preserve"> </w:t>
      </w:r>
      <w:r w:rsidR="00581216">
        <w:t>no impact on</w:t>
      </w:r>
      <w:r w:rsidR="00F07846">
        <w:t xml:space="preserve"> the morphology of spray dried raffinose and trehalose </w:t>
      </w:r>
      <w:r w:rsidR="00F406CB">
        <w:t>NPMPs</w:t>
      </w:r>
      <w:r w:rsidR="00F07846">
        <w:t>.</w:t>
      </w:r>
    </w:p>
    <w:p w14:paraId="76326766" w14:textId="77777777" w:rsidR="002C62A0" w:rsidRPr="00F34AEE" w:rsidRDefault="002C62A0" w:rsidP="00AB3717">
      <w:pPr>
        <w:spacing w:line="360" w:lineRule="auto"/>
        <w:jc w:val="both"/>
        <w:rPr>
          <w:b/>
        </w:rPr>
      </w:pPr>
      <w:r w:rsidRPr="00F34AEE">
        <w:rPr>
          <w:b/>
        </w:rPr>
        <w:t>X-Ray Powder Diffraction (XRPD)</w:t>
      </w:r>
    </w:p>
    <w:p w14:paraId="06B5A87F" w14:textId="3AB1C2E1" w:rsidR="002C62A0" w:rsidRPr="00F34AEE" w:rsidRDefault="002C62A0" w:rsidP="00AB3717">
      <w:pPr>
        <w:spacing w:line="360" w:lineRule="auto"/>
        <w:jc w:val="both"/>
      </w:pPr>
      <w:r w:rsidRPr="00F34AEE">
        <w:t>The solid-state nature of powders was determined by X-ray powder diffraction measurements using a Rigaku MiniFlex II desktop X-ray diffractometer (Rigaku, Japan) with Haskris (USA) WA1 cooling unit</w:t>
      </w:r>
      <w:r w:rsidR="00581216">
        <w:t xml:space="preserve"> as previously described </w:t>
      </w:r>
      <w:r w:rsidR="00581216" w:rsidRPr="00F34AEE">
        <w:t>(Ní Ógáin et al., 2011)</w:t>
      </w:r>
      <w:r w:rsidRPr="00F34AEE">
        <w:t xml:space="preserve">. </w:t>
      </w:r>
    </w:p>
    <w:p w14:paraId="020DCE1B" w14:textId="77777777" w:rsidR="002C62A0" w:rsidRPr="00F34AEE" w:rsidRDefault="002C62A0" w:rsidP="00AB3717">
      <w:pPr>
        <w:spacing w:line="360" w:lineRule="auto"/>
        <w:jc w:val="both"/>
        <w:rPr>
          <w:b/>
        </w:rPr>
      </w:pPr>
      <w:r w:rsidRPr="00F34AEE">
        <w:rPr>
          <w:b/>
        </w:rPr>
        <w:lastRenderedPageBreak/>
        <w:t>Scanning Electron Microscopy (SEM)</w:t>
      </w:r>
    </w:p>
    <w:p w14:paraId="66A89D99" w14:textId="0A1EAA77" w:rsidR="002C62A0" w:rsidRPr="00F34AEE" w:rsidRDefault="002C62A0" w:rsidP="00AB3717">
      <w:pPr>
        <w:spacing w:line="360" w:lineRule="auto"/>
        <w:jc w:val="both"/>
      </w:pPr>
      <w:r w:rsidRPr="00F34AEE">
        <w:t>SEM micrographs of spray-dried materials were made by means of a MiraTescan XMU (Czech Republic). The samples were fixed on aluminum stubs using double-sided adhesive tape and sputter-coated with gold. Visualisation was performed at 5 kV and photo micrographs were taken at different magnifications in more than one region of the sample, as reported by Amaro et al. (2011</w:t>
      </w:r>
      <w:r w:rsidR="00BA25A2">
        <w:t>, 2014</w:t>
      </w:r>
      <w:r w:rsidRPr="00F34AEE">
        <w:t>).</w:t>
      </w:r>
    </w:p>
    <w:p w14:paraId="6DB2F4D6" w14:textId="77777777" w:rsidR="002C62A0" w:rsidRPr="00F34AEE" w:rsidRDefault="002C62A0" w:rsidP="00AB3717">
      <w:pPr>
        <w:spacing w:line="360" w:lineRule="auto"/>
        <w:jc w:val="both"/>
        <w:rPr>
          <w:b/>
        </w:rPr>
      </w:pPr>
      <w:r w:rsidRPr="00F34AEE">
        <w:rPr>
          <w:b/>
        </w:rPr>
        <w:t>Particle size</w:t>
      </w:r>
    </w:p>
    <w:p w14:paraId="74CD6CE7" w14:textId="1586EAA1" w:rsidR="002C62A0" w:rsidRPr="00F34AEE" w:rsidRDefault="002C62A0" w:rsidP="00474D1B">
      <w:pPr>
        <w:spacing w:line="360" w:lineRule="auto"/>
        <w:jc w:val="both"/>
      </w:pPr>
      <w:r w:rsidRPr="00F34AEE">
        <w:t>The particle size (PS) distributions of the spray-dried powders were determined using a Mastersizer 2000 laser diffraction instrument (Malvern Instruments, UK) with a dry powder sample dispersion accessory (Scirocco 2000)</w:t>
      </w:r>
      <w:r w:rsidR="00BA25A2">
        <w:t xml:space="preserve"> as previously reported by</w:t>
      </w:r>
      <w:r w:rsidR="00774636">
        <w:t xml:space="preserve"> </w:t>
      </w:r>
      <w:r w:rsidRPr="00F34AEE">
        <w:t xml:space="preserve">Ní Ógáin et al. </w:t>
      </w:r>
      <w:r w:rsidR="00BA25A2">
        <w:t>(</w:t>
      </w:r>
      <w:r w:rsidRPr="00F34AEE">
        <w:t>2011</w:t>
      </w:r>
      <w:r w:rsidR="00BA25A2">
        <w:t>) and</w:t>
      </w:r>
      <w:r w:rsidRPr="00F34AEE">
        <w:t xml:space="preserve"> Amaro et al. </w:t>
      </w:r>
      <w:r w:rsidR="00BA25A2">
        <w:t>(</w:t>
      </w:r>
      <w:r w:rsidRPr="00F34AEE">
        <w:t>2011</w:t>
      </w:r>
      <w:r w:rsidR="00BA25A2">
        <w:t>, 2014</w:t>
      </w:r>
      <w:r w:rsidRPr="00F34AEE">
        <w:t xml:space="preserve">).  Samples were run in triplicate. </w:t>
      </w:r>
    </w:p>
    <w:p w14:paraId="07D7CC90" w14:textId="77777777" w:rsidR="002C62A0" w:rsidRPr="00F34AEE" w:rsidRDefault="002C62A0" w:rsidP="00AB3717">
      <w:pPr>
        <w:spacing w:line="360" w:lineRule="auto"/>
        <w:jc w:val="both"/>
        <w:rPr>
          <w:b/>
        </w:rPr>
      </w:pPr>
      <w:r w:rsidRPr="00F34AEE">
        <w:rPr>
          <w:b/>
        </w:rPr>
        <w:t xml:space="preserve">Specific surface area </w:t>
      </w:r>
      <w:r w:rsidR="00AE5B28">
        <w:rPr>
          <w:b/>
        </w:rPr>
        <w:t>and pore size determination</w:t>
      </w:r>
    </w:p>
    <w:p w14:paraId="7CCF607D" w14:textId="6AA425BC" w:rsidR="002C62A0" w:rsidRPr="00F34AEE" w:rsidRDefault="002C62A0" w:rsidP="00AB3717">
      <w:pPr>
        <w:spacing w:line="360" w:lineRule="auto"/>
        <w:jc w:val="both"/>
      </w:pPr>
      <w:r w:rsidRPr="00F34AEE">
        <w:t>Specific surface area (SSA) of spray-dried powders was measured by gas adsorption using a Micromeritics Gemini VI surface area and pore size analyzer (Micromeritics, U.K.)</w:t>
      </w:r>
      <w:r w:rsidR="00155AF2">
        <w:t xml:space="preserve"> as previously described</w:t>
      </w:r>
      <w:r w:rsidRPr="00F34AEE">
        <w:t xml:space="preserve"> (Ní Ógáin et al., 2011</w:t>
      </w:r>
      <w:r w:rsidR="0082741A">
        <w:t>;</w:t>
      </w:r>
      <w:r w:rsidRPr="00F34AEE">
        <w:t xml:space="preserve"> Amaro et al., 2011</w:t>
      </w:r>
      <w:r w:rsidR="0082741A">
        <w:t>;</w:t>
      </w:r>
      <w:r w:rsidR="00BA25A2">
        <w:t xml:space="preserve"> </w:t>
      </w:r>
      <w:r w:rsidR="0082741A" w:rsidRPr="00F34AEE">
        <w:t xml:space="preserve">Amaro et al., </w:t>
      </w:r>
      <w:r w:rsidR="00BA25A2">
        <w:t>2014</w:t>
      </w:r>
      <w:r w:rsidRPr="00F34AEE">
        <w:t xml:space="preserve">). </w:t>
      </w:r>
      <w:r w:rsidR="00C94973" w:rsidRPr="00F34AEE">
        <w:rPr>
          <w:rFonts w:eastAsia="Arial Unicode MS"/>
          <w:bCs/>
        </w:rPr>
        <w:t>Adsorption data for relative pressures 0.05 &lt; P/P</w:t>
      </w:r>
      <w:r w:rsidR="00C94973" w:rsidRPr="00F34AEE">
        <w:rPr>
          <w:rFonts w:eastAsia="Arial Unicode MS"/>
          <w:bCs/>
          <w:vertAlign w:val="subscript"/>
        </w:rPr>
        <w:t>0</w:t>
      </w:r>
      <w:r w:rsidR="00C94973" w:rsidRPr="00F34AEE">
        <w:rPr>
          <w:rFonts w:eastAsia="Arial Unicode MS"/>
          <w:bCs/>
        </w:rPr>
        <w:t xml:space="preserve"> &lt; 0.35 were determined to calculate SSA by the BET equation (</w:t>
      </w:r>
      <w:r w:rsidR="00C94973" w:rsidRPr="00FE6B27">
        <w:rPr>
          <w:rFonts w:eastAsia="Arial Unicode MS"/>
          <w:bCs/>
        </w:rPr>
        <w:t>Gregg and Sing, 1982</w:t>
      </w:r>
      <w:r w:rsidR="00C94973" w:rsidRPr="00F34AEE">
        <w:rPr>
          <w:rFonts w:eastAsia="Arial Unicode MS"/>
          <w:bCs/>
        </w:rPr>
        <w:t>); and adsorption data for relative pressures 0.35&lt; P/P</w:t>
      </w:r>
      <w:r w:rsidR="00C94973" w:rsidRPr="00F34AEE">
        <w:rPr>
          <w:rFonts w:eastAsia="Arial Unicode MS"/>
          <w:bCs/>
          <w:vertAlign w:val="subscript"/>
        </w:rPr>
        <w:t xml:space="preserve">0 </w:t>
      </w:r>
      <w:r w:rsidR="00C94973" w:rsidRPr="00F34AEE">
        <w:rPr>
          <w:rFonts w:eastAsia="Arial Unicode MS"/>
          <w:bCs/>
        </w:rPr>
        <w:t>&lt;1 was used to calculate the pore size and pore size distribution using the BJH model (</w:t>
      </w:r>
      <w:r w:rsidR="00C94973" w:rsidRPr="0095489D">
        <w:rPr>
          <w:rFonts w:eastAsia="Arial Unicode MS"/>
          <w:bCs/>
        </w:rPr>
        <w:t>Quantachrome, 2009</w:t>
      </w:r>
      <w:r w:rsidR="00C94973" w:rsidRPr="00F34AEE">
        <w:rPr>
          <w:rFonts w:eastAsia="Arial Unicode MS"/>
          <w:bCs/>
        </w:rPr>
        <w:t xml:space="preserve">). </w:t>
      </w:r>
      <w:r w:rsidR="00C94973" w:rsidRPr="00F34AEE">
        <w:t>Analyses were</w:t>
      </w:r>
      <w:r w:rsidRPr="00F34AEE">
        <w:t xml:space="preserve"> performed</w:t>
      </w:r>
      <w:r w:rsidR="00C94973" w:rsidRPr="00F34AEE">
        <w:t xml:space="preserve"> at least</w:t>
      </w:r>
      <w:r w:rsidRPr="00F34AEE">
        <w:t xml:space="preserve"> in </w:t>
      </w:r>
      <w:r w:rsidR="00C94973" w:rsidRPr="00F34AEE">
        <w:t>duplicate</w:t>
      </w:r>
      <w:r w:rsidRPr="00F34AEE">
        <w:t xml:space="preserve"> for each sample.</w:t>
      </w:r>
    </w:p>
    <w:p w14:paraId="3AB593BF" w14:textId="77777777" w:rsidR="002C62A0" w:rsidRPr="00F34AEE" w:rsidRDefault="002C62A0" w:rsidP="00AB3717">
      <w:pPr>
        <w:spacing w:line="360" w:lineRule="auto"/>
        <w:jc w:val="both"/>
        <w:rPr>
          <w:b/>
        </w:rPr>
      </w:pPr>
      <w:r w:rsidRPr="00F34AEE">
        <w:rPr>
          <w:b/>
        </w:rPr>
        <w:t>Bulk and tapped density</w:t>
      </w:r>
    </w:p>
    <w:p w14:paraId="62F1D56F" w14:textId="36488C0B" w:rsidR="002C62A0" w:rsidRPr="00F34AEE" w:rsidRDefault="002C62A0" w:rsidP="00AB3717">
      <w:pPr>
        <w:spacing w:line="360" w:lineRule="auto"/>
        <w:jc w:val="both"/>
      </w:pPr>
      <w:r w:rsidRPr="00F34AEE">
        <w:t xml:space="preserve">Bulk and tapped density measurements were performed </w:t>
      </w:r>
      <w:r w:rsidR="007F0B63">
        <w:t xml:space="preserve">using a </w:t>
      </w:r>
      <w:r w:rsidR="00584F75">
        <w:t>1</w:t>
      </w:r>
      <w:r w:rsidR="007F0B63">
        <w:t xml:space="preserve"> ml graduate glass syringe, </w:t>
      </w:r>
      <w:r w:rsidRPr="00F34AEE">
        <w:t>as previously described (Healy et al, 2008; Ní Ógáin et al., 2011</w:t>
      </w:r>
      <w:r w:rsidR="00BA25A2">
        <w:t>; Amaro et al. 2014</w:t>
      </w:r>
      <w:r w:rsidRPr="00F34AEE">
        <w:t>). Each measurement was performed in triplicate.</w:t>
      </w:r>
    </w:p>
    <w:p w14:paraId="7295F55D" w14:textId="754F834D" w:rsidR="002C62A0" w:rsidRPr="00F34AEE" w:rsidRDefault="002C62A0" w:rsidP="00AB3717">
      <w:pPr>
        <w:spacing w:line="360" w:lineRule="auto"/>
        <w:jc w:val="both"/>
        <w:rPr>
          <w:b/>
        </w:rPr>
      </w:pPr>
      <w:r w:rsidRPr="00F34AEE">
        <w:rPr>
          <w:b/>
        </w:rPr>
        <w:t xml:space="preserve">Solid-state Fourier </w:t>
      </w:r>
      <w:r w:rsidR="00792E54">
        <w:rPr>
          <w:b/>
        </w:rPr>
        <w:t>t</w:t>
      </w:r>
      <w:r w:rsidRPr="00F34AEE">
        <w:rPr>
          <w:b/>
        </w:rPr>
        <w:t xml:space="preserve">ransform </w:t>
      </w:r>
      <w:r w:rsidR="00792E54">
        <w:rPr>
          <w:b/>
        </w:rPr>
        <w:t>i</w:t>
      </w:r>
      <w:r w:rsidRPr="00F34AEE">
        <w:rPr>
          <w:b/>
        </w:rPr>
        <w:t xml:space="preserve">nfrared </w:t>
      </w:r>
      <w:r w:rsidR="00792E54">
        <w:rPr>
          <w:b/>
        </w:rPr>
        <w:t>s</w:t>
      </w:r>
      <w:r w:rsidRPr="00F34AEE">
        <w:rPr>
          <w:b/>
        </w:rPr>
        <w:t>pectroscopy (FTIR)</w:t>
      </w:r>
    </w:p>
    <w:p w14:paraId="7DF2DC27" w14:textId="211A1C12" w:rsidR="002C62A0" w:rsidRPr="00F34AEE" w:rsidRDefault="002C62A0" w:rsidP="00AB3717">
      <w:pPr>
        <w:spacing w:line="360" w:lineRule="auto"/>
        <w:jc w:val="both"/>
      </w:pPr>
      <w:r w:rsidRPr="00F34AEE">
        <w:t>Infrared spectra of samples were evaluated in order to detect possible molecular modifications after processing. Spectra were recorded on a Nicolet Magna IR 560 E.S.P. (USA) spectrophotometer equipped with MCT/A detector, working under Omnic software version 4.1</w:t>
      </w:r>
      <w:r w:rsidR="004A417A">
        <w:t xml:space="preserve"> as previously described by </w:t>
      </w:r>
      <w:r w:rsidRPr="00F34AEE">
        <w:t xml:space="preserve">Ní Ógáin et al. </w:t>
      </w:r>
      <w:r w:rsidR="004A417A">
        <w:t>(</w:t>
      </w:r>
      <w:r w:rsidRPr="00F34AEE">
        <w:t>2011)</w:t>
      </w:r>
      <w:r w:rsidR="00BA25A2">
        <w:t xml:space="preserve"> and Amaro et al. (2014)</w:t>
      </w:r>
      <w:r w:rsidRPr="00F34AEE">
        <w:t xml:space="preserve">.  </w:t>
      </w:r>
      <w:r w:rsidR="00C94973" w:rsidRPr="00F34AEE">
        <w:rPr>
          <w:rFonts w:eastAsia="Arial Unicode MS"/>
          <w:bCs/>
        </w:rPr>
        <w:t xml:space="preserve">For samples containing peptide, the amide I band was truncated followed by area normalization using Originlab software to enable direct quantitative comparisons between spectra, as described by </w:t>
      </w:r>
      <w:r w:rsidR="00177CBD">
        <w:rPr>
          <w:rFonts w:eastAsia="Arial Unicode MS"/>
          <w:bCs/>
        </w:rPr>
        <w:fldChar w:fldCharType="begin" w:fldLock="1"/>
      </w:r>
      <w:r w:rsidR="009869DD">
        <w:rPr>
          <w:rFonts w:eastAsia="Arial Unicode MS"/>
          <w:bCs/>
        </w:rPr>
        <w:instrText>ADDIN CSL_CITATION { "citationItems" : [ { "id" : "ITEM-1", "itemData" : { "DOI" : "10.1006/abio.2001.5337", "ISSN" : "0003-2697", "PMID" : "11673883", "abstract" : "Changes in the amide bands in Fourier transform infrared spectra of proteins are generally attributed to alterations in protein secondary structure. In this study spectra of five different globular proteins were compared in the solid and solution states recorded with several sampling techniques. Spectral differences for each protein were observed between the various sampling techniques and physical states, which could not all be explained by a change in protein secondary structure. For example, lyophilization in the absence of lyoprotectants caused spectral changes that could (partially) have been caused by the removal of hydrating water molecules rather than secondary structural changes. Moreover, attenuated total reflectance spectra of proteins in H2O were not directly comparable to transmission spectra due to the anomalous dispersion effect. Our study also revealed that the amide I, II, and III bands differ in their sensitivities to changes in protein conformation: For example, strong bands in the region 1620-1630 and 1685-1695 cm(-1) were seen in the amide I region of aggregated protein spectra. Surprisingly, absorbance of such magnitudes was not observed in the amide II and III region. It appears, therefore, that only the amide I can be used to distinguish between intra- and intermolecular beta-sheet formation. Considering the differing sensitivity of the different amide modes to structural changes, it is advisable to utilize not only the amide I band, but also the amide II and III bands, to determine changes in protein secondary structure. Finally, it is important to realize that changes in these bands may not always correspond to secondary structural changes of the proteins.", "author" : [ { "dropping-particle" : "", "family" : "Weert", "given" : "M", "non-dropping-particle" : "van de", "parse-names" : false, "suffix" : "" }, { "dropping-particle" : "", "family" : "Haris", "given" : "P I", "non-dropping-particle" : "", "parse-names" : false, "suffix" : "" }, { "dropping-particle" : "", "family" : "Hennink", "given" : "W E", "non-dropping-particle" : "", "parse-names" : false, "suffix" : "" }, { "dropping-particle" : "", "family" : "Crommelin", "given" : "D J", "non-dropping-particle" : "", "parse-names" : false, "suffix" : "" } ], "container-title" : "Analytical biochemistry", "id" : "ITEM-1", "issue" : "2", "issued" : { "date-parts" : [ [ "2001", "10", "15" ] ] }, "page" : "160-9", "title" : "Fourier transform infrared spectrometric analysis of protein conformation: effect of sampling method and stress factors.", "type" : "article-journal", "volume" : "297" }, "uris" : [ "http://www.mendeley.com/documents/?uuid=c79148e6-037f-43bd-a766-33a9420f6ebf" ] } ], "mendeley" : { "manualFormatting" : "van de Weert et al. (2001)", "previouslyFormattedCitation" : "(van de Weert et al. 2001)" }, "properties" : { "noteIndex" : 0 }, "schema" : "https://github.com/citation-style-language/schema/raw/master/csl-citation.json" }</w:instrText>
      </w:r>
      <w:r w:rsidR="00177CBD">
        <w:rPr>
          <w:rFonts w:eastAsia="Arial Unicode MS"/>
          <w:bCs/>
        </w:rPr>
        <w:fldChar w:fldCharType="separate"/>
      </w:r>
      <w:r w:rsidR="00902DF6" w:rsidRPr="00902DF6">
        <w:rPr>
          <w:rFonts w:eastAsia="Arial Unicode MS"/>
          <w:bCs/>
          <w:noProof/>
        </w:rPr>
        <w:t xml:space="preserve">van de Weert et al. </w:t>
      </w:r>
      <w:r w:rsidR="00902DF6">
        <w:rPr>
          <w:rFonts w:eastAsia="Arial Unicode MS"/>
          <w:bCs/>
          <w:noProof/>
        </w:rPr>
        <w:t>(</w:t>
      </w:r>
      <w:r w:rsidR="00902DF6" w:rsidRPr="00902DF6">
        <w:rPr>
          <w:rFonts w:eastAsia="Arial Unicode MS"/>
          <w:bCs/>
          <w:noProof/>
        </w:rPr>
        <w:t>2001)</w:t>
      </w:r>
      <w:r w:rsidR="00177CBD">
        <w:rPr>
          <w:rFonts w:eastAsia="Arial Unicode MS"/>
          <w:bCs/>
        </w:rPr>
        <w:fldChar w:fldCharType="end"/>
      </w:r>
      <w:r w:rsidRPr="00F34AEE">
        <w:t xml:space="preserve">. Each measurement was performed at least in duplicate. </w:t>
      </w:r>
    </w:p>
    <w:p w14:paraId="68F4CF9B" w14:textId="77777777" w:rsidR="002C62A0" w:rsidRPr="00F34AEE" w:rsidRDefault="00C94973" w:rsidP="00AB3717">
      <w:pPr>
        <w:spacing w:line="360" w:lineRule="auto"/>
        <w:jc w:val="both"/>
        <w:rPr>
          <w:b/>
        </w:rPr>
      </w:pPr>
      <w:r w:rsidRPr="00F34AEE">
        <w:rPr>
          <w:b/>
        </w:rPr>
        <w:lastRenderedPageBreak/>
        <w:t>Thermal analysis</w:t>
      </w:r>
    </w:p>
    <w:p w14:paraId="12CD6EDD" w14:textId="7658AF07" w:rsidR="002C62A0" w:rsidRPr="00F34AEE" w:rsidRDefault="00C94973" w:rsidP="00AB3717">
      <w:pPr>
        <w:spacing w:line="360" w:lineRule="auto"/>
        <w:jc w:val="both"/>
      </w:pPr>
      <w:r w:rsidRPr="00F34AEE">
        <w:t xml:space="preserve">Differential </w:t>
      </w:r>
      <w:r w:rsidR="00792E54">
        <w:t>s</w:t>
      </w:r>
      <w:r w:rsidRPr="00F34AEE">
        <w:t xml:space="preserve">canning </w:t>
      </w:r>
      <w:r w:rsidR="00792E54">
        <w:t>c</w:t>
      </w:r>
      <w:r w:rsidRPr="00F34AEE">
        <w:t>alorimetry (DSC)</w:t>
      </w:r>
      <w:r w:rsidR="002C62A0" w:rsidRPr="00F34AEE">
        <w:t xml:space="preserve"> scans were taken for all the raw materials and spray dried powders by means of a power compensated Mettler Toledo DSC 821e (Switzerland) differential scanning calorimeter with a LabPlant RP-100 refrigerated cooling system. </w:t>
      </w:r>
      <w:r w:rsidR="00155AF2" w:rsidRPr="00F34AEE">
        <w:t xml:space="preserve">The DSC system was controlled by Mettler Toledo STARe software (version 6.10). </w:t>
      </w:r>
      <w:r w:rsidR="00155AF2">
        <w:t xml:space="preserve">Analysis conditions followed those reported by </w:t>
      </w:r>
      <w:r w:rsidR="002C62A0" w:rsidRPr="00F34AEE">
        <w:t xml:space="preserve">Ní Ógáin et al. </w:t>
      </w:r>
      <w:r w:rsidR="00155AF2">
        <w:t>(</w:t>
      </w:r>
      <w:r w:rsidR="002C62A0" w:rsidRPr="00F34AEE">
        <w:t>2011)</w:t>
      </w:r>
      <w:r w:rsidR="00BA25A2">
        <w:t xml:space="preserve"> and Amaro et al. (2014)</w:t>
      </w:r>
      <w:r w:rsidR="002C62A0" w:rsidRPr="00F34AEE">
        <w:t>. Each measurement was performed in triplicate.</w:t>
      </w:r>
    </w:p>
    <w:p w14:paraId="6E22C9EE" w14:textId="7684E8A6" w:rsidR="00C94973" w:rsidRDefault="00C94973" w:rsidP="00AB3717">
      <w:pPr>
        <w:spacing w:line="360" w:lineRule="auto"/>
        <w:jc w:val="both"/>
        <w:rPr>
          <w:rFonts w:eastAsia="Arial Unicode MS"/>
          <w:bCs/>
        </w:rPr>
      </w:pPr>
      <w:r w:rsidRPr="00F34AEE">
        <w:rPr>
          <w:rFonts w:eastAsia="Arial Unicode MS"/>
          <w:bCs/>
        </w:rPr>
        <w:t>Thermogravimetric analysis (TGA) was used to determine the amount of residual solvent content (RSC) contained in samples after spray drying. All measurements were performed with a Mettler TG 50 (Switzerland) module linked to a Mettler MT5 balance</w:t>
      </w:r>
      <w:r w:rsidR="00155AF2">
        <w:rPr>
          <w:rFonts w:eastAsia="Arial Unicode MS"/>
          <w:bCs/>
        </w:rPr>
        <w:t xml:space="preserve">, </w:t>
      </w:r>
      <w:r w:rsidR="00155AF2" w:rsidRPr="00F34AEE">
        <w:rPr>
          <w:rFonts w:eastAsia="Arial Unicode MS"/>
          <w:bCs/>
        </w:rPr>
        <w:t>controlled by Mettler Toledo STARe software (version 6.10)</w:t>
      </w:r>
      <w:r w:rsidRPr="00F34AEE">
        <w:rPr>
          <w:rFonts w:eastAsia="Arial Unicode MS"/>
          <w:bCs/>
        </w:rPr>
        <w:t xml:space="preserve">. </w:t>
      </w:r>
      <w:r w:rsidR="00155AF2">
        <w:rPr>
          <w:rFonts w:eastAsia="Arial Unicode MS"/>
          <w:bCs/>
        </w:rPr>
        <w:t xml:space="preserve">Analysis were performed as previously described by </w:t>
      </w:r>
      <w:r w:rsidR="00155AF2" w:rsidRPr="00F34AEE">
        <w:t xml:space="preserve">Ní Ógáin et al. </w:t>
      </w:r>
      <w:r w:rsidR="00155AF2">
        <w:t>(</w:t>
      </w:r>
      <w:r w:rsidR="00155AF2" w:rsidRPr="00F34AEE">
        <w:t>2011</w:t>
      </w:r>
      <w:r w:rsidR="00155AF2">
        <w:t xml:space="preserve">). </w:t>
      </w:r>
      <w:r w:rsidRPr="00F34AEE">
        <w:rPr>
          <w:rFonts w:eastAsia="Arial Unicode MS"/>
          <w:bCs/>
        </w:rPr>
        <w:t>The RSC was defined as the weight loss in TGA between 25 and 130 °C. Presented results are the average of triplicate analyses.</w:t>
      </w:r>
    </w:p>
    <w:p w14:paraId="47A9B1C3" w14:textId="77777777" w:rsidR="00460DA9" w:rsidRPr="006F1174" w:rsidRDefault="00460DA9" w:rsidP="00AB3717">
      <w:pPr>
        <w:spacing w:line="360" w:lineRule="auto"/>
        <w:jc w:val="both"/>
        <w:rPr>
          <w:rFonts w:eastAsia="Arial Unicode MS"/>
          <w:b/>
        </w:rPr>
      </w:pPr>
      <w:r>
        <w:rPr>
          <w:rFonts w:eastAsia="Arial Unicode MS"/>
          <w:b/>
        </w:rPr>
        <w:t>Residual solvent content by gas chromatography with flame i</w:t>
      </w:r>
      <w:r w:rsidRPr="006F1174">
        <w:rPr>
          <w:rFonts w:eastAsia="Arial Unicode MS"/>
          <w:b/>
        </w:rPr>
        <w:t>onisation</w:t>
      </w:r>
      <w:r>
        <w:rPr>
          <w:rFonts w:eastAsia="Arial Unicode MS"/>
          <w:b/>
        </w:rPr>
        <w:t xml:space="preserve"> d</w:t>
      </w:r>
      <w:r w:rsidRPr="006F1174">
        <w:rPr>
          <w:rFonts w:eastAsia="Arial Unicode MS"/>
          <w:b/>
        </w:rPr>
        <w:t>etector (GC-FID)</w:t>
      </w:r>
    </w:p>
    <w:p w14:paraId="54155AE2" w14:textId="63DE1699" w:rsidR="00460DA9" w:rsidRPr="006F1174" w:rsidRDefault="00460DA9" w:rsidP="00AB3717">
      <w:pPr>
        <w:spacing w:line="360" w:lineRule="auto"/>
        <w:jc w:val="both"/>
        <w:rPr>
          <w:rFonts w:eastAsia="Arial Unicode MS"/>
        </w:rPr>
      </w:pPr>
      <w:r w:rsidRPr="006F1174">
        <w:rPr>
          <w:rFonts w:eastAsia="Arial Unicode MS"/>
        </w:rPr>
        <w:t>The residual solvent content of methanol and butyl acetate in the spray-dried samples was quantified by gas chromatography with flame ionization detection (GC-FID). A PerkinElmer Clarus® 500 with auto sampler and Supelco SPB-GC column (60 m x 0.25 mm x 0.5 µm, 35% phenyl, 65% dimethyl polysiloxane filling) (European Pharmacopoeia</w:t>
      </w:r>
      <w:r>
        <w:rPr>
          <w:rFonts w:eastAsia="Arial Unicode MS"/>
        </w:rPr>
        <w:t xml:space="preserve"> 7</w:t>
      </w:r>
      <w:r w:rsidRPr="00DB507D">
        <w:rPr>
          <w:rFonts w:eastAsia="Arial Unicode MS"/>
          <w:vertAlign w:val="superscript"/>
        </w:rPr>
        <w:t>th</w:t>
      </w:r>
      <w:r>
        <w:rPr>
          <w:rFonts w:eastAsia="Arial Unicode MS"/>
        </w:rPr>
        <w:t xml:space="preserve"> Edition</w:t>
      </w:r>
      <w:r w:rsidRPr="006F1174">
        <w:rPr>
          <w:rFonts w:eastAsia="Arial Unicode MS"/>
        </w:rPr>
        <w:t>, 2012) was employed. Helium at 8 psi pressure was used as a carrier gas. The oven temperature was 50 °C and the detector temperature was set to 325 °C. Samples were prepared by dissolving between 100 and 200 mg of the spray dried powder in 1 ml purified water. Both solvents were assayed based on individual calibration curves with internal standards of n-propanol and ethyl acetate respectively. The injection volume was 1.0 µl and the retention times were as follows: methanol: 3</w:t>
      </w:r>
      <w:r>
        <w:rPr>
          <w:rFonts w:eastAsia="Arial Unicode MS"/>
        </w:rPr>
        <w:t xml:space="preserve"> </w:t>
      </w:r>
      <w:r w:rsidRPr="006F1174">
        <w:rPr>
          <w:rFonts w:eastAsia="Arial Unicode MS"/>
        </w:rPr>
        <w:t>min 57</w:t>
      </w:r>
      <w:r>
        <w:rPr>
          <w:rFonts w:eastAsia="Arial Unicode MS"/>
        </w:rPr>
        <w:t xml:space="preserve"> </w:t>
      </w:r>
      <w:r w:rsidRPr="006F1174">
        <w:rPr>
          <w:rFonts w:eastAsia="Arial Unicode MS"/>
        </w:rPr>
        <w:t>s, n-propanol: 4</w:t>
      </w:r>
      <w:r>
        <w:rPr>
          <w:rFonts w:eastAsia="Arial Unicode MS"/>
        </w:rPr>
        <w:t xml:space="preserve"> </w:t>
      </w:r>
      <w:r w:rsidRPr="006F1174">
        <w:rPr>
          <w:rFonts w:eastAsia="Arial Unicode MS"/>
        </w:rPr>
        <w:t>min 34</w:t>
      </w:r>
      <w:r>
        <w:rPr>
          <w:rFonts w:eastAsia="Arial Unicode MS"/>
        </w:rPr>
        <w:t xml:space="preserve"> </w:t>
      </w:r>
      <w:r w:rsidRPr="006F1174">
        <w:rPr>
          <w:rFonts w:eastAsia="Arial Unicode MS"/>
        </w:rPr>
        <w:t>s, ethyl acetate: 5</w:t>
      </w:r>
      <w:r>
        <w:rPr>
          <w:rFonts w:eastAsia="Arial Unicode MS"/>
        </w:rPr>
        <w:t xml:space="preserve"> </w:t>
      </w:r>
      <w:r w:rsidRPr="006F1174">
        <w:rPr>
          <w:rFonts w:eastAsia="Arial Unicode MS"/>
        </w:rPr>
        <w:t>min 0</w:t>
      </w:r>
      <w:r>
        <w:rPr>
          <w:rFonts w:eastAsia="Arial Unicode MS"/>
        </w:rPr>
        <w:t xml:space="preserve"> </w:t>
      </w:r>
      <w:r w:rsidRPr="006F1174">
        <w:rPr>
          <w:rFonts w:eastAsia="Arial Unicode MS"/>
        </w:rPr>
        <w:t>s and butyl acetate: 12</w:t>
      </w:r>
      <w:r>
        <w:rPr>
          <w:rFonts w:eastAsia="Arial Unicode MS"/>
        </w:rPr>
        <w:t xml:space="preserve"> </w:t>
      </w:r>
      <w:r w:rsidRPr="006F1174">
        <w:rPr>
          <w:rFonts w:eastAsia="Arial Unicode MS"/>
        </w:rPr>
        <w:t>min 50</w:t>
      </w:r>
      <w:r>
        <w:rPr>
          <w:rFonts w:eastAsia="Arial Unicode MS"/>
        </w:rPr>
        <w:t xml:space="preserve"> </w:t>
      </w:r>
      <w:r w:rsidRPr="006F1174">
        <w:rPr>
          <w:rFonts w:eastAsia="Arial Unicode MS"/>
        </w:rPr>
        <w:t>s of the total 15</w:t>
      </w:r>
      <w:r>
        <w:rPr>
          <w:rFonts w:eastAsia="Arial Unicode MS"/>
        </w:rPr>
        <w:t xml:space="preserve"> </w:t>
      </w:r>
      <w:r w:rsidRPr="006F1174">
        <w:rPr>
          <w:rFonts w:eastAsia="Arial Unicode MS"/>
        </w:rPr>
        <w:t>min method length. Solubility of butyl acetate and ethyl acetate was reported to be 0.7</w:t>
      </w:r>
      <w:r>
        <w:rPr>
          <w:rFonts w:eastAsia="Arial Unicode MS"/>
        </w:rPr>
        <w:t xml:space="preserve"> </w:t>
      </w:r>
      <w:r w:rsidRPr="006F1174">
        <w:rPr>
          <w:rFonts w:eastAsia="Arial Unicode MS"/>
        </w:rPr>
        <w:t>g/100</w:t>
      </w:r>
      <w:r>
        <w:rPr>
          <w:rFonts w:eastAsia="Arial Unicode MS"/>
        </w:rPr>
        <w:t xml:space="preserve"> </w:t>
      </w:r>
      <w:r w:rsidRPr="006F1174">
        <w:rPr>
          <w:rFonts w:eastAsia="Arial Unicode MS"/>
        </w:rPr>
        <w:t>ml and 8.3</w:t>
      </w:r>
      <w:r>
        <w:rPr>
          <w:rFonts w:eastAsia="Arial Unicode MS"/>
        </w:rPr>
        <w:t xml:space="preserve"> </w:t>
      </w:r>
      <w:r w:rsidRPr="006F1174">
        <w:rPr>
          <w:rFonts w:eastAsia="Arial Unicode MS"/>
        </w:rPr>
        <w:t>g/10</w:t>
      </w:r>
      <w:r>
        <w:rPr>
          <w:rFonts w:eastAsia="Arial Unicode MS"/>
        </w:rPr>
        <w:t xml:space="preserve"> </w:t>
      </w:r>
      <w:r w:rsidRPr="006F1174">
        <w:rPr>
          <w:rFonts w:eastAsia="Arial Unicode MS"/>
        </w:rPr>
        <w:t>0ml, respectively (</w:t>
      </w:r>
      <w:r w:rsidRPr="00FE6B27">
        <w:rPr>
          <w:rFonts w:eastAsia="Arial Unicode MS"/>
        </w:rPr>
        <w:t>Seidell, 2010</w:t>
      </w:r>
      <w:r w:rsidRPr="006F1174">
        <w:rPr>
          <w:rFonts w:eastAsia="Arial Unicode MS"/>
        </w:rPr>
        <w:t xml:space="preserve">); all working solutions were below these limits. Presented values are the average ± standard deviation of three measurements. This method complements TGA, with discrepancies attributed to moisture absorbed from </w:t>
      </w:r>
      <w:r w:rsidR="00E13310">
        <w:rPr>
          <w:rFonts w:eastAsia="Arial Unicode MS"/>
        </w:rPr>
        <w:t xml:space="preserve">the </w:t>
      </w:r>
      <w:r w:rsidRPr="006F1174">
        <w:rPr>
          <w:rFonts w:eastAsia="Arial Unicode MS"/>
        </w:rPr>
        <w:t>atmosphere.</w:t>
      </w:r>
    </w:p>
    <w:p w14:paraId="524C7029" w14:textId="77777777" w:rsidR="002C62A0" w:rsidRPr="00F34AEE" w:rsidRDefault="002C62A0" w:rsidP="00AB3717">
      <w:pPr>
        <w:spacing w:line="360" w:lineRule="auto"/>
        <w:jc w:val="both"/>
        <w:rPr>
          <w:b/>
        </w:rPr>
      </w:pPr>
      <w:r w:rsidRPr="00F34AEE">
        <w:rPr>
          <w:b/>
        </w:rPr>
        <w:t>In vitro aerosol deposition studies using the Next Generation Impactor (NGI)</w:t>
      </w:r>
    </w:p>
    <w:p w14:paraId="53D09623" w14:textId="2B6D3670" w:rsidR="002C62A0" w:rsidRPr="00F34AEE" w:rsidRDefault="002C62A0">
      <w:pPr>
        <w:spacing w:line="360" w:lineRule="auto"/>
        <w:jc w:val="both"/>
      </w:pPr>
      <w:r w:rsidRPr="00F34AEE">
        <w:t xml:space="preserve">The </w:t>
      </w:r>
      <w:r w:rsidR="00177CBD" w:rsidRPr="00474D1B">
        <w:rPr>
          <w:i/>
        </w:rPr>
        <w:t>in vitro</w:t>
      </w:r>
      <w:r w:rsidRPr="00F34AEE">
        <w:t xml:space="preserve"> deposition of the dry powders was evaluated using a Next Generation Impactor (NGI, Copley Scientiﬁc Limited, Nottingham, UK) operated under pharmacopoeial conditions (</w:t>
      </w:r>
      <w:r w:rsidRPr="00FE6B27">
        <w:t xml:space="preserve">Ph. Eur., </w:t>
      </w:r>
      <w:r w:rsidRPr="00FE6B27">
        <w:lastRenderedPageBreak/>
        <w:t>2012</w:t>
      </w:r>
      <w:r w:rsidR="00F430A9">
        <w:t>a</w:t>
      </w:r>
      <w:r w:rsidRPr="00F34AEE">
        <w:t xml:space="preserve">). </w:t>
      </w:r>
      <w:r w:rsidR="00BA25A2">
        <w:t>The test and data treatment was performed as</w:t>
      </w:r>
      <w:r w:rsidRPr="00F34AEE">
        <w:t xml:space="preserve"> previously described by</w:t>
      </w:r>
      <w:r w:rsidR="00177CBD">
        <w:fldChar w:fldCharType="begin" w:fldLock="1"/>
      </w:r>
      <w:r w:rsidR="009869DD">
        <w:instrText>ADDIN CSL_CITATION { "citationItems" : [ { "id" : "ITEM-1", "itemData" : { "DOI" : "10.1016/j.ejps.2010.07.001", "ISSN" : "1879-0720", "PMID" : "20621184", "abstract" : "Pulmonary administration of protein and peptide drugs using inhaled dry powder particles is an interesting alternative to parenteral delivery. The stabilisation of these molecules is essential to the maintenance of biological activity in such inhalation formulations. Here salmon calcitonin (sCT) was co-spray dried with linear or branched PEG (L-PEG and B-PEG) and PVP in order to formulate aerosolisable particles of the bioactive peptide. Co-spray drying L-PEG and PVP resulted in porous particles, with minimal D(50) (median volume diameter) and MMAD (mass median aerodynamic diameter) values obtained for a PEG/PVP w/w ratio of 1. For particles based on both L-PEG and B-PEG, an increase in acetone, a poor solvent for the PVP, up to 70wt% of the spray dried solution led to a decrease in D(50) and MMAD. Crystallinity of PEG in the particles ranged between 90 and 97% when the PVP content varied between 15 and 70wt%, indicating a low degree of interaction between PVP and PEG. Additionally, dynamic vapour sorption analysis showed that an increase in PVP content increased the particle surface hygroscopicity. Hence, particle properties were adjusted by altering the water/acetone and PEG/PVP ratio in the spray dried solutions. PVP present at the particles surface protects them from melting during the spray drying process but also increases their hygroscopicity, adversely affecting their aerodynamic properties. Targeting a 5wt% of sCT loading resulted in a loading efficiency of 77.9 and 83.6% with L-PEG and B-PEG-based particles, respectively. Loading of sCT in L-PEG or B-PEG-based particles modified particle roughness and D(50), leading to an increase in MMAD of the L-PEG-based particles. However, particles were still considered to be suitable for aerosolisation as their FPFs (fine particle fractions) were higher than 30%. These particles formulated with PVP and PEG allowed sCT biological activity to be maintained when evaluated by measuring cAMP production by T47D cells.", "author" : [ { "dropping-particle" : "", "family" : "Tewes", "given" : "F", "non-dropping-particle" : "", "parse-names" : false, "suffix" : "" }, { "dropping-particle" : "", "family" : "Tajber", "given" : "L", "non-dropping-particle" : "", "parse-names" : false, "suffix" : "" }, { "dropping-particle" : "", "family" : "Corrigan", "given" : "O I", "non-dropping-particle" : "", "parse-names" : false, "suffix" : "" }, { "dropping-particle" : "", "family" : "Ehrhardt", "given" : "C", "non-dropping-particle" : "", "parse-names" : false, "suffix" : "" }, { "dropping-particle" : "", "family" : "Healy", "given" : "a M", "non-dropping-particle" : "", "parse-names" : false, "suffix" : "" } ], "container-title" : "European journal of pharmaceutical sciences : official journal of the European Federation for Pharmaceutical Sciences", "id" : "ITEM-1", "issue" : "2", "issued" : { "date-parts" : [ [ "2010", "10", "9" ] ] }, "page" : "337-52", "publisher" : "Elsevier B.V.", "title" : "Development and characterisation of soluble polymeric particles for pulmonary peptide delivery.", "type" : "article-journal", "volume" : "41" }, "uris" : [ "http://www.mendeley.com/documents/?uuid=b9aa15c9-4e43-4cac-813f-14432deedeb8" ] } ], "mendeley" : { "manualFormatting" : " Tewes et al. (2010)", "previouslyFormattedCitation" : "(Tewes et al. 2010)" }, "properties" : { "noteIndex" : 0 }, "schema" : "https://github.com/citation-style-language/schema/raw/master/csl-citation.json" }</w:instrText>
      </w:r>
      <w:r w:rsidR="00177CBD">
        <w:fldChar w:fldCharType="separate"/>
      </w:r>
      <w:r w:rsidR="00AE5FFF">
        <w:rPr>
          <w:noProof/>
        </w:rPr>
        <w:t xml:space="preserve"> </w:t>
      </w:r>
      <w:r w:rsidR="00AE5FFF" w:rsidRPr="00AE5FFF">
        <w:rPr>
          <w:noProof/>
        </w:rPr>
        <w:t xml:space="preserve">Tewes et al. </w:t>
      </w:r>
      <w:r w:rsidR="00AE5FFF">
        <w:rPr>
          <w:noProof/>
        </w:rPr>
        <w:t>(</w:t>
      </w:r>
      <w:r w:rsidR="00AE5FFF" w:rsidRPr="00AE5FFF">
        <w:rPr>
          <w:noProof/>
        </w:rPr>
        <w:t>2010)</w:t>
      </w:r>
      <w:r w:rsidR="00177CBD">
        <w:fldChar w:fldCharType="end"/>
      </w:r>
      <w:r w:rsidRPr="00F34AEE">
        <w:t xml:space="preserve"> and Amaro et al. (2011</w:t>
      </w:r>
      <w:r w:rsidR="00792E54" w:rsidRPr="0082741A">
        <w:t>, 20</w:t>
      </w:r>
      <w:r w:rsidR="00581216" w:rsidRPr="00474D1B">
        <w:t>14</w:t>
      </w:r>
      <w:r w:rsidRPr="00F34AEE">
        <w:t>)</w:t>
      </w:r>
      <w:r w:rsidR="00BA25A2">
        <w:t>.</w:t>
      </w:r>
      <w:r w:rsidRPr="00F34AEE">
        <w:t xml:space="preserve"> </w:t>
      </w:r>
    </w:p>
    <w:p w14:paraId="041C9715" w14:textId="77777777" w:rsidR="00C94973" w:rsidRPr="00F34AEE" w:rsidRDefault="00C94973" w:rsidP="00AB3717">
      <w:pPr>
        <w:spacing w:line="360" w:lineRule="auto"/>
        <w:jc w:val="both"/>
        <w:rPr>
          <w:rFonts w:eastAsia="Arial Unicode MS"/>
          <w:b/>
        </w:rPr>
      </w:pPr>
      <w:r w:rsidRPr="00F34AEE">
        <w:rPr>
          <w:rFonts w:eastAsia="Arial Unicode MS"/>
          <w:b/>
        </w:rPr>
        <w:t>High performance liquid chromatography (HPLC)</w:t>
      </w:r>
    </w:p>
    <w:p w14:paraId="57DCB65A" w14:textId="1831474F" w:rsidR="00DF6D34" w:rsidRDefault="00C94973" w:rsidP="00DF6D34">
      <w:pPr>
        <w:autoSpaceDE w:val="0"/>
        <w:autoSpaceDN w:val="0"/>
        <w:adjustRightInd w:val="0"/>
        <w:spacing w:line="360" w:lineRule="auto"/>
        <w:jc w:val="both"/>
        <w:rPr>
          <w:rFonts w:eastAsia="Arial Unicode MS"/>
        </w:rPr>
      </w:pPr>
      <w:r w:rsidRPr="00F34AEE">
        <w:rPr>
          <w:rFonts w:eastAsia="Arial Unicode MS"/>
        </w:rPr>
        <w:t>Salmon calcitonin (sCT) content was analysed by HPLC, as previously describe</w:t>
      </w:r>
      <w:r w:rsidR="005843E1">
        <w:rPr>
          <w:rFonts w:eastAsia="Arial Unicode MS"/>
        </w:rPr>
        <w:t>d</w:t>
      </w:r>
      <w:r w:rsidRPr="00F34AEE">
        <w:rPr>
          <w:rFonts w:eastAsia="Arial Unicode MS"/>
        </w:rPr>
        <w:t xml:space="preserve"> by Tewes et al. (2010). An LC-IOAT VP pump, FCV-10AL VP delivery module, DGU-14A degasser, SIL-10AD VP autosampler, SPD-10A VP UV–VIS-detector and CLASS-VP software (all Shimadzu, Japan) were used. The chromatographic system was set up with a Genesis</w:t>
      </w:r>
      <w:r w:rsidR="00CC5D3F">
        <w:rPr>
          <w:rFonts w:eastAsia="Arial Unicode MS"/>
        </w:rPr>
        <w:t xml:space="preserve"> C18 </w:t>
      </w:r>
      <w:r w:rsidR="00764E86" w:rsidRPr="00F34AEE">
        <w:rPr>
          <w:rFonts w:eastAsia="Arial Unicode MS"/>
        </w:rPr>
        <w:t>mono</w:t>
      </w:r>
      <w:r w:rsidR="00764E86">
        <w:rPr>
          <w:rFonts w:eastAsia="Arial Unicode MS"/>
        </w:rPr>
        <w:t>meric</w:t>
      </w:r>
      <w:r w:rsidR="00764E86" w:rsidRPr="00F34AEE">
        <w:rPr>
          <w:rFonts w:eastAsia="Arial Unicode MS"/>
        </w:rPr>
        <w:t xml:space="preserve"> </w:t>
      </w:r>
      <w:r w:rsidRPr="00F34AEE">
        <w:rPr>
          <w:rFonts w:eastAsia="Arial Unicode MS"/>
        </w:rPr>
        <w:t>column (Jones Columns, Crawford scientific, UK). Measurement were conducted by injecting 50 μl of samples, standards or controls in the mobile phase running at 1.0 ml/min and composed of 66% v/v of aqueous phase (1.16 g/l of NaCl, 0.032 % v/v of TFA dissolved in H</w:t>
      </w:r>
      <w:r w:rsidRPr="00F34AEE">
        <w:rPr>
          <w:rFonts w:eastAsia="Arial Unicode MS"/>
          <w:vertAlign w:val="subscript"/>
        </w:rPr>
        <w:t>2</w:t>
      </w:r>
      <w:r w:rsidRPr="00F34AEE">
        <w:rPr>
          <w:rFonts w:eastAsia="Arial Unicode MS"/>
        </w:rPr>
        <w:t xml:space="preserve">O) and 34 % v/v of acetonitrile. sCT </w:t>
      </w:r>
      <w:r w:rsidR="007F0B63" w:rsidRPr="00F34AEE">
        <w:rPr>
          <w:rFonts w:eastAsia="Arial Unicode MS"/>
        </w:rPr>
        <w:t>w</w:t>
      </w:r>
      <w:r w:rsidR="007F0B63">
        <w:rPr>
          <w:rFonts w:eastAsia="Arial Unicode MS"/>
        </w:rPr>
        <w:t>as</w:t>
      </w:r>
      <w:r w:rsidR="007F0B63" w:rsidRPr="00F34AEE">
        <w:rPr>
          <w:rFonts w:eastAsia="Arial Unicode MS"/>
        </w:rPr>
        <w:t xml:space="preserve"> </w:t>
      </w:r>
      <w:r w:rsidRPr="00F34AEE">
        <w:rPr>
          <w:rFonts w:eastAsia="Arial Unicode MS"/>
        </w:rPr>
        <w:t>detected by measuring the absorbance at 214 nm. sCT concentration of the standards ranged from 0.1 mg/l to 0.003 mg/l and calibration curves were prepared in triplicate. Controls were performed to check for any interference on the assay by the excipents. No interference was found. Presented values are the average ± standard deviation of three measurements.</w:t>
      </w:r>
    </w:p>
    <w:p w14:paraId="494C7D9A" w14:textId="77777777" w:rsidR="00A9250F" w:rsidRPr="00F34AEE" w:rsidRDefault="00A9250F" w:rsidP="00DF6D34">
      <w:pPr>
        <w:autoSpaceDE w:val="0"/>
        <w:autoSpaceDN w:val="0"/>
        <w:adjustRightInd w:val="0"/>
        <w:spacing w:line="360" w:lineRule="auto"/>
        <w:jc w:val="both"/>
        <w:rPr>
          <w:rFonts w:eastAsia="Arial Unicode MS"/>
          <w:b/>
          <w:bCs/>
        </w:rPr>
      </w:pPr>
      <w:r w:rsidRPr="00F34AEE">
        <w:rPr>
          <w:rFonts w:eastAsia="Arial Unicode MS"/>
          <w:b/>
          <w:bCs/>
        </w:rPr>
        <w:t>Salmon calcitonin activity assay</w:t>
      </w:r>
    </w:p>
    <w:p w14:paraId="167B4DCC" w14:textId="77777777" w:rsidR="00A9250F" w:rsidRPr="00F34AEE" w:rsidRDefault="00A9250F" w:rsidP="00AB3717">
      <w:pPr>
        <w:autoSpaceDE w:val="0"/>
        <w:autoSpaceDN w:val="0"/>
        <w:adjustRightInd w:val="0"/>
        <w:spacing w:line="360" w:lineRule="auto"/>
        <w:jc w:val="both"/>
        <w:rPr>
          <w:rFonts w:eastAsia="Arial Unicode MS"/>
          <w:b/>
          <w:bCs/>
        </w:rPr>
      </w:pPr>
      <w:r w:rsidRPr="00F34AEE">
        <w:rPr>
          <w:rFonts w:eastAsia="Arial Unicode MS"/>
        </w:rPr>
        <w:t>The capacity of sCT formulations to increase intracellular</w:t>
      </w:r>
      <w:r w:rsidRPr="00F34AEE">
        <w:t xml:space="preserve"> </w:t>
      </w:r>
      <w:r w:rsidRPr="00F34AEE">
        <w:rPr>
          <w:rFonts w:eastAsia="Arial Unicode MS"/>
        </w:rPr>
        <w:t>cyclic adenosine monophosphate (cAMP) was assessed in accordance with a previously reported method (Ryan et al., 2009).</w:t>
      </w:r>
      <w:r w:rsidRPr="00F34AEE">
        <w:rPr>
          <w:rFonts w:eastAsia="Arial Unicode MS"/>
          <w:color w:val="FF0000"/>
        </w:rPr>
        <w:t xml:space="preserve"> </w:t>
      </w:r>
      <w:r w:rsidRPr="00F34AEE">
        <w:rPr>
          <w:rFonts w:eastAsia="Arial Unicode MS"/>
        </w:rPr>
        <w:t xml:space="preserve">T47D human breast cancer cells expressing calcitonin receptors were cultured in RPMI (Roswell Park Memorial Institute) 1640 with HEPES modification culture medium supplemented with 1 % v/v L-glutamine solution, 1 % v/v penicillin–streptomycin, 10 % v/v </w:t>
      </w:r>
      <w:r w:rsidR="005F1721" w:rsidRPr="00F34AEE">
        <w:rPr>
          <w:rFonts w:eastAsia="Arial Unicode MS"/>
        </w:rPr>
        <w:t>fetal</w:t>
      </w:r>
      <w:r w:rsidRPr="00F34AEE">
        <w:rPr>
          <w:rFonts w:eastAsia="Arial Unicode MS"/>
        </w:rPr>
        <w:t xml:space="preserve"> bovine serum and 0.2 IU/mL insulin. Cells were seeded on 24-well plates, previously coated with 1.15 % v/v collagen solution, at an initial density of 1x10</w:t>
      </w:r>
      <w:r w:rsidRPr="00F34AEE">
        <w:rPr>
          <w:rFonts w:eastAsia="Arial Unicode MS"/>
          <w:vertAlign w:val="superscript"/>
        </w:rPr>
        <w:t>6</w:t>
      </w:r>
      <w:r w:rsidR="005F1721">
        <w:rPr>
          <w:rFonts w:eastAsia="Arial Unicode MS"/>
        </w:rPr>
        <w:t xml:space="preserve"> cells per </w:t>
      </w:r>
      <w:r w:rsidRPr="00F34AEE">
        <w:rPr>
          <w:rFonts w:eastAsia="Arial Unicode MS"/>
        </w:rPr>
        <w:t>well and incubated in air with 5 % of CO</w:t>
      </w:r>
      <w:r w:rsidRPr="00F34AEE">
        <w:rPr>
          <w:rFonts w:eastAsia="Arial Unicode MS"/>
          <w:vertAlign w:val="subscript"/>
        </w:rPr>
        <w:t>2</w:t>
      </w:r>
      <w:r w:rsidRPr="00F34AEE">
        <w:rPr>
          <w:rFonts w:eastAsia="Arial Unicode MS"/>
        </w:rPr>
        <w:t xml:space="preserve"> at 37 ⁰C for 2 days. Cells where then washed with PBS and serum free medium and pre-incubated with fresh serum free medium supplemented with the phosphodiesterase inhibitor, 3-isobutyl-1-methyl-xanthine (IBMX, 0.2 mM) at 37 ⁰C for 30 min. sCT formulations (with sCT at a concentration of 10</w:t>
      </w:r>
      <w:r w:rsidRPr="00F34AEE">
        <w:rPr>
          <w:rFonts w:eastAsia="Arial Unicode MS"/>
          <w:vertAlign w:val="superscript"/>
        </w:rPr>
        <w:t xml:space="preserve">-8 </w:t>
      </w:r>
      <w:r w:rsidRPr="00F34AEE">
        <w:rPr>
          <w:rFonts w:eastAsia="Arial Unicode MS"/>
        </w:rPr>
        <w:t xml:space="preserve">M) dissolved in serum free RPMI 1640 plus IBMX was then added to the cells and incubated for 15 min. </w:t>
      </w:r>
      <w:r w:rsidRPr="00F34AEE">
        <w:rPr>
          <w:rFonts w:eastAsia="Arial Unicode MS"/>
          <w:bCs/>
        </w:rPr>
        <w:t>After removing the supernatant, cells were rinsed three times in cold PBS and resuspended in 1 ml of cell lysis buffer. Cells were frozen at −20 °C and thawed with gentle mixing. The freeze/thaw cycle was repeated once and the mixture was centrifuged at ~ 10,000 rpm for 5 min at 4 °C to remove cellular debris. The supernatant was collected</w:t>
      </w:r>
      <w:r w:rsidRPr="00F34AEE">
        <w:rPr>
          <w:rFonts w:eastAsia="Arial Unicode MS"/>
        </w:rPr>
        <w:t xml:space="preserve"> and cAMP concentrations were measured by </w:t>
      </w:r>
      <w:r w:rsidRPr="00F34AEE">
        <w:rPr>
          <w:rFonts w:eastAsia="Arial Unicode MS"/>
          <w:bCs/>
        </w:rPr>
        <w:t xml:space="preserve">cAMP Enzyme immuno-assay (EIA) kit </w:t>
      </w:r>
      <w:r w:rsidRPr="00F34AEE">
        <w:rPr>
          <w:rFonts w:eastAsia="Arial Unicode MS"/>
        </w:rPr>
        <w:t>(RandD Systems, Abingdon, UK). All measurements were done in triplicate</w:t>
      </w:r>
      <w:r w:rsidRPr="00F34AEE">
        <w:rPr>
          <w:rFonts w:eastAsia="Arial Unicode MS"/>
          <w:b/>
          <w:bCs/>
        </w:rPr>
        <w:t>.</w:t>
      </w:r>
    </w:p>
    <w:p w14:paraId="13643E37" w14:textId="77777777" w:rsidR="00324FFA" w:rsidRPr="00F34AEE" w:rsidRDefault="00324FFA" w:rsidP="00AB3717">
      <w:pPr>
        <w:spacing w:line="360" w:lineRule="auto"/>
        <w:jc w:val="both"/>
        <w:rPr>
          <w:b/>
        </w:rPr>
      </w:pPr>
      <w:r w:rsidRPr="00F34AEE">
        <w:rPr>
          <w:b/>
        </w:rPr>
        <w:t>Pharmacokinetic studies</w:t>
      </w:r>
    </w:p>
    <w:p w14:paraId="07B372D0" w14:textId="0C74881C" w:rsidR="006615A6" w:rsidRDefault="00A9250F" w:rsidP="00AB3717">
      <w:pPr>
        <w:spacing w:line="360" w:lineRule="auto"/>
        <w:jc w:val="both"/>
        <w:rPr>
          <w:rFonts w:eastAsia="Arial Unicode MS" w:cstheme="minorHAnsi"/>
        </w:rPr>
      </w:pPr>
      <w:r w:rsidRPr="00F34AEE">
        <w:rPr>
          <w:rFonts w:eastAsia="Arial Unicode MS" w:cstheme="minorHAnsi"/>
          <w:bCs/>
          <w:i/>
        </w:rPr>
        <w:lastRenderedPageBreak/>
        <w:t>In vivo</w:t>
      </w:r>
      <w:r w:rsidRPr="00F34AEE">
        <w:rPr>
          <w:rFonts w:eastAsia="Arial Unicode MS" w:cstheme="minorHAnsi"/>
          <w:bCs/>
        </w:rPr>
        <w:t xml:space="preserve"> studies were performed </w:t>
      </w:r>
      <w:r w:rsidR="008C73C9">
        <w:rPr>
          <w:rFonts w:eastAsia="Arial Unicode MS" w:cstheme="minorHAnsi"/>
          <w:bCs/>
        </w:rPr>
        <w:t xml:space="preserve">as described by </w:t>
      </w:r>
      <w:r w:rsidR="00177CBD">
        <w:rPr>
          <w:rFonts w:eastAsia="Arial Unicode MS" w:cstheme="minorHAnsi"/>
          <w:bCs/>
        </w:rPr>
        <w:fldChar w:fldCharType="begin" w:fldLock="1"/>
      </w:r>
      <w:r w:rsidR="009869DD">
        <w:rPr>
          <w:rFonts w:eastAsia="Arial Unicode MS" w:cstheme="minorHAnsi"/>
          <w:bCs/>
        </w:rPr>
        <w:instrText>ADDIN CSL_CITATION { "citationItems" : [ { "id" : "ITEM-1", "itemData" : { "DOI" : "10.1021/mp200231c", "ISSN" : "1543-8392", "PMID" : "21882837", "abstract" : "For therapeutic peptides, the lung represents an attractive, noninvasive route into the bloodstream. To achieve optimal bioavailability and control their fast rate of absorption, peptides can be protected by coprocessing with polymers such as polyethylene glycol (PEG). Here, we formulated and characterized salmon calcitonin (sCT)-loaded microparticles using linear or branched PEG (L-PEG or B-PEG) and hydroxypropyl-beta-cyclodextrin (HP\u03b2CD) for pulmonary administration. Mixtures of sCT, L-PEG or B-PEG and HP\u03b2CD were co-spray dried. Based on the particle properties, the best PEG:HP\u03b2CD ratio was 1:1 w:w for both PEGs. In the sCT-loaded particles, the L-PEG was more crystalline than B-PEG. Thus, L-PEG-based particles had lower surface free energy and better aerodynamic behavior than B-PEG-based particles. However, B-PEG-based particles provided better protection against chemical degradation of sCT. A decrease in sCT permeability, measured across Calu-3 bronchial epithelial monolayers, occurred when the PEG and HP\u03b2CD concentrations were both 1.6 wt %. This was attributed to an increase in buffer viscosity, caused by the two excipients. sCT pharmacokinetic profiles in Wistar rats were evaluated using a 2-compartment model after iv injection or lung insufflation. The maximal sCT plasma concentration was reached within 3 min following nebulization of sCT solution. L-PEG and B-PEG-based microparticles were able to increase T(max) to 20 \u00b1 1 min and 18 \u00b1 8 min, respectively. Furthermore, sCT absolute bioavailability after L-PEG-based microparticle aerosolization at 100 \u03bcg/kg was 2.3 times greater than for the nebulized sCT solution.", "author" : [ { "dropping-particle" : "", "family" : "Tewes", "given" : "Frederic", "non-dropping-particle" : "", "parse-names" : false, "suffix" : "" }, { "dropping-particle" : "", "family" : "Gobbo", "given" : "Oliviero L", "non-dropping-particle" : "", "parse-names" : false, "suffix" : "" }, { "dropping-particle" : "", "family" : "Amaro", "given" : "Maria I", "non-dropping-particle" : "", "parse-names" : false, "suffix" : "" }, { "dropping-particle" : "", "family" : "Tajber", "given" : "Lidia", "non-dropping-particle" : "", "parse-names" : false, "suffix" : "" }, { "dropping-particle" : "", "family" : "Corrigan", "given" : "Owen I", "non-dropping-particle" : "", "parse-names" : false, "suffix" : "" }, { "dropping-particle" : "", "family" : "Ehrhardt", "given" : "Carsten", "non-dropping-particle" : "", "parse-names" : false, "suffix" : "" }, { "dropping-particle" : "", "family" : "Healy", "given" : "Anne Marie", "non-dropping-particle" : "", "parse-names" : false, "suffix" : "" } ], "container-title" : "Molecular pharmaceutics", "id" : "ITEM-1", "issue" : "5", "issued" : { "date-parts" : [ [ "2011", "10", "3" ] ] }, "page" : "1887-98", "title" : "Evaluation of HP\u03b2CD-PEG microparticles for salmon calcitonin administration via pulmonary delivery.", "type" : "article-journal", "volume" : "8" }, "uris" : [ "http://www.mendeley.com/documents/?uuid=7b21b0e3-12f2-4abf-9d65-ada456383c6e" ] } ], "mendeley" : { "manualFormatting" : "Tewes et al. (2011)", "previouslyFormattedCitation" : "(Tewes et al. 2011)" }, "properties" : { "noteIndex" : 0 }, "schema" : "https://github.com/citation-style-language/schema/raw/master/csl-citation.json" }</w:instrText>
      </w:r>
      <w:r w:rsidR="00177CBD">
        <w:rPr>
          <w:rFonts w:eastAsia="Arial Unicode MS" w:cstheme="minorHAnsi"/>
          <w:bCs/>
        </w:rPr>
        <w:fldChar w:fldCharType="separate"/>
      </w:r>
      <w:r w:rsidR="00174C0B" w:rsidRPr="00174C0B">
        <w:rPr>
          <w:rFonts w:eastAsia="Arial Unicode MS" w:cstheme="minorHAnsi"/>
          <w:bCs/>
          <w:noProof/>
        </w:rPr>
        <w:t xml:space="preserve">Tewes et al. </w:t>
      </w:r>
      <w:r w:rsidR="00174C0B">
        <w:rPr>
          <w:rFonts w:eastAsia="Arial Unicode MS" w:cstheme="minorHAnsi"/>
          <w:bCs/>
          <w:noProof/>
        </w:rPr>
        <w:t>(</w:t>
      </w:r>
      <w:r w:rsidR="00174C0B" w:rsidRPr="00174C0B">
        <w:rPr>
          <w:rFonts w:eastAsia="Arial Unicode MS" w:cstheme="minorHAnsi"/>
          <w:bCs/>
          <w:noProof/>
        </w:rPr>
        <w:t>2011)</w:t>
      </w:r>
      <w:r w:rsidR="00177CBD">
        <w:rPr>
          <w:rFonts w:eastAsia="Arial Unicode MS" w:cstheme="minorHAnsi"/>
          <w:bCs/>
        </w:rPr>
        <w:fldChar w:fldCharType="end"/>
      </w:r>
      <w:r w:rsidR="005F1721">
        <w:rPr>
          <w:rFonts w:eastAsia="Arial Unicode MS" w:cstheme="minorHAnsi"/>
        </w:rPr>
        <w:t xml:space="preserve">. </w:t>
      </w:r>
      <w:r w:rsidR="008C73C9" w:rsidRPr="008C73C9">
        <w:rPr>
          <w:rFonts w:eastAsia="Arial Unicode MS" w:cstheme="minorHAnsi"/>
        </w:rPr>
        <w:t>The compliance</w:t>
      </w:r>
      <w:r w:rsidR="008C73C9">
        <w:rPr>
          <w:rFonts w:eastAsia="Arial Unicode MS" w:cstheme="minorHAnsi"/>
        </w:rPr>
        <w:t xml:space="preserve"> </w:t>
      </w:r>
      <w:r w:rsidR="008C73C9" w:rsidRPr="008C73C9">
        <w:rPr>
          <w:rFonts w:eastAsia="Arial Unicode MS" w:cstheme="minorHAnsi"/>
        </w:rPr>
        <w:t>of this study with EC Direc</w:t>
      </w:r>
      <w:r w:rsidR="008C73C9">
        <w:rPr>
          <w:rFonts w:eastAsia="Arial Unicode MS" w:cstheme="minorHAnsi"/>
        </w:rPr>
        <w:t>tive 86/609 was reviewed and ap</w:t>
      </w:r>
      <w:r w:rsidR="008C73C9" w:rsidRPr="008C73C9">
        <w:rPr>
          <w:rFonts w:eastAsia="Arial Unicode MS" w:cstheme="minorHAnsi"/>
        </w:rPr>
        <w:t xml:space="preserve">proved by the Trinity College Dublin ethical committee. </w:t>
      </w:r>
      <w:r w:rsidR="008C73C9" w:rsidRPr="00F34AEE">
        <w:rPr>
          <w:rFonts w:eastAsia="Arial Unicode MS" w:cstheme="minorHAnsi"/>
        </w:rPr>
        <w:t>Male Wistar rats (BioResources, TC</w:t>
      </w:r>
      <w:r w:rsidR="008C73C9">
        <w:rPr>
          <w:rFonts w:eastAsia="Arial Unicode MS" w:cstheme="minorHAnsi"/>
        </w:rPr>
        <w:t>D, Ireland) weighing 350±50 g</w:t>
      </w:r>
      <w:r w:rsidR="008C73C9" w:rsidRPr="00F34AEE">
        <w:rPr>
          <w:rFonts w:eastAsia="Arial Unicode MS" w:cstheme="minorHAnsi"/>
        </w:rPr>
        <w:t xml:space="preserve"> </w:t>
      </w:r>
      <w:r w:rsidRPr="00F34AEE">
        <w:rPr>
          <w:rFonts w:eastAsia="Arial Unicode MS" w:cstheme="minorHAnsi"/>
        </w:rPr>
        <w:t>were anesthet</w:t>
      </w:r>
      <w:r w:rsidR="005F1721">
        <w:rPr>
          <w:rFonts w:eastAsia="Arial Unicode MS" w:cstheme="minorHAnsi"/>
        </w:rPr>
        <w:t>i</w:t>
      </w:r>
      <w:r w:rsidRPr="00F34AEE">
        <w:rPr>
          <w:rFonts w:eastAsia="Arial Unicode MS" w:cstheme="minorHAnsi"/>
        </w:rPr>
        <w:t>sed by an intraperitoneal (ip) injection of a mixture of ketamine</w:t>
      </w:r>
      <w:r w:rsidR="008C73C9">
        <w:rPr>
          <w:rFonts w:eastAsia="Arial Unicode MS" w:cstheme="minorHAnsi"/>
        </w:rPr>
        <w:t xml:space="preserve"> </w:t>
      </w:r>
      <w:r w:rsidR="008C73C9">
        <w:t>(Vetalar; Pfizer, Ireland)</w:t>
      </w:r>
      <w:r w:rsidRPr="00F34AEE">
        <w:rPr>
          <w:rFonts w:eastAsia="Arial Unicode MS" w:cstheme="minorHAnsi"/>
        </w:rPr>
        <w:t xml:space="preserve"> and medetomidine hydrochloride</w:t>
      </w:r>
      <w:r w:rsidR="008C73C9">
        <w:t xml:space="preserve"> (Domitor,Pfizer,Ireland)</w:t>
      </w:r>
      <w:r w:rsidRPr="00F34AEE">
        <w:rPr>
          <w:rFonts w:eastAsia="Arial Unicode MS" w:cstheme="minorHAnsi"/>
        </w:rPr>
        <w:t xml:space="preserve"> at the doses of 60 mg/kg and 0.5 mg/kg body weight, respectively.</w:t>
      </w:r>
      <w:r w:rsidRPr="00F34AEE">
        <w:rPr>
          <w:rFonts w:eastAsia="Arial Unicode MS" w:cstheme="minorHAnsi"/>
          <w:color w:val="FF0000"/>
        </w:rPr>
        <w:t xml:space="preserve"> </w:t>
      </w:r>
      <w:r w:rsidRPr="00F34AEE">
        <w:rPr>
          <w:rFonts w:eastAsia="Arial Unicode MS" w:cstheme="minorHAnsi"/>
        </w:rPr>
        <w:t>After anaesthesia, in the case of intravenous (iv) administration of sCT, two heparinised permanent polyurethane intravascular tubings were implanted on the day of the experiment. The left femoral vein was cannulated for sCT solution administration, while the left femoral artery was cannulated for blood sampling.</w:t>
      </w:r>
      <w:r w:rsidRPr="00F34AEE">
        <w:rPr>
          <w:rFonts w:eastAsia="Arial Unicode MS" w:cstheme="minorHAnsi"/>
          <w:color w:val="FF0000"/>
        </w:rPr>
        <w:t xml:space="preserve"> </w:t>
      </w:r>
      <w:r w:rsidRPr="00F34AEE">
        <w:rPr>
          <w:rFonts w:eastAsia="Arial Unicode MS" w:cstheme="minorHAnsi"/>
        </w:rPr>
        <w:t>For pulmonary sCT administration, only one catheter was implanted in the left femoral artery for blood sampling. The i</w:t>
      </w:r>
      <w:r w:rsidR="00EA0A2A">
        <w:rPr>
          <w:rFonts w:eastAsia="Arial Unicode MS" w:cstheme="minorHAnsi"/>
        </w:rPr>
        <w:t>.</w:t>
      </w:r>
      <w:r w:rsidRPr="00F34AEE">
        <w:rPr>
          <w:rFonts w:eastAsia="Arial Unicode MS" w:cstheme="minorHAnsi"/>
        </w:rPr>
        <w:t>v</w:t>
      </w:r>
      <w:r w:rsidR="00EA0A2A">
        <w:rPr>
          <w:rFonts w:eastAsia="Arial Unicode MS" w:cstheme="minorHAnsi"/>
        </w:rPr>
        <w:t>.</w:t>
      </w:r>
      <w:r w:rsidRPr="00F34AEE">
        <w:rPr>
          <w:rFonts w:eastAsia="Arial Unicode MS" w:cstheme="minorHAnsi"/>
        </w:rPr>
        <w:t xml:space="preserve"> bolus administration of sCT (100</w:t>
      </w:r>
      <w:r w:rsidR="008C73C9">
        <w:rPr>
          <w:rFonts w:eastAsia="Arial Unicode MS" w:cstheme="minorHAnsi"/>
        </w:rPr>
        <w:t xml:space="preserve"> </w:t>
      </w:r>
      <w:r w:rsidR="008C73C9" w:rsidRPr="00F34AEE">
        <w:rPr>
          <w:rFonts w:eastAsia="Arial Unicode MS" w:cstheme="minorHAnsi"/>
        </w:rPr>
        <w:t>μg/kg</w:t>
      </w:r>
      <w:r w:rsidR="008C73C9">
        <w:rPr>
          <w:rFonts w:eastAsia="Arial Unicode MS" w:cstheme="minorHAnsi"/>
        </w:rPr>
        <w:t xml:space="preserve">) was performed by injecting SCT solutions at 70 µg/ml in 0.9% w/v </w:t>
      </w:r>
      <w:r w:rsidR="00EA0A2A">
        <w:rPr>
          <w:rFonts w:eastAsia="Arial Unicode MS" w:cstheme="minorHAnsi"/>
        </w:rPr>
        <w:t>NaCl</w:t>
      </w:r>
      <w:r w:rsidRPr="00F34AEE">
        <w:rPr>
          <w:rFonts w:eastAsia="Arial Unicode MS" w:cstheme="minorHAnsi"/>
        </w:rPr>
        <w:t>. Then the anesthetic reversal agent, atipamezole hydrochloride solution (Antisedan, Pfizer, Ireland), was injected i</w:t>
      </w:r>
      <w:r w:rsidR="00EA0A2A">
        <w:rPr>
          <w:rFonts w:eastAsia="Arial Unicode MS" w:cstheme="minorHAnsi"/>
        </w:rPr>
        <w:t>.</w:t>
      </w:r>
      <w:r w:rsidRPr="00F34AEE">
        <w:rPr>
          <w:rFonts w:eastAsia="Arial Unicode MS" w:cstheme="minorHAnsi"/>
        </w:rPr>
        <w:t>p</w:t>
      </w:r>
      <w:r w:rsidR="00EA0A2A">
        <w:rPr>
          <w:rFonts w:eastAsia="Arial Unicode MS" w:cstheme="minorHAnsi"/>
        </w:rPr>
        <w:t>.</w:t>
      </w:r>
      <w:r w:rsidRPr="00F34AEE">
        <w:rPr>
          <w:rFonts w:eastAsia="Arial Unicode MS" w:cstheme="minorHAnsi"/>
        </w:rPr>
        <w:t xml:space="preserve"> at 5 mg/kg. The sCT dose for pulmonary administration was 100 μg/kg, which corresponded approximately to the insufflations of 1 mg of dry powder or to the nebulization of 100 μg of sCT solutions at 350 </w:t>
      </w:r>
      <w:r w:rsidR="00761FDB" w:rsidRPr="00F34AEE">
        <w:rPr>
          <w:rFonts w:eastAsia="Arial Unicode MS" w:cstheme="minorHAnsi"/>
        </w:rPr>
        <w:t>μ</w:t>
      </w:r>
      <w:r w:rsidR="00761FDB">
        <w:rPr>
          <w:rFonts w:eastAsia="Arial Unicode MS" w:cstheme="minorHAnsi"/>
        </w:rPr>
        <w:t>g</w:t>
      </w:r>
      <w:r w:rsidRPr="00F34AEE">
        <w:rPr>
          <w:rFonts w:eastAsia="Arial Unicode MS" w:cstheme="minorHAnsi"/>
        </w:rPr>
        <w:t xml:space="preserve">/mL in 0.9% w/v NaCl. Powder administration was performed using a dry powder </w:t>
      </w:r>
      <w:r w:rsidR="00761FDB">
        <w:rPr>
          <w:rFonts w:eastAsia="Arial Unicode MS" w:cstheme="minorHAnsi"/>
        </w:rPr>
        <w:t>i</w:t>
      </w:r>
      <w:r w:rsidRPr="00F34AEE">
        <w:rPr>
          <w:rFonts w:eastAsia="Arial Unicode MS" w:cstheme="minorHAnsi"/>
        </w:rPr>
        <w:t>nsufflator Model DP-4 (Penn-Century, Philadelphia, PA, USA). sCT solution nebulisation was performed using an AeroProbe intracorporeal nebulising catheter controlled by a LabNeb unit (Trudell Medical International, London, U.K.). Anesthetized rats were maintained by the upper incisors on a rodent work stand inclined at 45</w:t>
      </w:r>
      <w:r w:rsidRPr="00F34AEE">
        <w:rPr>
          <w:rFonts w:eastAsia="Arial Unicode MS" w:cstheme="minorHAnsi"/>
          <w:vertAlign w:val="superscript"/>
        </w:rPr>
        <w:t>o</w:t>
      </w:r>
      <w:r w:rsidRPr="00F34AEE">
        <w:rPr>
          <w:rFonts w:eastAsia="Arial Unicode MS" w:cstheme="minorHAnsi"/>
        </w:rPr>
        <w:t xml:space="preserve"> angle. Vocal cords were visualised with the help of an otoscope, and then a plastic guide was inserted between them. The rat was put back to the horizontal position, followed by the introduction of the sprayer into the plastic tube and the formulation nebulized when the rat was breathing in.</w:t>
      </w:r>
      <w:r w:rsidRPr="00F34AEE">
        <w:rPr>
          <w:rFonts w:eastAsia="Arial Unicode MS" w:cstheme="minorHAnsi"/>
          <w:color w:val="FF0000"/>
        </w:rPr>
        <w:t xml:space="preserve"> </w:t>
      </w:r>
      <w:r w:rsidRPr="00F34AEE">
        <w:rPr>
          <w:rFonts w:eastAsia="Arial Unicode MS" w:cstheme="minorHAnsi"/>
        </w:rPr>
        <w:t>The tip was withdrawn and anesthetic reversal agent was injected i</w:t>
      </w:r>
      <w:r w:rsidR="00761FDB">
        <w:rPr>
          <w:rFonts w:eastAsia="Arial Unicode MS" w:cstheme="minorHAnsi"/>
        </w:rPr>
        <w:t>.</w:t>
      </w:r>
      <w:r w:rsidRPr="00F34AEE">
        <w:rPr>
          <w:rFonts w:eastAsia="Arial Unicode MS" w:cstheme="minorHAnsi"/>
        </w:rPr>
        <w:t xml:space="preserve">p. . Blood samples (200 μL) were collected in heparinized tubes at the following times: 0; 3; 10; 20; 30; 60; 90; 120; 180 min after sCT administration. In each case, blood was replaced by an equal volume of isotonic solution. Blood samples were centrifuged at 10000 rcf for 5 min. Plasma was withdrawn and kept frozen at -20 ⁰C until sCT assay by ELISA kit (S1155, Bachem, U.K.). </w:t>
      </w:r>
    </w:p>
    <w:p w14:paraId="0A485D33" w14:textId="6D9645ED" w:rsidR="00174C0B" w:rsidRDefault="00A9250F" w:rsidP="00AB3717">
      <w:pPr>
        <w:spacing w:line="360" w:lineRule="auto"/>
        <w:jc w:val="both"/>
        <w:rPr>
          <w:rFonts w:eastAsia="Arial Unicode MS" w:cstheme="minorHAnsi"/>
        </w:rPr>
      </w:pPr>
      <w:r w:rsidRPr="00F34AEE">
        <w:rPr>
          <w:rFonts w:eastAsia="Arial Unicode MS" w:cstheme="minorHAnsi"/>
        </w:rPr>
        <w:t>Pharmacokinetic parameters were determined for each individual rat using a non-compartmental model.</w:t>
      </w:r>
      <w:r w:rsidR="006615A6">
        <w:rPr>
          <w:rFonts w:eastAsia="Arial Unicode MS" w:cstheme="minorHAnsi"/>
        </w:rPr>
        <w:t xml:space="preserve"> </w:t>
      </w:r>
      <w:r w:rsidRPr="00F34AEE">
        <w:rPr>
          <w:rFonts w:eastAsia="Arial Unicode MS" w:cstheme="minorHAnsi"/>
        </w:rPr>
        <w:t xml:space="preserve">In </w:t>
      </w:r>
      <w:r w:rsidR="006615A6">
        <w:rPr>
          <w:rFonts w:eastAsia="Arial Unicode MS" w:cstheme="minorHAnsi"/>
        </w:rPr>
        <w:t>this model</w:t>
      </w:r>
      <w:r w:rsidRPr="00F34AEE">
        <w:rPr>
          <w:rFonts w:eastAsia="Arial Unicode MS" w:cstheme="minorHAnsi"/>
        </w:rPr>
        <w:t xml:space="preserve"> the change of drug concentration over time is usually regarded as a statistical distribution curve, for which the first two moments (zero and first) are defined as the area under the curve (AUC) and as mean residence time (MRT), a mean time interval during which a drug molecule resides in the body before being excreted</w:t>
      </w:r>
      <w:r w:rsidR="00174C0B">
        <w:rPr>
          <w:rFonts w:eastAsia="Arial Unicode MS" w:cstheme="minorHAnsi"/>
        </w:rPr>
        <w:t xml:space="preserve"> </w:t>
      </w:r>
      <w:r w:rsidRPr="00F34AEE">
        <w:rPr>
          <w:rFonts w:eastAsia="Arial Unicode MS" w:cstheme="minorHAnsi"/>
        </w:rPr>
        <w:t>(</w:t>
      </w:r>
      <w:r w:rsidRPr="00FE6B27">
        <w:rPr>
          <w:rFonts w:eastAsia="Arial Unicode MS" w:cstheme="minorHAnsi"/>
        </w:rPr>
        <w:t>Gabrielsson and Weiner, 2000</w:t>
      </w:r>
      <w:r w:rsidR="00FE6B27" w:rsidRPr="00FE6B27">
        <w:rPr>
          <w:rFonts w:eastAsia="Arial Unicode MS" w:cstheme="minorHAnsi"/>
        </w:rPr>
        <w:t>;</w:t>
      </w:r>
      <w:r w:rsidR="00FE6B27">
        <w:rPr>
          <w:rFonts w:eastAsia="Arial Unicode MS" w:cstheme="minorHAnsi"/>
          <w:color w:val="FF0000"/>
        </w:rPr>
        <w:t xml:space="preserve"> </w:t>
      </w:r>
      <w:r w:rsidR="00177CBD">
        <w:rPr>
          <w:rFonts w:eastAsia="Arial Unicode MS" w:cstheme="minorHAnsi"/>
        </w:rPr>
        <w:fldChar w:fldCharType="begin" w:fldLock="1"/>
      </w:r>
      <w:r w:rsidR="009869DD">
        <w:rPr>
          <w:rFonts w:eastAsia="Arial Unicode MS" w:cstheme="minorHAnsi"/>
        </w:rPr>
        <w:instrText>ADDIN CSL_CITATION { "citationItems" : [ { "id" : "ITEM-1", "itemData" : { "DOI" : "10.1016/j.addr.2007.08.023", "ISSN" : "0169-409X", "PMID" : "17900750", "abstract" : "Over recent years the research focus within the field of respiratory drug delivery has broadened to include a wide range of potential applications for inhalation by delivering drugs not just onto the lung mucosa but across it. The range of drugs being assessed is broad and includes both current and novel therapies and there are a growing number of additives that appear capable of enhancing systemic absorption. Comprehensive characterisation of drug delivery to the lungs is a complex task involving the determination of delivered, deposited and (for systemically-targeted drugs) absorbed dose. As it is difficult to simulate in vitro, in vivo whole animal models are still key to inhaled drug development. Because of the anatomical complexities and interspecies differences in the lungs, the appropriate choice of species and drug delivery method is vital during study design. New delivery devices designed specifically for animal studies as well as more sophisticated methods to determine drug deposition and absorption after inhalation are improving the information derived from these studies.", "author" : [ { "dropping-particle" : "", "family" : "Cryan", "given" : "Sally-Ann", "non-dropping-particle" : "", "parse-names" : false, "suffix" : "" }, { "dropping-particle" : "", "family" : "Sivadas", "given" : "Neeraj", "non-dropping-particle" : "", "parse-names" : false, "suffix" : "" }, { "dropping-particle" : "", "family" : "Garcia-Contreras", "given" : "Lucila", "non-dropping-particle" : "", "parse-names" : false, "suffix" : "" } ], "container-title" : "Advanced drug delivery reviews", "id" : "ITEM-1", "issue" : "11", "issued" : { "date-parts" : [ [ "2007", "9", "30" ] ] }, "page" : "1133-51", "title" : "In vivo animal models for drug delivery across the lung mucosal barrier.", "type" : "article-journal", "volume" : "59" }, "uris" : [ "http://www.mendeley.com/documents/?uuid=f140c1bd-472a-449b-b731-d3afe9ce620b" ] } ], "mendeley" : { "manualFormatting" : "Cryan et al. 2007)", "previouslyFormattedCitation" : "(Cryan et al. 2007)" }, "properties" : { "noteIndex" : 0 }, "schema" : "https://github.com/citation-style-language/schema/raw/master/csl-citation.json" }</w:instrText>
      </w:r>
      <w:r w:rsidR="00177CBD">
        <w:rPr>
          <w:rFonts w:eastAsia="Arial Unicode MS" w:cstheme="minorHAnsi"/>
        </w:rPr>
        <w:fldChar w:fldCharType="separate"/>
      </w:r>
      <w:r w:rsidR="00174C0B" w:rsidRPr="00174C0B">
        <w:rPr>
          <w:rFonts w:eastAsia="Arial Unicode MS" w:cstheme="minorHAnsi"/>
          <w:noProof/>
        </w:rPr>
        <w:t>Cryan et al. 2007)</w:t>
      </w:r>
      <w:r w:rsidR="00177CBD">
        <w:rPr>
          <w:rFonts w:eastAsia="Arial Unicode MS" w:cstheme="minorHAnsi"/>
        </w:rPr>
        <w:fldChar w:fldCharType="end"/>
      </w:r>
      <w:r w:rsidRPr="00F34AEE">
        <w:rPr>
          <w:rFonts w:eastAsia="Arial Unicode MS" w:cstheme="minorHAnsi"/>
        </w:rPr>
        <w:t>. AUC can be calculated by the linear trapezoidal method and MRT as follows:</w:t>
      </w:r>
    </w:p>
    <w:p w14:paraId="152C1385" w14:textId="77777777" w:rsidR="00174C0B" w:rsidRDefault="007876BA" w:rsidP="00AB3717">
      <w:pPr>
        <w:spacing w:line="360" w:lineRule="auto"/>
        <w:jc w:val="both"/>
        <w:rPr>
          <w:rFonts w:eastAsia="Arial Unicode MS" w:cstheme="minorHAnsi"/>
        </w:rPr>
      </w:pPr>
      <w:r>
        <w:rPr>
          <w:rFonts w:eastAsia="Arial Unicode MS" w:cstheme="minorHAnsi"/>
        </w:rPr>
        <w:t xml:space="preserve"> </w:t>
      </w:r>
      <m:oMath>
        <m:r>
          <w:rPr>
            <w:rFonts w:ascii="Cambria Math" w:eastAsia="Arial Unicode MS" w:hAnsi="Cambria Math" w:cstheme="minorHAnsi"/>
          </w:rPr>
          <m:t>MRT=</m:t>
        </m:r>
        <m:f>
          <m:fPr>
            <m:ctrlPr>
              <w:rPr>
                <w:rFonts w:ascii="Cambria Math" w:eastAsia="Arial Unicode MS" w:hAnsi="Cambria Math" w:cstheme="minorHAnsi"/>
                <w:i/>
              </w:rPr>
            </m:ctrlPr>
          </m:fPr>
          <m:num>
            <m:sSubSup>
              <m:sSubSupPr>
                <m:ctrlPr>
                  <w:rPr>
                    <w:rFonts w:ascii="Cambria Math" w:eastAsia="Arial Unicode MS" w:hAnsi="Cambria Math" w:cstheme="minorHAnsi"/>
                    <w:i/>
                  </w:rPr>
                </m:ctrlPr>
              </m:sSubSupPr>
              <m:e>
                <m:r>
                  <w:rPr>
                    <w:rFonts w:ascii="Cambria Math" w:eastAsia="Arial Unicode MS" w:hAnsi="Cambria Math" w:cstheme="minorHAnsi"/>
                  </w:rPr>
                  <m:t>AUMC</m:t>
                </m:r>
              </m:e>
              <m:sub>
                <m:r>
                  <w:rPr>
                    <w:rFonts w:ascii="Cambria Math" w:eastAsia="Arial Unicode MS" w:hAnsi="Cambria Math" w:cstheme="minorHAnsi"/>
                  </w:rPr>
                  <m:t>0</m:t>
                </m:r>
              </m:sub>
              <m:sup>
                <m:r>
                  <w:rPr>
                    <w:rFonts w:ascii="Cambria Math" w:eastAsia="Arial Unicode MS" w:hAnsi="Cambria Math" w:cstheme="minorHAnsi"/>
                  </w:rPr>
                  <m:t>∞</m:t>
                </m:r>
              </m:sup>
            </m:sSubSup>
          </m:num>
          <m:den>
            <m:sSubSup>
              <m:sSubSupPr>
                <m:ctrlPr>
                  <w:rPr>
                    <w:rFonts w:ascii="Cambria Math" w:eastAsia="Arial Unicode MS" w:hAnsi="Cambria Math" w:cstheme="minorHAnsi"/>
                    <w:i/>
                  </w:rPr>
                </m:ctrlPr>
              </m:sSubSupPr>
              <m:e>
                <m:r>
                  <w:rPr>
                    <w:rFonts w:ascii="Cambria Math" w:eastAsia="Arial Unicode MS" w:hAnsi="Cambria Math" w:cstheme="minorHAnsi"/>
                  </w:rPr>
                  <m:t>AUC</m:t>
                </m:r>
              </m:e>
              <m:sub>
                <m:r>
                  <w:rPr>
                    <w:rFonts w:ascii="Cambria Math" w:eastAsia="Arial Unicode MS" w:hAnsi="Cambria Math" w:cstheme="minorHAnsi"/>
                  </w:rPr>
                  <m:t>0</m:t>
                </m:r>
              </m:sub>
              <m:sup>
                <m:r>
                  <w:rPr>
                    <w:rFonts w:ascii="Cambria Math" w:eastAsia="Arial Unicode MS" w:hAnsi="Cambria Math" w:cstheme="minorHAnsi"/>
                  </w:rPr>
                  <m:t>∞</m:t>
                </m:r>
              </m:sup>
            </m:sSubSup>
          </m:den>
        </m:f>
      </m:oMath>
      <w:r w:rsidR="00A9250F" w:rsidRPr="00F34AEE">
        <w:rPr>
          <w:rFonts w:eastAsia="Arial Unicode MS" w:cstheme="minorHAnsi"/>
        </w:rPr>
        <w:t xml:space="preserve"> </w:t>
      </w:r>
      <w:r w:rsidR="00177CBD" w:rsidRPr="00F34AEE">
        <w:rPr>
          <w:rFonts w:eastAsia="Arial Unicode MS" w:cstheme="minorHAnsi"/>
        </w:rPr>
        <w:fldChar w:fldCharType="begin"/>
      </w:r>
      <w:r w:rsidR="00A9250F" w:rsidRPr="00F34AEE">
        <w:rPr>
          <w:rFonts w:eastAsia="Arial Unicode MS" w:cstheme="minorHAnsi"/>
        </w:rPr>
        <w:instrText xml:space="preserve"> QUOTE </w:instrText>
      </w:r>
      <w:r w:rsidR="00574A7E">
        <w:rPr>
          <w:rFonts w:eastAsia="Arial Unicode MS" w:cstheme="minorHAnsi"/>
        </w:rPr>
        <w:pict w14:anchorId="021551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26.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20&quot;/&gt;&lt;w:hyphenationZone w:val=&quot;425&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4407BA&quot;/&gt;&lt;wsp:rsid wsp:val=&quot;00002882&quot;/&gt;&lt;wsp:rsid wsp:val=&quot;00007EF1&quot;/&gt;&lt;wsp:rsid wsp:val=&quot;00010D28&quot;/&gt;&lt;wsp:rsid wsp:val=&quot;00011122&quot;/&gt;&lt;wsp:rsid wsp:val=&quot;000235E0&quot;/&gt;&lt;wsp:rsid wsp:val=&quot;00026056&quot;/&gt;&lt;wsp:rsid wsp:val=&quot;00026DA3&quot;/&gt;&lt;wsp:rsid wsp:val=&quot;000457EE&quot;/&gt;&lt;wsp:rsid wsp:val=&quot;000469BC&quot;/&gt;&lt;wsp:rsid wsp:val=&quot;000526ED&quot;/&gt;&lt;wsp:rsid wsp:val=&quot;00064E16&quot;/&gt;&lt;wsp:rsid wsp:val=&quot;00072303&quot;/&gt;&lt;wsp:rsid wsp:val=&quot;000728F9&quot;/&gt;&lt;wsp:rsid wsp:val=&quot;00084670&quot;/&gt;&lt;wsp:rsid wsp:val=&quot;00084C40&quot;/&gt;&lt;wsp:rsid wsp:val=&quot;00091E37&quot;/&gt;&lt;wsp:rsid wsp:val=&quot;000925AA&quot;/&gt;&lt;wsp:rsid wsp:val=&quot;00094F55&quot;/&gt;&lt;wsp:rsid wsp:val=&quot;000A3E03&quot;/&gt;&lt;wsp:rsid wsp:val=&quot;000B05D9&quot;/&gt;&lt;wsp:rsid wsp:val=&quot;000B3693&quot;/&gt;&lt;wsp:rsid wsp:val=&quot;000C0607&quot;/&gt;&lt;wsp:rsid wsp:val=&quot;000C15B7&quot;/&gt;&lt;wsp:rsid wsp:val=&quot;000C7114&quot;/&gt;&lt;wsp:rsid wsp:val=&quot;000D7DEC&quot;/&gt;&lt;wsp:rsid wsp:val=&quot;000E4B31&quot;/&gt;&lt;wsp:rsid wsp:val=&quot;000E718E&quot;/&gt;&lt;wsp:rsid wsp:val=&quot;000F5CCC&quot;/&gt;&lt;wsp:rsid wsp:val=&quot;000F7123&quot;/&gt;&lt;wsp:rsid wsp:val=&quot;00102740&quot;/&gt;&lt;wsp:rsid wsp:val=&quot;001061E0&quot;/&gt;&lt;wsp:rsid wsp:val=&quot;00117153&quot;/&gt;&lt;wsp:rsid wsp:val=&quot;00120D39&quot;/&gt;&lt;wsp:rsid wsp:val=&quot;001229BC&quot;/&gt;&lt;wsp:rsid wsp:val=&quot;00122EDB&quot;/&gt;&lt;wsp:rsid wsp:val=&quot;00123C59&quot;/&gt;&lt;wsp:rsid wsp:val=&quot;00126A11&quot;/&gt;&lt;wsp:rsid wsp:val=&quot;001357AA&quot;/&gt;&lt;wsp:rsid wsp:val=&quot;00144C88&quot;/&gt;&lt;wsp:rsid wsp:val=&quot;00163C08&quot;/&gt;&lt;wsp:rsid wsp:val=&quot;0017761A&quot;/&gt;&lt;wsp:rsid wsp:val=&quot;00186453&quot;/&gt;&lt;wsp:rsid wsp:val=&quot;001878D0&quot;/&gt;&lt;wsp:rsid wsp:val=&quot;00190F7A&quot;/&gt;&lt;wsp:rsid wsp:val=&quot;001949A6&quot;/&gt;&lt;wsp:rsid wsp:val=&quot;0019548B&quot;/&gt;&lt;wsp:rsid wsp:val=&quot;00195AB4&quot;/&gt;&lt;wsp:rsid wsp:val=&quot;001A08DC&quot;/&gt;&lt;wsp:rsid wsp:val=&quot;001A268F&quot;/&gt;&lt;wsp:rsid wsp:val=&quot;001A4782&quot;/&gt;&lt;wsp:rsid wsp:val=&quot;001A62A6&quot;/&gt;&lt;wsp:rsid wsp:val=&quot;001C2F0E&quot;/&gt;&lt;wsp:rsid wsp:val=&quot;001C5678&quot;/&gt;&lt;wsp:rsid wsp:val=&quot;001D710A&quot;/&gt;&lt;wsp:rsid wsp:val=&quot;001E7076&quot;/&gt;&lt;wsp:rsid wsp:val=&quot;001F75C0&quot;/&gt;&lt;wsp:rsid wsp:val=&quot;00200330&quot;/&gt;&lt;wsp:rsid wsp:val=&quot;00200FC1&quot;/&gt;&lt;wsp:rsid wsp:val=&quot;0020725C&quot;/&gt;&lt;wsp:rsid wsp:val=&quot;00207B6B&quot;/&gt;&lt;wsp:rsid wsp:val=&quot;00207C27&quot;/&gt;&lt;wsp:rsid wsp:val=&quot;00210B9D&quot;/&gt;&lt;wsp:rsid wsp:val=&quot;00213F5B&quot;/&gt;&lt;wsp:rsid wsp:val=&quot;002148C9&quot;/&gt;&lt;wsp:rsid wsp:val=&quot;00216593&quot;/&gt;&lt;wsp:rsid wsp:val=&quot;00220705&quot;/&gt;&lt;wsp:rsid wsp:val=&quot;002237B9&quot;/&gt;&lt;wsp:rsid wsp:val=&quot;00224732&quot;/&gt;&lt;wsp:rsid wsp:val=&quot;00232218&quot;/&gt;&lt;wsp:rsid wsp:val=&quot;00247EB4&quot;/&gt;&lt;wsp:rsid wsp:val=&quot;00251813&quot;/&gt;&lt;wsp:rsid wsp:val=&quot;002519EF&quot;/&gt;&lt;wsp:rsid wsp:val=&quot;0025327D&quot;/&gt;&lt;wsp:rsid wsp:val=&quot;00255B1E&quot;/&gt;&lt;wsp:rsid wsp:val=&quot;00256773&quot;/&gt;&lt;wsp:rsid wsp:val=&quot;002575C6&quot;/&gt;&lt;wsp:rsid wsp:val=&quot;002670A8&quot;/&gt;&lt;wsp:rsid wsp:val=&quot;00270FEF&quot;/&gt;&lt;wsp:rsid wsp:val=&quot;00271A99&quot;/&gt;&lt;wsp:rsid wsp:val=&quot;0028289E&quot;/&gt;&lt;wsp:rsid wsp:val=&quot;00285E5D&quot;/&gt;&lt;wsp:rsid wsp:val=&quot;002902B0&quot;/&gt;&lt;wsp:rsid wsp:val=&quot;00292E3B&quot;/&gt;&lt;wsp:rsid wsp:val=&quot;002B03DB&quot;/&gt;&lt;wsp:rsid wsp:val=&quot;002B7942&quot;/&gt;&lt;wsp:rsid wsp:val=&quot;002C00A3&quot;/&gt;&lt;wsp:rsid wsp:val=&quot;002C40F0&quot;/&gt;&lt;wsp:rsid wsp:val=&quot;002C63E5&quot;/&gt;&lt;wsp:rsid wsp:val=&quot;002C6518&quot;/&gt;&lt;wsp:rsid wsp:val=&quot;002D0E75&quot;/&gt;&lt;wsp:rsid wsp:val=&quot;002D43E8&quot;/&gt;&lt;wsp:rsid wsp:val=&quot;002D457D&quot;/&gt;&lt;wsp:rsid wsp:val=&quot;002D5351&quot;/&gt;&lt;wsp:rsid wsp:val=&quot;002E675D&quot;/&gt;&lt;wsp:rsid wsp:val=&quot;002E707A&quot;/&gt;&lt;wsp:rsid wsp:val=&quot;002F1C8A&quot;/&gt;&lt;wsp:rsid wsp:val=&quot;002F400E&quot;/&gt;&lt;wsp:rsid wsp:val=&quot;002F458E&quot;/&gt;&lt;wsp:rsid wsp:val=&quot;002F7124&quot;/&gt;&lt;wsp:rsid wsp:val=&quot;00301BEA&quot;/&gt;&lt;wsp:rsid wsp:val=&quot;003104D0&quot;/&gt;&lt;wsp:rsid wsp:val=&quot;003109C9&quot;/&gt;&lt;wsp:rsid wsp:val=&quot;00316402&quot;/&gt;&lt;wsp:rsid wsp:val=&quot;00331080&quot;/&gt;&lt;wsp:rsid wsp:val=&quot;00352FEB&quot;/&gt;&lt;wsp:rsid wsp:val=&quot;003538C4&quot;/&gt;&lt;wsp:rsid wsp:val=&quot;00355C29&quot;/&gt;&lt;wsp:rsid wsp:val=&quot;00372F74&quot;/&gt;&lt;wsp:rsid wsp:val=&quot;00376A3E&quot;/&gt;&lt;wsp:rsid wsp:val=&quot;0039030D&quot;/&gt;&lt;wsp:rsid wsp:val=&quot;00391176&quot;/&gt;&lt;wsp:rsid wsp:val=&quot;003A02E8&quot;/&gt;&lt;wsp:rsid wsp:val=&quot;003A2E9F&quot;/&gt;&lt;wsp:rsid wsp:val=&quot;003B037C&quot;/&gt;&lt;wsp:rsid wsp:val=&quot;003B19B9&quot;/&gt;&lt;wsp:rsid wsp:val=&quot;003B2E75&quot;/&gt;&lt;wsp:rsid wsp:val=&quot;003B52DF&quot;/&gt;&lt;wsp:rsid wsp:val=&quot;003B6719&quot;/&gt;&lt;wsp:rsid wsp:val=&quot;003C1AE9&quot;/&gt;&lt;wsp:rsid wsp:val=&quot;003C77B5&quot;/&gt;&lt;wsp:rsid wsp:val=&quot;003D0ECB&quot;/&gt;&lt;wsp:rsid wsp:val=&quot;003D180A&quot;/&gt;&lt;wsp:rsid wsp:val=&quot;003D28A0&quot;/&gt;&lt;wsp:rsid wsp:val=&quot;003E1681&quot;/&gt;&lt;wsp:rsid wsp:val=&quot;003E4E10&quot;/&gt;&lt;wsp:rsid wsp:val=&quot;0040208D&quot;/&gt;&lt;wsp:rsid wsp:val=&quot;00410014&quot;/&gt;&lt;wsp:rsid wsp:val=&quot;00424CF0&quot;/&gt;&lt;wsp:rsid wsp:val=&quot;004407BA&quot;/&gt;&lt;wsp:rsid wsp:val=&quot;00441930&quot;/&gt;&lt;wsp:rsid wsp:val=&quot;0044464B&quot;/&gt;&lt;wsp:rsid wsp:val=&quot;00452064&quot;/&gt;&lt;wsp:rsid wsp:val=&quot;00457A87&quot;/&gt;&lt;wsp:rsid wsp:val=&quot;00464326&quot;/&gt;&lt;wsp:rsid wsp:val=&quot;00484C0F&quot;/&gt;&lt;wsp:rsid wsp:val=&quot;00492AAE&quot;/&gt;&lt;wsp:rsid wsp:val=&quot;00492FE8&quot;/&gt;&lt;wsp:rsid wsp:val=&quot;004A41CF&quot;/&gt;&lt;wsp:rsid wsp:val=&quot;004C29B1&quot;/&gt;&lt;wsp:rsid wsp:val=&quot;004D39BB&quot;/&gt;&lt;wsp:rsid wsp:val=&quot;004D7958&quot;/&gt;&lt;wsp:rsid wsp:val=&quot;004E7F00&quot;/&gt;&lt;wsp:rsid wsp:val=&quot;00520A92&quot;/&gt;&lt;wsp:rsid wsp:val=&quot;0052252E&quot;/&gt;&lt;wsp:rsid wsp:val=&quot;005245BE&quot;/&gt;&lt;wsp:rsid wsp:val=&quot;00537D27&quot;/&gt;&lt;wsp:rsid wsp:val=&quot;005404FB&quot;/&gt;&lt;wsp:rsid wsp:val=&quot;00541D9E&quot;/&gt;&lt;wsp:rsid wsp:val=&quot;0054264B&quot;/&gt;&lt;wsp:rsid wsp:val=&quot;00556345&quot;/&gt;&lt;wsp:rsid wsp:val=&quot;00556ABA&quot;/&gt;&lt;wsp:rsid wsp:val=&quot;005713D6&quot;/&gt;&lt;wsp:rsid wsp:val=&quot;005760C2&quot;/&gt;&lt;wsp:rsid wsp:val=&quot;005856EE&quot;/&gt;&lt;wsp:rsid wsp:val=&quot;005856EF&quot;/&gt;&lt;wsp:rsid wsp:val=&quot;00585CA3&quot;/&gt;&lt;wsp:rsid wsp:val=&quot;00585F6B&quot;/&gt;&lt;wsp:rsid wsp:val=&quot;00587C67&quot;/&gt;&lt;wsp:rsid wsp:val=&quot;005915B1&quot;/&gt;&lt;wsp:rsid wsp:val=&quot;00593638&quot;/&gt;&lt;wsp:rsid wsp:val=&quot;005938BD&quot;/&gt;&lt;wsp:rsid wsp:val=&quot;005A2377&quot;/&gt;&lt;wsp:rsid wsp:val=&quot;005A58FE&quot;/&gt;&lt;wsp:rsid wsp:val=&quot;005B2987&quot;/&gt;&lt;wsp:rsid wsp:val=&quot;005C3E66&quot;/&gt;&lt;wsp:rsid wsp:val=&quot;005C79AA&quot;/&gt;&lt;wsp:rsid wsp:val=&quot;005D1CA4&quot;/&gt;&lt;wsp:rsid wsp:val=&quot;005D32DF&quot;/&gt;&lt;wsp:rsid wsp:val=&quot;005D63FF&quot;/&gt;&lt;wsp:rsid wsp:val=&quot;005D7925&quot;/&gt;&lt;wsp:rsid wsp:val=&quot;005E53BB&quot;/&gt;&lt;wsp:rsid wsp:val=&quot;005E614A&quot;/&gt;&lt;wsp:rsid wsp:val=&quot;005F1EC4&quot;/&gt;&lt;wsp:rsid wsp:val=&quot;005F7847&quot;/&gt;&lt;wsp:rsid wsp:val=&quot;006009FB&quot;/&gt;&lt;wsp:rsid wsp:val=&quot;006015D3&quot;/&gt;&lt;wsp:rsid wsp:val=&quot;006134ED&quot;/&gt;&lt;wsp:rsid wsp:val=&quot;00615EAC&quot;/&gt;&lt;wsp:rsid wsp:val=&quot;0061628B&quot;/&gt;&lt;wsp:rsid wsp:val=&quot;006211D6&quot;/&gt;&lt;wsp:rsid wsp:val=&quot;00624E6F&quot;/&gt;&lt;wsp:rsid wsp:val=&quot;006351D0&quot;/&gt;&lt;wsp:rsid wsp:val=&quot;00641238&quot;/&gt;&lt;wsp:rsid wsp:val=&quot;00644518&quot;/&gt;&lt;wsp:rsid wsp:val=&quot;00646F38&quot;/&gt;&lt;wsp:rsid wsp:val=&quot;00655CA6&quot;/&gt;&lt;wsp:rsid wsp:val=&quot;00665FE8&quot;/&gt;&lt;wsp:rsid wsp:val=&quot;00673EFD&quot;/&gt;&lt;wsp:rsid wsp:val=&quot;00685358&quot;/&gt;&lt;wsp:rsid wsp:val=&quot;0068699D&quot;/&gt;&lt;wsp:rsid wsp:val=&quot;0068733F&quot;/&gt;&lt;wsp:rsid wsp:val=&quot;006A665B&quot;/&gt;&lt;wsp:rsid wsp:val=&quot;006A6FCA&quot;/&gt;&lt;wsp:rsid wsp:val=&quot;006B5B2F&quot;/&gt;&lt;wsp:rsid wsp:val=&quot;006B6809&quot;/&gt;&lt;wsp:rsid wsp:val=&quot;006C1137&quot;/&gt;&lt;wsp:rsid wsp:val=&quot;006D00BE&quot;/&gt;&lt;wsp:rsid wsp:val=&quot;006D051A&quot;/&gt;&lt;wsp:rsid wsp:val=&quot;006D6130&quot;/&gt;&lt;wsp:rsid wsp:val=&quot;006E710C&quot;/&gt;&lt;wsp:rsid wsp:val=&quot;006E71B9&quot;/&gt;&lt;wsp:rsid wsp:val=&quot;0070309A&quot;/&gt;&lt;wsp:rsid wsp:val=&quot;007042E1&quot;/&gt;&lt;wsp:rsid wsp:val=&quot;0070482C&quot;/&gt;&lt;wsp:rsid wsp:val=&quot;00705F34&quot;/&gt;&lt;wsp:rsid wsp:val=&quot;00721EEE&quot;/&gt;&lt;wsp:rsid wsp:val=&quot;00725A12&quot;/&gt;&lt;wsp:rsid wsp:val=&quot;00727C23&quot;/&gt;&lt;wsp:rsid wsp:val=&quot;00735CE3&quot;/&gt;&lt;wsp:rsid wsp:val=&quot;007404CC&quot;/&gt;&lt;wsp:rsid wsp:val=&quot;00742FD6&quot;/&gt;&lt;wsp:rsid wsp:val=&quot;00744358&quot;/&gt;&lt;wsp:rsid wsp:val=&quot;007531C5&quot;/&gt;&lt;wsp:rsid wsp:val=&quot;00757167&quot;/&gt;&lt;wsp:rsid wsp:val=&quot;00761BAE&quot;/&gt;&lt;wsp:rsid wsp:val=&quot;00762307&quot;/&gt;&lt;wsp:rsid wsp:val=&quot;00763528&quot;/&gt;&lt;wsp:rsid wsp:val=&quot;0076700E&quot;/&gt;&lt;wsp:rsid wsp:val=&quot;007709EF&quot;/&gt;&lt;wsp:rsid wsp:val=&quot;0077640B&quot;/&gt;&lt;wsp:rsid wsp:val=&quot;00780147&quot;/&gt;&lt;wsp:rsid wsp:val=&quot;007924C9&quot;/&gt;&lt;wsp:rsid wsp:val=&quot;007924CA&quot;/&gt;&lt;wsp:rsid wsp:val=&quot;0079665C&quot;/&gt;&lt;wsp:rsid wsp:val=&quot;007A2236&quot;/&gt;&lt;wsp:rsid wsp:val=&quot;007B1E5D&quot;/&gt;&lt;wsp:rsid wsp:val=&quot;007B35B5&quot;/&gt;&lt;wsp:rsid wsp:val=&quot;007B5E49&quot;/&gt;&lt;wsp:rsid wsp:val=&quot;007B7816&quot;/&gt;&lt;wsp:rsid wsp:val=&quot;007B7C2D&quot;/&gt;&lt;wsp:rsid wsp:val=&quot;007E17DB&quot;/&gt;&lt;wsp:rsid wsp:val=&quot;007E1D6D&quot;/&gt;&lt;wsp:rsid wsp:val=&quot;007E378A&quot;/&gt;&lt;wsp:rsid wsp:val=&quot;007E4940&quot;/&gt;&lt;wsp:rsid wsp:val=&quot;007E5A49&quot;/&gt;&lt;wsp:rsid wsp:val=&quot;00807232&quot;/&gt;&lt;wsp:rsid wsp:val=&quot;008108CB&quot;/&gt;&lt;wsp:rsid wsp:val=&quot;00811330&quot;/&gt;&lt;wsp:rsid wsp:val=&quot;00816E4E&quot;/&gt;&lt;wsp:rsid wsp:val=&quot;00817423&quot;/&gt;&lt;wsp:rsid wsp:val=&quot;0082184C&quot;/&gt;&lt;wsp:rsid wsp:val=&quot;008247CA&quot;/&gt;&lt;wsp:rsid wsp:val=&quot;0082506A&quot;/&gt;&lt;wsp:rsid wsp:val=&quot;008337B3&quot;/&gt;&lt;wsp:rsid wsp:val=&quot;00834B3F&quot;/&gt;&lt;wsp:rsid wsp:val=&quot;00844DF3&quot;/&gt;&lt;wsp:rsid wsp:val=&quot;00846FB9&quot;/&gt;&lt;wsp:rsid wsp:val=&quot;008525F9&quot;/&gt;&lt;wsp:rsid wsp:val=&quot;00855AD0&quot;/&gt;&lt;wsp:rsid wsp:val=&quot;00856CF3&quot;/&gt;&lt;wsp:rsid wsp:val=&quot;00856F54&quot;/&gt;&lt;wsp:rsid wsp:val=&quot;008617D4&quot;/&gt;&lt;wsp:rsid wsp:val=&quot;008643C6&quot;/&gt;&lt;wsp:rsid wsp:val=&quot;0086494F&quot;/&gt;&lt;wsp:rsid wsp:val=&quot;008665EF&quot;/&gt;&lt;wsp:rsid wsp:val=&quot;008700B6&quot;/&gt;&lt;wsp:rsid wsp:val=&quot;00873D28&quot;/&gt;&lt;wsp:rsid wsp:val=&quot;0087624F&quot;/&gt;&lt;wsp:rsid wsp:val=&quot;008803C5&quot;/&gt;&lt;wsp:rsid wsp:val=&quot;008840D7&quot;/&gt;&lt;wsp:rsid wsp:val=&quot;0088511A&quot;/&gt;&lt;wsp:rsid wsp:val=&quot;00890F91&quot;/&gt;&lt;wsp:rsid wsp:val=&quot;008C46C0&quot;/&gt;&lt;wsp:rsid wsp:val=&quot;008C6763&quot;/&gt;&lt;wsp:rsid wsp:val=&quot;008D1125&quot;/&gt;&lt;wsp:rsid wsp:val=&quot;008D2553&quot;/&gt;&lt;wsp:rsid wsp:val=&quot;008D40E3&quot;/&gt;&lt;wsp:rsid wsp:val=&quot;008D6420&quot;/&gt;&lt;wsp:rsid wsp:val=&quot;008D6718&quot;/&gt;&lt;wsp:rsid wsp:val=&quot;008F0103&quot;/&gt;&lt;wsp:rsid wsp:val=&quot;008F13F1&quot;/&gt;&lt;wsp:rsid wsp:val=&quot;008F4630&quot;/&gt;&lt;wsp:rsid wsp:val=&quot;00902787&quot;/&gt;&lt;wsp:rsid wsp:val=&quot;00904F32&quot;/&gt;&lt;wsp:rsid wsp:val=&quot;009053DF&quot;/&gt;&lt;wsp:rsid wsp:val=&quot;009068BD&quot;/&gt;&lt;wsp:rsid wsp:val=&quot;00913AFE&quot;/&gt;&lt;wsp:rsid wsp:val=&quot;00914741&quot;/&gt;&lt;wsp:rsid wsp:val=&quot;009166C7&quot;/&gt;&lt;wsp:rsid wsp:val=&quot;00917E99&quot;/&gt;&lt;wsp:rsid wsp:val=&quot;0092422E&quot;/&gt;&lt;wsp:rsid wsp:val=&quot;00930207&quot;/&gt;&lt;wsp:rsid wsp:val=&quot;00941097&quot;/&gt;&lt;wsp:rsid wsp:val=&quot;00957197&quot;/&gt;&lt;wsp:rsid wsp:val=&quot;00960535&quot;/&gt;&lt;wsp:rsid wsp:val=&quot;00966D0D&quot;/&gt;&lt;wsp:rsid wsp:val=&quot;00970F29&quot;/&gt;&lt;wsp:rsid wsp:val=&quot;009754EE&quot;/&gt;&lt;wsp:rsid wsp:val=&quot;0097565D&quot;/&gt;&lt;wsp:rsid wsp:val=&quot;00983B81&quot;/&gt;&lt;wsp:rsid wsp:val=&quot;009869F4&quot;/&gt;&lt;wsp:rsid wsp:val=&quot;009A004A&quot;/&gt;&lt;wsp:rsid wsp:val=&quot;009A1C9F&quot;/&gt;&lt;wsp:rsid wsp:val=&quot;009A29FF&quot;/&gt;&lt;wsp:rsid wsp:val=&quot;009A3C38&quot;/&gt;&lt;wsp:rsid wsp:val=&quot;009B6A57&quot;/&gt;&lt;wsp:rsid wsp:val=&quot;009C485A&quot;/&gt;&lt;wsp:rsid wsp:val=&quot;009C4D3B&quot;/&gt;&lt;wsp:rsid wsp:val=&quot;009C6160&quot;/&gt;&lt;wsp:rsid wsp:val=&quot;009D1BC9&quot;/&gt;&lt;wsp:rsid wsp:val=&quot;009D1E1C&quot;/&gt;&lt;wsp:rsid wsp:val=&quot;009D3442&quot;/&gt;&lt;wsp:rsid wsp:val=&quot;009D3755&quot;/&gt;&lt;wsp:rsid wsp:val=&quot;009D47E4&quot;/&gt;&lt;wsp:rsid wsp:val=&quot;009E5E72&quot;/&gt;&lt;wsp:rsid wsp:val=&quot;009F62BF&quot;/&gt;&lt;wsp:rsid wsp:val=&quot;00A06438&quot;/&gt;&lt;wsp:rsid wsp:val=&quot;00A14745&quot;/&gt;&lt;wsp:rsid wsp:val=&quot;00A15C3C&quot;/&gt;&lt;wsp:rsid wsp:val=&quot;00A23679&quot;/&gt;&lt;wsp:rsid wsp:val=&quot;00A24ECF&quot;/&gt;&lt;wsp:rsid wsp:val=&quot;00A258FD&quot;/&gt;&lt;wsp:rsid wsp:val=&quot;00A26589&quot;/&gt;&lt;wsp:rsid wsp:val=&quot;00A41753&quot;/&gt;&lt;wsp:rsid wsp:val=&quot;00A46F93&quot;/&gt;&lt;wsp:rsid wsp:val=&quot;00A622B6&quot;/&gt;&lt;wsp:rsid wsp:val=&quot;00A63DDC&quot;/&gt;&lt;wsp:rsid wsp:val=&quot;00A6597D&quot;/&gt;&lt;wsp:rsid wsp:val=&quot;00A66394&quot;/&gt;&lt;wsp:rsid wsp:val=&quot;00A756D6&quot;/&gt;&lt;wsp:rsid wsp:val=&quot;00A81CC8&quot;/&gt;&lt;wsp:rsid wsp:val=&quot;00A8362E&quot;/&gt;&lt;wsp:rsid wsp:val=&quot;00A85661&quot;/&gt;&lt;wsp:rsid wsp:val=&quot;00A930CD&quot;/&gt;&lt;wsp:rsid wsp:val=&quot;00A9391D&quot;/&gt;&lt;wsp:rsid wsp:val=&quot;00A94822&quot;/&gt;&lt;wsp:rsid wsp:val=&quot;00AA1220&quot;/&gt;&lt;wsp:rsid wsp:val=&quot;00AB058C&quot;/&gt;&lt;wsp:rsid wsp:val=&quot;00AB3056&quot;/&gt;&lt;wsp:rsid wsp:val=&quot;00AB6D11&quot;/&gt;&lt;wsp:rsid wsp:val=&quot;00AC072C&quot;/&gt;&lt;wsp:rsid wsp:val=&quot;00AC2376&quot;/&gt;&lt;wsp:rsid wsp:val=&quot;00AC2651&quot;/&gt;&lt;wsp:rsid wsp:val=&quot;00AC57FB&quot;/&gt;&lt;wsp:rsid wsp:val=&quot;00AD1574&quot;/&gt;&lt;wsp:rsid wsp:val=&quot;00AD28C5&quot;/&gt;&lt;wsp:rsid wsp:val=&quot;00AE17FA&quot;/&gt;&lt;wsp:rsid wsp:val=&quot;00AE4C8C&quot;/&gt;&lt;wsp:rsid wsp:val=&quot;00AF39C1&quot;/&gt;&lt;wsp:rsid wsp:val=&quot;00AF45E7&quot;/&gt;&lt;wsp:rsid wsp:val=&quot;00AF6F6F&quot;/&gt;&lt;wsp:rsid wsp:val=&quot;00B0568A&quot;/&gt;&lt;wsp:rsid wsp:val=&quot;00B07A07&quot;/&gt;&lt;wsp:rsid wsp:val=&quot;00B1392C&quot;/&gt;&lt;wsp:rsid wsp:val=&quot;00B23796&quot;/&gt;&lt;wsp:rsid wsp:val=&quot;00B3215A&quot;/&gt;&lt;wsp:rsid wsp:val=&quot;00B361CE&quot;/&gt;&lt;wsp:rsid wsp:val=&quot;00B414DF&quot;/&gt;&lt;wsp:rsid wsp:val=&quot;00B4222B&quot;/&gt;&lt;wsp:rsid wsp:val=&quot;00B46146&quot;/&gt;&lt;wsp:rsid wsp:val=&quot;00B56F4E&quot;/&gt;&lt;wsp:rsid wsp:val=&quot;00B74035&quot;/&gt;&lt;wsp:rsid wsp:val=&quot;00B94EDE&quot;/&gt;&lt;wsp:rsid wsp:val=&quot;00BA3757&quot;/&gt;&lt;wsp:rsid wsp:val=&quot;00BA6413&quot;/&gt;&lt;wsp:rsid wsp:val=&quot;00BB28EA&quot;/&gt;&lt;wsp:rsid wsp:val=&quot;00BC0B22&quot;/&gt;&lt;wsp:rsid wsp:val=&quot;00BC1CFB&quot;/&gt;&lt;wsp:rsid wsp:val=&quot;00BC70A1&quot;/&gt;&lt;wsp:rsid wsp:val=&quot;00BD11FC&quot;/&gt;&lt;wsp:rsid wsp:val=&quot;00BD604F&quot;/&gt;&lt;wsp:rsid wsp:val=&quot;00BE16F5&quot;/&gt;&lt;wsp:rsid wsp:val=&quot;00BE21DA&quot;/&gt;&lt;wsp:rsid wsp:val=&quot;00C04004&quot;/&gt;&lt;wsp:rsid wsp:val=&quot;00C11675&quot;/&gt;&lt;wsp:rsid wsp:val=&quot;00C3251B&quot;/&gt;&lt;wsp:rsid wsp:val=&quot;00C3735D&quot;/&gt;&lt;wsp:rsid wsp:val=&quot;00C4354A&quot;/&gt;&lt;wsp:rsid wsp:val=&quot;00C4696A&quot;/&gt;&lt;wsp:rsid wsp:val=&quot;00C50AB3&quot;/&gt;&lt;wsp:rsid wsp:val=&quot;00C56CD4&quot;/&gt;&lt;wsp:rsid wsp:val=&quot;00C623F0&quot;/&gt;&lt;wsp:rsid wsp:val=&quot;00C63D50&quot;/&gt;&lt;wsp:rsid wsp:val=&quot;00C71B3F&quot;/&gt;&lt;wsp:rsid wsp:val=&quot;00C75FA2&quot;/&gt;&lt;wsp:rsid wsp:val=&quot;00C768EC&quot;/&gt;&lt;wsp:rsid wsp:val=&quot;00C82DD8&quot;/&gt;&lt;wsp:rsid wsp:val=&quot;00C879E2&quot;/&gt;&lt;wsp:rsid wsp:val=&quot;00C91908&quot;/&gt;&lt;wsp:rsid wsp:val=&quot;00C927F6&quot;/&gt;&lt;wsp:rsid wsp:val=&quot;00C95360&quot;/&gt;&lt;wsp:rsid wsp:val=&quot;00C96386&quot;/&gt;&lt;wsp:rsid wsp:val=&quot;00C969F3&quot;/&gt;&lt;wsp:rsid wsp:val=&quot;00CA2A7B&quot;/&gt;&lt;wsp:rsid wsp:val=&quot;00CA327C&quot;/&gt;&lt;wsp:rsid wsp:val=&quot;00CB03AE&quot;/&gt;&lt;wsp:rsid wsp:val=&quot;00CB182B&quot;/&gt;&lt;wsp:rsid wsp:val=&quot;00CB20E4&quot;/&gt;&lt;wsp:rsid wsp:val=&quot;00CB406D&quot;/&gt;&lt;wsp:rsid wsp:val=&quot;00CB760D&quot;/&gt;&lt;wsp:rsid wsp:val=&quot;00CC45D3&quot;/&gt;&lt;wsp:rsid wsp:val=&quot;00CC5C66&quot;/&gt;&lt;wsp:rsid wsp:val=&quot;00CD2606&quot;/&gt;&lt;wsp:rsid wsp:val=&quot;00CD4F2A&quot;/&gt;&lt;wsp:rsid wsp:val=&quot;00CE28C9&quot;/&gt;&lt;wsp:rsid wsp:val=&quot;00CE5040&quot;/&gt;&lt;wsp:rsid wsp:val=&quot;00CE63EF&quot;/&gt;&lt;wsp:rsid wsp:val=&quot;00CF5B70&quot;/&gt;&lt;wsp:rsid wsp:val=&quot;00D029DF&quot;/&gt;&lt;wsp:rsid wsp:val=&quot;00D069F3&quot;/&gt;&lt;wsp:rsid wsp:val=&quot;00D1248D&quot;/&gt;&lt;wsp:rsid wsp:val=&quot;00D20848&quot;/&gt;&lt;wsp:rsid wsp:val=&quot;00D23031&quot;/&gt;&lt;wsp:rsid wsp:val=&quot;00D3331B&quot;/&gt;&lt;wsp:rsid wsp:val=&quot;00D3538B&quot;/&gt;&lt;wsp:rsid wsp:val=&quot;00D36E1C&quot;/&gt;&lt;wsp:rsid wsp:val=&quot;00D409A4&quot;/&gt;&lt;wsp:rsid wsp:val=&quot;00D42286&quot;/&gt;&lt;wsp:rsid wsp:val=&quot;00D44B12&quot;/&gt;&lt;wsp:rsid wsp:val=&quot;00D46736&quot;/&gt;&lt;wsp:rsid wsp:val=&quot;00D53118&quot;/&gt;&lt;wsp:rsid wsp:val=&quot;00D56791&quot;/&gt;&lt;wsp:rsid wsp:val=&quot;00D5682C&quot;/&gt;&lt;wsp:rsid wsp:val=&quot;00D57A52&quot;/&gt;&lt;wsp:rsid wsp:val=&quot;00D57F4D&quot;/&gt;&lt;wsp:rsid wsp:val=&quot;00D66B0D&quot;/&gt;&lt;wsp:rsid wsp:val=&quot;00D70917&quot;/&gt;&lt;wsp:rsid wsp:val=&quot;00D773D0&quot;/&gt;&lt;wsp:rsid wsp:val=&quot;00D80877&quot;/&gt;&lt;wsp:rsid wsp:val=&quot;00DA30C4&quot;/&gt;&lt;wsp:rsid wsp:val=&quot;00DA38F8&quot;/&gt;&lt;wsp:rsid wsp:val=&quot;00DA45EE&quot;/&gt;&lt;wsp:rsid wsp:val=&quot;00DA49BE&quot;/&gt;&lt;wsp:rsid wsp:val=&quot;00DA667D&quot;/&gt;&lt;wsp:rsid wsp:val=&quot;00DA6E5E&quot;/&gt;&lt;wsp:rsid wsp:val=&quot;00DB3338&quot;/&gt;&lt;wsp:rsid wsp:val=&quot;00DB37FC&quot;/&gt;&lt;wsp:rsid wsp:val=&quot;00DD2C07&quot;/&gt;&lt;wsp:rsid wsp:val=&quot;00DE382F&quot;/&gt;&lt;wsp:rsid wsp:val=&quot;00DE581B&quot;/&gt;&lt;wsp:rsid wsp:val=&quot;00DE59F8&quot;/&gt;&lt;wsp:rsid wsp:val=&quot;00E019C6&quot;/&gt;&lt;wsp:rsid wsp:val=&quot;00E022CE&quot;/&gt;&lt;wsp:rsid wsp:val=&quot;00E02A5E&quot;/&gt;&lt;wsp:rsid wsp:val=&quot;00E034CF&quot;/&gt;&lt;wsp:rsid wsp:val=&quot;00E051BB&quot;/&gt;&lt;wsp:rsid wsp:val=&quot;00E153DC&quot;/&gt;&lt;wsp:rsid wsp:val=&quot;00E2434D&quot;/&gt;&lt;wsp:rsid wsp:val=&quot;00E25BEA&quot;/&gt;&lt;wsp:rsid wsp:val=&quot;00E31A95&quot;/&gt;&lt;wsp:rsid wsp:val=&quot;00E44FA6&quot;/&gt;&lt;wsp:rsid wsp:val=&quot;00E4778D&quot;/&gt;&lt;wsp:rsid wsp:val=&quot;00E50807&quot;/&gt;&lt;wsp:rsid wsp:val=&quot;00E520CE&quot;/&gt;&lt;wsp:rsid wsp:val=&quot;00E53369&quot;/&gt;&lt;wsp:rsid wsp:val=&quot;00E54CA0&quot;/&gt;&lt;wsp:rsid wsp:val=&quot;00E55665&quot;/&gt;&lt;wsp:rsid wsp:val=&quot;00E5643C&quot;/&gt;&lt;wsp:rsid wsp:val=&quot;00E64977&quot;/&gt;&lt;wsp:rsid wsp:val=&quot;00E65F55&quot;/&gt;&lt;wsp:rsid wsp:val=&quot;00E67A9D&quot;/&gt;&lt;wsp:rsid wsp:val=&quot;00E715BE&quot;/&gt;&lt;wsp:rsid wsp:val=&quot;00E77F58&quot;/&gt;&lt;wsp:rsid wsp:val=&quot;00E84D65&quot;/&gt;&lt;wsp:rsid wsp:val=&quot;00E9026A&quot;/&gt;&lt;wsp:rsid wsp:val=&quot;00E90EDD&quot;/&gt;&lt;wsp:rsid wsp:val=&quot;00E944BB&quot;/&gt;&lt;wsp:rsid wsp:val=&quot;00E97B01&quot;/&gt;&lt;wsp:rsid wsp:val=&quot;00EA2DD7&quot;/&gt;&lt;wsp:rsid wsp:val=&quot;00EA4FED&quot;/&gt;&lt;wsp:rsid wsp:val=&quot;00EB08FF&quot;/&gt;&lt;wsp:rsid wsp:val=&quot;00EB16AB&quot;/&gt;&lt;wsp:rsid wsp:val=&quot;00EB33DD&quot;/&gt;&lt;wsp:rsid wsp:val=&quot;00EC5092&quot;/&gt;&lt;wsp:rsid wsp:val=&quot;00ED7105&quot;/&gt;&lt;wsp:rsid wsp:val=&quot;00EE0E59&quot;/&gt;&lt;wsp:rsid wsp:val=&quot;00EE1AC0&quot;/&gt;&lt;wsp:rsid wsp:val=&quot;00EE2F24&quot;/&gt;&lt;wsp:rsid wsp:val=&quot;00EF0205&quot;/&gt;&lt;wsp:rsid wsp:val=&quot;00EF3638&quot;/&gt;&lt;wsp:rsid wsp:val=&quot;00EF3765&quot;/&gt;&lt;wsp:rsid wsp:val=&quot;00F05004&quot;/&gt;&lt;wsp:rsid wsp:val=&quot;00F11C43&quot;/&gt;&lt;wsp:rsid wsp:val=&quot;00F3220F&quot;/&gt;&lt;wsp:rsid wsp:val=&quot;00F3781A&quot;/&gt;&lt;wsp:rsid wsp:val=&quot;00F37E10&quot;/&gt;&lt;wsp:rsid wsp:val=&quot;00F40ADA&quot;/&gt;&lt;wsp:rsid wsp:val=&quot;00F4268A&quot;/&gt;&lt;wsp:rsid wsp:val=&quot;00F430E8&quot;/&gt;&lt;wsp:rsid wsp:val=&quot;00F438A9&quot;/&gt;&lt;wsp:rsid wsp:val=&quot;00F44217&quot;/&gt;&lt;wsp:rsid wsp:val=&quot;00F45E0A&quot;/&gt;&lt;wsp:rsid wsp:val=&quot;00F52BDB&quot;/&gt;&lt;wsp:rsid wsp:val=&quot;00F54161&quot;/&gt;&lt;wsp:rsid wsp:val=&quot;00F5565C&quot;/&gt;&lt;wsp:rsid wsp:val=&quot;00F62292&quot;/&gt;&lt;wsp:rsid wsp:val=&quot;00F67BEF&quot;/&gt;&lt;wsp:rsid wsp:val=&quot;00F72980&quot;/&gt;&lt;wsp:rsid wsp:val=&quot;00F85936&quot;/&gt;&lt;wsp:rsid wsp:val=&quot;00F86AC9&quot;/&gt;&lt;wsp:rsid wsp:val=&quot;00F90D39&quot;/&gt;&lt;wsp:rsid wsp:val=&quot;00F948DB&quot;/&gt;&lt;wsp:rsid wsp:val=&quot;00FA0BB0&quot;/&gt;&lt;wsp:rsid wsp:val=&quot;00FB0A57&quot;/&gt;&lt;wsp:rsid wsp:val=&quot;00FB4C9F&quot;/&gt;&lt;wsp:rsid wsp:val=&quot;00FC67BC&quot;/&gt;&lt;wsp:rsid wsp:val=&quot;00FC7195&quot;/&gt;&lt;wsp:rsid wsp:val=&quot;00FE2824&quot;/&gt;&lt;wsp:rsid wsp:val=&quot;00FF10D4&quot;/&gt;&lt;wsp:rsid wsp:val=&quot;00FF2E62&quot;/&gt;&lt;wsp:rsid wsp:val=&quot;00FF4F1F&quot;/&gt;&lt;/wsp:rsids&gt;&lt;/w:docPr&gt;&lt;w:body&gt;&lt;w:p wsp:rsidR=&quot;00000000&quot; wsp:rsidRDefault=&quot;00CE28C9&quot;&gt;&lt;m:oMathPara&gt;&lt;m:oMath&gt;&lt;m:r&gt;&lt;w:rPr&gt;&lt;w:rFonts w:ascii=&quot;Cambria Math&quot; w:fareast=&quot;Arial Unicode MS&quot; w:h-ansi=&quot;Cambria Math&quot; w:cs=&quot;Arial&quot;/&gt;&lt;wx:font wx:val=&quot;Cambria Math&quot;/&gt;&lt;w:i/&gt;&lt;/w:rPr&gt;&lt;m:t&gt;=&lt;/m:t&gt;&lt;/m:r&gt;&lt;m:f&gt;&lt;m:fPr&gt;&lt;m:ctrlPr&gt;&lt;w:rPr&gt;&lt;w:rFonts w:ascii=&quot;Cambria Math&quot; w:fareast=&quot;Arial Unicode MS&quot; w:h-ansi=&quot;Cambria Math&quot; w:cs=&quot;Arial&quot;/&gt;&lt;wx:font wx:val=&quot;Cambria Math&quot;/&gt;&lt;w:i/&gt;&lt;/w:rPr&gt;&lt;/m:ctrlPr&gt;&lt;/m:fPr&gt;&lt;m:num&gt;&lt;m:sSubSup&gt;&lt;m:sSubSupPr&gt;&lt;m:ctrlPr&gt;&lt;w:rPr&gt;&lt;w:rFonts w:ascii=&quot;Cambria Math&quot; w:fareast=&quot;Arial Unicode MS&quot; w:h-ansi=&quot;Cambria Math&quot; w:cs=&quot;Arial&quot;/&gt;&lt;wx:font wx:val=&quot;Cambria Math&quot;/&gt;&lt;w:i/&gt;&lt;/w:rPr&gt;&lt;/m:ctrlPr&gt;&lt;/m:sSubSupPr&gt;&lt;m:e&gt;&lt;m:r&gt;&lt;w:rPr&gt;&lt;w:rFonts w:ascii=&quot;Cambria Math&quot; w:fareast=&quot;Arial Unicode MS&quot; w:h-ansi=&quot;Cambria Math&quot; w:cs=&quot;Arial&quot;/&gt;&lt;wx:font wx:val=&quot;Cambria Math&quot;/&gt;&lt;w:i/&gt;&lt;/w:rPr&gt;&lt;m:t&gt;AUMC&lt;/m:t&gt;&lt;/m:r&gt;&lt;/m:e&gt;&lt;m:sub&gt;&lt;m:r&gt;&lt;w:rPr&gt;&lt;w:rFonts w:ascii=&quot;Cambria Math&quot; w:fareast=&quot;Arial Unicode MS&quot; w:h-ansi=&quot;Cambria Math&quot; w:cs=&quot;Arial&quot;/&gt;&lt;wx:font wx:val=&quot;Cambria Math&quot;/&gt;&lt;w:i/&gt;&lt;/w:rPr&gt;&lt;m:t&gt;0&lt;/m:t&gt;&lt;/m:r&gt;&lt;/m:sub&gt;&lt;m:sup&gt;&lt;m:r&gt;&lt;w:rPr&gt;&lt;w:rFonts w:ascii=&quot;Cambria Math&quot; w:fareast=&quot;Arial Unicode MS&quot; w:h-ansi=&quot;Cambria Math&quot; w:cs=&quot;Arial&quot;/&gt;&lt;wx:font wx:val=&quot;Cambria Math&quot;/&gt;&lt;w:i/&gt;&lt;/w:rPr&gt;&lt;m:t&gt;âˆ_&lt;/m:t&gt;&lt;/m:r&gt;&lt;/m:sup&gt;&lt;/m:sSubSup&gt;&lt;/m:num&gt;&lt;m:den&gt;&lt;m:sSubSup&gt;&lt;m:sSubSupPr&gt;&lt;m:ctrlPr&gt;&lt;w:rPr&gt;&lt;w:rFonts w:ascii=&quot;Cambria Math&quot; w:fareast=&quot;Arial Unicode MS&quot; w:h-ansi=&quot;Cambria Math&quot; w:cs=&quot;Arial&quot;/&gt;&lt;wx:font wx:val=&quot;Cambria Math&quot;/&gt;&lt;w:i/&gt;&lt;/w:rPr&gt;&lt;/m:ctrlPr&gt;&lt;/m:sSubSupPr&gt;&lt;m:e&gt;&lt;m:r&gt;&lt;w:rPr&gt;&lt;w:rFonts w:ascii=&quot;Cambria Math&quot; w:fareast=&quot;Arial Unicode MS&quot; w:h-ansi=&quot;Cambria Math&quot; w:cs=&quot;Arial&quot;/&gt;&lt;wx:font wx:val=&quot;Cambria Math&quot;/&gt;&lt;w:i/&gt;&lt;/w:rPr&gt;&lt;m:t&gt;AUC&lt;/m:t&gt;&lt;/m:r&gt;&lt;/m:e&gt;&lt;m:sub&gt;&lt;m:r&gt;&lt;w:rPr&gt;&lt;w:rFonts w:ascii=&quot;Cambria Math&quot; w:fareast=&quot;Arial Unicode MS&quot; w:h-ansi=&quot;Cambria Math&quot; w:cs=&quot;Arial&quot;/&gt;&lt;wx:font wx:val=&quot;Cambria Math&quot;/&gt;&lt;w:i/&gt;&lt;/w:rPr&gt;&lt;m:t&gt;0&lt;/m:t&gt;&lt;/m:r&gt;&lt;/m:sub&gt;&lt;m:sup&gt;&lt;m:r&gt;&lt;w:rPr&gt;&lt;w:rFonts w:ascii=&quot;Cambria Math&quot; w:fareast=&quot;Arial Unicode MS&quot; w:h-ansi=&quot;Cambria Math&quot; w:cs=&quot;Arial&quot;/&gt;&lt;wx:font wx:val=&quot;Cambria Math&quot;/&gt;&lt;w:i/&gt;&lt;/w:rPr&gt;&lt;m:t&gt;âˆ_&lt;/m:t&gt;&lt;/m:r&gt;&lt;/m:sup&gt;&lt;/m:sSubSup&gt;&lt;/m:den&gt;&lt;/m:f&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8" o:title="" chromakey="white"/>
          </v:shape>
        </w:pict>
      </w:r>
      <w:r w:rsidR="00A9250F" w:rsidRPr="00F34AEE">
        <w:rPr>
          <w:rFonts w:eastAsia="Arial Unicode MS" w:cstheme="minorHAnsi"/>
        </w:rPr>
        <w:instrText xml:space="preserve"> </w:instrText>
      </w:r>
      <w:r w:rsidR="00177CBD" w:rsidRPr="00F34AEE">
        <w:rPr>
          <w:rFonts w:eastAsia="Arial Unicode MS" w:cstheme="minorHAnsi"/>
        </w:rPr>
        <w:fldChar w:fldCharType="end"/>
      </w:r>
      <w:r w:rsidR="00174C0B">
        <w:rPr>
          <w:rFonts w:eastAsia="Arial Unicode MS" w:cstheme="minorHAnsi"/>
        </w:rPr>
        <w:t xml:space="preserve"> </w:t>
      </w:r>
      <w:r w:rsidR="00A9250F" w:rsidRPr="00F34AEE">
        <w:rPr>
          <w:rFonts w:eastAsia="Arial Unicode MS" w:cstheme="minorHAnsi"/>
        </w:rPr>
        <w:t xml:space="preserve"> </w:t>
      </w:r>
    </w:p>
    <w:p w14:paraId="56F58C50" w14:textId="358955DA" w:rsidR="00174C0B" w:rsidRDefault="00A9250F" w:rsidP="00AB3717">
      <w:pPr>
        <w:spacing w:line="360" w:lineRule="auto"/>
        <w:jc w:val="both"/>
        <w:rPr>
          <w:rFonts w:eastAsia="Arial Unicode MS" w:cstheme="minorHAnsi"/>
        </w:rPr>
      </w:pPr>
      <w:r w:rsidRPr="00F34AEE">
        <w:rPr>
          <w:rFonts w:eastAsia="Arial Unicode MS" w:cstheme="minorHAnsi"/>
        </w:rPr>
        <w:lastRenderedPageBreak/>
        <w:t xml:space="preserve">where AUMC is the area under the first-moment curve of the plasma drug concentration vs. time curve from time 0 to infinity (Gabrielsson and Weiner, 2000). Other pertinent pharmacokinetic </w:t>
      </w:r>
      <w:r w:rsidR="007F0B63">
        <w:rPr>
          <w:rFonts w:eastAsia="Arial Unicode MS" w:cstheme="minorHAnsi"/>
        </w:rPr>
        <w:t>parameters</w:t>
      </w:r>
      <w:r w:rsidR="007F0B63" w:rsidRPr="00F34AEE">
        <w:rPr>
          <w:rFonts w:eastAsia="Arial Unicode MS" w:cstheme="minorHAnsi"/>
        </w:rPr>
        <w:t xml:space="preserve"> </w:t>
      </w:r>
      <w:r w:rsidRPr="00F34AEE">
        <w:rPr>
          <w:rFonts w:eastAsia="Arial Unicode MS" w:cstheme="minorHAnsi"/>
        </w:rPr>
        <w:t>were</w:t>
      </w:r>
      <w:r w:rsidR="00174C0B">
        <w:rPr>
          <w:rFonts w:eastAsia="Arial Unicode MS" w:cstheme="minorHAnsi"/>
        </w:rPr>
        <w:t xml:space="preserve"> </w:t>
      </w:r>
      <w:r w:rsidR="00040FEA">
        <w:rPr>
          <w:rFonts w:eastAsia="Arial Unicode MS" w:cstheme="minorHAnsi"/>
        </w:rPr>
        <w:t xml:space="preserve">also estimated </w:t>
      </w:r>
      <w:r w:rsidR="00174C0B" w:rsidRPr="00F34AEE">
        <w:rPr>
          <w:rFonts w:eastAsia="Arial Unicode MS" w:cstheme="minorHAnsi"/>
        </w:rPr>
        <w:t>(Gabrielsso</w:t>
      </w:r>
      <w:r w:rsidR="00174C0B">
        <w:rPr>
          <w:rFonts w:eastAsia="Arial Unicode MS" w:cstheme="minorHAnsi"/>
        </w:rPr>
        <w:t>n and Weiner, 2000)</w:t>
      </w:r>
      <w:r w:rsidR="00040FEA">
        <w:rPr>
          <w:rFonts w:eastAsia="Arial Unicode MS" w:cstheme="minorHAnsi"/>
        </w:rPr>
        <w:t>.</w:t>
      </w:r>
    </w:p>
    <w:p w14:paraId="59F27B62" w14:textId="77777777" w:rsidR="00A9250F" w:rsidRPr="00F34AEE" w:rsidRDefault="00A9250F" w:rsidP="00AB3717">
      <w:pPr>
        <w:spacing w:line="360" w:lineRule="auto"/>
        <w:jc w:val="both"/>
        <w:rPr>
          <w:rFonts w:eastAsia="Arial Unicode MS"/>
          <w:b/>
          <w:bCs/>
        </w:rPr>
      </w:pPr>
      <w:r w:rsidRPr="00F34AEE">
        <w:rPr>
          <w:rFonts w:eastAsia="Arial Unicode MS"/>
          <w:b/>
          <w:bCs/>
        </w:rPr>
        <w:t xml:space="preserve">Storage stability </w:t>
      </w:r>
    </w:p>
    <w:p w14:paraId="46743ECF" w14:textId="70AF4FDA" w:rsidR="00A9250F" w:rsidRPr="00F34AEE" w:rsidRDefault="00A9250F" w:rsidP="00AB3717">
      <w:pPr>
        <w:spacing w:line="360" w:lineRule="auto"/>
        <w:jc w:val="both"/>
        <w:rPr>
          <w:rFonts w:eastAsia="Arial Unicode MS" w:cstheme="minorHAnsi"/>
        </w:rPr>
      </w:pPr>
      <w:r w:rsidRPr="00F34AEE">
        <w:rPr>
          <w:rFonts w:eastAsia="Arial Unicode MS"/>
          <w:bCs/>
        </w:rPr>
        <w:t>Solid state stability studies of sCT composite</w:t>
      </w:r>
      <w:r w:rsidR="00BE0154">
        <w:rPr>
          <w:rFonts w:eastAsia="Arial Unicode MS"/>
          <w:bCs/>
        </w:rPr>
        <w:t xml:space="preserve"> </w:t>
      </w:r>
      <w:r w:rsidRPr="00F34AEE">
        <w:rPr>
          <w:rFonts w:eastAsia="Arial Unicode MS"/>
          <w:bCs/>
        </w:rPr>
        <w:t>s</w:t>
      </w:r>
      <w:r w:rsidR="00BE0154">
        <w:rPr>
          <w:rFonts w:eastAsia="Arial Unicode MS"/>
          <w:bCs/>
        </w:rPr>
        <w:t>ystems</w:t>
      </w:r>
      <w:r w:rsidRPr="00F34AEE">
        <w:rPr>
          <w:rFonts w:eastAsia="Arial Unicode MS"/>
          <w:bCs/>
        </w:rPr>
        <w:t xml:space="preserve"> were conducted</w:t>
      </w:r>
      <w:r w:rsidR="00BE0154">
        <w:rPr>
          <w:rFonts w:eastAsia="Arial Unicode MS"/>
          <w:bCs/>
        </w:rPr>
        <w:t xml:space="preserve"> at</w:t>
      </w:r>
      <w:r w:rsidRPr="00F34AEE">
        <w:rPr>
          <w:rFonts w:eastAsia="Arial Unicode MS"/>
          <w:bCs/>
        </w:rPr>
        <w:t xml:space="preserve"> </w:t>
      </w:r>
      <w:r w:rsidR="00BE0154" w:rsidRPr="00F34AEE">
        <w:rPr>
          <w:rFonts w:eastAsia="Arial Unicode MS"/>
          <w:bCs/>
        </w:rPr>
        <w:t>4 ⁰C/5 % RH and 25 ⁰C/5 % RH</w:t>
      </w:r>
      <w:r w:rsidR="00BE0154">
        <w:rPr>
          <w:rFonts w:eastAsia="Arial Unicode MS"/>
          <w:bCs/>
        </w:rPr>
        <w:t xml:space="preserve"> as</w:t>
      </w:r>
      <w:r w:rsidRPr="00F34AEE">
        <w:rPr>
          <w:rFonts w:eastAsia="Arial Unicode MS"/>
          <w:bCs/>
        </w:rPr>
        <w:t xml:space="preserve"> described by Ní Ógáin</w:t>
      </w:r>
      <w:r w:rsidR="00174C0B">
        <w:rPr>
          <w:rFonts w:eastAsia="Arial Unicode MS"/>
          <w:bCs/>
        </w:rPr>
        <w:t xml:space="preserve"> et al. (2011</w:t>
      </w:r>
      <w:r w:rsidRPr="00F34AEE">
        <w:rPr>
          <w:rFonts w:eastAsia="Arial Unicode MS"/>
          <w:bCs/>
        </w:rPr>
        <w:t xml:space="preserve">) for a period of 24 weeks. </w:t>
      </w:r>
      <w:r w:rsidR="00BE0154" w:rsidRPr="00F34AEE">
        <w:rPr>
          <w:rFonts w:eastAsia="Arial Unicode MS"/>
          <w:bCs/>
        </w:rPr>
        <w:t xml:space="preserve">Amebis Ltd (Ireland) stability </w:t>
      </w:r>
      <w:r w:rsidR="00581216">
        <w:rPr>
          <w:rFonts w:eastAsia="Arial Unicode MS"/>
          <w:bCs/>
        </w:rPr>
        <w:t>testing system</w:t>
      </w:r>
      <w:r w:rsidR="00581216" w:rsidRPr="00F34AEE">
        <w:rPr>
          <w:rFonts w:eastAsia="Arial Unicode MS"/>
          <w:bCs/>
        </w:rPr>
        <w:t xml:space="preserve"> w</w:t>
      </w:r>
      <w:r w:rsidR="00581216">
        <w:rPr>
          <w:rFonts w:eastAsia="Arial Unicode MS"/>
          <w:bCs/>
        </w:rPr>
        <w:t xml:space="preserve">as </w:t>
      </w:r>
      <w:r w:rsidR="00BE0154">
        <w:rPr>
          <w:rFonts w:eastAsia="Arial Unicode MS"/>
          <w:bCs/>
        </w:rPr>
        <w:t xml:space="preserve">used to set up </w:t>
      </w:r>
      <w:r w:rsidRPr="00F34AEE">
        <w:rPr>
          <w:rFonts w:eastAsia="Arial Unicode MS"/>
          <w:bCs/>
        </w:rPr>
        <w:t xml:space="preserve">the </w:t>
      </w:r>
      <w:r w:rsidR="00BE0154">
        <w:rPr>
          <w:rFonts w:eastAsia="Arial Unicode MS"/>
          <w:bCs/>
        </w:rPr>
        <w:t xml:space="preserve">study </w:t>
      </w:r>
      <w:r w:rsidRPr="00F34AEE">
        <w:rPr>
          <w:rFonts w:eastAsia="Arial Unicode MS"/>
          <w:bCs/>
        </w:rPr>
        <w:t>conditions</w:t>
      </w:r>
      <w:r w:rsidR="00581216">
        <w:rPr>
          <w:rFonts w:eastAsia="Arial Unicode MS"/>
          <w:bCs/>
        </w:rPr>
        <w:t xml:space="preserve"> (Bianco et al., 2012)</w:t>
      </w:r>
      <w:r w:rsidRPr="00F34AEE">
        <w:rPr>
          <w:rFonts w:eastAsia="Arial Unicode MS"/>
          <w:bCs/>
        </w:rPr>
        <w:t>.  Samples were placed in special powder containers that possess a mesh on the bottom and top to allow full contact with air, which were then placed in test chambers with humidity devices (containing saturated salt solutions) designed to achieve the required relative humidity. Test chambers were kept in an incubator or fridge according to tested conditions. Samples were removed at appropriate time intervals for subsequent analysis.</w:t>
      </w:r>
    </w:p>
    <w:p w14:paraId="749A6DBA" w14:textId="77777777" w:rsidR="002C62A0" w:rsidRPr="00F34AEE" w:rsidRDefault="002C62A0" w:rsidP="00AB3717">
      <w:pPr>
        <w:spacing w:line="360" w:lineRule="auto"/>
        <w:jc w:val="both"/>
        <w:rPr>
          <w:b/>
        </w:rPr>
      </w:pPr>
      <w:r w:rsidRPr="00F34AEE">
        <w:rPr>
          <w:b/>
        </w:rPr>
        <w:t>Statistical data analysis</w:t>
      </w:r>
    </w:p>
    <w:p w14:paraId="6370734D" w14:textId="77777777" w:rsidR="002C62A0" w:rsidRPr="00F34AEE" w:rsidRDefault="002C62A0" w:rsidP="00AB3717">
      <w:pPr>
        <w:spacing w:line="360" w:lineRule="auto"/>
        <w:jc w:val="both"/>
        <w:rPr>
          <w:rFonts w:eastAsia="Arial Unicode MS"/>
          <w:bCs/>
        </w:rPr>
      </w:pPr>
      <w:r w:rsidRPr="00F34AEE">
        <w:rPr>
          <w:rFonts w:eastAsia="Arial Unicode MS"/>
          <w:bCs/>
        </w:rPr>
        <w:t xml:space="preserve">Statistical analysis of variance, ANOVA followed by the posthoc Tukey´s test, was performed </w:t>
      </w:r>
      <w:r w:rsidRPr="00F34AEE">
        <w:t>when there were more than two sets of data,</w:t>
      </w:r>
      <w:r w:rsidRPr="00F34AEE">
        <w:rPr>
          <w:rFonts w:eastAsia="Arial Unicode MS"/>
          <w:bCs/>
        </w:rPr>
        <w:t xml:space="preserve"> to determine the significance (p-value) of an effect or difference between means, using Minitab</w:t>
      </w:r>
      <w:r w:rsidRPr="00F34AEE">
        <w:rPr>
          <w:rFonts w:eastAsia="Arial Unicode MS"/>
          <w:bCs/>
          <w:vertAlign w:val="superscript"/>
        </w:rPr>
        <w:t>TM</w:t>
      </w:r>
      <w:r w:rsidRPr="00F34AEE">
        <w:rPr>
          <w:rFonts w:eastAsia="Arial Unicode MS"/>
          <w:bCs/>
        </w:rPr>
        <w:t xml:space="preserve"> software (version 13.32). Parameters found to be significant at at least the 95% confidence level were considered to have an effect or to be different. </w:t>
      </w:r>
    </w:p>
    <w:p w14:paraId="6C043F31" w14:textId="77777777" w:rsidR="002C62A0" w:rsidRDefault="002C62A0" w:rsidP="00AB3717">
      <w:pPr>
        <w:spacing w:line="360" w:lineRule="auto"/>
        <w:jc w:val="both"/>
        <w:rPr>
          <w:rFonts w:eastAsia="Arial Unicode MS"/>
          <w:bCs/>
        </w:rPr>
      </w:pPr>
      <w:r w:rsidRPr="00F34AEE">
        <w:rPr>
          <w:rFonts w:eastAsia="Arial Unicode MS"/>
          <w:bCs/>
        </w:rPr>
        <w:t>Descriptive statistics (median and standard deviation) were determined using Microsoft</w:t>
      </w:r>
      <w:r w:rsidRPr="00F34AEE">
        <w:rPr>
          <w:rFonts w:eastAsia="Arial Unicode MS"/>
          <w:bCs/>
          <w:vertAlign w:val="superscript"/>
        </w:rPr>
        <w:t>®</w:t>
      </w:r>
      <w:r w:rsidRPr="00F34AEE">
        <w:rPr>
          <w:rFonts w:eastAsia="Arial Unicode MS"/>
          <w:bCs/>
        </w:rPr>
        <w:t xml:space="preserve"> Office Excel</w:t>
      </w:r>
      <w:r w:rsidRPr="00F34AEE">
        <w:rPr>
          <w:rFonts w:eastAsia="Arial Unicode MS"/>
          <w:bCs/>
          <w:vertAlign w:val="superscript"/>
        </w:rPr>
        <w:t>®</w:t>
      </w:r>
      <w:r w:rsidRPr="00F34AEE">
        <w:rPr>
          <w:rFonts w:eastAsia="Arial Unicode MS"/>
          <w:bCs/>
        </w:rPr>
        <w:t>.</w:t>
      </w:r>
    </w:p>
    <w:p w14:paraId="79F91C0E" w14:textId="77777777" w:rsidR="00761FDB" w:rsidRDefault="00761FDB" w:rsidP="00AB3717">
      <w:pPr>
        <w:spacing w:line="360" w:lineRule="auto"/>
        <w:jc w:val="both"/>
        <w:rPr>
          <w:rFonts w:eastAsia="Arial Unicode MS"/>
          <w:bCs/>
        </w:rPr>
      </w:pPr>
    </w:p>
    <w:p w14:paraId="64B63C98" w14:textId="77777777" w:rsidR="002C62A0" w:rsidRDefault="00996CE4" w:rsidP="00AB3717">
      <w:pPr>
        <w:rPr>
          <w:b/>
        </w:rPr>
      </w:pPr>
      <w:r>
        <w:rPr>
          <w:b/>
        </w:rPr>
        <w:t>RESULTS</w:t>
      </w:r>
    </w:p>
    <w:p w14:paraId="3E3F88A2" w14:textId="77777777" w:rsidR="007876BA" w:rsidRPr="006F1174" w:rsidRDefault="007876BA" w:rsidP="00AB3717">
      <w:pPr>
        <w:spacing w:line="360" w:lineRule="auto"/>
        <w:jc w:val="both"/>
        <w:rPr>
          <w:rFonts w:eastAsia="Arial Unicode MS"/>
          <w:color w:val="000000"/>
        </w:rPr>
      </w:pPr>
      <w:r w:rsidRPr="006F1174">
        <w:rPr>
          <w:rFonts w:eastAsia="Arial Unicode MS"/>
          <w:color w:val="000000"/>
        </w:rPr>
        <w:t xml:space="preserve">SE micrographs </w:t>
      </w:r>
      <w:r>
        <w:rPr>
          <w:rFonts w:eastAsia="Arial Unicode MS"/>
          <w:color w:val="000000"/>
        </w:rPr>
        <w:t xml:space="preserve">showed spray dried </w:t>
      </w:r>
      <w:r w:rsidRPr="006F1174">
        <w:rPr>
          <w:rFonts w:eastAsia="Arial Unicode MS"/>
          <w:color w:val="000000"/>
        </w:rPr>
        <w:t xml:space="preserve">powders </w:t>
      </w:r>
      <w:r w:rsidR="00985846">
        <w:rPr>
          <w:rFonts w:eastAsia="Arial Unicode MS"/>
          <w:color w:val="000000"/>
        </w:rPr>
        <w:t>to be</w:t>
      </w:r>
      <w:r>
        <w:rPr>
          <w:rFonts w:eastAsia="Arial Unicode MS"/>
          <w:color w:val="000000"/>
        </w:rPr>
        <w:t>, in general,</w:t>
      </w:r>
      <w:r w:rsidRPr="006F1174">
        <w:rPr>
          <w:rFonts w:eastAsia="Arial Unicode MS"/>
          <w:color w:val="000000"/>
        </w:rPr>
        <w:t xml:space="preserve"> constituted of spherical porous particles, type 1BIIIα as classified b</w:t>
      </w:r>
      <w:r>
        <w:rPr>
          <w:rFonts w:eastAsia="Arial Unicode MS"/>
          <w:color w:val="000000"/>
        </w:rPr>
        <w:t xml:space="preserve">y Paluch et al. (2012) (Figure </w:t>
      </w:r>
      <w:r w:rsidR="00D90728">
        <w:rPr>
          <w:rFonts w:eastAsia="Arial Unicode MS"/>
          <w:color w:val="000000"/>
        </w:rPr>
        <w:t>1</w:t>
      </w:r>
      <w:r w:rsidRPr="006F1174">
        <w:rPr>
          <w:rFonts w:eastAsia="Arial Unicode MS"/>
          <w:color w:val="000000"/>
        </w:rPr>
        <w:t>). The composite system</w:t>
      </w:r>
      <w:r>
        <w:rPr>
          <w:rFonts w:eastAsia="Arial Unicode MS"/>
          <w:color w:val="000000"/>
        </w:rPr>
        <w:t xml:space="preserve">s </w:t>
      </w:r>
      <w:r w:rsidRPr="006F1174">
        <w:rPr>
          <w:rFonts w:eastAsia="Arial Unicode MS"/>
          <w:color w:val="000000"/>
        </w:rPr>
        <w:t>sCT:</w:t>
      </w:r>
      <w:r>
        <w:rPr>
          <w:rFonts w:eastAsia="Arial Unicode MS"/>
          <w:color w:val="000000"/>
        </w:rPr>
        <w:t>T</w:t>
      </w:r>
      <w:r w:rsidRPr="006F1174">
        <w:rPr>
          <w:rFonts w:eastAsia="Arial Unicode MS"/>
          <w:color w:val="000000"/>
        </w:rPr>
        <w:t>:HPβCD</w:t>
      </w:r>
      <w:r>
        <w:rPr>
          <w:rFonts w:eastAsia="Arial Unicode MS"/>
          <w:color w:val="000000"/>
        </w:rPr>
        <w:t xml:space="preserve"> 5:</w:t>
      </w:r>
      <w:r w:rsidR="00D90728">
        <w:rPr>
          <w:rFonts w:eastAsia="Arial Unicode MS"/>
          <w:color w:val="000000"/>
        </w:rPr>
        <w:t>57:38</w:t>
      </w:r>
      <w:r>
        <w:rPr>
          <w:rFonts w:eastAsia="Arial Unicode MS"/>
          <w:color w:val="000000"/>
        </w:rPr>
        <w:t xml:space="preserve"> and 5:38</w:t>
      </w:r>
      <w:r w:rsidR="00D90728">
        <w:rPr>
          <w:rFonts w:eastAsia="Arial Unicode MS"/>
          <w:color w:val="000000"/>
        </w:rPr>
        <w:t>:57</w:t>
      </w:r>
      <w:r w:rsidRPr="006F1174">
        <w:rPr>
          <w:rFonts w:eastAsia="Arial Unicode MS"/>
          <w:color w:val="000000"/>
        </w:rPr>
        <w:t xml:space="preserve"> also presented porous irregular-shaped particles, type 2BIIIα </w:t>
      </w:r>
      <w:r w:rsidR="00D90728">
        <w:rPr>
          <w:rFonts w:eastAsia="Arial Unicode MS"/>
          <w:color w:val="000000"/>
        </w:rPr>
        <w:t xml:space="preserve">(Figure 1f and 1g) </w:t>
      </w:r>
      <w:r w:rsidRPr="006F1174">
        <w:rPr>
          <w:rFonts w:eastAsia="Arial Unicode MS"/>
          <w:color w:val="000000"/>
        </w:rPr>
        <w:t xml:space="preserve">(Paluch et al, 2012). </w:t>
      </w:r>
    </w:p>
    <w:p w14:paraId="26697A88" w14:textId="73ED9A75" w:rsidR="00736F82" w:rsidRPr="006F1174" w:rsidRDefault="00736F82" w:rsidP="00AB3717">
      <w:pPr>
        <w:spacing w:line="360" w:lineRule="auto"/>
        <w:jc w:val="both"/>
        <w:rPr>
          <w:rFonts w:eastAsia="Arial Unicode MS"/>
          <w:color w:val="000000"/>
        </w:rPr>
      </w:pPr>
      <w:r w:rsidRPr="006F1174">
        <w:rPr>
          <w:rFonts w:eastAsia="Arial Unicode MS"/>
          <w:color w:val="000000"/>
        </w:rPr>
        <w:t xml:space="preserve">Particle size volume distributions were narrow and monomodal with low span values (between 1.2 and 1.5) and </w:t>
      </w:r>
      <w:r w:rsidR="008A2812">
        <w:rPr>
          <w:rFonts w:eastAsia="Arial Unicode MS"/>
          <w:color w:val="000000"/>
        </w:rPr>
        <w:t>a</w:t>
      </w:r>
      <w:r w:rsidRPr="006F1174">
        <w:rPr>
          <w:rFonts w:eastAsia="Arial Unicode MS"/>
          <w:color w:val="000000"/>
        </w:rPr>
        <w:t xml:space="preserve"> geometric median particle size (d</w:t>
      </w:r>
      <w:r w:rsidRPr="006F1174">
        <w:rPr>
          <w:rFonts w:eastAsia="Arial Unicode MS"/>
          <w:color w:val="000000"/>
          <w:vertAlign w:val="subscript"/>
        </w:rPr>
        <w:t>50</w:t>
      </w:r>
      <w:r w:rsidRPr="006F1174">
        <w:rPr>
          <w:rFonts w:eastAsia="Arial Unicode MS"/>
          <w:color w:val="000000"/>
        </w:rPr>
        <w:t xml:space="preserve">) in the range of 1.5–1.9 µm. Table </w:t>
      </w:r>
      <w:r w:rsidR="003430EA">
        <w:rPr>
          <w:rFonts w:eastAsia="Arial Unicode MS"/>
          <w:color w:val="000000"/>
        </w:rPr>
        <w:t>2</w:t>
      </w:r>
      <w:r w:rsidRPr="006F1174">
        <w:rPr>
          <w:rFonts w:eastAsia="Arial Unicode MS"/>
          <w:color w:val="000000"/>
        </w:rPr>
        <w:t xml:space="preserve"> p</w:t>
      </w:r>
      <w:r w:rsidR="00985846">
        <w:rPr>
          <w:rFonts w:eastAsia="Arial Unicode MS"/>
          <w:color w:val="000000"/>
        </w:rPr>
        <w:t xml:space="preserve">resents the reported values of </w:t>
      </w:r>
      <w:r w:rsidRPr="006F1174">
        <w:rPr>
          <w:rFonts w:eastAsia="Arial Unicode MS"/>
          <w:color w:val="000000"/>
        </w:rPr>
        <w:t>d</w:t>
      </w:r>
      <w:r w:rsidRPr="006F1174">
        <w:rPr>
          <w:rFonts w:eastAsia="Arial Unicode MS"/>
          <w:color w:val="000000"/>
          <w:vertAlign w:val="subscript"/>
        </w:rPr>
        <w:t>50</w:t>
      </w:r>
      <w:r w:rsidR="00985846">
        <w:rPr>
          <w:rFonts w:eastAsia="Arial Unicode MS"/>
          <w:color w:val="000000"/>
        </w:rPr>
        <w:t xml:space="preserve">. </w:t>
      </w:r>
      <w:r w:rsidRPr="006F1174">
        <w:rPr>
          <w:rFonts w:eastAsia="Arial Unicode MS"/>
          <w:color w:val="000000"/>
        </w:rPr>
        <w:t xml:space="preserve">Statistically significant differences </w:t>
      </w:r>
      <w:r w:rsidR="00D169AF">
        <w:rPr>
          <w:rFonts w:eastAsia="Arial Unicode MS"/>
          <w:color w:val="000000"/>
        </w:rPr>
        <w:t xml:space="preserve">in particle size </w:t>
      </w:r>
      <w:r w:rsidRPr="006F1174">
        <w:rPr>
          <w:rFonts w:eastAsia="Arial Unicode MS"/>
          <w:color w:val="000000"/>
        </w:rPr>
        <w:t xml:space="preserve">were found in both </w:t>
      </w:r>
      <w:r>
        <w:rPr>
          <w:rFonts w:eastAsia="Arial Unicode MS"/>
          <w:color w:val="000000"/>
        </w:rPr>
        <w:t>types of composite systems (p&lt;</w:t>
      </w:r>
      <w:r w:rsidRPr="006F1174">
        <w:rPr>
          <w:rFonts w:eastAsia="Arial Unicode MS"/>
          <w:color w:val="000000"/>
        </w:rPr>
        <w:t>0.05). By means of Tukey’s</w:t>
      </w:r>
      <w:r w:rsidR="008A2812">
        <w:rPr>
          <w:rFonts w:eastAsia="Arial Unicode MS"/>
          <w:color w:val="000000"/>
        </w:rPr>
        <w:t xml:space="preserve"> posthoc</w:t>
      </w:r>
      <w:r w:rsidRPr="006F1174">
        <w:rPr>
          <w:rFonts w:eastAsia="Arial Unicode MS"/>
          <w:color w:val="000000"/>
        </w:rPr>
        <w:t xml:space="preserve"> test it was found that: sample sCT:R:HPβCD 5:57:38 was different from sample sCT:R:HPβCD 5:38:57; sample sCT:T presented </w:t>
      </w:r>
      <w:r w:rsidR="00D169AF">
        <w:rPr>
          <w:rFonts w:eastAsia="Arial Unicode MS"/>
          <w:color w:val="000000"/>
        </w:rPr>
        <w:t xml:space="preserve">a </w:t>
      </w:r>
      <w:r w:rsidRPr="006F1174">
        <w:rPr>
          <w:rFonts w:eastAsia="Arial Unicode MS"/>
          <w:color w:val="000000"/>
        </w:rPr>
        <w:t>higher median particle size than all other calcitonin:trehalose:</w:t>
      </w:r>
      <w:r w:rsidR="003430EA" w:rsidRPr="006F1174">
        <w:rPr>
          <w:rFonts w:eastAsia="Arial Unicode MS"/>
          <w:color w:val="000000"/>
        </w:rPr>
        <w:t xml:space="preserve"> </w:t>
      </w:r>
      <w:r w:rsidRPr="006F1174">
        <w:rPr>
          <w:rFonts w:eastAsia="Arial Unicode MS"/>
          <w:color w:val="000000"/>
        </w:rPr>
        <w:t>HPβCD composite systems.</w:t>
      </w:r>
    </w:p>
    <w:p w14:paraId="378E786B" w14:textId="012F56EE" w:rsidR="00736F82" w:rsidRDefault="00736F82" w:rsidP="00AB3717">
      <w:pPr>
        <w:spacing w:line="360" w:lineRule="auto"/>
        <w:jc w:val="both"/>
        <w:rPr>
          <w:rFonts w:eastAsia="Arial Unicode MS"/>
          <w:color w:val="000000"/>
        </w:rPr>
      </w:pPr>
      <w:r w:rsidRPr="006F1174">
        <w:rPr>
          <w:rFonts w:eastAsia="Arial Unicode MS"/>
          <w:color w:val="000000"/>
        </w:rPr>
        <w:lastRenderedPageBreak/>
        <w:t>Specific surface area by BET</w:t>
      </w:r>
      <w:r w:rsidR="00AE5B28">
        <w:rPr>
          <w:rFonts w:eastAsia="Arial Unicode MS"/>
          <w:color w:val="000000"/>
        </w:rPr>
        <w:t xml:space="preserve"> analysis</w:t>
      </w:r>
      <w:r w:rsidR="00985846">
        <w:rPr>
          <w:rFonts w:eastAsia="Arial Unicode MS"/>
          <w:color w:val="000000"/>
        </w:rPr>
        <w:t>,</w:t>
      </w:r>
      <w:r w:rsidRPr="006F1174">
        <w:rPr>
          <w:rFonts w:eastAsia="Arial Unicode MS"/>
          <w:color w:val="000000"/>
        </w:rPr>
        <w:t xml:space="preserve"> </w:t>
      </w:r>
      <w:r w:rsidR="00985846" w:rsidRPr="006F1174">
        <w:rPr>
          <w:rFonts w:eastAsia="Arial Unicode MS"/>
          <w:color w:val="000000"/>
        </w:rPr>
        <w:t>pore diameter distribution and pore diamete</w:t>
      </w:r>
      <w:r w:rsidR="00985846">
        <w:rPr>
          <w:rFonts w:eastAsia="Arial Unicode MS"/>
          <w:color w:val="000000"/>
        </w:rPr>
        <w:t>r by BJH were</w:t>
      </w:r>
      <w:r w:rsidRPr="006F1174">
        <w:rPr>
          <w:rFonts w:eastAsia="Arial Unicode MS"/>
          <w:color w:val="000000"/>
        </w:rPr>
        <w:t xml:space="preserve"> investigated </w:t>
      </w:r>
      <w:r>
        <w:rPr>
          <w:rFonts w:eastAsia="Arial Unicode MS"/>
          <w:color w:val="000000"/>
        </w:rPr>
        <w:t xml:space="preserve">(Table 2 and Figure </w:t>
      </w:r>
      <w:r w:rsidR="00D90728">
        <w:rPr>
          <w:rFonts w:eastAsia="Arial Unicode MS"/>
          <w:color w:val="000000"/>
        </w:rPr>
        <w:t>2</w:t>
      </w:r>
      <w:r w:rsidR="00985846">
        <w:rPr>
          <w:rFonts w:eastAsia="Arial Unicode MS"/>
          <w:color w:val="000000"/>
        </w:rPr>
        <w:t xml:space="preserve">). </w:t>
      </w:r>
      <w:r w:rsidR="00D169AF">
        <w:rPr>
          <w:rFonts w:eastAsia="Arial Unicode MS"/>
          <w:color w:val="000000"/>
        </w:rPr>
        <w:t>Two-</w:t>
      </w:r>
      <w:r w:rsidR="00985846">
        <w:rPr>
          <w:rFonts w:eastAsia="Arial Unicode MS"/>
          <w:color w:val="000000"/>
        </w:rPr>
        <w:t>excipient composite s</w:t>
      </w:r>
      <w:r w:rsidRPr="006F1174">
        <w:rPr>
          <w:rFonts w:eastAsia="Arial Unicode MS"/>
          <w:color w:val="000000"/>
        </w:rPr>
        <w:t xml:space="preserve">ystems had higher surface areas </w:t>
      </w:r>
      <w:r w:rsidR="002535C1">
        <w:rPr>
          <w:rFonts w:eastAsia="Arial Unicode MS"/>
          <w:color w:val="000000"/>
        </w:rPr>
        <w:t>with</w:t>
      </w:r>
      <w:r w:rsidRPr="006F1174">
        <w:rPr>
          <w:rFonts w:eastAsia="Arial Unicode MS"/>
          <w:color w:val="000000"/>
        </w:rPr>
        <w:t xml:space="preserve"> their respective pore diameter distributions shifted to lower values</w:t>
      </w:r>
      <w:r w:rsidR="00AE5B28">
        <w:rPr>
          <w:rFonts w:eastAsia="Arial Unicode MS"/>
          <w:color w:val="000000"/>
        </w:rPr>
        <w:t xml:space="preserve"> than systems containing one carrier excipient only</w:t>
      </w:r>
      <w:r w:rsidRPr="006F1174">
        <w:rPr>
          <w:rFonts w:eastAsia="Arial Unicode MS"/>
          <w:color w:val="000000"/>
        </w:rPr>
        <w:t>. ANOVA, demonstrated significant differences between samples in both type</w:t>
      </w:r>
      <w:r w:rsidR="00D169AF">
        <w:rPr>
          <w:rFonts w:eastAsia="Arial Unicode MS"/>
          <w:color w:val="000000"/>
        </w:rPr>
        <w:t>s</w:t>
      </w:r>
      <w:r w:rsidRPr="006F1174">
        <w:rPr>
          <w:rFonts w:eastAsia="Arial Unicode MS"/>
          <w:color w:val="000000"/>
        </w:rPr>
        <w:t xml:space="preserve"> of composite</w:t>
      </w:r>
      <w:r w:rsidR="00985846">
        <w:rPr>
          <w:rFonts w:eastAsia="Arial Unicode MS"/>
          <w:color w:val="000000"/>
        </w:rPr>
        <w:t xml:space="preserve"> </w:t>
      </w:r>
      <w:r w:rsidRPr="006F1174">
        <w:rPr>
          <w:rFonts w:eastAsia="Arial Unicode MS"/>
          <w:color w:val="000000"/>
        </w:rPr>
        <w:t>s</w:t>
      </w:r>
      <w:r w:rsidR="00985846">
        <w:rPr>
          <w:rFonts w:eastAsia="Arial Unicode MS"/>
          <w:color w:val="000000"/>
        </w:rPr>
        <w:t>ystems</w:t>
      </w:r>
      <w:r w:rsidRPr="006F1174">
        <w:rPr>
          <w:rFonts w:eastAsia="Arial Unicode MS"/>
          <w:color w:val="000000"/>
        </w:rPr>
        <w:t xml:space="preserve"> (p&lt;0.05). The sCT:R:HPβCD </w:t>
      </w:r>
      <w:r w:rsidR="002535C1">
        <w:rPr>
          <w:rFonts w:eastAsia="Arial Unicode MS"/>
          <w:color w:val="000000"/>
        </w:rPr>
        <w:t xml:space="preserve">and sCT:T:HPβCD </w:t>
      </w:r>
      <w:r w:rsidRPr="006F1174">
        <w:rPr>
          <w:rFonts w:eastAsia="Arial Unicode MS"/>
          <w:color w:val="000000"/>
        </w:rPr>
        <w:t xml:space="preserve">systems presented increasing SSA with higher </w:t>
      </w:r>
      <w:r w:rsidR="00D169AF">
        <w:rPr>
          <w:rFonts w:eastAsia="Arial Unicode MS"/>
          <w:color w:val="000000"/>
        </w:rPr>
        <w:t>content</w:t>
      </w:r>
      <w:r w:rsidR="00D169AF" w:rsidRPr="006F1174">
        <w:rPr>
          <w:rFonts w:eastAsia="Arial Unicode MS"/>
          <w:color w:val="000000"/>
        </w:rPr>
        <w:t xml:space="preserve"> </w:t>
      </w:r>
      <w:r w:rsidRPr="006F1174">
        <w:rPr>
          <w:rFonts w:eastAsia="Arial Unicode MS"/>
          <w:color w:val="000000"/>
        </w:rPr>
        <w:t xml:space="preserve">of cyclodextrin; with the </w:t>
      </w:r>
      <w:r w:rsidR="00985846">
        <w:rPr>
          <w:rFonts w:eastAsia="Arial Unicode MS"/>
          <w:color w:val="000000"/>
        </w:rPr>
        <w:t xml:space="preserve">single excipient </w:t>
      </w:r>
      <w:r w:rsidR="002535C1">
        <w:rPr>
          <w:rFonts w:eastAsia="Arial Unicode MS"/>
          <w:color w:val="000000"/>
        </w:rPr>
        <w:t>composite</w:t>
      </w:r>
      <w:r w:rsidR="003C0D88">
        <w:rPr>
          <w:rFonts w:eastAsia="Arial Unicode MS"/>
          <w:color w:val="000000"/>
        </w:rPr>
        <w:t xml:space="preserve"> </w:t>
      </w:r>
      <w:r w:rsidR="002535C1">
        <w:rPr>
          <w:rFonts w:eastAsia="Arial Unicode MS"/>
          <w:color w:val="000000"/>
        </w:rPr>
        <w:t>s</w:t>
      </w:r>
      <w:r w:rsidR="003C0D88">
        <w:rPr>
          <w:rFonts w:eastAsia="Arial Unicode MS"/>
          <w:color w:val="000000"/>
        </w:rPr>
        <w:t xml:space="preserve">ystems </w:t>
      </w:r>
      <w:r w:rsidR="002535C1">
        <w:rPr>
          <w:rFonts w:eastAsia="Arial Unicode MS"/>
          <w:color w:val="000000"/>
        </w:rPr>
        <w:t xml:space="preserve"> </w:t>
      </w:r>
      <w:r w:rsidR="00985846">
        <w:rPr>
          <w:rFonts w:eastAsia="Arial Unicode MS"/>
          <w:color w:val="000000"/>
        </w:rPr>
        <w:t>(</w:t>
      </w:r>
      <w:r w:rsidRPr="006F1174">
        <w:rPr>
          <w:rFonts w:eastAsia="Arial Unicode MS"/>
          <w:color w:val="000000"/>
        </w:rPr>
        <w:t>sCT:R</w:t>
      </w:r>
      <w:r w:rsidR="002535C1">
        <w:rPr>
          <w:rFonts w:eastAsia="Arial Unicode MS"/>
          <w:color w:val="000000"/>
        </w:rPr>
        <w:t xml:space="preserve"> and sCT:T</w:t>
      </w:r>
      <w:r w:rsidR="00985846">
        <w:rPr>
          <w:rFonts w:eastAsia="Arial Unicode MS"/>
          <w:color w:val="000000"/>
        </w:rPr>
        <w:t>)</w:t>
      </w:r>
      <w:r w:rsidRPr="006F1174">
        <w:rPr>
          <w:rFonts w:eastAsia="Arial Unicode MS"/>
          <w:color w:val="000000"/>
        </w:rPr>
        <w:t xml:space="preserve"> presenting the smallest SSA value. </w:t>
      </w:r>
      <w:r w:rsidR="002535C1">
        <w:rPr>
          <w:rFonts w:eastAsia="Arial Unicode MS"/>
          <w:color w:val="000000"/>
        </w:rPr>
        <w:t xml:space="preserve">A strong correlation between the SSA and the pore diameter was found for </w:t>
      </w:r>
      <w:r w:rsidR="00985846">
        <w:rPr>
          <w:rFonts w:eastAsia="Arial Unicode MS"/>
          <w:color w:val="000000"/>
        </w:rPr>
        <w:t>raffinose and trehalose</w:t>
      </w:r>
      <w:r w:rsidR="002535C1">
        <w:rPr>
          <w:rFonts w:eastAsia="Arial Unicode MS"/>
          <w:color w:val="000000"/>
        </w:rPr>
        <w:t xml:space="preserve"> composite systems (Figure </w:t>
      </w:r>
      <w:r w:rsidR="00D90728">
        <w:rPr>
          <w:rFonts w:eastAsia="Arial Unicode MS"/>
          <w:color w:val="000000"/>
        </w:rPr>
        <w:t>2</w:t>
      </w:r>
      <w:r w:rsidR="002535C1">
        <w:rPr>
          <w:rFonts w:eastAsia="Arial Unicode MS"/>
          <w:color w:val="000000"/>
        </w:rPr>
        <w:t>).</w:t>
      </w:r>
    </w:p>
    <w:p w14:paraId="6FAE5F82" w14:textId="5CEA8957" w:rsidR="00736F82" w:rsidRPr="006F1174" w:rsidRDefault="00031363" w:rsidP="00AB3717">
      <w:pPr>
        <w:spacing w:line="360" w:lineRule="auto"/>
        <w:jc w:val="both"/>
        <w:rPr>
          <w:rFonts w:eastAsia="Arial Unicode MS"/>
          <w:color w:val="000000"/>
        </w:rPr>
      </w:pPr>
      <w:r>
        <w:rPr>
          <w:rFonts w:eastAsia="Arial Unicode MS"/>
          <w:color w:val="000000"/>
        </w:rPr>
        <w:t>Bulk and tap density also presented differences</w:t>
      </w:r>
      <w:r w:rsidR="00D90728">
        <w:rPr>
          <w:rFonts w:eastAsia="Arial Unicode MS"/>
          <w:color w:val="000000"/>
        </w:rPr>
        <w:t xml:space="preserve"> (Table 2)</w:t>
      </w:r>
      <w:r>
        <w:rPr>
          <w:rFonts w:eastAsia="Arial Unicode MS"/>
          <w:color w:val="000000"/>
        </w:rPr>
        <w:t xml:space="preserve">. </w:t>
      </w:r>
      <w:r w:rsidR="00674D5F">
        <w:rPr>
          <w:rFonts w:eastAsia="Arial Unicode MS"/>
          <w:color w:val="000000"/>
        </w:rPr>
        <w:t xml:space="preserve">Statistical </w:t>
      </w:r>
      <w:r w:rsidR="00D169AF">
        <w:rPr>
          <w:rFonts w:eastAsia="Arial Unicode MS"/>
          <w:color w:val="000000"/>
        </w:rPr>
        <w:t>analysis</w:t>
      </w:r>
      <w:r>
        <w:rPr>
          <w:rFonts w:eastAsia="Arial Unicode MS"/>
          <w:color w:val="000000"/>
        </w:rPr>
        <w:t xml:space="preserve"> showed sCT:R to be different from </w:t>
      </w:r>
      <w:r w:rsidRPr="006F1174">
        <w:rPr>
          <w:rFonts w:eastAsia="Arial Unicode MS"/>
          <w:color w:val="000000"/>
        </w:rPr>
        <w:t>sCT:R:HPβCD composite systems</w:t>
      </w:r>
      <w:r>
        <w:rPr>
          <w:rFonts w:eastAsia="Arial Unicode MS"/>
          <w:color w:val="000000"/>
        </w:rPr>
        <w:t xml:space="preserve"> </w:t>
      </w:r>
      <w:r w:rsidRPr="006F1174">
        <w:rPr>
          <w:rFonts w:eastAsia="Arial Unicode MS"/>
          <w:color w:val="000000"/>
        </w:rPr>
        <w:t>(p&lt;0.05</w:t>
      </w:r>
      <w:r w:rsidR="00AE5B28">
        <w:rPr>
          <w:rFonts w:eastAsia="Arial Unicode MS"/>
          <w:color w:val="000000"/>
        </w:rPr>
        <w:t xml:space="preserve">) and </w:t>
      </w:r>
      <w:r w:rsidR="00736F82" w:rsidRPr="006F1174">
        <w:rPr>
          <w:rFonts w:eastAsia="Arial Unicode MS"/>
          <w:color w:val="000000"/>
        </w:rPr>
        <w:t xml:space="preserve">sCT:T:HPβCD 5:28:67 </w:t>
      </w:r>
      <w:r w:rsidR="00391EBB">
        <w:rPr>
          <w:rFonts w:eastAsia="Arial Unicode MS"/>
          <w:color w:val="000000"/>
        </w:rPr>
        <w:t xml:space="preserve">to be </w:t>
      </w:r>
      <w:r>
        <w:rPr>
          <w:rFonts w:eastAsia="Arial Unicode MS"/>
          <w:color w:val="000000"/>
        </w:rPr>
        <w:t>different</w:t>
      </w:r>
      <w:r w:rsidR="00736F82" w:rsidRPr="006F1174">
        <w:rPr>
          <w:rFonts w:eastAsia="Arial Unicode MS"/>
          <w:color w:val="000000"/>
        </w:rPr>
        <w:t xml:space="preserve"> from all other samples</w:t>
      </w:r>
      <w:r>
        <w:rPr>
          <w:rFonts w:eastAsia="Arial Unicode MS"/>
          <w:color w:val="000000"/>
        </w:rPr>
        <w:t xml:space="preserve"> (sCT:T and sC</w:t>
      </w:r>
      <w:r w:rsidR="00736F82" w:rsidRPr="006F1174">
        <w:rPr>
          <w:rFonts w:eastAsia="Arial Unicode MS"/>
          <w:color w:val="000000"/>
        </w:rPr>
        <w:t>T:T:HPβCD)</w:t>
      </w:r>
      <w:r w:rsidRPr="00031363">
        <w:rPr>
          <w:rFonts w:eastAsia="Arial Unicode MS"/>
          <w:color w:val="000000"/>
        </w:rPr>
        <w:t xml:space="preserve"> </w:t>
      </w:r>
      <w:r w:rsidRPr="006F1174">
        <w:rPr>
          <w:rFonts w:eastAsia="Arial Unicode MS"/>
          <w:color w:val="000000"/>
        </w:rPr>
        <w:t>(p&lt;0.05</w:t>
      </w:r>
      <w:r>
        <w:rPr>
          <w:rFonts w:eastAsia="Arial Unicode MS"/>
          <w:color w:val="000000"/>
        </w:rPr>
        <w:t>)</w:t>
      </w:r>
      <w:r w:rsidR="00736F82" w:rsidRPr="006F1174">
        <w:rPr>
          <w:rFonts w:eastAsia="Arial Unicode MS"/>
          <w:color w:val="000000"/>
        </w:rPr>
        <w:t>.</w:t>
      </w:r>
    </w:p>
    <w:p w14:paraId="0F92F8BD" w14:textId="10975F3A" w:rsidR="002D072A" w:rsidRDefault="00736F82" w:rsidP="00AB3717">
      <w:pPr>
        <w:spacing w:line="360" w:lineRule="auto"/>
        <w:jc w:val="both"/>
        <w:rPr>
          <w:rFonts w:eastAsia="Arial Unicode MS"/>
        </w:rPr>
      </w:pPr>
      <w:r w:rsidRPr="006F1174">
        <w:rPr>
          <w:rFonts w:eastAsia="Arial Unicode MS"/>
        </w:rPr>
        <w:t xml:space="preserve">The aerodynamic diameter </w:t>
      </w:r>
      <w:r w:rsidR="00985846">
        <w:rPr>
          <w:rFonts w:eastAsia="Arial Unicode MS"/>
        </w:rPr>
        <w:t>(d</w:t>
      </w:r>
      <w:r w:rsidR="00985846" w:rsidRPr="00985846">
        <w:rPr>
          <w:rFonts w:eastAsia="Arial Unicode MS"/>
          <w:vertAlign w:val="subscript"/>
        </w:rPr>
        <w:t>aer</w:t>
      </w:r>
      <w:r w:rsidR="00985846">
        <w:rPr>
          <w:rFonts w:eastAsia="Arial Unicode MS"/>
        </w:rPr>
        <w:t xml:space="preserve">) </w:t>
      </w:r>
      <w:r w:rsidRPr="006F1174">
        <w:rPr>
          <w:rFonts w:eastAsia="Arial Unicode MS"/>
        </w:rPr>
        <w:t>was calculated</w:t>
      </w:r>
      <w:r w:rsidR="002D072A">
        <w:rPr>
          <w:rFonts w:eastAsia="Arial Unicode MS"/>
        </w:rPr>
        <w:t xml:space="preserve"> based on the following definition (</w:t>
      </w:r>
      <w:r w:rsidR="002D072A">
        <w:rPr>
          <w:rFonts w:eastAsia="Arial Unicode MS"/>
        </w:rPr>
        <w:fldChar w:fldCharType="begin" w:fldLock="1"/>
      </w:r>
      <w:r w:rsidR="009869DD">
        <w:rPr>
          <w:rFonts w:eastAsia="Arial Unicode MS"/>
        </w:rPr>
        <w:instrText>ADDIN CSL_CITATION { "citationItems" : [ { "id" : "ITEM-1", "itemData" : { "ISSN" : "0168-3659", "PMID" : "11182203", "abstract" : "The objective of this study was to determine the effects of formulation excipients and physical characteristics of inhalation particles on their in vitro aerosolization performance, and thereby to maximize their respirable fraction. Dry powders were produced by spray-drying using excipients that are FDA-approved for inhalation as lactose, materials that are endogenous to the lungs as albumin and dipalmitoylphosphatidylcholine (DPPC); and/or protein stabilizers as trehalose or mannitol. Dry powders suitable for deep lung deposition, i.e. with an aerodynamic diameter of individual particles &lt;3 microm, were prepared. They presented 0.04--0.25 g/cm(3) bulk tap densities, 3--5 microm geometric particle sizes, up to 90% emitted doses and 50% respirable fractions in the Andersen cascade impactor using a Spinhaler inhaler device. The incorporation of lactose, albumin and DPPC in the formulation all improved the aerosolization properties, in contrast to trehalose and the mannitol which decreased powder flowability. The relative proportion of the excipients affected aerosol performance as well. The lower the bulk powder tap density, the higher the respirable fraction. Optimization of in vitro aerosolization properties of inhalation dry powders can be achieved by appropriately selecting composition and physical characteristics of the particles.", "author" : [ { "dropping-particle" : "", "family" : "Bosquillon", "given" : "C", "non-dropping-particle" : "", "parse-names" : false, "suffix" : "" }, { "dropping-particle" : "", "family" : "Lombry", "given" : "C", "non-dropping-particle" : "", "parse-names" : false, "suffix" : "" }, { "dropping-particle" : "", "family" : "Pr\u00e9at", "given" : "V", "non-dropping-particle" : "", "parse-names" : false, "suffix" : "" }, { "dropping-particle" : "", "family" : "Vanbever", "given" : "R", "non-dropping-particle" : "", "parse-names" : false, "suffix" : "" } ], "container-title" : "Journal of controlled release : official journal of the Controlled Release Society", "id" : "ITEM-1", "issue" : "3", "issued" : { "date-parts" : [ [ "2001", "3", "23" ] ] }, "page" : "329-39", "title" : "Influence of formulation excipients and physical characteristics of inhalation dry powders on their aerosolization performance.", "type" : "article-journal", "volume" : "70" }, "uris" : [ "http://www.mendeley.com/documents/?uuid=b49fee36-5037-47ba-843f-6c9b2eb8f97e" ] } ], "mendeley" : { "manualFormatting" : "(Bosquillon, et al. 2001)", "previouslyFormattedCitation" : "(Bosquillon, Lombry, Pr\u00e9at, et al. 2001)" }, "properties" : { "noteIndex" : 0 }, "schema" : "https://github.com/citation-style-language/schema/raw/master/csl-citation.json" }</w:instrText>
      </w:r>
      <w:r w:rsidR="002D072A">
        <w:rPr>
          <w:rFonts w:eastAsia="Arial Unicode MS"/>
        </w:rPr>
        <w:fldChar w:fldCharType="separate"/>
      </w:r>
      <w:r w:rsidR="002D072A" w:rsidRPr="002D072A">
        <w:rPr>
          <w:rFonts w:eastAsia="Arial Unicode MS"/>
          <w:noProof/>
        </w:rPr>
        <w:t>Bosquillon, et al. 2001)</w:t>
      </w:r>
      <w:r w:rsidR="002D072A">
        <w:rPr>
          <w:rFonts w:eastAsia="Arial Unicode MS"/>
        </w:rPr>
        <w:fldChar w:fldCharType="end"/>
      </w:r>
      <w:r w:rsidR="002D072A">
        <w:rPr>
          <w:rFonts w:eastAsia="Arial Unicode MS"/>
        </w:rPr>
        <w:t>:</w:t>
      </w:r>
    </w:p>
    <w:p w14:paraId="145D1D8A" w14:textId="77777777" w:rsidR="002D072A" w:rsidRPr="002D072A" w:rsidRDefault="00574A7E" w:rsidP="00AB3717">
      <w:pPr>
        <w:spacing w:line="360" w:lineRule="auto"/>
        <w:jc w:val="both"/>
        <w:rPr>
          <w:rFonts w:eastAsia="Arial Unicode MS"/>
        </w:rPr>
      </w:pPr>
      <m:oMathPara>
        <m:oMathParaPr>
          <m:jc m:val="left"/>
        </m:oMathParaPr>
        <m:oMath>
          <m:sSub>
            <m:sSubPr>
              <m:ctrlPr>
                <w:rPr>
                  <w:rFonts w:ascii="Cambria Math" w:eastAsia="Arial Unicode MS" w:hAnsi="Cambria Math"/>
                  <w:i/>
                </w:rPr>
              </m:ctrlPr>
            </m:sSubPr>
            <m:e>
              <m:r>
                <w:rPr>
                  <w:rFonts w:ascii="Cambria Math" w:eastAsia="Arial Unicode MS" w:hAnsi="Cambria Math"/>
                </w:rPr>
                <m:t>d</m:t>
              </m:r>
            </m:e>
            <m:sub>
              <m:r>
                <w:rPr>
                  <w:rFonts w:ascii="Cambria Math" w:eastAsia="Arial Unicode MS" w:hAnsi="Cambria Math"/>
                </w:rPr>
                <m:t>aer</m:t>
              </m:r>
            </m:sub>
          </m:sSub>
          <m:r>
            <w:rPr>
              <w:rFonts w:ascii="Cambria Math" w:eastAsia="Arial Unicode MS" w:hAnsi="Cambria Math"/>
            </w:rPr>
            <m:t>=</m:t>
          </m:r>
          <m:rad>
            <m:radPr>
              <m:degHide m:val="1"/>
              <m:ctrlPr>
                <w:rPr>
                  <w:rFonts w:ascii="Cambria Math" w:eastAsia="Arial Unicode MS" w:hAnsi="Cambria Math"/>
                  <w:i/>
                </w:rPr>
              </m:ctrlPr>
            </m:radPr>
            <m:deg/>
            <m:e>
              <m:f>
                <m:fPr>
                  <m:ctrlPr>
                    <w:rPr>
                      <w:rFonts w:ascii="Cambria Math" w:eastAsia="Arial Unicode MS" w:hAnsi="Cambria Math"/>
                      <w:i/>
                    </w:rPr>
                  </m:ctrlPr>
                </m:fPr>
                <m:num>
                  <m:r>
                    <w:rPr>
                      <w:rFonts w:ascii="Cambria Math" w:eastAsia="Arial Unicode MS" w:hAnsi="Cambria Math"/>
                    </w:rPr>
                    <m:t>ρ</m:t>
                  </m:r>
                </m:num>
                <m:den>
                  <m:sSub>
                    <m:sSubPr>
                      <m:ctrlPr>
                        <w:rPr>
                          <w:rFonts w:ascii="Cambria Math" w:eastAsia="Arial Unicode MS" w:hAnsi="Cambria Math"/>
                          <w:i/>
                        </w:rPr>
                      </m:ctrlPr>
                    </m:sSubPr>
                    <m:e>
                      <m:r>
                        <w:rPr>
                          <w:rFonts w:ascii="Cambria Math" w:eastAsia="Arial Unicode MS" w:hAnsi="Cambria Math"/>
                        </w:rPr>
                        <m:t>ρ</m:t>
                      </m:r>
                    </m:e>
                    <m:sub>
                      <m:r>
                        <w:rPr>
                          <w:rFonts w:ascii="Cambria Math" w:eastAsia="Arial Unicode MS" w:hAnsi="Cambria Math"/>
                        </w:rPr>
                        <m:t>1</m:t>
                      </m:r>
                    </m:sub>
                  </m:sSub>
                </m:den>
              </m:f>
            </m:e>
          </m:rad>
          <m:sSub>
            <m:sSubPr>
              <m:ctrlPr>
                <w:rPr>
                  <w:rFonts w:ascii="Cambria Math" w:eastAsia="Arial Unicode MS" w:hAnsi="Cambria Math"/>
                  <w:i/>
                </w:rPr>
              </m:ctrlPr>
            </m:sSubPr>
            <m:e>
              <m:r>
                <w:rPr>
                  <w:rFonts w:ascii="Cambria Math" w:eastAsia="Arial Unicode MS" w:hAnsi="Cambria Math"/>
                </w:rPr>
                <m:t>d</m:t>
              </m:r>
            </m:e>
            <m:sub>
              <m:r>
                <w:rPr>
                  <w:rFonts w:ascii="Cambria Math" w:eastAsia="Arial Unicode MS" w:hAnsi="Cambria Math"/>
                </w:rPr>
                <m:t>50</m:t>
              </m:r>
            </m:sub>
          </m:sSub>
        </m:oMath>
      </m:oMathPara>
    </w:p>
    <w:p w14:paraId="5342F76C" w14:textId="01C8099C" w:rsidR="00736F82" w:rsidRDefault="002D072A" w:rsidP="00AB3717">
      <w:pPr>
        <w:spacing w:line="360" w:lineRule="auto"/>
        <w:jc w:val="both"/>
        <w:rPr>
          <w:rFonts w:eastAsia="Arial Unicode MS"/>
        </w:rPr>
      </w:pPr>
      <w:r w:rsidRPr="002D072A">
        <w:rPr>
          <w:rFonts w:eastAsia="Arial Unicode MS"/>
        </w:rPr>
        <w:t xml:space="preserve">with </w:t>
      </w:r>
      <w:r>
        <w:rPr>
          <w:rFonts w:eastAsia="Arial Unicode MS"/>
        </w:rPr>
        <w:t>ρ</w:t>
      </w:r>
      <w:r>
        <w:rPr>
          <w:rFonts w:eastAsia="Arial Unicode MS"/>
          <w:vertAlign w:val="subscript"/>
        </w:rPr>
        <w:t>1</w:t>
      </w:r>
      <w:r>
        <w:rPr>
          <w:rFonts w:eastAsia="Arial Unicode MS"/>
        </w:rPr>
        <w:t xml:space="preserve"> = 1 g/cm</w:t>
      </w:r>
      <w:r w:rsidRPr="00474D1B">
        <w:rPr>
          <w:rFonts w:eastAsia="Arial Unicode MS"/>
          <w:vertAlign w:val="superscript"/>
        </w:rPr>
        <w:t>3</w:t>
      </w:r>
      <w:r w:rsidR="005A0A32">
        <w:rPr>
          <w:rFonts w:eastAsia="Arial Unicode MS"/>
        </w:rPr>
        <w:t xml:space="preserve">, ρ </w:t>
      </w:r>
      <w:r w:rsidR="000E7729">
        <w:rPr>
          <w:rFonts w:eastAsia="Arial Unicode MS"/>
        </w:rPr>
        <w:t xml:space="preserve">is the </w:t>
      </w:r>
      <w:r w:rsidR="005A0A32">
        <w:rPr>
          <w:rFonts w:eastAsia="Arial Unicode MS"/>
        </w:rPr>
        <w:t xml:space="preserve">tap </w:t>
      </w:r>
      <w:r w:rsidR="000E7729">
        <w:rPr>
          <w:rFonts w:eastAsia="Arial Unicode MS"/>
        </w:rPr>
        <w:t>density</w:t>
      </w:r>
      <w:r w:rsidR="005A0A32">
        <w:rPr>
          <w:rFonts w:eastAsia="Arial Unicode MS"/>
        </w:rPr>
        <w:t xml:space="preserve"> and d</w:t>
      </w:r>
      <w:r w:rsidR="005A0A32" w:rsidRPr="00B17AF6">
        <w:rPr>
          <w:rFonts w:eastAsia="Arial Unicode MS"/>
          <w:vertAlign w:val="subscript"/>
        </w:rPr>
        <w:t>50</w:t>
      </w:r>
      <w:r w:rsidR="005A0A32">
        <w:rPr>
          <w:rFonts w:eastAsia="Arial Unicode MS"/>
        </w:rPr>
        <w:t xml:space="preserve"> </w:t>
      </w:r>
      <w:r w:rsidR="000E7729">
        <w:rPr>
          <w:rFonts w:eastAsia="Arial Unicode MS"/>
        </w:rPr>
        <w:t>is</w:t>
      </w:r>
      <w:r w:rsidR="005A0A32">
        <w:rPr>
          <w:rFonts w:eastAsia="Arial Unicode MS"/>
        </w:rPr>
        <w:t xml:space="preserve"> the geometric me</w:t>
      </w:r>
      <w:r w:rsidR="008F491B">
        <w:rPr>
          <w:rFonts w:eastAsia="Arial Unicode MS"/>
        </w:rPr>
        <w:t>di</w:t>
      </w:r>
      <w:r w:rsidR="005A0A32">
        <w:rPr>
          <w:rFonts w:eastAsia="Arial Unicode MS"/>
        </w:rPr>
        <w:t>an particle size</w:t>
      </w:r>
      <w:r>
        <w:rPr>
          <w:rFonts w:eastAsia="Arial Unicode MS"/>
        </w:rPr>
        <w:t>. It was</w:t>
      </w:r>
      <w:r w:rsidR="00736F82" w:rsidRPr="006F1174">
        <w:rPr>
          <w:rFonts w:eastAsia="Arial Unicode MS"/>
        </w:rPr>
        <w:t xml:space="preserve"> found to be within the desirable particle size range, 1-3 µm, for central and distal deposition in the lungs (Hickey 1996) for all spray </w:t>
      </w:r>
      <w:r w:rsidR="006D5735">
        <w:rPr>
          <w:rFonts w:eastAsia="Arial Unicode MS"/>
        </w:rPr>
        <w:t xml:space="preserve">dried composite systems (Table </w:t>
      </w:r>
      <w:r w:rsidR="00736F82" w:rsidRPr="006F1174">
        <w:rPr>
          <w:rFonts w:eastAsia="Arial Unicode MS"/>
        </w:rPr>
        <w:t xml:space="preserve">2). The </w:t>
      </w:r>
      <w:r w:rsidR="00985846">
        <w:rPr>
          <w:rFonts w:eastAsia="Arial Unicode MS"/>
        </w:rPr>
        <w:t>d</w:t>
      </w:r>
      <w:r w:rsidR="00985846" w:rsidRPr="00985846">
        <w:rPr>
          <w:rFonts w:eastAsia="Arial Unicode MS"/>
          <w:vertAlign w:val="subscript"/>
        </w:rPr>
        <w:t>aer</w:t>
      </w:r>
      <w:r w:rsidR="00985846" w:rsidRPr="006F1174">
        <w:rPr>
          <w:rFonts w:eastAsia="Arial Unicode MS"/>
        </w:rPr>
        <w:t xml:space="preserve"> </w:t>
      </w:r>
      <w:r w:rsidR="00736F82" w:rsidRPr="006F1174">
        <w:rPr>
          <w:rFonts w:eastAsia="Arial Unicode MS"/>
        </w:rPr>
        <w:t>of all samples were statistically significantly different from one another (p&lt;0.05).</w:t>
      </w:r>
    </w:p>
    <w:p w14:paraId="4B1ABE3B" w14:textId="552727A8" w:rsidR="008A2812" w:rsidRPr="006F1174" w:rsidRDefault="008A2812" w:rsidP="00AB3717">
      <w:pPr>
        <w:spacing w:line="360" w:lineRule="auto"/>
        <w:jc w:val="both"/>
        <w:rPr>
          <w:rFonts w:eastAsia="Arial Unicode MS"/>
          <w:color w:val="000000"/>
        </w:rPr>
      </w:pPr>
      <w:r w:rsidRPr="006F1174">
        <w:rPr>
          <w:rFonts w:eastAsia="Arial Unicode MS"/>
          <w:color w:val="000000"/>
        </w:rPr>
        <w:t xml:space="preserve">All spray dried </w:t>
      </w:r>
      <w:r>
        <w:rPr>
          <w:rFonts w:eastAsia="Arial Unicode MS"/>
          <w:color w:val="000000"/>
        </w:rPr>
        <w:t xml:space="preserve">powders were </w:t>
      </w:r>
      <w:r w:rsidR="0084294B">
        <w:rPr>
          <w:rFonts w:eastAsia="Arial Unicode MS"/>
          <w:color w:val="000000"/>
        </w:rPr>
        <w:t xml:space="preserve">XRD </w:t>
      </w:r>
      <w:r>
        <w:rPr>
          <w:rFonts w:eastAsia="Arial Unicode MS"/>
          <w:color w:val="000000"/>
        </w:rPr>
        <w:t>amorphous (data not shown)</w:t>
      </w:r>
      <w:r w:rsidR="0084294B">
        <w:rPr>
          <w:rFonts w:eastAsia="Arial Unicode MS"/>
          <w:color w:val="000000"/>
        </w:rPr>
        <w:t xml:space="preserve"> as previously described by Amaro et al. </w:t>
      </w:r>
      <w:r w:rsidR="0084294B" w:rsidRPr="0082741A">
        <w:rPr>
          <w:rFonts w:eastAsia="Arial Unicode MS"/>
          <w:color w:val="000000"/>
        </w:rPr>
        <w:t>(20</w:t>
      </w:r>
      <w:r w:rsidR="00D169AF" w:rsidRPr="00474D1B">
        <w:rPr>
          <w:rFonts w:eastAsia="Arial Unicode MS"/>
          <w:color w:val="000000"/>
        </w:rPr>
        <w:t>14</w:t>
      </w:r>
      <w:r w:rsidR="0084294B" w:rsidRPr="0082741A">
        <w:rPr>
          <w:rFonts w:eastAsia="Arial Unicode MS"/>
          <w:color w:val="000000"/>
        </w:rPr>
        <w:t>)</w:t>
      </w:r>
      <w:r w:rsidRPr="0082741A">
        <w:rPr>
          <w:rFonts w:eastAsia="Arial Unicode MS"/>
          <w:color w:val="000000"/>
        </w:rPr>
        <w:t>.</w:t>
      </w:r>
    </w:p>
    <w:p w14:paraId="5C00A8A9" w14:textId="77777777" w:rsidR="00985846" w:rsidRDefault="00736F82" w:rsidP="00AB3717">
      <w:pPr>
        <w:spacing w:line="360" w:lineRule="auto"/>
        <w:jc w:val="both"/>
        <w:rPr>
          <w:rFonts w:eastAsia="Arial Unicode MS"/>
          <w:color w:val="000000"/>
        </w:rPr>
      </w:pPr>
      <w:r w:rsidRPr="006F1174">
        <w:rPr>
          <w:rFonts w:eastAsia="Arial Unicode MS"/>
          <w:color w:val="000000"/>
        </w:rPr>
        <w:t xml:space="preserve">The DSC profiles of </w:t>
      </w:r>
      <w:r w:rsidR="00985846">
        <w:rPr>
          <w:rFonts w:eastAsia="Arial Unicode MS"/>
          <w:color w:val="000000"/>
        </w:rPr>
        <w:t>raffinose</w:t>
      </w:r>
      <w:r w:rsidRPr="006F1174">
        <w:rPr>
          <w:rFonts w:eastAsia="Arial Unicode MS"/>
          <w:color w:val="000000"/>
        </w:rPr>
        <w:t xml:space="preserve"> composite systems w</w:t>
      </w:r>
      <w:r w:rsidR="00391EBB">
        <w:rPr>
          <w:rFonts w:eastAsia="Arial Unicode MS"/>
          <w:color w:val="000000"/>
        </w:rPr>
        <w:t>ere</w:t>
      </w:r>
      <w:r w:rsidRPr="006F1174">
        <w:rPr>
          <w:rFonts w:eastAsia="Arial Unicode MS"/>
          <w:color w:val="000000"/>
        </w:rPr>
        <w:t xml:space="preserve"> characterised by a broad endotherm attributed to residual solvent loss, followed by a glass transition step. No other thermal event w</w:t>
      </w:r>
      <w:r w:rsidR="00391EBB">
        <w:rPr>
          <w:rFonts w:eastAsia="Arial Unicode MS"/>
          <w:color w:val="000000"/>
        </w:rPr>
        <w:t>as</w:t>
      </w:r>
      <w:r w:rsidRPr="006F1174">
        <w:rPr>
          <w:rFonts w:eastAsia="Arial Unicode MS"/>
          <w:color w:val="000000"/>
        </w:rPr>
        <w:t xml:space="preserve"> recorded. Similar profiles were found for sCT:</w:t>
      </w:r>
      <w:r w:rsidR="00391EBB">
        <w:rPr>
          <w:rFonts w:eastAsia="Arial Unicode MS"/>
          <w:color w:val="000000"/>
        </w:rPr>
        <w:t>T:HPβCD</w:t>
      </w:r>
      <w:r w:rsidRPr="006F1174">
        <w:rPr>
          <w:rFonts w:eastAsia="Arial Unicode MS"/>
          <w:color w:val="000000"/>
        </w:rPr>
        <w:t xml:space="preserve"> composite systems with the exception of sCT:T. The latter also presented an exothermic event due to crystallisation of trehalose followed by its melting endotherm. Samples containing cyclodextrin presented higher glass transition temperatures that increased with increasing ratio of HPβCD</w:t>
      </w:r>
      <w:r w:rsidR="00697343">
        <w:rPr>
          <w:rFonts w:eastAsia="Arial Unicode MS"/>
          <w:color w:val="000000"/>
        </w:rPr>
        <w:t xml:space="preserve"> (Table 2</w:t>
      </w:r>
      <w:r w:rsidR="00985846">
        <w:rPr>
          <w:rFonts w:eastAsia="Arial Unicode MS"/>
          <w:color w:val="000000"/>
        </w:rPr>
        <w:t>).</w:t>
      </w:r>
    </w:p>
    <w:p w14:paraId="20534353" w14:textId="351BA172" w:rsidR="00E45D7B" w:rsidRDefault="00736F82" w:rsidP="00AB3717">
      <w:pPr>
        <w:spacing w:line="360" w:lineRule="auto"/>
        <w:jc w:val="both"/>
        <w:rPr>
          <w:rFonts w:eastAsia="Arial Unicode MS"/>
        </w:rPr>
      </w:pPr>
      <w:r w:rsidRPr="006F1174">
        <w:rPr>
          <w:rFonts w:eastAsia="Arial Unicode MS"/>
        </w:rPr>
        <w:t>A residual solvent content (RSC) of 2.7-3.5</w:t>
      </w:r>
      <w:r>
        <w:rPr>
          <w:rFonts w:eastAsia="Arial Unicode MS"/>
        </w:rPr>
        <w:t xml:space="preserve"> </w:t>
      </w:r>
      <w:r w:rsidRPr="006F1174">
        <w:rPr>
          <w:rFonts w:eastAsia="Arial Unicode MS"/>
        </w:rPr>
        <w:t>% and 3.4-5.0</w:t>
      </w:r>
      <w:r>
        <w:rPr>
          <w:rFonts w:eastAsia="Arial Unicode MS"/>
        </w:rPr>
        <w:t xml:space="preserve"> </w:t>
      </w:r>
      <w:r w:rsidRPr="006F1174">
        <w:rPr>
          <w:rFonts w:eastAsia="Arial Unicode MS"/>
        </w:rPr>
        <w:t>% was determined by TGA for raffinose and trehalose composite systems over the temperature range 25-130 ⁰C (Tabl</w:t>
      </w:r>
      <w:r>
        <w:rPr>
          <w:rFonts w:eastAsia="Arial Unicode MS"/>
        </w:rPr>
        <w:t xml:space="preserve">e </w:t>
      </w:r>
      <w:r w:rsidR="007C6DA5">
        <w:rPr>
          <w:rFonts w:eastAsia="Arial Unicode MS"/>
        </w:rPr>
        <w:t>2</w:t>
      </w:r>
      <w:r w:rsidRPr="006F1174">
        <w:rPr>
          <w:rFonts w:eastAsia="Arial Unicode MS"/>
        </w:rPr>
        <w:t>).</w:t>
      </w:r>
      <w:r w:rsidRPr="006F1174">
        <w:rPr>
          <w:rFonts w:eastAsia="Arial Unicode MS"/>
          <w:color w:val="4F81BD"/>
        </w:rPr>
        <w:t xml:space="preserve"> </w:t>
      </w:r>
      <w:r w:rsidR="00177CBD" w:rsidRPr="00474D1B">
        <w:t>ANOVA</w:t>
      </w:r>
      <w:r w:rsidRPr="00AE5B28">
        <w:rPr>
          <w:rFonts w:eastAsia="Arial Unicode MS"/>
        </w:rPr>
        <w:t xml:space="preserve"> </w:t>
      </w:r>
      <w:r w:rsidRPr="006F1174">
        <w:rPr>
          <w:rFonts w:eastAsia="Arial Unicode MS"/>
        </w:rPr>
        <w:t xml:space="preserve">analysis revealed no significant difference between raffinose samples (p=0.543) or between trehalose samples (p=0.07). GC-FID was used to quantify methanol and butyl acetate, assuming the difference between </w:t>
      </w:r>
      <w:r w:rsidRPr="006F1174">
        <w:rPr>
          <w:rFonts w:eastAsia="Arial Unicode MS"/>
        </w:rPr>
        <w:lastRenderedPageBreak/>
        <w:t>calculated values from the two techniques would correspond to moisture (</w:t>
      </w:r>
      <m:oMath>
        <m:r>
          <w:rPr>
            <w:rFonts w:ascii="Cambria Math" w:eastAsia="Arial Unicode MS" w:hAnsi="Cambria Math"/>
          </w:rPr>
          <m:t>TGA-GC=water content</m:t>
        </m:r>
      </m:oMath>
      <w:r w:rsidRPr="006F1174">
        <w:rPr>
          <w:rFonts w:eastAsia="Arial Unicode MS"/>
        </w:rPr>
        <w:t>).</w:t>
      </w:r>
      <w:r w:rsidRPr="006F1174">
        <w:rPr>
          <w:rFonts w:eastAsia="Arial Unicode MS"/>
          <w:color w:val="4F81BD"/>
        </w:rPr>
        <w:t xml:space="preserve"> </w:t>
      </w:r>
      <w:r>
        <w:rPr>
          <w:rFonts w:eastAsia="Arial Unicode MS"/>
        </w:rPr>
        <w:t xml:space="preserve">Table </w:t>
      </w:r>
      <w:r w:rsidR="007C6DA5">
        <w:rPr>
          <w:rFonts w:eastAsia="Arial Unicode MS"/>
        </w:rPr>
        <w:t>2</w:t>
      </w:r>
      <w:r w:rsidRPr="006F1174">
        <w:rPr>
          <w:rFonts w:eastAsia="Arial Unicode MS"/>
        </w:rPr>
        <w:t xml:space="preserve"> presents the values determined.</w:t>
      </w:r>
      <w:r w:rsidRPr="006F1174">
        <w:rPr>
          <w:rFonts w:eastAsia="Arial Unicode MS"/>
          <w:color w:val="4F81BD"/>
        </w:rPr>
        <w:t xml:space="preserve"> </w:t>
      </w:r>
      <w:r w:rsidRPr="006F1174">
        <w:rPr>
          <w:rFonts w:eastAsia="Arial Unicode MS"/>
        </w:rPr>
        <w:t xml:space="preserve">RSC is constituted mainly </w:t>
      </w:r>
      <w:r w:rsidR="00AE5B28">
        <w:rPr>
          <w:rFonts w:eastAsia="Arial Unicode MS"/>
        </w:rPr>
        <w:t>of</w:t>
      </w:r>
      <w:r w:rsidR="00AE5B28" w:rsidRPr="006F1174">
        <w:rPr>
          <w:rFonts w:eastAsia="Arial Unicode MS"/>
        </w:rPr>
        <w:t xml:space="preserve"> </w:t>
      </w:r>
      <w:r w:rsidRPr="006F1174">
        <w:rPr>
          <w:rFonts w:eastAsia="Arial Unicode MS"/>
        </w:rPr>
        <w:t>butyl acetate and water. The water content could be explained by the amorphous sugars</w:t>
      </w:r>
      <w:r w:rsidR="00DC3703">
        <w:rPr>
          <w:rFonts w:eastAsia="Arial Unicode MS"/>
        </w:rPr>
        <w:t>’</w:t>
      </w:r>
      <w:r w:rsidRPr="006F1174">
        <w:rPr>
          <w:rFonts w:eastAsia="Arial Unicode MS"/>
        </w:rPr>
        <w:t xml:space="preserve"> strong tendency to sorb moisture (Hancock </w:t>
      </w:r>
      <w:r>
        <w:rPr>
          <w:rFonts w:eastAsia="Arial Unicode MS"/>
        </w:rPr>
        <w:t>and</w:t>
      </w:r>
      <w:r w:rsidRPr="006F1174">
        <w:rPr>
          <w:rFonts w:eastAsia="Arial Unicode MS"/>
        </w:rPr>
        <w:t xml:space="preserve"> Shamblin, 1998).  The presence of BA could be due to insufficient drying during processing or solv</w:t>
      </w:r>
      <w:r w:rsidR="007C6DA5">
        <w:rPr>
          <w:rFonts w:eastAsia="Arial Unicode MS"/>
        </w:rPr>
        <w:t>ent entrapment in the particle</w:t>
      </w:r>
      <w:r w:rsidRPr="006F1174">
        <w:rPr>
          <w:rFonts w:eastAsia="Arial Unicode MS"/>
        </w:rPr>
        <w:t xml:space="preserve"> matrix or by adsorption or capillary condensation in the pores (Gregg and Sing, 1982).</w:t>
      </w:r>
      <w:r w:rsidR="00E45D7B">
        <w:rPr>
          <w:rFonts w:eastAsia="Arial Unicode MS"/>
        </w:rPr>
        <w:t xml:space="preserve"> </w:t>
      </w:r>
    </w:p>
    <w:p w14:paraId="354A7828" w14:textId="72254B6F" w:rsidR="00F430A9" w:rsidRPr="006F1174" w:rsidRDefault="00F430A9" w:rsidP="00F430A9">
      <w:pPr>
        <w:spacing w:line="360" w:lineRule="auto"/>
        <w:jc w:val="both"/>
        <w:rPr>
          <w:rFonts w:eastAsia="Arial Unicode MS"/>
        </w:rPr>
      </w:pPr>
      <w:r w:rsidRPr="006F1174">
        <w:rPr>
          <w:rFonts w:eastAsia="Arial Unicode MS"/>
          <w:color w:val="000000"/>
        </w:rPr>
        <w:t>The European Pharmacopeia classifies methanol as a class 2 and butyl acetate as a class 3 residual solvent (organic volatile chemical that is used in the preparation of medicinal products and that have no therapeutic benef</w:t>
      </w:r>
      <w:r>
        <w:rPr>
          <w:rFonts w:eastAsia="Arial Unicode MS"/>
          <w:color w:val="000000"/>
        </w:rPr>
        <w:t>it</w:t>
      </w:r>
      <w:r w:rsidR="00687FA1">
        <w:rPr>
          <w:rFonts w:eastAsia="Arial Unicode MS"/>
          <w:color w:val="000000"/>
        </w:rPr>
        <w:t>)</w:t>
      </w:r>
      <w:r>
        <w:rPr>
          <w:rFonts w:eastAsia="Arial Unicode MS"/>
          <w:color w:val="000000"/>
        </w:rPr>
        <w:t xml:space="preserve"> (</w:t>
      </w:r>
      <w:r w:rsidRPr="00FE6B27">
        <w:t>Ph. Eur., 2012</w:t>
      </w:r>
      <w:r w:rsidR="00687FA1">
        <w:t>b</w:t>
      </w:r>
      <w:r w:rsidRPr="006F1174">
        <w:rPr>
          <w:rFonts w:eastAsia="Arial Unicode MS"/>
          <w:color w:val="000000"/>
        </w:rPr>
        <w:t>). The permitted daily exposure (PDE) and equivalent concentration limit is 30.0 mg/day and 3000 ppm for methanol and, 50.0</w:t>
      </w:r>
      <w:r>
        <w:rPr>
          <w:rFonts w:eastAsia="Arial Unicode MS"/>
          <w:color w:val="000000"/>
        </w:rPr>
        <w:t xml:space="preserve"> </w:t>
      </w:r>
      <w:r w:rsidRPr="006F1174">
        <w:rPr>
          <w:rFonts w:eastAsia="Arial Unicode MS"/>
          <w:color w:val="000000"/>
        </w:rPr>
        <w:t>mg/day and 5000 ppm for butyl acetate (</w:t>
      </w:r>
      <w:r w:rsidRPr="00FE6B27">
        <w:t>Ph. Eur., 2012</w:t>
      </w:r>
      <w:r>
        <w:t>b</w:t>
      </w:r>
      <w:r w:rsidRPr="006F1174">
        <w:rPr>
          <w:rFonts w:eastAsia="Arial Unicode MS"/>
          <w:color w:val="000000"/>
        </w:rPr>
        <w:t xml:space="preserve">). </w:t>
      </w:r>
      <w:r w:rsidRPr="006F1174">
        <w:rPr>
          <w:rFonts w:eastAsia="Arial Unicode MS"/>
        </w:rPr>
        <w:t>Clark et al. (2008) reported a pulmonary absolute bioavailability ranging from 11 to 18% for sCT and Patton (200</w:t>
      </w:r>
      <w:r>
        <w:rPr>
          <w:rFonts w:eastAsia="Arial Unicode MS"/>
        </w:rPr>
        <w:t>0</w:t>
      </w:r>
      <w:r w:rsidRPr="006F1174">
        <w:rPr>
          <w:rFonts w:eastAsia="Arial Unicode MS"/>
        </w:rPr>
        <w:t>) reported a value of 17%. Salmon calcitonin is commonly used in the treatment of postmenopausal osteoporosis</w:t>
      </w:r>
      <w:r>
        <w:rPr>
          <w:rFonts w:eastAsia="Arial Unicode MS"/>
        </w:rPr>
        <w:t xml:space="preserve"> and Paget’s disease with </w:t>
      </w:r>
      <w:r w:rsidRPr="006F1174">
        <w:rPr>
          <w:rFonts w:eastAsia="Arial Unicode MS"/>
        </w:rPr>
        <w:t>recommended dose</w:t>
      </w:r>
      <w:r>
        <w:rPr>
          <w:rFonts w:eastAsia="Arial Unicode MS"/>
        </w:rPr>
        <w:t>s of</w:t>
      </w:r>
      <w:r w:rsidRPr="006F1174">
        <w:rPr>
          <w:rFonts w:eastAsia="Arial Unicode MS"/>
        </w:rPr>
        <w:t xml:space="preserve"> 100 units daily (or 50 units twice daily) by subcutaneous or intramuscular injection, for 2 to 4 weeks (Martindale, 2011).</w:t>
      </w:r>
      <w:r>
        <w:rPr>
          <w:rFonts w:eastAsia="Arial Unicode MS"/>
        </w:rPr>
        <w:t xml:space="preserve"> </w:t>
      </w:r>
      <w:r w:rsidRPr="006F1174">
        <w:rPr>
          <w:rFonts w:eastAsia="Arial Unicode MS"/>
        </w:rPr>
        <w:t xml:space="preserve">To verify </w:t>
      </w:r>
      <w:r w:rsidR="00AE5B28">
        <w:rPr>
          <w:rFonts w:eastAsia="Arial Unicode MS"/>
        </w:rPr>
        <w:t xml:space="preserve">that </w:t>
      </w:r>
      <w:r w:rsidRPr="006F1174">
        <w:rPr>
          <w:rFonts w:eastAsia="Arial Unicode MS"/>
        </w:rPr>
        <w:t>the levels of residual solvent in our powders would be within the limits of exposure imposed by the European Pharmacopoeia, the following assumptions were taken: a maximum sCT pulmonary absolute bioavailability value of 18% and sCT dose of 100 IU daily.  The sCT used in this study had a potency of 5128.1 IU per mg of powder; sCT content in spray-dried powders</w:t>
      </w:r>
      <w:r>
        <w:rPr>
          <w:rFonts w:eastAsia="Arial Unicode MS"/>
        </w:rPr>
        <w:t xml:space="preserve"> was determined by HPLC (Table </w:t>
      </w:r>
      <w:r w:rsidR="00D90728">
        <w:rPr>
          <w:rFonts w:eastAsia="Arial Unicode MS"/>
        </w:rPr>
        <w:t>3</w:t>
      </w:r>
      <w:r w:rsidRPr="006F1174">
        <w:rPr>
          <w:rFonts w:eastAsia="Arial Unicode MS"/>
        </w:rPr>
        <w:t>); methanol and butyl acetate content were determined by GC-FID</w:t>
      </w:r>
      <w:r w:rsidR="00D90728">
        <w:rPr>
          <w:rFonts w:eastAsia="Arial Unicode MS"/>
        </w:rPr>
        <w:t xml:space="preserve"> </w:t>
      </w:r>
      <w:r w:rsidR="00D90728">
        <w:rPr>
          <w:rFonts w:eastAsia="Arial Unicode MS"/>
          <w:color w:val="000000"/>
        </w:rPr>
        <w:t>(Table 2)</w:t>
      </w:r>
      <w:r w:rsidRPr="006F1174">
        <w:rPr>
          <w:rFonts w:eastAsia="Arial Unicode MS"/>
        </w:rPr>
        <w:t>. For a salmon calcitonin daily dose of 100 IU, the sCT:sugar composite systems powders present</w:t>
      </w:r>
      <w:r>
        <w:rPr>
          <w:rFonts w:eastAsia="Arial Unicode MS"/>
        </w:rPr>
        <w:t>ed</w:t>
      </w:r>
      <w:r w:rsidRPr="006F1174">
        <w:rPr>
          <w:rFonts w:eastAsia="Arial Unicode MS"/>
        </w:rPr>
        <w:t xml:space="preserve"> </w:t>
      </w:r>
      <w:r>
        <w:rPr>
          <w:rFonts w:eastAsia="Arial Unicode MS"/>
        </w:rPr>
        <w:t xml:space="preserve">a calculated </w:t>
      </w:r>
      <w:r w:rsidRPr="006F1174">
        <w:rPr>
          <w:rFonts w:eastAsia="Arial Unicode MS"/>
        </w:rPr>
        <w:t>methanol</w:t>
      </w:r>
      <w:r>
        <w:rPr>
          <w:rFonts w:eastAsia="Arial Unicode MS"/>
        </w:rPr>
        <w:t xml:space="preserve"> concentration </w:t>
      </w:r>
      <w:r w:rsidR="00DC3703">
        <w:rPr>
          <w:rFonts w:eastAsia="Arial Unicode MS"/>
        </w:rPr>
        <w:t xml:space="preserve">ranging </w:t>
      </w:r>
      <w:r>
        <w:rPr>
          <w:rFonts w:eastAsia="Arial Unicode MS"/>
        </w:rPr>
        <w:t>from 2 to 22 ppm</w:t>
      </w:r>
      <w:r w:rsidRPr="006F1174">
        <w:rPr>
          <w:rFonts w:eastAsia="Arial Unicode MS"/>
        </w:rPr>
        <w:t xml:space="preserve"> and butyl acetate </w:t>
      </w:r>
      <w:r>
        <w:rPr>
          <w:rFonts w:eastAsia="Arial Unicode MS"/>
        </w:rPr>
        <w:t>between 10 and 52 ppm, which were</w:t>
      </w:r>
      <w:r w:rsidRPr="006F1174">
        <w:rPr>
          <w:rFonts w:eastAsia="Arial Unicode MS"/>
        </w:rPr>
        <w:t xml:space="preserve"> below the limits stated in the European Pharmacopoeia</w:t>
      </w:r>
      <w:r w:rsidR="00AE5B28">
        <w:rPr>
          <w:rFonts w:eastAsia="Arial Unicode MS"/>
        </w:rPr>
        <w:t>,</w:t>
      </w:r>
      <w:r w:rsidRPr="006F1174">
        <w:rPr>
          <w:rFonts w:eastAsia="Arial Unicode MS"/>
        </w:rPr>
        <w:t xml:space="preserve"> when assuming a sCT absolute pulmonary bioavailability of 18%.</w:t>
      </w:r>
    </w:p>
    <w:p w14:paraId="04F0686F" w14:textId="1BCBD026" w:rsidR="00736F82" w:rsidRPr="006F1174" w:rsidRDefault="00736F82" w:rsidP="00AB3717">
      <w:pPr>
        <w:spacing w:line="360" w:lineRule="auto"/>
        <w:jc w:val="both"/>
        <w:rPr>
          <w:rFonts w:eastAsia="Arial Unicode MS"/>
          <w:color w:val="000000"/>
        </w:rPr>
      </w:pPr>
      <w:r w:rsidRPr="006F1174">
        <w:rPr>
          <w:rFonts w:eastAsia="Arial Unicode MS"/>
          <w:color w:val="000000"/>
        </w:rPr>
        <w:t>Freshly spray dried powders were reconstituted into aqueous solutions and analysed by HPLC to</w:t>
      </w:r>
      <w:r w:rsidR="00687FA1">
        <w:rPr>
          <w:rFonts w:eastAsia="Arial Unicode MS"/>
          <w:color w:val="000000"/>
        </w:rPr>
        <w:t xml:space="preserve"> </w:t>
      </w:r>
      <w:r w:rsidRPr="006F1174">
        <w:rPr>
          <w:rFonts w:eastAsia="Arial Unicode MS"/>
          <w:color w:val="000000"/>
        </w:rPr>
        <w:t xml:space="preserve">determine the peptide loading in the powders. The peptide content </w:t>
      </w:r>
      <w:r>
        <w:rPr>
          <w:rFonts w:eastAsia="Arial Unicode MS"/>
          <w:color w:val="000000"/>
        </w:rPr>
        <w:t xml:space="preserve">is summarised in </w:t>
      </w:r>
      <w:r w:rsidRPr="003C0D88">
        <w:rPr>
          <w:rFonts w:eastAsia="Arial Unicode MS"/>
        </w:rPr>
        <w:t xml:space="preserve">Table </w:t>
      </w:r>
      <w:r w:rsidR="007C6DA5" w:rsidRPr="003C0D88">
        <w:rPr>
          <w:rFonts w:eastAsia="Arial Unicode MS"/>
        </w:rPr>
        <w:t>3</w:t>
      </w:r>
      <w:r w:rsidRPr="006F1174">
        <w:rPr>
          <w:rFonts w:eastAsia="Arial Unicode MS"/>
          <w:color w:val="000000"/>
        </w:rPr>
        <w:t xml:space="preserve">. Loss of peptide </w:t>
      </w:r>
      <w:r w:rsidR="00DC3703">
        <w:rPr>
          <w:rFonts w:eastAsia="Arial Unicode MS"/>
          <w:color w:val="000000"/>
        </w:rPr>
        <w:t>on</w:t>
      </w:r>
      <w:r w:rsidR="00DC3703" w:rsidRPr="006F1174">
        <w:rPr>
          <w:rFonts w:eastAsia="Arial Unicode MS"/>
          <w:color w:val="000000"/>
        </w:rPr>
        <w:t xml:space="preserve"> </w:t>
      </w:r>
      <w:r w:rsidRPr="006F1174">
        <w:rPr>
          <w:rFonts w:eastAsia="Arial Unicode MS"/>
          <w:color w:val="000000"/>
        </w:rPr>
        <w:t xml:space="preserve">processing was evident. Variations between formulations are thought to be due to the efficacy of protection </w:t>
      </w:r>
      <w:r w:rsidR="00AE5B28">
        <w:rPr>
          <w:rFonts w:eastAsia="Arial Unicode MS"/>
          <w:color w:val="000000"/>
        </w:rPr>
        <w:t xml:space="preserve">of sCT by </w:t>
      </w:r>
      <w:r w:rsidRPr="006F1174">
        <w:rPr>
          <w:rFonts w:eastAsia="Arial Unicode MS"/>
          <w:color w:val="000000"/>
        </w:rPr>
        <w:t>the excipients</w:t>
      </w:r>
      <w:r w:rsidR="00AE5B28">
        <w:rPr>
          <w:rFonts w:eastAsia="Arial Unicode MS"/>
          <w:color w:val="000000"/>
        </w:rPr>
        <w:t xml:space="preserve"> used.</w:t>
      </w:r>
    </w:p>
    <w:p w14:paraId="15E30BE5" w14:textId="77777777" w:rsidR="00736F82" w:rsidRPr="006F1174" w:rsidRDefault="00736F82" w:rsidP="00AB3717">
      <w:pPr>
        <w:spacing w:line="360" w:lineRule="auto"/>
        <w:jc w:val="both"/>
        <w:rPr>
          <w:rFonts w:eastAsia="Arial Unicode MS"/>
          <w:color w:val="000000"/>
        </w:rPr>
      </w:pPr>
      <w:r w:rsidRPr="006F1174">
        <w:rPr>
          <w:rFonts w:eastAsia="Arial Unicode MS"/>
          <w:color w:val="000000"/>
        </w:rPr>
        <w:t>According to Hulse et al. (2008), changes associated with perturbation in the secondary structure of the protein (the α-helix and the β-strand or β-sheets) are reflected in shifting, broadening and reductions in intensity of the amide I band (1660-1670 cm</w:t>
      </w:r>
      <w:r w:rsidRPr="00C70435">
        <w:rPr>
          <w:rFonts w:eastAsia="Arial Unicode MS"/>
          <w:color w:val="000000"/>
          <w:vertAlign w:val="superscript"/>
        </w:rPr>
        <w:t>-1</w:t>
      </w:r>
      <w:r w:rsidRPr="006F1174">
        <w:rPr>
          <w:rFonts w:eastAsia="Arial Unicode MS"/>
          <w:color w:val="000000"/>
        </w:rPr>
        <w:t>) and amide III (1220-1300</w:t>
      </w:r>
      <w:r>
        <w:rPr>
          <w:rFonts w:eastAsia="Arial Unicode MS"/>
          <w:color w:val="000000"/>
        </w:rPr>
        <w:t xml:space="preserve"> </w:t>
      </w:r>
      <w:r w:rsidRPr="006F1174">
        <w:rPr>
          <w:rFonts w:eastAsia="Arial Unicode MS"/>
          <w:color w:val="000000"/>
        </w:rPr>
        <w:t>cm</w:t>
      </w:r>
      <w:r w:rsidRPr="00C70435">
        <w:rPr>
          <w:rFonts w:eastAsia="Arial Unicode MS"/>
          <w:color w:val="000000"/>
          <w:vertAlign w:val="superscript"/>
        </w:rPr>
        <w:t>-1</w:t>
      </w:r>
      <w:r w:rsidRPr="006F1174">
        <w:rPr>
          <w:rFonts w:eastAsia="Arial Unicode MS"/>
          <w:color w:val="000000"/>
        </w:rPr>
        <w:t>) bands. Native salmon calcitonin appears to comprise a single α-helix, as for its human counterpart, which translates into a prominent band in the amide I region of a FTIR spectrum (Chan et al., 2004; Yang et al., 2006; Tewes et al., 2011). Therefore evaluation of the amide I region by FTIR was undertaken.</w:t>
      </w:r>
    </w:p>
    <w:p w14:paraId="424C120E" w14:textId="74FCFEB8" w:rsidR="00736F82" w:rsidRDefault="00736F82" w:rsidP="00AB3717">
      <w:pPr>
        <w:spacing w:line="360" w:lineRule="auto"/>
        <w:jc w:val="both"/>
        <w:rPr>
          <w:rFonts w:eastAsia="Arial Unicode MS"/>
          <w:color w:val="000000"/>
        </w:rPr>
      </w:pPr>
      <w:r w:rsidRPr="006F1174">
        <w:rPr>
          <w:rFonts w:eastAsia="Arial Unicode MS"/>
          <w:color w:val="000000"/>
        </w:rPr>
        <w:lastRenderedPageBreak/>
        <w:t xml:space="preserve">FTIR spectra on the amide I region of spray dried powders, when compared to the spectrum of sCT </w:t>
      </w:r>
      <w:r w:rsidR="00EB0080">
        <w:rPr>
          <w:rFonts w:eastAsia="Arial Unicode MS"/>
          <w:color w:val="000000"/>
        </w:rPr>
        <w:t xml:space="preserve">raw material </w:t>
      </w:r>
      <w:r w:rsidRPr="006F1174">
        <w:rPr>
          <w:rFonts w:eastAsia="Arial Unicode MS"/>
          <w:color w:val="000000"/>
        </w:rPr>
        <w:t>as supplied, showed a small band deviation to lower wavenumbers for sCT:R and for all trehalose composite systems (1657.5 cm</w:t>
      </w:r>
      <w:r w:rsidRPr="006F1174">
        <w:rPr>
          <w:rFonts w:eastAsia="Arial Unicode MS"/>
          <w:color w:val="000000"/>
          <w:vertAlign w:val="superscript"/>
        </w:rPr>
        <w:t>-1</w:t>
      </w:r>
      <w:r w:rsidRPr="006F1174">
        <w:rPr>
          <w:rFonts w:eastAsia="Arial Unicode MS"/>
          <w:color w:val="000000"/>
        </w:rPr>
        <w:t xml:space="preserve"> to 1655.6 cm</w:t>
      </w:r>
      <w:r w:rsidRPr="006F1174">
        <w:rPr>
          <w:rFonts w:eastAsia="Arial Unicode MS"/>
          <w:color w:val="000000"/>
          <w:vertAlign w:val="superscript"/>
        </w:rPr>
        <w:t>-1</w:t>
      </w:r>
      <w:r>
        <w:rPr>
          <w:rFonts w:eastAsia="Arial Unicode MS"/>
          <w:color w:val="000000"/>
        </w:rPr>
        <w:t xml:space="preserve">) (Figure </w:t>
      </w:r>
      <w:r w:rsidR="00D90728">
        <w:rPr>
          <w:rFonts w:eastAsia="Arial Unicode MS"/>
          <w:color w:val="000000"/>
        </w:rPr>
        <w:t>3</w:t>
      </w:r>
      <w:r w:rsidRPr="006F1174">
        <w:rPr>
          <w:rFonts w:eastAsia="Arial Unicode MS"/>
          <w:color w:val="000000"/>
        </w:rPr>
        <w:t xml:space="preserve">). French et al. (2004) also showed a deviation of the amide I region to lower wavenumbers for spray dried recombinant human granulocyte colony stimulating factor:trehalose and recombinant </w:t>
      </w:r>
      <w:r w:rsidR="003C0D88" w:rsidRPr="006F1174">
        <w:rPr>
          <w:rFonts w:eastAsia="Arial Unicode MS"/>
          <w:color w:val="000000"/>
        </w:rPr>
        <w:t>consensus</w:t>
      </w:r>
      <w:r w:rsidRPr="006F1174">
        <w:rPr>
          <w:rFonts w:eastAsia="Arial Unicode MS"/>
          <w:color w:val="000000"/>
        </w:rPr>
        <w:t xml:space="preserve"> interferon-α:trehalose powders. Systems composed of cyclodextrin and raffinose presented deviations to higher wavenumbers: 1658.5 cm</w:t>
      </w:r>
      <w:r w:rsidRPr="006F1174">
        <w:rPr>
          <w:rFonts w:eastAsia="Arial Unicode MS"/>
          <w:color w:val="000000"/>
          <w:vertAlign w:val="superscript"/>
        </w:rPr>
        <w:t>-1</w:t>
      </w:r>
      <w:r w:rsidRPr="006F1174">
        <w:rPr>
          <w:rFonts w:eastAsia="Arial Unicode MS"/>
          <w:color w:val="000000"/>
        </w:rPr>
        <w:t xml:space="preserve"> for sCT:R:HPbCD 5:57:38 and 1659.4 cm</w:t>
      </w:r>
      <w:r w:rsidRPr="006F1174">
        <w:rPr>
          <w:rFonts w:eastAsia="Arial Unicode MS"/>
          <w:color w:val="000000"/>
          <w:vertAlign w:val="superscript"/>
        </w:rPr>
        <w:t>-1</w:t>
      </w:r>
      <w:r w:rsidRPr="006F1174">
        <w:rPr>
          <w:rFonts w:eastAsia="Arial Unicode MS"/>
          <w:color w:val="000000"/>
        </w:rPr>
        <w:t xml:space="preserve"> f</w:t>
      </w:r>
      <w:r>
        <w:rPr>
          <w:rFonts w:eastAsia="Arial Unicode MS"/>
          <w:color w:val="000000"/>
        </w:rPr>
        <w:t xml:space="preserve">or sCT:R:HPbCD 5:38:57 (Figure </w:t>
      </w:r>
      <w:r w:rsidR="00D90728">
        <w:rPr>
          <w:rFonts w:eastAsia="Arial Unicode MS"/>
          <w:color w:val="000000"/>
        </w:rPr>
        <w:t>3a</w:t>
      </w:r>
      <w:r w:rsidRPr="006F1174">
        <w:rPr>
          <w:rFonts w:eastAsia="Arial Unicode MS"/>
          <w:color w:val="000000"/>
        </w:rPr>
        <w:t xml:space="preserve">). The latter </w:t>
      </w:r>
      <w:r w:rsidR="00494537">
        <w:rPr>
          <w:rFonts w:eastAsia="Arial Unicode MS"/>
          <w:color w:val="000000"/>
        </w:rPr>
        <w:t xml:space="preserve">shift </w:t>
      </w:r>
      <w:r w:rsidRPr="006F1174">
        <w:rPr>
          <w:rFonts w:eastAsia="Arial Unicode MS"/>
          <w:color w:val="000000"/>
        </w:rPr>
        <w:t xml:space="preserve">might be due to a more compact solid-state structure of sCT, as reported by Yang et al. (2007) </w:t>
      </w:r>
      <w:r w:rsidR="00EB0080">
        <w:rPr>
          <w:rFonts w:eastAsia="Arial Unicode MS"/>
          <w:color w:val="000000"/>
        </w:rPr>
        <w:t xml:space="preserve">when the </w:t>
      </w:r>
      <w:r w:rsidR="00EB0080" w:rsidRPr="006F1174">
        <w:rPr>
          <w:rFonts w:eastAsia="Arial Unicode MS"/>
          <w:color w:val="000000"/>
        </w:rPr>
        <w:t xml:space="preserve">peptide </w:t>
      </w:r>
      <w:r w:rsidR="00EB0080">
        <w:rPr>
          <w:rFonts w:eastAsia="Arial Unicode MS"/>
          <w:color w:val="000000"/>
        </w:rPr>
        <w:t xml:space="preserve">was </w:t>
      </w:r>
      <w:r w:rsidRPr="006F1174">
        <w:rPr>
          <w:rFonts w:eastAsia="Arial Unicode MS"/>
          <w:color w:val="000000"/>
        </w:rPr>
        <w:t xml:space="preserve">spray </w:t>
      </w:r>
      <w:r w:rsidR="00EB0080" w:rsidRPr="006F1174">
        <w:rPr>
          <w:rFonts w:eastAsia="Arial Unicode MS"/>
          <w:color w:val="000000"/>
        </w:rPr>
        <w:t>dr</w:t>
      </w:r>
      <w:r w:rsidR="00EB0080">
        <w:rPr>
          <w:rFonts w:eastAsia="Arial Unicode MS"/>
          <w:color w:val="000000"/>
        </w:rPr>
        <w:t>ied</w:t>
      </w:r>
      <w:r w:rsidR="00EB0080" w:rsidRPr="006F1174">
        <w:rPr>
          <w:rFonts w:eastAsia="Arial Unicode MS"/>
          <w:color w:val="000000"/>
        </w:rPr>
        <w:t xml:space="preserve"> </w:t>
      </w:r>
      <w:r w:rsidRPr="006F1174">
        <w:rPr>
          <w:rFonts w:eastAsia="Arial Unicode MS"/>
          <w:color w:val="000000"/>
        </w:rPr>
        <w:t>on its own. The calc</w:t>
      </w:r>
      <w:r>
        <w:rPr>
          <w:rFonts w:eastAsia="Arial Unicode MS"/>
          <w:color w:val="000000"/>
        </w:rPr>
        <w:t xml:space="preserve">ulation of area overlap </w:t>
      </w:r>
      <w:r w:rsidR="00494537">
        <w:rPr>
          <w:rFonts w:eastAsia="Arial Unicode MS"/>
          <w:color w:val="000000"/>
        </w:rPr>
        <w:t xml:space="preserve">of spray dried composite systems with sCT as supplied </w:t>
      </w:r>
      <w:r>
        <w:rPr>
          <w:rFonts w:eastAsia="Arial Unicode MS"/>
          <w:color w:val="000000"/>
        </w:rPr>
        <w:t xml:space="preserve">(Table </w:t>
      </w:r>
      <w:r w:rsidR="00494537">
        <w:rPr>
          <w:rFonts w:eastAsia="Arial Unicode MS"/>
          <w:color w:val="000000"/>
        </w:rPr>
        <w:t>3</w:t>
      </w:r>
      <w:r w:rsidRPr="006F1174">
        <w:rPr>
          <w:rFonts w:eastAsia="Arial Unicode MS"/>
          <w:color w:val="000000"/>
        </w:rPr>
        <w:t xml:space="preserve">), demonstrated a small reduction for </w:t>
      </w:r>
      <w:r w:rsidR="00494537">
        <w:rPr>
          <w:rFonts w:eastAsia="Arial Unicode MS"/>
          <w:color w:val="000000"/>
        </w:rPr>
        <w:t>sCT:R</w:t>
      </w:r>
      <w:r w:rsidRPr="006F1174">
        <w:rPr>
          <w:rFonts w:eastAsia="Arial Unicode MS"/>
          <w:color w:val="000000"/>
        </w:rPr>
        <w:t xml:space="preserve"> (</w:t>
      </w:r>
      <w:r w:rsidR="00494537">
        <w:rPr>
          <w:rFonts w:eastAsia="Arial Unicode MS"/>
          <w:color w:val="000000"/>
        </w:rPr>
        <w:t>94</w:t>
      </w:r>
      <w:r w:rsidRPr="006F1174">
        <w:rPr>
          <w:rFonts w:eastAsia="Arial Unicode MS"/>
          <w:color w:val="000000"/>
        </w:rPr>
        <w:t>%</w:t>
      </w:r>
      <w:r w:rsidR="00494537">
        <w:rPr>
          <w:rFonts w:eastAsia="Arial Unicode MS"/>
          <w:color w:val="000000"/>
        </w:rPr>
        <w:t xml:space="preserve"> overlap</w:t>
      </w:r>
      <w:r w:rsidRPr="006F1174">
        <w:rPr>
          <w:rFonts w:eastAsia="Arial Unicode MS"/>
          <w:color w:val="000000"/>
        </w:rPr>
        <w:t>) that increased upon addition of HPβCD (</w:t>
      </w:r>
      <w:r w:rsidR="00494537">
        <w:rPr>
          <w:rFonts w:eastAsia="Arial Unicode MS"/>
          <w:color w:val="000000"/>
        </w:rPr>
        <w:t>92</w:t>
      </w:r>
      <w:r w:rsidRPr="006F1174">
        <w:rPr>
          <w:rFonts w:eastAsia="Arial Unicode MS"/>
          <w:color w:val="000000"/>
        </w:rPr>
        <w:t>%</w:t>
      </w:r>
      <w:r w:rsidR="00494537">
        <w:rPr>
          <w:rFonts w:eastAsia="Arial Unicode MS"/>
          <w:color w:val="000000"/>
        </w:rPr>
        <w:t xml:space="preserve"> and 71% overlap</w:t>
      </w:r>
      <w:r w:rsidRPr="006F1174">
        <w:rPr>
          <w:rFonts w:eastAsia="Arial Unicode MS"/>
          <w:color w:val="000000"/>
        </w:rPr>
        <w:t xml:space="preserve">), a greater reduction was seen for </w:t>
      </w:r>
      <w:r w:rsidR="00494537">
        <w:rPr>
          <w:rFonts w:eastAsia="Arial Unicode MS"/>
          <w:color w:val="000000"/>
        </w:rPr>
        <w:t>sCT:T</w:t>
      </w:r>
      <w:r w:rsidRPr="006F1174">
        <w:rPr>
          <w:rFonts w:eastAsia="Arial Unicode MS"/>
          <w:color w:val="000000"/>
        </w:rPr>
        <w:t xml:space="preserve"> (70% overlap). The addition of </w:t>
      </w:r>
      <w:r w:rsidR="00494537">
        <w:rPr>
          <w:rFonts w:eastAsia="Arial Unicode MS"/>
          <w:color w:val="000000"/>
        </w:rPr>
        <w:t>cyclodextrin</w:t>
      </w:r>
      <w:r w:rsidRPr="006F1174">
        <w:rPr>
          <w:rFonts w:eastAsia="Arial Unicode MS"/>
          <w:color w:val="000000"/>
        </w:rPr>
        <w:t xml:space="preserve"> to sCT:T system resulted in a higher area overlap for most systems (74 to 80%) as the cyclodextrin proportion was increased, when compared to the sCT:T system. The reduction in the overlap area reflects a reduction of the α-helix conformation, that is, changes in peptide conformation; such modifications might impair the peptide bioactivity.</w:t>
      </w:r>
    </w:p>
    <w:p w14:paraId="7B5D6FF6" w14:textId="28C4CC89" w:rsidR="00494537" w:rsidRPr="006F1174" w:rsidRDefault="00494537" w:rsidP="00AB3717">
      <w:pPr>
        <w:spacing w:line="360" w:lineRule="auto"/>
        <w:jc w:val="both"/>
        <w:rPr>
          <w:rFonts w:eastAsia="Arial Unicode MS"/>
          <w:color w:val="000000"/>
        </w:rPr>
      </w:pPr>
      <w:r w:rsidRPr="006F1174">
        <w:rPr>
          <w:rFonts w:eastAsia="Arial Unicode MS"/>
          <w:color w:val="000000"/>
        </w:rPr>
        <w:t xml:space="preserve">The cAMP-secreting activities (bioactivity) of sCT and sCT:sugar composite systems </w:t>
      </w:r>
      <w:r w:rsidR="00D169AF" w:rsidRPr="006F1174">
        <w:rPr>
          <w:rFonts w:eastAsia="Arial Unicode MS"/>
          <w:color w:val="000000"/>
        </w:rPr>
        <w:t>w</w:t>
      </w:r>
      <w:r w:rsidR="00D169AF">
        <w:rPr>
          <w:rFonts w:eastAsia="Arial Unicode MS"/>
          <w:color w:val="000000"/>
        </w:rPr>
        <w:t>ere</w:t>
      </w:r>
      <w:r w:rsidR="00D169AF" w:rsidRPr="006F1174">
        <w:rPr>
          <w:rFonts w:eastAsia="Arial Unicode MS"/>
          <w:color w:val="000000"/>
        </w:rPr>
        <w:t xml:space="preserve"> </w:t>
      </w:r>
      <w:r w:rsidRPr="006F1174">
        <w:rPr>
          <w:rFonts w:eastAsia="Arial Unicode MS"/>
          <w:color w:val="000000"/>
        </w:rPr>
        <w:t xml:space="preserve">examined using an </w:t>
      </w:r>
      <w:r w:rsidRPr="006F1174">
        <w:rPr>
          <w:rFonts w:eastAsia="Arial Unicode MS"/>
          <w:i/>
          <w:color w:val="000000"/>
        </w:rPr>
        <w:t>in vitro</w:t>
      </w:r>
      <w:r w:rsidRPr="006F1174">
        <w:rPr>
          <w:rFonts w:eastAsia="Arial Unicode MS"/>
          <w:color w:val="000000"/>
        </w:rPr>
        <w:t xml:space="preserve"> cAMP assay in T47D cells</w:t>
      </w:r>
      <w:r w:rsidR="00323CDF">
        <w:rPr>
          <w:rFonts w:eastAsia="Arial Unicode MS"/>
          <w:color w:val="000000"/>
        </w:rPr>
        <w:t xml:space="preserve">. </w:t>
      </w:r>
      <w:r w:rsidRPr="006F1174">
        <w:rPr>
          <w:rFonts w:eastAsia="Arial Unicode MS"/>
          <w:color w:val="000000"/>
        </w:rPr>
        <w:t>The retained percentage biological activity of all samples after spray dryi</w:t>
      </w:r>
      <w:r>
        <w:rPr>
          <w:rFonts w:eastAsia="Arial Unicode MS"/>
          <w:color w:val="000000"/>
        </w:rPr>
        <w:t xml:space="preserve">ng is shown in </w:t>
      </w:r>
      <w:r w:rsidR="0035459C">
        <w:rPr>
          <w:rFonts w:eastAsia="Arial Unicode MS"/>
          <w:color w:val="000000"/>
        </w:rPr>
        <w:t>Table 3</w:t>
      </w:r>
      <w:r w:rsidRPr="006F1174">
        <w:rPr>
          <w:rFonts w:eastAsia="Arial Unicode MS"/>
          <w:color w:val="000000"/>
        </w:rPr>
        <w:t xml:space="preserve">. The results show that all sCT:Raffinose composite systems retained 100% activity when compared to unprocessed sCT with no statistically significant difference between samples (p=0.771). On the other hand, no spray dried sCT:trehalose composite system retained 100% activity. </w:t>
      </w:r>
      <w:r w:rsidR="00DC3703">
        <w:rPr>
          <w:rFonts w:eastAsia="Arial Unicode MS"/>
          <w:color w:val="000000"/>
        </w:rPr>
        <w:t>However, d</w:t>
      </w:r>
      <w:r w:rsidRPr="006F1174">
        <w:rPr>
          <w:rFonts w:eastAsia="Arial Unicode MS"/>
          <w:color w:val="000000"/>
        </w:rPr>
        <w:t>ue to the great variability in data, no statistically significant differences were found between samples (p=0.212).</w:t>
      </w:r>
      <w:r w:rsidR="00AA5EB8" w:rsidRPr="006F1174">
        <w:rPr>
          <w:rFonts w:eastAsia="Arial Unicode MS"/>
          <w:color w:val="000000"/>
        </w:rPr>
        <w:t xml:space="preserve"> </w:t>
      </w:r>
    </w:p>
    <w:p w14:paraId="4A9D1824" w14:textId="39B286F9" w:rsidR="006A67F4" w:rsidRDefault="00177CBD" w:rsidP="00AB3717">
      <w:pPr>
        <w:spacing w:line="360" w:lineRule="auto"/>
        <w:jc w:val="both"/>
        <w:rPr>
          <w:rFonts w:eastAsia="Arial Unicode MS"/>
          <w:noProof/>
          <w:color w:val="000000"/>
        </w:rPr>
      </w:pPr>
      <w:r w:rsidRPr="00474D1B">
        <w:rPr>
          <w:i/>
        </w:rPr>
        <w:t>In vitro</w:t>
      </w:r>
      <w:r w:rsidR="006261D8" w:rsidRPr="006261D8">
        <w:t xml:space="preserve"> aerosol deposition profiles using the NGI</w:t>
      </w:r>
      <w:r w:rsidR="006261D8">
        <w:rPr>
          <w:b/>
        </w:rPr>
        <w:t xml:space="preserve"> </w:t>
      </w:r>
      <w:r w:rsidR="00736F82" w:rsidRPr="006F1174">
        <w:rPr>
          <w:rFonts w:eastAsia="Arial Unicode MS"/>
          <w:color w:val="000000"/>
        </w:rPr>
        <w:t>of sCT:sugar composite sy</w:t>
      </w:r>
      <w:r w:rsidR="00736F82">
        <w:rPr>
          <w:rFonts w:eastAsia="Arial Unicode MS"/>
          <w:color w:val="000000"/>
        </w:rPr>
        <w:t xml:space="preserve">stems are presented in figure </w:t>
      </w:r>
      <w:r w:rsidR="00D90728">
        <w:rPr>
          <w:rFonts w:eastAsia="Arial Unicode MS"/>
          <w:color w:val="000000"/>
        </w:rPr>
        <w:t>4</w:t>
      </w:r>
      <w:r w:rsidR="006261D8">
        <w:rPr>
          <w:rFonts w:eastAsia="Arial Unicode MS"/>
          <w:color w:val="000000"/>
        </w:rPr>
        <w:t>. There wa</w:t>
      </w:r>
      <w:r w:rsidR="00736F82" w:rsidRPr="006F1174">
        <w:rPr>
          <w:rFonts w:eastAsia="Arial Unicode MS"/>
          <w:color w:val="000000"/>
        </w:rPr>
        <w:t xml:space="preserve">s an evident improvement in powder deposition for the co-spray dried </w:t>
      </w:r>
      <w:r w:rsidR="00D169AF" w:rsidRPr="006F1174">
        <w:rPr>
          <w:rFonts w:eastAsia="Arial Unicode MS"/>
          <w:color w:val="000000"/>
        </w:rPr>
        <w:t>two</w:t>
      </w:r>
      <w:r w:rsidR="00D169AF">
        <w:rPr>
          <w:rFonts w:eastAsia="Arial Unicode MS"/>
          <w:color w:val="000000"/>
        </w:rPr>
        <w:t>-</w:t>
      </w:r>
      <w:r w:rsidR="00736F82" w:rsidRPr="006F1174">
        <w:rPr>
          <w:rFonts w:eastAsia="Arial Unicode MS"/>
          <w:color w:val="000000"/>
        </w:rPr>
        <w:t>excipient systems when compa</w:t>
      </w:r>
      <w:r w:rsidR="006261D8">
        <w:rPr>
          <w:rFonts w:eastAsia="Arial Unicode MS"/>
          <w:color w:val="000000"/>
        </w:rPr>
        <w:t>red to single excipient systems, with</w:t>
      </w:r>
      <w:r w:rsidR="00736F82" w:rsidRPr="006F1174">
        <w:rPr>
          <w:rFonts w:eastAsia="Arial Unicode MS"/>
          <w:color w:val="000000"/>
        </w:rPr>
        <w:t xml:space="preserve"> </w:t>
      </w:r>
      <w:r w:rsidR="00736F82" w:rsidRPr="006F1174">
        <w:rPr>
          <w:rFonts w:eastAsia="Arial Unicode MS"/>
          <w:noProof/>
          <w:color w:val="000000"/>
        </w:rPr>
        <w:t>less deposition in the mouthpi</w:t>
      </w:r>
      <w:r w:rsidR="006261D8">
        <w:rPr>
          <w:rFonts w:eastAsia="Arial Unicode MS"/>
          <w:noProof/>
          <w:color w:val="000000"/>
        </w:rPr>
        <w:t xml:space="preserve">ece adaptor and induction port, and </w:t>
      </w:r>
      <w:r w:rsidR="00736F82" w:rsidRPr="006F1174">
        <w:rPr>
          <w:rFonts w:eastAsia="Arial Unicode MS"/>
          <w:noProof/>
          <w:color w:val="000000"/>
        </w:rPr>
        <w:t>higher deposition on</w:t>
      </w:r>
      <w:r w:rsidR="00736F82" w:rsidRPr="006F1174">
        <w:rPr>
          <w:rFonts w:eastAsia="Arial Unicode MS"/>
          <w:noProof/>
        </w:rPr>
        <w:t xml:space="preserve"> </w:t>
      </w:r>
      <w:r w:rsidR="00736F82" w:rsidRPr="006F1174">
        <w:rPr>
          <w:rFonts w:eastAsia="Arial Unicode MS"/>
        </w:rPr>
        <w:t xml:space="preserve">stages 4 to 6, which </w:t>
      </w:r>
      <w:r w:rsidR="00D169AF">
        <w:rPr>
          <w:rFonts w:eastAsia="Arial Unicode MS"/>
        </w:rPr>
        <w:t>have</w:t>
      </w:r>
      <w:r w:rsidR="00D169AF" w:rsidRPr="006F1174">
        <w:rPr>
          <w:rFonts w:eastAsia="Arial Unicode MS"/>
        </w:rPr>
        <w:t xml:space="preserve"> </w:t>
      </w:r>
      <w:r w:rsidR="00736F82" w:rsidRPr="006F1174">
        <w:rPr>
          <w:rFonts w:eastAsia="Arial Unicode MS"/>
        </w:rPr>
        <w:t>lower cut-off points (≤ 2 μm)</w:t>
      </w:r>
      <w:r w:rsidR="00736F82" w:rsidRPr="006F1174">
        <w:rPr>
          <w:rFonts w:eastAsia="Arial Unicode MS"/>
          <w:noProof/>
        </w:rPr>
        <w:t>.</w:t>
      </w:r>
      <w:r w:rsidR="00736F82" w:rsidRPr="006F1174">
        <w:rPr>
          <w:rFonts w:eastAsia="Arial Unicode MS"/>
          <w:color w:val="000000"/>
        </w:rPr>
        <w:t xml:space="preserve"> When raffinose or trehalose w</w:t>
      </w:r>
      <w:r w:rsidR="006261D8">
        <w:rPr>
          <w:rFonts w:eastAsia="Arial Unicode MS"/>
          <w:color w:val="000000"/>
        </w:rPr>
        <w:t>ere</w:t>
      </w:r>
      <w:r w:rsidR="00736F82" w:rsidRPr="006F1174">
        <w:rPr>
          <w:rFonts w:eastAsia="Arial Unicode MS"/>
          <w:color w:val="000000"/>
        </w:rPr>
        <w:t xml:space="preserve"> co-spray dried with HPβCD, % recovered emitted dose, fine particle fraction &lt; 3 and 5 </w:t>
      </w:r>
      <w:r w:rsidR="00736F82">
        <w:rPr>
          <w:rFonts w:eastAsia="Arial Unicode MS"/>
          <w:color w:val="000000"/>
        </w:rPr>
        <w:t>µm</w:t>
      </w:r>
      <w:r w:rsidR="00AA36AD">
        <w:rPr>
          <w:rFonts w:eastAsia="Arial Unicode MS"/>
          <w:color w:val="000000"/>
        </w:rPr>
        <w:t xml:space="preserve"> largely</w:t>
      </w:r>
      <w:r w:rsidR="00736F82">
        <w:rPr>
          <w:rFonts w:eastAsia="Arial Unicode MS"/>
          <w:color w:val="000000"/>
        </w:rPr>
        <w:t xml:space="preserve"> increased</w:t>
      </w:r>
      <w:r w:rsidR="00AA36AD">
        <w:rPr>
          <w:rFonts w:eastAsia="Arial Unicode MS"/>
          <w:color w:val="000000"/>
        </w:rPr>
        <w:t xml:space="preserve">, </w:t>
      </w:r>
      <w:r w:rsidR="00736F82">
        <w:rPr>
          <w:rFonts w:eastAsia="Arial Unicode MS"/>
          <w:color w:val="000000"/>
        </w:rPr>
        <w:t xml:space="preserve"> </w:t>
      </w:r>
      <w:r w:rsidR="00EB0080">
        <w:rPr>
          <w:rFonts w:eastAsia="Arial Unicode MS"/>
          <w:color w:val="000000"/>
        </w:rPr>
        <w:t xml:space="preserve">approximately </w:t>
      </w:r>
      <w:r w:rsidR="00736F82">
        <w:rPr>
          <w:rFonts w:eastAsia="Arial Unicode MS"/>
          <w:color w:val="000000"/>
        </w:rPr>
        <w:t>2 fold</w:t>
      </w:r>
      <w:r w:rsidR="00AA36AD">
        <w:rPr>
          <w:rFonts w:eastAsia="Arial Unicode MS"/>
          <w:color w:val="000000"/>
        </w:rPr>
        <w:t xml:space="preserve"> for </w:t>
      </w:r>
      <w:r w:rsidR="000E7729">
        <w:rPr>
          <w:rFonts w:eastAsia="Arial Unicode MS"/>
          <w:color w:val="000000"/>
        </w:rPr>
        <w:t xml:space="preserve">the </w:t>
      </w:r>
      <w:r w:rsidR="00AA36AD">
        <w:rPr>
          <w:rFonts w:eastAsia="Arial Unicode MS"/>
          <w:color w:val="000000"/>
        </w:rPr>
        <w:t>trehalose composite systems,</w:t>
      </w:r>
      <w:r w:rsidR="00736F82">
        <w:rPr>
          <w:rFonts w:eastAsia="Arial Unicode MS"/>
          <w:color w:val="000000"/>
        </w:rPr>
        <w:t xml:space="preserve"> (Table </w:t>
      </w:r>
      <w:r w:rsidR="006261D8">
        <w:rPr>
          <w:rFonts w:eastAsia="Arial Unicode MS"/>
          <w:color w:val="000000"/>
        </w:rPr>
        <w:t>4</w:t>
      </w:r>
      <w:r w:rsidR="00736F82" w:rsidRPr="006F1174">
        <w:rPr>
          <w:rFonts w:eastAsia="Arial Unicode MS"/>
          <w:color w:val="000000"/>
        </w:rPr>
        <w:t>)</w:t>
      </w:r>
      <w:r w:rsidR="00DC3703">
        <w:rPr>
          <w:rFonts w:eastAsia="Arial Unicode MS"/>
          <w:color w:val="000000"/>
        </w:rPr>
        <w:t xml:space="preserve"> compared to the equivalent single-excipient systems</w:t>
      </w:r>
      <w:r w:rsidR="00736F82" w:rsidRPr="006F1174">
        <w:rPr>
          <w:rFonts w:eastAsia="Arial Unicode MS"/>
          <w:color w:val="000000"/>
        </w:rPr>
        <w:t xml:space="preserve">. </w:t>
      </w:r>
      <w:r w:rsidR="00736F82" w:rsidRPr="006F1174">
        <w:rPr>
          <w:rFonts w:eastAsia="Arial Unicode MS"/>
          <w:noProof/>
          <w:color w:val="000000"/>
        </w:rPr>
        <w:t xml:space="preserve">The MMAD values calculated for these composite systems were simillar to the calculated aerodynamic diameters. Hence, possible aggregates are dispersed. </w:t>
      </w:r>
    </w:p>
    <w:p w14:paraId="07B40CF3" w14:textId="10F0D6E0" w:rsidR="00736F82" w:rsidRPr="006F1174" w:rsidRDefault="00736F82" w:rsidP="00AB3717">
      <w:pPr>
        <w:spacing w:line="360" w:lineRule="auto"/>
        <w:jc w:val="both"/>
        <w:rPr>
          <w:rFonts w:eastAsia="Arial Unicode MS"/>
          <w:noProof/>
          <w:color w:val="000000"/>
        </w:rPr>
      </w:pPr>
      <w:r w:rsidRPr="006F1174">
        <w:rPr>
          <w:rFonts w:eastAsia="Arial Unicode MS"/>
          <w:noProof/>
          <w:color w:val="000000"/>
        </w:rPr>
        <w:t xml:space="preserve">Statistical analysis of % recovered emitted dose, FPF, MMAD and GSD </w:t>
      </w:r>
      <w:r w:rsidR="00E648AE">
        <w:rPr>
          <w:rFonts w:eastAsia="Arial Unicode MS"/>
          <w:noProof/>
          <w:color w:val="000000"/>
        </w:rPr>
        <w:t>showed</w:t>
      </w:r>
      <w:r w:rsidRPr="006F1174">
        <w:rPr>
          <w:rFonts w:eastAsia="Arial Unicode MS"/>
          <w:noProof/>
          <w:color w:val="000000"/>
        </w:rPr>
        <w:t xml:space="preserve"> sCT:R:HPβCD composite systems w</w:t>
      </w:r>
      <w:r w:rsidR="00E648AE">
        <w:rPr>
          <w:rFonts w:eastAsia="Arial Unicode MS"/>
          <w:noProof/>
          <w:color w:val="000000"/>
        </w:rPr>
        <w:t>ere</w:t>
      </w:r>
      <w:r w:rsidRPr="006F1174">
        <w:rPr>
          <w:rFonts w:eastAsia="Arial Unicode MS"/>
          <w:noProof/>
          <w:color w:val="000000"/>
        </w:rPr>
        <w:t xml:space="preserve"> </w:t>
      </w:r>
      <w:r>
        <w:rPr>
          <w:rFonts w:eastAsia="Arial Unicode MS"/>
          <w:noProof/>
          <w:color w:val="000000"/>
        </w:rPr>
        <w:t>significantly different (p&lt;</w:t>
      </w:r>
      <w:r w:rsidRPr="006F1174">
        <w:rPr>
          <w:rFonts w:eastAsia="Arial Unicode MS"/>
          <w:noProof/>
          <w:color w:val="000000"/>
        </w:rPr>
        <w:t xml:space="preserve">0.05) from sCT:R and all composites were similar to one </w:t>
      </w:r>
      <w:r w:rsidRPr="006F1174">
        <w:rPr>
          <w:rFonts w:eastAsia="Arial Unicode MS"/>
          <w:noProof/>
          <w:color w:val="000000"/>
        </w:rPr>
        <w:lastRenderedPageBreak/>
        <w:t xml:space="preserve">another. </w:t>
      </w:r>
      <w:r w:rsidR="006261D8">
        <w:rPr>
          <w:rFonts w:eastAsia="Arial Unicode MS"/>
          <w:noProof/>
          <w:color w:val="000000"/>
        </w:rPr>
        <w:t xml:space="preserve">The ANOVA </w:t>
      </w:r>
      <w:r w:rsidRPr="006F1174">
        <w:rPr>
          <w:rFonts w:eastAsia="Arial Unicode MS"/>
          <w:noProof/>
          <w:color w:val="000000"/>
        </w:rPr>
        <w:t>of sCT:trehalose composite systems also showed % recovered dose, FPF, MMAD and GSD to be signif</w:t>
      </w:r>
      <w:r>
        <w:rPr>
          <w:rFonts w:eastAsia="Arial Unicode MS"/>
          <w:noProof/>
          <w:color w:val="000000"/>
        </w:rPr>
        <w:t>icantly different from sCT:T (p</w:t>
      </w:r>
      <w:r w:rsidRPr="006F1174">
        <w:rPr>
          <w:rFonts w:eastAsia="Arial Unicode MS"/>
          <w:noProof/>
          <w:color w:val="000000"/>
        </w:rPr>
        <w:t xml:space="preserve">&lt;0.05). </w:t>
      </w:r>
      <w:r w:rsidR="003D7204">
        <w:rPr>
          <w:rFonts w:eastAsia="Arial Unicode MS"/>
          <w:noProof/>
          <w:color w:val="000000"/>
        </w:rPr>
        <w:t>S</w:t>
      </w:r>
      <w:r w:rsidRPr="006F1174">
        <w:rPr>
          <w:rFonts w:eastAsia="Arial Unicode MS"/>
          <w:noProof/>
          <w:color w:val="000000"/>
        </w:rPr>
        <w:t>ample sCT:T:HPβCD 5:67:28 had a different FPF &lt; 5 and 3 µm to the other calcitonin: trehalose:cyclodextrin composite systems.</w:t>
      </w:r>
    </w:p>
    <w:p w14:paraId="21618106" w14:textId="02700FBE" w:rsidR="00736F82" w:rsidRPr="006F1174" w:rsidRDefault="00C820D0" w:rsidP="00AB3717">
      <w:pPr>
        <w:spacing w:line="360" w:lineRule="auto"/>
        <w:jc w:val="both"/>
        <w:rPr>
          <w:rFonts w:eastAsia="Arial Unicode MS"/>
          <w:bCs/>
        </w:rPr>
      </w:pPr>
      <w:r>
        <w:rPr>
          <w:rFonts w:eastAsia="Arial Unicode MS"/>
        </w:rPr>
        <w:t>Freshly spray dried samples were stored under</w:t>
      </w:r>
      <w:r w:rsidR="00736F82" w:rsidRPr="006F1174">
        <w:rPr>
          <w:rFonts w:eastAsia="Arial Unicode MS"/>
          <w:bCs/>
        </w:rPr>
        <w:t xml:space="preserve"> 25</w:t>
      </w:r>
      <w:r w:rsidR="00736F82">
        <w:rPr>
          <w:rFonts w:eastAsia="Arial Unicode MS"/>
          <w:bCs/>
        </w:rPr>
        <w:t xml:space="preserve"> </w:t>
      </w:r>
      <w:r w:rsidR="00736F82" w:rsidRPr="006F1174">
        <w:rPr>
          <w:rFonts w:eastAsia="Arial Unicode MS"/>
          <w:bCs/>
        </w:rPr>
        <w:t>°C/&lt;</w:t>
      </w:r>
      <w:r w:rsidR="00736F82">
        <w:rPr>
          <w:rFonts w:eastAsia="Arial Unicode MS"/>
          <w:bCs/>
        </w:rPr>
        <w:t xml:space="preserve"> </w:t>
      </w:r>
      <w:r w:rsidR="00736F82" w:rsidRPr="006F1174">
        <w:rPr>
          <w:rFonts w:eastAsia="Arial Unicode MS"/>
          <w:bCs/>
        </w:rPr>
        <w:t>5</w:t>
      </w:r>
      <w:r w:rsidR="00736F82">
        <w:rPr>
          <w:rFonts w:eastAsia="Arial Unicode MS"/>
          <w:bCs/>
        </w:rPr>
        <w:t xml:space="preserve"> </w:t>
      </w:r>
      <w:r w:rsidR="00736F82" w:rsidRPr="006F1174">
        <w:rPr>
          <w:rFonts w:eastAsia="Arial Unicode MS"/>
          <w:bCs/>
        </w:rPr>
        <w:t>% RH and 4</w:t>
      </w:r>
      <w:r w:rsidR="00736F82">
        <w:rPr>
          <w:rFonts w:eastAsia="Arial Unicode MS"/>
          <w:bCs/>
        </w:rPr>
        <w:t xml:space="preserve"> </w:t>
      </w:r>
      <w:r w:rsidR="00736F82" w:rsidRPr="006F1174">
        <w:rPr>
          <w:rFonts w:eastAsia="Arial Unicode MS"/>
          <w:bCs/>
        </w:rPr>
        <w:t>°C/&lt; 5</w:t>
      </w:r>
      <w:r w:rsidR="00736F82">
        <w:rPr>
          <w:rFonts w:eastAsia="Arial Unicode MS"/>
          <w:bCs/>
        </w:rPr>
        <w:t xml:space="preserve"> % </w:t>
      </w:r>
      <w:r w:rsidR="00AA5EB8">
        <w:rPr>
          <w:rFonts w:eastAsia="Arial Unicode MS"/>
          <w:bCs/>
        </w:rPr>
        <w:t xml:space="preserve">RH </w:t>
      </w:r>
      <w:r w:rsidR="00736F82">
        <w:rPr>
          <w:rFonts w:eastAsia="Arial Unicode MS"/>
          <w:bCs/>
        </w:rPr>
        <w:t xml:space="preserve">for a 24 </w:t>
      </w:r>
      <w:r w:rsidR="00736F82" w:rsidRPr="006F1174">
        <w:rPr>
          <w:rFonts w:eastAsia="Arial Unicode MS"/>
          <w:bCs/>
        </w:rPr>
        <w:t xml:space="preserve">week </w:t>
      </w:r>
      <w:r>
        <w:rPr>
          <w:rFonts w:eastAsia="Arial Unicode MS"/>
          <w:bCs/>
        </w:rPr>
        <w:t>period</w:t>
      </w:r>
      <w:r w:rsidR="00736F82" w:rsidRPr="006F1174">
        <w:rPr>
          <w:rFonts w:eastAsia="Arial Unicode MS"/>
          <w:bCs/>
        </w:rPr>
        <w:t>. Particle morphology of all composite systems stored under 25</w:t>
      </w:r>
      <w:r w:rsidR="00736F82">
        <w:rPr>
          <w:rFonts w:eastAsia="Arial Unicode MS"/>
          <w:bCs/>
        </w:rPr>
        <w:t xml:space="preserve"> </w:t>
      </w:r>
      <w:r w:rsidR="00736F82" w:rsidRPr="006F1174">
        <w:rPr>
          <w:rFonts w:eastAsia="Arial Unicode MS"/>
          <w:bCs/>
        </w:rPr>
        <w:t>°C/&lt; 5</w:t>
      </w:r>
      <w:r w:rsidR="00736F82">
        <w:rPr>
          <w:rFonts w:eastAsia="Arial Unicode MS"/>
          <w:bCs/>
        </w:rPr>
        <w:t xml:space="preserve"> </w:t>
      </w:r>
      <w:r w:rsidR="00736F82" w:rsidRPr="006F1174">
        <w:rPr>
          <w:rFonts w:eastAsia="Arial Unicode MS"/>
          <w:bCs/>
        </w:rPr>
        <w:t>% RH and sCT:Raffinose composite systems stored under 4</w:t>
      </w:r>
      <w:r w:rsidR="00736F82">
        <w:rPr>
          <w:rFonts w:eastAsia="Arial Unicode MS"/>
          <w:bCs/>
        </w:rPr>
        <w:t xml:space="preserve"> </w:t>
      </w:r>
      <w:r w:rsidR="00736F82" w:rsidRPr="006F1174">
        <w:rPr>
          <w:rFonts w:eastAsia="Arial Unicode MS"/>
          <w:bCs/>
        </w:rPr>
        <w:t>°C/&lt; 5</w:t>
      </w:r>
      <w:r w:rsidR="00736F82">
        <w:rPr>
          <w:rFonts w:eastAsia="Arial Unicode MS"/>
          <w:bCs/>
        </w:rPr>
        <w:t xml:space="preserve"> </w:t>
      </w:r>
      <w:r w:rsidR="00736F82" w:rsidRPr="006F1174">
        <w:rPr>
          <w:rFonts w:eastAsia="Arial Unicode MS"/>
          <w:bCs/>
        </w:rPr>
        <w:t xml:space="preserve">% RH, was </w:t>
      </w:r>
      <w:r w:rsidR="00746282">
        <w:rPr>
          <w:rFonts w:eastAsia="Arial Unicode MS"/>
          <w:bCs/>
        </w:rPr>
        <w:t>unchanged</w:t>
      </w:r>
      <w:r w:rsidR="00736F82" w:rsidRPr="006F1174">
        <w:rPr>
          <w:rFonts w:eastAsia="Arial Unicode MS"/>
          <w:bCs/>
        </w:rPr>
        <w:t>, as can be seen by comparison of SE micrographs</w:t>
      </w:r>
      <w:r w:rsidR="00736F82" w:rsidRPr="00C820D0">
        <w:rPr>
          <w:rFonts w:eastAsia="Arial Unicode MS"/>
          <w:bCs/>
          <w:color w:val="FF0000"/>
        </w:rPr>
        <w:t xml:space="preserve"> </w:t>
      </w:r>
      <w:r w:rsidR="00736F82" w:rsidRPr="00C74649">
        <w:rPr>
          <w:rFonts w:eastAsia="Arial Unicode MS"/>
          <w:bCs/>
        </w:rPr>
        <w:t>taken at week 24 (</w:t>
      </w:r>
      <w:r w:rsidR="00C74649">
        <w:rPr>
          <w:rFonts w:eastAsia="Arial Unicode MS"/>
          <w:bCs/>
        </w:rPr>
        <w:t xml:space="preserve">Figure </w:t>
      </w:r>
      <w:r w:rsidR="00D90728">
        <w:rPr>
          <w:rFonts w:eastAsia="Arial Unicode MS"/>
          <w:bCs/>
        </w:rPr>
        <w:t>5 and 6</w:t>
      </w:r>
      <w:r w:rsidR="00736F82" w:rsidRPr="00C74649">
        <w:rPr>
          <w:rFonts w:eastAsia="Arial Unicode MS"/>
          <w:bCs/>
        </w:rPr>
        <w:t xml:space="preserve">), with those of the freshly spray-dried powders </w:t>
      </w:r>
      <w:r w:rsidR="00C74649">
        <w:rPr>
          <w:rFonts w:eastAsia="Arial Unicode MS"/>
          <w:bCs/>
        </w:rPr>
        <w:t xml:space="preserve">(Figure </w:t>
      </w:r>
      <w:r w:rsidR="00E91E60">
        <w:rPr>
          <w:rFonts w:eastAsia="Arial Unicode MS"/>
          <w:bCs/>
        </w:rPr>
        <w:t>1</w:t>
      </w:r>
      <w:r w:rsidR="00C74649">
        <w:rPr>
          <w:rFonts w:eastAsia="Arial Unicode MS"/>
          <w:bCs/>
        </w:rPr>
        <w:t>)</w:t>
      </w:r>
      <w:r w:rsidR="00736F82" w:rsidRPr="00C74649">
        <w:rPr>
          <w:rFonts w:eastAsia="Arial Unicode MS"/>
          <w:bCs/>
        </w:rPr>
        <w:t xml:space="preserve">. </w:t>
      </w:r>
      <w:r w:rsidR="003D7204">
        <w:rPr>
          <w:rFonts w:eastAsia="Arial Unicode MS"/>
          <w:bCs/>
        </w:rPr>
        <w:t>The p</w:t>
      </w:r>
      <w:r w:rsidR="00736F82" w:rsidRPr="007F6A51">
        <w:rPr>
          <w:rFonts w:eastAsia="Arial Unicode MS"/>
          <w:bCs/>
        </w:rPr>
        <w:t>article morphology of sCT:Trehalose com</w:t>
      </w:r>
      <w:r w:rsidR="00736F82">
        <w:rPr>
          <w:rFonts w:eastAsia="Arial Unicode MS"/>
          <w:bCs/>
        </w:rPr>
        <w:t xml:space="preserve">posite systems changed after 24 </w:t>
      </w:r>
      <w:r w:rsidR="00736F82" w:rsidRPr="007F6A51">
        <w:rPr>
          <w:rFonts w:eastAsia="Arial Unicode MS"/>
          <w:bCs/>
        </w:rPr>
        <w:t>weeks storage under 4</w:t>
      </w:r>
      <w:r w:rsidR="00736F82">
        <w:rPr>
          <w:rFonts w:eastAsia="Arial Unicode MS"/>
          <w:bCs/>
        </w:rPr>
        <w:t xml:space="preserve"> </w:t>
      </w:r>
      <w:r w:rsidR="00736F82" w:rsidRPr="007F6A51">
        <w:rPr>
          <w:rFonts w:eastAsia="Arial Unicode MS"/>
          <w:bCs/>
        </w:rPr>
        <w:t>°C/</w:t>
      </w:r>
      <w:r w:rsidR="00736F82">
        <w:rPr>
          <w:rFonts w:eastAsia="Arial Unicode MS"/>
          <w:bCs/>
        </w:rPr>
        <w:t xml:space="preserve"> </w:t>
      </w:r>
      <w:r w:rsidR="00736F82" w:rsidRPr="007F6A51">
        <w:rPr>
          <w:rFonts w:eastAsia="Arial Unicode MS"/>
          <w:bCs/>
        </w:rPr>
        <w:t>&lt; 5</w:t>
      </w:r>
      <w:r w:rsidR="00736F82">
        <w:rPr>
          <w:rFonts w:eastAsia="Arial Unicode MS"/>
          <w:bCs/>
        </w:rPr>
        <w:t xml:space="preserve"> </w:t>
      </w:r>
      <w:r w:rsidR="00736F82" w:rsidRPr="007F6A51">
        <w:rPr>
          <w:rFonts w:eastAsia="Arial Unicode MS"/>
          <w:bCs/>
        </w:rPr>
        <w:t>% RH</w:t>
      </w:r>
      <w:r w:rsidR="003D7204">
        <w:rPr>
          <w:rFonts w:eastAsia="Arial Unicode MS"/>
          <w:bCs/>
        </w:rPr>
        <w:t>,</w:t>
      </w:r>
      <w:r w:rsidR="00736F82" w:rsidRPr="007F6A51">
        <w:rPr>
          <w:rFonts w:eastAsia="Arial Unicode MS"/>
          <w:bCs/>
        </w:rPr>
        <w:t xml:space="preserve"> with the exception of systems sCT:T:HPβCD 5:38:57 and 5:28:67 that maintained their initial morphology </w:t>
      </w:r>
      <w:r w:rsidR="00736F82" w:rsidRPr="00C74649">
        <w:rPr>
          <w:rFonts w:eastAsia="Arial Unicode MS"/>
          <w:bCs/>
        </w:rPr>
        <w:t>(</w:t>
      </w:r>
      <w:r w:rsidR="00C74649" w:rsidRPr="00C74649">
        <w:rPr>
          <w:rFonts w:eastAsia="Arial Unicode MS"/>
          <w:bCs/>
        </w:rPr>
        <w:t xml:space="preserve">Figure </w:t>
      </w:r>
      <w:r w:rsidR="00E91E60">
        <w:rPr>
          <w:rFonts w:eastAsia="Arial Unicode MS"/>
          <w:bCs/>
        </w:rPr>
        <w:t>5</w:t>
      </w:r>
      <w:r w:rsidR="00736F82" w:rsidRPr="00C74649">
        <w:rPr>
          <w:rFonts w:eastAsia="Arial Unicode MS"/>
          <w:bCs/>
        </w:rPr>
        <w:t xml:space="preserve">). </w:t>
      </w:r>
      <w:r w:rsidR="00DA7485">
        <w:rPr>
          <w:rFonts w:eastAsia="Arial Unicode MS"/>
          <w:bCs/>
        </w:rPr>
        <w:t>The remaining</w:t>
      </w:r>
      <w:r w:rsidR="00736F82" w:rsidRPr="007F6A51">
        <w:rPr>
          <w:rFonts w:eastAsia="Arial Unicode MS"/>
          <w:bCs/>
        </w:rPr>
        <w:t xml:space="preserve"> sCT:Trehalose systems, particles </w:t>
      </w:r>
      <w:r w:rsidR="00736F82" w:rsidRPr="006F1174">
        <w:rPr>
          <w:rFonts w:eastAsia="Arial Unicode MS"/>
          <w:bCs/>
        </w:rPr>
        <w:t>lost their characteristic porosity, presenting smooth, smooth with cracks, or rough surfaces</w:t>
      </w:r>
      <w:r w:rsidR="00C74649" w:rsidRPr="00C74649">
        <w:rPr>
          <w:rFonts w:eastAsia="Arial Unicode MS"/>
          <w:bCs/>
        </w:rPr>
        <w:t xml:space="preserve">. </w:t>
      </w:r>
      <w:r w:rsidR="00736F82" w:rsidRPr="006F1174">
        <w:rPr>
          <w:rFonts w:eastAsia="Arial Unicode MS"/>
          <w:bCs/>
        </w:rPr>
        <w:t xml:space="preserve">According to </w:t>
      </w:r>
      <w:r w:rsidR="005F346E">
        <w:rPr>
          <w:rFonts w:eastAsia="Arial Unicode MS"/>
          <w:bCs/>
        </w:rPr>
        <w:t xml:space="preserve">the classification system presented by </w:t>
      </w:r>
      <w:r w:rsidR="00AA5EB8">
        <w:rPr>
          <w:rFonts w:eastAsia="Arial Unicode MS"/>
          <w:color w:val="000000"/>
        </w:rPr>
        <w:t>Paluch et al. (</w:t>
      </w:r>
      <w:r w:rsidR="00AA5EB8" w:rsidRPr="006F1174">
        <w:rPr>
          <w:rFonts w:eastAsia="Arial Unicode MS"/>
          <w:color w:val="000000"/>
        </w:rPr>
        <w:t>2012</w:t>
      </w:r>
      <w:r w:rsidR="00AA5EB8">
        <w:rPr>
          <w:rFonts w:eastAsia="Arial Unicode MS"/>
          <w:color w:val="000000"/>
        </w:rPr>
        <w:t>),</w:t>
      </w:r>
      <w:r w:rsidR="00736F82" w:rsidRPr="006F1174">
        <w:rPr>
          <w:rFonts w:eastAsia="Arial Unicode MS"/>
          <w:bCs/>
        </w:rPr>
        <w:t xml:space="preserve"> particles changed from type </w:t>
      </w:r>
      <w:r w:rsidR="00736F82" w:rsidRPr="006F1174">
        <w:rPr>
          <w:rFonts w:eastAsia="Arial Unicode MS"/>
          <w:color w:val="000000"/>
        </w:rPr>
        <w:t>1BIIIα to type 1A</w:t>
      </w:r>
      <w:r w:rsidR="00736F82">
        <w:rPr>
          <w:rFonts w:eastAsia="Arial Unicode MS"/>
          <w:color w:val="000000"/>
        </w:rPr>
        <w:t>I</w:t>
      </w:r>
      <w:r w:rsidR="00AA5EB8">
        <w:rPr>
          <w:rFonts w:eastAsia="Arial Unicode MS"/>
          <w:color w:val="000000"/>
        </w:rPr>
        <w:t>γ</w:t>
      </w:r>
      <w:r w:rsidR="00736F82" w:rsidRPr="006F1174">
        <w:rPr>
          <w:rFonts w:eastAsia="Arial Unicode MS"/>
          <w:color w:val="000000"/>
        </w:rPr>
        <w:t>.</w:t>
      </w:r>
    </w:p>
    <w:p w14:paraId="349F863E" w14:textId="0C1A50DC" w:rsidR="00736F82" w:rsidRPr="006F1174" w:rsidRDefault="00736F82" w:rsidP="00AB3717">
      <w:pPr>
        <w:spacing w:line="360" w:lineRule="auto"/>
        <w:jc w:val="both"/>
        <w:rPr>
          <w:rFonts w:eastAsia="Arial Unicode MS"/>
          <w:bCs/>
        </w:rPr>
      </w:pPr>
      <w:r w:rsidRPr="006F1174">
        <w:rPr>
          <w:rFonts w:eastAsia="Arial Unicode MS"/>
          <w:bCs/>
        </w:rPr>
        <w:t>All sCT:Raffinose and sCT:T:HPβCD composite systems remained XRD-amorphous during the 24-week stability</w:t>
      </w:r>
      <w:r w:rsidR="00C820D0">
        <w:rPr>
          <w:rFonts w:eastAsia="Arial Unicode MS"/>
          <w:bCs/>
        </w:rPr>
        <w:t xml:space="preserve"> study</w:t>
      </w:r>
      <w:r w:rsidRPr="006F1174">
        <w:rPr>
          <w:rFonts w:eastAsia="Arial Unicode MS"/>
          <w:bCs/>
        </w:rPr>
        <w:t xml:space="preserve">. However, the sCT:T composite system presented peaks of small intensity at 17.5°, 20.7°, 22.7° and 25.4°, </w:t>
      </w:r>
      <w:r w:rsidR="005F346E" w:rsidRPr="006F1174">
        <w:rPr>
          <w:rFonts w:eastAsia="Arial Unicode MS"/>
          <w:bCs/>
        </w:rPr>
        <w:t>i</w:t>
      </w:r>
      <w:r w:rsidR="005F346E">
        <w:rPr>
          <w:rFonts w:eastAsia="Arial Unicode MS"/>
          <w:bCs/>
        </w:rPr>
        <w:t>ndicating</w:t>
      </w:r>
      <w:r w:rsidR="005F346E" w:rsidRPr="006F1174">
        <w:rPr>
          <w:rFonts w:eastAsia="Arial Unicode MS"/>
          <w:bCs/>
        </w:rPr>
        <w:t xml:space="preserve"> </w:t>
      </w:r>
      <w:r w:rsidRPr="006F1174">
        <w:rPr>
          <w:rFonts w:eastAsia="Arial Unicode MS"/>
          <w:bCs/>
        </w:rPr>
        <w:t xml:space="preserve">the start of trehalose crystallisation. DSC of sCT:Raffinose composite systems showed no changes, indicating no </w:t>
      </w:r>
      <w:r w:rsidR="006A2D1F">
        <w:rPr>
          <w:rFonts w:eastAsia="Arial Unicode MS"/>
          <w:bCs/>
        </w:rPr>
        <w:t>crystallization or glass transition temperature depression</w:t>
      </w:r>
      <w:r w:rsidRPr="006F1174">
        <w:rPr>
          <w:rFonts w:eastAsia="Arial Unicode MS"/>
          <w:bCs/>
        </w:rPr>
        <w:t>, under the storage conditions studied f</w:t>
      </w:r>
      <w:r w:rsidR="00C74649">
        <w:rPr>
          <w:rFonts w:eastAsia="Arial Unicode MS"/>
          <w:bCs/>
        </w:rPr>
        <w:t>or 24 weeks</w:t>
      </w:r>
      <w:r w:rsidRPr="006F1174">
        <w:rPr>
          <w:rFonts w:eastAsia="Arial Unicode MS"/>
          <w:bCs/>
        </w:rPr>
        <w:t>.</w:t>
      </w:r>
      <w:r w:rsidRPr="006F1174">
        <w:rPr>
          <w:rFonts w:eastAsia="Arial Unicode MS"/>
          <w:bCs/>
          <w:color w:val="FF0000"/>
        </w:rPr>
        <w:t xml:space="preserve"> </w:t>
      </w:r>
      <w:r w:rsidR="006A2D1F">
        <w:rPr>
          <w:rFonts w:eastAsia="Arial Unicode MS"/>
          <w:bCs/>
          <w:color w:val="FF0000"/>
        </w:rPr>
        <w:t xml:space="preserve">However, </w:t>
      </w:r>
      <w:r w:rsidR="006A2D1F">
        <w:rPr>
          <w:rFonts w:eastAsia="Arial Unicode MS"/>
          <w:bCs/>
        </w:rPr>
        <w:t>c</w:t>
      </w:r>
      <w:r w:rsidRPr="006F1174">
        <w:rPr>
          <w:rFonts w:eastAsia="Arial Unicode MS"/>
          <w:bCs/>
        </w:rPr>
        <w:t xml:space="preserve">omposite systems of sCT:T:HPβCD  stored under 4 °C/ 5% RH for 24 weeks displayed some </w:t>
      </w:r>
      <w:r w:rsidR="00AA5EB8">
        <w:rPr>
          <w:rFonts w:eastAsia="Arial Unicode MS"/>
          <w:bCs/>
        </w:rPr>
        <w:t>d</w:t>
      </w:r>
      <w:r w:rsidRPr="006F1174">
        <w:rPr>
          <w:rFonts w:eastAsia="Arial Unicode MS"/>
          <w:bCs/>
        </w:rPr>
        <w:t>epression of the glass transition temperature</w:t>
      </w:r>
      <w:r w:rsidR="006A2D1F">
        <w:rPr>
          <w:rFonts w:eastAsia="Arial Unicode MS"/>
          <w:bCs/>
        </w:rPr>
        <w:t>:</w:t>
      </w:r>
      <w:r w:rsidRPr="006F1174">
        <w:rPr>
          <w:rFonts w:eastAsia="Arial Unicode MS"/>
          <w:bCs/>
        </w:rPr>
        <w:t xml:space="preserve"> after 4 weeks</w:t>
      </w:r>
      <w:r w:rsidR="00AA5EB8">
        <w:rPr>
          <w:rFonts w:eastAsia="Arial Unicode MS"/>
          <w:bCs/>
        </w:rPr>
        <w:t xml:space="preserve">, </w:t>
      </w:r>
      <w:r w:rsidRPr="006F1174">
        <w:rPr>
          <w:rFonts w:eastAsia="Arial Unicode MS"/>
          <w:bCs/>
        </w:rPr>
        <w:t xml:space="preserve"> sCT:T:HPβCD 5:67:28 </w:t>
      </w:r>
      <w:r w:rsidR="006A2D1F">
        <w:rPr>
          <w:rFonts w:eastAsia="Arial Unicode MS"/>
          <w:bCs/>
        </w:rPr>
        <w:t>presented</w:t>
      </w:r>
      <w:r w:rsidR="00AA5EB8">
        <w:rPr>
          <w:rFonts w:eastAsia="Arial Unicode MS"/>
          <w:bCs/>
        </w:rPr>
        <w:t xml:space="preserve"> a </w:t>
      </w:r>
      <w:r w:rsidR="005F346E">
        <w:rPr>
          <w:rFonts w:eastAsia="Arial Unicode MS"/>
          <w:bCs/>
        </w:rPr>
        <w:t>T</w:t>
      </w:r>
      <w:r w:rsidR="005F346E" w:rsidRPr="00F07887">
        <w:rPr>
          <w:rFonts w:eastAsia="Arial Unicode MS"/>
          <w:bCs/>
          <w:vertAlign w:val="subscript"/>
        </w:rPr>
        <w:t>g</w:t>
      </w:r>
      <w:r w:rsidR="005F346E">
        <w:rPr>
          <w:rFonts w:eastAsia="Arial Unicode MS"/>
          <w:bCs/>
        </w:rPr>
        <w:t xml:space="preserve"> at approx. </w:t>
      </w:r>
      <w:r w:rsidRPr="006F1174">
        <w:rPr>
          <w:rFonts w:eastAsia="Arial Unicode MS"/>
          <w:bCs/>
        </w:rPr>
        <w:t xml:space="preserve">125 °C and </w:t>
      </w:r>
      <w:r w:rsidR="00AA5EB8" w:rsidRPr="006F1174">
        <w:rPr>
          <w:rFonts w:eastAsia="Arial Unicode MS"/>
          <w:bCs/>
        </w:rPr>
        <w:t xml:space="preserve">sCT:T:HPβCD </w:t>
      </w:r>
      <w:r w:rsidRPr="006F1174">
        <w:rPr>
          <w:rFonts w:eastAsia="Arial Unicode MS"/>
          <w:bCs/>
        </w:rPr>
        <w:t xml:space="preserve">5:28:67 </w:t>
      </w:r>
      <w:r w:rsidR="00AA5EB8">
        <w:rPr>
          <w:rFonts w:eastAsia="Arial Unicode MS"/>
          <w:bCs/>
        </w:rPr>
        <w:t xml:space="preserve">a </w:t>
      </w:r>
      <w:r w:rsidR="005F346E" w:rsidRPr="006F1174">
        <w:rPr>
          <w:rFonts w:eastAsia="Arial Unicode MS"/>
          <w:bCs/>
        </w:rPr>
        <w:t>T</w:t>
      </w:r>
      <w:r w:rsidR="005F346E" w:rsidRPr="00F07887">
        <w:rPr>
          <w:rFonts w:eastAsia="Arial Unicode MS"/>
          <w:bCs/>
          <w:vertAlign w:val="subscript"/>
        </w:rPr>
        <w:t>g</w:t>
      </w:r>
      <w:r w:rsidR="005F346E" w:rsidRPr="006F1174">
        <w:rPr>
          <w:rFonts w:eastAsia="Arial Unicode MS"/>
          <w:bCs/>
        </w:rPr>
        <w:t xml:space="preserve"> </w:t>
      </w:r>
      <w:r w:rsidR="005F346E">
        <w:rPr>
          <w:rFonts w:eastAsia="Arial Unicode MS"/>
          <w:bCs/>
        </w:rPr>
        <w:t xml:space="preserve">at approx. </w:t>
      </w:r>
      <w:r w:rsidR="00AA5EB8">
        <w:rPr>
          <w:rFonts w:eastAsia="Arial Unicode MS"/>
          <w:bCs/>
        </w:rPr>
        <w:t>170°C</w:t>
      </w:r>
      <w:r w:rsidR="008576A9">
        <w:rPr>
          <w:rFonts w:eastAsia="Arial Unicode MS"/>
          <w:bCs/>
        </w:rPr>
        <w:t xml:space="preserve">; </w:t>
      </w:r>
      <w:r w:rsidRPr="006F1174">
        <w:rPr>
          <w:rFonts w:eastAsia="Arial Unicode MS"/>
          <w:bCs/>
        </w:rPr>
        <w:t>after 16 weeks</w:t>
      </w:r>
      <w:r w:rsidR="00AA5EB8">
        <w:rPr>
          <w:rFonts w:eastAsia="Arial Unicode MS"/>
          <w:bCs/>
        </w:rPr>
        <w:t>,</w:t>
      </w:r>
      <w:r w:rsidRPr="006F1174">
        <w:rPr>
          <w:rFonts w:eastAsia="Arial Unicode MS"/>
          <w:bCs/>
        </w:rPr>
        <w:t xml:space="preserve"> sCT:T:HPβCD 5:38:57</w:t>
      </w:r>
      <w:r w:rsidR="00AA5EB8">
        <w:rPr>
          <w:rFonts w:eastAsia="Arial Unicode MS"/>
          <w:bCs/>
        </w:rPr>
        <w:t xml:space="preserve"> </w:t>
      </w:r>
      <w:r w:rsidR="006A2D1F">
        <w:rPr>
          <w:rFonts w:eastAsia="Arial Unicode MS"/>
          <w:bCs/>
        </w:rPr>
        <w:t>showed</w:t>
      </w:r>
      <w:r w:rsidR="00AA5EB8">
        <w:rPr>
          <w:rFonts w:eastAsia="Arial Unicode MS"/>
          <w:bCs/>
        </w:rPr>
        <w:t xml:space="preserve"> a </w:t>
      </w:r>
      <w:r w:rsidRPr="006F1174">
        <w:rPr>
          <w:rFonts w:eastAsia="Arial Unicode MS"/>
          <w:bCs/>
        </w:rPr>
        <w:t>T</w:t>
      </w:r>
      <w:r w:rsidRPr="00F07887">
        <w:rPr>
          <w:rFonts w:eastAsia="Arial Unicode MS"/>
          <w:bCs/>
          <w:vertAlign w:val="subscript"/>
        </w:rPr>
        <w:t xml:space="preserve">g </w:t>
      </w:r>
      <w:r w:rsidR="005F346E">
        <w:rPr>
          <w:rFonts w:eastAsia="Arial Unicode MS"/>
          <w:bCs/>
        </w:rPr>
        <w:t xml:space="preserve">at approx. </w:t>
      </w:r>
      <w:r w:rsidR="00AA5EB8">
        <w:rPr>
          <w:rFonts w:eastAsia="Arial Unicode MS"/>
          <w:bCs/>
        </w:rPr>
        <w:t>140 °C</w:t>
      </w:r>
      <w:r w:rsidRPr="006F1174">
        <w:rPr>
          <w:rFonts w:eastAsia="Arial Unicode MS"/>
          <w:bCs/>
        </w:rPr>
        <w:t>.</w:t>
      </w:r>
      <w:r w:rsidRPr="008576A9">
        <w:rPr>
          <w:rFonts w:eastAsia="Arial Unicode MS"/>
          <w:bCs/>
          <w:color w:val="FF0000"/>
        </w:rPr>
        <w:t xml:space="preserve"> </w:t>
      </w:r>
      <w:r w:rsidRPr="006F1174">
        <w:rPr>
          <w:rFonts w:eastAsia="Arial Unicode MS"/>
          <w:bCs/>
        </w:rPr>
        <w:t>Under the same storage conditions, no differences in the DSC scans were found for the remaining trehalose composite systems. DSC scans of samples stored at 25 °C/</w:t>
      </w:r>
      <w:r>
        <w:rPr>
          <w:rFonts w:eastAsia="Arial Unicode MS"/>
          <w:bCs/>
        </w:rPr>
        <w:t>&lt;</w:t>
      </w:r>
      <w:r w:rsidRPr="006F1174">
        <w:rPr>
          <w:rFonts w:eastAsia="Arial Unicode MS"/>
          <w:bCs/>
        </w:rPr>
        <w:t xml:space="preserve"> 5%RH only showed differences for sCT:T:HPβCD 5:28:67, with a reduction of the glass transition temperature after 4 weeks (T</w:t>
      </w:r>
      <w:r w:rsidRPr="00F07887">
        <w:rPr>
          <w:rFonts w:eastAsia="Arial Unicode MS"/>
          <w:bCs/>
          <w:vertAlign w:val="subscript"/>
        </w:rPr>
        <w:t>g</w:t>
      </w:r>
      <w:r w:rsidR="00C74649">
        <w:rPr>
          <w:rFonts w:eastAsia="Arial Unicode MS"/>
          <w:bCs/>
        </w:rPr>
        <w:t xml:space="preserve"> </w:t>
      </w:r>
      <w:r w:rsidRPr="006F1174">
        <w:rPr>
          <w:rFonts w:eastAsia="Arial Unicode MS"/>
          <w:bCs/>
        </w:rPr>
        <w:t xml:space="preserve"> </w:t>
      </w:r>
      <w:r w:rsidR="00C74649" w:rsidRPr="006F1174">
        <w:rPr>
          <w:rFonts w:eastAsia="Arial Unicode MS"/>
          <w:bCs/>
        </w:rPr>
        <w:t xml:space="preserve"> </w:t>
      </w:r>
      <w:r w:rsidR="005F346E">
        <w:rPr>
          <w:rFonts w:eastAsia="Arial Unicode MS"/>
          <w:bCs/>
        </w:rPr>
        <w:t xml:space="preserve">approx. </w:t>
      </w:r>
      <w:r w:rsidRPr="006F1174">
        <w:rPr>
          <w:rFonts w:eastAsia="Arial Unicode MS"/>
          <w:bCs/>
        </w:rPr>
        <w:t>167 °C). sCT:T crystallisation and melting onset occurred at the same temperature in all DSC scans and the enthalpy of crystallisation and fusion were unchanged (T</w:t>
      </w:r>
      <w:r w:rsidRPr="00F07887">
        <w:rPr>
          <w:rFonts w:eastAsia="Arial Unicode MS"/>
          <w:bCs/>
          <w:vertAlign w:val="subscript"/>
        </w:rPr>
        <w:t>c</w:t>
      </w:r>
      <w:r w:rsidRPr="006F1174">
        <w:rPr>
          <w:rFonts w:eastAsia="Arial Unicode MS"/>
          <w:bCs/>
        </w:rPr>
        <w:t xml:space="preserve"> </w:t>
      </w:r>
      <w:r w:rsidR="00C74649" w:rsidRPr="006F1174">
        <w:rPr>
          <w:rFonts w:eastAsia="Arial Unicode MS"/>
          <w:bCs/>
        </w:rPr>
        <w:t xml:space="preserve"> </w:t>
      </w:r>
      <w:r w:rsidR="00C74649">
        <w:rPr>
          <w:rFonts w:eastAsia="Arial Unicode MS"/>
          <w:bCs/>
        </w:rPr>
        <w:t>̴</w:t>
      </w:r>
      <w:r w:rsidR="005F346E">
        <w:rPr>
          <w:rFonts w:eastAsia="Arial Unicode MS"/>
          <w:bCs/>
        </w:rPr>
        <w:t xml:space="preserve"> </w:t>
      </w:r>
      <w:r w:rsidRPr="006F1174">
        <w:rPr>
          <w:rFonts w:eastAsia="Arial Unicode MS"/>
          <w:bCs/>
        </w:rPr>
        <w:t>158 °C, ΔH</w:t>
      </w:r>
      <w:r w:rsidRPr="00F07887">
        <w:rPr>
          <w:rFonts w:eastAsia="Arial Unicode MS"/>
          <w:bCs/>
          <w:vertAlign w:val="subscript"/>
        </w:rPr>
        <w:t>c</w:t>
      </w:r>
      <w:r w:rsidRPr="006F1174">
        <w:rPr>
          <w:rFonts w:eastAsia="Arial Unicode MS"/>
          <w:bCs/>
        </w:rPr>
        <w:t xml:space="preserve"> </w:t>
      </w:r>
      <w:r w:rsidR="00C74649" w:rsidRPr="006F1174">
        <w:rPr>
          <w:rFonts w:eastAsia="Arial Unicode MS"/>
          <w:bCs/>
        </w:rPr>
        <w:t xml:space="preserve"> </w:t>
      </w:r>
      <w:r w:rsidR="00C74649">
        <w:rPr>
          <w:rFonts w:eastAsia="Arial Unicode MS"/>
          <w:bCs/>
        </w:rPr>
        <w:t>̴</w:t>
      </w:r>
      <w:r w:rsidR="005F346E">
        <w:rPr>
          <w:rFonts w:eastAsia="Arial Unicode MS"/>
          <w:bCs/>
        </w:rPr>
        <w:t xml:space="preserve"> </w:t>
      </w:r>
      <w:r w:rsidRPr="006F1174">
        <w:rPr>
          <w:rFonts w:eastAsia="Arial Unicode MS"/>
          <w:bCs/>
        </w:rPr>
        <w:t>89 J/g; T</w:t>
      </w:r>
      <w:r w:rsidRPr="00F07887">
        <w:rPr>
          <w:rFonts w:eastAsia="Arial Unicode MS"/>
          <w:bCs/>
          <w:vertAlign w:val="subscript"/>
        </w:rPr>
        <w:t>m</w:t>
      </w:r>
      <w:r w:rsidR="00C74649">
        <w:rPr>
          <w:rFonts w:eastAsia="Arial Unicode MS"/>
          <w:bCs/>
        </w:rPr>
        <w:t xml:space="preserve"> </w:t>
      </w:r>
      <w:r w:rsidRPr="006F1174">
        <w:rPr>
          <w:rFonts w:eastAsia="Arial Unicode MS"/>
          <w:bCs/>
        </w:rPr>
        <w:t xml:space="preserve"> </w:t>
      </w:r>
      <w:r w:rsidR="00C74649" w:rsidRPr="006F1174">
        <w:rPr>
          <w:rFonts w:eastAsia="Arial Unicode MS"/>
          <w:bCs/>
        </w:rPr>
        <w:t xml:space="preserve"> </w:t>
      </w:r>
      <w:r w:rsidR="00C74649">
        <w:rPr>
          <w:rFonts w:eastAsia="Arial Unicode MS"/>
          <w:bCs/>
        </w:rPr>
        <w:t>̴</w:t>
      </w:r>
      <w:r w:rsidR="005F346E">
        <w:rPr>
          <w:rFonts w:eastAsia="Arial Unicode MS"/>
          <w:bCs/>
        </w:rPr>
        <w:t xml:space="preserve"> </w:t>
      </w:r>
      <w:r w:rsidRPr="006F1174">
        <w:rPr>
          <w:rFonts w:eastAsia="Arial Unicode MS"/>
          <w:bCs/>
        </w:rPr>
        <w:t>209 °C, ΔH</w:t>
      </w:r>
      <w:r w:rsidRPr="00F07887">
        <w:rPr>
          <w:rFonts w:eastAsia="Arial Unicode MS"/>
          <w:bCs/>
          <w:vertAlign w:val="subscript"/>
        </w:rPr>
        <w:t>m</w:t>
      </w:r>
      <w:r w:rsidR="00C74649">
        <w:rPr>
          <w:rFonts w:eastAsia="Arial Unicode MS"/>
          <w:bCs/>
        </w:rPr>
        <w:t xml:space="preserve"> </w:t>
      </w:r>
      <w:r w:rsidR="00C74649" w:rsidRPr="006F1174">
        <w:rPr>
          <w:rFonts w:eastAsia="Arial Unicode MS"/>
          <w:bCs/>
        </w:rPr>
        <w:t xml:space="preserve"> </w:t>
      </w:r>
      <w:r w:rsidR="00C74649">
        <w:rPr>
          <w:rFonts w:eastAsia="Arial Unicode MS"/>
          <w:bCs/>
        </w:rPr>
        <w:t>̴</w:t>
      </w:r>
      <w:r w:rsidR="005F346E">
        <w:rPr>
          <w:rFonts w:eastAsia="Arial Unicode MS"/>
          <w:bCs/>
        </w:rPr>
        <w:t xml:space="preserve"> </w:t>
      </w:r>
      <w:r w:rsidRPr="006F1174">
        <w:rPr>
          <w:rFonts w:eastAsia="Arial Unicode MS"/>
          <w:bCs/>
        </w:rPr>
        <w:t>130 J/g)</w:t>
      </w:r>
      <w:r w:rsidR="00D169AF">
        <w:rPr>
          <w:rFonts w:eastAsia="Arial Unicode MS"/>
          <w:bCs/>
        </w:rPr>
        <w:t>,</w:t>
      </w:r>
      <w:r w:rsidRPr="006F1174">
        <w:rPr>
          <w:rFonts w:eastAsia="Arial Unicode MS"/>
          <w:bCs/>
        </w:rPr>
        <w:t xml:space="preserve"> independent of storage conditions.</w:t>
      </w:r>
    </w:p>
    <w:p w14:paraId="66EDC1CD" w14:textId="2941D806" w:rsidR="00736F82" w:rsidRPr="006F1174" w:rsidRDefault="00736F82" w:rsidP="00AB3717">
      <w:pPr>
        <w:spacing w:line="360" w:lineRule="auto"/>
        <w:jc w:val="both"/>
        <w:rPr>
          <w:rFonts w:eastAsia="Arial Unicode MS"/>
          <w:bCs/>
        </w:rPr>
      </w:pPr>
      <w:r w:rsidRPr="006F1174">
        <w:rPr>
          <w:rFonts w:eastAsia="Arial Unicode MS"/>
          <w:bCs/>
        </w:rPr>
        <w:t xml:space="preserve">FTIR spectra of the amide region I of each sample </w:t>
      </w:r>
      <w:r w:rsidR="005F346E" w:rsidRPr="006F1174">
        <w:rPr>
          <w:rFonts w:eastAsia="Arial Unicode MS"/>
          <w:bCs/>
        </w:rPr>
        <w:t>w</w:t>
      </w:r>
      <w:r w:rsidR="005F346E">
        <w:rPr>
          <w:rFonts w:eastAsia="Arial Unicode MS"/>
          <w:bCs/>
        </w:rPr>
        <w:t>ere</w:t>
      </w:r>
      <w:r w:rsidR="005F346E" w:rsidRPr="006F1174">
        <w:rPr>
          <w:rFonts w:eastAsia="Arial Unicode MS"/>
          <w:bCs/>
        </w:rPr>
        <w:t xml:space="preserve"> </w:t>
      </w:r>
      <w:r w:rsidRPr="006F1174">
        <w:rPr>
          <w:rFonts w:eastAsia="Arial Unicode MS"/>
          <w:bCs/>
        </w:rPr>
        <w:t>collected at week</w:t>
      </w:r>
      <w:r w:rsidR="005F346E">
        <w:rPr>
          <w:rFonts w:eastAsia="Arial Unicode MS"/>
          <w:bCs/>
        </w:rPr>
        <w:t>s</w:t>
      </w:r>
      <w:r w:rsidRPr="006F1174">
        <w:rPr>
          <w:rFonts w:eastAsia="Arial Unicode MS"/>
          <w:bCs/>
        </w:rPr>
        <w:t xml:space="preserve"> 4, 12 and 24. Shifts in the amide I band position, throughout storage, were evident for all samples with the exception of the s</w:t>
      </w:r>
      <w:r w:rsidR="00C74649">
        <w:rPr>
          <w:rFonts w:eastAsia="Arial Unicode MS"/>
          <w:bCs/>
        </w:rPr>
        <w:t>CT:R system;</w:t>
      </w:r>
      <w:r w:rsidRPr="006F1174">
        <w:rPr>
          <w:rFonts w:eastAsia="Arial Unicode MS"/>
          <w:bCs/>
        </w:rPr>
        <w:t xml:space="preserve"> composite systems of sCT:R:HPβCD shifted from 1658 cm</w:t>
      </w:r>
      <w:r w:rsidRPr="006F1174">
        <w:rPr>
          <w:rFonts w:eastAsia="Arial Unicode MS"/>
          <w:bCs/>
          <w:vertAlign w:val="superscript"/>
        </w:rPr>
        <w:t>-1</w:t>
      </w:r>
      <w:r w:rsidRPr="006F1174">
        <w:rPr>
          <w:rFonts w:eastAsia="Arial Unicode MS"/>
          <w:bCs/>
        </w:rPr>
        <w:t xml:space="preserve"> to ~1656 cm</w:t>
      </w:r>
      <w:r w:rsidRPr="006F1174">
        <w:rPr>
          <w:rFonts w:eastAsia="Arial Unicode MS"/>
          <w:bCs/>
          <w:vertAlign w:val="superscript"/>
        </w:rPr>
        <w:t>-1</w:t>
      </w:r>
      <w:r w:rsidRPr="006F1174">
        <w:rPr>
          <w:rFonts w:eastAsia="Arial Unicode MS"/>
          <w:bCs/>
        </w:rPr>
        <w:t>, sCT:Trehalose systems from 1655 cm</w:t>
      </w:r>
      <w:r w:rsidRPr="006F1174">
        <w:rPr>
          <w:rFonts w:eastAsia="Arial Unicode MS"/>
          <w:bCs/>
          <w:vertAlign w:val="superscript"/>
        </w:rPr>
        <w:t>-1</w:t>
      </w:r>
      <w:r w:rsidRPr="006F1174">
        <w:rPr>
          <w:rFonts w:eastAsia="Arial Unicode MS"/>
          <w:bCs/>
        </w:rPr>
        <w:t xml:space="preserve"> to ~1658 cm</w:t>
      </w:r>
      <w:r w:rsidRPr="006F1174">
        <w:rPr>
          <w:rFonts w:eastAsia="Arial Unicode MS"/>
          <w:bCs/>
          <w:vertAlign w:val="superscript"/>
        </w:rPr>
        <w:t>-1</w:t>
      </w:r>
      <w:r w:rsidRPr="006F1174">
        <w:rPr>
          <w:rFonts w:eastAsia="Arial Unicode MS"/>
          <w:bCs/>
        </w:rPr>
        <w:t xml:space="preserve">. Table </w:t>
      </w:r>
      <w:r w:rsidR="00C74649">
        <w:rPr>
          <w:rFonts w:eastAsia="Arial Unicode MS"/>
          <w:bCs/>
        </w:rPr>
        <w:t>3</w:t>
      </w:r>
      <w:r w:rsidRPr="006F1174">
        <w:rPr>
          <w:rFonts w:eastAsia="Arial Unicode MS"/>
          <w:bCs/>
        </w:rPr>
        <w:t xml:space="preserve"> presents the calculated area overlap. A decrease in the area overlap was seen for all sCT composite systems; mobility of molecules is thought to have increased with changes in sCT conformation.</w:t>
      </w:r>
    </w:p>
    <w:p w14:paraId="4A30C80A" w14:textId="689CAE48" w:rsidR="00736F82" w:rsidRPr="00AA5EB8" w:rsidRDefault="00736F82" w:rsidP="00AB3717">
      <w:pPr>
        <w:spacing w:line="360" w:lineRule="auto"/>
        <w:jc w:val="both"/>
        <w:rPr>
          <w:rFonts w:eastAsia="Arial Unicode MS"/>
          <w:bCs/>
          <w:color w:val="FF0000"/>
          <w:u w:val="single"/>
        </w:rPr>
      </w:pPr>
      <w:r w:rsidRPr="006F1174">
        <w:rPr>
          <w:rFonts w:eastAsia="Arial Unicode MS"/>
          <w:bCs/>
        </w:rPr>
        <w:lastRenderedPageBreak/>
        <w:t>Biological activity assay</w:t>
      </w:r>
      <w:r w:rsidR="005F346E">
        <w:rPr>
          <w:rFonts w:eastAsia="Arial Unicode MS"/>
          <w:bCs/>
        </w:rPr>
        <w:t>s</w:t>
      </w:r>
      <w:r w:rsidRPr="006F1174">
        <w:rPr>
          <w:rFonts w:eastAsia="Arial Unicode MS"/>
          <w:bCs/>
        </w:rPr>
        <w:t xml:space="preserve"> showed good retention of </w:t>
      </w:r>
      <w:r w:rsidRPr="006F1174">
        <w:rPr>
          <w:rFonts w:eastAsia="Arial Unicode MS"/>
          <w:color w:val="000000"/>
        </w:rPr>
        <w:t>cAMP-secreting activity</w:t>
      </w:r>
      <w:r w:rsidRPr="006F1174">
        <w:rPr>
          <w:rFonts w:eastAsia="Arial Unicode MS"/>
          <w:bCs/>
        </w:rPr>
        <w:t xml:space="preserve"> on storage at 4 and 25 °C/</w:t>
      </w:r>
      <w:r>
        <w:rPr>
          <w:rFonts w:eastAsia="Arial Unicode MS"/>
          <w:bCs/>
        </w:rPr>
        <w:t>&lt;</w:t>
      </w:r>
      <w:r w:rsidRPr="006F1174">
        <w:rPr>
          <w:rFonts w:eastAsia="Arial Unicode MS"/>
          <w:bCs/>
        </w:rPr>
        <w:t xml:space="preserve"> 5% RH for 24 weeks for all sCT:Raffinose composite systems (</w:t>
      </w:r>
      <w:r w:rsidR="00C74649">
        <w:rPr>
          <w:rFonts w:eastAsia="Arial Unicode MS"/>
          <w:bCs/>
        </w:rPr>
        <w:t>Table</w:t>
      </w:r>
      <w:r w:rsidRPr="006F1174">
        <w:rPr>
          <w:rFonts w:eastAsia="Arial Unicode MS"/>
          <w:bCs/>
        </w:rPr>
        <w:t xml:space="preserve"> 3), with no statistically significant change compared to freshly spray-dried material. Bioactivity of sCT:Trehalose composite systems at the storage conditions studied, was reduced aft</w:t>
      </w:r>
      <w:r>
        <w:rPr>
          <w:rFonts w:eastAsia="Arial Unicode MS"/>
          <w:bCs/>
        </w:rPr>
        <w:t>er 24 weeks (</w:t>
      </w:r>
      <w:r w:rsidR="00C74649">
        <w:rPr>
          <w:rFonts w:eastAsia="Arial Unicode MS"/>
          <w:bCs/>
        </w:rPr>
        <w:t>Table</w:t>
      </w:r>
      <w:r>
        <w:rPr>
          <w:rFonts w:eastAsia="Arial Unicode MS"/>
          <w:bCs/>
        </w:rPr>
        <w:t xml:space="preserve"> 3</w:t>
      </w:r>
      <w:r w:rsidRPr="006F1174">
        <w:rPr>
          <w:rFonts w:eastAsia="Arial Unicode MS"/>
          <w:bCs/>
        </w:rPr>
        <w:t xml:space="preserve">). </w:t>
      </w:r>
      <w:r w:rsidR="00E71762">
        <w:rPr>
          <w:rFonts w:eastAsia="Arial Unicode MS"/>
          <w:bCs/>
        </w:rPr>
        <w:t>However, t</w:t>
      </w:r>
      <w:r w:rsidRPr="006F1174">
        <w:rPr>
          <w:rFonts w:eastAsia="Arial Unicode MS"/>
          <w:bCs/>
        </w:rPr>
        <w:t>he reduction of specific activity was only statistica</w:t>
      </w:r>
      <w:r w:rsidR="00C74649">
        <w:rPr>
          <w:rFonts w:eastAsia="Arial Unicode MS"/>
          <w:bCs/>
        </w:rPr>
        <w:t xml:space="preserve">lly significant for sCT:T </w:t>
      </w:r>
      <w:r w:rsidRPr="006F1174">
        <w:rPr>
          <w:rFonts w:eastAsia="Arial Unicode MS"/>
          <w:bCs/>
        </w:rPr>
        <w:t>and sCT:T:HPβCD 5:28:57 systems</w:t>
      </w:r>
      <w:r w:rsidR="00FC215C">
        <w:rPr>
          <w:rFonts w:eastAsia="Arial Unicode MS"/>
          <w:bCs/>
        </w:rPr>
        <w:t>.</w:t>
      </w:r>
    </w:p>
    <w:p w14:paraId="4C76F70E" w14:textId="1228C6B5" w:rsidR="004F6998" w:rsidRDefault="00AD7395" w:rsidP="00AB3717">
      <w:pPr>
        <w:spacing w:line="360" w:lineRule="auto"/>
        <w:jc w:val="both"/>
        <w:rPr>
          <w:rFonts w:eastAsia="Arial Unicode MS"/>
        </w:rPr>
      </w:pPr>
      <w:r w:rsidRPr="00F34AEE">
        <w:rPr>
          <w:rFonts w:eastAsia="Arial Unicode MS" w:cstheme="minorHAnsi"/>
          <w:bCs/>
          <w:i/>
        </w:rPr>
        <w:t>In vivo</w:t>
      </w:r>
      <w:r w:rsidRPr="00F34AEE">
        <w:rPr>
          <w:rFonts w:eastAsia="Arial Unicode MS" w:cstheme="minorHAnsi"/>
          <w:bCs/>
        </w:rPr>
        <w:t xml:space="preserve"> studies were performed </w:t>
      </w:r>
      <w:r>
        <w:rPr>
          <w:rFonts w:eastAsia="Arial Unicode MS" w:cstheme="minorHAnsi"/>
          <w:bCs/>
        </w:rPr>
        <w:t>on</w:t>
      </w:r>
      <w:r w:rsidR="00736F82" w:rsidRPr="006F1174">
        <w:rPr>
          <w:rFonts w:eastAsia="Arial Unicode MS"/>
          <w:color w:val="000000"/>
        </w:rPr>
        <w:t xml:space="preserve"> sCT solution, sCT:R, sCT:T and SCT:R:HPβCD 5:57:38 composite systems. </w:t>
      </w:r>
      <w:r w:rsidR="00736F82" w:rsidRPr="006F1174">
        <w:rPr>
          <w:rFonts w:eastAsia="Arial Unicode MS"/>
        </w:rPr>
        <w:t>The intravenous sCT plasma concentration versus time curve showed an initial phase of more accentuated decay usually attributed to drug distribution, followed by a second phase that is controlled by drug elimination, that is, a two-exp</w:t>
      </w:r>
      <w:r w:rsidR="00736F82">
        <w:rPr>
          <w:rFonts w:eastAsia="Arial Unicode MS"/>
        </w:rPr>
        <w:t xml:space="preserve">onential decline curve (Figure </w:t>
      </w:r>
      <w:r w:rsidR="00DA7485">
        <w:rPr>
          <w:rFonts w:eastAsia="Arial Unicode MS"/>
        </w:rPr>
        <w:t>7a</w:t>
      </w:r>
      <w:r w:rsidR="00736F82" w:rsidRPr="006F1174">
        <w:rPr>
          <w:rFonts w:eastAsia="Arial Unicode MS"/>
        </w:rPr>
        <w:t>). The mean residence time (MRT) was found to be 0.59±0.06</w:t>
      </w:r>
      <w:r w:rsidR="004F6998">
        <w:rPr>
          <w:rFonts w:eastAsia="Arial Unicode MS"/>
        </w:rPr>
        <w:t xml:space="preserve"> </w:t>
      </w:r>
      <w:r w:rsidR="00736F82" w:rsidRPr="006F1174">
        <w:rPr>
          <w:rFonts w:eastAsia="Arial Unicode MS"/>
        </w:rPr>
        <w:t>h, the terminal half-life was 0.6±0.11</w:t>
      </w:r>
      <w:r w:rsidR="00736F82">
        <w:rPr>
          <w:rFonts w:eastAsia="Arial Unicode MS"/>
        </w:rPr>
        <w:t xml:space="preserve"> </w:t>
      </w:r>
      <w:r w:rsidR="00736F82" w:rsidRPr="006F1174">
        <w:rPr>
          <w:rFonts w:eastAsia="Arial Unicode MS"/>
        </w:rPr>
        <w:t xml:space="preserve">h and the </w:t>
      </w:r>
      <w:r w:rsidR="00736F82">
        <w:rPr>
          <w:rFonts w:eastAsia="Arial Unicode MS"/>
        </w:rPr>
        <w:t>plasma clearance was 0.53±0.11 l</w:t>
      </w:r>
      <w:r w:rsidR="00736F82" w:rsidRPr="006F1174">
        <w:rPr>
          <w:rFonts w:eastAsia="Arial Unicode MS"/>
        </w:rPr>
        <w:t>/h/</w:t>
      </w:r>
      <w:r w:rsidR="00736F82">
        <w:rPr>
          <w:rFonts w:eastAsia="Arial Unicode MS"/>
        </w:rPr>
        <w:t>k</w:t>
      </w:r>
      <w:r w:rsidR="00736F82" w:rsidRPr="006F1174">
        <w:rPr>
          <w:rFonts w:eastAsia="Arial Unicode MS"/>
        </w:rPr>
        <w:t xml:space="preserve">g (0.16±0.03 </w:t>
      </w:r>
      <w:r w:rsidR="00736F82">
        <w:rPr>
          <w:rFonts w:eastAsia="Arial Unicode MS"/>
        </w:rPr>
        <w:t>l</w:t>
      </w:r>
      <w:r w:rsidR="00736F82" w:rsidRPr="006F1174">
        <w:rPr>
          <w:rFonts w:eastAsia="Arial Unicode MS"/>
        </w:rPr>
        <w:t>/h)</w:t>
      </w:r>
      <w:r w:rsidR="00C32D4E">
        <w:rPr>
          <w:rFonts w:eastAsia="Arial Unicode MS"/>
        </w:rPr>
        <w:t xml:space="preserve"> (Table 5)</w:t>
      </w:r>
      <w:r w:rsidR="00736F82" w:rsidRPr="006F1174">
        <w:rPr>
          <w:rFonts w:eastAsia="Arial Unicode MS"/>
        </w:rPr>
        <w:t xml:space="preserve">. In less than an hour, half of the administered drug was eliminated. </w:t>
      </w:r>
    </w:p>
    <w:p w14:paraId="51668B13" w14:textId="7AFC247A" w:rsidR="00736F82" w:rsidRPr="006F1174" w:rsidRDefault="00736F82" w:rsidP="00474D1B">
      <w:pPr>
        <w:spacing w:line="360" w:lineRule="auto"/>
        <w:jc w:val="both"/>
        <w:rPr>
          <w:rFonts w:eastAsia="Arial Unicode MS"/>
          <w:color w:val="000000"/>
        </w:rPr>
      </w:pPr>
      <w:r w:rsidRPr="006F1174">
        <w:rPr>
          <w:rFonts w:eastAsia="Arial Unicode MS"/>
        </w:rPr>
        <w:t xml:space="preserve">Plasma concentration versus time curves for sCT solution and sCT:sugar composite systems after pulmonary administration </w:t>
      </w:r>
      <w:r>
        <w:rPr>
          <w:rFonts w:eastAsia="Arial Unicode MS"/>
          <w:color w:val="000000"/>
        </w:rPr>
        <w:t xml:space="preserve">are shown in Figures </w:t>
      </w:r>
      <w:r w:rsidR="00DA7485">
        <w:rPr>
          <w:rFonts w:eastAsia="Arial Unicode MS"/>
          <w:color w:val="000000"/>
        </w:rPr>
        <w:t>7b</w:t>
      </w:r>
      <w:r w:rsidR="00E01705">
        <w:rPr>
          <w:rFonts w:eastAsia="Arial Unicode MS"/>
          <w:color w:val="000000"/>
        </w:rPr>
        <w:t>.</w:t>
      </w:r>
      <w:r w:rsidR="004F6998">
        <w:rPr>
          <w:rFonts w:eastAsia="Arial Unicode MS"/>
          <w:color w:val="000000"/>
        </w:rPr>
        <w:t xml:space="preserve"> </w:t>
      </w:r>
      <w:r w:rsidRPr="006F1174">
        <w:rPr>
          <w:rFonts w:eastAsia="Arial Unicode MS"/>
          <w:color w:val="000000"/>
        </w:rPr>
        <w:t>sCT administered as a solution and as dry powder was rapidly absorbed via the pulmonary route, and peak concentration was reached between 0.07-0.2 h</w:t>
      </w:r>
      <w:r w:rsidR="004F6998">
        <w:rPr>
          <w:rFonts w:eastAsia="Arial Unicode MS"/>
          <w:color w:val="000000"/>
        </w:rPr>
        <w:t>,</w:t>
      </w:r>
      <w:r w:rsidRPr="006F1174">
        <w:rPr>
          <w:rFonts w:eastAsia="Arial Unicode MS"/>
          <w:color w:val="000000"/>
        </w:rPr>
        <w:t xml:space="preserve"> with an observed C</w:t>
      </w:r>
      <w:r w:rsidRPr="006F1174">
        <w:rPr>
          <w:rFonts w:eastAsia="Arial Unicode MS"/>
          <w:color w:val="000000"/>
          <w:vertAlign w:val="subscript"/>
        </w:rPr>
        <w:t>max</w:t>
      </w:r>
      <w:r>
        <w:rPr>
          <w:rFonts w:eastAsia="Arial Unicode MS"/>
          <w:color w:val="000000"/>
        </w:rPr>
        <w:t xml:space="preserve"> range of 11.0-42.5 µg/l</w:t>
      </w:r>
      <w:r w:rsidR="00C32D4E">
        <w:rPr>
          <w:rFonts w:eastAsia="Arial Unicode MS"/>
          <w:color w:val="000000"/>
        </w:rPr>
        <w:t xml:space="preserve"> (Table 5)</w:t>
      </w:r>
      <w:r w:rsidRPr="006F1174">
        <w:rPr>
          <w:rFonts w:eastAsia="Arial Unicode MS"/>
          <w:color w:val="000000"/>
        </w:rPr>
        <w:t xml:space="preserve">. The drug was eliminated with a terminal half-life ranging from 0.6 to 1.5 h. The absolute bioavailability </w:t>
      </w:r>
      <w:r w:rsidR="00C32D4E">
        <w:rPr>
          <w:rFonts w:eastAsia="Arial Unicode MS"/>
          <w:color w:val="000000"/>
        </w:rPr>
        <w:t xml:space="preserve">of sCT solutions and DPIs </w:t>
      </w:r>
      <w:r w:rsidRPr="006F1174">
        <w:rPr>
          <w:rFonts w:eastAsia="Arial Unicode MS"/>
          <w:color w:val="000000"/>
        </w:rPr>
        <w:t>was calculated and found to vary between 10.1 and 14.9</w:t>
      </w:r>
      <w:r>
        <w:rPr>
          <w:rFonts w:eastAsia="Arial Unicode MS"/>
          <w:color w:val="000000"/>
        </w:rPr>
        <w:t xml:space="preserve"> </w:t>
      </w:r>
      <w:r w:rsidRPr="006F1174">
        <w:rPr>
          <w:rFonts w:eastAsia="Arial Unicode MS"/>
          <w:color w:val="000000"/>
        </w:rPr>
        <w:t>%</w:t>
      </w:r>
      <w:r w:rsidR="00C32D4E">
        <w:rPr>
          <w:rFonts w:eastAsia="Arial Unicode MS"/>
          <w:color w:val="000000"/>
        </w:rPr>
        <w:t xml:space="preserve"> (Table 5)</w:t>
      </w:r>
      <w:r w:rsidRPr="006F1174">
        <w:rPr>
          <w:rFonts w:eastAsia="Arial Unicode MS"/>
          <w:color w:val="000000"/>
        </w:rPr>
        <w:t>. Studies by Youn et al. (2008) on the pulmonary administration of sCT and PEG-sCT also saw a rapid absorption of the unmodified peptide with t</w:t>
      </w:r>
      <w:r w:rsidRPr="006F1174">
        <w:rPr>
          <w:rFonts w:eastAsia="Arial Unicode MS"/>
          <w:color w:val="000000"/>
          <w:vertAlign w:val="subscript"/>
        </w:rPr>
        <w:t xml:space="preserve">max </w:t>
      </w:r>
      <w:r w:rsidRPr="006F1174">
        <w:rPr>
          <w:rFonts w:eastAsia="Arial Unicode MS"/>
          <w:color w:val="000000"/>
        </w:rPr>
        <w:t>at 0.25</w:t>
      </w:r>
      <w:r>
        <w:rPr>
          <w:rFonts w:eastAsia="Arial Unicode MS"/>
          <w:color w:val="000000"/>
        </w:rPr>
        <w:t xml:space="preserve"> </w:t>
      </w:r>
      <w:r w:rsidRPr="006F1174">
        <w:rPr>
          <w:rFonts w:eastAsia="Arial Unicode MS"/>
          <w:color w:val="000000"/>
        </w:rPr>
        <w:t>h and a terminal half-life of 0.58±0.13 h. The latter value is within the range of the t</w:t>
      </w:r>
      <w:r w:rsidRPr="006F1174">
        <w:rPr>
          <w:rFonts w:eastAsia="Arial Unicode MS"/>
          <w:color w:val="000000"/>
          <w:vertAlign w:val="subscript"/>
        </w:rPr>
        <w:t xml:space="preserve">1/2β </w:t>
      </w:r>
      <w:r w:rsidRPr="006F1174">
        <w:rPr>
          <w:rFonts w:eastAsia="Arial Unicode MS"/>
          <w:color w:val="000000"/>
        </w:rPr>
        <w:t>mean value found in our studies for the pulmonary sCT delivery as a solution,</w:t>
      </w:r>
      <w:r>
        <w:rPr>
          <w:rFonts w:eastAsia="Arial Unicode MS"/>
          <w:color w:val="000000"/>
        </w:rPr>
        <w:t xml:space="preserve"> i.e.,</w:t>
      </w:r>
      <w:r w:rsidRPr="006F1174">
        <w:rPr>
          <w:rFonts w:eastAsia="Arial Unicode MS"/>
          <w:color w:val="000000"/>
        </w:rPr>
        <w:t xml:space="preserve"> 1.5±0.68 h. The t</w:t>
      </w:r>
      <w:r w:rsidRPr="006F1174">
        <w:rPr>
          <w:rFonts w:eastAsia="Arial Unicode MS"/>
          <w:color w:val="000000"/>
          <w:vertAlign w:val="subscript"/>
        </w:rPr>
        <w:t>max</w:t>
      </w:r>
      <w:r w:rsidRPr="006F1174">
        <w:rPr>
          <w:rFonts w:eastAsia="Arial Unicode MS"/>
          <w:color w:val="000000"/>
        </w:rPr>
        <w:t xml:space="preserve"> value was below that in the previously reported study and in work reported by Patton (2000), where sCT delivered via the lungs to rats as a solution formulation presented an absolute bioavailability of 17</w:t>
      </w:r>
      <w:r>
        <w:rPr>
          <w:rFonts w:eastAsia="Arial Unicode MS"/>
          <w:color w:val="000000"/>
        </w:rPr>
        <w:t xml:space="preserve"> </w:t>
      </w:r>
      <w:r w:rsidRPr="006F1174">
        <w:rPr>
          <w:rFonts w:eastAsia="Arial Unicode MS"/>
          <w:color w:val="000000"/>
        </w:rPr>
        <w:t xml:space="preserve">% and, the peak concentration was achieved at 0.25 h. </w:t>
      </w:r>
    </w:p>
    <w:p w14:paraId="65F23EC7" w14:textId="36105EC5" w:rsidR="00736F82" w:rsidRPr="006F1174" w:rsidRDefault="00736F82" w:rsidP="00B17AF6">
      <w:pPr>
        <w:spacing w:line="360" w:lineRule="auto"/>
        <w:jc w:val="both"/>
        <w:rPr>
          <w:rFonts w:eastAsia="Arial Unicode MS"/>
          <w:color w:val="000000"/>
        </w:rPr>
      </w:pPr>
      <w:r w:rsidRPr="006F1174">
        <w:rPr>
          <w:rFonts w:eastAsia="Arial Unicode MS"/>
          <w:color w:val="000000"/>
        </w:rPr>
        <w:t>The blood circulation can affect the peak concentration time. Youn et al. (2008) used an</w:t>
      </w:r>
      <w:r>
        <w:rPr>
          <w:rFonts w:eastAsia="Arial Unicode MS"/>
          <w:color w:val="000000"/>
        </w:rPr>
        <w:t>a</w:t>
      </w:r>
      <w:r w:rsidRPr="006F1174">
        <w:rPr>
          <w:rFonts w:eastAsia="Arial Unicode MS"/>
          <w:color w:val="000000"/>
        </w:rPr>
        <w:t>esthetised rats, whereas in</w:t>
      </w:r>
      <w:r>
        <w:rPr>
          <w:rFonts w:eastAsia="Arial Unicode MS"/>
          <w:color w:val="000000"/>
        </w:rPr>
        <w:t xml:space="preserve"> the present</w:t>
      </w:r>
      <w:r w:rsidRPr="006F1174">
        <w:rPr>
          <w:rFonts w:eastAsia="Arial Unicode MS"/>
          <w:color w:val="000000"/>
        </w:rPr>
        <w:t xml:space="preserve"> study </w:t>
      </w:r>
      <w:r>
        <w:rPr>
          <w:rFonts w:eastAsia="Arial Unicode MS"/>
          <w:color w:val="000000"/>
        </w:rPr>
        <w:t xml:space="preserve">rats </w:t>
      </w:r>
      <w:r w:rsidRPr="006F1174">
        <w:rPr>
          <w:rFonts w:eastAsia="Arial Unicode MS"/>
          <w:color w:val="000000"/>
        </w:rPr>
        <w:t>we</w:t>
      </w:r>
      <w:r>
        <w:rPr>
          <w:rFonts w:eastAsia="Arial Unicode MS"/>
          <w:color w:val="000000"/>
        </w:rPr>
        <w:t>re</w:t>
      </w:r>
      <w:r w:rsidRPr="006F1174">
        <w:rPr>
          <w:rFonts w:eastAsia="Arial Unicode MS"/>
          <w:color w:val="000000"/>
        </w:rPr>
        <w:t xml:space="preserve"> injected with an anti-serum to neutralise anesthesia after drug administration to restore the blood circulation to its regular rhythm, resulting in a </w:t>
      </w:r>
      <w:r w:rsidR="004F6998">
        <w:rPr>
          <w:rFonts w:eastAsia="Arial Unicode MS"/>
          <w:color w:val="000000"/>
        </w:rPr>
        <w:t>lower</w:t>
      </w:r>
      <w:r w:rsidR="004F6998" w:rsidRPr="006F1174">
        <w:rPr>
          <w:rFonts w:eastAsia="Arial Unicode MS"/>
          <w:color w:val="000000"/>
        </w:rPr>
        <w:t xml:space="preserve"> </w:t>
      </w:r>
      <w:r w:rsidRPr="006F1174">
        <w:rPr>
          <w:rFonts w:eastAsia="Arial Unicode MS"/>
          <w:color w:val="000000"/>
        </w:rPr>
        <w:t>t</w:t>
      </w:r>
      <w:r w:rsidRPr="006F1174">
        <w:rPr>
          <w:rFonts w:eastAsia="Arial Unicode MS"/>
          <w:color w:val="000000"/>
          <w:vertAlign w:val="subscript"/>
        </w:rPr>
        <w:t>max</w:t>
      </w:r>
      <w:r w:rsidRPr="006F1174">
        <w:rPr>
          <w:rFonts w:eastAsia="Arial Unicode MS"/>
          <w:color w:val="000000"/>
        </w:rPr>
        <w:t xml:space="preserve"> than the one reported by Youn et al. (2008). </w:t>
      </w:r>
    </w:p>
    <w:p w14:paraId="195F4132" w14:textId="6F3968AC" w:rsidR="00F430A9" w:rsidRDefault="00736F82" w:rsidP="00AB3717">
      <w:pPr>
        <w:spacing w:line="360" w:lineRule="auto"/>
        <w:jc w:val="both"/>
        <w:rPr>
          <w:rFonts w:eastAsia="Arial Unicode MS"/>
          <w:color w:val="000000"/>
        </w:rPr>
      </w:pPr>
      <w:r w:rsidRPr="006F1174">
        <w:rPr>
          <w:rFonts w:eastAsia="Arial Unicode MS"/>
          <w:color w:val="000000"/>
        </w:rPr>
        <w:t xml:space="preserve">The area under the curve for sCT significantly increased (p=0.049) when administered as a dry powder </w:t>
      </w:r>
      <w:r w:rsidR="00017A1F">
        <w:rPr>
          <w:rFonts w:eastAsia="Arial Unicode MS"/>
          <w:color w:val="000000"/>
        </w:rPr>
        <w:t>(</w:t>
      </w:r>
      <m:oMath>
        <m:sSubSup>
          <m:sSubSupPr>
            <m:ctrlPr>
              <w:rPr>
                <w:rFonts w:ascii="Cambria Math" w:eastAsia="Arial Unicode MS" w:hAnsi="Cambria Math"/>
                <w:i/>
                <w:color w:val="000000"/>
              </w:rPr>
            </m:ctrlPr>
          </m:sSubSupPr>
          <m:e>
            <m:r>
              <w:rPr>
                <w:rFonts w:ascii="Cambria Math" w:eastAsia="Arial Unicode MS" w:hAnsi="Cambria Math"/>
                <w:color w:val="000000"/>
              </w:rPr>
              <m:t>AUC</m:t>
            </m:r>
          </m:e>
          <m:sub>
            <m:r>
              <w:rPr>
                <w:rFonts w:ascii="Cambria Math" w:eastAsia="Arial Unicode MS" w:hAnsi="Cambria Math"/>
                <w:color w:val="000000"/>
              </w:rPr>
              <m:t>0</m:t>
            </m:r>
          </m:sub>
          <m:sup>
            <m:r>
              <w:rPr>
                <w:rFonts w:ascii="Cambria Math" w:eastAsia="Arial Unicode MS" w:hAnsi="Cambria Math"/>
                <w:color w:val="000000"/>
              </w:rPr>
              <m:t>∞</m:t>
            </m:r>
          </m:sup>
        </m:sSubSup>
      </m:oMath>
      <w:r w:rsidR="00E91E60">
        <w:rPr>
          <w:rFonts w:eastAsia="Arial Unicode MS"/>
          <w:color w:val="000000"/>
        </w:rPr>
        <w:t xml:space="preserve"> r</w:t>
      </w:r>
      <w:r w:rsidR="00017A1F">
        <w:rPr>
          <w:rFonts w:eastAsia="Arial Unicode MS"/>
        </w:rPr>
        <w:t xml:space="preserve">anged from 27.8 to 39.5 </w:t>
      </w:r>
      <w:r w:rsidR="00017A1F" w:rsidRPr="00CF6A41">
        <w:rPr>
          <w:rFonts w:eastAsia="Arial Unicode MS"/>
        </w:rPr>
        <w:t>µg.h/l</w:t>
      </w:r>
      <w:r w:rsidR="00017A1F">
        <w:rPr>
          <w:rFonts w:eastAsia="Arial Unicode MS"/>
        </w:rPr>
        <w:t xml:space="preserve">), </w:t>
      </w:r>
      <w:r w:rsidRPr="006F1174">
        <w:rPr>
          <w:rFonts w:eastAsia="Arial Unicode MS"/>
          <w:color w:val="000000"/>
        </w:rPr>
        <w:t xml:space="preserve">in comparison to </w:t>
      </w:r>
      <w:r w:rsidR="004F6998">
        <w:rPr>
          <w:rFonts w:eastAsia="Arial Unicode MS"/>
          <w:color w:val="000000"/>
        </w:rPr>
        <w:t xml:space="preserve">the </w:t>
      </w:r>
      <w:r w:rsidRPr="006F1174">
        <w:rPr>
          <w:rFonts w:eastAsia="Arial Unicode MS"/>
          <w:color w:val="000000"/>
        </w:rPr>
        <w:t>solution formulation</w:t>
      </w:r>
      <w:r w:rsidR="00017A1F">
        <w:rPr>
          <w:rFonts w:eastAsia="Arial Unicode MS"/>
          <w:color w:val="000000"/>
        </w:rPr>
        <w:t xml:space="preserve"> (</w:t>
      </w:r>
      <m:oMath>
        <m:sSubSup>
          <m:sSubSupPr>
            <m:ctrlPr>
              <w:rPr>
                <w:rFonts w:ascii="Cambria Math" w:eastAsia="Arial Unicode MS" w:hAnsi="Cambria Math"/>
                <w:i/>
                <w:color w:val="000000"/>
              </w:rPr>
            </m:ctrlPr>
          </m:sSubSupPr>
          <m:e>
            <m:r>
              <w:rPr>
                <w:rFonts w:ascii="Cambria Math" w:eastAsia="Arial Unicode MS" w:hAnsi="Cambria Math"/>
                <w:color w:val="000000"/>
              </w:rPr>
              <m:t>AUC</m:t>
            </m:r>
          </m:e>
          <m:sub>
            <m:r>
              <w:rPr>
                <w:rFonts w:ascii="Cambria Math" w:eastAsia="Arial Unicode MS" w:hAnsi="Cambria Math"/>
                <w:color w:val="000000"/>
              </w:rPr>
              <m:t>0</m:t>
            </m:r>
          </m:sub>
          <m:sup>
            <m:r>
              <w:rPr>
                <w:rFonts w:ascii="Cambria Math" w:eastAsia="Arial Unicode MS" w:hAnsi="Cambria Math"/>
                <w:color w:val="000000"/>
              </w:rPr>
              <m:t>∞</m:t>
            </m:r>
          </m:sup>
        </m:sSubSup>
        <m:r>
          <m:rPr>
            <m:sty m:val="p"/>
          </m:rPr>
          <w:rPr>
            <w:rFonts w:ascii="Cambria Math" w:eastAsia="Arial Unicode MS" w:hAnsi="Cambria Math"/>
          </w:rPr>
          <m:t xml:space="preserve"> </m:t>
        </m:r>
      </m:oMath>
      <w:r w:rsidR="00017A1F">
        <w:rPr>
          <w:rFonts w:eastAsia="Arial Unicode MS"/>
        </w:rPr>
        <w:t xml:space="preserve">= 22.4±4.70 </w:t>
      </w:r>
      <w:r w:rsidR="00017A1F" w:rsidRPr="00CF6A41">
        <w:rPr>
          <w:rFonts w:eastAsia="Arial Unicode MS"/>
        </w:rPr>
        <w:t>µg.h/l</w:t>
      </w:r>
      <w:r w:rsidR="00017A1F">
        <w:rPr>
          <w:rFonts w:eastAsia="Arial Unicode MS"/>
        </w:rPr>
        <w:t xml:space="preserve">), </w:t>
      </w:r>
      <w:r w:rsidRPr="006F1174">
        <w:rPr>
          <w:rFonts w:eastAsia="Arial Unicode MS"/>
          <w:color w:val="000000"/>
        </w:rPr>
        <w:t>with the highest value pertaining to the sCT:R:HP</w:t>
      </w:r>
      <w:r w:rsidR="00017A1F">
        <w:rPr>
          <w:rFonts w:eastAsia="Arial Unicode MS"/>
          <w:color w:val="000000"/>
        </w:rPr>
        <w:t>βCD formulation</w:t>
      </w:r>
      <w:r w:rsidR="00C32D4E">
        <w:rPr>
          <w:rFonts w:eastAsia="Arial Unicode MS"/>
          <w:color w:val="000000"/>
        </w:rPr>
        <w:t xml:space="preserve"> (Table 5)</w:t>
      </w:r>
      <w:r w:rsidRPr="006F1174">
        <w:rPr>
          <w:rFonts w:eastAsia="Arial Unicode MS"/>
          <w:color w:val="000000"/>
        </w:rPr>
        <w:t xml:space="preserve">. Mean </w:t>
      </w:r>
      <w:r w:rsidRPr="006F1174">
        <w:rPr>
          <w:rFonts w:eastAsia="Arial Unicode MS"/>
          <w:color w:val="000000"/>
        </w:rPr>
        <w:lastRenderedPageBreak/>
        <w:t>residence time, mean absorption time, absorption and elimination constants, pulmonary clearance and, volumes of distribution of all sCT dry powder and solution formulations were f</w:t>
      </w:r>
      <w:r>
        <w:rPr>
          <w:rFonts w:eastAsia="Arial Unicode MS"/>
          <w:color w:val="000000"/>
        </w:rPr>
        <w:t xml:space="preserve">ound to be similar (Table </w:t>
      </w:r>
      <w:r w:rsidR="00017A1F">
        <w:rPr>
          <w:rFonts w:eastAsia="Arial Unicode MS"/>
          <w:color w:val="000000"/>
        </w:rPr>
        <w:t>5</w:t>
      </w:r>
      <w:r w:rsidRPr="006F1174">
        <w:rPr>
          <w:rFonts w:eastAsia="Arial Unicode MS"/>
          <w:color w:val="000000"/>
        </w:rPr>
        <w:t>). Statistical analysis of this data revealed no difference between these PK parameters. Therefore, further studies on a larger number of animals should be conducted to increase the statistical ro</w:t>
      </w:r>
      <w:r w:rsidR="00F430A9">
        <w:rPr>
          <w:rFonts w:eastAsia="Arial Unicode MS"/>
          <w:color w:val="000000"/>
        </w:rPr>
        <w:t>bustness of the presented study.</w:t>
      </w:r>
    </w:p>
    <w:p w14:paraId="3189177A" w14:textId="77777777" w:rsidR="00E71762" w:rsidRDefault="00E71762" w:rsidP="00AB3717">
      <w:pPr>
        <w:spacing w:line="360" w:lineRule="auto"/>
        <w:jc w:val="both"/>
        <w:rPr>
          <w:rFonts w:eastAsia="Arial Unicode MS"/>
          <w:b/>
        </w:rPr>
      </w:pPr>
    </w:p>
    <w:p w14:paraId="7654DA07" w14:textId="77777777" w:rsidR="00736F82" w:rsidRDefault="00736F82" w:rsidP="00AB3717">
      <w:pPr>
        <w:spacing w:line="360" w:lineRule="auto"/>
        <w:jc w:val="both"/>
        <w:rPr>
          <w:rFonts w:eastAsia="Arial Unicode MS"/>
          <w:b/>
        </w:rPr>
      </w:pPr>
      <w:r w:rsidRPr="00736F82">
        <w:rPr>
          <w:rFonts w:eastAsia="Arial Unicode MS"/>
          <w:b/>
        </w:rPr>
        <w:t>DISCUSSION</w:t>
      </w:r>
    </w:p>
    <w:p w14:paraId="303D2798" w14:textId="01B16A9E" w:rsidR="002F032A" w:rsidRDefault="002F032A" w:rsidP="00AB3717">
      <w:pPr>
        <w:spacing w:line="360" w:lineRule="auto"/>
        <w:jc w:val="both"/>
        <w:rPr>
          <w:rFonts w:eastAsia="Arial Unicode MS"/>
          <w:color w:val="000000"/>
        </w:rPr>
      </w:pPr>
      <w:r>
        <w:rPr>
          <w:rFonts w:eastAsia="Arial Unicode MS"/>
          <w:color w:val="000000"/>
        </w:rPr>
        <w:t>One of the distinguish</w:t>
      </w:r>
      <w:r w:rsidR="004F6998">
        <w:rPr>
          <w:rFonts w:eastAsia="Arial Unicode MS"/>
          <w:color w:val="000000"/>
        </w:rPr>
        <w:t>ing</w:t>
      </w:r>
      <w:r>
        <w:rPr>
          <w:rFonts w:eastAsia="Arial Unicode MS"/>
          <w:color w:val="000000"/>
        </w:rPr>
        <w:t xml:space="preserve"> characteristic</w:t>
      </w:r>
      <w:r w:rsidR="004F6998">
        <w:rPr>
          <w:rFonts w:eastAsia="Arial Unicode MS"/>
          <w:color w:val="000000"/>
        </w:rPr>
        <w:t>s</w:t>
      </w:r>
      <w:r>
        <w:rPr>
          <w:rFonts w:eastAsia="Arial Unicode MS"/>
          <w:color w:val="000000"/>
        </w:rPr>
        <w:t xml:space="preserve"> of the spray dried powders is their porous morphology.</w:t>
      </w:r>
      <w:r w:rsidR="006A67F4">
        <w:rPr>
          <w:rFonts w:eastAsia="Arial Unicode MS"/>
          <w:color w:val="000000"/>
        </w:rPr>
        <w:t xml:space="preserve"> </w:t>
      </w:r>
      <w:r w:rsidR="004F6998">
        <w:rPr>
          <w:rFonts w:eastAsia="Arial Unicode MS"/>
          <w:color w:val="000000"/>
        </w:rPr>
        <w:t>A</w:t>
      </w:r>
      <w:r w:rsidR="004F6998" w:rsidRPr="006F1174">
        <w:rPr>
          <w:rFonts w:eastAsia="Arial Unicode MS"/>
          <w:color w:val="000000"/>
        </w:rPr>
        <w:t xml:space="preserve"> </w:t>
      </w:r>
      <w:r w:rsidR="00736F82" w:rsidRPr="006F1174">
        <w:rPr>
          <w:rFonts w:eastAsia="Arial Unicode MS"/>
          <w:color w:val="000000"/>
        </w:rPr>
        <w:t xml:space="preserve">decrease </w:t>
      </w:r>
      <w:r w:rsidR="004F6998">
        <w:rPr>
          <w:rFonts w:eastAsia="Arial Unicode MS"/>
          <w:color w:val="000000"/>
        </w:rPr>
        <w:t>in</w:t>
      </w:r>
      <w:r w:rsidR="004F6998" w:rsidRPr="006F1174">
        <w:rPr>
          <w:rFonts w:eastAsia="Arial Unicode MS"/>
          <w:color w:val="000000"/>
        </w:rPr>
        <w:t xml:space="preserve"> </w:t>
      </w:r>
      <w:r w:rsidR="00736F82" w:rsidRPr="006F1174">
        <w:rPr>
          <w:rFonts w:eastAsia="Arial Unicode MS"/>
          <w:color w:val="000000"/>
        </w:rPr>
        <w:t xml:space="preserve">the average pore diameter </w:t>
      </w:r>
      <w:r w:rsidR="004F6998">
        <w:rPr>
          <w:rFonts w:eastAsia="Arial Unicode MS"/>
          <w:color w:val="000000"/>
        </w:rPr>
        <w:t xml:space="preserve">was found to correlate </w:t>
      </w:r>
      <w:r w:rsidR="00736F82" w:rsidRPr="006F1174">
        <w:rPr>
          <w:rFonts w:eastAsia="Arial Unicode MS"/>
          <w:color w:val="000000"/>
        </w:rPr>
        <w:t xml:space="preserve">with </w:t>
      </w:r>
      <w:r w:rsidR="004F6998">
        <w:rPr>
          <w:rFonts w:eastAsia="Arial Unicode MS"/>
          <w:color w:val="000000"/>
        </w:rPr>
        <w:t xml:space="preserve">an </w:t>
      </w:r>
      <w:r w:rsidR="004F6998" w:rsidRPr="006F1174">
        <w:rPr>
          <w:rFonts w:eastAsia="Arial Unicode MS"/>
          <w:color w:val="000000"/>
        </w:rPr>
        <w:t>i</w:t>
      </w:r>
      <w:r w:rsidR="004F6998">
        <w:rPr>
          <w:rFonts w:eastAsia="Arial Unicode MS"/>
          <w:color w:val="000000"/>
        </w:rPr>
        <w:t xml:space="preserve">ncrease in </w:t>
      </w:r>
      <w:r w:rsidR="00736F82">
        <w:rPr>
          <w:rFonts w:eastAsia="Arial Unicode MS"/>
          <w:color w:val="000000"/>
        </w:rPr>
        <w:t>SSA</w:t>
      </w:r>
      <w:r w:rsidR="006A67F4">
        <w:rPr>
          <w:rFonts w:eastAsia="Arial Unicode MS"/>
          <w:color w:val="000000"/>
        </w:rPr>
        <w:t xml:space="preserve"> </w:t>
      </w:r>
      <w:r w:rsidR="00DA7485">
        <w:rPr>
          <w:rFonts w:eastAsia="Arial Unicode MS"/>
          <w:color w:val="000000"/>
        </w:rPr>
        <w:t>(Figure 2</w:t>
      </w:r>
      <w:r w:rsidR="00736F82" w:rsidRPr="006F1174">
        <w:rPr>
          <w:rFonts w:eastAsia="Arial Unicode MS"/>
          <w:color w:val="000000"/>
        </w:rPr>
        <w:t xml:space="preserve">). </w:t>
      </w:r>
      <w:r w:rsidR="00736F82" w:rsidRPr="006F1174">
        <w:rPr>
          <w:rFonts w:eastAsia="Arial Unicode MS"/>
          <w:bCs/>
          <w:color w:val="000000"/>
        </w:rPr>
        <w:t>Ní</w:t>
      </w:r>
      <w:r w:rsidR="00736F82" w:rsidRPr="006F1174">
        <w:rPr>
          <w:rFonts w:eastAsia="Arial Unicode MS"/>
          <w:bCs/>
        </w:rPr>
        <w:t xml:space="preserve"> Ógáin et al. (201</w:t>
      </w:r>
      <w:r>
        <w:rPr>
          <w:rFonts w:eastAsia="Arial Unicode MS"/>
          <w:bCs/>
        </w:rPr>
        <w:t>1</w:t>
      </w:r>
      <w:r w:rsidR="00736F82" w:rsidRPr="006F1174">
        <w:rPr>
          <w:rFonts w:eastAsia="Arial Unicode MS"/>
          <w:bCs/>
        </w:rPr>
        <w:t xml:space="preserve">) and </w:t>
      </w:r>
      <w:r w:rsidR="00736F82" w:rsidRPr="006F1174">
        <w:rPr>
          <w:rFonts w:eastAsia="Arial Unicode MS"/>
          <w:color w:val="000000"/>
        </w:rPr>
        <w:t xml:space="preserve">Paluch et al. (2012) have claimed that the solid dissolved in the solvent/antisolvent mixture (MeOH:BA)  starts to precipitate out in the liquid environment due to solvent evaporation, with preferential evaporation of MeOH (the solvent with the higher vapour pressure) resulting in spontaneous phase separation of nanoparticulates suspended in the solvent mixture that grow until separation of the solid from the solvent mix is complete. Finally, due to evaporation of excess solvents, the NPMPs particles are formed. </w:t>
      </w:r>
      <w:r>
        <w:rPr>
          <w:rFonts w:eastAsia="Arial Unicode MS"/>
          <w:color w:val="000000"/>
        </w:rPr>
        <w:t>Hence, t</w:t>
      </w:r>
      <w:r w:rsidR="00736F82" w:rsidRPr="006F1174">
        <w:rPr>
          <w:rFonts w:eastAsia="Arial Unicode MS"/>
          <w:color w:val="000000"/>
        </w:rPr>
        <w:t>he size of the nanoparticulates suspended in the solvent mixture will determine the pore diameter and SSA of the final particles</w:t>
      </w:r>
      <w:r w:rsidR="006A67F4">
        <w:rPr>
          <w:rFonts w:eastAsia="Arial Unicode MS"/>
          <w:color w:val="000000"/>
        </w:rPr>
        <w:t>, with smaller nanoparticulates leading to smaller pores and higher SSA</w:t>
      </w:r>
      <w:r w:rsidR="00736F82" w:rsidRPr="006F1174">
        <w:rPr>
          <w:rFonts w:eastAsia="Arial Unicode MS"/>
          <w:color w:val="000000"/>
        </w:rPr>
        <w:t xml:space="preserve">. It </w:t>
      </w:r>
      <w:r w:rsidR="00DA7485">
        <w:rPr>
          <w:rFonts w:eastAsia="Arial Unicode MS"/>
          <w:color w:val="000000"/>
        </w:rPr>
        <w:t xml:space="preserve">can </w:t>
      </w:r>
      <w:r w:rsidR="006A67F4">
        <w:rPr>
          <w:rFonts w:eastAsia="Arial Unicode MS"/>
          <w:color w:val="000000"/>
        </w:rPr>
        <w:t>also</w:t>
      </w:r>
      <w:r w:rsidR="00DA7485">
        <w:rPr>
          <w:rFonts w:eastAsia="Arial Unicode MS"/>
          <w:color w:val="000000"/>
        </w:rPr>
        <w:t xml:space="preserve"> be</w:t>
      </w:r>
      <w:r w:rsidR="00736F82" w:rsidRPr="006F1174">
        <w:rPr>
          <w:rFonts w:eastAsia="Arial Unicode MS"/>
          <w:color w:val="000000"/>
        </w:rPr>
        <w:t xml:space="preserve"> inferred that the solubility of the solid and its concentration in the co-solvent mixture will be determinant</w:t>
      </w:r>
      <w:r w:rsidR="004F6998">
        <w:rPr>
          <w:rFonts w:eastAsia="Arial Unicode MS"/>
          <w:color w:val="000000"/>
        </w:rPr>
        <w:t>s</w:t>
      </w:r>
      <w:r w:rsidR="00736F82" w:rsidRPr="006F1174">
        <w:rPr>
          <w:rFonts w:eastAsia="Arial Unicode MS"/>
          <w:color w:val="000000"/>
        </w:rPr>
        <w:t xml:space="preserve"> for the nanoparticulate size. </w:t>
      </w:r>
    </w:p>
    <w:p w14:paraId="3524BF2C" w14:textId="2897DDED" w:rsidR="006A67F4" w:rsidRDefault="00736F82" w:rsidP="006A67F4">
      <w:pPr>
        <w:spacing w:line="360" w:lineRule="auto"/>
        <w:jc w:val="both"/>
        <w:rPr>
          <w:rFonts w:eastAsia="Arial Unicode MS"/>
          <w:color w:val="000000"/>
        </w:rPr>
      </w:pPr>
      <w:r w:rsidRPr="006F1174">
        <w:rPr>
          <w:rFonts w:eastAsia="Arial Unicode MS"/>
          <w:color w:val="000000"/>
        </w:rPr>
        <w:t xml:space="preserve">From the excipients used it was seen that SSA increased with increasing weight fraction of HPβCD, </w:t>
      </w:r>
      <w:r w:rsidR="002F032A">
        <w:rPr>
          <w:rFonts w:eastAsia="Arial Unicode MS"/>
          <w:color w:val="000000"/>
        </w:rPr>
        <w:t>therefore</w:t>
      </w:r>
      <w:r w:rsidRPr="006F1174">
        <w:rPr>
          <w:rFonts w:eastAsia="Arial Unicode MS"/>
          <w:color w:val="000000"/>
        </w:rPr>
        <w:t xml:space="preserve"> it is possible that this excipient presents higher solubility in the MeOH:BA mixture, resulting in small nanoparticulates, that in turn result in NPMPs with high surface area and smaller average pore diameter</w:t>
      </w:r>
      <w:r w:rsidR="006A67F4">
        <w:rPr>
          <w:rFonts w:eastAsia="Arial Unicode MS"/>
          <w:color w:val="000000"/>
        </w:rPr>
        <w:t xml:space="preserve">. </w:t>
      </w:r>
      <w:r w:rsidR="0021681E">
        <w:rPr>
          <w:rFonts w:eastAsia="Arial Unicode MS"/>
          <w:color w:val="000000"/>
        </w:rPr>
        <w:t>The effect of cyclodextrin addition to the formulations was also verified in studies by Amaro et al. (</w:t>
      </w:r>
      <w:r w:rsidR="0021681E" w:rsidRPr="0082741A">
        <w:rPr>
          <w:rFonts w:eastAsia="Arial Unicode MS"/>
          <w:color w:val="000000"/>
        </w:rPr>
        <w:t>20</w:t>
      </w:r>
      <w:r w:rsidR="00FA5D95" w:rsidRPr="0082741A">
        <w:rPr>
          <w:rFonts w:eastAsia="Arial Unicode MS"/>
          <w:color w:val="000000"/>
        </w:rPr>
        <w:t>1</w:t>
      </w:r>
      <w:r w:rsidR="00FA5D95">
        <w:rPr>
          <w:rFonts w:eastAsia="Arial Unicode MS"/>
          <w:color w:val="000000"/>
        </w:rPr>
        <w:t>4</w:t>
      </w:r>
      <w:r w:rsidR="0021681E">
        <w:rPr>
          <w:rFonts w:eastAsia="Arial Unicode MS"/>
          <w:color w:val="000000"/>
        </w:rPr>
        <w:t>).</w:t>
      </w:r>
    </w:p>
    <w:p w14:paraId="5DC6C35D" w14:textId="37DD56EB" w:rsidR="0083597F" w:rsidRDefault="006A67F4" w:rsidP="0083597F">
      <w:pPr>
        <w:spacing w:line="360" w:lineRule="auto"/>
        <w:jc w:val="both"/>
        <w:rPr>
          <w:rFonts w:eastAsia="Arial Unicode MS"/>
          <w:lang w:val="en-IE"/>
        </w:rPr>
      </w:pPr>
      <w:r>
        <w:rPr>
          <w:rFonts w:eastAsia="Arial Unicode MS"/>
          <w:color w:val="000000"/>
        </w:rPr>
        <w:t xml:space="preserve">The porous morphology </w:t>
      </w:r>
      <w:r w:rsidR="004F6998">
        <w:rPr>
          <w:rFonts w:eastAsia="Arial Unicode MS"/>
          <w:color w:val="000000"/>
        </w:rPr>
        <w:t xml:space="preserve">was </w:t>
      </w:r>
      <w:r>
        <w:rPr>
          <w:rFonts w:eastAsia="Arial Unicode MS"/>
          <w:color w:val="000000"/>
        </w:rPr>
        <w:t xml:space="preserve">also </w:t>
      </w:r>
      <w:r w:rsidR="004F6998">
        <w:rPr>
          <w:rFonts w:eastAsia="Arial Unicode MS"/>
          <w:color w:val="000000"/>
        </w:rPr>
        <w:t xml:space="preserve">shown </w:t>
      </w:r>
      <w:r>
        <w:rPr>
          <w:rFonts w:eastAsia="Arial Unicode MS"/>
          <w:color w:val="000000"/>
        </w:rPr>
        <w:t xml:space="preserve">to have a significant impact on powder </w:t>
      </w:r>
      <w:r w:rsidRPr="006A67F4">
        <w:rPr>
          <w:rFonts w:eastAsia="Arial Unicode MS"/>
          <w:i/>
          <w:color w:val="000000"/>
        </w:rPr>
        <w:t>in vitro</w:t>
      </w:r>
      <w:r>
        <w:rPr>
          <w:rFonts w:eastAsia="Arial Unicode MS"/>
          <w:color w:val="000000"/>
        </w:rPr>
        <w:t xml:space="preserve"> deposition, as those </w:t>
      </w:r>
      <w:r w:rsidR="004F6998">
        <w:rPr>
          <w:rFonts w:eastAsia="Arial Unicode MS"/>
          <w:color w:val="000000"/>
        </w:rPr>
        <w:t xml:space="preserve">powders </w:t>
      </w:r>
      <w:r>
        <w:rPr>
          <w:rFonts w:eastAsia="Arial Unicode MS"/>
          <w:color w:val="000000"/>
        </w:rPr>
        <w:t>with higher SSA presented higher FPF &lt; 3 and 5 µm and MMAD similar to calculated d</w:t>
      </w:r>
      <w:r w:rsidRPr="006A67F4">
        <w:rPr>
          <w:rFonts w:eastAsia="Arial Unicode MS"/>
          <w:color w:val="000000"/>
          <w:vertAlign w:val="subscript"/>
        </w:rPr>
        <w:t>aer</w:t>
      </w:r>
      <w:r>
        <w:rPr>
          <w:rFonts w:eastAsia="Arial Unicode MS"/>
          <w:color w:val="000000"/>
        </w:rPr>
        <w:t>.</w:t>
      </w:r>
      <w:r w:rsidR="00DA7485">
        <w:rPr>
          <w:rFonts w:eastAsia="Arial Unicode MS"/>
          <w:noProof/>
          <w:color w:val="FF0000"/>
        </w:rPr>
        <w:t xml:space="preserve"> </w:t>
      </w:r>
      <w:r w:rsidRPr="006A67F4">
        <w:rPr>
          <w:rFonts w:eastAsia="Arial Unicode MS"/>
          <w:noProof/>
        </w:rPr>
        <w:t xml:space="preserve">This fact can be atributed to the high SSA (high porosity), since these particles present fewer areas of contact, leading to lower cohesion and easier dispersion </w:t>
      </w:r>
      <w:r>
        <w:rPr>
          <w:rFonts w:eastAsia="Arial Unicode MS"/>
          <w:noProof/>
        </w:rPr>
        <w:t xml:space="preserve">of particles, resulting in powders with good flowability </w:t>
      </w:r>
      <w:r w:rsidRPr="00FC215C">
        <w:rPr>
          <w:rFonts w:eastAsia="Arial Unicode MS"/>
          <w:noProof/>
        </w:rPr>
        <w:t>(Tabor, 1977).</w:t>
      </w:r>
      <w:r w:rsidR="0083597F" w:rsidRPr="00FC215C">
        <w:rPr>
          <w:rFonts w:eastAsia="Arial Unicode MS"/>
          <w:noProof/>
        </w:rPr>
        <w:t xml:space="preserve"> </w:t>
      </w:r>
      <w:r w:rsidR="0083597F" w:rsidRPr="00B02C2B">
        <w:rPr>
          <w:rFonts w:eastAsia="Arial Unicode MS"/>
          <w:lang w:val="en-IE"/>
        </w:rPr>
        <w:t>Studies by Healy et al. (2008), Nolan et al. (201</w:t>
      </w:r>
      <w:r w:rsidR="0083597F">
        <w:rPr>
          <w:rFonts w:eastAsia="Arial Unicode MS"/>
          <w:lang w:val="en-IE"/>
        </w:rPr>
        <w:t>1</w:t>
      </w:r>
      <w:r w:rsidR="0083597F" w:rsidRPr="00B02C2B">
        <w:rPr>
          <w:rFonts w:eastAsia="Arial Unicode MS"/>
          <w:lang w:val="en-IE"/>
        </w:rPr>
        <w:t>)</w:t>
      </w:r>
      <w:r w:rsidR="0083597F">
        <w:rPr>
          <w:rFonts w:eastAsia="Arial Unicode MS"/>
          <w:lang w:val="en-IE"/>
        </w:rPr>
        <w:t>,</w:t>
      </w:r>
      <w:r w:rsidR="0083597F" w:rsidRPr="00B02C2B">
        <w:rPr>
          <w:rFonts w:eastAsia="Arial Unicode MS"/>
          <w:lang w:val="en-IE"/>
        </w:rPr>
        <w:t xml:space="preserve"> Ní Ógáin et al. (201</w:t>
      </w:r>
      <w:r w:rsidR="0083597F">
        <w:rPr>
          <w:rFonts w:eastAsia="Arial Unicode MS"/>
          <w:lang w:val="en-IE"/>
        </w:rPr>
        <w:t>1</w:t>
      </w:r>
      <w:r w:rsidR="0083597F" w:rsidRPr="00B02C2B">
        <w:rPr>
          <w:rFonts w:eastAsia="Arial Unicode MS"/>
          <w:lang w:val="en-IE"/>
        </w:rPr>
        <w:t xml:space="preserve">) </w:t>
      </w:r>
      <w:r w:rsidR="0083597F">
        <w:rPr>
          <w:rFonts w:eastAsia="Arial Unicode MS"/>
          <w:lang w:val="en-IE"/>
        </w:rPr>
        <w:t>and Amaro et al. (2011</w:t>
      </w:r>
      <w:r w:rsidR="0021681E">
        <w:rPr>
          <w:rFonts w:eastAsia="Arial Unicode MS"/>
          <w:lang w:val="en-IE"/>
        </w:rPr>
        <w:t xml:space="preserve">, </w:t>
      </w:r>
      <w:r w:rsidR="0021681E" w:rsidRPr="0082741A">
        <w:rPr>
          <w:rFonts w:eastAsia="Arial Unicode MS"/>
          <w:lang w:val="en-IE"/>
        </w:rPr>
        <w:t>20</w:t>
      </w:r>
      <w:r w:rsidR="00FA5D95" w:rsidRPr="0082741A">
        <w:rPr>
          <w:rFonts w:eastAsia="Arial Unicode MS"/>
          <w:lang w:val="en-IE"/>
        </w:rPr>
        <w:t>14</w:t>
      </w:r>
      <w:r w:rsidR="0083597F">
        <w:rPr>
          <w:rFonts w:eastAsia="Arial Unicode MS"/>
          <w:lang w:val="en-IE"/>
        </w:rPr>
        <w:t xml:space="preserve">) also </w:t>
      </w:r>
      <w:r w:rsidR="00FA5D95">
        <w:rPr>
          <w:rFonts w:eastAsia="Arial Unicode MS"/>
          <w:lang w:val="en-IE"/>
        </w:rPr>
        <w:t xml:space="preserve">demonstrated </w:t>
      </w:r>
      <w:r w:rsidR="0083597F">
        <w:rPr>
          <w:rFonts w:eastAsia="Arial Unicode MS"/>
          <w:lang w:val="en-IE"/>
        </w:rPr>
        <w:t>the importance of SSA (as a reflection of porosity) on NPMP deposit</w:t>
      </w:r>
      <w:r w:rsidR="004F6998">
        <w:rPr>
          <w:rFonts w:eastAsia="Arial Unicode MS"/>
          <w:lang w:val="en-IE"/>
        </w:rPr>
        <w:t>i</w:t>
      </w:r>
      <w:r w:rsidR="0083597F">
        <w:rPr>
          <w:rFonts w:eastAsia="Arial Unicode MS"/>
          <w:lang w:val="en-IE"/>
        </w:rPr>
        <w:t xml:space="preserve">on/powder flowability, </w:t>
      </w:r>
      <w:r w:rsidR="004F6998">
        <w:rPr>
          <w:rFonts w:eastAsia="Arial Unicode MS"/>
          <w:lang w:val="en-IE"/>
        </w:rPr>
        <w:t>resulting in improved aerodynamic characteristics for</w:t>
      </w:r>
      <w:r w:rsidR="0083597F">
        <w:rPr>
          <w:rFonts w:eastAsia="Arial Unicode MS"/>
          <w:lang w:val="en-IE"/>
        </w:rPr>
        <w:t xml:space="preserve"> porous par</w:t>
      </w:r>
      <w:r w:rsidR="00DA7485">
        <w:rPr>
          <w:rFonts w:eastAsia="Arial Unicode MS"/>
          <w:lang w:val="en-IE"/>
        </w:rPr>
        <w:t>ticle</w:t>
      </w:r>
      <w:r w:rsidR="004F6998">
        <w:rPr>
          <w:rFonts w:eastAsia="Arial Unicode MS"/>
          <w:lang w:val="en-IE"/>
        </w:rPr>
        <w:t>s</w:t>
      </w:r>
      <w:r w:rsidR="00DA7485">
        <w:rPr>
          <w:rFonts w:eastAsia="Arial Unicode MS"/>
          <w:lang w:val="en-IE"/>
        </w:rPr>
        <w:t xml:space="preserve"> versus </w:t>
      </w:r>
      <w:r w:rsidR="004F6998">
        <w:rPr>
          <w:rFonts w:eastAsia="Arial Unicode MS"/>
          <w:lang w:val="en-IE"/>
        </w:rPr>
        <w:t xml:space="preserve">their </w:t>
      </w:r>
      <w:r w:rsidR="0083597F">
        <w:rPr>
          <w:rFonts w:eastAsia="Arial Unicode MS"/>
          <w:lang w:val="en-IE"/>
        </w:rPr>
        <w:t>non-porous counterpart</w:t>
      </w:r>
      <w:r w:rsidR="004F6998">
        <w:rPr>
          <w:rFonts w:eastAsia="Arial Unicode MS"/>
          <w:lang w:val="en-IE"/>
        </w:rPr>
        <w:t>s</w:t>
      </w:r>
      <w:r w:rsidR="0083597F">
        <w:rPr>
          <w:rFonts w:eastAsia="Arial Unicode MS"/>
          <w:lang w:val="en-IE"/>
        </w:rPr>
        <w:t>.</w:t>
      </w:r>
    </w:p>
    <w:p w14:paraId="2D41B275" w14:textId="601D7380" w:rsidR="00BC2ADE" w:rsidRPr="00B02C2B" w:rsidRDefault="0083597F" w:rsidP="0083597F">
      <w:pPr>
        <w:spacing w:line="360" w:lineRule="auto"/>
        <w:jc w:val="both"/>
        <w:rPr>
          <w:rFonts w:eastAsia="Arial Unicode MS"/>
          <w:lang w:val="en-IE"/>
        </w:rPr>
      </w:pPr>
      <w:r>
        <w:rPr>
          <w:rFonts w:eastAsia="Arial Unicode MS"/>
          <w:lang w:val="en-IE"/>
        </w:rPr>
        <w:lastRenderedPageBreak/>
        <w:t>Another characteristic that is seen a</w:t>
      </w:r>
      <w:r w:rsidR="00BC2ADE">
        <w:rPr>
          <w:rFonts w:eastAsia="Arial Unicode MS"/>
          <w:lang w:val="en-IE"/>
        </w:rPr>
        <w:t xml:space="preserve">s </w:t>
      </w:r>
      <w:r w:rsidR="000647A8">
        <w:rPr>
          <w:rFonts w:eastAsia="Arial Unicode MS"/>
          <w:lang w:val="en-IE"/>
        </w:rPr>
        <w:t>important</w:t>
      </w:r>
      <w:r w:rsidR="00BC2ADE">
        <w:rPr>
          <w:rFonts w:eastAsia="Arial Unicode MS"/>
          <w:lang w:val="en-IE"/>
        </w:rPr>
        <w:t xml:space="preserve"> in </w:t>
      </w:r>
      <w:r w:rsidR="000647A8">
        <w:rPr>
          <w:rFonts w:eastAsia="Arial Unicode MS"/>
          <w:lang w:val="en-IE"/>
        </w:rPr>
        <w:t xml:space="preserve">determining </w:t>
      </w:r>
      <w:r w:rsidR="00BC2ADE">
        <w:rPr>
          <w:rFonts w:eastAsia="Arial Unicode MS"/>
          <w:lang w:val="en-IE"/>
        </w:rPr>
        <w:t>powder dispersi</w:t>
      </w:r>
      <w:r>
        <w:rPr>
          <w:rFonts w:eastAsia="Arial Unicode MS"/>
          <w:lang w:val="en-IE"/>
        </w:rPr>
        <w:t>bility and flowability is bulk and tap density, which should be low for</w:t>
      </w:r>
      <w:r w:rsidR="00BC2ADE">
        <w:rPr>
          <w:rFonts w:eastAsia="Arial Unicode MS"/>
          <w:lang w:val="en-IE"/>
        </w:rPr>
        <w:t xml:space="preserve"> higher delivery efficiency </w:t>
      </w:r>
      <w:r w:rsidR="00177CBD">
        <w:rPr>
          <w:rFonts w:eastAsia="Arial Unicode MS"/>
          <w:lang w:val="en-IE"/>
        </w:rPr>
        <w:fldChar w:fldCharType="begin" w:fldLock="1"/>
      </w:r>
      <w:r w:rsidR="009869DD">
        <w:rPr>
          <w:rFonts w:eastAsia="Arial Unicode MS"/>
          <w:lang w:val="en-IE"/>
        </w:rPr>
        <w:instrText>ADDIN CSL_CITATION { "citationItems" : [ { "id" : "ITEM-1", "itemData" : { "DOI" : "10.1016/j.jaerosci.2007.04.005", "ISSN" : "00218502", "author" : [ { "dropping-particle" : "", "family" : "Vehring", "given" : "Reinhard", "non-dropping-particle" : "", "parse-names" : false, "suffix" : "" }, { "dropping-particle" : "", "family" : "Foss", "given" : "Willard R.", "non-dropping-particle" : "", "parse-names" : false, "suffix" : "" }, { "dropping-particle" : "", "family" : "Lechuga-Ballesteros", "given" : "David", "non-dropping-particle" : "", "parse-names" : false, "suffix" : "" } ], "container-title" : "Journal of Aerosol Science", "id" : "ITEM-1", "issue" : "7", "issued" : { "date-parts" : [ [ "2007", "7" ] ] }, "page" : "728-746", "title" : "Particle formation in spray drying", "type" : "article-journal", "volume" : "38" }, "uris" : [ "http://www.mendeley.com/documents/?uuid=24effd27-9a76-4e98-9c38-75991bcaab29" ] } ], "mendeley" : { "previouslyFormattedCitation" : "(Vehring et al. 2007)" }, "properties" : { "noteIndex" : 0 }, "schema" : "https://github.com/citation-style-language/schema/raw/master/csl-citation.json" }</w:instrText>
      </w:r>
      <w:r w:rsidR="00177CBD">
        <w:rPr>
          <w:rFonts w:eastAsia="Arial Unicode MS"/>
          <w:lang w:val="en-IE"/>
        </w:rPr>
        <w:fldChar w:fldCharType="separate"/>
      </w:r>
      <w:r w:rsidR="00BC2ADE" w:rsidRPr="00BC2ADE">
        <w:rPr>
          <w:rFonts w:eastAsia="Arial Unicode MS"/>
          <w:noProof/>
          <w:lang w:val="en-IE"/>
        </w:rPr>
        <w:t>(Vehring et al. 2007)</w:t>
      </w:r>
      <w:r w:rsidR="00177CBD">
        <w:rPr>
          <w:rFonts w:eastAsia="Arial Unicode MS"/>
          <w:lang w:val="en-IE"/>
        </w:rPr>
        <w:fldChar w:fldCharType="end"/>
      </w:r>
      <w:r w:rsidR="00BC2ADE">
        <w:rPr>
          <w:rFonts w:eastAsia="Arial Unicode MS"/>
          <w:lang w:val="en-IE"/>
        </w:rPr>
        <w:t>. Although there were differences among the spray dried powders, all present</w:t>
      </w:r>
      <w:r w:rsidR="00FA5D95">
        <w:rPr>
          <w:rFonts w:eastAsia="Arial Unicode MS"/>
          <w:lang w:val="en-IE"/>
        </w:rPr>
        <w:t>ed</w:t>
      </w:r>
      <w:r w:rsidR="00BC2ADE">
        <w:rPr>
          <w:rFonts w:eastAsia="Arial Unicode MS"/>
          <w:lang w:val="en-IE"/>
        </w:rPr>
        <w:t xml:space="preserve"> bulk and tap density</w:t>
      </w:r>
      <w:r w:rsidR="00C87516">
        <w:rPr>
          <w:rFonts w:eastAsia="Arial Unicode MS"/>
          <w:lang w:val="en-IE"/>
        </w:rPr>
        <w:t xml:space="preserve"> below 0.3 g/cm</w:t>
      </w:r>
      <w:r w:rsidR="00C87516">
        <w:rPr>
          <w:rFonts w:eastAsia="Arial Unicode MS"/>
          <w:vertAlign w:val="superscript"/>
          <w:lang w:val="en-IE"/>
        </w:rPr>
        <w:t>3</w:t>
      </w:r>
      <w:r w:rsidR="00C87516">
        <w:rPr>
          <w:rFonts w:eastAsia="Arial Unicode MS"/>
          <w:lang w:val="en-IE"/>
        </w:rPr>
        <w:t xml:space="preserve">, </w:t>
      </w:r>
      <w:r w:rsidR="00FA5D95">
        <w:rPr>
          <w:rFonts w:eastAsia="Arial Unicode MS"/>
          <w:lang w:val="en-IE"/>
        </w:rPr>
        <w:t>indicating their suitability</w:t>
      </w:r>
      <w:r w:rsidR="00C87516">
        <w:rPr>
          <w:rFonts w:eastAsia="Arial Unicode MS"/>
          <w:lang w:val="en-IE"/>
        </w:rPr>
        <w:t xml:space="preserve"> for pulmonary delivery </w:t>
      </w:r>
      <w:r w:rsidR="00C87516">
        <w:rPr>
          <w:rFonts w:eastAsia="Arial Unicode MS"/>
          <w:lang w:val="en-IE"/>
        </w:rPr>
        <w:fldChar w:fldCharType="begin" w:fldLock="1"/>
      </w:r>
      <w:r w:rsidR="009869DD">
        <w:rPr>
          <w:rFonts w:eastAsia="Arial Unicode MS"/>
          <w:lang w:val="en-IE"/>
        </w:rPr>
        <w:instrText>ADDIN CSL_CITATION { "citationItems" : [ { "id" : "ITEM-1", "itemData" : { "DOI" : "10.1016/j.jconrel.2004.07.022", "ISSN" : "0168-3659", "PMID" : "15451594", "abstract" : "Powder aerosols made of albumin, dipalmitoylphosphatidylcholine (DPPC) and a protein stabilizer (lactose, trehalose or mannitol) were prepared by spray-drying and analyzed for aerodynamic behavior, surface composition and physical state. The powders exited a Spinhaler inhaler as particle aggregates, the size of which depending on composition, spray-drying parameters and airflow rate. However, due to low bulk powder tap density (&lt;0.15 g/cm3), the aerodynamic size of a large fraction of aggregates remained respirable (&lt;5 microm). Fine particle fractions ranged between 21% and 41% in an Andersen cascade impactor operated at 28.3 l/min, with mannitol and lactose providing the most cohesive and free-flowing powders, respectively. Particle surface analysis by X-ray photoelectron spectroscopy (XPS) revealed a surface enrichment with DPPC relative to albumin for powders prepared under certain spray-drying conditions. DPPC self-organized in a gel phase in the particle and no sugar or mannitol crystals were detected by X-ray diffraction. Water sorption isotherms showed that albumin protected lactose from moisture-induced crystallization. In conclusion, a proper combination of composition and spray-drying parameters allowed to obtain dry powders with elevated fine particle fractions (FPFs) and a physical environment favorable to protein stability.", "author" : [ { "dropping-particle" : "", "family" : "Bosquillon", "given" : "Cynthia", "non-dropping-particle" : "", "parse-names" : false, "suffix" : "" }, { "dropping-particle" : "", "family" : "Rouxhet", "given" : "Paul G", "non-dropping-particle" : "", "parse-names" : false, "suffix" : "" }, { "dropping-particle" : "", "family" : "Ahimou", "given" : "Fran\u00e7ois", "non-dropping-particle" : "", "parse-names" : false, "suffix" : "" }, { "dropping-particle" : "", "family" : "Simon", "given" : "Denis", "non-dropping-particle" : "", "parse-names" : false, "suffix" : "" }, { "dropping-particle" : "", "family" : "Culot", "given" : "Christine", "non-dropping-particle" : "", "parse-names" : false, "suffix" : "" }, { "dropping-particle" : "", "family" : "Pr\u00e9at", "given" : "V\u00e9ronique", "non-dropping-particle" : "", "parse-names" : false, "suffix" : "" }, { "dropping-particle" : "", "family" : "Vanbever", "given" : "Rita", "non-dropping-particle" : "", "parse-names" : false, "suffix" : "" } ], "container-title" : "Journal of controlled release : official journal of the Controlled Release Society", "id" : "ITEM-1", "issue" : "3", "issued" : { "date-parts" : [ [ "2004", "10", "19" ] ] }, "page" : "357-67", "title" : "Aerosolization properties, surface composition and physical state of spray-dried protein powders.", "type" : "article-journal", "volume" : "99" }, "uris" : [ "http://www.mendeley.com/documents/?uuid=ed4caeea-d426-4d9b-8457-0047213daa1d" ] } ], "mendeley" : { "previouslyFormattedCitation" : "(Bosquillon et al. 2004)" }, "properties" : { "noteIndex" : 0 }, "schema" : "https://github.com/citation-style-language/schema/raw/master/csl-citation.json" }</w:instrText>
      </w:r>
      <w:r w:rsidR="00C87516">
        <w:rPr>
          <w:rFonts w:eastAsia="Arial Unicode MS"/>
          <w:lang w:val="en-IE"/>
        </w:rPr>
        <w:fldChar w:fldCharType="separate"/>
      </w:r>
      <w:r w:rsidR="00C87516" w:rsidRPr="00C87516">
        <w:rPr>
          <w:rFonts w:eastAsia="Arial Unicode MS"/>
          <w:noProof/>
          <w:lang w:val="en-IE"/>
        </w:rPr>
        <w:t>(Bosquillon et al. 2004)</w:t>
      </w:r>
      <w:r w:rsidR="00C87516">
        <w:rPr>
          <w:rFonts w:eastAsia="Arial Unicode MS"/>
          <w:lang w:val="en-IE"/>
        </w:rPr>
        <w:fldChar w:fldCharType="end"/>
      </w:r>
      <w:r w:rsidR="00BC2ADE">
        <w:rPr>
          <w:rFonts w:eastAsia="Arial Unicode MS"/>
          <w:lang w:val="en-IE"/>
        </w:rPr>
        <w:t>. It is though</w:t>
      </w:r>
      <w:r w:rsidR="000647A8">
        <w:rPr>
          <w:rFonts w:eastAsia="Arial Unicode MS"/>
          <w:lang w:val="en-IE"/>
        </w:rPr>
        <w:t>t</w:t>
      </w:r>
      <w:r w:rsidR="00BC2ADE">
        <w:rPr>
          <w:rFonts w:eastAsia="Arial Unicode MS"/>
          <w:lang w:val="en-IE"/>
        </w:rPr>
        <w:t xml:space="preserve">, that the combination of SSA, porosity, aerodynamic diameter (calculated from particle size and true density), bulk and tap density are key to achieve powders with good dispersibility and </w:t>
      </w:r>
      <w:r w:rsidR="00BC2ADE" w:rsidRPr="00BC2ADE">
        <w:rPr>
          <w:rFonts w:eastAsia="Arial Unicode MS"/>
          <w:i/>
          <w:lang w:val="en-IE"/>
        </w:rPr>
        <w:t>in vitro</w:t>
      </w:r>
      <w:r w:rsidR="00BC2ADE">
        <w:rPr>
          <w:rFonts w:eastAsia="Arial Unicode MS"/>
          <w:lang w:val="en-IE"/>
        </w:rPr>
        <w:t xml:space="preserve"> </w:t>
      </w:r>
      <w:r w:rsidR="00BC2ADE" w:rsidRPr="00C24F59">
        <w:rPr>
          <w:rFonts w:eastAsia="Arial Unicode MS"/>
          <w:lang w:val="en-IE"/>
        </w:rPr>
        <w:t>deposition (high recovered emitted dose and FPF and small MMAD and GSD).</w:t>
      </w:r>
    </w:p>
    <w:p w14:paraId="4C680D04" w14:textId="4F8BC11C" w:rsidR="00EA6685" w:rsidRDefault="00736F82" w:rsidP="00AB3717">
      <w:pPr>
        <w:spacing w:line="360" w:lineRule="auto"/>
        <w:jc w:val="both"/>
        <w:rPr>
          <w:rFonts w:eastAsia="Arial Unicode MS"/>
        </w:rPr>
      </w:pPr>
      <w:r w:rsidRPr="00B02C2B">
        <w:rPr>
          <w:rFonts w:eastAsia="Arial Unicode MS"/>
          <w:lang w:val="en-IE"/>
        </w:rPr>
        <w:t xml:space="preserve">Stability is of vital importance in drug development. Changes in drug/formulation stability could risk patient safety, since the dosage amount to the patient may be lower than expected and toxic degradants might form. </w:t>
      </w:r>
      <w:r w:rsidRPr="00B02C2B">
        <w:rPr>
          <w:rFonts w:eastAsia="Arial Unicode MS"/>
        </w:rPr>
        <w:t>The evaluation of the d</w:t>
      </w:r>
      <w:r>
        <w:rPr>
          <w:rFonts w:eastAsia="Arial Unicode MS"/>
        </w:rPr>
        <w:t>rug and excipients</w:t>
      </w:r>
      <w:r w:rsidRPr="00B02C2B">
        <w:rPr>
          <w:rFonts w:eastAsia="Arial Unicode MS"/>
        </w:rPr>
        <w:t xml:space="preserve"> chemical, physical and storage stability is a requirement in order to support new formulation pharmaceutical applications (</w:t>
      </w:r>
      <w:r w:rsidRPr="00FC215C">
        <w:rPr>
          <w:rFonts w:eastAsia="Arial Unicode MS"/>
        </w:rPr>
        <w:t>Huynh-Ba, 2009</w:t>
      </w:r>
      <w:r w:rsidRPr="00B02C2B">
        <w:rPr>
          <w:rFonts w:eastAsia="Arial Unicode MS"/>
        </w:rPr>
        <w:t xml:space="preserve">). </w:t>
      </w:r>
      <w:r w:rsidR="00E71762">
        <w:rPr>
          <w:rFonts w:eastAsia="Arial Unicode MS"/>
        </w:rPr>
        <w:t>Entrapment in an amorphous glass is often suggested as a means of p</w:t>
      </w:r>
      <w:r w:rsidR="002A0029">
        <w:rPr>
          <w:rFonts w:eastAsia="Arial Unicode MS"/>
        </w:rPr>
        <w:t>eptide and protein stabili</w:t>
      </w:r>
      <w:r w:rsidR="00EA6685">
        <w:rPr>
          <w:rFonts w:eastAsia="Arial Unicode MS"/>
        </w:rPr>
        <w:t>sation</w:t>
      </w:r>
      <w:r w:rsidR="002A0029">
        <w:rPr>
          <w:rFonts w:eastAsia="Arial Unicode MS"/>
        </w:rPr>
        <w:t>. However, t</w:t>
      </w:r>
      <w:r w:rsidRPr="00B02C2B">
        <w:rPr>
          <w:rFonts w:eastAsia="Arial Unicode MS"/>
        </w:rPr>
        <w:t>he amorphous state is not a</w:t>
      </w:r>
      <w:r w:rsidR="00DA7485">
        <w:rPr>
          <w:rFonts w:eastAsia="Arial Unicode MS"/>
        </w:rPr>
        <w:t>t</w:t>
      </w:r>
      <w:r w:rsidRPr="00B02C2B">
        <w:rPr>
          <w:rFonts w:eastAsia="Arial Unicode MS"/>
        </w:rPr>
        <w:t xml:space="preserve"> thermodynamic equilibrium, and thus amorphous materials tend to revert back to the stable crystalline form</w:t>
      </w:r>
      <w:r w:rsidR="002A0029">
        <w:rPr>
          <w:rFonts w:eastAsia="Arial Unicode MS"/>
        </w:rPr>
        <w:t xml:space="preserve"> </w:t>
      </w:r>
      <w:r w:rsidR="00177CBD">
        <w:rPr>
          <w:rFonts w:eastAsia="Arial Unicode MS"/>
        </w:rPr>
        <w:fldChar w:fldCharType="begin" w:fldLock="1"/>
      </w:r>
      <w:r w:rsidR="009869DD">
        <w:rPr>
          <w:rFonts w:eastAsia="Arial Unicode MS"/>
        </w:rPr>
        <w:instrText>ADDIN CSL_CITATION { "citationItems" : [ { "id" : "ITEM-1", "itemData" : { "DOI" : "10.1016/j.jfoodeng.2006.12.017", "author" : [ { "dropping-particle" : "", "family" : "Liu", "given" : "Yeting", "non-dropping-particle" : "", "parse-names" : false, "suffix" : "" }, { "dropping-particle" : "", "family" : "Bhandari", "given" : "Bhesh", "non-dropping-particle" : "", "parse-names" : false, "suffix" : "" }, { "dropping-particle" : "", "family" : "Zhou", "given" : "Weibiao", "non-dropping-particle" : "", "parse-names" : false, "suffix" : "" } ], "id" : "ITEM-1", "issued" : { "date-parts" : [ [ "2007" ] ] }, "page" : "599-610", "title" : "Study of glass transition and enthalpy relaxation of mixtures of amorphous sucrose and amorphous tapioca starch syrup solid by differential scanning calorimetry ( DSC )", "type" : "article-journal", "volume" : "81" }, "uris" : [ "http://www.mendeley.com/documents/?uuid=89f36866-80f3-44c7-b6c1-2afbddd7a7f5" ] } ], "mendeley" : { "previouslyFormattedCitation" : "(Liu et al. 2007)" }, "properties" : { "noteIndex" : 0 }, "schema" : "https://github.com/citation-style-language/schema/raw/master/csl-citation.json" }</w:instrText>
      </w:r>
      <w:r w:rsidR="00177CBD">
        <w:rPr>
          <w:rFonts w:eastAsia="Arial Unicode MS"/>
        </w:rPr>
        <w:fldChar w:fldCharType="separate"/>
      </w:r>
      <w:r w:rsidR="002A0029" w:rsidRPr="002A0029">
        <w:rPr>
          <w:rFonts w:eastAsia="Arial Unicode MS"/>
          <w:noProof/>
        </w:rPr>
        <w:t>(Liu et al. 2007)</w:t>
      </w:r>
      <w:r w:rsidR="00177CBD">
        <w:rPr>
          <w:rFonts w:eastAsia="Arial Unicode MS"/>
        </w:rPr>
        <w:fldChar w:fldCharType="end"/>
      </w:r>
      <w:r w:rsidRPr="00B02C2B">
        <w:rPr>
          <w:rFonts w:eastAsia="Arial Unicode MS"/>
        </w:rPr>
        <w:t xml:space="preserve">. </w:t>
      </w:r>
      <w:r w:rsidR="002A0029">
        <w:rPr>
          <w:rFonts w:eastAsia="Arial Unicode MS"/>
        </w:rPr>
        <w:t xml:space="preserve">The amorphous glass is </w:t>
      </w:r>
      <w:r w:rsidR="000647A8">
        <w:rPr>
          <w:rFonts w:eastAsia="Arial Unicode MS"/>
        </w:rPr>
        <w:t xml:space="preserve">characterised </w:t>
      </w:r>
      <w:r w:rsidR="002A0029">
        <w:rPr>
          <w:rFonts w:eastAsia="Arial Unicode MS"/>
        </w:rPr>
        <w:t>by its glass transition temperature</w:t>
      </w:r>
      <w:r w:rsidR="000647A8">
        <w:rPr>
          <w:rFonts w:eastAsia="Arial Unicode MS"/>
        </w:rPr>
        <w:t xml:space="preserve"> (Tg)</w:t>
      </w:r>
      <w:r w:rsidR="002A0029">
        <w:rPr>
          <w:rFonts w:eastAsia="Arial Unicode MS"/>
        </w:rPr>
        <w:t xml:space="preserve">. The higher the </w:t>
      </w:r>
      <w:r w:rsidR="000647A8">
        <w:rPr>
          <w:rFonts w:eastAsia="Arial Unicode MS"/>
        </w:rPr>
        <w:t>Tg,</w:t>
      </w:r>
      <w:r w:rsidR="002A0029">
        <w:rPr>
          <w:rFonts w:eastAsia="Arial Unicode MS"/>
        </w:rPr>
        <w:t xml:space="preserve"> the more stable the glass, that is,</w:t>
      </w:r>
      <w:r w:rsidR="00E71762">
        <w:rPr>
          <w:rFonts w:eastAsia="Arial Unicode MS"/>
        </w:rPr>
        <w:t xml:space="preserve"> the</w:t>
      </w:r>
      <w:r w:rsidR="002A0029">
        <w:rPr>
          <w:rFonts w:eastAsia="Arial Unicode MS"/>
        </w:rPr>
        <w:t xml:space="preserve"> longer </w:t>
      </w:r>
      <w:r w:rsidR="00E71762">
        <w:rPr>
          <w:rFonts w:eastAsia="Arial Unicode MS"/>
        </w:rPr>
        <w:t xml:space="preserve">it </w:t>
      </w:r>
      <w:r w:rsidR="002A0029">
        <w:rPr>
          <w:rFonts w:eastAsia="Arial Unicode MS"/>
        </w:rPr>
        <w:t xml:space="preserve">will take to revert back to its crystalline state </w:t>
      </w:r>
      <w:r w:rsidR="00177CBD">
        <w:rPr>
          <w:rFonts w:eastAsia="Arial Unicode MS"/>
        </w:rPr>
        <w:fldChar w:fldCharType="begin" w:fldLock="1"/>
      </w:r>
      <w:r w:rsidR="009869DD">
        <w:rPr>
          <w:rFonts w:eastAsia="Arial Unicode MS"/>
        </w:rPr>
        <w:instrText>ADDIN CSL_CITATION { "citationItems" : [ { "id" : "ITEM-1", "itemData" : { "DOI" : "10.1016/j.jfoodeng.2006.12.017", "author" : [ { "dropping-particle" : "", "family" : "Liu", "given" : "Yeting", "non-dropping-particle" : "", "parse-names" : false, "suffix" : "" }, { "dropping-particle" : "", "family" : "Bhandari", "given" : "Bhesh", "non-dropping-particle" : "", "parse-names" : false, "suffix" : "" }, { "dropping-particle" : "", "family" : "Zhou", "given" : "Weibiao", "non-dropping-particle" : "", "parse-names" : false, "suffix" : "" } ], "id" : "ITEM-1", "issued" : { "date-parts" : [ [ "2007" ] ] }, "page" : "599-610", "title" : "Study of glass transition and enthalpy relaxation of mixtures of amorphous sucrose and amorphous tapioca starch syrup solid by differential scanning calorimetry ( DSC )", "type" : "article-journal", "volume" : "81" }, "uris" : [ "http://www.mendeley.com/documents/?uuid=89f36866-80f3-44c7-b6c1-2afbddd7a7f5" ] } ], "mendeley" : { "previouslyFormattedCitation" : "(Liu et al. 2007)" }, "properties" : { "noteIndex" : 0 }, "schema" : "https://github.com/citation-style-language/schema/raw/master/csl-citation.json" }</w:instrText>
      </w:r>
      <w:r w:rsidR="00177CBD">
        <w:rPr>
          <w:rFonts w:eastAsia="Arial Unicode MS"/>
        </w:rPr>
        <w:fldChar w:fldCharType="separate"/>
      </w:r>
      <w:r w:rsidR="002A0029" w:rsidRPr="002A0029">
        <w:rPr>
          <w:rFonts w:eastAsia="Arial Unicode MS"/>
          <w:noProof/>
        </w:rPr>
        <w:t>(Liu et al. 2007)</w:t>
      </w:r>
      <w:r w:rsidR="00177CBD">
        <w:rPr>
          <w:rFonts w:eastAsia="Arial Unicode MS"/>
        </w:rPr>
        <w:fldChar w:fldCharType="end"/>
      </w:r>
      <w:r w:rsidR="002A0029">
        <w:rPr>
          <w:rFonts w:eastAsia="Arial Unicode MS"/>
        </w:rPr>
        <w:t xml:space="preserve">. </w:t>
      </w:r>
    </w:p>
    <w:p w14:paraId="4EC83C7A" w14:textId="3F7C1D66" w:rsidR="007644E4" w:rsidRDefault="002A0029" w:rsidP="00AB3717">
      <w:pPr>
        <w:spacing w:line="360" w:lineRule="auto"/>
        <w:jc w:val="both"/>
        <w:rPr>
          <w:rFonts w:eastAsia="Arial Unicode MS"/>
        </w:rPr>
      </w:pPr>
      <w:r>
        <w:rPr>
          <w:rFonts w:eastAsia="Arial Unicode MS"/>
        </w:rPr>
        <w:t xml:space="preserve">Spray dried composite systems presented high glass transitions that were seen not to </w:t>
      </w:r>
      <w:r w:rsidR="00FA5D95">
        <w:rPr>
          <w:rFonts w:eastAsia="Arial Unicode MS"/>
        </w:rPr>
        <w:t xml:space="preserve">change </w:t>
      </w:r>
      <w:r>
        <w:rPr>
          <w:rFonts w:eastAsia="Arial Unicode MS"/>
        </w:rPr>
        <w:t xml:space="preserve">for raffinose composite systems </w:t>
      </w:r>
      <w:r w:rsidR="000647A8">
        <w:rPr>
          <w:rFonts w:eastAsia="Arial Unicode MS"/>
        </w:rPr>
        <w:t>during</w:t>
      </w:r>
      <w:r w:rsidR="00FA5D95">
        <w:rPr>
          <w:rFonts w:eastAsia="Arial Unicode MS"/>
        </w:rPr>
        <w:t xml:space="preserve"> </w:t>
      </w:r>
      <w:r>
        <w:rPr>
          <w:rFonts w:eastAsia="Arial Unicode MS"/>
        </w:rPr>
        <w:t>the storage stability studies, indicating that these systems would be more robust than those comprising trehalose</w:t>
      </w:r>
      <w:r w:rsidR="00EA6685">
        <w:rPr>
          <w:rFonts w:eastAsia="Arial Unicode MS"/>
        </w:rPr>
        <w:t xml:space="preserve">, since water can act as a plasticiser and revert systems to their crystalline state </w:t>
      </w:r>
      <w:r w:rsidR="00177CBD">
        <w:rPr>
          <w:rFonts w:eastAsia="Arial Unicode MS"/>
        </w:rPr>
        <w:fldChar w:fldCharType="begin" w:fldLock="1"/>
      </w:r>
      <w:r w:rsidR="009869DD">
        <w:rPr>
          <w:rFonts w:eastAsia="Arial Unicode MS"/>
        </w:rPr>
        <w:instrText>ADDIN CSL_CITATION { "citationItems" : [ { "id" : "ITEM-1", "itemData" : { "DOI" : "10.1016/S1461-5347(98)00088-1", "ISSN" : "14615347", "author" : [ { "dropping-particle" : "", "family" : "Hancock", "given" : "Bruno C.", "non-dropping-particle" : "", "parse-names" : false, "suffix" : "" }, { "dropping-particle" : "", "family" : "Shamblin", "given" : "Sheri L.", "non-dropping-particle" : "", "parse-names" : false, "suffix" : "" } ], "container-title" : "Pharmaceutical Science &amp; Technology Today", "id" : "ITEM-1", "issue" : "8", "issued" : { "date-parts" : [ [ "1998", "11" ] ] }, "page" : "345-351", "title" : "Water vapour sorption by pharmaceutical sugars", "type" : "article-journal", "volume" : "1" }, "uris" : [ "http://www.mendeley.com/documents/?uuid=6097be0a-4096-4ff8-bfa8-894ec47f2b20" ] } ], "mendeley" : { "previouslyFormattedCitation" : "(Hancock &amp; Shamblin 1998)" }, "properties" : { "noteIndex" : 0 }, "schema" : "https://github.com/citation-style-language/schema/raw/master/csl-citation.json" }</w:instrText>
      </w:r>
      <w:r w:rsidR="00177CBD">
        <w:rPr>
          <w:rFonts w:eastAsia="Arial Unicode MS"/>
        </w:rPr>
        <w:fldChar w:fldCharType="separate"/>
      </w:r>
      <w:r w:rsidR="00EA6685" w:rsidRPr="00EA6685">
        <w:rPr>
          <w:rFonts w:eastAsia="Arial Unicode MS"/>
          <w:noProof/>
        </w:rPr>
        <w:t>(Hancock &amp; Shamblin 1998)</w:t>
      </w:r>
      <w:r w:rsidR="00177CBD">
        <w:rPr>
          <w:rFonts w:eastAsia="Arial Unicode MS"/>
        </w:rPr>
        <w:fldChar w:fldCharType="end"/>
      </w:r>
      <w:r>
        <w:rPr>
          <w:rFonts w:eastAsia="Arial Unicode MS"/>
        </w:rPr>
        <w:t>. Dynamic vapour sorption studies by Amaro et al. (</w:t>
      </w:r>
      <w:r w:rsidR="00FA5D95" w:rsidRPr="0082741A">
        <w:rPr>
          <w:rFonts w:eastAsia="Arial Unicode MS"/>
        </w:rPr>
        <w:t>20</w:t>
      </w:r>
      <w:r w:rsidR="00FA5D95">
        <w:rPr>
          <w:rFonts w:eastAsia="Arial Unicode MS"/>
        </w:rPr>
        <w:t>14</w:t>
      </w:r>
      <w:r>
        <w:rPr>
          <w:rFonts w:eastAsia="Arial Unicode MS"/>
        </w:rPr>
        <w:t xml:space="preserve">) </w:t>
      </w:r>
      <w:r w:rsidR="000647A8">
        <w:rPr>
          <w:rFonts w:eastAsia="Arial Unicode MS"/>
        </w:rPr>
        <w:t xml:space="preserve">investigated </w:t>
      </w:r>
      <w:r w:rsidR="00EA6685">
        <w:rPr>
          <w:rFonts w:eastAsia="Arial Unicode MS"/>
        </w:rPr>
        <w:t>the behavior of raffinose and trehalose composite systems</w:t>
      </w:r>
      <w:r w:rsidR="007644E4">
        <w:rPr>
          <w:rFonts w:eastAsia="Arial Unicode MS"/>
        </w:rPr>
        <w:t xml:space="preserve"> (which presented high T</w:t>
      </w:r>
      <w:r w:rsidR="007644E4" w:rsidRPr="007644E4">
        <w:rPr>
          <w:rFonts w:eastAsia="Arial Unicode MS"/>
          <w:vertAlign w:val="subscript"/>
        </w:rPr>
        <w:t>g</w:t>
      </w:r>
      <w:r w:rsidR="007644E4">
        <w:rPr>
          <w:rFonts w:eastAsia="Arial Unicode MS"/>
        </w:rPr>
        <w:t>)</w:t>
      </w:r>
      <w:r>
        <w:rPr>
          <w:rFonts w:eastAsia="Arial Unicode MS"/>
        </w:rPr>
        <w:t xml:space="preserve">, </w:t>
      </w:r>
      <w:r w:rsidR="000647A8">
        <w:rPr>
          <w:rFonts w:eastAsia="Arial Unicode MS"/>
        </w:rPr>
        <w:t xml:space="preserve">and indicated that </w:t>
      </w:r>
      <w:r>
        <w:rPr>
          <w:rFonts w:eastAsia="Arial Unicode MS"/>
        </w:rPr>
        <w:t xml:space="preserve">raffinose </w:t>
      </w:r>
      <w:r w:rsidR="000647A8">
        <w:rPr>
          <w:rFonts w:eastAsia="Arial Unicode MS"/>
        </w:rPr>
        <w:t xml:space="preserve">is </w:t>
      </w:r>
      <w:r>
        <w:rPr>
          <w:rFonts w:eastAsia="Arial Unicode MS"/>
        </w:rPr>
        <w:t xml:space="preserve">a better water scavenger </w:t>
      </w:r>
      <w:r w:rsidR="00EA6685">
        <w:rPr>
          <w:rFonts w:eastAsia="Arial Unicode MS"/>
        </w:rPr>
        <w:t xml:space="preserve">(protectant) </w:t>
      </w:r>
      <w:r>
        <w:rPr>
          <w:rFonts w:eastAsia="Arial Unicode MS"/>
        </w:rPr>
        <w:t>than trehalose</w:t>
      </w:r>
      <w:r w:rsidR="000647A8">
        <w:rPr>
          <w:rFonts w:eastAsia="Arial Unicode MS"/>
        </w:rPr>
        <w:t>,</w:t>
      </w:r>
      <w:r w:rsidR="00EA6685">
        <w:rPr>
          <w:rFonts w:eastAsia="Arial Unicode MS"/>
        </w:rPr>
        <w:t xml:space="preserve"> </w:t>
      </w:r>
      <w:r w:rsidR="000647A8">
        <w:rPr>
          <w:rFonts w:eastAsia="Arial Unicode MS"/>
        </w:rPr>
        <w:t>requiring</w:t>
      </w:r>
      <w:r w:rsidR="00FA5D95">
        <w:rPr>
          <w:rFonts w:eastAsia="Arial Unicode MS"/>
        </w:rPr>
        <w:t xml:space="preserve"> </w:t>
      </w:r>
      <w:r w:rsidR="00EA6685">
        <w:rPr>
          <w:rFonts w:eastAsia="Arial Unicode MS"/>
        </w:rPr>
        <w:t xml:space="preserve">more water vapour </w:t>
      </w:r>
      <w:r w:rsidR="000647A8">
        <w:rPr>
          <w:rFonts w:eastAsia="Arial Unicode MS"/>
        </w:rPr>
        <w:t>sorption  before reversion</w:t>
      </w:r>
      <w:r w:rsidR="00EA6685">
        <w:rPr>
          <w:rFonts w:eastAsia="Arial Unicode MS"/>
        </w:rPr>
        <w:t xml:space="preserve"> to the crystalline state</w:t>
      </w:r>
      <w:r>
        <w:rPr>
          <w:rFonts w:eastAsia="Arial Unicode MS"/>
        </w:rPr>
        <w:t xml:space="preserve">. Additionally it </w:t>
      </w:r>
      <w:r w:rsidR="000647A8">
        <w:rPr>
          <w:rFonts w:eastAsia="Arial Unicode MS"/>
        </w:rPr>
        <w:t xml:space="preserve">was proven that </w:t>
      </w:r>
      <w:r w:rsidR="00EA6685">
        <w:rPr>
          <w:rFonts w:eastAsia="Arial Unicode MS"/>
        </w:rPr>
        <w:t xml:space="preserve">the </w:t>
      </w:r>
      <w:r w:rsidR="000647A8">
        <w:rPr>
          <w:rFonts w:eastAsia="Arial Unicode MS"/>
        </w:rPr>
        <w:t xml:space="preserve">water adsorption capacity was enhanced </w:t>
      </w:r>
      <w:r>
        <w:rPr>
          <w:rFonts w:eastAsia="Arial Unicode MS"/>
        </w:rPr>
        <w:t xml:space="preserve">by inclusion of </w:t>
      </w:r>
      <w:r w:rsidR="000647A8" w:rsidRPr="005F1C76">
        <w:rPr>
          <w:rFonts w:cs="Arial"/>
        </w:rPr>
        <w:t>hydroxypropyl-β-cyclodextrin</w:t>
      </w:r>
      <w:r w:rsidR="000647A8">
        <w:rPr>
          <w:rFonts w:cs="Arial"/>
        </w:rPr>
        <w:t xml:space="preserve"> </w:t>
      </w:r>
      <w:r>
        <w:rPr>
          <w:rFonts w:eastAsia="Arial Unicode MS"/>
        </w:rPr>
        <w:t xml:space="preserve"> </w:t>
      </w:r>
      <w:r w:rsidR="000647A8">
        <w:rPr>
          <w:rFonts w:eastAsia="Arial Unicode MS"/>
        </w:rPr>
        <w:t xml:space="preserve">in </w:t>
      </w:r>
      <w:r>
        <w:rPr>
          <w:rFonts w:eastAsia="Arial Unicode MS"/>
        </w:rPr>
        <w:t>the formulation.</w:t>
      </w:r>
      <w:r w:rsidR="00EA6685">
        <w:rPr>
          <w:rFonts w:eastAsia="Arial Unicode MS"/>
        </w:rPr>
        <w:t xml:space="preserve"> </w:t>
      </w:r>
      <w:r w:rsidR="000647A8">
        <w:rPr>
          <w:rFonts w:eastAsia="Arial Unicode MS"/>
        </w:rPr>
        <w:t>Thus</w:t>
      </w:r>
      <w:r w:rsidR="00EA6685">
        <w:rPr>
          <w:rFonts w:eastAsia="Arial Unicode MS"/>
        </w:rPr>
        <w:t xml:space="preserve">, the storage stability studies reflected the </w:t>
      </w:r>
      <w:r w:rsidR="000647A8">
        <w:rPr>
          <w:rFonts w:eastAsia="Arial Unicode MS"/>
        </w:rPr>
        <w:t>findings of</w:t>
      </w:r>
      <w:r w:rsidR="00EA6685">
        <w:rPr>
          <w:rFonts w:eastAsia="Arial Unicode MS"/>
        </w:rPr>
        <w:t xml:space="preserve"> Amaro et al</w:t>
      </w:r>
      <w:r w:rsidR="00EA6685" w:rsidRPr="0082741A">
        <w:rPr>
          <w:rFonts w:eastAsia="Arial Unicode MS"/>
        </w:rPr>
        <w:t>. (</w:t>
      </w:r>
      <w:r w:rsidR="00FA5D95" w:rsidRPr="0082741A">
        <w:rPr>
          <w:rFonts w:eastAsia="Arial Unicode MS"/>
        </w:rPr>
        <w:t>2014</w:t>
      </w:r>
      <w:r w:rsidR="00EA6685">
        <w:rPr>
          <w:rFonts w:eastAsia="Arial Unicode MS"/>
        </w:rPr>
        <w:t>) regarding raffinose and trehalose composite systems, as well as</w:t>
      </w:r>
      <w:r w:rsidR="00FA5D95">
        <w:rPr>
          <w:rFonts w:eastAsia="Arial Unicode MS"/>
        </w:rPr>
        <w:t xml:space="preserve"> </w:t>
      </w:r>
      <w:r w:rsidR="000647A8">
        <w:rPr>
          <w:rFonts w:eastAsia="Arial Unicode MS"/>
        </w:rPr>
        <w:t xml:space="preserve">demonstrating that </w:t>
      </w:r>
      <w:r w:rsidR="00EA6685">
        <w:rPr>
          <w:rFonts w:eastAsia="Arial Unicode MS"/>
        </w:rPr>
        <w:t>the addition</w:t>
      </w:r>
      <w:r w:rsidR="00DA7485">
        <w:rPr>
          <w:rFonts w:eastAsia="Arial Unicode MS"/>
        </w:rPr>
        <w:t xml:space="preserve"> of a peptide to the system </w:t>
      </w:r>
      <w:r w:rsidR="000647A8">
        <w:rPr>
          <w:rFonts w:eastAsia="Arial Unicode MS"/>
        </w:rPr>
        <w:t xml:space="preserve">does </w:t>
      </w:r>
      <w:r w:rsidR="00EA6685">
        <w:rPr>
          <w:rFonts w:eastAsia="Arial Unicode MS"/>
        </w:rPr>
        <w:t>not</w:t>
      </w:r>
      <w:r w:rsidR="00DA7485">
        <w:rPr>
          <w:rFonts w:eastAsia="Arial Unicode MS"/>
        </w:rPr>
        <w:t xml:space="preserve"> </w:t>
      </w:r>
      <w:r w:rsidR="00EA6685">
        <w:rPr>
          <w:rFonts w:eastAsia="Arial Unicode MS"/>
        </w:rPr>
        <w:t xml:space="preserve">affect its stability. </w:t>
      </w:r>
    </w:p>
    <w:p w14:paraId="72C4EEFB" w14:textId="17809DCF" w:rsidR="00736F82" w:rsidRDefault="007644E4" w:rsidP="00AB3717">
      <w:pPr>
        <w:spacing w:line="360" w:lineRule="auto"/>
        <w:jc w:val="both"/>
        <w:rPr>
          <w:rFonts w:eastAsia="Arial Unicode MS"/>
        </w:rPr>
      </w:pPr>
      <w:r>
        <w:rPr>
          <w:rFonts w:eastAsia="Arial Unicode MS"/>
        </w:rPr>
        <w:t>S</w:t>
      </w:r>
      <w:r w:rsidR="00EA6685">
        <w:rPr>
          <w:rFonts w:eastAsia="Arial Unicode MS"/>
        </w:rPr>
        <w:t xml:space="preserve">tudies by </w:t>
      </w:r>
      <w:r w:rsidRPr="00B02C2B">
        <w:rPr>
          <w:rFonts w:eastAsia="Arial Unicode MS"/>
          <w:color w:val="000000"/>
        </w:rPr>
        <w:t xml:space="preserve">Mazzobre et al. (1997) </w:t>
      </w:r>
      <w:r>
        <w:rPr>
          <w:rFonts w:eastAsia="Arial Unicode MS"/>
          <w:color w:val="000000"/>
        </w:rPr>
        <w:t>also showed the effect of having a high T</w:t>
      </w:r>
      <w:r w:rsidRPr="007644E4">
        <w:rPr>
          <w:rFonts w:eastAsia="Arial Unicode MS"/>
          <w:color w:val="000000"/>
          <w:vertAlign w:val="subscript"/>
        </w:rPr>
        <w:t>g</w:t>
      </w:r>
      <w:r>
        <w:rPr>
          <w:rFonts w:eastAsia="Arial Unicode MS"/>
          <w:color w:val="000000"/>
        </w:rPr>
        <w:t xml:space="preserve"> on powder stability by </w:t>
      </w:r>
      <w:r w:rsidRPr="00B02C2B">
        <w:rPr>
          <w:rFonts w:eastAsia="Arial Unicode MS"/>
          <w:color w:val="000000"/>
        </w:rPr>
        <w:t>evaluat</w:t>
      </w:r>
      <w:r>
        <w:rPr>
          <w:rFonts w:eastAsia="Arial Unicode MS"/>
          <w:color w:val="000000"/>
        </w:rPr>
        <w:t>ing</w:t>
      </w:r>
      <w:r w:rsidRPr="00B02C2B">
        <w:rPr>
          <w:rFonts w:eastAsia="Arial Unicode MS"/>
          <w:color w:val="000000"/>
        </w:rPr>
        <w:t xml:space="preserve"> the effect of delaying crystallisation of trehalose in trehalose:lactase systems by the addition of maltodextrin in a ratio of 80:20 (maltodextrin:trehalose). Results showed an increase in the T</w:t>
      </w:r>
      <w:r w:rsidRPr="00B02C2B">
        <w:rPr>
          <w:rFonts w:eastAsia="Arial Unicode MS"/>
          <w:color w:val="000000"/>
          <w:vertAlign w:val="subscript"/>
        </w:rPr>
        <w:t>g</w:t>
      </w:r>
      <w:r w:rsidRPr="00B02C2B">
        <w:rPr>
          <w:rFonts w:eastAsia="Arial Unicode MS"/>
          <w:color w:val="000000"/>
        </w:rPr>
        <w:t xml:space="preserve"> of the system and a delay in trehalose recrystallisation, with improvement of lactase stability at relatively high RH (75</w:t>
      </w:r>
      <w:r>
        <w:rPr>
          <w:rFonts w:eastAsia="Arial Unicode MS"/>
          <w:color w:val="000000"/>
        </w:rPr>
        <w:t xml:space="preserve"> </w:t>
      </w:r>
      <w:r w:rsidRPr="00B02C2B">
        <w:rPr>
          <w:rFonts w:eastAsia="Arial Unicode MS"/>
          <w:color w:val="000000"/>
        </w:rPr>
        <w:t>%).</w:t>
      </w:r>
      <w:r w:rsidR="009A64D5">
        <w:rPr>
          <w:rFonts w:eastAsia="Arial Unicode MS"/>
          <w:color w:val="000000"/>
        </w:rPr>
        <w:t xml:space="preserve"> Similarly, </w:t>
      </w:r>
      <w:r w:rsidR="009A64D5" w:rsidRPr="00B02C2B">
        <w:rPr>
          <w:rFonts w:eastAsia="Arial Unicode MS"/>
          <w:color w:val="000000"/>
        </w:rPr>
        <w:t xml:space="preserve">Constantino et al. (1998) co-lyophilised different ratios of recombinant humanised monoclonal antibody (rhGH) with trehalose, reporting rhGH to act as a </w:t>
      </w:r>
      <w:r w:rsidR="009A64D5" w:rsidRPr="00B02C2B">
        <w:rPr>
          <w:rFonts w:eastAsia="Arial Unicode MS"/>
          <w:color w:val="000000"/>
        </w:rPr>
        <w:lastRenderedPageBreak/>
        <w:t xml:space="preserve">trehalose recrystallisation inhibitor, </w:t>
      </w:r>
      <w:r w:rsidR="00E71762">
        <w:rPr>
          <w:rFonts w:eastAsia="Arial Unicode MS"/>
          <w:color w:val="000000"/>
        </w:rPr>
        <w:t xml:space="preserve">which was </w:t>
      </w:r>
      <w:r w:rsidR="009A64D5" w:rsidRPr="00B02C2B">
        <w:rPr>
          <w:rFonts w:eastAsia="Arial Unicode MS"/>
          <w:color w:val="000000"/>
        </w:rPr>
        <w:t>confirmed by water vapour sorption studies. When exposed to increasing RH, systems with 25:75 and 40:60 protein:</w:t>
      </w:r>
      <w:r w:rsidR="00AA36AD">
        <w:rPr>
          <w:rFonts w:eastAsia="Arial Unicode MS"/>
          <w:color w:val="000000"/>
        </w:rPr>
        <w:t>sugar</w:t>
      </w:r>
      <w:r w:rsidR="009A64D5" w:rsidRPr="00B02C2B">
        <w:rPr>
          <w:rFonts w:eastAsia="Arial Unicode MS"/>
          <w:color w:val="000000"/>
        </w:rPr>
        <w:t xml:space="preserve"> ratio (w/w) delayed the </w:t>
      </w:r>
      <w:r w:rsidR="008A7471">
        <w:rPr>
          <w:rFonts w:eastAsia="Arial Unicode MS"/>
          <w:color w:val="000000"/>
        </w:rPr>
        <w:t xml:space="preserve">RH% at which </w:t>
      </w:r>
      <w:r w:rsidR="009A64D5" w:rsidRPr="00B02C2B">
        <w:rPr>
          <w:rFonts w:eastAsia="Arial Unicode MS"/>
          <w:color w:val="000000"/>
        </w:rPr>
        <w:t xml:space="preserve">trehalose </w:t>
      </w:r>
      <w:r w:rsidR="008A7471" w:rsidRPr="00B02C2B">
        <w:rPr>
          <w:rFonts w:eastAsia="Arial Unicode MS"/>
          <w:color w:val="000000"/>
        </w:rPr>
        <w:t>recrystallis</w:t>
      </w:r>
      <w:r w:rsidR="008A7471">
        <w:rPr>
          <w:rFonts w:eastAsia="Arial Unicode MS"/>
          <w:color w:val="000000"/>
        </w:rPr>
        <w:t>ed</w:t>
      </w:r>
      <w:r w:rsidR="008A7471" w:rsidRPr="00B02C2B">
        <w:rPr>
          <w:rFonts w:eastAsia="Arial Unicode MS"/>
          <w:color w:val="000000"/>
        </w:rPr>
        <w:t xml:space="preserve"> </w:t>
      </w:r>
      <w:r w:rsidR="009A64D5" w:rsidRPr="00B02C2B">
        <w:rPr>
          <w:rFonts w:eastAsia="Arial Unicode MS"/>
          <w:color w:val="000000"/>
        </w:rPr>
        <w:t>from 50</w:t>
      </w:r>
      <w:r w:rsidR="009A64D5">
        <w:rPr>
          <w:rFonts w:eastAsia="Arial Unicode MS"/>
          <w:color w:val="000000"/>
        </w:rPr>
        <w:t xml:space="preserve"> </w:t>
      </w:r>
      <w:r w:rsidR="009A64D5" w:rsidRPr="00B02C2B">
        <w:rPr>
          <w:rFonts w:eastAsia="Arial Unicode MS"/>
          <w:color w:val="000000"/>
        </w:rPr>
        <w:t>% to 70</w:t>
      </w:r>
      <w:r w:rsidR="009A64D5">
        <w:rPr>
          <w:rFonts w:eastAsia="Arial Unicode MS"/>
          <w:color w:val="000000"/>
        </w:rPr>
        <w:t xml:space="preserve"> </w:t>
      </w:r>
      <w:r w:rsidR="009A64D5" w:rsidRPr="00B02C2B">
        <w:rPr>
          <w:rFonts w:eastAsia="Arial Unicode MS"/>
          <w:color w:val="000000"/>
        </w:rPr>
        <w:t>% and 80</w:t>
      </w:r>
      <w:r w:rsidR="009A64D5">
        <w:rPr>
          <w:rFonts w:eastAsia="Arial Unicode MS"/>
          <w:color w:val="000000"/>
        </w:rPr>
        <w:t xml:space="preserve"> </w:t>
      </w:r>
      <w:r w:rsidR="009A64D5" w:rsidRPr="00B02C2B">
        <w:rPr>
          <w:rFonts w:eastAsia="Arial Unicode MS"/>
          <w:color w:val="000000"/>
        </w:rPr>
        <w:t>% RH, respectively. For mixtures presenting equal ratio of protein:trehalose no recrystallisation was seen. It was suggested that interaction between rhGH and trehalose provided resistance to crystallisation.</w:t>
      </w:r>
    </w:p>
    <w:p w14:paraId="08110B26" w14:textId="77777777" w:rsidR="00494537" w:rsidRDefault="00736F82" w:rsidP="00FD317D">
      <w:pPr>
        <w:spacing w:line="360" w:lineRule="auto"/>
        <w:jc w:val="both"/>
        <w:rPr>
          <w:rFonts w:eastAsia="Arial Unicode MS"/>
          <w:color w:val="000000"/>
        </w:rPr>
      </w:pPr>
      <w:r w:rsidRPr="00B02C2B">
        <w:rPr>
          <w:rFonts w:eastAsia="Arial Unicode MS"/>
        </w:rPr>
        <w:t>The chemical stability of salmon calcitonin throughout processing was evaluated by means of HPLC (quantification of the peptide) and by measurement of i</w:t>
      </w:r>
      <w:r w:rsidR="008A511B">
        <w:rPr>
          <w:rFonts w:eastAsia="Arial Unicode MS"/>
        </w:rPr>
        <w:t>ts bioactivity by a cAMP assay</w:t>
      </w:r>
      <w:r w:rsidRPr="00B02C2B">
        <w:rPr>
          <w:rFonts w:eastAsia="Arial Unicode MS"/>
        </w:rPr>
        <w:t xml:space="preserve">. </w:t>
      </w:r>
      <w:r w:rsidR="00494537" w:rsidRPr="006F1174">
        <w:rPr>
          <w:rFonts w:eastAsia="Arial Unicode MS"/>
          <w:color w:val="000000"/>
        </w:rPr>
        <w:t>Salmon calcitonin binds to the CT receptor</w:t>
      </w:r>
      <w:r w:rsidR="00FD317D">
        <w:rPr>
          <w:rFonts w:eastAsia="Arial Unicode MS"/>
          <w:color w:val="000000"/>
        </w:rPr>
        <w:t xml:space="preserve"> of the T47D cells</w:t>
      </w:r>
      <w:r w:rsidR="00494537" w:rsidRPr="006F1174">
        <w:rPr>
          <w:rFonts w:eastAsia="Arial Unicode MS"/>
          <w:color w:val="000000"/>
        </w:rPr>
        <w:t xml:space="preserve">, which belongs to a subfamily of GTP-binding (G)-protein-coupled receptors, activating G-proteins that in turn induce the activation of adenylyl cyclase and phospholipase C to generate the intracellular second messenger molecules, cyclic adenosine 3P,5P-monophosphate (cAMP) </w:t>
      </w:r>
      <w:r w:rsidR="00177CBD">
        <w:rPr>
          <w:rFonts w:eastAsia="Arial Unicode MS"/>
          <w:color w:val="000000"/>
        </w:rPr>
        <w:fldChar w:fldCharType="begin" w:fldLock="1"/>
      </w:r>
      <w:r w:rsidR="009869DD">
        <w:rPr>
          <w:rFonts w:eastAsia="Arial Unicode MS"/>
          <w:color w:val="000000"/>
        </w:rPr>
        <w:instrText>ADDIN CSL_CITATION { "citationItems" : [ { "id" : "ITEM-1", "itemData" : { "ISSN" : "0006-3002", "PMID" : "11325540", "abstract" : "Calcitonin (CT), a 32-amino acid peptide hormone secreted mainly from the thyroid gland, plays an important role in maintaining bone homeostasis. To discover non-peptide small molecules with biological actions similar to those of CT, a cell-based screening of an in-house chemical library was performed and a pyridone derivative (SUN B8155) was identified. Like CT, it elevated cyclic AMP (cAMP) levels in T47D and UMR106-06 cells which endogenously express human and rat CT receptor, respectively. SUN B8155 also stimulated cAMP formation in cells expressing recombinant human CT receptor, but not in those expressing human parathyroid hormone/parathyroid hormone-related peptide receptor. Accumulation of cAMP in T47D cells was blocked by a selective antagonist of CT receptor, salmon CT(8-32), whereas SUN B8155 did not displace the specific binding of [(125)I]CT to the receptor. Our results suggested that the compound selectively interacts with the CT receptor by a mechanism similar to but probably different from that of CT itself. In rats, intraperitoneal administration of SUN B8155 significantly lowered serum calcium levels, like CT. Our results demonstrate, for the first time, that the biological activities of the newly identified small molecule can mimic that of CT, acting via the CT receptor.", "author" : [ { "dropping-particle" : "", "family" : "Katayama", "given" : "T", "non-dropping-particle" : "", "parse-names" : false, "suffix" : "" }, { "dropping-particle" : "", "family" : "Furuya", "given" : "M", "non-dropping-particle" : "", "parse-names" : false, "suffix" : "" }, { "dropping-particle" : "", "family" : "Yamaichi", "given" : "K", "non-dropping-particle" : "", "parse-names" : false, "suffix" : "" }, { "dropping-particle" : "", "family" : "Konishi", "given" : "K", "non-dropping-particle" : "", "parse-names" : false, "suffix" : "" }, { "dropping-particle" : "", "family" : "Sugiura", "given" : "N", "non-dropping-particle" : "", "parse-names" : false, "suffix" : "" }, { "dropping-particle" : "", "family" : "Murafuji", "given" : "H", "non-dropping-particle" : "", "parse-names" : false, "suffix" : "" }, { "dropping-particle" : "", "family" : "Magota", "given" : "K", "non-dropping-particle" : "", "parse-names" : false, "suffix" : "" }, { "dropping-particle" : "", "family" : "Saito", "given" : "M", "non-dropping-particle" : "", "parse-names" : false, "suffix" : "" }, { "dropping-particle" : "", "family" : "Tanaka", "given" : "S", "non-dropping-particle" : "", "parse-names" : false, "suffix" : "" }, { "dropping-particle" : "", "family" : "Oikawa", "given" : "S", "non-dropping-particle" : "", "parse-names" : false, "suffix" : "" } ], "container-title" : "Biochimica et biophysica acta", "id" : "ITEM-1", "issue" : "2", "issued" : { "date-parts" : [ [ "2001", "5", "3" ] ] }, "page" : "183-90", "title" : "Discovery of a non-peptide small molecule that selectively mimics the biological actions of calcitonin.", "type" : "article-journal", "volume" : "1526" }, "uris" : [ "http://www.mendeley.com/documents/?uuid=170d7c9e-54c0-44a0-ac3d-e626f32f673e" ] } ], "mendeley" : { "previouslyFormattedCitation" : "(Katayama et al. 2001)" }, "properties" : { "noteIndex" : 0 }, "schema" : "https://github.com/citation-style-language/schema/raw/master/csl-citation.json" }</w:instrText>
      </w:r>
      <w:r w:rsidR="00177CBD">
        <w:rPr>
          <w:rFonts w:eastAsia="Arial Unicode MS"/>
          <w:color w:val="000000"/>
        </w:rPr>
        <w:fldChar w:fldCharType="separate"/>
      </w:r>
      <w:r w:rsidR="00892F2D" w:rsidRPr="00892F2D">
        <w:rPr>
          <w:rFonts w:eastAsia="Arial Unicode MS"/>
          <w:noProof/>
          <w:color w:val="000000"/>
        </w:rPr>
        <w:t>(Katayama et al. 2001)</w:t>
      </w:r>
      <w:r w:rsidR="00177CBD">
        <w:rPr>
          <w:rFonts w:eastAsia="Arial Unicode MS"/>
          <w:color w:val="000000"/>
        </w:rPr>
        <w:fldChar w:fldCharType="end"/>
      </w:r>
      <w:r w:rsidR="00494537" w:rsidRPr="006F1174">
        <w:rPr>
          <w:rFonts w:eastAsia="Arial Unicode MS"/>
          <w:color w:val="000000"/>
        </w:rPr>
        <w:t xml:space="preserve">. Studies by </w:t>
      </w:r>
      <w:r w:rsidR="00177CBD">
        <w:rPr>
          <w:rFonts w:eastAsia="Arial Unicode MS"/>
          <w:color w:val="000000"/>
        </w:rPr>
        <w:fldChar w:fldCharType="begin" w:fldLock="1"/>
      </w:r>
      <w:r w:rsidR="009869DD">
        <w:rPr>
          <w:rFonts w:eastAsia="Arial Unicode MS"/>
          <w:color w:val="000000"/>
        </w:rPr>
        <w:instrText>ADDIN CSL_CITATION { "citationItems" : [ { "id" : "ITEM-1", "itemData" : { "ISSN" : "0006-2960", "PMID" : "2990546", "abstract" : "A calcitonin analogue, MCT-II, having the potential to form an amphiphilic alpha-helix from residue 8 to residue 22 with a continuous surface of aliphatic leucine side chains on the hydrophobic face of the helix has been synthesized, and its physical and biological properties have been characterized. Properties exhibited by this peptide, including self-association in the micromolar concentration range with a concomitant increase in the percentage of alpha-helical structure, formation of stable monolayers at the air-water interface, and adsorption to the surface of egg lecithin single-bilayer vesicles, demonstrate that MCT-II can readily form an amphiphilic alpha-helical structure. Though MCT-II has minimal sequence homology to any particular natural analogue from residue 8 to residue 22, it has biological activity similar to that of salmon calcitonin I for receptor binding in brain and kidney membranes, for activation of adenylate cyclase, and in hypocalcemic potency in vivo. The amphiphilic alpha-helical structure of MCT-II, therefore, is important for binding to calcitonin receptors. It is also apparent that a hydrophilic residue commonly occurring on the hydrophobic face (position 15) in the natural calcitonins is not required for high biological activity.(ABSTRACT TRUNCATED AT 250 WORDS)", "author" : [ { "dropping-particle" : "", "family" : "Moe", "given" : "G R", "non-dropping-particle" : "", "parse-names" : false, "suffix" : "" }, { "dropping-particle" : "", "family" : "Kaiser", "given" : "E T", "non-dropping-particle" : "", "parse-names" : false, "suffix" : "" } ], "container-title" : "Biochemistry", "id" : "ITEM-1", "issue" : "8", "issued" : { "date-parts" : [ [ "1985", "4", "9" ] ] }, "page" : "1971-6", "title" : "Design, synthesis, and characterization of a model peptide having potent calcitonin-like biological activity: implications for calcitonin structure/activity.", "type" : "article-journal", "volume" : "24" }, "uris" : [ "http://www.mendeley.com/documents/?uuid=f1f80ee5-d2dd-4bd0-b2aa-8859a1035a7f" ] } ], "mendeley" : { "manualFormatting" : "Moe &amp; Kaiser (1985)", "previouslyFormattedCitation" : "(Moe &amp; Kaiser 1985)" }, "properties" : { "noteIndex" : 0 }, "schema" : "https://github.com/citation-style-language/schema/raw/master/csl-citation.json" }</w:instrText>
      </w:r>
      <w:r w:rsidR="00177CBD">
        <w:rPr>
          <w:rFonts w:eastAsia="Arial Unicode MS"/>
          <w:color w:val="000000"/>
        </w:rPr>
        <w:fldChar w:fldCharType="separate"/>
      </w:r>
      <w:r w:rsidR="00892F2D" w:rsidRPr="00892F2D">
        <w:rPr>
          <w:rFonts w:eastAsia="Arial Unicode MS"/>
          <w:noProof/>
          <w:color w:val="000000"/>
        </w:rPr>
        <w:t xml:space="preserve">Moe &amp; Kaiser </w:t>
      </w:r>
      <w:r w:rsidR="00892F2D">
        <w:rPr>
          <w:rFonts w:eastAsia="Arial Unicode MS"/>
          <w:noProof/>
          <w:color w:val="000000"/>
        </w:rPr>
        <w:t>(</w:t>
      </w:r>
      <w:r w:rsidR="00892F2D" w:rsidRPr="00892F2D">
        <w:rPr>
          <w:rFonts w:eastAsia="Arial Unicode MS"/>
          <w:noProof/>
          <w:color w:val="000000"/>
        </w:rPr>
        <w:t>1985)</w:t>
      </w:r>
      <w:r w:rsidR="00177CBD">
        <w:rPr>
          <w:rFonts w:eastAsia="Arial Unicode MS"/>
          <w:color w:val="000000"/>
        </w:rPr>
        <w:fldChar w:fldCharType="end"/>
      </w:r>
      <w:r w:rsidR="00494537" w:rsidRPr="006F1174">
        <w:rPr>
          <w:rFonts w:eastAsia="Arial Unicode MS"/>
          <w:color w:val="000000"/>
        </w:rPr>
        <w:t xml:space="preserve">, </w:t>
      </w:r>
      <w:r w:rsidR="00177CBD">
        <w:rPr>
          <w:rFonts w:eastAsia="Arial Unicode MS"/>
          <w:color w:val="000000"/>
        </w:rPr>
        <w:fldChar w:fldCharType="begin" w:fldLock="1"/>
      </w:r>
      <w:r w:rsidR="009869DD">
        <w:rPr>
          <w:rFonts w:eastAsia="Arial Unicode MS"/>
          <w:color w:val="000000"/>
        </w:rPr>
        <w:instrText>ADDIN CSL_CITATION { "citationItems" : [ { "id" : "ITEM-1", "itemData" : { "ISSN" : "0006-2960", "PMID" : "3707923", "abstract" : "We have assessed the biological activity of salmon calcitonin I (sCT) using an in vivo biological assay of hypocalcemic activity in rats. The changes in biological activity observed are explained on the basis of changes in the conformational properties of the hormone analogues. Helical content in the presence and absence of lipids and detergents was assessed by using circular dichroism, and the section of the molecule that folds into a helix was predicted on the basis of the helix-coil transition theory of Mattice and co-workers. In the amino acid sequence of sCT, residue 8 is valine and residue 16 is leucine. The synthetic calcitonin derivatives [Gly8]sCT and [Ala16]sCT have higher biological activity than the native hormone although they have a lower helical content. The increased biological activity of these derivatives is ascribed to an increase in their conformational flexibility resulting from the substitution of amino acid residues with less bulky side chains and less tendency to form helical structures. The derivative [Met8]sCT has less substitution than sCT on the beta-carbon at position 8, but it has increased helix-forming potential in the region of residues 8-12. These two factors affect conformational flexibility in opposite ways, resulting in the biological activity of [Met8]sCT being slightly higher than that of sCT. However, increased conformational flexibility does not always increase biological activity. Substitution of the L-arginine at residue 24 for a D-arginine has little effect on the conformational properties or biological activity of sCT. However, [Gly8, D-Arg24]sCT is less active than sCT, [Gly8]sCT, or [D-Arg24]sCT.(ABSTRACT TRUNCATED AT 250 WORDS)", "author" : [ { "dropping-particle" : "", "family" : "Epand", "given" : "R M", "non-dropping-particle" : "", "parse-names" : false, "suffix" : "" }, { "dropping-particle" : "", "family" : "Epand", "given" : "R F", "non-dropping-particle" : "", "parse-names" : false, "suffix" : "" }, { "dropping-particle" : "", "family" : "Orlowski", "given" : "R C", "non-dropping-particle" : "", "parse-names" : false, "suffix" : "" }, { "dropping-particle" : "", "family" : "Seyler", "given" : "J K", "non-dropping-particle" : "", "parse-names" : false, "suffix" : "" }, { "dropping-particle" : "", "family" : "Colescott", "given" : "R L", "non-dropping-particle" : "", "parse-names" : false, "suffix" : "" } ], "container-title" : "Biochemistry", "id" : "ITEM-1", "issue" : "8", "issued" : { "date-parts" : [ [ "1986", "4", "22" ] ] }, "page" : "1964-8", "title" : "Conformational flexibility and biological activity of salmon calcitonin.", "type" : "article-journal", "volume" : "25" }, "uris" : [ "http://www.mendeley.com/documents/?uuid=70b2ba23-725b-4308-b38c-51adc4704206" ] } ], "mendeley" : { "manualFormatting" : "Epand et al. (1986)", "previouslyFormattedCitation" : "(Epand et al. 1986)" }, "properties" : { "noteIndex" : 0 }, "schema" : "https://github.com/citation-style-language/schema/raw/master/csl-citation.json" }</w:instrText>
      </w:r>
      <w:r w:rsidR="00177CBD">
        <w:rPr>
          <w:rFonts w:eastAsia="Arial Unicode MS"/>
          <w:color w:val="000000"/>
        </w:rPr>
        <w:fldChar w:fldCharType="separate"/>
      </w:r>
      <w:r w:rsidR="00892F2D" w:rsidRPr="00892F2D">
        <w:rPr>
          <w:rFonts w:eastAsia="Arial Unicode MS"/>
          <w:noProof/>
          <w:color w:val="000000"/>
        </w:rPr>
        <w:t xml:space="preserve">Epand et al. </w:t>
      </w:r>
      <w:r w:rsidR="00892F2D">
        <w:rPr>
          <w:rFonts w:eastAsia="Arial Unicode MS"/>
          <w:noProof/>
          <w:color w:val="000000"/>
        </w:rPr>
        <w:t>(</w:t>
      </w:r>
      <w:r w:rsidR="00892F2D" w:rsidRPr="00892F2D">
        <w:rPr>
          <w:rFonts w:eastAsia="Arial Unicode MS"/>
          <w:noProof/>
          <w:color w:val="000000"/>
        </w:rPr>
        <w:t>1986)</w:t>
      </w:r>
      <w:r w:rsidR="00177CBD">
        <w:rPr>
          <w:rFonts w:eastAsia="Arial Unicode MS"/>
          <w:color w:val="000000"/>
        </w:rPr>
        <w:fldChar w:fldCharType="end"/>
      </w:r>
      <w:r w:rsidR="00892F2D">
        <w:rPr>
          <w:rFonts w:eastAsia="Arial Unicode MS"/>
          <w:color w:val="000000"/>
        </w:rPr>
        <w:t xml:space="preserve"> and </w:t>
      </w:r>
      <w:r w:rsidR="00494537" w:rsidRPr="00E45D7B">
        <w:rPr>
          <w:rFonts w:eastAsia="Arial Unicode MS"/>
        </w:rPr>
        <w:t>Andreotti et al. (2006</w:t>
      </w:r>
      <w:r w:rsidR="00494537" w:rsidRPr="006F1174">
        <w:rPr>
          <w:rFonts w:eastAsia="Arial Unicode MS"/>
          <w:color w:val="000000"/>
        </w:rPr>
        <w:t xml:space="preserve">), </w:t>
      </w:r>
      <w:r w:rsidR="000017EA">
        <w:rPr>
          <w:rFonts w:eastAsia="Arial Unicode MS"/>
          <w:color w:val="000000"/>
        </w:rPr>
        <w:t xml:space="preserve">have shown </w:t>
      </w:r>
      <w:r w:rsidR="00494537" w:rsidRPr="006F1174">
        <w:rPr>
          <w:rFonts w:eastAsia="Arial Unicode MS"/>
          <w:color w:val="000000"/>
        </w:rPr>
        <w:t xml:space="preserve">the importance of maintaining </w:t>
      </w:r>
      <w:r w:rsidR="000017EA">
        <w:rPr>
          <w:rFonts w:eastAsia="Arial Unicode MS"/>
          <w:color w:val="000000"/>
        </w:rPr>
        <w:t>the secondary structure of sCT (</w:t>
      </w:r>
      <w:r w:rsidR="00494537" w:rsidRPr="006F1174">
        <w:rPr>
          <w:rFonts w:eastAsia="Arial Unicode MS"/>
          <w:color w:val="000000"/>
        </w:rPr>
        <w:t>the α-helix</w:t>
      </w:r>
      <w:r w:rsidR="000017EA">
        <w:rPr>
          <w:rFonts w:eastAsia="Arial Unicode MS"/>
          <w:color w:val="000000"/>
        </w:rPr>
        <w:t>)</w:t>
      </w:r>
      <w:r w:rsidR="00494537" w:rsidRPr="006F1174">
        <w:rPr>
          <w:rFonts w:eastAsia="Arial Unicode MS"/>
          <w:color w:val="000000"/>
        </w:rPr>
        <w:t xml:space="preserve">, in order to have a fully cAMP-secreting activity (biological activity). </w:t>
      </w:r>
    </w:p>
    <w:p w14:paraId="10E55CF1" w14:textId="6371C48F" w:rsidR="000017EA" w:rsidRDefault="00494537" w:rsidP="000017EA">
      <w:pPr>
        <w:spacing w:line="360" w:lineRule="auto"/>
        <w:jc w:val="both"/>
        <w:rPr>
          <w:rFonts w:eastAsia="Arial Unicode MS"/>
          <w:color w:val="000000"/>
        </w:rPr>
      </w:pPr>
      <w:r w:rsidRPr="006F1174">
        <w:rPr>
          <w:rFonts w:eastAsia="Arial Unicode MS"/>
          <w:color w:val="000000"/>
        </w:rPr>
        <w:t>As previously seen by FTIR, the secondary structure of sCT is protected when spray dried in the presence of raffinose or the co-excipient mixture of raffinose and HPβCD</w:t>
      </w:r>
      <w:r w:rsidR="000017EA">
        <w:rPr>
          <w:rFonts w:eastAsia="Arial Unicode MS"/>
          <w:color w:val="000000"/>
        </w:rPr>
        <w:t xml:space="preserve">; in the case of trehalose the </w:t>
      </w:r>
      <w:r w:rsidRPr="006F1174">
        <w:rPr>
          <w:rFonts w:eastAsia="Arial Unicode MS"/>
          <w:color w:val="000000"/>
        </w:rPr>
        <w:t xml:space="preserve">α-helix was not protected as </w:t>
      </w:r>
      <w:r w:rsidR="000017EA">
        <w:rPr>
          <w:rFonts w:eastAsia="Arial Unicode MS"/>
          <w:color w:val="000000"/>
        </w:rPr>
        <w:t>effectively</w:t>
      </w:r>
      <w:r w:rsidRPr="006F1174">
        <w:rPr>
          <w:rFonts w:eastAsia="Arial Unicode MS"/>
          <w:color w:val="000000"/>
        </w:rPr>
        <w:t xml:space="preserve"> </w:t>
      </w:r>
      <w:r w:rsidR="008A7471">
        <w:rPr>
          <w:rFonts w:eastAsia="Arial Unicode MS"/>
          <w:color w:val="000000"/>
        </w:rPr>
        <w:t>on</w:t>
      </w:r>
      <w:r w:rsidR="008A7471" w:rsidRPr="006F1174">
        <w:rPr>
          <w:rFonts w:eastAsia="Arial Unicode MS"/>
          <w:color w:val="000000"/>
        </w:rPr>
        <w:t xml:space="preserve"> </w:t>
      </w:r>
      <w:r w:rsidRPr="006F1174">
        <w:rPr>
          <w:rFonts w:eastAsia="Arial Unicode MS"/>
          <w:color w:val="000000"/>
        </w:rPr>
        <w:t xml:space="preserve">processing, </w:t>
      </w:r>
      <w:r w:rsidR="000017EA">
        <w:rPr>
          <w:rFonts w:eastAsia="Arial Unicode MS"/>
          <w:color w:val="000000"/>
        </w:rPr>
        <w:t>with some improvement of sCT conformation stability with addition of</w:t>
      </w:r>
      <w:r w:rsidRPr="006F1174">
        <w:rPr>
          <w:rFonts w:eastAsia="Arial Unicode MS"/>
          <w:color w:val="000000"/>
        </w:rPr>
        <w:t xml:space="preserve"> cyclodextrin</w:t>
      </w:r>
      <w:r w:rsidR="00DA7485">
        <w:rPr>
          <w:rFonts w:eastAsia="Arial Unicode MS"/>
          <w:color w:val="000000"/>
        </w:rPr>
        <w:t xml:space="preserve"> (Table 3</w:t>
      </w:r>
      <w:r w:rsidR="000017EA">
        <w:rPr>
          <w:rFonts w:eastAsia="Arial Unicode MS"/>
          <w:color w:val="000000"/>
        </w:rPr>
        <w:t>)</w:t>
      </w:r>
      <w:r w:rsidRPr="006F1174">
        <w:rPr>
          <w:rFonts w:eastAsia="Arial Unicode MS"/>
          <w:color w:val="000000"/>
        </w:rPr>
        <w:t>.</w:t>
      </w:r>
      <w:r w:rsidR="00EC1A47">
        <w:rPr>
          <w:rFonts w:eastAsia="Arial Unicode MS"/>
          <w:color w:val="000000"/>
        </w:rPr>
        <w:t xml:space="preserve"> The </w:t>
      </w:r>
      <w:r w:rsidR="000017EA">
        <w:rPr>
          <w:rFonts w:eastAsia="Arial Unicode MS"/>
          <w:color w:val="000000"/>
        </w:rPr>
        <w:t xml:space="preserve">modifications to the confirmation via spray drying were then reflected </w:t>
      </w:r>
      <w:r w:rsidR="00DA7485">
        <w:rPr>
          <w:rFonts w:eastAsia="Arial Unicode MS"/>
          <w:color w:val="000000"/>
        </w:rPr>
        <w:t xml:space="preserve">in </w:t>
      </w:r>
      <w:r w:rsidR="000017EA">
        <w:rPr>
          <w:rFonts w:eastAsia="Arial Unicode MS"/>
          <w:color w:val="000000"/>
        </w:rPr>
        <w:t>the retained bioactivity, with trehalose composite systems presenting loss of bioactivity</w:t>
      </w:r>
      <w:r w:rsidR="008A7471">
        <w:rPr>
          <w:rFonts w:eastAsia="Arial Unicode MS"/>
          <w:color w:val="000000"/>
        </w:rPr>
        <w:t>,</w:t>
      </w:r>
      <w:r w:rsidR="000017EA">
        <w:rPr>
          <w:rFonts w:eastAsia="Arial Unicode MS"/>
          <w:color w:val="000000"/>
        </w:rPr>
        <w:t xml:space="preserve"> as would be expected </w:t>
      </w:r>
      <w:r w:rsidR="008A7471">
        <w:rPr>
          <w:rFonts w:eastAsia="Arial Unicode MS"/>
          <w:color w:val="000000"/>
        </w:rPr>
        <w:t>on the basis of</w:t>
      </w:r>
      <w:r w:rsidR="000017EA">
        <w:rPr>
          <w:rFonts w:eastAsia="Arial Unicode MS"/>
          <w:color w:val="000000"/>
        </w:rPr>
        <w:t xml:space="preserve"> FTIR results</w:t>
      </w:r>
      <w:r w:rsidR="00FA5D95">
        <w:rPr>
          <w:rFonts w:eastAsia="Arial Unicode MS"/>
          <w:color w:val="000000"/>
        </w:rPr>
        <w:t xml:space="preserve">; </w:t>
      </w:r>
      <w:r w:rsidR="000017EA">
        <w:rPr>
          <w:rFonts w:eastAsia="Arial Unicode MS"/>
          <w:color w:val="000000"/>
        </w:rPr>
        <w:t>that is, modification in conformation leads to reduction in bioactivity.</w:t>
      </w:r>
      <w:r w:rsidRPr="006F1174">
        <w:rPr>
          <w:rFonts w:eastAsia="Arial Unicode MS"/>
          <w:color w:val="000000"/>
        </w:rPr>
        <w:t xml:space="preserve"> Studies by Sigurjόnsdόttir et al. (1999) on the stability of sCT aqueous solutions showed a reduction in aggregation in the presence of HPβCD by formation of inclusion complexes, with the polypeptide aromatic residues protecting the susceptible groups from chemic</w:t>
      </w:r>
      <w:r>
        <w:rPr>
          <w:rFonts w:eastAsia="Arial Unicode MS"/>
          <w:color w:val="000000"/>
        </w:rPr>
        <w:t>al or enzymatic modification. It is</w:t>
      </w:r>
      <w:r w:rsidRPr="006F1174">
        <w:rPr>
          <w:rFonts w:eastAsia="Arial Unicode MS"/>
          <w:color w:val="000000"/>
        </w:rPr>
        <w:t xml:space="preserve"> believe</w:t>
      </w:r>
      <w:r>
        <w:rPr>
          <w:rFonts w:eastAsia="Arial Unicode MS"/>
          <w:color w:val="000000"/>
        </w:rPr>
        <w:t>d</w:t>
      </w:r>
      <w:r w:rsidRPr="006F1174">
        <w:rPr>
          <w:rFonts w:eastAsia="Arial Unicode MS"/>
          <w:color w:val="000000"/>
        </w:rPr>
        <w:t xml:space="preserve"> </w:t>
      </w:r>
      <w:r w:rsidR="008A7471">
        <w:rPr>
          <w:rFonts w:eastAsia="Arial Unicode MS"/>
          <w:color w:val="000000"/>
        </w:rPr>
        <w:t xml:space="preserve">that </w:t>
      </w:r>
      <w:r w:rsidRPr="006F1174">
        <w:rPr>
          <w:rFonts w:eastAsia="Arial Unicode MS"/>
          <w:color w:val="000000"/>
        </w:rPr>
        <w:t>the described properties of HPβCD might be the reason for enhancement of sCT protection when this excipient is mixed with trehalose, since the sCT:HPβCD composite system</w:t>
      </w:r>
      <w:r w:rsidR="00DA7485">
        <w:rPr>
          <w:rFonts w:eastAsia="Arial Unicode MS"/>
          <w:color w:val="000000"/>
        </w:rPr>
        <w:t>s</w:t>
      </w:r>
      <w:r w:rsidRPr="006F1174">
        <w:rPr>
          <w:rFonts w:eastAsia="Arial Unicode MS"/>
          <w:color w:val="000000"/>
        </w:rPr>
        <w:t xml:space="preserve"> presented </w:t>
      </w:r>
      <w:r w:rsidR="000017EA">
        <w:rPr>
          <w:rFonts w:eastAsia="Arial Unicode MS"/>
          <w:color w:val="000000"/>
        </w:rPr>
        <w:t>better</w:t>
      </w:r>
      <w:r w:rsidRPr="006F1174">
        <w:rPr>
          <w:rFonts w:eastAsia="Arial Unicode MS"/>
          <w:color w:val="000000"/>
        </w:rPr>
        <w:t xml:space="preserve"> retention of bioactivity. </w:t>
      </w:r>
      <w:r w:rsidR="00177CBD">
        <w:rPr>
          <w:rFonts w:eastAsia="Arial Unicode MS"/>
          <w:color w:val="000000"/>
        </w:rPr>
        <w:fldChar w:fldCharType="begin" w:fldLock="1"/>
      </w:r>
      <w:r w:rsidR="009869DD">
        <w:rPr>
          <w:rFonts w:eastAsia="Arial Unicode MS"/>
          <w:color w:val="000000"/>
        </w:rPr>
        <w:instrText>ADDIN CSL_CITATION { "citationItems" : [ { "id" : "ITEM-1", "itemData" : { "DOI" : "10.1021/js980321x", "ISSN" : "0022-3549", "PMID" : "9950639", "abstract" : "The stability of the model protein lactate dehydrogenase (LDH) during spray-drying and also on subsequent dry storage was examined. Trehalose was used as a carrier. The spray-drying temperatures Tinlet and Toutlet have a measurable effect on LDH inactivation. Low Tinlet produced the least process inactivation, but gave a high residual moisture content making the protein's storage stability poor. High Tinlet reduced residual moisture and improved storage stability, but at the cost of high process inactivation. As already found for other systems, addition of a surfactant (in this case polysorbate 80) could ameliorate process inactivation of LDH at Tinlet = 150 degreesC. Surfactant had, however, a deleterious effect on storage stability of LDH, the vital factor being the molar ratio of surfactant/protein in the dried product. By using electron spectroscopy it was shown that LDH has a 10 times higher surface concentration in the dried trehalose particles than expected for a homogeneous distribution. Surface tension measurements at the water/air interface proved that LDH is surface active, although the Gibbs equation appeared to be inapplicable. Calculations of spray-droplet formation time and drying time indicate than the extent of diffusion-driven LDH adsorption to the liquid/air interface is sufficient to account for the measured amount of LDH inactivation during spray-drying. The presence of 0.1% polysorbate 80 to the spray solution prevents LDH from appearing at the surface of the dried particles. As a negative control, the phosphatide Lipoid E 80 does not prevent the appearance of LDH in the surface according to electron spectroscopy and does not therefore prevent LDH inactivation during spray-drying at Tinlet = 150 degreesC.", "author" : [ { "dropping-particle" : "", "family" : "Adler", "given" : "M", "non-dropping-particle" : "", "parse-names" : false, "suffix" : "" }, { "dropping-particle" : "", "family" : "Lee", "given" : "G", "non-dropping-particle" : "", "parse-names" : false, "suffix" : "" } ], "container-title" : "Journal of pharmaceutical sciences", "id" : "ITEM-1", "issue" : "2", "issued" : { "date-parts" : [ [ "1999", "3" ] ] }, "page" : "199-208", "title" : "Stability and surface activity of lactate dehydrogenase in spray-dried trehalose.", "type" : "article-journal", "volume" : "88" }, "uris" : [ "http://www.mendeley.com/documents/?uuid=3be29b6a-612b-437e-95f6-046277560670" ] }, { "id" : "ITEM-2", "itemData" : { "DOI" : "10.1016/j.ejps.2007.12.007", "ISSN" : "0928-0987", "PMID" : "18262776", "abstract" : "The inherent instability of proteins when isolated from their native conditions creates the necessity of suitable stabilisation techniques. Because of the instability of proteins in solution it is often necessary to produce them as solid formulations. A method of producing relatively stable, solid protein pharmaceuticals is to incorporate them with a suitable excipient into an amorphous matrix by dehydration. The use of spray dried multiple excipient/single protein blends was compared to single excipient/protein systems using lysozyme as a model protein to establish the stabilising ability of such systems. Unprocessed controls and spray dried samples were characterised structurally by X-ray powder diffraction and Fourier transform Raman spectroscopy and also thermally by differential scanning calorimetry and thermogravimetric analysis. Retained lysozyme activity was assayed enzymatically. To assess long-term stability, samples were subjected to conditions of elevated temperature and relative humidity (RH) 40 degrees C/75% RH. Structural and thermal analysis of samples revealed that mannitol/trehalose spray dried excipient/lysozyme blends were completely amorphous upon production but partially recrystallised upon storage at elevated temperature and RH. Biological activity assays revealed that samples containing trehalose retained the highest percentage activity. Under the conditions employed mannitol/trehalose systems stabilise lysozyme more effectively than single excipient systems due to their ability to form amorphous products.", "author" : [ { "dropping-particle" : "", "family" : "Hulse", "given" : "Wendy L", "non-dropping-particle" : "", "parse-names" : false, "suffix" : "" }, { "dropping-particle" : "", "family" : "Forbes", "given" : "Robert T", "non-dropping-particle" : "", "parse-names" : false, "suffix" : "" }, { "dropping-particle" : "", "family" : "Bonner", "given" : "Michael C", "non-dropping-particle" : "", "parse-names" : false, "suffix" : "" }, { "dropping-particle" : "", "family" : "Getrost", "given" : "Matthias", "non-dropping-particle" : "", "parse-names" : false, "suffix" : "" } ], "container-title" : "European journal of pharmaceutical sciences : official journal of the European Federation for Pharmaceutical Sciences", "id" : "ITEM-2", "issue" : "3", "issued" : { "date-parts" : [ [ "2008", "3", "3" ] ] }, "page" : "294-305", "title" : "Do co-spray dried excipients offer better lysozyme stabilisation than single excipients?", "type" : "article-journal", "volume" : "33" }, "uris" : [ "http://www.mendeley.com/documents/?uuid=1a54e083-ba6d-4ed6-a48a-6850ade777c9" ] }, { "id" : "ITEM-3", "itemData" : { "DOI" : "10.1016/j.jfoodeng.2007.03.014", "ISSN" : "02608774", "author" : [ { "dropping-particle" : "", "family" : "Yoshii", "given" : "H.", "non-dropping-particle" : "", "parse-names" : false, "suffix" : "" }, { "dropping-particle" : "", "family" : "Buche", "given" : "F.", "non-dropping-particle" : "", "parse-names" : false, "suffix" : "" }, { "dropping-particle" : "", "family" : "Takeuchi", "given" : "N.", "non-dropping-particle" : "", "parse-names" : false, "suffix" : "" }, { "dropping-particle" : "", "family" : "Terrol", "given" : "C.", "non-dropping-particle" : "", "parse-names" : false, "suffix" : "" }, { "dropping-particle" : "", "family" : "Ohgawara", "given" : "M.", "non-dropping-particle" : "", "parse-names" : false, "suffix" : "" }, { "dropping-particle" : "", "family" : "Furuta", "given" : "T.", "non-dropping-particle" : "", "parse-names" : false, "suffix" : "" } ], "container-title" : "Journal of Food Engineering", "id" : "ITEM-3", "issue" : "1", "issued" : { "date-parts" : [ [ "2008", "7" ] ] }, "page" : "34-39", "title" : "Effects of protein on retention of ADH enzyme activity encapsulated in trehalose matrices by spray drying", "type" : "article-journal", "volume" : "87" }, "uris" : [ "http://www.mendeley.com/documents/?uuid=579f141a-cf9c-4e65-9bba-8d98ce517eb1" ] } ], "mendeley" : { "manualFormatting" : "Adler &amp; Lee (1999), Hulse et al. (2008), Yoshii et al. (2008)", "previouslyFormattedCitation" : "(Adler &amp; Lee 1999; Hulse et al. 2008; Yoshii et al. 2008)" }, "properties" : { "noteIndex" : 0 }, "schema" : "https://github.com/citation-style-language/schema/raw/master/csl-citation.json" }</w:instrText>
      </w:r>
      <w:r w:rsidR="00177CBD">
        <w:rPr>
          <w:rFonts w:eastAsia="Arial Unicode MS"/>
          <w:color w:val="000000"/>
        </w:rPr>
        <w:fldChar w:fldCharType="separate"/>
      </w:r>
      <w:r w:rsidR="00074F75" w:rsidRPr="00074F75">
        <w:rPr>
          <w:rFonts w:eastAsia="Arial Unicode MS"/>
          <w:noProof/>
          <w:color w:val="000000"/>
        </w:rPr>
        <w:t xml:space="preserve">Adler &amp; Lee </w:t>
      </w:r>
      <w:r w:rsidR="00074F75">
        <w:rPr>
          <w:rFonts w:eastAsia="Arial Unicode MS"/>
          <w:noProof/>
          <w:color w:val="000000"/>
        </w:rPr>
        <w:t>(</w:t>
      </w:r>
      <w:r w:rsidR="00074F75" w:rsidRPr="00074F75">
        <w:rPr>
          <w:rFonts w:eastAsia="Arial Unicode MS"/>
          <w:noProof/>
          <w:color w:val="000000"/>
        </w:rPr>
        <w:t>1999</w:t>
      </w:r>
      <w:r w:rsidR="00074F75">
        <w:rPr>
          <w:rFonts w:eastAsia="Arial Unicode MS"/>
          <w:noProof/>
          <w:color w:val="000000"/>
        </w:rPr>
        <w:t>),</w:t>
      </w:r>
      <w:r w:rsidR="00074F75" w:rsidRPr="00074F75">
        <w:rPr>
          <w:rFonts w:eastAsia="Arial Unicode MS"/>
          <w:noProof/>
          <w:color w:val="000000"/>
        </w:rPr>
        <w:t xml:space="preserve"> Hulse et </w:t>
      </w:r>
      <w:r w:rsidR="00074F75">
        <w:rPr>
          <w:rFonts w:eastAsia="Arial Unicode MS"/>
          <w:noProof/>
          <w:color w:val="000000"/>
        </w:rPr>
        <w:t>al. (2008),</w:t>
      </w:r>
      <w:r w:rsidR="00074F75" w:rsidRPr="00074F75">
        <w:rPr>
          <w:rFonts w:eastAsia="Arial Unicode MS"/>
          <w:noProof/>
          <w:color w:val="000000"/>
        </w:rPr>
        <w:t xml:space="preserve"> Yoshii et al. </w:t>
      </w:r>
      <w:r w:rsidR="008A7471">
        <w:rPr>
          <w:rFonts w:eastAsia="Arial Unicode MS"/>
          <w:noProof/>
          <w:color w:val="000000"/>
        </w:rPr>
        <w:t>(</w:t>
      </w:r>
      <w:r w:rsidR="00074F75" w:rsidRPr="00074F75">
        <w:rPr>
          <w:rFonts w:eastAsia="Arial Unicode MS"/>
          <w:noProof/>
          <w:color w:val="000000"/>
        </w:rPr>
        <w:t>2008)</w:t>
      </w:r>
      <w:r w:rsidR="00177CBD">
        <w:rPr>
          <w:rFonts w:eastAsia="Arial Unicode MS"/>
          <w:color w:val="000000"/>
        </w:rPr>
        <w:fldChar w:fldCharType="end"/>
      </w:r>
      <w:r w:rsidR="000017EA">
        <w:rPr>
          <w:rFonts w:eastAsia="Arial Unicode MS"/>
          <w:color w:val="000000"/>
        </w:rPr>
        <w:t xml:space="preserve"> and Ní Ógáin et al. (2011) also evaluated the effectiveness of trehalose protection of protein conformation. In these studies the bioactivity ranged from</w:t>
      </w:r>
      <w:r w:rsidR="000017EA" w:rsidRPr="006F1174">
        <w:rPr>
          <w:rFonts w:eastAsia="Arial Unicode MS"/>
          <w:color w:val="000000"/>
        </w:rPr>
        <w:t xml:space="preserve"> 60 to 100%. </w:t>
      </w:r>
    </w:p>
    <w:p w14:paraId="4A2B3C80" w14:textId="3C32DA2D" w:rsidR="00494537" w:rsidRPr="006F1174" w:rsidRDefault="000017EA" w:rsidP="00AB3717">
      <w:pPr>
        <w:spacing w:line="360" w:lineRule="auto"/>
        <w:jc w:val="both"/>
        <w:rPr>
          <w:rFonts w:eastAsia="Arial Unicode MS"/>
          <w:color w:val="000000"/>
        </w:rPr>
      </w:pPr>
      <w:r w:rsidRPr="00B02C2B">
        <w:rPr>
          <w:rFonts w:eastAsia="Arial Unicode MS"/>
          <w:lang w:val="en-IE"/>
        </w:rPr>
        <w:t xml:space="preserve">Storage stability studies further demonstrated the protective action of raffinose </w:t>
      </w:r>
      <w:r>
        <w:rPr>
          <w:rFonts w:eastAsia="Arial Unicode MS"/>
          <w:lang w:val="en-IE"/>
        </w:rPr>
        <w:t>composite systems</w:t>
      </w:r>
      <w:r w:rsidRPr="00B02C2B">
        <w:rPr>
          <w:rFonts w:eastAsia="Arial Unicode MS"/>
          <w:lang w:val="en-IE"/>
        </w:rPr>
        <w:t xml:space="preserve">, since, after 24 weeks storage at </w:t>
      </w:r>
      <w:r w:rsidRPr="00B02C2B">
        <w:rPr>
          <w:rFonts w:eastAsia="Arial Unicode MS"/>
        </w:rPr>
        <w:t>4° C/5% RH</w:t>
      </w:r>
      <w:r w:rsidRPr="00B02C2B">
        <w:rPr>
          <w:rFonts w:eastAsia="Arial Unicode MS"/>
          <w:lang w:val="en-IE"/>
        </w:rPr>
        <w:t xml:space="preserve"> and </w:t>
      </w:r>
      <w:r w:rsidRPr="00B02C2B">
        <w:rPr>
          <w:rFonts w:eastAsia="Arial Unicode MS"/>
        </w:rPr>
        <w:t>25 °C/5% RH</w:t>
      </w:r>
      <w:r w:rsidRPr="00B02C2B">
        <w:rPr>
          <w:rFonts w:eastAsia="Arial Unicode MS"/>
          <w:lang w:val="en-IE"/>
        </w:rPr>
        <w:t xml:space="preserve"> the sCT</w:t>
      </w:r>
      <w:r w:rsidRPr="00B02C2B">
        <w:rPr>
          <w:rFonts w:eastAsia="Arial Unicode MS"/>
        </w:rPr>
        <w:t xml:space="preserve"> systems retained their sCT biological activity</w:t>
      </w:r>
      <w:r>
        <w:rPr>
          <w:rFonts w:eastAsia="Arial Unicode MS"/>
        </w:rPr>
        <w:t xml:space="preserve"> ( ̴100%)</w:t>
      </w:r>
      <w:r w:rsidR="00DA7485">
        <w:rPr>
          <w:rFonts w:eastAsia="Arial Unicode MS"/>
        </w:rPr>
        <w:t xml:space="preserve"> (Table 3)</w:t>
      </w:r>
      <w:r w:rsidRPr="00B02C2B">
        <w:rPr>
          <w:rFonts w:eastAsia="Arial Unicode MS"/>
        </w:rPr>
        <w:t xml:space="preserve">. </w:t>
      </w:r>
      <w:r w:rsidRPr="006F1174">
        <w:rPr>
          <w:rFonts w:eastAsia="Arial Unicode MS"/>
          <w:color w:val="000000"/>
        </w:rPr>
        <w:t>Ní Ógáin et al. (2011) also showed the protective effects of raffinose on lysozyme activity</w:t>
      </w:r>
      <w:r w:rsidR="00074F75">
        <w:rPr>
          <w:rFonts w:eastAsia="Arial Unicode MS"/>
          <w:color w:val="000000"/>
        </w:rPr>
        <w:t xml:space="preserve"> after storage</w:t>
      </w:r>
      <w:r w:rsidRPr="006F1174">
        <w:rPr>
          <w:rFonts w:eastAsia="Arial Unicode MS"/>
          <w:color w:val="000000"/>
        </w:rPr>
        <w:t>,</w:t>
      </w:r>
      <w:r w:rsidR="00074F75">
        <w:rPr>
          <w:rFonts w:eastAsia="Arial Unicode MS"/>
          <w:color w:val="000000"/>
        </w:rPr>
        <w:t xml:space="preserve"> with </w:t>
      </w:r>
      <w:r w:rsidR="008A7471">
        <w:rPr>
          <w:rFonts w:eastAsia="Arial Unicode MS"/>
          <w:color w:val="000000"/>
        </w:rPr>
        <w:t xml:space="preserve">a </w:t>
      </w:r>
      <w:r w:rsidR="00074F75">
        <w:rPr>
          <w:rFonts w:eastAsia="Arial Unicode MS"/>
          <w:color w:val="000000"/>
        </w:rPr>
        <w:t>very small reduction of bioactivity</w:t>
      </w:r>
      <w:r w:rsidR="00FA5D95">
        <w:rPr>
          <w:rFonts w:eastAsia="Arial Unicode MS"/>
          <w:color w:val="000000"/>
        </w:rPr>
        <w:t xml:space="preserve"> </w:t>
      </w:r>
      <w:r w:rsidR="008A7471">
        <w:rPr>
          <w:rFonts w:eastAsia="Arial Unicode MS"/>
          <w:color w:val="000000"/>
        </w:rPr>
        <w:t>compared to</w:t>
      </w:r>
      <w:r w:rsidR="00074F75">
        <w:rPr>
          <w:rFonts w:eastAsia="Arial Unicode MS"/>
          <w:color w:val="000000"/>
        </w:rPr>
        <w:t xml:space="preserve"> freshly spray dried powder (</w:t>
      </w:r>
      <w:r w:rsidR="003B1B3D">
        <w:rPr>
          <w:rFonts w:eastAsia="Arial Unicode MS"/>
          <w:color w:val="000000"/>
        </w:rPr>
        <w:t>93.5</w:t>
      </w:r>
      <w:r w:rsidR="00074F75">
        <w:rPr>
          <w:rFonts w:eastAsia="Arial Unicode MS"/>
          <w:color w:val="000000"/>
        </w:rPr>
        <w:t xml:space="preserve">±4.4 </w:t>
      </w:r>
      <w:r w:rsidRPr="006F1174">
        <w:rPr>
          <w:rFonts w:eastAsia="Arial Unicode MS"/>
          <w:color w:val="000000"/>
        </w:rPr>
        <w:t>%</w:t>
      </w:r>
      <w:r w:rsidR="00074F75">
        <w:rPr>
          <w:rFonts w:eastAsia="Arial Unicode MS"/>
          <w:color w:val="000000"/>
        </w:rPr>
        <w:t xml:space="preserve">) after 12 weeks storage at </w:t>
      </w:r>
      <w:r w:rsidR="00074F75" w:rsidRPr="00B02C2B">
        <w:rPr>
          <w:rFonts w:eastAsia="Arial Unicode MS"/>
        </w:rPr>
        <w:t>4</w:t>
      </w:r>
      <w:r w:rsidR="00074F75">
        <w:rPr>
          <w:rFonts w:eastAsia="Arial Unicode MS"/>
        </w:rPr>
        <w:t xml:space="preserve"> </w:t>
      </w:r>
      <w:r w:rsidR="00074F75" w:rsidRPr="00B02C2B">
        <w:rPr>
          <w:rFonts w:eastAsia="Arial Unicode MS"/>
        </w:rPr>
        <w:t>° C/5% RH</w:t>
      </w:r>
      <w:r w:rsidR="00074F75">
        <w:rPr>
          <w:rFonts w:eastAsia="Arial Unicode MS"/>
          <w:color w:val="000000"/>
        </w:rPr>
        <w:t xml:space="preserve"> (99.1±7.1 </w:t>
      </w:r>
      <w:r w:rsidR="00074F75" w:rsidRPr="006F1174">
        <w:rPr>
          <w:rFonts w:eastAsia="Arial Unicode MS"/>
          <w:color w:val="000000"/>
        </w:rPr>
        <w:t>%</w:t>
      </w:r>
      <w:r w:rsidR="00074F75">
        <w:rPr>
          <w:rFonts w:eastAsia="Arial Unicode MS"/>
          <w:color w:val="000000"/>
        </w:rPr>
        <w:t xml:space="preserve">) and at </w:t>
      </w:r>
      <w:r w:rsidR="00074F75" w:rsidRPr="00B02C2B">
        <w:rPr>
          <w:rFonts w:eastAsia="Arial Unicode MS"/>
        </w:rPr>
        <w:t>25 °C/5% RH</w:t>
      </w:r>
      <w:r w:rsidR="00074F75">
        <w:rPr>
          <w:rFonts w:eastAsia="Arial Unicode MS"/>
        </w:rPr>
        <w:t xml:space="preserve"> </w:t>
      </w:r>
      <w:r w:rsidR="008A7471">
        <w:rPr>
          <w:rFonts w:eastAsia="Arial Unicode MS"/>
        </w:rPr>
        <w:t>(</w:t>
      </w:r>
      <w:r w:rsidR="00074F75">
        <w:rPr>
          <w:rFonts w:eastAsia="Arial Unicode MS"/>
          <w:color w:val="000000"/>
        </w:rPr>
        <w:t xml:space="preserve">90.8±7.1 </w:t>
      </w:r>
      <w:r w:rsidR="00074F75" w:rsidRPr="006F1174">
        <w:rPr>
          <w:rFonts w:eastAsia="Arial Unicode MS"/>
          <w:color w:val="000000"/>
        </w:rPr>
        <w:t>%</w:t>
      </w:r>
      <w:r w:rsidR="00074F75">
        <w:rPr>
          <w:rFonts w:eastAsia="Arial Unicode MS"/>
          <w:color w:val="000000"/>
        </w:rPr>
        <w:t>). Trehalose also present</w:t>
      </w:r>
      <w:r w:rsidR="008A7471">
        <w:rPr>
          <w:rFonts w:eastAsia="Arial Unicode MS"/>
          <w:color w:val="000000"/>
        </w:rPr>
        <w:t>ed</w:t>
      </w:r>
      <w:r w:rsidR="00074F75">
        <w:rPr>
          <w:rFonts w:eastAsia="Arial Unicode MS"/>
          <w:color w:val="000000"/>
        </w:rPr>
        <w:t xml:space="preserve"> less protective action in </w:t>
      </w:r>
      <w:r w:rsidR="008A7471">
        <w:rPr>
          <w:rFonts w:eastAsia="Arial Unicode MS"/>
          <w:color w:val="000000"/>
        </w:rPr>
        <w:t xml:space="preserve">the studies reported by </w:t>
      </w:r>
      <w:r w:rsidR="00074F75" w:rsidRPr="006F1174">
        <w:rPr>
          <w:rFonts w:eastAsia="Arial Unicode MS"/>
          <w:color w:val="000000"/>
        </w:rPr>
        <w:t xml:space="preserve">Ní </w:t>
      </w:r>
      <w:r w:rsidR="00074F75" w:rsidRPr="006F1174">
        <w:rPr>
          <w:rFonts w:eastAsia="Arial Unicode MS"/>
          <w:color w:val="000000"/>
        </w:rPr>
        <w:lastRenderedPageBreak/>
        <w:t>Ógáin et al. (2011)</w:t>
      </w:r>
      <w:r w:rsidR="00074F75">
        <w:rPr>
          <w:rFonts w:eastAsia="Arial Unicode MS"/>
          <w:color w:val="000000"/>
        </w:rPr>
        <w:t xml:space="preserve">, with the bioactivity reducing from </w:t>
      </w:r>
      <w:r w:rsidR="003B1B3D">
        <w:rPr>
          <w:rFonts w:eastAsia="Arial Unicode MS"/>
          <w:color w:val="000000"/>
        </w:rPr>
        <w:t>103.9</w:t>
      </w:r>
      <w:r w:rsidR="00074F75">
        <w:rPr>
          <w:rFonts w:eastAsia="Arial Unicode MS"/>
          <w:color w:val="000000"/>
        </w:rPr>
        <w:t xml:space="preserve">±4.4% to 98.2±7.1% at </w:t>
      </w:r>
      <w:r w:rsidR="00074F75" w:rsidRPr="00B02C2B">
        <w:rPr>
          <w:rFonts w:eastAsia="Arial Unicode MS"/>
        </w:rPr>
        <w:t>4</w:t>
      </w:r>
      <w:r w:rsidR="00074F75">
        <w:rPr>
          <w:rFonts w:eastAsia="Arial Unicode MS"/>
        </w:rPr>
        <w:t xml:space="preserve"> </w:t>
      </w:r>
      <w:r w:rsidR="00074F75" w:rsidRPr="00B02C2B">
        <w:rPr>
          <w:rFonts w:eastAsia="Arial Unicode MS"/>
        </w:rPr>
        <w:t>° C/5% RH</w:t>
      </w:r>
      <w:r w:rsidR="00074F75">
        <w:rPr>
          <w:rFonts w:eastAsia="Arial Unicode MS"/>
        </w:rPr>
        <w:t xml:space="preserve">, and </w:t>
      </w:r>
      <w:r w:rsidR="00074F75">
        <w:rPr>
          <w:rFonts w:eastAsia="Arial Unicode MS"/>
          <w:color w:val="000000"/>
        </w:rPr>
        <w:t xml:space="preserve">92.5±7.1% at </w:t>
      </w:r>
      <w:r w:rsidR="00074F75" w:rsidRPr="00B02C2B">
        <w:rPr>
          <w:rFonts w:eastAsia="Arial Unicode MS"/>
        </w:rPr>
        <w:t>25 °C/5% RH</w:t>
      </w:r>
      <w:r w:rsidR="00FA5D95">
        <w:rPr>
          <w:rFonts w:eastAsia="Arial Unicode MS"/>
        </w:rPr>
        <w:t>, although n</w:t>
      </w:r>
      <w:r w:rsidR="003B1B3D">
        <w:rPr>
          <w:rFonts w:eastAsia="Arial Unicode MS"/>
        </w:rPr>
        <w:t>one of the bioactivity reductions were found to be statistically significant (</w:t>
      </w:r>
      <w:r w:rsidR="003B1B3D">
        <w:rPr>
          <w:rFonts w:eastAsia="Arial Unicode MS"/>
          <w:color w:val="000000"/>
        </w:rPr>
        <w:t xml:space="preserve">Ní Ógáin et al., </w:t>
      </w:r>
      <w:r w:rsidR="003B1B3D" w:rsidRPr="006F1174">
        <w:rPr>
          <w:rFonts w:eastAsia="Arial Unicode MS"/>
          <w:color w:val="000000"/>
        </w:rPr>
        <w:t>2011)</w:t>
      </w:r>
      <w:r w:rsidR="003B1B3D">
        <w:rPr>
          <w:rFonts w:eastAsia="Arial Unicode MS"/>
          <w:color w:val="000000"/>
        </w:rPr>
        <w:t>.</w:t>
      </w:r>
    </w:p>
    <w:p w14:paraId="77BCE81E" w14:textId="28FD2530" w:rsidR="004877FA" w:rsidRDefault="004877FA" w:rsidP="00AB3717">
      <w:pPr>
        <w:spacing w:line="360" w:lineRule="auto"/>
        <w:jc w:val="both"/>
        <w:rPr>
          <w:rFonts w:eastAsia="Arial Unicode MS"/>
          <w:lang w:val="en-IE"/>
        </w:rPr>
      </w:pPr>
      <w:r w:rsidRPr="00B02C2B">
        <w:rPr>
          <w:rFonts w:eastAsia="Arial Unicode MS"/>
        </w:rPr>
        <w:t>The pharmacokinetic study demonstrated that sCT dry powder formulations</w:t>
      </w:r>
      <w:r w:rsidRPr="00B02C2B">
        <w:rPr>
          <w:lang w:val="en-IE"/>
        </w:rPr>
        <w:t xml:space="preserve"> h</w:t>
      </w:r>
      <w:r w:rsidRPr="00B02C2B">
        <w:rPr>
          <w:rFonts w:eastAsia="Arial Unicode MS"/>
        </w:rPr>
        <w:t>ad a similar pharmacokinetic profile to sCT solution, with the formulation sCT:R:HPβ</w:t>
      </w:r>
      <w:r w:rsidRPr="00B02C2B">
        <w:rPr>
          <w:rFonts w:eastAsia="Arial Unicode MS"/>
          <w:lang w:val="en-IE"/>
        </w:rPr>
        <w:t>CD 5:57:38 resulting in higher bioavailability</w:t>
      </w:r>
      <w:r w:rsidR="003B1B3D">
        <w:rPr>
          <w:rFonts w:eastAsia="Arial Unicode MS"/>
          <w:lang w:val="en-IE"/>
        </w:rPr>
        <w:t xml:space="preserve"> (though not statistically significant)</w:t>
      </w:r>
      <w:r w:rsidRPr="00B02C2B">
        <w:rPr>
          <w:rFonts w:eastAsia="Arial Unicode MS"/>
          <w:lang w:val="en-IE"/>
        </w:rPr>
        <w:t>. HPβCD is a known non-toxic permeability enhancer</w:t>
      </w:r>
      <w:r w:rsidR="00EC1A47">
        <w:rPr>
          <w:rFonts w:eastAsia="Arial Unicode MS"/>
          <w:lang w:val="en-IE"/>
        </w:rPr>
        <w:t xml:space="preserve"> </w:t>
      </w:r>
      <w:r w:rsidR="00177CBD">
        <w:rPr>
          <w:rFonts w:eastAsia="Arial Unicode MS"/>
          <w:lang w:val="en-IE"/>
        </w:rPr>
        <w:fldChar w:fldCharType="begin" w:fldLock="1"/>
      </w:r>
      <w:r w:rsidR="009869DD">
        <w:rPr>
          <w:rFonts w:eastAsia="Arial Unicode MS"/>
          <w:lang w:val="en-IE"/>
        </w:rPr>
        <w:instrText>ADDIN CSL_CITATION { "citationItems" : [ { "id" : "ITEM-1", "itemData" : { "DOI" : "10.1016/j.addr.2007.05.012", "ISSN" : "0169-409X", "PMID" : "17601630", "abstract" : "Cyclodextrins are useful functional excipients that have enjoyed widespread attention and use. The basis for this popularity from a pharmaceutical standpoint, is the ability of these materials to interact with poorly water-soluble drugs and drug candidates resulting in an increase in their apparent water solubility. The mechanism for this solubilization is rooted in the ability of cyclodextrin to form non-covalent dynamic inclusion complexes in solution. Other solubilizing attribute may include the ability to form non-inclusion based complexes, the formation of aggregates and related domains and the ability of cyclodextrins to form and stabilize supersaturated drug solutions. The increase in solubility also can increase dissolution rate and thus improve the oral bioavailability of BCS Class II and IV materials. A number of cyclodextrin-based products have reached the market based on their ability to camouflage undesirable physicochemical properties. This review is intended to give a general background to the use of cyclodextrin as solubilizers as well as highlight kinetic and thermodynamic tools and parameters useful in the study of drug solubilization by cyclodextrins.", "author" : [ { "dropping-particle" : "", "family" : "Brewster", "given" : "Marcus E", "non-dropping-particle" : "", "parse-names" : false, "suffix" : "" }, { "dropping-particle" : "", "family" : "Loftsson", "given" : "Thorsteinn", "non-dropping-particle" : "", "parse-names" : false, "suffix" : "" } ], "container-title" : "Advanced drug delivery reviews", "id" : "ITEM-1", "issue" : "7", "issued" : { "date-parts" : [ [ "2007", "7", "30" ] ] }, "page" : "645-66", "title" : "Cyclodextrins as pharmaceutical solubilizers.", "type" : "article-journal", "volume" : "59" }, "uris" : [ "http://www.mendeley.com/documents/?uuid=f6bc8396-fcb1-4fa3-bcc8-3a943165f9f1" ] } ], "mendeley" : { "previouslyFormattedCitation" : "(Brewster &amp; Loftsson 2007)" }, "properties" : { "noteIndex" : 0 }, "schema" : "https://github.com/citation-style-language/schema/raw/master/csl-citation.json" }</w:instrText>
      </w:r>
      <w:r w:rsidR="00177CBD">
        <w:rPr>
          <w:rFonts w:eastAsia="Arial Unicode MS"/>
          <w:lang w:val="en-IE"/>
        </w:rPr>
        <w:fldChar w:fldCharType="separate"/>
      </w:r>
      <w:r w:rsidR="00EC1A47" w:rsidRPr="00EC1A47">
        <w:rPr>
          <w:rFonts w:eastAsia="Arial Unicode MS"/>
          <w:noProof/>
          <w:lang w:val="en-IE"/>
        </w:rPr>
        <w:t>(Brewster &amp; Loftsson 2007)</w:t>
      </w:r>
      <w:r w:rsidR="00177CBD">
        <w:rPr>
          <w:rFonts w:eastAsia="Arial Unicode MS"/>
          <w:lang w:val="en-IE"/>
        </w:rPr>
        <w:fldChar w:fldCharType="end"/>
      </w:r>
      <w:r w:rsidR="00EC1A47">
        <w:rPr>
          <w:rFonts w:eastAsia="Arial Unicode MS"/>
          <w:lang w:val="en-IE"/>
        </w:rPr>
        <w:t>,</w:t>
      </w:r>
      <w:r w:rsidRPr="00B02C2B">
        <w:rPr>
          <w:rFonts w:eastAsia="Arial Unicode MS"/>
          <w:lang w:val="en-IE"/>
        </w:rPr>
        <w:t xml:space="preserve"> </w:t>
      </w:r>
      <w:r w:rsidR="00EC1A47">
        <w:rPr>
          <w:rFonts w:eastAsia="Arial Unicode MS"/>
          <w:lang w:val="en-IE"/>
        </w:rPr>
        <w:t>which could have</w:t>
      </w:r>
      <w:r w:rsidR="00DA7485">
        <w:rPr>
          <w:rFonts w:eastAsia="Arial Unicode MS"/>
          <w:lang w:val="en-IE"/>
        </w:rPr>
        <w:t xml:space="preserve"> </w:t>
      </w:r>
      <w:r w:rsidR="00EC1A47">
        <w:rPr>
          <w:rFonts w:eastAsia="Arial Unicode MS"/>
          <w:lang w:val="en-IE"/>
        </w:rPr>
        <w:t>contribute</w:t>
      </w:r>
      <w:r w:rsidR="00DA7485">
        <w:rPr>
          <w:rFonts w:eastAsia="Arial Unicode MS"/>
          <w:lang w:val="en-IE"/>
        </w:rPr>
        <w:t>d</w:t>
      </w:r>
      <w:r w:rsidR="00EC1A47">
        <w:rPr>
          <w:rFonts w:eastAsia="Arial Unicode MS"/>
          <w:lang w:val="en-IE"/>
        </w:rPr>
        <w:t xml:space="preserve"> to the higher bioavailability. </w:t>
      </w:r>
      <w:r w:rsidRPr="00B02C2B">
        <w:rPr>
          <w:rFonts w:eastAsia="Arial Unicode MS"/>
          <w:lang w:val="en-IE"/>
        </w:rPr>
        <w:t xml:space="preserve"> Although the administration was intratracheal, overcoming deposition in the high airways, the increase in bioavailability is </w:t>
      </w:r>
      <w:r w:rsidR="00EC1A47">
        <w:rPr>
          <w:rFonts w:eastAsia="Arial Unicode MS"/>
          <w:lang w:val="en-IE"/>
        </w:rPr>
        <w:t xml:space="preserve">also </w:t>
      </w:r>
      <w:r w:rsidRPr="00B02C2B">
        <w:rPr>
          <w:rFonts w:eastAsia="Arial Unicode MS"/>
          <w:lang w:val="en-IE"/>
        </w:rPr>
        <w:t xml:space="preserve">thought to be related to the aerosol deposition of this type of powder, since it was seen that </w:t>
      </w:r>
      <w:r w:rsidRPr="00B02C2B">
        <w:rPr>
          <w:rFonts w:eastAsia="Arial Unicode MS"/>
        </w:rPr>
        <w:t>sCT:R:HPβ</w:t>
      </w:r>
      <w:r w:rsidRPr="00B02C2B">
        <w:rPr>
          <w:rFonts w:eastAsia="Arial Unicode MS"/>
          <w:lang w:val="en-IE"/>
        </w:rPr>
        <w:t xml:space="preserve">CD 5:57:38 presented elevated </w:t>
      </w:r>
      <w:r w:rsidR="00EC1A47">
        <w:rPr>
          <w:rFonts w:eastAsia="Arial Unicode MS"/>
          <w:lang w:val="en-IE"/>
        </w:rPr>
        <w:t>deposition in the lower airways (</w:t>
      </w:r>
      <w:r w:rsidRPr="00B02C2B">
        <w:rPr>
          <w:rFonts w:eastAsia="Arial Unicode MS"/>
          <w:lang w:val="en-IE"/>
        </w:rPr>
        <w:t xml:space="preserve">FPF &lt; 5 </w:t>
      </w:r>
      <w:r w:rsidR="00EC1A47">
        <w:rPr>
          <w:rFonts w:eastAsia="Arial Unicode MS"/>
          <w:lang w:val="en-IE"/>
        </w:rPr>
        <w:t xml:space="preserve">  ̴</w:t>
      </w:r>
      <w:r w:rsidR="00D51CE9">
        <w:rPr>
          <w:rFonts w:eastAsia="Arial Unicode MS"/>
          <w:lang w:val="en-IE"/>
        </w:rPr>
        <w:t xml:space="preserve"> </w:t>
      </w:r>
      <w:r w:rsidRPr="00B02C2B">
        <w:rPr>
          <w:rFonts w:eastAsia="Arial Unicode MS"/>
          <w:lang w:val="en-IE"/>
        </w:rPr>
        <w:t>85</w:t>
      </w:r>
      <w:r>
        <w:rPr>
          <w:rFonts w:eastAsia="Arial Unicode MS"/>
          <w:lang w:val="en-IE"/>
        </w:rPr>
        <w:t xml:space="preserve"> </w:t>
      </w:r>
      <w:r w:rsidRPr="00B02C2B">
        <w:rPr>
          <w:rFonts w:eastAsia="Arial Unicode MS"/>
          <w:lang w:val="en-IE"/>
        </w:rPr>
        <w:t>% an</w:t>
      </w:r>
      <w:r w:rsidR="00EC1A47">
        <w:rPr>
          <w:rFonts w:eastAsia="Arial Unicode MS"/>
          <w:lang w:val="en-IE"/>
        </w:rPr>
        <w:t>d FPF &lt;</w:t>
      </w:r>
      <w:r w:rsidR="00EC1A47" w:rsidRPr="00B02C2B">
        <w:rPr>
          <w:rFonts w:eastAsia="Arial Unicode MS"/>
          <w:lang w:val="en-IE"/>
        </w:rPr>
        <w:t xml:space="preserve"> 3 μm</w:t>
      </w:r>
      <w:r w:rsidR="00EC1A47">
        <w:rPr>
          <w:rFonts w:eastAsia="Arial Unicode MS"/>
          <w:lang w:val="en-IE"/>
        </w:rPr>
        <w:t xml:space="preserve"> </w:t>
      </w:r>
      <w:r w:rsidRPr="00B02C2B">
        <w:rPr>
          <w:rFonts w:eastAsia="Arial Unicode MS"/>
          <w:lang w:val="en-IE"/>
        </w:rPr>
        <w:t xml:space="preserve"> </w:t>
      </w:r>
      <w:r w:rsidR="00EC1A47">
        <w:rPr>
          <w:rFonts w:eastAsia="Arial Unicode MS"/>
          <w:lang w:val="en-IE"/>
        </w:rPr>
        <w:t>̴</w:t>
      </w:r>
      <w:r w:rsidR="00D51CE9">
        <w:rPr>
          <w:rFonts w:eastAsia="Arial Unicode MS"/>
          <w:lang w:val="en-IE"/>
        </w:rPr>
        <w:t xml:space="preserve"> </w:t>
      </w:r>
      <w:r w:rsidRPr="00B02C2B">
        <w:rPr>
          <w:rFonts w:eastAsia="Arial Unicode MS"/>
          <w:lang w:val="en-IE"/>
        </w:rPr>
        <w:t>82</w:t>
      </w:r>
      <w:r>
        <w:rPr>
          <w:rFonts w:eastAsia="Arial Unicode MS"/>
          <w:lang w:val="en-IE"/>
        </w:rPr>
        <w:t xml:space="preserve"> </w:t>
      </w:r>
      <w:r w:rsidRPr="00B02C2B">
        <w:rPr>
          <w:rFonts w:eastAsia="Arial Unicode MS"/>
          <w:lang w:val="en-IE"/>
        </w:rPr>
        <w:t>%</w:t>
      </w:r>
      <w:r w:rsidR="00EC1A47">
        <w:rPr>
          <w:rFonts w:eastAsia="Arial Unicode MS"/>
          <w:lang w:val="en-IE"/>
        </w:rPr>
        <w:t>)</w:t>
      </w:r>
      <w:r w:rsidRPr="00B02C2B">
        <w:rPr>
          <w:rFonts w:eastAsia="Arial Unicode MS"/>
          <w:lang w:val="en-IE"/>
        </w:rPr>
        <w:t xml:space="preserve">, where blood circulation is elevated. </w:t>
      </w:r>
    </w:p>
    <w:p w14:paraId="5C30BA0F" w14:textId="77777777" w:rsidR="00107581" w:rsidRDefault="00107581" w:rsidP="00AB3717">
      <w:pPr>
        <w:spacing w:line="360" w:lineRule="auto"/>
        <w:jc w:val="both"/>
        <w:rPr>
          <w:rFonts w:eastAsia="Arial Unicode MS"/>
          <w:lang w:val="en-IE"/>
        </w:rPr>
      </w:pPr>
    </w:p>
    <w:p w14:paraId="2521BD23" w14:textId="77777777" w:rsidR="004877FA" w:rsidRPr="004877FA" w:rsidRDefault="004877FA" w:rsidP="00AB3717">
      <w:pPr>
        <w:spacing w:line="360" w:lineRule="auto"/>
        <w:jc w:val="both"/>
        <w:rPr>
          <w:rFonts w:eastAsia="Arial Unicode MS"/>
          <w:b/>
          <w:lang w:val="en-IE"/>
        </w:rPr>
      </w:pPr>
      <w:r w:rsidRPr="004877FA">
        <w:rPr>
          <w:rFonts w:eastAsia="Arial Unicode MS"/>
          <w:b/>
          <w:lang w:val="en-IE"/>
        </w:rPr>
        <w:t>CONCLUSION</w:t>
      </w:r>
    </w:p>
    <w:p w14:paraId="1A61B378" w14:textId="77777777" w:rsidR="00626C5C" w:rsidRDefault="00626C5C" w:rsidP="00AB3717">
      <w:pPr>
        <w:spacing w:line="360" w:lineRule="auto"/>
        <w:jc w:val="both"/>
        <w:rPr>
          <w:rFonts w:eastAsia="Arial Unicode MS"/>
          <w:lang w:val="en-IE"/>
        </w:rPr>
      </w:pPr>
      <w:r>
        <w:rPr>
          <w:rFonts w:eastAsia="Arial Unicode MS"/>
          <w:lang w:val="en-IE"/>
        </w:rPr>
        <w:t xml:space="preserve">Spray drying of </w:t>
      </w:r>
      <w:r w:rsidRPr="00626C5C">
        <w:rPr>
          <w:rFonts w:eastAsia="Arial Unicode MS"/>
          <w:lang w:val="en-IE"/>
        </w:rPr>
        <w:t>sugar-based salmon calcitonin-loaded nanoporous/nanoparticulate microparticles (NPMPs)</w:t>
      </w:r>
      <w:r>
        <w:rPr>
          <w:rFonts w:eastAsia="Arial Unicode MS"/>
          <w:lang w:val="en-IE"/>
        </w:rPr>
        <w:t xml:space="preserve"> using a Büchi B-290 Mini spray dryer is feasible, resulting in powders with good physicochemical </w:t>
      </w:r>
      <w:r w:rsidR="0020042E">
        <w:rPr>
          <w:rFonts w:eastAsia="Arial Unicode MS"/>
          <w:lang w:val="en-IE"/>
        </w:rPr>
        <w:t xml:space="preserve">and aerodynamic </w:t>
      </w:r>
      <w:r>
        <w:rPr>
          <w:rFonts w:eastAsia="Arial Unicode MS"/>
          <w:lang w:val="en-IE"/>
        </w:rPr>
        <w:t>characteristics for pulmonary delivery.</w:t>
      </w:r>
      <w:r w:rsidR="004877FA" w:rsidRPr="00B02C2B">
        <w:rPr>
          <w:rFonts w:eastAsia="Arial Unicode MS"/>
          <w:lang w:val="en-IE"/>
        </w:rPr>
        <w:t xml:space="preserve"> </w:t>
      </w:r>
    </w:p>
    <w:p w14:paraId="312ECE93" w14:textId="05E8D13C" w:rsidR="00626C5C" w:rsidRDefault="00626C5C" w:rsidP="00AB3717">
      <w:pPr>
        <w:spacing w:line="360" w:lineRule="auto"/>
        <w:jc w:val="both"/>
        <w:rPr>
          <w:rFonts w:eastAsia="Arial Unicode MS"/>
          <w:lang w:val="en-IE"/>
        </w:rPr>
      </w:pPr>
      <w:r>
        <w:rPr>
          <w:rFonts w:eastAsia="Arial Unicode MS"/>
          <w:lang w:val="en-IE"/>
        </w:rPr>
        <w:t>R</w:t>
      </w:r>
      <w:r w:rsidR="004877FA" w:rsidRPr="00B02C2B">
        <w:rPr>
          <w:rFonts w:eastAsia="Arial Unicode MS"/>
          <w:lang w:val="en-IE"/>
        </w:rPr>
        <w:t>affinose composite systems presented better physical and storage stability than trehalose</w:t>
      </w:r>
      <w:r>
        <w:rPr>
          <w:rFonts w:eastAsia="Arial Unicode MS"/>
          <w:lang w:val="en-IE"/>
        </w:rPr>
        <w:t xml:space="preserve"> composite systems</w:t>
      </w:r>
      <w:r w:rsidR="004877FA" w:rsidRPr="00B02C2B">
        <w:rPr>
          <w:rFonts w:eastAsia="Arial Unicode MS"/>
          <w:lang w:val="en-IE"/>
        </w:rPr>
        <w:t xml:space="preserve">, suggesting </w:t>
      </w:r>
      <w:r>
        <w:rPr>
          <w:rFonts w:eastAsia="Arial Unicode MS"/>
          <w:lang w:val="en-IE"/>
        </w:rPr>
        <w:t>raffinose as</w:t>
      </w:r>
      <w:r w:rsidR="004877FA" w:rsidRPr="00B02C2B">
        <w:rPr>
          <w:rFonts w:eastAsia="Arial Unicode MS"/>
          <w:lang w:val="en-IE"/>
        </w:rPr>
        <w:t xml:space="preserve"> a mo</w:t>
      </w:r>
      <w:r>
        <w:rPr>
          <w:rFonts w:eastAsia="Arial Unicode MS"/>
          <w:lang w:val="en-IE"/>
        </w:rPr>
        <w:t>re promising protective agent for</w:t>
      </w:r>
      <w:r w:rsidR="004877FA" w:rsidRPr="00B02C2B">
        <w:rPr>
          <w:rFonts w:eastAsia="Arial Unicode MS"/>
          <w:lang w:val="en-IE"/>
        </w:rPr>
        <w:t xml:space="preserve"> peptides and proteins compared to trehalose.</w:t>
      </w:r>
      <w:r>
        <w:rPr>
          <w:rFonts w:eastAsia="Arial Unicode MS"/>
          <w:lang w:val="en-IE"/>
        </w:rPr>
        <w:t xml:space="preserve"> The addition of cyclodextrin to the sy</w:t>
      </w:r>
      <w:r w:rsidR="0020042E">
        <w:rPr>
          <w:rFonts w:eastAsia="Arial Unicode MS"/>
          <w:lang w:val="en-IE"/>
        </w:rPr>
        <w:t>s</w:t>
      </w:r>
      <w:r>
        <w:rPr>
          <w:rFonts w:eastAsia="Arial Unicode MS"/>
          <w:lang w:val="en-IE"/>
        </w:rPr>
        <w:t>tems improves a</w:t>
      </w:r>
      <w:r w:rsidR="004877FA" w:rsidRPr="00B02C2B">
        <w:rPr>
          <w:rFonts w:eastAsia="Arial Unicode MS"/>
          <w:lang w:val="en-IE"/>
        </w:rPr>
        <w:t>erosol dep</w:t>
      </w:r>
      <w:r>
        <w:rPr>
          <w:rFonts w:eastAsia="Arial Unicode MS"/>
          <w:lang w:val="en-IE"/>
        </w:rPr>
        <w:t>osition and powder stability</w:t>
      </w:r>
      <w:r w:rsidR="00777A5C">
        <w:rPr>
          <w:rFonts w:eastAsia="Arial Unicode MS"/>
          <w:lang w:val="en-IE"/>
        </w:rPr>
        <w:t>.</w:t>
      </w:r>
    </w:p>
    <w:p w14:paraId="68D29CB7" w14:textId="77777777" w:rsidR="006901C4" w:rsidRDefault="00626C5C" w:rsidP="0020042E">
      <w:pPr>
        <w:spacing w:line="360" w:lineRule="auto"/>
        <w:jc w:val="both"/>
        <w:rPr>
          <w:rFonts w:eastAsia="Arial Unicode MS"/>
          <w:lang w:val="en-IE"/>
        </w:rPr>
      </w:pPr>
      <w:r>
        <w:rPr>
          <w:rFonts w:eastAsia="Arial Unicode MS"/>
          <w:lang w:val="en-IE"/>
        </w:rPr>
        <w:t xml:space="preserve">A concern may exist regarding the use of organic solvents in these formulations; however the </w:t>
      </w:r>
      <w:r w:rsidR="00DA7485">
        <w:rPr>
          <w:rFonts w:eastAsia="Arial Unicode MS"/>
          <w:lang w:val="en-IE"/>
        </w:rPr>
        <w:t xml:space="preserve">calculated </w:t>
      </w:r>
      <w:r>
        <w:rPr>
          <w:rFonts w:eastAsia="Arial Unicode MS"/>
          <w:lang w:val="en-IE"/>
        </w:rPr>
        <w:t xml:space="preserve">levels </w:t>
      </w:r>
      <w:r w:rsidR="00DA7485">
        <w:rPr>
          <w:rFonts w:eastAsia="Arial Unicode MS"/>
          <w:lang w:val="en-IE"/>
        </w:rPr>
        <w:t>for a bioavailability of 18%</w:t>
      </w:r>
      <w:r>
        <w:rPr>
          <w:rFonts w:eastAsia="Arial Unicode MS"/>
          <w:lang w:val="en-IE"/>
        </w:rPr>
        <w:t xml:space="preserve"> were below the </w:t>
      </w:r>
      <w:r w:rsidR="0020042E">
        <w:rPr>
          <w:rFonts w:eastAsia="Arial Unicode MS"/>
          <w:lang w:val="en-IE"/>
        </w:rPr>
        <w:t>pharmacopoeial</w:t>
      </w:r>
      <w:r>
        <w:rPr>
          <w:rFonts w:eastAsia="Arial Unicode MS"/>
          <w:lang w:val="en-IE"/>
        </w:rPr>
        <w:t xml:space="preserve"> limits.</w:t>
      </w:r>
      <w:r w:rsidR="00DA7485">
        <w:rPr>
          <w:rFonts w:eastAsia="Arial Unicode MS"/>
          <w:lang w:val="en-IE"/>
        </w:rPr>
        <w:t xml:space="preserve"> </w:t>
      </w:r>
    </w:p>
    <w:p w14:paraId="7D4C0D40" w14:textId="4FAF98F4" w:rsidR="0020042E" w:rsidRDefault="006901C4" w:rsidP="0020042E">
      <w:pPr>
        <w:spacing w:line="360" w:lineRule="auto"/>
        <w:jc w:val="both"/>
        <w:rPr>
          <w:lang w:val="en-GB"/>
        </w:rPr>
      </w:pPr>
      <w:r>
        <w:rPr>
          <w:rFonts w:eastAsia="Arial Unicode MS"/>
          <w:lang w:val="en-IE"/>
        </w:rPr>
        <w:t>The</w:t>
      </w:r>
      <w:r w:rsidR="00DA7485">
        <w:rPr>
          <w:rFonts w:eastAsia="Arial Unicode MS"/>
          <w:lang w:val="en-IE"/>
        </w:rPr>
        <w:t xml:space="preserve"> tested powders presented a bioavailability between 10.1 and 14.9%.</w:t>
      </w:r>
      <w:r w:rsidR="00626C5C">
        <w:rPr>
          <w:rFonts w:eastAsia="Arial Unicode MS"/>
          <w:lang w:val="en-IE"/>
        </w:rPr>
        <w:t xml:space="preserve"> Pharmacokinetic profiles of tested samples showed these systems to have s</w:t>
      </w:r>
      <w:r w:rsidR="0020042E">
        <w:rPr>
          <w:rFonts w:eastAsia="Arial Unicode MS"/>
          <w:lang w:val="en-IE"/>
        </w:rPr>
        <w:t>i</w:t>
      </w:r>
      <w:r w:rsidR="00626C5C">
        <w:rPr>
          <w:rFonts w:eastAsia="Arial Unicode MS"/>
          <w:lang w:val="en-IE"/>
        </w:rPr>
        <w:t>milar</w:t>
      </w:r>
      <w:r w:rsidR="0020042E">
        <w:rPr>
          <w:rFonts w:eastAsia="Arial Unicode MS"/>
          <w:lang w:val="en-IE"/>
        </w:rPr>
        <w:t xml:space="preserve"> </w:t>
      </w:r>
      <w:r w:rsidR="0020042E" w:rsidRPr="00F34AEE">
        <w:rPr>
          <w:lang w:val="en-GB"/>
        </w:rPr>
        <w:t>profile</w:t>
      </w:r>
      <w:r w:rsidR="00107581">
        <w:rPr>
          <w:lang w:val="en-GB"/>
        </w:rPr>
        <w:t xml:space="preserve">s to that of </w:t>
      </w:r>
      <w:r w:rsidR="0020042E" w:rsidRPr="00F34AEE">
        <w:rPr>
          <w:lang w:val="en-GB"/>
        </w:rPr>
        <w:t xml:space="preserve">sCT solution. Hence the advantages of these dry powder formulations are </w:t>
      </w:r>
      <w:r w:rsidR="00777A5C">
        <w:rPr>
          <w:lang w:val="en-GB"/>
        </w:rPr>
        <w:t xml:space="preserve">the </w:t>
      </w:r>
      <w:r w:rsidR="0020042E" w:rsidRPr="00F34AEE">
        <w:rPr>
          <w:lang w:val="en-GB"/>
        </w:rPr>
        <w:t xml:space="preserve">non-invasive delivery </w:t>
      </w:r>
      <w:r w:rsidR="0020042E">
        <w:rPr>
          <w:lang w:val="en-GB"/>
        </w:rPr>
        <w:t xml:space="preserve">and ease of administration </w:t>
      </w:r>
      <w:r w:rsidR="0020042E" w:rsidRPr="00F34AEE">
        <w:rPr>
          <w:lang w:val="en-GB"/>
        </w:rPr>
        <w:t>of the sCT</w:t>
      </w:r>
      <w:r w:rsidR="0020042E">
        <w:rPr>
          <w:lang w:val="en-GB"/>
        </w:rPr>
        <w:t xml:space="preserve"> or </w:t>
      </w:r>
      <w:r w:rsidR="00D51CE9">
        <w:rPr>
          <w:lang w:val="en-GB"/>
        </w:rPr>
        <w:t xml:space="preserve">other </w:t>
      </w:r>
      <w:r w:rsidR="0020042E">
        <w:rPr>
          <w:lang w:val="en-GB"/>
        </w:rPr>
        <w:t>peptide</w:t>
      </w:r>
      <w:r w:rsidR="00D51CE9">
        <w:rPr>
          <w:lang w:val="en-GB"/>
        </w:rPr>
        <w:t>s</w:t>
      </w:r>
      <w:r w:rsidR="0020042E">
        <w:rPr>
          <w:lang w:val="en-GB"/>
        </w:rPr>
        <w:t>/protein</w:t>
      </w:r>
      <w:r w:rsidR="00D51CE9">
        <w:rPr>
          <w:lang w:val="en-GB"/>
        </w:rPr>
        <w:t>s</w:t>
      </w:r>
      <w:r w:rsidR="0020042E">
        <w:rPr>
          <w:lang w:val="en-GB"/>
        </w:rPr>
        <w:t>.</w:t>
      </w:r>
    </w:p>
    <w:p w14:paraId="65AC98E0" w14:textId="77777777" w:rsidR="00A065CC" w:rsidRDefault="00A065CC" w:rsidP="0020042E">
      <w:pPr>
        <w:spacing w:line="360" w:lineRule="auto"/>
        <w:jc w:val="both"/>
        <w:rPr>
          <w:lang w:val="en-GB"/>
        </w:rPr>
      </w:pPr>
    </w:p>
    <w:p w14:paraId="69A54C41" w14:textId="77777777" w:rsidR="00736F82" w:rsidRDefault="002A2EBB" w:rsidP="00AB3717">
      <w:pPr>
        <w:spacing w:line="360" w:lineRule="auto"/>
        <w:jc w:val="both"/>
        <w:rPr>
          <w:rFonts w:eastAsia="Arial Unicode MS"/>
          <w:b/>
          <w:color w:val="000000"/>
        </w:rPr>
      </w:pPr>
      <w:r w:rsidRPr="002A2EBB">
        <w:rPr>
          <w:rFonts w:eastAsia="Arial Unicode MS"/>
          <w:b/>
          <w:color w:val="000000"/>
        </w:rPr>
        <w:t xml:space="preserve">ACKNOWLEDGEMENTS </w:t>
      </w:r>
    </w:p>
    <w:p w14:paraId="056B4B22" w14:textId="77777777" w:rsidR="00E70526" w:rsidRDefault="00E70526" w:rsidP="00E70526">
      <w:pPr>
        <w:spacing w:line="360" w:lineRule="auto"/>
        <w:jc w:val="both"/>
        <w:rPr>
          <w:b/>
          <w:caps/>
        </w:rPr>
      </w:pPr>
      <w:r w:rsidRPr="00051D0C">
        <w:t xml:space="preserve">This paper is based upon works supported by Science Foundation Ireland under Grant No. 07/SRC/B1154 and </w:t>
      </w:r>
      <w:r w:rsidRPr="00941701">
        <w:rPr>
          <w:caps/>
          <w:lang w:val="en-GB"/>
        </w:rPr>
        <w:t>12/RC/2275</w:t>
      </w:r>
      <w:r w:rsidRPr="00941701">
        <w:rPr>
          <w:caps/>
          <w:sz w:val="20"/>
          <w:lang w:val="en-GB"/>
        </w:rPr>
        <w:t xml:space="preserve"> </w:t>
      </w:r>
    </w:p>
    <w:p w14:paraId="02734C68" w14:textId="77777777" w:rsidR="00736F82" w:rsidRDefault="002A2EBB" w:rsidP="00FC215C">
      <w:pPr>
        <w:spacing w:line="360" w:lineRule="auto"/>
        <w:jc w:val="both"/>
        <w:rPr>
          <w:rFonts w:eastAsia="Arial Unicode MS"/>
          <w:b/>
        </w:rPr>
      </w:pPr>
      <w:r>
        <w:rPr>
          <w:rFonts w:eastAsia="Arial Unicode MS"/>
          <w:b/>
        </w:rPr>
        <w:lastRenderedPageBreak/>
        <w:t>REFERENCES</w:t>
      </w:r>
    </w:p>
    <w:p w14:paraId="1C46DCF2" w14:textId="77777777" w:rsidR="009869DD" w:rsidRPr="009869DD" w:rsidRDefault="00177CBD" w:rsidP="003D3A04">
      <w:pPr>
        <w:pStyle w:val="NormalWeb"/>
        <w:jc w:val="both"/>
        <w:divId w:val="2078816012"/>
        <w:rPr>
          <w:rFonts w:ascii="Calibri" w:hAnsi="Calibri"/>
          <w:noProof/>
          <w:sz w:val="22"/>
        </w:rPr>
      </w:pPr>
      <w:r>
        <w:rPr>
          <w:rFonts w:eastAsia="Arial Unicode MS"/>
          <w:b/>
        </w:rPr>
        <w:fldChar w:fldCharType="begin" w:fldLock="1"/>
      </w:r>
      <w:r w:rsidR="00D76CE5">
        <w:rPr>
          <w:rFonts w:eastAsia="Arial Unicode MS"/>
          <w:b/>
        </w:rPr>
        <w:instrText xml:space="preserve">ADDIN Mendeley Bibliography CSL_BIBLIOGRAPHY </w:instrText>
      </w:r>
      <w:r>
        <w:rPr>
          <w:rFonts w:eastAsia="Arial Unicode MS"/>
          <w:b/>
        </w:rPr>
        <w:fldChar w:fldCharType="separate"/>
      </w:r>
      <w:r w:rsidR="009869DD" w:rsidRPr="009869DD">
        <w:rPr>
          <w:rFonts w:ascii="Calibri" w:hAnsi="Calibri"/>
          <w:noProof/>
          <w:sz w:val="22"/>
        </w:rPr>
        <w:t xml:space="preserve">Adler, M. &amp; Lee, G., 1999. Stability and surface activity of lactate dehydrogenase in spray-dried trehalose. </w:t>
      </w:r>
      <w:r w:rsidR="009869DD" w:rsidRPr="009869DD">
        <w:rPr>
          <w:rFonts w:ascii="Calibri" w:hAnsi="Calibri"/>
          <w:i/>
          <w:iCs/>
          <w:noProof/>
          <w:sz w:val="22"/>
        </w:rPr>
        <w:t>Journal of pharmaceutical sciences</w:t>
      </w:r>
      <w:r w:rsidR="009869DD" w:rsidRPr="009869DD">
        <w:rPr>
          <w:rFonts w:ascii="Calibri" w:hAnsi="Calibri"/>
          <w:noProof/>
          <w:sz w:val="22"/>
        </w:rPr>
        <w:t xml:space="preserve">, 88(2), pp.199–208. </w:t>
      </w:r>
    </w:p>
    <w:p w14:paraId="6596E360" w14:textId="77777777" w:rsid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Amaro, M. et al., 2011. Optimisation of spray drying process conditions for sugar nanoporous microparticles (NPMPs) intended for inhalation. </w:t>
      </w:r>
      <w:r w:rsidRPr="009869DD">
        <w:rPr>
          <w:rFonts w:ascii="Calibri" w:hAnsi="Calibri"/>
          <w:i/>
          <w:iCs/>
          <w:noProof/>
          <w:sz w:val="22"/>
        </w:rPr>
        <w:t xml:space="preserve">International journal of </w:t>
      </w:r>
      <w:r w:rsidR="00777A5C">
        <w:rPr>
          <w:rFonts w:ascii="Calibri" w:hAnsi="Calibri"/>
          <w:i/>
          <w:iCs/>
          <w:noProof/>
          <w:sz w:val="22"/>
        </w:rPr>
        <w:t>pharmaceutics</w:t>
      </w:r>
      <w:r w:rsidRPr="009869DD">
        <w:rPr>
          <w:rFonts w:ascii="Calibri" w:hAnsi="Calibri"/>
          <w:noProof/>
          <w:sz w:val="22"/>
        </w:rPr>
        <w:t xml:space="preserve">, 421, pp.99–109. </w:t>
      </w:r>
    </w:p>
    <w:p w14:paraId="161A915D" w14:textId="22A23FFD" w:rsidR="0087043A" w:rsidRPr="00474D1B" w:rsidRDefault="0087043A" w:rsidP="003D3A04">
      <w:pPr>
        <w:pStyle w:val="NormalWeb"/>
        <w:jc w:val="both"/>
        <w:divId w:val="2078816012"/>
        <w:rPr>
          <w:rFonts w:ascii="Calibri" w:hAnsi="Calibri"/>
          <w:noProof/>
          <w:sz w:val="22"/>
          <w:lang w:val="en-US"/>
        </w:rPr>
      </w:pPr>
      <w:r w:rsidRPr="00474D1B">
        <w:rPr>
          <w:rFonts w:ascii="Calibri" w:hAnsi="Calibri"/>
          <w:noProof/>
          <w:sz w:val="22"/>
          <w:lang w:val="en-US"/>
        </w:rPr>
        <w:t>Amaro, M.I. et al, 2014. Co-Spray Dried Carbohydrate Microparticles: Crystallisation Delay/Inhibition and Improved Aerosolization Characteristics Through the Incorporation of Hydroxypropyl-</w:t>
      </w:r>
      <w:r w:rsidRPr="0087043A">
        <w:rPr>
          <w:rFonts w:ascii="Calibri" w:hAnsi="Calibri"/>
          <w:noProof/>
          <w:sz w:val="22"/>
          <w:lang w:val="pt-PT"/>
        </w:rPr>
        <w:t>β</w:t>
      </w:r>
      <w:r w:rsidRPr="00474D1B">
        <w:rPr>
          <w:rFonts w:ascii="Calibri" w:hAnsi="Calibri"/>
          <w:noProof/>
          <w:sz w:val="22"/>
          <w:lang w:val="en-US"/>
        </w:rPr>
        <w:t>-cyclodextrin with Amorphous Raffinose or Trehalose</w:t>
      </w:r>
      <w:r>
        <w:rPr>
          <w:rFonts w:ascii="Calibri" w:hAnsi="Calibri"/>
          <w:noProof/>
          <w:sz w:val="22"/>
          <w:lang w:val="en-US"/>
        </w:rPr>
        <w:t xml:space="preserve">. Pharmaceutical Research, </w:t>
      </w:r>
      <w:r w:rsidR="004A417A">
        <w:rPr>
          <w:rFonts w:ascii="Calibri" w:hAnsi="Calibri"/>
          <w:noProof/>
          <w:sz w:val="22"/>
          <w:lang w:val="en-US"/>
        </w:rPr>
        <w:t>publsih online 30</w:t>
      </w:r>
      <w:r w:rsidR="004A417A" w:rsidRPr="00474D1B">
        <w:rPr>
          <w:rFonts w:ascii="Calibri" w:hAnsi="Calibri"/>
          <w:noProof/>
          <w:sz w:val="22"/>
          <w:vertAlign w:val="superscript"/>
          <w:lang w:val="en-US"/>
        </w:rPr>
        <w:t>th</w:t>
      </w:r>
      <w:r w:rsidR="004A417A">
        <w:rPr>
          <w:rFonts w:ascii="Calibri" w:hAnsi="Calibri"/>
          <w:noProof/>
          <w:sz w:val="22"/>
          <w:lang w:val="en-US"/>
        </w:rPr>
        <w:t xml:space="preserve"> July.</w:t>
      </w:r>
    </w:p>
    <w:p w14:paraId="45AFF6AB" w14:textId="3F1677A4" w:rsidR="00581216" w:rsidRPr="00474D1B" w:rsidRDefault="00581216" w:rsidP="003D3A04">
      <w:pPr>
        <w:pStyle w:val="NormalWeb"/>
        <w:jc w:val="both"/>
        <w:divId w:val="2078816012"/>
        <w:rPr>
          <w:rFonts w:asciiTheme="minorHAnsi" w:hAnsiTheme="minorHAnsi" w:cs="Arial"/>
          <w:sz w:val="22"/>
        </w:rPr>
      </w:pPr>
      <w:r w:rsidRPr="00474D1B">
        <w:rPr>
          <w:rFonts w:asciiTheme="minorHAnsi" w:hAnsiTheme="minorHAnsi" w:cs="Arial"/>
          <w:sz w:val="22"/>
        </w:rPr>
        <w:t>Bianco, S.</w:t>
      </w:r>
      <w:r w:rsidR="00BA25A2" w:rsidRPr="00474D1B">
        <w:rPr>
          <w:rFonts w:asciiTheme="minorHAnsi" w:hAnsiTheme="minorHAnsi" w:cs="Arial"/>
          <w:sz w:val="22"/>
        </w:rPr>
        <w:t xml:space="preserve"> et al., 2012.</w:t>
      </w:r>
      <w:r w:rsidRPr="00474D1B">
        <w:rPr>
          <w:rFonts w:asciiTheme="minorHAnsi" w:hAnsiTheme="minorHAnsi" w:cs="Arial"/>
          <w:sz w:val="22"/>
        </w:rPr>
        <w:t xml:space="preserve"> Modification of the solid state nature of sulfathiazole and sulfathiazole sodium by spray drying. </w:t>
      </w:r>
      <w:r w:rsidRPr="00474D1B">
        <w:rPr>
          <w:rFonts w:asciiTheme="minorHAnsi" w:hAnsiTheme="minorHAnsi" w:cs="Arial"/>
          <w:i/>
          <w:sz w:val="22"/>
        </w:rPr>
        <w:t>AAPS PharmSciTech</w:t>
      </w:r>
      <w:r w:rsidRPr="00474D1B">
        <w:rPr>
          <w:rFonts w:asciiTheme="minorHAnsi" w:hAnsiTheme="minorHAnsi" w:cs="Arial"/>
          <w:sz w:val="22"/>
        </w:rPr>
        <w:t>, 13(2)</w:t>
      </w:r>
      <w:r w:rsidR="00BA25A2" w:rsidRPr="00474D1B">
        <w:rPr>
          <w:rFonts w:asciiTheme="minorHAnsi" w:hAnsiTheme="minorHAnsi" w:cs="Arial"/>
          <w:sz w:val="22"/>
        </w:rPr>
        <w:t>, pp.</w:t>
      </w:r>
      <w:r w:rsidRPr="00474D1B">
        <w:rPr>
          <w:rFonts w:asciiTheme="minorHAnsi" w:hAnsiTheme="minorHAnsi" w:cs="Arial"/>
          <w:sz w:val="22"/>
        </w:rPr>
        <w:t xml:space="preserve"> 647-60.</w:t>
      </w:r>
    </w:p>
    <w:p w14:paraId="689DD205"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Bosquillon, C. et al., 2004. Aerosolization properties, surface composition and physical state of spray-dried protein powders. </w:t>
      </w:r>
      <w:r w:rsidRPr="009869DD">
        <w:rPr>
          <w:rFonts w:ascii="Calibri" w:hAnsi="Calibri"/>
          <w:i/>
          <w:iCs/>
          <w:noProof/>
          <w:sz w:val="22"/>
        </w:rPr>
        <w:t>Journal of controlled release : official journal of the Controlled Release Society</w:t>
      </w:r>
      <w:r w:rsidRPr="009869DD">
        <w:rPr>
          <w:rFonts w:ascii="Calibri" w:hAnsi="Calibri"/>
          <w:noProof/>
          <w:sz w:val="22"/>
        </w:rPr>
        <w:t>, 99(3), pp.357–67.</w:t>
      </w:r>
    </w:p>
    <w:p w14:paraId="098F00CE"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Bosquillon, C., Lombry, C., Preat, V., et al., 2001. Comparison of particle sizing techniques in the case of inhalation dry powders. </w:t>
      </w:r>
      <w:r w:rsidRPr="009869DD">
        <w:rPr>
          <w:rFonts w:ascii="Calibri" w:hAnsi="Calibri"/>
          <w:i/>
          <w:iCs/>
          <w:noProof/>
          <w:sz w:val="22"/>
        </w:rPr>
        <w:t>Journal of pharmaceutical sciences</w:t>
      </w:r>
      <w:r w:rsidRPr="009869DD">
        <w:rPr>
          <w:rFonts w:ascii="Calibri" w:hAnsi="Calibri"/>
          <w:noProof/>
          <w:sz w:val="22"/>
        </w:rPr>
        <w:t>, 90(12), pp.2032–41.</w:t>
      </w:r>
    </w:p>
    <w:p w14:paraId="4E1EA365"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Bosquillon, C., Lombry, C., Préat, V., et al., 2001. Influence of formulation excipients and physical characteristics of inhalation dry powders on their aerosolization performance. </w:t>
      </w:r>
      <w:r w:rsidRPr="009869DD">
        <w:rPr>
          <w:rFonts w:ascii="Calibri" w:hAnsi="Calibri"/>
          <w:i/>
          <w:iCs/>
          <w:noProof/>
          <w:sz w:val="22"/>
        </w:rPr>
        <w:t>Journal of controlled release : official journal of the Controlled Release Society</w:t>
      </w:r>
      <w:r w:rsidRPr="009869DD">
        <w:rPr>
          <w:rFonts w:ascii="Calibri" w:hAnsi="Calibri"/>
          <w:noProof/>
          <w:sz w:val="22"/>
        </w:rPr>
        <w:t xml:space="preserve">, 70(3), pp.329–39. </w:t>
      </w:r>
    </w:p>
    <w:p w14:paraId="086F3B40"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Brewster, M.E. &amp; Loftsson, T., 2007. Cyclodextrins as pharmaceutical solubilizers. </w:t>
      </w:r>
      <w:r w:rsidRPr="009869DD">
        <w:rPr>
          <w:rFonts w:ascii="Calibri" w:hAnsi="Calibri"/>
          <w:i/>
          <w:iCs/>
          <w:noProof/>
          <w:sz w:val="22"/>
        </w:rPr>
        <w:t>Advanced drug delivery reviews</w:t>
      </w:r>
      <w:r w:rsidRPr="009869DD">
        <w:rPr>
          <w:rFonts w:ascii="Calibri" w:hAnsi="Calibri"/>
          <w:noProof/>
          <w:sz w:val="22"/>
        </w:rPr>
        <w:t xml:space="preserve">, 59(7), pp.645–66. </w:t>
      </w:r>
    </w:p>
    <w:p w14:paraId="2E40CCC2"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Chow, A.H.L. et al., 2007. Particle engineering for pulmonary drug delivery. </w:t>
      </w:r>
      <w:r w:rsidRPr="009869DD">
        <w:rPr>
          <w:rFonts w:ascii="Calibri" w:hAnsi="Calibri"/>
          <w:i/>
          <w:iCs/>
          <w:noProof/>
          <w:sz w:val="22"/>
        </w:rPr>
        <w:t>Pharmaceutical research</w:t>
      </w:r>
      <w:r w:rsidRPr="009869DD">
        <w:rPr>
          <w:rFonts w:ascii="Calibri" w:hAnsi="Calibri"/>
          <w:noProof/>
          <w:sz w:val="22"/>
        </w:rPr>
        <w:t xml:space="preserve">, 24(3), pp.411–37. </w:t>
      </w:r>
    </w:p>
    <w:p w14:paraId="06FC0566" w14:textId="77777777" w:rsidR="009869DD" w:rsidRPr="00474D1B" w:rsidRDefault="009869DD" w:rsidP="003D3A04">
      <w:pPr>
        <w:pStyle w:val="NormalWeb"/>
        <w:jc w:val="both"/>
        <w:divId w:val="2078816012"/>
        <w:rPr>
          <w:rFonts w:ascii="Calibri" w:hAnsi="Calibri"/>
          <w:noProof/>
          <w:sz w:val="22"/>
          <w:lang w:val="pt-PT"/>
        </w:rPr>
      </w:pPr>
      <w:r w:rsidRPr="009869DD">
        <w:rPr>
          <w:rFonts w:ascii="Calibri" w:hAnsi="Calibri"/>
          <w:noProof/>
          <w:sz w:val="22"/>
        </w:rPr>
        <w:t xml:space="preserve">Clark, A. et al., 2008. A comparison of the pulmonary bioavailability of powder and liquid aerosol formulations of salmon calcitonin. </w:t>
      </w:r>
      <w:r w:rsidRPr="00474D1B">
        <w:rPr>
          <w:rFonts w:ascii="Calibri" w:hAnsi="Calibri"/>
          <w:i/>
          <w:iCs/>
          <w:noProof/>
          <w:sz w:val="22"/>
          <w:lang w:val="pt-PT"/>
        </w:rPr>
        <w:t>Pharmaceutical research</w:t>
      </w:r>
      <w:r w:rsidRPr="00474D1B">
        <w:rPr>
          <w:rFonts w:ascii="Calibri" w:hAnsi="Calibri"/>
          <w:noProof/>
          <w:sz w:val="22"/>
          <w:lang w:val="pt-PT"/>
        </w:rPr>
        <w:t xml:space="preserve">, 25(7), pp.1583–90. </w:t>
      </w:r>
    </w:p>
    <w:p w14:paraId="0D67C225" w14:textId="77777777" w:rsidR="009869DD" w:rsidRPr="009869DD" w:rsidRDefault="009869DD" w:rsidP="003D3A04">
      <w:pPr>
        <w:pStyle w:val="NormalWeb"/>
        <w:jc w:val="both"/>
        <w:divId w:val="2078816012"/>
        <w:rPr>
          <w:rFonts w:ascii="Calibri" w:hAnsi="Calibri"/>
          <w:noProof/>
          <w:sz w:val="22"/>
        </w:rPr>
      </w:pPr>
      <w:r w:rsidRPr="00474D1B">
        <w:rPr>
          <w:rFonts w:ascii="Calibri" w:hAnsi="Calibri"/>
          <w:noProof/>
          <w:sz w:val="22"/>
          <w:lang w:val="pt-PT"/>
        </w:rPr>
        <w:t xml:space="preserve">Cryan, S.-A., Sivadas, N. &amp; Garcia-Contreras, L., 2007. </w:t>
      </w:r>
      <w:r w:rsidRPr="009869DD">
        <w:rPr>
          <w:rFonts w:ascii="Calibri" w:hAnsi="Calibri"/>
          <w:noProof/>
          <w:sz w:val="22"/>
        </w:rPr>
        <w:t xml:space="preserve">In vivo animal models for drug delivery across the lung mucosal barrier. </w:t>
      </w:r>
      <w:r w:rsidRPr="009869DD">
        <w:rPr>
          <w:rFonts w:ascii="Calibri" w:hAnsi="Calibri"/>
          <w:i/>
          <w:iCs/>
          <w:noProof/>
          <w:sz w:val="22"/>
        </w:rPr>
        <w:t>Advanced drug delivery reviews</w:t>
      </w:r>
      <w:r w:rsidRPr="009869DD">
        <w:rPr>
          <w:rFonts w:ascii="Calibri" w:hAnsi="Calibri"/>
          <w:noProof/>
          <w:sz w:val="22"/>
        </w:rPr>
        <w:t>, 59(11), pp.1133–51.</w:t>
      </w:r>
    </w:p>
    <w:p w14:paraId="608FBFBC"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Daniher, D.I. &amp; Zhu, J., 2008. Dry powder platform for pulmonary drug delivery. </w:t>
      </w:r>
      <w:r w:rsidRPr="009869DD">
        <w:rPr>
          <w:rFonts w:ascii="Calibri" w:hAnsi="Calibri"/>
          <w:i/>
          <w:iCs/>
          <w:noProof/>
          <w:sz w:val="22"/>
        </w:rPr>
        <w:t>Particuology</w:t>
      </w:r>
      <w:r w:rsidRPr="009869DD">
        <w:rPr>
          <w:rFonts w:ascii="Calibri" w:hAnsi="Calibri"/>
          <w:noProof/>
          <w:sz w:val="22"/>
        </w:rPr>
        <w:t>, 6(4), pp.225–238.</w:t>
      </w:r>
    </w:p>
    <w:p w14:paraId="05BB7547"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Epand, R.M. et al., 1986. Conformational flexibility and biological activity of salmon calcitonin. </w:t>
      </w:r>
      <w:r w:rsidRPr="009869DD">
        <w:rPr>
          <w:rFonts w:ascii="Calibri" w:hAnsi="Calibri"/>
          <w:i/>
          <w:iCs/>
          <w:noProof/>
          <w:sz w:val="22"/>
        </w:rPr>
        <w:t>Biochemistry</w:t>
      </w:r>
      <w:r w:rsidRPr="009869DD">
        <w:rPr>
          <w:rFonts w:ascii="Calibri" w:hAnsi="Calibri"/>
          <w:noProof/>
          <w:sz w:val="22"/>
        </w:rPr>
        <w:t xml:space="preserve">, 25(8), pp.1964–8. </w:t>
      </w:r>
    </w:p>
    <w:p w14:paraId="038EE071"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Hancock, B.C. &amp; Shamblin, S.L., 1998. Water vapour sorption by pharmaceutical sugars. </w:t>
      </w:r>
      <w:r w:rsidRPr="009869DD">
        <w:rPr>
          <w:rFonts w:ascii="Calibri" w:hAnsi="Calibri"/>
          <w:i/>
          <w:iCs/>
          <w:noProof/>
          <w:sz w:val="22"/>
        </w:rPr>
        <w:t>Pharmaceutical Science &amp; Technology Today</w:t>
      </w:r>
      <w:r w:rsidRPr="009869DD">
        <w:rPr>
          <w:rFonts w:ascii="Calibri" w:hAnsi="Calibri"/>
          <w:noProof/>
          <w:sz w:val="22"/>
        </w:rPr>
        <w:t xml:space="preserve">, 1(8), pp.345–351. </w:t>
      </w:r>
    </w:p>
    <w:p w14:paraId="1B44F2A5"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lastRenderedPageBreak/>
        <w:t xml:space="preserve">Hatley, R.H.M. &amp; Blair, J. a., 1999. Stabilisation and delivery of labile materials by amorphous carbohydrates and their derivatives. </w:t>
      </w:r>
      <w:r w:rsidRPr="009869DD">
        <w:rPr>
          <w:rFonts w:ascii="Calibri" w:hAnsi="Calibri"/>
          <w:i/>
          <w:iCs/>
          <w:noProof/>
          <w:sz w:val="22"/>
        </w:rPr>
        <w:t>Journal of Molecular Catalysis B: Enzymatic</w:t>
      </w:r>
      <w:r w:rsidRPr="009869DD">
        <w:rPr>
          <w:rFonts w:ascii="Calibri" w:hAnsi="Calibri"/>
          <w:noProof/>
          <w:sz w:val="22"/>
        </w:rPr>
        <w:t xml:space="preserve">, 7(1-4), pp.11–19. </w:t>
      </w:r>
    </w:p>
    <w:p w14:paraId="3F1D6222"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Healy, a M. et al., 2008. Characterisation of excipient-free nanoporous microparticles (NPMPs) of bendroflumethiazide. </w:t>
      </w:r>
      <w:r w:rsidRPr="009869DD">
        <w:rPr>
          <w:rFonts w:ascii="Calibri" w:hAnsi="Calibri"/>
          <w:i/>
          <w:iCs/>
          <w:noProof/>
          <w:sz w:val="22"/>
        </w:rPr>
        <w:t>European journal of pharmaceutics and biopharmaceutics : official journal of Arbeitsgemeinschaft für Pharmazeutische Verfahrenstechnik e.V</w:t>
      </w:r>
      <w:r w:rsidRPr="009869DD">
        <w:rPr>
          <w:rFonts w:ascii="Calibri" w:hAnsi="Calibri"/>
          <w:noProof/>
          <w:sz w:val="22"/>
        </w:rPr>
        <w:t xml:space="preserve">, 69(3), pp.1182–6. </w:t>
      </w:r>
    </w:p>
    <w:p w14:paraId="654A830C"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Hulse, W.L. et al., 2008. Do co-spray dried excipients offer better lysozyme stabilisation than single excipients? </w:t>
      </w:r>
      <w:r w:rsidRPr="009869DD">
        <w:rPr>
          <w:rFonts w:ascii="Calibri" w:hAnsi="Calibri"/>
          <w:i/>
          <w:iCs/>
          <w:noProof/>
          <w:sz w:val="22"/>
        </w:rPr>
        <w:t>European journal of pharmaceutical sciences : official journal of the European Federation for Pharmaceutical Sciences</w:t>
      </w:r>
      <w:r w:rsidRPr="009869DD">
        <w:rPr>
          <w:rFonts w:ascii="Calibri" w:hAnsi="Calibri"/>
          <w:noProof/>
          <w:sz w:val="22"/>
        </w:rPr>
        <w:t xml:space="preserve">, 33(3), pp.294–305. </w:t>
      </w:r>
    </w:p>
    <w:p w14:paraId="7692553F"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Johnson, K., 1997. Preparation of peptide and protein powders for inhalation. </w:t>
      </w:r>
      <w:r w:rsidRPr="009869DD">
        <w:rPr>
          <w:rFonts w:ascii="Calibri" w:hAnsi="Calibri"/>
          <w:i/>
          <w:iCs/>
          <w:noProof/>
          <w:sz w:val="22"/>
        </w:rPr>
        <w:t>Advanced drug delivery reviews</w:t>
      </w:r>
      <w:r w:rsidRPr="009869DD">
        <w:rPr>
          <w:rFonts w:ascii="Calibri" w:hAnsi="Calibri"/>
          <w:noProof/>
          <w:sz w:val="22"/>
        </w:rPr>
        <w:t xml:space="preserve">, 26(1), pp.3–15. </w:t>
      </w:r>
    </w:p>
    <w:p w14:paraId="66DD55AF"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Katayama, T. et al., 2001. Discovery of a non-peptide small molecule that selectively mimics the biological actions of calcitonin. </w:t>
      </w:r>
      <w:r w:rsidRPr="009869DD">
        <w:rPr>
          <w:rFonts w:ascii="Calibri" w:hAnsi="Calibri"/>
          <w:i/>
          <w:iCs/>
          <w:noProof/>
          <w:sz w:val="22"/>
        </w:rPr>
        <w:t>Biochimica et biophysica acta</w:t>
      </w:r>
      <w:r w:rsidRPr="009869DD">
        <w:rPr>
          <w:rFonts w:ascii="Calibri" w:hAnsi="Calibri"/>
          <w:noProof/>
          <w:sz w:val="22"/>
        </w:rPr>
        <w:t xml:space="preserve">, 1526(2), pp.183–90. </w:t>
      </w:r>
    </w:p>
    <w:p w14:paraId="542D07E5"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Kwok, P.C.L. &amp; Chan, H.-K., 2008. Effect of relative humidity on the electrostatic charge properties of dry powder inhaler aerosols. </w:t>
      </w:r>
      <w:r w:rsidRPr="009869DD">
        <w:rPr>
          <w:rFonts w:ascii="Calibri" w:hAnsi="Calibri"/>
          <w:i/>
          <w:iCs/>
          <w:noProof/>
          <w:sz w:val="22"/>
        </w:rPr>
        <w:t>Pharmaceutical research</w:t>
      </w:r>
      <w:r w:rsidRPr="009869DD">
        <w:rPr>
          <w:rFonts w:ascii="Calibri" w:hAnsi="Calibri"/>
          <w:noProof/>
          <w:sz w:val="22"/>
        </w:rPr>
        <w:t xml:space="preserve">, 25(2), pp.277–88. </w:t>
      </w:r>
    </w:p>
    <w:p w14:paraId="5E94B68E"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Lai, M.C. &amp; Topp, E.M., 1999. Solid-state chemical stability of proteins and peptides. </w:t>
      </w:r>
      <w:r w:rsidRPr="009869DD">
        <w:rPr>
          <w:rFonts w:ascii="Calibri" w:hAnsi="Calibri"/>
          <w:i/>
          <w:iCs/>
          <w:noProof/>
          <w:sz w:val="22"/>
        </w:rPr>
        <w:t>Journal of pharmaceutical sciences</w:t>
      </w:r>
      <w:r w:rsidRPr="009869DD">
        <w:rPr>
          <w:rFonts w:ascii="Calibri" w:hAnsi="Calibri"/>
          <w:noProof/>
          <w:sz w:val="22"/>
        </w:rPr>
        <w:t xml:space="preserve">, 88(5), pp.489–500. </w:t>
      </w:r>
    </w:p>
    <w:p w14:paraId="0A2C41AD"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Liu, Y., Bhandari, B. &amp; Zhou, W., 2007. Study of glass transition and enthalpy relaxation of mixtures of amorphous sucrose and amorphous tapioca starch syrup solid by differential scanning calorimetry ( DSC ). , 81, pp.599–610.</w:t>
      </w:r>
    </w:p>
    <w:p w14:paraId="5EE04663" w14:textId="77777777" w:rsidR="009869DD" w:rsidRPr="009869DD" w:rsidRDefault="009869DD" w:rsidP="003D3A04">
      <w:pPr>
        <w:pStyle w:val="NormalWeb"/>
        <w:jc w:val="both"/>
        <w:divId w:val="2078816012"/>
        <w:rPr>
          <w:rFonts w:ascii="Calibri" w:hAnsi="Calibri"/>
          <w:noProof/>
          <w:sz w:val="22"/>
        </w:rPr>
      </w:pPr>
      <w:r w:rsidRPr="00474D1B">
        <w:rPr>
          <w:rFonts w:ascii="Calibri" w:hAnsi="Calibri"/>
          <w:noProof/>
          <w:sz w:val="22"/>
          <w:lang w:val="pt-PT"/>
        </w:rPr>
        <w:t xml:space="preserve">López-Díez, E.C. &amp; Bone, S., 2004. </w:t>
      </w:r>
      <w:r w:rsidRPr="009869DD">
        <w:rPr>
          <w:rFonts w:ascii="Calibri" w:hAnsi="Calibri"/>
          <w:noProof/>
          <w:sz w:val="22"/>
        </w:rPr>
        <w:t xml:space="preserve">The interaction of trypsin with trehalose: an investigation of protein preservation mechanisms. </w:t>
      </w:r>
      <w:r w:rsidRPr="009869DD">
        <w:rPr>
          <w:rFonts w:ascii="Calibri" w:hAnsi="Calibri"/>
          <w:i/>
          <w:iCs/>
          <w:noProof/>
          <w:sz w:val="22"/>
        </w:rPr>
        <w:t>Biochimica et biophysica acta</w:t>
      </w:r>
      <w:r w:rsidRPr="009869DD">
        <w:rPr>
          <w:rFonts w:ascii="Calibri" w:hAnsi="Calibri"/>
          <w:noProof/>
          <w:sz w:val="22"/>
        </w:rPr>
        <w:t>, 1673(3), pp.139–48.</w:t>
      </w:r>
    </w:p>
    <w:p w14:paraId="5CF93B2D" w14:textId="77777777" w:rsid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Maa, Y.F. et al., 1997. The effect of operating and formulation variables on the morphology of spray-dried protein particles. </w:t>
      </w:r>
      <w:r w:rsidRPr="009869DD">
        <w:rPr>
          <w:rFonts w:ascii="Calibri" w:hAnsi="Calibri"/>
          <w:i/>
          <w:iCs/>
          <w:noProof/>
          <w:sz w:val="22"/>
        </w:rPr>
        <w:t>Pharmaceutical development and technology</w:t>
      </w:r>
      <w:r w:rsidRPr="009869DD">
        <w:rPr>
          <w:rFonts w:ascii="Calibri" w:hAnsi="Calibri"/>
          <w:noProof/>
          <w:sz w:val="22"/>
        </w:rPr>
        <w:t xml:space="preserve">, 2(3), pp.213–23. </w:t>
      </w:r>
    </w:p>
    <w:p w14:paraId="4CF967EB" w14:textId="4AD518DC" w:rsidR="0087043A" w:rsidRPr="009869DD" w:rsidRDefault="0087043A" w:rsidP="003D3A04">
      <w:pPr>
        <w:pStyle w:val="NormalWeb"/>
        <w:jc w:val="both"/>
        <w:divId w:val="2078816012"/>
        <w:rPr>
          <w:rFonts w:ascii="Calibri" w:hAnsi="Calibri"/>
          <w:noProof/>
          <w:sz w:val="22"/>
        </w:rPr>
      </w:pPr>
      <w:r>
        <w:rPr>
          <w:rFonts w:ascii="Calibri" w:hAnsi="Calibri"/>
          <w:noProof/>
          <w:sz w:val="22"/>
        </w:rPr>
        <w:t xml:space="preserve">Mannkind Corporation, 2014. </w:t>
      </w:r>
      <w:r w:rsidRPr="0087043A">
        <w:rPr>
          <w:rFonts w:ascii="Calibri" w:hAnsi="Calibri"/>
          <w:noProof/>
          <w:sz w:val="22"/>
        </w:rPr>
        <w:t>MannKind Corporation Announces FDA Approval of AFREZZA(R); A Novel, Rapid-Acting Inhaled Insulin for the Treatment of Diabetes</w:t>
      </w:r>
      <w:r>
        <w:rPr>
          <w:rFonts w:ascii="Calibri" w:hAnsi="Calibri"/>
          <w:noProof/>
          <w:sz w:val="22"/>
        </w:rPr>
        <w:t xml:space="preserve">. Available at </w:t>
      </w:r>
      <w:r w:rsidRPr="0087043A">
        <w:rPr>
          <w:rFonts w:ascii="Calibri" w:hAnsi="Calibri"/>
          <w:noProof/>
          <w:sz w:val="22"/>
        </w:rPr>
        <w:t>http://www.news.mannkindcorp.com/</w:t>
      </w:r>
    </w:p>
    <w:p w14:paraId="606006CF"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Maury, M. et al., 2005. Spray-drying of proteins: effects of sorbitol and trehalose on aggregation and FT-IR amide I spectrum of an immunoglobulin G. </w:t>
      </w:r>
      <w:r w:rsidRPr="009869DD">
        <w:rPr>
          <w:rFonts w:ascii="Calibri" w:hAnsi="Calibri"/>
          <w:i/>
          <w:iCs/>
          <w:noProof/>
          <w:sz w:val="22"/>
        </w:rPr>
        <w:t>European journal of pharmaceutics and biopharmaceutics : official journal of Arbeitsgemeinschaft für Pharmazeutische Verfahrenstechnik e.V</w:t>
      </w:r>
      <w:r w:rsidRPr="009869DD">
        <w:rPr>
          <w:rFonts w:ascii="Calibri" w:hAnsi="Calibri"/>
          <w:noProof/>
          <w:sz w:val="22"/>
        </w:rPr>
        <w:t>, 59(2), pp.251–61.</w:t>
      </w:r>
    </w:p>
    <w:p w14:paraId="5EF22EC1"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Moe, G.R. &amp; Kaiser, E.T., 1985. Design, synthesis, and characterization of a model peptide having potent calcitonin-like biological activity: implications for calcitonin structure/activity. </w:t>
      </w:r>
      <w:r w:rsidRPr="009869DD">
        <w:rPr>
          <w:rFonts w:ascii="Calibri" w:hAnsi="Calibri"/>
          <w:i/>
          <w:iCs/>
          <w:noProof/>
          <w:sz w:val="22"/>
        </w:rPr>
        <w:t>Biochemistry</w:t>
      </w:r>
      <w:r w:rsidRPr="009869DD">
        <w:rPr>
          <w:rFonts w:ascii="Calibri" w:hAnsi="Calibri"/>
          <w:noProof/>
          <w:sz w:val="22"/>
        </w:rPr>
        <w:t xml:space="preserve">, 24(8), pp.1971–6. </w:t>
      </w:r>
    </w:p>
    <w:p w14:paraId="0BF8901D"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Nolan, L.M. et al., 2011. Particle engineering of materials for oral inhalation by dry powder inhalers. II-Sodium cromoglicate. </w:t>
      </w:r>
      <w:r w:rsidRPr="009869DD">
        <w:rPr>
          <w:rFonts w:ascii="Calibri" w:hAnsi="Calibri"/>
          <w:i/>
          <w:iCs/>
          <w:noProof/>
          <w:sz w:val="22"/>
        </w:rPr>
        <w:t>International journal of pharmaceutics</w:t>
      </w:r>
      <w:r w:rsidRPr="009869DD">
        <w:rPr>
          <w:rFonts w:ascii="Calibri" w:hAnsi="Calibri"/>
          <w:noProof/>
          <w:sz w:val="22"/>
        </w:rPr>
        <w:t xml:space="preserve">, 405(1-2), pp.36–46. </w:t>
      </w:r>
    </w:p>
    <w:p w14:paraId="59BD4E86"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lastRenderedPageBreak/>
        <w:t xml:space="preserve">Ogáin, O.N. et al., 2011. Particle engineering of materials for oral inhalation by dry powder inhalers. I-Particles of sugar excipients (trehalose and raffinose) for protein delivery. </w:t>
      </w:r>
      <w:r w:rsidRPr="009869DD">
        <w:rPr>
          <w:rFonts w:ascii="Calibri" w:hAnsi="Calibri"/>
          <w:i/>
          <w:iCs/>
          <w:noProof/>
          <w:sz w:val="22"/>
        </w:rPr>
        <w:t>International journal of pharmaceutics</w:t>
      </w:r>
      <w:r w:rsidRPr="009869DD">
        <w:rPr>
          <w:rFonts w:ascii="Calibri" w:hAnsi="Calibri"/>
          <w:noProof/>
          <w:sz w:val="22"/>
        </w:rPr>
        <w:t xml:space="preserve">, 405(1-2), pp.23–35. </w:t>
      </w:r>
    </w:p>
    <w:p w14:paraId="4E7A480A"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Paluch, K.J. et al., 2012. Impact of process variables on the micromeritic and physicochemical properties of spray-dried porous microparticles, part I: introduction of a new morphology classification system. </w:t>
      </w:r>
      <w:r w:rsidRPr="009869DD">
        <w:rPr>
          <w:rFonts w:ascii="Calibri" w:hAnsi="Calibri"/>
          <w:i/>
          <w:iCs/>
          <w:noProof/>
          <w:sz w:val="22"/>
        </w:rPr>
        <w:t>The Journal of pharmacy and pharmacology</w:t>
      </w:r>
      <w:r w:rsidRPr="009869DD">
        <w:rPr>
          <w:rFonts w:ascii="Calibri" w:hAnsi="Calibri"/>
          <w:noProof/>
          <w:sz w:val="22"/>
        </w:rPr>
        <w:t>, 64(11), pp.1570–82.</w:t>
      </w:r>
    </w:p>
    <w:p w14:paraId="1A2E9722" w14:textId="41E6B2B0" w:rsidR="00B81492" w:rsidRDefault="009869DD" w:rsidP="003D3A04">
      <w:pPr>
        <w:pStyle w:val="NormalWeb"/>
        <w:jc w:val="both"/>
        <w:divId w:val="2078816012"/>
        <w:rPr>
          <w:rFonts w:ascii="Calibri" w:hAnsi="Calibri"/>
          <w:noProof/>
          <w:sz w:val="22"/>
        </w:rPr>
      </w:pPr>
      <w:r w:rsidRPr="009869DD">
        <w:rPr>
          <w:rFonts w:ascii="Calibri" w:hAnsi="Calibri"/>
          <w:noProof/>
          <w:sz w:val="22"/>
        </w:rPr>
        <w:t xml:space="preserve">Patton, J., 1996. Mechanisms of macromolecule absorption by the lungs. </w:t>
      </w:r>
      <w:r w:rsidRPr="009869DD">
        <w:rPr>
          <w:rFonts w:ascii="Calibri" w:hAnsi="Calibri"/>
          <w:i/>
          <w:iCs/>
          <w:noProof/>
          <w:sz w:val="22"/>
        </w:rPr>
        <w:t>Advanced Drug Delivery Reviews</w:t>
      </w:r>
      <w:r w:rsidRPr="009869DD">
        <w:rPr>
          <w:rFonts w:ascii="Calibri" w:hAnsi="Calibri"/>
          <w:noProof/>
          <w:sz w:val="22"/>
        </w:rPr>
        <w:t>, 19, pp.3–36.</w:t>
      </w:r>
    </w:p>
    <w:p w14:paraId="442A8DE9" w14:textId="01F97CE7" w:rsidR="009869DD" w:rsidRPr="009869DD" w:rsidRDefault="00B81492" w:rsidP="003D3A04">
      <w:pPr>
        <w:pStyle w:val="NormalWeb"/>
        <w:jc w:val="both"/>
        <w:divId w:val="2078816012"/>
        <w:rPr>
          <w:rFonts w:ascii="Calibri" w:hAnsi="Calibri"/>
          <w:noProof/>
          <w:sz w:val="22"/>
        </w:rPr>
      </w:pPr>
      <w:r>
        <w:rPr>
          <w:rFonts w:ascii="Calibri" w:hAnsi="Calibri"/>
          <w:noProof/>
          <w:sz w:val="22"/>
        </w:rPr>
        <w:t xml:space="preserve">Patton, J., 2000. Pulmonary delivery of drugs for bone disorders. </w:t>
      </w:r>
      <w:r w:rsidR="009869DD" w:rsidRPr="009869DD">
        <w:rPr>
          <w:rFonts w:ascii="Calibri" w:hAnsi="Calibri"/>
          <w:noProof/>
          <w:sz w:val="22"/>
        </w:rPr>
        <w:t xml:space="preserve"> </w:t>
      </w:r>
      <w:r w:rsidRPr="009869DD">
        <w:rPr>
          <w:rFonts w:ascii="Calibri" w:hAnsi="Calibri"/>
          <w:i/>
          <w:iCs/>
          <w:noProof/>
          <w:sz w:val="22"/>
        </w:rPr>
        <w:t>Advanced Drug Delivery Reviews</w:t>
      </w:r>
      <w:r>
        <w:rPr>
          <w:rFonts w:ascii="Calibri" w:hAnsi="Calibri"/>
          <w:noProof/>
          <w:sz w:val="22"/>
        </w:rPr>
        <w:t>, 42</w:t>
      </w:r>
      <w:r w:rsidRPr="009869DD">
        <w:rPr>
          <w:rFonts w:ascii="Calibri" w:hAnsi="Calibri"/>
          <w:noProof/>
          <w:sz w:val="22"/>
        </w:rPr>
        <w:t>, pp.</w:t>
      </w:r>
      <w:r>
        <w:rPr>
          <w:rFonts w:ascii="Calibri" w:hAnsi="Calibri"/>
          <w:noProof/>
          <w:sz w:val="22"/>
        </w:rPr>
        <w:t>2</w:t>
      </w:r>
      <w:r w:rsidRPr="009869DD">
        <w:rPr>
          <w:rFonts w:ascii="Calibri" w:hAnsi="Calibri"/>
          <w:noProof/>
          <w:sz w:val="22"/>
        </w:rPr>
        <w:t>3</w:t>
      </w:r>
      <w:r>
        <w:rPr>
          <w:rFonts w:ascii="Calibri" w:hAnsi="Calibri"/>
          <w:noProof/>
          <w:sz w:val="22"/>
        </w:rPr>
        <w:t>9–248</w:t>
      </w:r>
      <w:r w:rsidRPr="009869DD">
        <w:rPr>
          <w:rFonts w:ascii="Calibri" w:hAnsi="Calibri"/>
          <w:noProof/>
          <w:sz w:val="22"/>
        </w:rPr>
        <w:t>.</w:t>
      </w:r>
    </w:p>
    <w:p w14:paraId="2F92FB29"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Patton, J.S., Fishburn, C.S. &amp; Weers, J.G., 2004. The lungs as a portal of entry for systemic drug delivery. </w:t>
      </w:r>
      <w:r w:rsidRPr="009869DD">
        <w:rPr>
          <w:rFonts w:ascii="Calibri" w:hAnsi="Calibri"/>
          <w:i/>
          <w:iCs/>
          <w:noProof/>
          <w:sz w:val="22"/>
        </w:rPr>
        <w:t>Proceedings of the American Thoracic Society</w:t>
      </w:r>
      <w:r w:rsidRPr="009869DD">
        <w:rPr>
          <w:rFonts w:ascii="Calibri" w:hAnsi="Calibri"/>
          <w:noProof/>
          <w:sz w:val="22"/>
        </w:rPr>
        <w:t xml:space="preserve">, 1(4), pp.338–44. </w:t>
      </w:r>
    </w:p>
    <w:p w14:paraId="34BA33BB" w14:textId="77777777" w:rsid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Pilcer, G. &amp; Amighi, K., 2010. Formulation strategy and use of excipients in pulmonary drug delivery. </w:t>
      </w:r>
      <w:r w:rsidRPr="009869DD">
        <w:rPr>
          <w:rFonts w:ascii="Calibri" w:hAnsi="Calibri"/>
          <w:i/>
          <w:iCs/>
          <w:noProof/>
          <w:sz w:val="22"/>
        </w:rPr>
        <w:t>International journal of pharmaceutics</w:t>
      </w:r>
      <w:r w:rsidRPr="009869DD">
        <w:rPr>
          <w:rFonts w:ascii="Calibri" w:hAnsi="Calibri"/>
          <w:noProof/>
          <w:sz w:val="22"/>
        </w:rPr>
        <w:t xml:space="preserve">, 392(1-2), pp.1–19. </w:t>
      </w:r>
    </w:p>
    <w:p w14:paraId="6BD7855B" w14:textId="393AB333" w:rsidR="0041449D" w:rsidRPr="009869DD" w:rsidRDefault="0041449D" w:rsidP="003D3A04">
      <w:pPr>
        <w:pStyle w:val="NormalWeb"/>
        <w:jc w:val="both"/>
        <w:divId w:val="2078816012"/>
        <w:rPr>
          <w:rFonts w:ascii="Calibri" w:hAnsi="Calibri"/>
          <w:noProof/>
          <w:sz w:val="22"/>
        </w:rPr>
      </w:pPr>
      <w:r>
        <w:rPr>
          <w:rFonts w:ascii="Calibri" w:hAnsi="Calibri"/>
          <w:noProof/>
          <w:sz w:val="22"/>
        </w:rPr>
        <w:t xml:space="preserve">Quantachrome, 2009. An Introduction to calculation methods for surface area and pore size from gas sorption data. Available at </w:t>
      </w:r>
      <w:r w:rsidRPr="0041449D">
        <w:rPr>
          <w:rFonts w:ascii="Calibri" w:hAnsi="Calibri"/>
          <w:noProof/>
          <w:sz w:val="22"/>
        </w:rPr>
        <w:t>http://www.quantachrome.com/index.html</w:t>
      </w:r>
    </w:p>
    <w:p w14:paraId="665F4C9F"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Telko, M. &amp; Hickey, A., 2005. Dry powder inhaler formulation. </w:t>
      </w:r>
      <w:r w:rsidRPr="009869DD">
        <w:rPr>
          <w:rFonts w:ascii="Calibri" w:hAnsi="Calibri"/>
          <w:i/>
          <w:iCs/>
          <w:noProof/>
          <w:sz w:val="22"/>
        </w:rPr>
        <w:t>Respiratory care</w:t>
      </w:r>
      <w:r w:rsidRPr="009869DD">
        <w:rPr>
          <w:rFonts w:ascii="Calibri" w:hAnsi="Calibri"/>
          <w:noProof/>
          <w:sz w:val="22"/>
        </w:rPr>
        <w:t xml:space="preserve">, pp.1209–1227. </w:t>
      </w:r>
    </w:p>
    <w:p w14:paraId="710B58BC"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Tewes, F. et al., 2010. Development and characterisation of soluble polymeric particles for pulmonary peptide delivery. </w:t>
      </w:r>
      <w:r w:rsidRPr="009869DD">
        <w:rPr>
          <w:rFonts w:ascii="Calibri" w:hAnsi="Calibri"/>
          <w:i/>
          <w:iCs/>
          <w:noProof/>
          <w:sz w:val="22"/>
        </w:rPr>
        <w:t>European journal of pharmaceutical sciences : official journal of the European Federation for Pharmaceutical Sciences</w:t>
      </w:r>
      <w:r w:rsidRPr="009869DD">
        <w:rPr>
          <w:rFonts w:ascii="Calibri" w:hAnsi="Calibri"/>
          <w:noProof/>
          <w:sz w:val="22"/>
        </w:rPr>
        <w:t xml:space="preserve">, 41(2), pp.337–52. </w:t>
      </w:r>
    </w:p>
    <w:p w14:paraId="5B58107E"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Tewes, F. et al., 2011. Evaluation of HPβCD-PEG microparticles for salmon calcitonin administration via pulmonary delivery. </w:t>
      </w:r>
      <w:r w:rsidRPr="009869DD">
        <w:rPr>
          <w:rFonts w:ascii="Calibri" w:hAnsi="Calibri"/>
          <w:i/>
          <w:iCs/>
          <w:noProof/>
          <w:sz w:val="22"/>
        </w:rPr>
        <w:t>Molecular pharmaceutics</w:t>
      </w:r>
      <w:r w:rsidRPr="009869DD">
        <w:rPr>
          <w:rFonts w:ascii="Calibri" w:hAnsi="Calibri"/>
          <w:noProof/>
          <w:sz w:val="22"/>
        </w:rPr>
        <w:t xml:space="preserve">, 8(5), pp.1887–98. </w:t>
      </w:r>
    </w:p>
    <w:p w14:paraId="5C7D96B3"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Vehring, R., Foss, W.R. &amp; Lechuga-Ballesteros, D., 2007. Particle formation in spray drying. </w:t>
      </w:r>
      <w:r w:rsidRPr="009869DD">
        <w:rPr>
          <w:rFonts w:ascii="Calibri" w:hAnsi="Calibri"/>
          <w:i/>
          <w:iCs/>
          <w:noProof/>
          <w:sz w:val="22"/>
        </w:rPr>
        <w:t>Journal of Aerosol Science</w:t>
      </w:r>
      <w:r w:rsidRPr="009869DD">
        <w:rPr>
          <w:rFonts w:ascii="Calibri" w:hAnsi="Calibri"/>
          <w:noProof/>
          <w:sz w:val="22"/>
        </w:rPr>
        <w:t xml:space="preserve">, 38(7), pp.728–746. </w:t>
      </w:r>
    </w:p>
    <w:p w14:paraId="590B4491"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Van de Weert, M. et al., 2001. Fourier transform infrared spectrometric analysis of protein conformation: effect of sampling method and stress factors. </w:t>
      </w:r>
      <w:r w:rsidRPr="009869DD">
        <w:rPr>
          <w:rFonts w:ascii="Calibri" w:hAnsi="Calibri"/>
          <w:i/>
          <w:iCs/>
          <w:noProof/>
          <w:sz w:val="22"/>
        </w:rPr>
        <w:t>Analytical biochemistry</w:t>
      </w:r>
      <w:r w:rsidRPr="009869DD">
        <w:rPr>
          <w:rFonts w:ascii="Calibri" w:hAnsi="Calibri"/>
          <w:noProof/>
          <w:sz w:val="22"/>
        </w:rPr>
        <w:t xml:space="preserve">, 297(2), pp.160–9. </w:t>
      </w:r>
    </w:p>
    <w:p w14:paraId="20524BF7"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Yang, M. et al., 2007. Characterisation of salmon calcitonin in spray-dried powder for inhalation. Effect of chitosan. </w:t>
      </w:r>
      <w:r w:rsidRPr="009869DD">
        <w:rPr>
          <w:rFonts w:ascii="Calibri" w:hAnsi="Calibri"/>
          <w:i/>
          <w:iCs/>
          <w:noProof/>
          <w:sz w:val="22"/>
        </w:rPr>
        <w:t>International journal of pharmaceutics</w:t>
      </w:r>
      <w:r w:rsidRPr="009869DD">
        <w:rPr>
          <w:rFonts w:ascii="Calibri" w:hAnsi="Calibri"/>
          <w:noProof/>
          <w:sz w:val="22"/>
        </w:rPr>
        <w:t xml:space="preserve">, 331(2), pp.176–81. </w:t>
      </w:r>
    </w:p>
    <w:p w14:paraId="1038FBAE" w14:textId="77777777" w:rsidR="009869DD" w:rsidRPr="009869DD" w:rsidRDefault="009869DD" w:rsidP="003D3A04">
      <w:pPr>
        <w:pStyle w:val="NormalWeb"/>
        <w:jc w:val="both"/>
        <w:divId w:val="2078816012"/>
        <w:rPr>
          <w:rFonts w:ascii="Calibri" w:hAnsi="Calibri"/>
          <w:noProof/>
          <w:sz w:val="22"/>
        </w:rPr>
      </w:pPr>
      <w:r w:rsidRPr="009869DD">
        <w:rPr>
          <w:rFonts w:ascii="Calibri" w:hAnsi="Calibri"/>
          <w:noProof/>
          <w:sz w:val="22"/>
        </w:rPr>
        <w:t xml:space="preserve">Yoshii, H. et al., 2008. Effects of protein on retention of ADH enzyme activity encapsulated in trehalose matrices by spray drying. </w:t>
      </w:r>
      <w:r w:rsidRPr="009869DD">
        <w:rPr>
          <w:rFonts w:ascii="Calibri" w:hAnsi="Calibri"/>
          <w:i/>
          <w:iCs/>
          <w:noProof/>
          <w:sz w:val="22"/>
        </w:rPr>
        <w:t>Journal of Food Engineering</w:t>
      </w:r>
      <w:r w:rsidRPr="009869DD">
        <w:rPr>
          <w:rFonts w:ascii="Calibri" w:hAnsi="Calibri"/>
          <w:noProof/>
          <w:sz w:val="22"/>
        </w:rPr>
        <w:t xml:space="preserve">, 87(1), pp.34–39. </w:t>
      </w:r>
    </w:p>
    <w:p w14:paraId="751BF77B" w14:textId="77777777" w:rsidR="00D76CE5" w:rsidRPr="00736F82" w:rsidRDefault="00177CBD" w:rsidP="003D3A04">
      <w:pPr>
        <w:pStyle w:val="NormalWeb"/>
        <w:jc w:val="both"/>
        <w:divId w:val="381752236"/>
        <w:rPr>
          <w:rFonts w:eastAsia="Arial Unicode MS"/>
          <w:b/>
        </w:rPr>
      </w:pPr>
      <w:r>
        <w:rPr>
          <w:rFonts w:eastAsia="Arial Unicode MS"/>
          <w:b/>
        </w:rPr>
        <w:fldChar w:fldCharType="end"/>
      </w:r>
    </w:p>
    <w:p w14:paraId="4CF22F81" w14:textId="77777777" w:rsidR="00996CE4" w:rsidRPr="00996CE4" w:rsidRDefault="00996CE4" w:rsidP="00FC215C">
      <w:pPr>
        <w:jc w:val="both"/>
      </w:pPr>
    </w:p>
    <w:sectPr w:rsidR="00996CE4" w:rsidRPr="00996CE4" w:rsidSect="00AB3717">
      <w:footerReference w:type="default" r:id="rId9"/>
      <w:type w:val="continuous"/>
      <w:pgSz w:w="11906" w:h="16838"/>
      <w:pgMar w:top="1440" w:right="1440" w:bottom="1440" w:left="1440" w:header="709" w:footer="709" w:gutter="0"/>
      <w:lnNumType w:countBy="5"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6B063E" w14:textId="77777777" w:rsidR="00574A7E" w:rsidRDefault="00574A7E" w:rsidP="008128E1">
      <w:pPr>
        <w:spacing w:after="0" w:line="240" w:lineRule="auto"/>
      </w:pPr>
      <w:r>
        <w:separator/>
      </w:r>
    </w:p>
  </w:endnote>
  <w:endnote w:type="continuationSeparator" w:id="0">
    <w:p w14:paraId="6E8F8667" w14:textId="77777777" w:rsidR="00574A7E" w:rsidRDefault="00574A7E" w:rsidP="00812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7098820"/>
      <w:docPartObj>
        <w:docPartGallery w:val="Page Numbers (Bottom of Page)"/>
        <w:docPartUnique/>
      </w:docPartObj>
    </w:sdtPr>
    <w:sdtEndPr>
      <w:rPr>
        <w:noProof/>
      </w:rPr>
    </w:sdtEndPr>
    <w:sdtContent>
      <w:p w14:paraId="78940C07" w14:textId="77777777" w:rsidR="0089145F" w:rsidRDefault="0089145F">
        <w:pPr>
          <w:pStyle w:val="Footer"/>
          <w:jc w:val="right"/>
        </w:pPr>
        <w:r>
          <w:fldChar w:fldCharType="begin"/>
        </w:r>
        <w:r>
          <w:instrText xml:space="preserve"> PAGE   \* MERGEFORMAT </w:instrText>
        </w:r>
        <w:r>
          <w:fldChar w:fldCharType="separate"/>
        </w:r>
        <w:r w:rsidR="00B17AF6">
          <w:rPr>
            <w:noProof/>
          </w:rPr>
          <w:t>1</w:t>
        </w:r>
        <w:r>
          <w:rPr>
            <w:noProof/>
          </w:rPr>
          <w:fldChar w:fldCharType="end"/>
        </w:r>
      </w:p>
    </w:sdtContent>
  </w:sdt>
  <w:p w14:paraId="629E6C0A" w14:textId="77777777" w:rsidR="0089145F" w:rsidRDefault="008914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B2008A" w14:textId="77777777" w:rsidR="00574A7E" w:rsidRDefault="00574A7E" w:rsidP="008128E1">
      <w:pPr>
        <w:spacing w:after="0" w:line="240" w:lineRule="auto"/>
      </w:pPr>
      <w:r>
        <w:separator/>
      </w:r>
    </w:p>
  </w:footnote>
  <w:footnote w:type="continuationSeparator" w:id="0">
    <w:p w14:paraId="15D10AD2" w14:textId="77777777" w:rsidR="00574A7E" w:rsidRDefault="00574A7E" w:rsidP="008128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C1B"/>
    <w:rsid w:val="000017EA"/>
    <w:rsid w:val="00017A1F"/>
    <w:rsid w:val="00031363"/>
    <w:rsid w:val="0004007A"/>
    <w:rsid w:val="00040FEA"/>
    <w:rsid w:val="000647A8"/>
    <w:rsid w:val="0007054B"/>
    <w:rsid w:val="00071C55"/>
    <w:rsid w:val="00074F75"/>
    <w:rsid w:val="000A78B0"/>
    <w:rsid w:val="000B5CA6"/>
    <w:rsid w:val="000E43D8"/>
    <w:rsid w:val="000E7729"/>
    <w:rsid w:val="000F38C2"/>
    <w:rsid w:val="00100136"/>
    <w:rsid w:val="00107581"/>
    <w:rsid w:val="0011521B"/>
    <w:rsid w:val="0012135E"/>
    <w:rsid w:val="00134FFD"/>
    <w:rsid w:val="00153ED9"/>
    <w:rsid w:val="00155AF2"/>
    <w:rsid w:val="00155C37"/>
    <w:rsid w:val="00174C0B"/>
    <w:rsid w:val="00177CBD"/>
    <w:rsid w:val="0018169A"/>
    <w:rsid w:val="00186CDC"/>
    <w:rsid w:val="001D7087"/>
    <w:rsid w:val="001E78D2"/>
    <w:rsid w:val="0020042E"/>
    <w:rsid w:val="0021681E"/>
    <w:rsid w:val="0022269D"/>
    <w:rsid w:val="00232CD9"/>
    <w:rsid w:val="00246044"/>
    <w:rsid w:val="002535C1"/>
    <w:rsid w:val="00254C1B"/>
    <w:rsid w:val="00255CFF"/>
    <w:rsid w:val="0026552F"/>
    <w:rsid w:val="00273C0F"/>
    <w:rsid w:val="00297757"/>
    <w:rsid w:val="002A0029"/>
    <w:rsid w:val="002A2EBB"/>
    <w:rsid w:val="002C447F"/>
    <w:rsid w:val="002C62A0"/>
    <w:rsid w:val="002D072A"/>
    <w:rsid w:val="002D465F"/>
    <w:rsid w:val="002D4994"/>
    <w:rsid w:val="002E40B7"/>
    <w:rsid w:val="002E7EDD"/>
    <w:rsid w:val="002F032A"/>
    <w:rsid w:val="002F42ED"/>
    <w:rsid w:val="00323CDF"/>
    <w:rsid w:val="00324FFA"/>
    <w:rsid w:val="0033058C"/>
    <w:rsid w:val="003430EA"/>
    <w:rsid w:val="003531E9"/>
    <w:rsid w:val="0035459C"/>
    <w:rsid w:val="00365E72"/>
    <w:rsid w:val="00387562"/>
    <w:rsid w:val="00391EBB"/>
    <w:rsid w:val="003A0877"/>
    <w:rsid w:val="003A732C"/>
    <w:rsid w:val="003B1B3D"/>
    <w:rsid w:val="003B3E9B"/>
    <w:rsid w:val="003C0D88"/>
    <w:rsid w:val="003D3A04"/>
    <w:rsid w:val="003D5509"/>
    <w:rsid w:val="003D7204"/>
    <w:rsid w:val="003E7995"/>
    <w:rsid w:val="0041449D"/>
    <w:rsid w:val="00444DAC"/>
    <w:rsid w:val="00460DA9"/>
    <w:rsid w:val="0046194E"/>
    <w:rsid w:val="00474D1B"/>
    <w:rsid w:val="00486D82"/>
    <w:rsid w:val="004877FA"/>
    <w:rsid w:val="00490BC2"/>
    <w:rsid w:val="00494537"/>
    <w:rsid w:val="004A3144"/>
    <w:rsid w:val="004A417A"/>
    <w:rsid w:val="004F6998"/>
    <w:rsid w:val="00574A7E"/>
    <w:rsid w:val="00581216"/>
    <w:rsid w:val="005843E1"/>
    <w:rsid w:val="00584F75"/>
    <w:rsid w:val="00585F06"/>
    <w:rsid w:val="005A0A32"/>
    <w:rsid w:val="005A7585"/>
    <w:rsid w:val="005E302E"/>
    <w:rsid w:val="005E6318"/>
    <w:rsid w:val="005F1721"/>
    <w:rsid w:val="005F1C76"/>
    <w:rsid w:val="005F346E"/>
    <w:rsid w:val="00612D32"/>
    <w:rsid w:val="006261D8"/>
    <w:rsid w:val="00626C5C"/>
    <w:rsid w:val="00657BAE"/>
    <w:rsid w:val="0066042B"/>
    <w:rsid w:val="006615A6"/>
    <w:rsid w:val="00674D5F"/>
    <w:rsid w:val="00687840"/>
    <w:rsid w:val="00687FA1"/>
    <w:rsid w:val="006901C4"/>
    <w:rsid w:val="00697343"/>
    <w:rsid w:val="006A2D1F"/>
    <w:rsid w:val="006A55EC"/>
    <w:rsid w:val="006A67F4"/>
    <w:rsid w:val="006D14E6"/>
    <w:rsid w:val="006D5735"/>
    <w:rsid w:val="006E663A"/>
    <w:rsid w:val="0071356E"/>
    <w:rsid w:val="00736F82"/>
    <w:rsid w:val="00746282"/>
    <w:rsid w:val="00750165"/>
    <w:rsid w:val="00757C99"/>
    <w:rsid w:val="00761FDB"/>
    <w:rsid w:val="007644E4"/>
    <w:rsid w:val="00764E86"/>
    <w:rsid w:val="00774636"/>
    <w:rsid w:val="00777A5C"/>
    <w:rsid w:val="00782A99"/>
    <w:rsid w:val="007876BA"/>
    <w:rsid w:val="00792E54"/>
    <w:rsid w:val="007B2563"/>
    <w:rsid w:val="007C6DA5"/>
    <w:rsid w:val="007F0B63"/>
    <w:rsid w:val="008128E1"/>
    <w:rsid w:val="0082741A"/>
    <w:rsid w:val="0083597F"/>
    <w:rsid w:val="008360E6"/>
    <w:rsid w:val="0084294B"/>
    <w:rsid w:val="008576A9"/>
    <w:rsid w:val="0087043A"/>
    <w:rsid w:val="00882E81"/>
    <w:rsid w:val="0089145F"/>
    <w:rsid w:val="00892F2D"/>
    <w:rsid w:val="008A0973"/>
    <w:rsid w:val="008A12A5"/>
    <w:rsid w:val="008A2812"/>
    <w:rsid w:val="008A511B"/>
    <w:rsid w:val="008A7471"/>
    <w:rsid w:val="008C3569"/>
    <w:rsid w:val="008C6678"/>
    <w:rsid w:val="008C73C9"/>
    <w:rsid w:val="008F491B"/>
    <w:rsid w:val="009018AC"/>
    <w:rsid w:val="00902DF6"/>
    <w:rsid w:val="00905BD3"/>
    <w:rsid w:val="0095489D"/>
    <w:rsid w:val="0097254D"/>
    <w:rsid w:val="00982CF9"/>
    <w:rsid w:val="00985846"/>
    <w:rsid w:val="009869DD"/>
    <w:rsid w:val="009933E2"/>
    <w:rsid w:val="00996CE4"/>
    <w:rsid w:val="009A59A5"/>
    <w:rsid w:val="009A64D5"/>
    <w:rsid w:val="009F032C"/>
    <w:rsid w:val="009F47E1"/>
    <w:rsid w:val="00A065CC"/>
    <w:rsid w:val="00A107AC"/>
    <w:rsid w:val="00A3578A"/>
    <w:rsid w:val="00A66623"/>
    <w:rsid w:val="00A70A46"/>
    <w:rsid w:val="00A9250F"/>
    <w:rsid w:val="00AA36AD"/>
    <w:rsid w:val="00AA5EB8"/>
    <w:rsid w:val="00AB3717"/>
    <w:rsid w:val="00AD7395"/>
    <w:rsid w:val="00AE5B28"/>
    <w:rsid w:val="00AE5FFF"/>
    <w:rsid w:val="00B0494F"/>
    <w:rsid w:val="00B146D6"/>
    <w:rsid w:val="00B17AF6"/>
    <w:rsid w:val="00B46AEC"/>
    <w:rsid w:val="00B76FC7"/>
    <w:rsid w:val="00B81492"/>
    <w:rsid w:val="00BA25A2"/>
    <w:rsid w:val="00BB4E96"/>
    <w:rsid w:val="00BC2ADE"/>
    <w:rsid w:val="00BD4A9D"/>
    <w:rsid w:val="00BE0154"/>
    <w:rsid w:val="00BE5E4F"/>
    <w:rsid w:val="00C168FC"/>
    <w:rsid w:val="00C24F59"/>
    <w:rsid w:val="00C32D4E"/>
    <w:rsid w:val="00C33CFD"/>
    <w:rsid w:val="00C71C3D"/>
    <w:rsid w:val="00C72BF5"/>
    <w:rsid w:val="00C74649"/>
    <w:rsid w:val="00C81E74"/>
    <w:rsid w:val="00C820D0"/>
    <w:rsid w:val="00C87516"/>
    <w:rsid w:val="00C94973"/>
    <w:rsid w:val="00CA287B"/>
    <w:rsid w:val="00CB752B"/>
    <w:rsid w:val="00CC5D3F"/>
    <w:rsid w:val="00CD2CEA"/>
    <w:rsid w:val="00CF3F4A"/>
    <w:rsid w:val="00CF6A41"/>
    <w:rsid w:val="00D169AF"/>
    <w:rsid w:val="00D51CE9"/>
    <w:rsid w:val="00D5530B"/>
    <w:rsid w:val="00D61F1F"/>
    <w:rsid w:val="00D729B1"/>
    <w:rsid w:val="00D76CE5"/>
    <w:rsid w:val="00D90728"/>
    <w:rsid w:val="00D910C9"/>
    <w:rsid w:val="00DA7485"/>
    <w:rsid w:val="00DB4D0F"/>
    <w:rsid w:val="00DC3703"/>
    <w:rsid w:val="00DF6D34"/>
    <w:rsid w:val="00E01705"/>
    <w:rsid w:val="00E13310"/>
    <w:rsid w:val="00E45D7B"/>
    <w:rsid w:val="00E569E9"/>
    <w:rsid w:val="00E60535"/>
    <w:rsid w:val="00E648AE"/>
    <w:rsid w:val="00E70526"/>
    <w:rsid w:val="00E71762"/>
    <w:rsid w:val="00E91E60"/>
    <w:rsid w:val="00EA0A2A"/>
    <w:rsid w:val="00EA6685"/>
    <w:rsid w:val="00EB0080"/>
    <w:rsid w:val="00EB334A"/>
    <w:rsid w:val="00EC1A47"/>
    <w:rsid w:val="00ED7C6F"/>
    <w:rsid w:val="00F07846"/>
    <w:rsid w:val="00F34AEE"/>
    <w:rsid w:val="00F406CB"/>
    <w:rsid w:val="00F430A9"/>
    <w:rsid w:val="00F54C0C"/>
    <w:rsid w:val="00F651D9"/>
    <w:rsid w:val="00F774F3"/>
    <w:rsid w:val="00F959F0"/>
    <w:rsid w:val="00FA5D95"/>
    <w:rsid w:val="00FC215C"/>
    <w:rsid w:val="00FD317D"/>
    <w:rsid w:val="00FE6B27"/>
    <w:rsid w:val="00FF428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3BFCF"/>
  <w15:docId w15:val="{E98B723D-1747-40B5-9BB1-5FAB82851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C1B"/>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4C1B"/>
    <w:rPr>
      <w:color w:val="0000FF" w:themeColor="hyperlink"/>
      <w:u w:val="single"/>
    </w:rPr>
  </w:style>
  <w:style w:type="character" w:styleId="CommentReference">
    <w:name w:val="annotation reference"/>
    <w:basedOn w:val="DefaultParagraphFont"/>
    <w:uiPriority w:val="99"/>
    <w:semiHidden/>
    <w:unhideWhenUsed/>
    <w:rsid w:val="002C62A0"/>
    <w:rPr>
      <w:sz w:val="16"/>
      <w:szCs w:val="16"/>
    </w:rPr>
  </w:style>
  <w:style w:type="paragraph" w:styleId="CommentText">
    <w:name w:val="annotation text"/>
    <w:basedOn w:val="Normal"/>
    <w:link w:val="CommentTextChar"/>
    <w:uiPriority w:val="99"/>
    <w:semiHidden/>
    <w:unhideWhenUsed/>
    <w:rsid w:val="002C62A0"/>
    <w:pPr>
      <w:spacing w:line="240" w:lineRule="auto"/>
    </w:pPr>
    <w:rPr>
      <w:sz w:val="20"/>
      <w:szCs w:val="20"/>
    </w:rPr>
  </w:style>
  <w:style w:type="character" w:customStyle="1" w:styleId="CommentTextChar">
    <w:name w:val="Comment Text Char"/>
    <w:basedOn w:val="DefaultParagraphFont"/>
    <w:link w:val="CommentText"/>
    <w:uiPriority w:val="99"/>
    <w:semiHidden/>
    <w:rsid w:val="002C62A0"/>
    <w:rPr>
      <w:sz w:val="20"/>
      <w:szCs w:val="20"/>
      <w:lang w:val="en-US"/>
    </w:rPr>
  </w:style>
  <w:style w:type="paragraph" w:styleId="BalloonText">
    <w:name w:val="Balloon Text"/>
    <w:basedOn w:val="Normal"/>
    <w:link w:val="BalloonTextChar"/>
    <w:uiPriority w:val="99"/>
    <w:semiHidden/>
    <w:unhideWhenUsed/>
    <w:rsid w:val="002C62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2A0"/>
    <w:rPr>
      <w:rFonts w:ascii="Tahoma" w:hAnsi="Tahoma" w:cs="Tahoma"/>
      <w:sz w:val="16"/>
      <w:szCs w:val="16"/>
      <w:lang w:val="en-US"/>
    </w:rPr>
  </w:style>
  <w:style w:type="paragraph" w:styleId="CommentSubject">
    <w:name w:val="annotation subject"/>
    <w:basedOn w:val="CommentText"/>
    <w:next w:val="CommentText"/>
    <w:link w:val="CommentSubjectChar"/>
    <w:uiPriority w:val="99"/>
    <w:semiHidden/>
    <w:unhideWhenUsed/>
    <w:rsid w:val="00C94973"/>
    <w:rPr>
      <w:b/>
      <w:bCs/>
    </w:rPr>
  </w:style>
  <w:style w:type="character" w:customStyle="1" w:styleId="CommentSubjectChar">
    <w:name w:val="Comment Subject Char"/>
    <w:basedOn w:val="CommentTextChar"/>
    <w:link w:val="CommentSubject"/>
    <w:uiPriority w:val="99"/>
    <w:semiHidden/>
    <w:rsid w:val="00C94973"/>
    <w:rPr>
      <w:b/>
      <w:bCs/>
      <w:sz w:val="20"/>
      <w:szCs w:val="20"/>
      <w:lang w:val="en-US"/>
    </w:rPr>
  </w:style>
  <w:style w:type="paragraph" w:styleId="NormalWeb">
    <w:name w:val="Normal (Web)"/>
    <w:basedOn w:val="Normal"/>
    <w:uiPriority w:val="99"/>
    <w:unhideWhenUsed/>
    <w:rsid w:val="00D76CE5"/>
    <w:pPr>
      <w:spacing w:before="100" w:beforeAutospacing="1" w:after="100" w:afterAutospacing="1" w:line="240" w:lineRule="auto"/>
    </w:pPr>
    <w:rPr>
      <w:rFonts w:ascii="Times New Roman" w:eastAsiaTheme="minorEastAsia" w:hAnsi="Times New Roman" w:cs="Times New Roman"/>
      <w:sz w:val="24"/>
      <w:szCs w:val="24"/>
      <w:lang w:val="en-IE" w:eastAsia="en-IE"/>
    </w:rPr>
  </w:style>
  <w:style w:type="paragraph" w:styleId="Header">
    <w:name w:val="header"/>
    <w:basedOn w:val="Normal"/>
    <w:link w:val="HeaderChar"/>
    <w:uiPriority w:val="99"/>
    <w:unhideWhenUsed/>
    <w:rsid w:val="00812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8E1"/>
    <w:rPr>
      <w:lang w:val="en-US"/>
    </w:rPr>
  </w:style>
  <w:style w:type="paragraph" w:styleId="Footer">
    <w:name w:val="footer"/>
    <w:basedOn w:val="Normal"/>
    <w:link w:val="FooterChar"/>
    <w:uiPriority w:val="99"/>
    <w:unhideWhenUsed/>
    <w:rsid w:val="00812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8E1"/>
    <w:rPr>
      <w:lang w:val="en-US"/>
    </w:rPr>
  </w:style>
  <w:style w:type="character" w:styleId="LineNumber">
    <w:name w:val="line number"/>
    <w:basedOn w:val="DefaultParagraphFont"/>
    <w:uiPriority w:val="99"/>
    <w:semiHidden/>
    <w:unhideWhenUsed/>
    <w:rsid w:val="008128E1"/>
  </w:style>
  <w:style w:type="paragraph" w:styleId="Revision">
    <w:name w:val="Revision"/>
    <w:hidden/>
    <w:uiPriority w:val="99"/>
    <w:semiHidden/>
    <w:rsid w:val="00612D32"/>
    <w:pPr>
      <w:spacing w:after="0" w:line="240" w:lineRule="auto"/>
    </w:pPr>
    <w:rPr>
      <w:lang w:val="en-US"/>
    </w:rPr>
  </w:style>
  <w:style w:type="character" w:styleId="PlaceholderText">
    <w:name w:val="Placeholder Text"/>
    <w:basedOn w:val="DefaultParagraphFont"/>
    <w:uiPriority w:val="99"/>
    <w:semiHidden/>
    <w:rsid w:val="002D07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3302">
      <w:bodyDiv w:val="1"/>
      <w:marLeft w:val="0"/>
      <w:marRight w:val="0"/>
      <w:marTop w:val="0"/>
      <w:marBottom w:val="0"/>
      <w:divBdr>
        <w:top w:val="none" w:sz="0" w:space="0" w:color="auto"/>
        <w:left w:val="none" w:sz="0" w:space="0" w:color="auto"/>
        <w:bottom w:val="none" w:sz="0" w:space="0" w:color="auto"/>
        <w:right w:val="none" w:sz="0" w:space="0" w:color="auto"/>
      </w:divBdr>
      <w:divsChild>
        <w:div w:id="71705367">
          <w:marLeft w:val="0"/>
          <w:marRight w:val="0"/>
          <w:marTop w:val="0"/>
          <w:marBottom w:val="0"/>
          <w:divBdr>
            <w:top w:val="none" w:sz="0" w:space="0" w:color="auto"/>
            <w:left w:val="none" w:sz="0" w:space="0" w:color="auto"/>
            <w:bottom w:val="none" w:sz="0" w:space="0" w:color="auto"/>
            <w:right w:val="none" w:sz="0" w:space="0" w:color="auto"/>
          </w:divBdr>
        </w:div>
        <w:div w:id="1164131290">
          <w:marLeft w:val="0"/>
          <w:marRight w:val="0"/>
          <w:marTop w:val="0"/>
          <w:marBottom w:val="0"/>
          <w:divBdr>
            <w:top w:val="none" w:sz="0" w:space="0" w:color="auto"/>
            <w:left w:val="none" w:sz="0" w:space="0" w:color="auto"/>
            <w:bottom w:val="none" w:sz="0" w:space="0" w:color="auto"/>
            <w:right w:val="none" w:sz="0" w:space="0" w:color="auto"/>
          </w:divBdr>
        </w:div>
        <w:div w:id="1157762696">
          <w:marLeft w:val="0"/>
          <w:marRight w:val="0"/>
          <w:marTop w:val="0"/>
          <w:marBottom w:val="0"/>
          <w:divBdr>
            <w:top w:val="none" w:sz="0" w:space="0" w:color="auto"/>
            <w:left w:val="none" w:sz="0" w:space="0" w:color="auto"/>
            <w:bottom w:val="none" w:sz="0" w:space="0" w:color="auto"/>
            <w:right w:val="none" w:sz="0" w:space="0" w:color="auto"/>
          </w:divBdr>
        </w:div>
      </w:divsChild>
    </w:div>
    <w:div w:id="120464802">
      <w:bodyDiv w:val="1"/>
      <w:marLeft w:val="0"/>
      <w:marRight w:val="0"/>
      <w:marTop w:val="0"/>
      <w:marBottom w:val="0"/>
      <w:divBdr>
        <w:top w:val="none" w:sz="0" w:space="0" w:color="auto"/>
        <w:left w:val="none" w:sz="0" w:space="0" w:color="auto"/>
        <w:bottom w:val="none" w:sz="0" w:space="0" w:color="auto"/>
        <w:right w:val="none" w:sz="0" w:space="0" w:color="auto"/>
      </w:divBdr>
    </w:div>
    <w:div w:id="355540174">
      <w:bodyDiv w:val="1"/>
      <w:marLeft w:val="0"/>
      <w:marRight w:val="0"/>
      <w:marTop w:val="0"/>
      <w:marBottom w:val="0"/>
      <w:divBdr>
        <w:top w:val="none" w:sz="0" w:space="0" w:color="auto"/>
        <w:left w:val="none" w:sz="0" w:space="0" w:color="auto"/>
        <w:bottom w:val="none" w:sz="0" w:space="0" w:color="auto"/>
        <w:right w:val="none" w:sz="0" w:space="0" w:color="auto"/>
      </w:divBdr>
      <w:divsChild>
        <w:div w:id="1247181212">
          <w:marLeft w:val="0"/>
          <w:marRight w:val="0"/>
          <w:marTop w:val="0"/>
          <w:marBottom w:val="0"/>
          <w:divBdr>
            <w:top w:val="none" w:sz="0" w:space="0" w:color="auto"/>
            <w:left w:val="none" w:sz="0" w:space="0" w:color="auto"/>
            <w:bottom w:val="none" w:sz="0" w:space="0" w:color="auto"/>
            <w:right w:val="none" w:sz="0" w:space="0" w:color="auto"/>
          </w:divBdr>
        </w:div>
        <w:div w:id="2027057474">
          <w:marLeft w:val="0"/>
          <w:marRight w:val="0"/>
          <w:marTop w:val="0"/>
          <w:marBottom w:val="0"/>
          <w:divBdr>
            <w:top w:val="none" w:sz="0" w:space="0" w:color="auto"/>
            <w:left w:val="none" w:sz="0" w:space="0" w:color="auto"/>
            <w:bottom w:val="none" w:sz="0" w:space="0" w:color="auto"/>
            <w:right w:val="none" w:sz="0" w:space="0" w:color="auto"/>
          </w:divBdr>
        </w:div>
        <w:div w:id="751243674">
          <w:marLeft w:val="0"/>
          <w:marRight w:val="0"/>
          <w:marTop w:val="0"/>
          <w:marBottom w:val="0"/>
          <w:divBdr>
            <w:top w:val="none" w:sz="0" w:space="0" w:color="auto"/>
            <w:left w:val="none" w:sz="0" w:space="0" w:color="auto"/>
            <w:bottom w:val="none" w:sz="0" w:space="0" w:color="auto"/>
            <w:right w:val="none" w:sz="0" w:space="0" w:color="auto"/>
          </w:divBdr>
        </w:div>
        <w:div w:id="1580209475">
          <w:marLeft w:val="0"/>
          <w:marRight w:val="0"/>
          <w:marTop w:val="0"/>
          <w:marBottom w:val="0"/>
          <w:divBdr>
            <w:top w:val="none" w:sz="0" w:space="0" w:color="auto"/>
            <w:left w:val="none" w:sz="0" w:space="0" w:color="auto"/>
            <w:bottom w:val="none" w:sz="0" w:space="0" w:color="auto"/>
            <w:right w:val="none" w:sz="0" w:space="0" w:color="auto"/>
          </w:divBdr>
        </w:div>
        <w:div w:id="1110128213">
          <w:marLeft w:val="0"/>
          <w:marRight w:val="0"/>
          <w:marTop w:val="0"/>
          <w:marBottom w:val="0"/>
          <w:divBdr>
            <w:top w:val="none" w:sz="0" w:space="0" w:color="auto"/>
            <w:left w:val="none" w:sz="0" w:space="0" w:color="auto"/>
            <w:bottom w:val="none" w:sz="0" w:space="0" w:color="auto"/>
            <w:right w:val="none" w:sz="0" w:space="0" w:color="auto"/>
          </w:divBdr>
        </w:div>
        <w:div w:id="2071494395">
          <w:marLeft w:val="0"/>
          <w:marRight w:val="0"/>
          <w:marTop w:val="0"/>
          <w:marBottom w:val="0"/>
          <w:divBdr>
            <w:top w:val="none" w:sz="0" w:space="0" w:color="auto"/>
            <w:left w:val="none" w:sz="0" w:space="0" w:color="auto"/>
            <w:bottom w:val="none" w:sz="0" w:space="0" w:color="auto"/>
            <w:right w:val="none" w:sz="0" w:space="0" w:color="auto"/>
          </w:divBdr>
        </w:div>
        <w:div w:id="97070136">
          <w:marLeft w:val="0"/>
          <w:marRight w:val="0"/>
          <w:marTop w:val="0"/>
          <w:marBottom w:val="0"/>
          <w:divBdr>
            <w:top w:val="none" w:sz="0" w:space="0" w:color="auto"/>
            <w:left w:val="none" w:sz="0" w:space="0" w:color="auto"/>
            <w:bottom w:val="none" w:sz="0" w:space="0" w:color="auto"/>
            <w:right w:val="none" w:sz="0" w:space="0" w:color="auto"/>
          </w:divBdr>
        </w:div>
        <w:div w:id="2084835928">
          <w:marLeft w:val="0"/>
          <w:marRight w:val="0"/>
          <w:marTop w:val="0"/>
          <w:marBottom w:val="0"/>
          <w:divBdr>
            <w:top w:val="none" w:sz="0" w:space="0" w:color="auto"/>
            <w:left w:val="none" w:sz="0" w:space="0" w:color="auto"/>
            <w:bottom w:val="none" w:sz="0" w:space="0" w:color="auto"/>
            <w:right w:val="none" w:sz="0" w:space="0" w:color="auto"/>
          </w:divBdr>
        </w:div>
        <w:div w:id="1075588566">
          <w:marLeft w:val="0"/>
          <w:marRight w:val="0"/>
          <w:marTop w:val="0"/>
          <w:marBottom w:val="0"/>
          <w:divBdr>
            <w:top w:val="none" w:sz="0" w:space="0" w:color="auto"/>
            <w:left w:val="none" w:sz="0" w:space="0" w:color="auto"/>
            <w:bottom w:val="none" w:sz="0" w:space="0" w:color="auto"/>
            <w:right w:val="none" w:sz="0" w:space="0" w:color="auto"/>
          </w:divBdr>
        </w:div>
        <w:div w:id="1857570814">
          <w:marLeft w:val="0"/>
          <w:marRight w:val="0"/>
          <w:marTop w:val="0"/>
          <w:marBottom w:val="0"/>
          <w:divBdr>
            <w:top w:val="none" w:sz="0" w:space="0" w:color="auto"/>
            <w:left w:val="none" w:sz="0" w:space="0" w:color="auto"/>
            <w:bottom w:val="none" w:sz="0" w:space="0" w:color="auto"/>
            <w:right w:val="none" w:sz="0" w:space="0" w:color="auto"/>
          </w:divBdr>
        </w:div>
        <w:div w:id="2109351440">
          <w:marLeft w:val="0"/>
          <w:marRight w:val="0"/>
          <w:marTop w:val="0"/>
          <w:marBottom w:val="0"/>
          <w:divBdr>
            <w:top w:val="none" w:sz="0" w:space="0" w:color="auto"/>
            <w:left w:val="none" w:sz="0" w:space="0" w:color="auto"/>
            <w:bottom w:val="none" w:sz="0" w:space="0" w:color="auto"/>
            <w:right w:val="none" w:sz="0" w:space="0" w:color="auto"/>
          </w:divBdr>
        </w:div>
        <w:div w:id="912786410">
          <w:marLeft w:val="0"/>
          <w:marRight w:val="0"/>
          <w:marTop w:val="0"/>
          <w:marBottom w:val="0"/>
          <w:divBdr>
            <w:top w:val="none" w:sz="0" w:space="0" w:color="auto"/>
            <w:left w:val="none" w:sz="0" w:space="0" w:color="auto"/>
            <w:bottom w:val="none" w:sz="0" w:space="0" w:color="auto"/>
            <w:right w:val="none" w:sz="0" w:space="0" w:color="auto"/>
          </w:divBdr>
        </w:div>
        <w:div w:id="1080832716">
          <w:marLeft w:val="0"/>
          <w:marRight w:val="0"/>
          <w:marTop w:val="0"/>
          <w:marBottom w:val="0"/>
          <w:divBdr>
            <w:top w:val="none" w:sz="0" w:space="0" w:color="auto"/>
            <w:left w:val="none" w:sz="0" w:space="0" w:color="auto"/>
            <w:bottom w:val="none" w:sz="0" w:space="0" w:color="auto"/>
            <w:right w:val="none" w:sz="0" w:space="0" w:color="auto"/>
          </w:divBdr>
        </w:div>
        <w:div w:id="1357389363">
          <w:marLeft w:val="0"/>
          <w:marRight w:val="0"/>
          <w:marTop w:val="0"/>
          <w:marBottom w:val="0"/>
          <w:divBdr>
            <w:top w:val="none" w:sz="0" w:space="0" w:color="auto"/>
            <w:left w:val="none" w:sz="0" w:space="0" w:color="auto"/>
            <w:bottom w:val="none" w:sz="0" w:space="0" w:color="auto"/>
            <w:right w:val="none" w:sz="0" w:space="0" w:color="auto"/>
          </w:divBdr>
        </w:div>
      </w:divsChild>
    </w:div>
    <w:div w:id="1029792825">
      <w:bodyDiv w:val="1"/>
      <w:marLeft w:val="0"/>
      <w:marRight w:val="0"/>
      <w:marTop w:val="0"/>
      <w:marBottom w:val="0"/>
      <w:divBdr>
        <w:top w:val="none" w:sz="0" w:space="0" w:color="auto"/>
        <w:left w:val="none" w:sz="0" w:space="0" w:color="auto"/>
        <w:bottom w:val="none" w:sz="0" w:space="0" w:color="auto"/>
        <w:right w:val="none" w:sz="0" w:space="0" w:color="auto"/>
      </w:divBdr>
      <w:divsChild>
        <w:div w:id="1028599511">
          <w:marLeft w:val="0"/>
          <w:marRight w:val="0"/>
          <w:marTop w:val="0"/>
          <w:marBottom w:val="0"/>
          <w:divBdr>
            <w:top w:val="none" w:sz="0" w:space="0" w:color="auto"/>
            <w:left w:val="none" w:sz="0" w:space="0" w:color="auto"/>
            <w:bottom w:val="none" w:sz="0" w:space="0" w:color="auto"/>
            <w:right w:val="none" w:sz="0" w:space="0" w:color="auto"/>
          </w:divBdr>
        </w:div>
        <w:div w:id="1987390991">
          <w:marLeft w:val="0"/>
          <w:marRight w:val="0"/>
          <w:marTop w:val="0"/>
          <w:marBottom w:val="0"/>
          <w:divBdr>
            <w:top w:val="none" w:sz="0" w:space="0" w:color="auto"/>
            <w:left w:val="none" w:sz="0" w:space="0" w:color="auto"/>
            <w:bottom w:val="none" w:sz="0" w:space="0" w:color="auto"/>
            <w:right w:val="none" w:sz="0" w:space="0" w:color="auto"/>
          </w:divBdr>
        </w:div>
        <w:div w:id="325206947">
          <w:marLeft w:val="0"/>
          <w:marRight w:val="0"/>
          <w:marTop w:val="0"/>
          <w:marBottom w:val="0"/>
          <w:divBdr>
            <w:top w:val="none" w:sz="0" w:space="0" w:color="auto"/>
            <w:left w:val="none" w:sz="0" w:space="0" w:color="auto"/>
            <w:bottom w:val="none" w:sz="0" w:space="0" w:color="auto"/>
            <w:right w:val="none" w:sz="0" w:space="0" w:color="auto"/>
          </w:divBdr>
        </w:div>
        <w:div w:id="1449736157">
          <w:marLeft w:val="0"/>
          <w:marRight w:val="0"/>
          <w:marTop w:val="0"/>
          <w:marBottom w:val="0"/>
          <w:divBdr>
            <w:top w:val="none" w:sz="0" w:space="0" w:color="auto"/>
            <w:left w:val="none" w:sz="0" w:space="0" w:color="auto"/>
            <w:bottom w:val="none" w:sz="0" w:space="0" w:color="auto"/>
            <w:right w:val="none" w:sz="0" w:space="0" w:color="auto"/>
          </w:divBdr>
        </w:div>
        <w:div w:id="1125464294">
          <w:marLeft w:val="0"/>
          <w:marRight w:val="0"/>
          <w:marTop w:val="0"/>
          <w:marBottom w:val="0"/>
          <w:divBdr>
            <w:top w:val="none" w:sz="0" w:space="0" w:color="auto"/>
            <w:left w:val="none" w:sz="0" w:space="0" w:color="auto"/>
            <w:bottom w:val="none" w:sz="0" w:space="0" w:color="auto"/>
            <w:right w:val="none" w:sz="0" w:space="0" w:color="auto"/>
          </w:divBdr>
        </w:div>
        <w:div w:id="1618635974">
          <w:marLeft w:val="0"/>
          <w:marRight w:val="0"/>
          <w:marTop w:val="0"/>
          <w:marBottom w:val="0"/>
          <w:divBdr>
            <w:top w:val="none" w:sz="0" w:space="0" w:color="auto"/>
            <w:left w:val="none" w:sz="0" w:space="0" w:color="auto"/>
            <w:bottom w:val="none" w:sz="0" w:space="0" w:color="auto"/>
            <w:right w:val="none" w:sz="0" w:space="0" w:color="auto"/>
          </w:divBdr>
        </w:div>
        <w:div w:id="214707824">
          <w:marLeft w:val="0"/>
          <w:marRight w:val="0"/>
          <w:marTop w:val="0"/>
          <w:marBottom w:val="0"/>
          <w:divBdr>
            <w:top w:val="none" w:sz="0" w:space="0" w:color="auto"/>
            <w:left w:val="none" w:sz="0" w:space="0" w:color="auto"/>
            <w:bottom w:val="none" w:sz="0" w:space="0" w:color="auto"/>
            <w:right w:val="none" w:sz="0" w:space="0" w:color="auto"/>
          </w:divBdr>
        </w:div>
        <w:div w:id="598955186">
          <w:marLeft w:val="0"/>
          <w:marRight w:val="0"/>
          <w:marTop w:val="0"/>
          <w:marBottom w:val="0"/>
          <w:divBdr>
            <w:top w:val="none" w:sz="0" w:space="0" w:color="auto"/>
            <w:left w:val="none" w:sz="0" w:space="0" w:color="auto"/>
            <w:bottom w:val="none" w:sz="0" w:space="0" w:color="auto"/>
            <w:right w:val="none" w:sz="0" w:space="0" w:color="auto"/>
          </w:divBdr>
        </w:div>
        <w:div w:id="1307272094">
          <w:marLeft w:val="0"/>
          <w:marRight w:val="0"/>
          <w:marTop w:val="0"/>
          <w:marBottom w:val="0"/>
          <w:divBdr>
            <w:top w:val="none" w:sz="0" w:space="0" w:color="auto"/>
            <w:left w:val="none" w:sz="0" w:space="0" w:color="auto"/>
            <w:bottom w:val="none" w:sz="0" w:space="0" w:color="auto"/>
            <w:right w:val="none" w:sz="0" w:space="0" w:color="auto"/>
          </w:divBdr>
        </w:div>
        <w:div w:id="1507135394">
          <w:marLeft w:val="0"/>
          <w:marRight w:val="0"/>
          <w:marTop w:val="0"/>
          <w:marBottom w:val="0"/>
          <w:divBdr>
            <w:top w:val="none" w:sz="0" w:space="0" w:color="auto"/>
            <w:left w:val="none" w:sz="0" w:space="0" w:color="auto"/>
            <w:bottom w:val="none" w:sz="0" w:space="0" w:color="auto"/>
            <w:right w:val="none" w:sz="0" w:space="0" w:color="auto"/>
          </w:divBdr>
        </w:div>
        <w:div w:id="952595067">
          <w:marLeft w:val="0"/>
          <w:marRight w:val="0"/>
          <w:marTop w:val="0"/>
          <w:marBottom w:val="0"/>
          <w:divBdr>
            <w:top w:val="none" w:sz="0" w:space="0" w:color="auto"/>
            <w:left w:val="none" w:sz="0" w:space="0" w:color="auto"/>
            <w:bottom w:val="none" w:sz="0" w:space="0" w:color="auto"/>
            <w:right w:val="none" w:sz="0" w:space="0" w:color="auto"/>
          </w:divBdr>
        </w:div>
        <w:div w:id="356273216">
          <w:marLeft w:val="0"/>
          <w:marRight w:val="0"/>
          <w:marTop w:val="0"/>
          <w:marBottom w:val="0"/>
          <w:divBdr>
            <w:top w:val="none" w:sz="0" w:space="0" w:color="auto"/>
            <w:left w:val="none" w:sz="0" w:space="0" w:color="auto"/>
            <w:bottom w:val="none" w:sz="0" w:space="0" w:color="auto"/>
            <w:right w:val="none" w:sz="0" w:space="0" w:color="auto"/>
          </w:divBdr>
        </w:div>
        <w:div w:id="1650866523">
          <w:marLeft w:val="0"/>
          <w:marRight w:val="0"/>
          <w:marTop w:val="0"/>
          <w:marBottom w:val="0"/>
          <w:divBdr>
            <w:top w:val="none" w:sz="0" w:space="0" w:color="auto"/>
            <w:left w:val="none" w:sz="0" w:space="0" w:color="auto"/>
            <w:bottom w:val="none" w:sz="0" w:space="0" w:color="auto"/>
            <w:right w:val="none" w:sz="0" w:space="0" w:color="auto"/>
          </w:divBdr>
        </w:div>
        <w:div w:id="2141074547">
          <w:marLeft w:val="0"/>
          <w:marRight w:val="0"/>
          <w:marTop w:val="0"/>
          <w:marBottom w:val="0"/>
          <w:divBdr>
            <w:top w:val="none" w:sz="0" w:space="0" w:color="auto"/>
            <w:left w:val="none" w:sz="0" w:space="0" w:color="auto"/>
            <w:bottom w:val="none" w:sz="0" w:space="0" w:color="auto"/>
            <w:right w:val="none" w:sz="0" w:space="0" w:color="auto"/>
          </w:divBdr>
        </w:div>
      </w:divsChild>
    </w:div>
    <w:div w:id="1579751218">
      <w:bodyDiv w:val="1"/>
      <w:marLeft w:val="0"/>
      <w:marRight w:val="0"/>
      <w:marTop w:val="0"/>
      <w:marBottom w:val="0"/>
      <w:divBdr>
        <w:top w:val="none" w:sz="0" w:space="0" w:color="auto"/>
        <w:left w:val="none" w:sz="0" w:space="0" w:color="auto"/>
        <w:bottom w:val="none" w:sz="0" w:space="0" w:color="auto"/>
        <w:right w:val="none" w:sz="0" w:space="0" w:color="auto"/>
      </w:divBdr>
      <w:divsChild>
        <w:div w:id="635185821">
          <w:marLeft w:val="0"/>
          <w:marRight w:val="0"/>
          <w:marTop w:val="0"/>
          <w:marBottom w:val="0"/>
          <w:divBdr>
            <w:top w:val="none" w:sz="0" w:space="0" w:color="auto"/>
            <w:left w:val="none" w:sz="0" w:space="0" w:color="auto"/>
            <w:bottom w:val="none" w:sz="0" w:space="0" w:color="auto"/>
            <w:right w:val="none" w:sz="0" w:space="0" w:color="auto"/>
          </w:divBdr>
          <w:divsChild>
            <w:div w:id="1947426581">
              <w:marLeft w:val="0"/>
              <w:marRight w:val="0"/>
              <w:marTop w:val="0"/>
              <w:marBottom w:val="0"/>
              <w:divBdr>
                <w:top w:val="none" w:sz="0" w:space="0" w:color="auto"/>
                <w:left w:val="none" w:sz="0" w:space="0" w:color="auto"/>
                <w:bottom w:val="none" w:sz="0" w:space="0" w:color="auto"/>
                <w:right w:val="none" w:sz="0" w:space="0" w:color="auto"/>
              </w:divBdr>
              <w:divsChild>
                <w:div w:id="591932217">
                  <w:marLeft w:val="0"/>
                  <w:marRight w:val="0"/>
                  <w:marTop w:val="0"/>
                  <w:marBottom w:val="0"/>
                  <w:divBdr>
                    <w:top w:val="none" w:sz="0" w:space="0" w:color="auto"/>
                    <w:left w:val="none" w:sz="0" w:space="0" w:color="auto"/>
                    <w:bottom w:val="none" w:sz="0" w:space="0" w:color="auto"/>
                    <w:right w:val="none" w:sz="0" w:space="0" w:color="auto"/>
                  </w:divBdr>
                  <w:divsChild>
                    <w:div w:id="1402677566">
                      <w:marLeft w:val="0"/>
                      <w:marRight w:val="0"/>
                      <w:marTop w:val="0"/>
                      <w:marBottom w:val="0"/>
                      <w:divBdr>
                        <w:top w:val="none" w:sz="0" w:space="0" w:color="auto"/>
                        <w:left w:val="none" w:sz="0" w:space="0" w:color="auto"/>
                        <w:bottom w:val="none" w:sz="0" w:space="0" w:color="auto"/>
                        <w:right w:val="none" w:sz="0" w:space="0" w:color="auto"/>
                      </w:divBdr>
                      <w:divsChild>
                        <w:div w:id="1127504983">
                          <w:marLeft w:val="0"/>
                          <w:marRight w:val="0"/>
                          <w:marTop w:val="0"/>
                          <w:marBottom w:val="0"/>
                          <w:divBdr>
                            <w:top w:val="none" w:sz="0" w:space="0" w:color="auto"/>
                            <w:left w:val="none" w:sz="0" w:space="0" w:color="auto"/>
                            <w:bottom w:val="none" w:sz="0" w:space="0" w:color="auto"/>
                            <w:right w:val="none" w:sz="0" w:space="0" w:color="auto"/>
                          </w:divBdr>
                          <w:divsChild>
                            <w:div w:id="2015448536">
                              <w:marLeft w:val="0"/>
                              <w:marRight w:val="0"/>
                              <w:marTop w:val="0"/>
                              <w:marBottom w:val="0"/>
                              <w:divBdr>
                                <w:top w:val="none" w:sz="0" w:space="0" w:color="auto"/>
                                <w:left w:val="none" w:sz="0" w:space="0" w:color="auto"/>
                                <w:bottom w:val="none" w:sz="0" w:space="0" w:color="auto"/>
                                <w:right w:val="none" w:sz="0" w:space="0" w:color="auto"/>
                              </w:divBdr>
                              <w:divsChild>
                                <w:div w:id="759254259">
                                  <w:marLeft w:val="0"/>
                                  <w:marRight w:val="0"/>
                                  <w:marTop w:val="0"/>
                                  <w:marBottom w:val="0"/>
                                  <w:divBdr>
                                    <w:top w:val="none" w:sz="0" w:space="0" w:color="auto"/>
                                    <w:left w:val="none" w:sz="0" w:space="0" w:color="auto"/>
                                    <w:bottom w:val="none" w:sz="0" w:space="0" w:color="auto"/>
                                    <w:right w:val="none" w:sz="0" w:space="0" w:color="auto"/>
                                  </w:divBdr>
                                  <w:divsChild>
                                    <w:div w:id="889224768">
                                      <w:marLeft w:val="0"/>
                                      <w:marRight w:val="0"/>
                                      <w:marTop w:val="0"/>
                                      <w:marBottom w:val="0"/>
                                      <w:divBdr>
                                        <w:top w:val="none" w:sz="0" w:space="0" w:color="auto"/>
                                        <w:left w:val="none" w:sz="0" w:space="0" w:color="auto"/>
                                        <w:bottom w:val="none" w:sz="0" w:space="0" w:color="auto"/>
                                        <w:right w:val="none" w:sz="0" w:space="0" w:color="auto"/>
                                      </w:divBdr>
                                      <w:divsChild>
                                        <w:div w:id="522746896">
                                          <w:marLeft w:val="0"/>
                                          <w:marRight w:val="0"/>
                                          <w:marTop w:val="0"/>
                                          <w:marBottom w:val="0"/>
                                          <w:divBdr>
                                            <w:top w:val="none" w:sz="0" w:space="0" w:color="auto"/>
                                            <w:left w:val="none" w:sz="0" w:space="0" w:color="auto"/>
                                            <w:bottom w:val="none" w:sz="0" w:space="0" w:color="auto"/>
                                            <w:right w:val="none" w:sz="0" w:space="0" w:color="auto"/>
                                          </w:divBdr>
                                          <w:divsChild>
                                            <w:div w:id="1468935472">
                                              <w:marLeft w:val="0"/>
                                              <w:marRight w:val="0"/>
                                              <w:marTop w:val="0"/>
                                              <w:marBottom w:val="0"/>
                                              <w:divBdr>
                                                <w:top w:val="none" w:sz="0" w:space="0" w:color="auto"/>
                                                <w:left w:val="none" w:sz="0" w:space="0" w:color="auto"/>
                                                <w:bottom w:val="none" w:sz="0" w:space="0" w:color="auto"/>
                                                <w:right w:val="none" w:sz="0" w:space="0" w:color="auto"/>
                                              </w:divBdr>
                                              <w:divsChild>
                                                <w:div w:id="509102674">
                                                  <w:marLeft w:val="0"/>
                                                  <w:marRight w:val="0"/>
                                                  <w:marTop w:val="0"/>
                                                  <w:marBottom w:val="0"/>
                                                  <w:divBdr>
                                                    <w:top w:val="none" w:sz="0" w:space="0" w:color="auto"/>
                                                    <w:left w:val="none" w:sz="0" w:space="0" w:color="auto"/>
                                                    <w:bottom w:val="none" w:sz="0" w:space="0" w:color="auto"/>
                                                    <w:right w:val="none" w:sz="0" w:space="0" w:color="auto"/>
                                                  </w:divBdr>
                                                  <w:divsChild>
                                                    <w:div w:id="1571191775">
                                                      <w:marLeft w:val="0"/>
                                                      <w:marRight w:val="0"/>
                                                      <w:marTop w:val="0"/>
                                                      <w:marBottom w:val="0"/>
                                                      <w:divBdr>
                                                        <w:top w:val="none" w:sz="0" w:space="0" w:color="auto"/>
                                                        <w:left w:val="none" w:sz="0" w:space="0" w:color="auto"/>
                                                        <w:bottom w:val="none" w:sz="0" w:space="0" w:color="auto"/>
                                                        <w:right w:val="none" w:sz="0" w:space="0" w:color="auto"/>
                                                      </w:divBdr>
                                                      <w:divsChild>
                                                        <w:div w:id="591166373">
                                                          <w:marLeft w:val="0"/>
                                                          <w:marRight w:val="0"/>
                                                          <w:marTop w:val="0"/>
                                                          <w:marBottom w:val="0"/>
                                                          <w:divBdr>
                                                            <w:top w:val="none" w:sz="0" w:space="0" w:color="auto"/>
                                                            <w:left w:val="none" w:sz="0" w:space="0" w:color="auto"/>
                                                            <w:bottom w:val="none" w:sz="0" w:space="0" w:color="auto"/>
                                                            <w:right w:val="none" w:sz="0" w:space="0" w:color="auto"/>
                                                          </w:divBdr>
                                                          <w:divsChild>
                                                            <w:div w:id="852182921">
                                                              <w:marLeft w:val="0"/>
                                                              <w:marRight w:val="0"/>
                                                              <w:marTop w:val="0"/>
                                                              <w:marBottom w:val="0"/>
                                                              <w:divBdr>
                                                                <w:top w:val="none" w:sz="0" w:space="0" w:color="auto"/>
                                                                <w:left w:val="none" w:sz="0" w:space="0" w:color="auto"/>
                                                                <w:bottom w:val="none" w:sz="0" w:space="0" w:color="auto"/>
                                                                <w:right w:val="none" w:sz="0" w:space="0" w:color="auto"/>
                                                              </w:divBdr>
                                                              <w:divsChild>
                                                                <w:div w:id="281494411">
                                                                  <w:marLeft w:val="0"/>
                                                                  <w:marRight w:val="0"/>
                                                                  <w:marTop w:val="0"/>
                                                                  <w:marBottom w:val="0"/>
                                                                  <w:divBdr>
                                                                    <w:top w:val="none" w:sz="0" w:space="0" w:color="auto"/>
                                                                    <w:left w:val="none" w:sz="0" w:space="0" w:color="auto"/>
                                                                    <w:bottom w:val="none" w:sz="0" w:space="0" w:color="auto"/>
                                                                    <w:right w:val="none" w:sz="0" w:space="0" w:color="auto"/>
                                                                  </w:divBdr>
                                                                  <w:divsChild>
                                                                    <w:div w:id="920673622">
                                                                      <w:marLeft w:val="0"/>
                                                                      <w:marRight w:val="0"/>
                                                                      <w:marTop w:val="0"/>
                                                                      <w:marBottom w:val="0"/>
                                                                      <w:divBdr>
                                                                        <w:top w:val="none" w:sz="0" w:space="0" w:color="auto"/>
                                                                        <w:left w:val="none" w:sz="0" w:space="0" w:color="auto"/>
                                                                        <w:bottom w:val="none" w:sz="0" w:space="0" w:color="auto"/>
                                                                        <w:right w:val="none" w:sz="0" w:space="0" w:color="auto"/>
                                                                      </w:divBdr>
                                                                      <w:divsChild>
                                                                        <w:div w:id="1895434678">
                                                                          <w:marLeft w:val="0"/>
                                                                          <w:marRight w:val="0"/>
                                                                          <w:marTop w:val="0"/>
                                                                          <w:marBottom w:val="0"/>
                                                                          <w:divBdr>
                                                                            <w:top w:val="none" w:sz="0" w:space="0" w:color="auto"/>
                                                                            <w:left w:val="none" w:sz="0" w:space="0" w:color="auto"/>
                                                                            <w:bottom w:val="none" w:sz="0" w:space="0" w:color="auto"/>
                                                                            <w:right w:val="none" w:sz="0" w:space="0" w:color="auto"/>
                                                                          </w:divBdr>
                                                                          <w:divsChild>
                                                                            <w:div w:id="824905110">
                                                                              <w:marLeft w:val="0"/>
                                                                              <w:marRight w:val="0"/>
                                                                              <w:marTop w:val="0"/>
                                                                              <w:marBottom w:val="0"/>
                                                                              <w:divBdr>
                                                                                <w:top w:val="none" w:sz="0" w:space="0" w:color="auto"/>
                                                                                <w:left w:val="none" w:sz="0" w:space="0" w:color="auto"/>
                                                                                <w:bottom w:val="none" w:sz="0" w:space="0" w:color="auto"/>
                                                                                <w:right w:val="none" w:sz="0" w:space="0" w:color="auto"/>
                                                                              </w:divBdr>
                                                                              <w:divsChild>
                                                                                <w:div w:id="463668184">
                                                                                  <w:marLeft w:val="0"/>
                                                                                  <w:marRight w:val="0"/>
                                                                                  <w:marTop w:val="0"/>
                                                                                  <w:marBottom w:val="0"/>
                                                                                  <w:divBdr>
                                                                                    <w:top w:val="none" w:sz="0" w:space="0" w:color="auto"/>
                                                                                    <w:left w:val="none" w:sz="0" w:space="0" w:color="auto"/>
                                                                                    <w:bottom w:val="none" w:sz="0" w:space="0" w:color="auto"/>
                                                                                    <w:right w:val="none" w:sz="0" w:space="0" w:color="auto"/>
                                                                                  </w:divBdr>
                                                                                  <w:divsChild>
                                                                                    <w:div w:id="854882625">
                                                                                      <w:marLeft w:val="0"/>
                                                                                      <w:marRight w:val="0"/>
                                                                                      <w:marTop w:val="0"/>
                                                                                      <w:marBottom w:val="0"/>
                                                                                      <w:divBdr>
                                                                                        <w:top w:val="none" w:sz="0" w:space="0" w:color="auto"/>
                                                                                        <w:left w:val="none" w:sz="0" w:space="0" w:color="auto"/>
                                                                                        <w:bottom w:val="none" w:sz="0" w:space="0" w:color="auto"/>
                                                                                        <w:right w:val="none" w:sz="0" w:space="0" w:color="auto"/>
                                                                                      </w:divBdr>
                                                                                      <w:divsChild>
                                                                                        <w:div w:id="1109424193">
                                                                                          <w:marLeft w:val="0"/>
                                                                                          <w:marRight w:val="0"/>
                                                                                          <w:marTop w:val="0"/>
                                                                                          <w:marBottom w:val="0"/>
                                                                                          <w:divBdr>
                                                                                            <w:top w:val="none" w:sz="0" w:space="0" w:color="auto"/>
                                                                                            <w:left w:val="none" w:sz="0" w:space="0" w:color="auto"/>
                                                                                            <w:bottom w:val="none" w:sz="0" w:space="0" w:color="auto"/>
                                                                                            <w:right w:val="none" w:sz="0" w:space="0" w:color="auto"/>
                                                                                          </w:divBdr>
                                                                                          <w:divsChild>
                                                                                            <w:div w:id="1669097282">
                                                                                              <w:marLeft w:val="0"/>
                                                                                              <w:marRight w:val="0"/>
                                                                                              <w:marTop w:val="0"/>
                                                                                              <w:marBottom w:val="0"/>
                                                                                              <w:divBdr>
                                                                                                <w:top w:val="none" w:sz="0" w:space="0" w:color="auto"/>
                                                                                                <w:left w:val="none" w:sz="0" w:space="0" w:color="auto"/>
                                                                                                <w:bottom w:val="none" w:sz="0" w:space="0" w:color="auto"/>
                                                                                                <w:right w:val="none" w:sz="0" w:space="0" w:color="auto"/>
                                                                                              </w:divBdr>
                                                                                              <w:divsChild>
                                                                                                <w:div w:id="1617905908">
                                                                                                  <w:marLeft w:val="0"/>
                                                                                                  <w:marRight w:val="0"/>
                                                                                                  <w:marTop w:val="0"/>
                                                                                                  <w:marBottom w:val="0"/>
                                                                                                  <w:divBdr>
                                                                                                    <w:top w:val="none" w:sz="0" w:space="0" w:color="auto"/>
                                                                                                    <w:left w:val="none" w:sz="0" w:space="0" w:color="auto"/>
                                                                                                    <w:bottom w:val="none" w:sz="0" w:space="0" w:color="auto"/>
                                                                                                    <w:right w:val="none" w:sz="0" w:space="0" w:color="auto"/>
                                                                                                  </w:divBdr>
                                                                                                  <w:divsChild>
                                                                                                    <w:div w:id="1556820457">
                                                                                                      <w:marLeft w:val="0"/>
                                                                                                      <w:marRight w:val="0"/>
                                                                                                      <w:marTop w:val="0"/>
                                                                                                      <w:marBottom w:val="0"/>
                                                                                                      <w:divBdr>
                                                                                                        <w:top w:val="none" w:sz="0" w:space="0" w:color="auto"/>
                                                                                                        <w:left w:val="none" w:sz="0" w:space="0" w:color="auto"/>
                                                                                                        <w:bottom w:val="none" w:sz="0" w:space="0" w:color="auto"/>
                                                                                                        <w:right w:val="none" w:sz="0" w:space="0" w:color="auto"/>
                                                                                                      </w:divBdr>
                                                                                                      <w:divsChild>
                                                                                                        <w:div w:id="234049147">
                                                                                                          <w:marLeft w:val="0"/>
                                                                                                          <w:marRight w:val="0"/>
                                                                                                          <w:marTop w:val="0"/>
                                                                                                          <w:marBottom w:val="0"/>
                                                                                                          <w:divBdr>
                                                                                                            <w:top w:val="none" w:sz="0" w:space="0" w:color="auto"/>
                                                                                                            <w:left w:val="none" w:sz="0" w:space="0" w:color="auto"/>
                                                                                                            <w:bottom w:val="none" w:sz="0" w:space="0" w:color="auto"/>
                                                                                                            <w:right w:val="none" w:sz="0" w:space="0" w:color="auto"/>
                                                                                                          </w:divBdr>
                                                                                                          <w:divsChild>
                                                                                                            <w:div w:id="2081562309">
                                                                                                              <w:marLeft w:val="0"/>
                                                                                                              <w:marRight w:val="0"/>
                                                                                                              <w:marTop w:val="0"/>
                                                                                                              <w:marBottom w:val="0"/>
                                                                                                              <w:divBdr>
                                                                                                                <w:top w:val="none" w:sz="0" w:space="0" w:color="auto"/>
                                                                                                                <w:left w:val="none" w:sz="0" w:space="0" w:color="auto"/>
                                                                                                                <w:bottom w:val="none" w:sz="0" w:space="0" w:color="auto"/>
                                                                                                                <w:right w:val="none" w:sz="0" w:space="0" w:color="auto"/>
                                                                                                              </w:divBdr>
                                                                                                              <w:divsChild>
                                                                                                                <w:div w:id="1523477777">
                                                                                                                  <w:marLeft w:val="0"/>
                                                                                                                  <w:marRight w:val="0"/>
                                                                                                                  <w:marTop w:val="0"/>
                                                                                                                  <w:marBottom w:val="0"/>
                                                                                                                  <w:divBdr>
                                                                                                                    <w:top w:val="none" w:sz="0" w:space="0" w:color="auto"/>
                                                                                                                    <w:left w:val="none" w:sz="0" w:space="0" w:color="auto"/>
                                                                                                                    <w:bottom w:val="none" w:sz="0" w:space="0" w:color="auto"/>
                                                                                                                    <w:right w:val="none" w:sz="0" w:space="0" w:color="auto"/>
                                                                                                                  </w:divBdr>
                                                                                                                  <w:divsChild>
                                                                                                                    <w:div w:id="1770464885">
                                                                                                                      <w:marLeft w:val="0"/>
                                                                                                                      <w:marRight w:val="0"/>
                                                                                                                      <w:marTop w:val="0"/>
                                                                                                                      <w:marBottom w:val="0"/>
                                                                                                                      <w:divBdr>
                                                                                                                        <w:top w:val="none" w:sz="0" w:space="0" w:color="auto"/>
                                                                                                                        <w:left w:val="none" w:sz="0" w:space="0" w:color="auto"/>
                                                                                                                        <w:bottom w:val="none" w:sz="0" w:space="0" w:color="auto"/>
                                                                                                                        <w:right w:val="none" w:sz="0" w:space="0" w:color="auto"/>
                                                                                                                      </w:divBdr>
                                                                                                                      <w:divsChild>
                                                                                                                        <w:div w:id="1173108625">
                                                                                                                          <w:marLeft w:val="0"/>
                                                                                                                          <w:marRight w:val="0"/>
                                                                                                                          <w:marTop w:val="0"/>
                                                                                                                          <w:marBottom w:val="0"/>
                                                                                                                          <w:divBdr>
                                                                                                                            <w:top w:val="none" w:sz="0" w:space="0" w:color="auto"/>
                                                                                                                            <w:left w:val="none" w:sz="0" w:space="0" w:color="auto"/>
                                                                                                                            <w:bottom w:val="none" w:sz="0" w:space="0" w:color="auto"/>
                                                                                                                            <w:right w:val="none" w:sz="0" w:space="0" w:color="auto"/>
                                                                                                                          </w:divBdr>
                                                                                                                          <w:divsChild>
                                                                                                                            <w:div w:id="732312750">
                                                                                                                              <w:marLeft w:val="0"/>
                                                                                                                              <w:marRight w:val="0"/>
                                                                                                                              <w:marTop w:val="0"/>
                                                                                                                              <w:marBottom w:val="0"/>
                                                                                                                              <w:divBdr>
                                                                                                                                <w:top w:val="none" w:sz="0" w:space="0" w:color="auto"/>
                                                                                                                                <w:left w:val="none" w:sz="0" w:space="0" w:color="auto"/>
                                                                                                                                <w:bottom w:val="none" w:sz="0" w:space="0" w:color="auto"/>
                                                                                                                                <w:right w:val="none" w:sz="0" w:space="0" w:color="auto"/>
                                                                                                                              </w:divBdr>
                                                                                                                              <w:divsChild>
                                                                                                                                <w:div w:id="435100370">
                                                                                                                                  <w:marLeft w:val="0"/>
                                                                                                                                  <w:marRight w:val="0"/>
                                                                                                                                  <w:marTop w:val="0"/>
                                                                                                                                  <w:marBottom w:val="0"/>
                                                                                                                                  <w:divBdr>
                                                                                                                                    <w:top w:val="none" w:sz="0" w:space="0" w:color="auto"/>
                                                                                                                                    <w:left w:val="none" w:sz="0" w:space="0" w:color="auto"/>
                                                                                                                                    <w:bottom w:val="none" w:sz="0" w:space="0" w:color="auto"/>
                                                                                                                                    <w:right w:val="none" w:sz="0" w:space="0" w:color="auto"/>
                                                                                                                                  </w:divBdr>
                                                                                                                                  <w:divsChild>
                                                                                                                                    <w:div w:id="1838375746">
                                                                                                                                      <w:marLeft w:val="0"/>
                                                                                                                                      <w:marRight w:val="0"/>
                                                                                                                                      <w:marTop w:val="0"/>
                                                                                                                                      <w:marBottom w:val="0"/>
                                                                                                                                      <w:divBdr>
                                                                                                                                        <w:top w:val="none" w:sz="0" w:space="0" w:color="auto"/>
                                                                                                                                        <w:left w:val="none" w:sz="0" w:space="0" w:color="auto"/>
                                                                                                                                        <w:bottom w:val="none" w:sz="0" w:space="0" w:color="auto"/>
                                                                                                                                        <w:right w:val="none" w:sz="0" w:space="0" w:color="auto"/>
                                                                                                                                      </w:divBdr>
                                                                                                                                      <w:divsChild>
                                                                                                                                        <w:div w:id="1894391307">
                                                                                                                                          <w:marLeft w:val="0"/>
                                                                                                                                          <w:marRight w:val="0"/>
                                                                                                                                          <w:marTop w:val="0"/>
                                                                                                                                          <w:marBottom w:val="0"/>
                                                                                                                                          <w:divBdr>
                                                                                                                                            <w:top w:val="none" w:sz="0" w:space="0" w:color="auto"/>
                                                                                                                                            <w:left w:val="none" w:sz="0" w:space="0" w:color="auto"/>
                                                                                                                                            <w:bottom w:val="none" w:sz="0" w:space="0" w:color="auto"/>
                                                                                                                                            <w:right w:val="none" w:sz="0" w:space="0" w:color="auto"/>
                                                                                                                                          </w:divBdr>
                                                                                                                                          <w:divsChild>
                                                                                                                                            <w:div w:id="232861737">
                                                                                                                                              <w:marLeft w:val="0"/>
                                                                                                                                              <w:marRight w:val="0"/>
                                                                                                                                              <w:marTop w:val="0"/>
                                                                                                                                              <w:marBottom w:val="0"/>
                                                                                                                                              <w:divBdr>
                                                                                                                                                <w:top w:val="none" w:sz="0" w:space="0" w:color="auto"/>
                                                                                                                                                <w:left w:val="none" w:sz="0" w:space="0" w:color="auto"/>
                                                                                                                                                <w:bottom w:val="none" w:sz="0" w:space="0" w:color="auto"/>
                                                                                                                                                <w:right w:val="none" w:sz="0" w:space="0" w:color="auto"/>
                                                                                                                                              </w:divBdr>
                                                                                                                                              <w:divsChild>
                                                                                                                                                <w:div w:id="1553882066">
                                                                                                                                                  <w:marLeft w:val="0"/>
                                                                                                                                                  <w:marRight w:val="0"/>
                                                                                                                                                  <w:marTop w:val="0"/>
                                                                                                                                                  <w:marBottom w:val="0"/>
                                                                                                                                                  <w:divBdr>
                                                                                                                                                    <w:top w:val="none" w:sz="0" w:space="0" w:color="auto"/>
                                                                                                                                                    <w:left w:val="none" w:sz="0" w:space="0" w:color="auto"/>
                                                                                                                                                    <w:bottom w:val="none" w:sz="0" w:space="0" w:color="auto"/>
                                                                                                                                                    <w:right w:val="none" w:sz="0" w:space="0" w:color="auto"/>
                                                                                                                                                  </w:divBdr>
                                                                                                                                                  <w:divsChild>
                                                                                                                                                    <w:div w:id="486632176">
                                                                                                                                                      <w:marLeft w:val="0"/>
                                                                                                                                                      <w:marRight w:val="0"/>
                                                                                                                                                      <w:marTop w:val="0"/>
                                                                                                                                                      <w:marBottom w:val="0"/>
                                                                                                                                                      <w:divBdr>
                                                                                                                                                        <w:top w:val="none" w:sz="0" w:space="0" w:color="auto"/>
                                                                                                                                                        <w:left w:val="none" w:sz="0" w:space="0" w:color="auto"/>
                                                                                                                                                        <w:bottom w:val="none" w:sz="0" w:space="0" w:color="auto"/>
                                                                                                                                                        <w:right w:val="none" w:sz="0" w:space="0" w:color="auto"/>
                                                                                                                                                      </w:divBdr>
                                                                                                                                                      <w:divsChild>
                                                                                                                                                        <w:div w:id="2000452409">
                                                                                                                                                          <w:marLeft w:val="0"/>
                                                                                                                                                          <w:marRight w:val="0"/>
                                                                                                                                                          <w:marTop w:val="0"/>
                                                                                                                                                          <w:marBottom w:val="0"/>
                                                                                                                                                          <w:divBdr>
                                                                                                                                                            <w:top w:val="none" w:sz="0" w:space="0" w:color="auto"/>
                                                                                                                                                            <w:left w:val="none" w:sz="0" w:space="0" w:color="auto"/>
                                                                                                                                                            <w:bottom w:val="none" w:sz="0" w:space="0" w:color="auto"/>
                                                                                                                                                            <w:right w:val="none" w:sz="0" w:space="0" w:color="auto"/>
                                                                                                                                                          </w:divBdr>
                                                                                                                                                          <w:divsChild>
                                                                                                                                                            <w:div w:id="329333720">
                                                                                                                                                              <w:marLeft w:val="0"/>
                                                                                                                                                              <w:marRight w:val="0"/>
                                                                                                                                                              <w:marTop w:val="0"/>
                                                                                                                                                              <w:marBottom w:val="0"/>
                                                                                                                                                              <w:divBdr>
                                                                                                                                                                <w:top w:val="none" w:sz="0" w:space="0" w:color="auto"/>
                                                                                                                                                                <w:left w:val="none" w:sz="0" w:space="0" w:color="auto"/>
                                                                                                                                                                <w:bottom w:val="none" w:sz="0" w:space="0" w:color="auto"/>
                                                                                                                                                                <w:right w:val="none" w:sz="0" w:space="0" w:color="auto"/>
                                                                                                                                                              </w:divBdr>
                                                                                                                                                              <w:divsChild>
                                                                                                                                                                <w:div w:id="104078698">
                                                                                                                                                                  <w:marLeft w:val="0"/>
                                                                                                                                                                  <w:marRight w:val="0"/>
                                                                                                                                                                  <w:marTop w:val="0"/>
                                                                                                                                                                  <w:marBottom w:val="0"/>
                                                                                                                                                                  <w:divBdr>
                                                                                                                                                                    <w:top w:val="none" w:sz="0" w:space="0" w:color="auto"/>
                                                                                                                                                                    <w:left w:val="none" w:sz="0" w:space="0" w:color="auto"/>
                                                                                                                                                                    <w:bottom w:val="none" w:sz="0" w:space="0" w:color="auto"/>
                                                                                                                                                                    <w:right w:val="none" w:sz="0" w:space="0" w:color="auto"/>
                                                                                                                                                                  </w:divBdr>
                                                                                                                                                                  <w:divsChild>
                                                                                                                                                                    <w:div w:id="709457891">
                                                                                                                                                                      <w:marLeft w:val="0"/>
                                                                                                                                                                      <w:marRight w:val="0"/>
                                                                                                                                                                      <w:marTop w:val="0"/>
                                                                                                                                                                      <w:marBottom w:val="0"/>
                                                                                                                                                                      <w:divBdr>
                                                                                                                                                                        <w:top w:val="none" w:sz="0" w:space="0" w:color="auto"/>
                                                                                                                                                                        <w:left w:val="none" w:sz="0" w:space="0" w:color="auto"/>
                                                                                                                                                                        <w:bottom w:val="none" w:sz="0" w:space="0" w:color="auto"/>
                                                                                                                                                                        <w:right w:val="none" w:sz="0" w:space="0" w:color="auto"/>
                                                                                                                                                                      </w:divBdr>
                                                                                                                                                                    </w:div>
                                                                                                                                                                    <w:div w:id="1554924250">
                                                                                                                                                                      <w:marLeft w:val="0"/>
                                                                                                                                                                      <w:marRight w:val="0"/>
                                                                                                                                                                      <w:marTop w:val="0"/>
                                                                                                                                                                      <w:marBottom w:val="0"/>
                                                                                                                                                                      <w:divBdr>
                                                                                                                                                                        <w:top w:val="none" w:sz="0" w:space="0" w:color="auto"/>
                                                                                                                                                                        <w:left w:val="none" w:sz="0" w:space="0" w:color="auto"/>
                                                                                                                                                                        <w:bottom w:val="none" w:sz="0" w:space="0" w:color="auto"/>
                                                                                                                                                                        <w:right w:val="none" w:sz="0" w:space="0" w:color="auto"/>
                                                                                                                                                                      </w:divBdr>
                                                                                                                                                                    </w:div>
                                                                                                                                                                    <w:div w:id="1374037508">
                                                                                                                                                                      <w:marLeft w:val="0"/>
                                                                                                                                                                      <w:marRight w:val="0"/>
                                                                                                                                                                      <w:marTop w:val="0"/>
                                                                                                                                                                      <w:marBottom w:val="0"/>
                                                                                                                                                                      <w:divBdr>
                                                                                                                                                                        <w:top w:val="none" w:sz="0" w:space="0" w:color="auto"/>
                                                                                                                                                                        <w:left w:val="none" w:sz="0" w:space="0" w:color="auto"/>
                                                                                                                                                                        <w:bottom w:val="none" w:sz="0" w:space="0" w:color="auto"/>
                                                                                                                                                                        <w:right w:val="none" w:sz="0" w:space="0" w:color="auto"/>
                                                                                                                                                                      </w:divBdr>
                                                                                                                                                                    </w:div>
                                                                                                                                                                    <w:div w:id="2020153749">
                                                                                                                                                                      <w:marLeft w:val="0"/>
                                                                                                                                                                      <w:marRight w:val="0"/>
                                                                                                                                                                      <w:marTop w:val="0"/>
                                                                                                                                                                      <w:marBottom w:val="0"/>
                                                                                                                                                                      <w:divBdr>
                                                                                                                                                                        <w:top w:val="none" w:sz="0" w:space="0" w:color="auto"/>
                                                                                                                                                                        <w:left w:val="none" w:sz="0" w:space="0" w:color="auto"/>
                                                                                                                                                                        <w:bottom w:val="none" w:sz="0" w:space="0" w:color="auto"/>
                                                                                                                                                                        <w:right w:val="none" w:sz="0" w:space="0" w:color="auto"/>
                                                                                                                                                                      </w:divBdr>
                                                                                                                                                                    </w:div>
                                                                                                                                                                  </w:divsChild>
                                                                                                                                                                </w:div>
                                                                                                                                                                <w:div w:id="1625962699">
                                                                                                                                                                  <w:marLeft w:val="0"/>
                                                                                                                                                                  <w:marRight w:val="0"/>
                                                                                                                                                                  <w:marTop w:val="0"/>
                                                                                                                                                                  <w:marBottom w:val="0"/>
                                                                                                                                                                  <w:divBdr>
                                                                                                                                                                    <w:top w:val="none" w:sz="0" w:space="0" w:color="auto"/>
                                                                                                                                                                    <w:left w:val="none" w:sz="0" w:space="0" w:color="auto"/>
                                                                                                                                                                    <w:bottom w:val="none" w:sz="0" w:space="0" w:color="auto"/>
                                                                                                                                                                    <w:right w:val="none" w:sz="0" w:space="0" w:color="auto"/>
                                                                                                                                                                  </w:divBdr>
                                                                                                                                                                  <w:divsChild>
                                                                                                                                                                    <w:div w:id="1151947719">
                                                                                                                                                                      <w:marLeft w:val="0"/>
                                                                                                                                                                      <w:marRight w:val="0"/>
                                                                                                                                                                      <w:marTop w:val="0"/>
                                                                                                                                                                      <w:marBottom w:val="0"/>
                                                                                                                                                                      <w:divBdr>
                                                                                                                                                                        <w:top w:val="none" w:sz="0" w:space="0" w:color="auto"/>
                                                                                                                                                                        <w:left w:val="none" w:sz="0" w:space="0" w:color="auto"/>
                                                                                                                                                                        <w:bottom w:val="none" w:sz="0" w:space="0" w:color="auto"/>
                                                                                                                                                                        <w:right w:val="none" w:sz="0" w:space="0" w:color="auto"/>
                                                                                                                                                                      </w:divBdr>
                                                                                                                                                                      <w:divsChild>
                                                                                                                                                                        <w:div w:id="384524211">
                                                                                                                                                                          <w:marLeft w:val="0"/>
                                                                                                                                                                          <w:marRight w:val="0"/>
                                                                                                                                                                          <w:marTop w:val="0"/>
                                                                                                                                                                          <w:marBottom w:val="0"/>
                                                                                                                                                                          <w:divBdr>
                                                                                                                                                                            <w:top w:val="none" w:sz="0" w:space="0" w:color="auto"/>
                                                                                                                                                                            <w:left w:val="none" w:sz="0" w:space="0" w:color="auto"/>
                                                                                                                                                                            <w:bottom w:val="none" w:sz="0" w:space="0" w:color="auto"/>
                                                                                                                                                                            <w:right w:val="none" w:sz="0" w:space="0" w:color="auto"/>
                                                                                                                                                                          </w:divBdr>
                                                                                                                                                                          <w:divsChild>
                                                                                                                                                                            <w:div w:id="218132367">
                                                                                                                                                                              <w:marLeft w:val="0"/>
                                                                                                                                                                              <w:marRight w:val="0"/>
                                                                                                                                                                              <w:marTop w:val="0"/>
                                                                                                                                                                              <w:marBottom w:val="0"/>
                                                                                                                                                                              <w:divBdr>
                                                                                                                                                                                <w:top w:val="none" w:sz="0" w:space="0" w:color="auto"/>
                                                                                                                                                                                <w:left w:val="none" w:sz="0" w:space="0" w:color="auto"/>
                                                                                                                                                                                <w:bottom w:val="none" w:sz="0" w:space="0" w:color="auto"/>
                                                                                                                                                                                <w:right w:val="none" w:sz="0" w:space="0" w:color="auto"/>
                                                                                                                                                                              </w:divBdr>
                                                                                                                                                                              <w:divsChild>
                                                                                                                                                                                <w:div w:id="988678036">
                                                                                                                                                                                  <w:marLeft w:val="0"/>
                                                                                                                                                                                  <w:marRight w:val="0"/>
                                                                                                                                                                                  <w:marTop w:val="0"/>
                                                                                                                                                                                  <w:marBottom w:val="0"/>
                                                                                                                                                                                  <w:divBdr>
                                                                                                                                                                                    <w:top w:val="none" w:sz="0" w:space="0" w:color="auto"/>
                                                                                                                                                                                    <w:left w:val="none" w:sz="0" w:space="0" w:color="auto"/>
                                                                                                                                                                                    <w:bottom w:val="none" w:sz="0" w:space="0" w:color="auto"/>
                                                                                                                                                                                    <w:right w:val="none" w:sz="0" w:space="0" w:color="auto"/>
                                                                                                                                                                                  </w:divBdr>
                                                                                                                                                                                  <w:divsChild>
                                                                                                                                                                                    <w:div w:id="93940299">
                                                                                                                                                                                      <w:marLeft w:val="0"/>
                                                                                                                                                                                      <w:marRight w:val="0"/>
                                                                                                                                                                                      <w:marTop w:val="0"/>
                                                                                                                                                                                      <w:marBottom w:val="0"/>
                                                                                                                                                                                      <w:divBdr>
                                                                                                                                                                                        <w:top w:val="none" w:sz="0" w:space="0" w:color="auto"/>
                                                                                                                                                                                        <w:left w:val="none" w:sz="0" w:space="0" w:color="auto"/>
                                                                                                                                                                                        <w:bottom w:val="none" w:sz="0" w:space="0" w:color="auto"/>
                                                                                                                                                                                        <w:right w:val="none" w:sz="0" w:space="0" w:color="auto"/>
                                                                                                                                                                                      </w:divBdr>
                                                                                                                                                                                      <w:divsChild>
                                                                                                                                                                                        <w:div w:id="1203136141">
                                                                                                                                                                                          <w:marLeft w:val="0"/>
                                                                                                                                                                                          <w:marRight w:val="0"/>
                                                                                                                                                                                          <w:marTop w:val="0"/>
                                                                                                                                                                                          <w:marBottom w:val="0"/>
                                                                                                                                                                                          <w:divBdr>
                                                                                                                                                                                            <w:top w:val="none" w:sz="0" w:space="0" w:color="auto"/>
                                                                                                                                                                                            <w:left w:val="none" w:sz="0" w:space="0" w:color="auto"/>
                                                                                                                                                                                            <w:bottom w:val="none" w:sz="0" w:space="0" w:color="auto"/>
                                                                                                                                                                                            <w:right w:val="none" w:sz="0" w:space="0" w:color="auto"/>
                                                                                                                                                                                          </w:divBdr>
                                                                                                                                                                                          <w:divsChild>
                                                                                                                                                                                            <w:div w:id="1443184636">
                                                                                                                                                                                              <w:marLeft w:val="0"/>
                                                                                                                                                                                              <w:marRight w:val="0"/>
                                                                                                                                                                                              <w:marTop w:val="0"/>
                                                                                                                                                                                              <w:marBottom w:val="0"/>
                                                                                                                                                                                              <w:divBdr>
                                                                                                                                                                                                <w:top w:val="none" w:sz="0" w:space="0" w:color="auto"/>
                                                                                                                                                                                                <w:left w:val="none" w:sz="0" w:space="0" w:color="auto"/>
                                                                                                                                                                                                <w:bottom w:val="none" w:sz="0" w:space="0" w:color="auto"/>
                                                                                                                                                                                                <w:right w:val="none" w:sz="0" w:space="0" w:color="auto"/>
                                                                                                                                                                                              </w:divBdr>
                                                                                                                                                                                              <w:divsChild>
                                                                                                                                                                                                <w:div w:id="173304162">
                                                                                                                                                                                                  <w:marLeft w:val="0"/>
                                                                                                                                                                                                  <w:marRight w:val="0"/>
                                                                                                                                                                                                  <w:marTop w:val="0"/>
                                                                                                                                                                                                  <w:marBottom w:val="0"/>
                                                                                                                                                                                                  <w:divBdr>
                                                                                                                                                                                                    <w:top w:val="none" w:sz="0" w:space="0" w:color="auto"/>
                                                                                                                                                                                                    <w:left w:val="none" w:sz="0" w:space="0" w:color="auto"/>
                                                                                                                                                                                                    <w:bottom w:val="none" w:sz="0" w:space="0" w:color="auto"/>
                                                                                                                                                                                                    <w:right w:val="none" w:sz="0" w:space="0" w:color="auto"/>
                                                                                                                                                                                                  </w:divBdr>
                                                                                                                                                                                                  <w:divsChild>
                                                                                                                                                                                                    <w:div w:id="863640275">
                                                                                                                                                                                                      <w:marLeft w:val="0"/>
                                                                                                                                                                                                      <w:marRight w:val="0"/>
                                                                                                                                                                                                      <w:marTop w:val="0"/>
                                                                                                                                                                                                      <w:marBottom w:val="0"/>
                                                                                                                                                                                                      <w:divBdr>
                                                                                                                                                                                                        <w:top w:val="none" w:sz="0" w:space="0" w:color="auto"/>
                                                                                                                                                                                                        <w:left w:val="none" w:sz="0" w:space="0" w:color="auto"/>
                                                                                                                                                                                                        <w:bottom w:val="none" w:sz="0" w:space="0" w:color="auto"/>
                                                                                                                                                                                                        <w:right w:val="none" w:sz="0" w:space="0" w:color="auto"/>
                                                                                                                                                                                                      </w:divBdr>
                                                                                                                                                                                                      <w:divsChild>
                                                                                                                                                                                                        <w:div w:id="986008429">
                                                                                                                                                                                                          <w:marLeft w:val="0"/>
                                                                                                                                                                                                          <w:marRight w:val="0"/>
                                                                                                                                                                                                          <w:marTop w:val="0"/>
                                                                                                                                                                                                          <w:marBottom w:val="0"/>
                                                                                                                                                                                                          <w:divBdr>
                                                                                                                                                                                                            <w:top w:val="none" w:sz="0" w:space="0" w:color="auto"/>
                                                                                                                                                                                                            <w:left w:val="none" w:sz="0" w:space="0" w:color="auto"/>
                                                                                                                                                                                                            <w:bottom w:val="none" w:sz="0" w:space="0" w:color="auto"/>
                                                                                                                                                                                                            <w:right w:val="none" w:sz="0" w:space="0" w:color="auto"/>
                                                                                                                                                                                                          </w:divBdr>
                                                                                                                                                                                                          <w:divsChild>
                                                                                                                                                                                                            <w:div w:id="1001080598">
                                                                                                                                                                                                              <w:marLeft w:val="0"/>
                                                                                                                                                                                                              <w:marRight w:val="0"/>
                                                                                                                                                                                                              <w:marTop w:val="0"/>
                                                                                                                                                                                                              <w:marBottom w:val="0"/>
                                                                                                                                                                                                              <w:divBdr>
                                                                                                                                                                                                                <w:top w:val="none" w:sz="0" w:space="0" w:color="auto"/>
                                                                                                                                                                                                                <w:left w:val="none" w:sz="0" w:space="0" w:color="auto"/>
                                                                                                                                                                                                                <w:bottom w:val="none" w:sz="0" w:space="0" w:color="auto"/>
                                                                                                                                                                                                                <w:right w:val="none" w:sz="0" w:space="0" w:color="auto"/>
                                                                                                                                                                                                              </w:divBdr>
                                                                                                                                                                                                              <w:divsChild>
                                                                                                                                                                                                                <w:div w:id="94979043">
                                                                                                                                                                                                                  <w:marLeft w:val="0"/>
                                                                                                                                                                                                                  <w:marRight w:val="0"/>
                                                                                                                                                                                                                  <w:marTop w:val="0"/>
                                                                                                                                                                                                                  <w:marBottom w:val="0"/>
                                                                                                                                                                                                                  <w:divBdr>
                                                                                                                                                                                                                    <w:top w:val="none" w:sz="0" w:space="0" w:color="auto"/>
                                                                                                                                                                                                                    <w:left w:val="none" w:sz="0" w:space="0" w:color="auto"/>
                                                                                                                                                                                                                    <w:bottom w:val="none" w:sz="0" w:space="0" w:color="auto"/>
                                                                                                                                                                                                                    <w:right w:val="none" w:sz="0" w:space="0" w:color="auto"/>
                                                                                                                                                                                                                  </w:divBdr>
                                                                                                                                                                                                                  <w:divsChild>
                                                                                                                                                                                                                    <w:div w:id="1675064164">
                                                                                                                                                                                                                      <w:marLeft w:val="0"/>
                                                                                                                                                                                                                      <w:marRight w:val="0"/>
                                                                                                                                                                                                                      <w:marTop w:val="0"/>
                                                                                                                                                                                                                      <w:marBottom w:val="0"/>
                                                                                                                                                                                                                      <w:divBdr>
                                                                                                                                                                                                                        <w:top w:val="none" w:sz="0" w:space="0" w:color="auto"/>
                                                                                                                                                                                                                        <w:left w:val="none" w:sz="0" w:space="0" w:color="auto"/>
                                                                                                                                                                                                                        <w:bottom w:val="none" w:sz="0" w:space="0" w:color="auto"/>
                                                                                                                                                                                                                        <w:right w:val="none" w:sz="0" w:space="0" w:color="auto"/>
                                                                                                                                                                                                                      </w:divBdr>
                                                                                                                                                                                                                      <w:divsChild>
                                                                                                                                                                                                                        <w:div w:id="1198927441">
                                                                                                                                                                                                                          <w:marLeft w:val="0"/>
                                                                                                                                                                                                                          <w:marRight w:val="0"/>
                                                                                                                                                                                                                          <w:marTop w:val="0"/>
                                                                                                                                                                                                                          <w:marBottom w:val="0"/>
                                                                                                                                                                                                                          <w:divBdr>
                                                                                                                                                                                                                            <w:top w:val="none" w:sz="0" w:space="0" w:color="auto"/>
                                                                                                                                                                                                                            <w:left w:val="none" w:sz="0" w:space="0" w:color="auto"/>
                                                                                                                                                                                                                            <w:bottom w:val="none" w:sz="0" w:space="0" w:color="auto"/>
                                                                                                                                                                                                                            <w:right w:val="none" w:sz="0" w:space="0" w:color="auto"/>
                                                                                                                                                                                                                          </w:divBdr>
                                                                                                                                                                                                                          <w:divsChild>
                                                                                                                                                                                                                            <w:div w:id="1597056096">
                                                                                                                                                                                                                              <w:marLeft w:val="0"/>
                                                                                                                                                                                                                              <w:marRight w:val="0"/>
                                                                                                                                                                                                                              <w:marTop w:val="0"/>
                                                                                                                                                                                                                              <w:marBottom w:val="0"/>
                                                                                                                                                                                                                              <w:divBdr>
                                                                                                                                                                                                                                <w:top w:val="none" w:sz="0" w:space="0" w:color="auto"/>
                                                                                                                                                                                                                                <w:left w:val="none" w:sz="0" w:space="0" w:color="auto"/>
                                                                                                                                                                                                                                <w:bottom w:val="none" w:sz="0" w:space="0" w:color="auto"/>
                                                                                                                                                                                                                                <w:right w:val="none" w:sz="0" w:space="0" w:color="auto"/>
                                                                                                                                                                                                                              </w:divBdr>
                                                                                                                                                                                                                              <w:divsChild>
                                                                                                                                                                                                                                <w:div w:id="568273486">
                                                                                                                                                                                                                                  <w:marLeft w:val="0"/>
                                                                                                                                                                                                                                  <w:marRight w:val="0"/>
                                                                                                                                                                                                                                  <w:marTop w:val="0"/>
                                                                                                                                                                                                                                  <w:marBottom w:val="0"/>
                                                                                                                                                                                                                                  <w:divBdr>
                                                                                                                                                                                                                                    <w:top w:val="none" w:sz="0" w:space="0" w:color="auto"/>
                                                                                                                                                                                                                                    <w:left w:val="none" w:sz="0" w:space="0" w:color="auto"/>
                                                                                                                                                                                                                                    <w:bottom w:val="none" w:sz="0" w:space="0" w:color="auto"/>
                                                                                                                                                                                                                                    <w:right w:val="none" w:sz="0" w:space="0" w:color="auto"/>
                                                                                                                                                                                                                                  </w:divBdr>
                                                                                                                                                                                                                                  <w:divsChild>
                                                                                                                                                                                                                                    <w:div w:id="1727876509">
                                                                                                                                                                                                                                      <w:marLeft w:val="0"/>
                                                                                                                                                                                                                                      <w:marRight w:val="0"/>
                                                                                                                                                                                                                                      <w:marTop w:val="0"/>
                                                                                                                                                                                                                                      <w:marBottom w:val="0"/>
                                                                                                                                                                                                                                      <w:divBdr>
                                                                                                                                                                                                                                        <w:top w:val="none" w:sz="0" w:space="0" w:color="auto"/>
                                                                                                                                                                                                                                        <w:left w:val="none" w:sz="0" w:space="0" w:color="auto"/>
                                                                                                                                                                                                                                        <w:bottom w:val="none" w:sz="0" w:space="0" w:color="auto"/>
                                                                                                                                                                                                                                        <w:right w:val="none" w:sz="0" w:space="0" w:color="auto"/>
                                                                                                                                                                                                                                      </w:divBdr>
                                                                                                                                                                                                                                      <w:divsChild>
                                                                                                                                                                                                                                        <w:div w:id="381752236">
                                                                                                                                                                                                                                          <w:marLeft w:val="0"/>
                                                                                                                                                                                                                                          <w:marRight w:val="0"/>
                                                                                                                                                                                                                                          <w:marTop w:val="0"/>
                                                                                                                                                                                                                                          <w:marBottom w:val="0"/>
                                                                                                                                                                                                                                          <w:divBdr>
                                                                                                                                                                                                                                            <w:top w:val="none" w:sz="0" w:space="0" w:color="auto"/>
                                                                                                                                                                                                                                            <w:left w:val="none" w:sz="0" w:space="0" w:color="auto"/>
                                                                                                                                                                                                                                            <w:bottom w:val="none" w:sz="0" w:space="0" w:color="auto"/>
                                                                                                                                                                                                                                            <w:right w:val="none" w:sz="0" w:space="0" w:color="auto"/>
                                                                                                                                                                                                                                          </w:divBdr>
                                                                                                                                                                                                                                          <w:divsChild>
                                                                                                                                                                                                                                            <w:div w:id="207881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0361181">
      <w:bodyDiv w:val="1"/>
      <w:marLeft w:val="0"/>
      <w:marRight w:val="0"/>
      <w:marTop w:val="0"/>
      <w:marBottom w:val="0"/>
      <w:divBdr>
        <w:top w:val="none" w:sz="0" w:space="0" w:color="auto"/>
        <w:left w:val="none" w:sz="0" w:space="0" w:color="auto"/>
        <w:bottom w:val="none" w:sz="0" w:space="0" w:color="auto"/>
        <w:right w:val="none" w:sz="0" w:space="0" w:color="auto"/>
      </w:divBdr>
      <w:divsChild>
        <w:div w:id="1117070183">
          <w:marLeft w:val="0"/>
          <w:marRight w:val="0"/>
          <w:marTop w:val="0"/>
          <w:marBottom w:val="0"/>
          <w:divBdr>
            <w:top w:val="none" w:sz="0" w:space="0" w:color="auto"/>
            <w:left w:val="none" w:sz="0" w:space="0" w:color="auto"/>
            <w:bottom w:val="none" w:sz="0" w:space="0" w:color="auto"/>
            <w:right w:val="none" w:sz="0" w:space="0" w:color="auto"/>
          </w:divBdr>
        </w:div>
        <w:div w:id="924345164">
          <w:marLeft w:val="0"/>
          <w:marRight w:val="0"/>
          <w:marTop w:val="0"/>
          <w:marBottom w:val="0"/>
          <w:divBdr>
            <w:top w:val="none" w:sz="0" w:space="0" w:color="auto"/>
            <w:left w:val="none" w:sz="0" w:space="0" w:color="auto"/>
            <w:bottom w:val="none" w:sz="0" w:space="0" w:color="auto"/>
            <w:right w:val="none" w:sz="0" w:space="0" w:color="auto"/>
          </w:divBdr>
        </w:div>
        <w:div w:id="63454873">
          <w:marLeft w:val="0"/>
          <w:marRight w:val="0"/>
          <w:marTop w:val="0"/>
          <w:marBottom w:val="0"/>
          <w:divBdr>
            <w:top w:val="none" w:sz="0" w:space="0" w:color="auto"/>
            <w:left w:val="none" w:sz="0" w:space="0" w:color="auto"/>
            <w:bottom w:val="none" w:sz="0" w:space="0" w:color="auto"/>
            <w:right w:val="none" w:sz="0" w:space="0" w:color="auto"/>
          </w:divBdr>
        </w:div>
        <w:div w:id="161747727">
          <w:marLeft w:val="0"/>
          <w:marRight w:val="0"/>
          <w:marTop w:val="0"/>
          <w:marBottom w:val="0"/>
          <w:divBdr>
            <w:top w:val="none" w:sz="0" w:space="0" w:color="auto"/>
            <w:left w:val="none" w:sz="0" w:space="0" w:color="auto"/>
            <w:bottom w:val="none" w:sz="0" w:space="0" w:color="auto"/>
            <w:right w:val="none" w:sz="0" w:space="0" w:color="auto"/>
          </w:divBdr>
        </w:div>
        <w:div w:id="710110152">
          <w:marLeft w:val="0"/>
          <w:marRight w:val="0"/>
          <w:marTop w:val="0"/>
          <w:marBottom w:val="0"/>
          <w:divBdr>
            <w:top w:val="none" w:sz="0" w:space="0" w:color="auto"/>
            <w:left w:val="none" w:sz="0" w:space="0" w:color="auto"/>
            <w:bottom w:val="none" w:sz="0" w:space="0" w:color="auto"/>
            <w:right w:val="none" w:sz="0" w:space="0" w:color="auto"/>
          </w:divBdr>
        </w:div>
        <w:div w:id="222524548">
          <w:marLeft w:val="0"/>
          <w:marRight w:val="0"/>
          <w:marTop w:val="0"/>
          <w:marBottom w:val="0"/>
          <w:divBdr>
            <w:top w:val="none" w:sz="0" w:space="0" w:color="auto"/>
            <w:left w:val="none" w:sz="0" w:space="0" w:color="auto"/>
            <w:bottom w:val="none" w:sz="0" w:space="0" w:color="auto"/>
            <w:right w:val="none" w:sz="0" w:space="0" w:color="auto"/>
          </w:divBdr>
        </w:div>
        <w:div w:id="230964648">
          <w:marLeft w:val="0"/>
          <w:marRight w:val="0"/>
          <w:marTop w:val="0"/>
          <w:marBottom w:val="0"/>
          <w:divBdr>
            <w:top w:val="none" w:sz="0" w:space="0" w:color="auto"/>
            <w:left w:val="none" w:sz="0" w:space="0" w:color="auto"/>
            <w:bottom w:val="none" w:sz="0" w:space="0" w:color="auto"/>
            <w:right w:val="none" w:sz="0" w:space="0" w:color="auto"/>
          </w:divBdr>
        </w:div>
        <w:div w:id="1943485744">
          <w:marLeft w:val="0"/>
          <w:marRight w:val="0"/>
          <w:marTop w:val="0"/>
          <w:marBottom w:val="0"/>
          <w:divBdr>
            <w:top w:val="none" w:sz="0" w:space="0" w:color="auto"/>
            <w:left w:val="none" w:sz="0" w:space="0" w:color="auto"/>
            <w:bottom w:val="none" w:sz="0" w:space="0" w:color="auto"/>
            <w:right w:val="none" w:sz="0" w:space="0" w:color="auto"/>
          </w:divBdr>
        </w:div>
      </w:divsChild>
    </w:div>
    <w:div w:id="1889874477">
      <w:bodyDiv w:val="1"/>
      <w:marLeft w:val="0"/>
      <w:marRight w:val="0"/>
      <w:marTop w:val="0"/>
      <w:marBottom w:val="0"/>
      <w:divBdr>
        <w:top w:val="none" w:sz="0" w:space="0" w:color="auto"/>
        <w:left w:val="none" w:sz="0" w:space="0" w:color="auto"/>
        <w:bottom w:val="none" w:sz="0" w:space="0" w:color="auto"/>
        <w:right w:val="none" w:sz="0" w:space="0" w:color="auto"/>
      </w:divBdr>
      <w:divsChild>
        <w:div w:id="1896770867">
          <w:marLeft w:val="0"/>
          <w:marRight w:val="0"/>
          <w:marTop w:val="0"/>
          <w:marBottom w:val="0"/>
          <w:divBdr>
            <w:top w:val="none" w:sz="0" w:space="0" w:color="auto"/>
            <w:left w:val="none" w:sz="0" w:space="0" w:color="auto"/>
            <w:bottom w:val="none" w:sz="0" w:space="0" w:color="auto"/>
            <w:right w:val="none" w:sz="0" w:space="0" w:color="auto"/>
          </w:divBdr>
          <w:divsChild>
            <w:div w:id="1904752610">
              <w:marLeft w:val="0"/>
              <w:marRight w:val="0"/>
              <w:marTop w:val="0"/>
              <w:marBottom w:val="0"/>
              <w:divBdr>
                <w:top w:val="none" w:sz="0" w:space="0" w:color="auto"/>
                <w:left w:val="none" w:sz="0" w:space="0" w:color="auto"/>
                <w:bottom w:val="none" w:sz="0" w:space="0" w:color="auto"/>
                <w:right w:val="none" w:sz="0" w:space="0" w:color="auto"/>
              </w:divBdr>
            </w:div>
            <w:div w:id="2125422602">
              <w:marLeft w:val="0"/>
              <w:marRight w:val="0"/>
              <w:marTop w:val="0"/>
              <w:marBottom w:val="0"/>
              <w:divBdr>
                <w:top w:val="none" w:sz="0" w:space="0" w:color="auto"/>
                <w:left w:val="none" w:sz="0" w:space="0" w:color="auto"/>
                <w:bottom w:val="none" w:sz="0" w:space="0" w:color="auto"/>
                <w:right w:val="none" w:sz="0" w:space="0" w:color="auto"/>
              </w:divBdr>
            </w:div>
            <w:div w:id="204565538">
              <w:marLeft w:val="0"/>
              <w:marRight w:val="0"/>
              <w:marTop w:val="0"/>
              <w:marBottom w:val="0"/>
              <w:divBdr>
                <w:top w:val="none" w:sz="0" w:space="0" w:color="auto"/>
                <w:left w:val="none" w:sz="0" w:space="0" w:color="auto"/>
                <w:bottom w:val="none" w:sz="0" w:space="0" w:color="auto"/>
                <w:right w:val="none" w:sz="0" w:space="0" w:color="auto"/>
              </w:divBdr>
            </w:div>
            <w:div w:id="2116363918">
              <w:marLeft w:val="0"/>
              <w:marRight w:val="0"/>
              <w:marTop w:val="0"/>
              <w:marBottom w:val="0"/>
              <w:divBdr>
                <w:top w:val="none" w:sz="0" w:space="0" w:color="auto"/>
                <w:left w:val="none" w:sz="0" w:space="0" w:color="auto"/>
                <w:bottom w:val="none" w:sz="0" w:space="0" w:color="auto"/>
                <w:right w:val="none" w:sz="0" w:space="0" w:color="auto"/>
              </w:divBdr>
            </w:div>
            <w:div w:id="715933563">
              <w:marLeft w:val="0"/>
              <w:marRight w:val="0"/>
              <w:marTop w:val="0"/>
              <w:marBottom w:val="0"/>
              <w:divBdr>
                <w:top w:val="none" w:sz="0" w:space="0" w:color="auto"/>
                <w:left w:val="none" w:sz="0" w:space="0" w:color="auto"/>
                <w:bottom w:val="none" w:sz="0" w:space="0" w:color="auto"/>
                <w:right w:val="none" w:sz="0" w:space="0" w:color="auto"/>
              </w:divBdr>
            </w:div>
            <w:div w:id="1640718887">
              <w:marLeft w:val="0"/>
              <w:marRight w:val="0"/>
              <w:marTop w:val="0"/>
              <w:marBottom w:val="0"/>
              <w:divBdr>
                <w:top w:val="none" w:sz="0" w:space="0" w:color="auto"/>
                <w:left w:val="none" w:sz="0" w:space="0" w:color="auto"/>
                <w:bottom w:val="none" w:sz="0" w:space="0" w:color="auto"/>
                <w:right w:val="none" w:sz="0" w:space="0" w:color="auto"/>
              </w:divBdr>
            </w:div>
            <w:div w:id="701053842">
              <w:marLeft w:val="0"/>
              <w:marRight w:val="0"/>
              <w:marTop w:val="0"/>
              <w:marBottom w:val="0"/>
              <w:divBdr>
                <w:top w:val="none" w:sz="0" w:space="0" w:color="auto"/>
                <w:left w:val="none" w:sz="0" w:space="0" w:color="auto"/>
                <w:bottom w:val="none" w:sz="0" w:space="0" w:color="auto"/>
                <w:right w:val="none" w:sz="0" w:space="0" w:color="auto"/>
              </w:divBdr>
            </w:div>
            <w:div w:id="2039155194">
              <w:marLeft w:val="0"/>
              <w:marRight w:val="0"/>
              <w:marTop w:val="0"/>
              <w:marBottom w:val="0"/>
              <w:divBdr>
                <w:top w:val="none" w:sz="0" w:space="0" w:color="auto"/>
                <w:left w:val="none" w:sz="0" w:space="0" w:color="auto"/>
                <w:bottom w:val="none" w:sz="0" w:space="0" w:color="auto"/>
                <w:right w:val="none" w:sz="0" w:space="0" w:color="auto"/>
              </w:divBdr>
            </w:div>
            <w:div w:id="1294096897">
              <w:marLeft w:val="0"/>
              <w:marRight w:val="0"/>
              <w:marTop w:val="0"/>
              <w:marBottom w:val="0"/>
              <w:divBdr>
                <w:top w:val="none" w:sz="0" w:space="0" w:color="auto"/>
                <w:left w:val="none" w:sz="0" w:space="0" w:color="auto"/>
                <w:bottom w:val="none" w:sz="0" w:space="0" w:color="auto"/>
                <w:right w:val="none" w:sz="0" w:space="0" w:color="auto"/>
              </w:divBdr>
            </w:div>
            <w:div w:id="2076273072">
              <w:marLeft w:val="0"/>
              <w:marRight w:val="0"/>
              <w:marTop w:val="0"/>
              <w:marBottom w:val="0"/>
              <w:divBdr>
                <w:top w:val="none" w:sz="0" w:space="0" w:color="auto"/>
                <w:left w:val="none" w:sz="0" w:space="0" w:color="auto"/>
                <w:bottom w:val="none" w:sz="0" w:space="0" w:color="auto"/>
                <w:right w:val="none" w:sz="0" w:space="0" w:color="auto"/>
              </w:divBdr>
            </w:div>
            <w:div w:id="1048139195">
              <w:marLeft w:val="0"/>
              <w:marRight w:val="0"/>
              <w:marTop w:val="0"/>
              <w:marBottom w:val="0"/>
              <w:divBdr>
                <w:top w:val="none" w:sz="0" w:space="0" w:color="auto"/>
                <w:left w:val="none" w:sz="0" w:space="0" w:color="auto"/>
                <w:bottom w:val="none" w:sz="0" w:space="0" w:color="auto"/>
                <w:right w:val="none" w:sz="0" w:space="0" w:color="auto"/>
              </w:divBdr>
            </w:div>
            <w:div w:id="260526109">
              <w:marLeft w:val="0"/>
              <w:marRight w:val="0"/>
              <w:marTop w:val="0"/>
              <w:marBottom w:val="0"/>
              <w:divBdr>
                <w:top w:val="none" w:sz="0" w:space="0" w:color="auto"/>
                <w:left w:val="none" w:sz="0" w:space="0" w:color="auto"/>
                <w:bottom w:val="none" w:sz="0" w:space="0" w:color="auto"/>
                <w:right w:val="none" w:sz="0" w:space="0" w:color="auto"/>
              </w:divBdr>
            </w:div>
            <w:div w:id="234777168">
              <w:marLeft w:val="0"/>
              <w:marRight w:val="0"/>
              <w:marTop w:val="0"/>
              <w:marBottom w:val="0"/>
              <w:divBdr>
                <w:top w:val="none" w:sz="0" w:space="0" w:color="auto"/>
                <w:left w:val="none" w:sz="0" w:space="0" w:color="auto"/>
                <w:bottom w:val="none" w:sz="0" w:space="0" w:color="auto"/>
                <w:right w:val="none" w:sz="0" w:space="0" w:color="auto"/>
              </w:divBdr>
            </w:div>
            <w:div w:id="465052135">
              <w:marLeft w:val="0"/>
              <w:marRight w:val="0"/>
              <w:marTop w:val="0"/>
              <w:marBottom w:val="0"/>
              <w:divBdr>
                <w:top w:val="none" w:sz="0" w:space="0" w:color="auto"/>
                <w:left w:val="none" w:sz="0" w:space="0" w:color="auto"/>
                <w:bottom w:val="none" w:sz="0" w:space="0" w:color="auto"/>
                <w:right w:val="none" w:sz="0" w:space="0" w:color="auto"/>
              </w:divBdr>
            </w:div>
            <w:div w:id="946498198">
              <w:marLeft w:val="0"/>
              <w:marRight w:val="0"/>
              <w:marTop w:val="0"/>
              <w:marBottom w:val="0"/>
              <w:divBdr>
                <w:top w:val="none" w:sz="0" w:space="0" w:color="auto"/>
                <w:left w:val="none" w:sz="0" w:space="0" w:color="auto"/>
                <w:bottom w:val="none" w:sz="0" w:space="0" w:color="auto"/>
                <w:right w:val="none" w:sz="0" w:space="0" w:color="auto"/>
              </w:divBdr>
            </w:div>
            <w:div w:id="680546766">
              <w:marLeft w:val="0"/>
              <w:marRight w:val="0"/>
              <w:marTop w:val="0"/>
              <w:marBottom w:val="0"/>
              <w:divBdr>
                <w:top w:val="none" w:sz="0" w:space="0" w:color="auto"/>
                <w:left w:val="none" w:sz="0" w:space="0" w:color="auto"/>
                <w:bottom w:val="none" w:sz="0" w:space="0" w:color="auto"/>
                <w:right w:val="none" w:sz="0" w:space="0" w:color="auto"/>
              </w:divBdr>
            </w:div>
            <w:div w:id="1894464739">
              <w:marLeft w:val="0"/>
              <w:marRight w:val="0"/>
              <w:marTop w:val="0"/>
              <w:marBottom w:val="0"/>
              <w:divBdr>
                <w:top w:val="none" w:sz="0" w:space="0" w:color="auto"/>
                <w:left w:val="none" w:sz="0" w:space="0" w:color="auto"/>
                <w:bottom w:val="none" w:sz="0" w:space="0" w:color="auto"/>
                <w:right w:val="none" w:sz="0" w:space="0" w:color="auto"/>
              </w:divBdr>
            </w:div>
            <w:div w:id="2046055706">
              <w:marLeft w:val="0"/>
              <w:marRight w:val="0"/>
              <w:marTop w:val="0"/>
              <w:marBottom w:val="0"/>
              <w:divBdr>
                <w:top w:val="none" w:sz="0" w:space="0" w:color="auto"/>
                <w:left w:val="none" w:sz="0" w:space="0" w:color="auto"/>
                <w:bottom w:val="none" w:sz="0" w:space="0" w:color="auto"/>
                <w:right w:val="none" w:sz="0" w:space="0" w:color="auto"/>
              </w:divBdr>
            </w:div>
            <w:div w:id="1942103035">
              <w:marLeft w:val="0"/>
              <w:marRight w:val="0"/>
              <w:marTop w:val="0"/>
              <w:marBottom w:val="0"/>
              <w:divBdr>
                <w:top w:val="none" w:sz="0" w:space="0" w:color="auto"/>
                <w:left w:val="none" w:sz="0" w:space="0" w:color="auto"/>
                <w:bottom w:val="none" w:sz="0" w:space="0" w:color="auto"/>
                <w:right w:val="none" w:sz="0" w:space="0" w:color="auto"/>
              </w:divBdr>
            </w:div>
            <w:div w:id="1672952955">
              <w:marLeft w:val="0"/>
              <w:marRight w:val="0"/>
              <w:marTop w:val="0"/>
              <w:marBottom w:val="0"/>
              <w:divBdr>
                <w:top w:val="none" w:sz="0" w:space="0" w:color="auto"/>
                <w:left w:val="none" w:sz="0" w:space="0" w:color="auto"/>
                <w:bottom w:val="none" w:sz="0" w:space="0" w:color="auto"/>
                <w:right w:val="none" w:sz="0" w:space="0" w:color="auto"/>
              </w:divBdr>
            </w:div>
            <w:div w:id="1300572814">
              <w:marLeft w:val="0"/>
              <w:marRight w:val="0"/>
              <w:marTop w:val="0"/>
              <w:marBottom w:val="0"/>
              <w:divBdr>
                <w:top w:val="none" w:sz="0" w:space="0" w:color="auto"/>
                <w:left w:val="none" w:sz="0" w:space="0" w:color="auto"/>
                <w:bottom w:val="none" w:sz="0" w:space="0" w:color="auto"/>
                <w:right w:val="none" w:sz="0" w:space="0" w:color="auto"/>
              </w:divBdr>
            </w:div>
            <w:div w:id="822500664">
              <w:marLeft w:val="0"/>
              <w:marRight w:val="0"/>
              <w:marTop w:val="0"/>
              <w:marBottom w:val="0"/>
              <w:divBdr>
                <w:top w:val="none" w:sz="0" w:space="0" w:color="auto"/>
                <w:left w:val="none" w:sz="0" w:space="0" w:color="auto"/>
                <w:bottom w:val="none" w:sz="0" w:space="0" w:color="auto"/>
                <w:right w:val="none" w:sz="0" w:space="0" w:color="auto"/>
              </w:divBdr>
            </w:div>
            <w:div w:id="1412317117">
              <w:marLeft w:val="0"/>
              <w:marRight w:val="0"/>
              <w:marTop w:val="0"/>
              <w:marBottom w:val="0"/>
              <w:divBdr>
                <w:top w:val="none" w:sz="0" w:space="0" w:color="auto"/>
                <w:left w:val="none" w:sz="0" w:space="0" w:color="auto"/>
                <w:bottom w:val="none" w:sz="0" w:space="0" w:color="auto"/>
                <w:right w:val="none" w:sz="0" w:space="0" w:color="auto"/>
              </w:divBdr>
            </w:div>
            <w:div w:id="1248922686">
              <w:marLeft w:val="0"/>
              <w:marRight w:val="0"/>
              <w:marTop w:val="0"/>
              <w:marBottom w:val="0"/>
              <w:divBdr>
                <w:top w:val="none" w:sz="0" w:space="0" w:color="auto"/>
                <w:left w:val="none" w:sz="0" w:space="0" w:color="auto"/>
                <w:bottom w:val="none" w:sz="0" w:space="0" w:color="auto"/>
                <w:right w:val="none" w:sz="0" w:space="0" w:color="auto"/>
              </w:divBdr>
            </w:div>
            <w:div w:id="707145122">
              <w:marLeft w:val="0"/>
              <w:marRight w:val="0"/>
              <w:marTop w:val="0"/>
              <w:marBottom w:val="0"/>
              <w:divBdr>
                <w:top w:val="none" w:sz="0" w:space="0" w:color="auto"/>
                <w:left w:val="none" w:sz="0" w:space="0" w:color="auto"/>
                <w:bottom w:val="none" w:sz="0" w:space="0" w:color="auto"/>
                <w:right w:val="none" w:sz="0" w:space="0" w:color="auto"/>
              </w:divBdr>
            </w:div>
            <w:div w:id="841511955">
              <w:marLeft w:val="0"/>
              <w:marRight w:val="0"/>
              <w:marTop w:val="0"/>
              <w:marBottom w:val="0"/>
              <w:divBdr>
                <w:top w:val="none" w:sz="0" w:space="0" w:color="auto"/>
                <w:left w:val="none" w:sz="0" w:space="0" w:color="auto"/>
                <w:bottom w:val="none" w:sz="0" w:space="0" w:color="auto"/>
                <w:right w:val="none" w:sz="0" w:space="0" w:color="auto"/>
              </w:divBdr>
            </w:div>
            <w:div w:id="681586602">
              <w:marLeft w:val="0"/>
              <w:marRight w:val="0"/>
              <w:marTop w:val="0"/>
              <w:marBottom w:val="0"/>
              <w:divBdr>
                <w:top w:val="none" w:sz="0" w:space="0" w:color="auto"/>
                <w:left w:val="none" w:sz="0" w:space="0" w:color="auto"/>
                <w:bottom w:val="none" w:sz="0" w:space="0" w:color="auto"/>
                <w:right w:val="none" w:sz="0" w:space="0" w:color="auto"/>
              </w:divBdr>
            </w:div>
            <w:div w:id="335353568">
              <w:marLeft w:val="0"/>
              <w:marRight w:val="0"/>
              <w:marTop w:val="0"/>
              <w:marBottom w:val="0"/>
              <w:divBdr>
                <w:top w:val="none" w:sz="0" w:space="0" w:color="auto"/>
                <w:left w:val="none" w:sz="0" w:space="0" w:color="auto"/>
                <w:bottom w:val="none" w:sz="0" w:space="0" w:color="auto"/>
                <w:right w:val="none" w:sz="0" w:space="0" w:color="auto"/>
              </w:divBdr>
            </w:div>
            <w:div w:id="555627420">
              <w:marLeft w:val="0"/>
              <w:marRight w:val="0"/>
              <w:marTop w:val="0"/>
              <w:marBottom w:val="0"/>
              <w:divBdr>
                <w:top w:val="none" w:sz="0" w:space="0" w:color="auto"/>
                <w:left w:val="none" w:sz="0" w:space="0" w:color="auto"/>
                <w:bottom w:val="none" w:sz="0" w:space="0" w:color="auto"/>
                <w:right w:val="none" w:sz="0" w:space="0" w:color="auto"/>
              </w:divBdr>
            </w:div>
            <w:div w:id="1868325353">
              <w:marLeft w:val="0"/>
              <w:marRight w:val="0"/>
              <w:marTop w:val="0"/>
              <w:marBottom w:val="0"/>
              <w:divBdr>
                <w:top w:val="none" w:sz="0" w:space="0" w:color="auto"/>
                <w:left w:val="none" w:sz="0" w:space="0" w:color="auto"/>
                <w:bottom w:val="none" w:sz="0" w:space="0" w:color="auto"/>
                <w:right w:val="none" w:sz="0" w:space="0" w:color="auto"/>
              </w:divBdr>
            </w:div>
            <w:div w:id="1336030279">
              <w:marLeft w:val="0"/>
              <w:marRight w:val="0"/>
              <w:marTop w:val="0"/>
              <w:marBottom w:val="0"/>
              <w:divBdr>
                <w:top w:val="none" w:sz="0" w:space="0" w:color="auto"/>
                <w:left w:val="none" w:sz="0" w:space="0" w:color="auto"/>
                <w:bottom w:val="none" w:sz="0" w:space="0" w:color="auto"/>
                <w:right w:val="none" w:sz="0" w:space="0" w:color="auto"/>
              </w:divBdr>
            </w:div>
            <w:div w:id="716322655">
              <w:marLeft w:val="0"/>
              <w:marRight w:val="0"/>
              <w:marTop w:val="0"/>
              <w:marBottom w:val="0"/>
              <w:divBdr>
                <w:top w:val="none" w:sz="0" w:space="0" w:color="auto"/>
                <w:left w:val="none" w:sz="0" w:space="0" w:color="auto"/>
                <w:bottom w:val="none" w:sz="0" w:space="0" w:color="auto"/>
                <w:right w:val="none" w:sz="0" w:space="0" w:color="auto"/>
              </w:divBdr>
            </w:div>
            <w:div w:id="1100832366">
              <w:marLeft w:val="0"/>
              <w:marRight w:val="0"/>
              <w:marTop w:val="0"/>
              <w:marBottom w:val="0"/>
              <w:divBdr>
                <w:top w:val="none" w:sz="0" w:space="0" w:color="auto"/>
                <w:left w:val="none" w:sz="0" w:space="0" w:color="auto"/>
                <w:bottom w:val="none" w:sz="0" w:space="0" w:color="auto"/>
                <w:right w:val="none" w:sz="0" w:space="0" w:color="auto"/>
              </w:divBdr>
            </w:div>
            <w:div w:id="1214273877">
              <w:marLeft w:val="0"/>
              <w:marRight w:val="0"/>
              <w:marTop w:val="0"/>
              <w:marBottom w:val="0"/>
              <w:divBdr>
                <w:top w:val="none" w:sz="0" w:space="0" w:color="auto"/>
                <w:left w:val="none" w:sz="0" w:space="0" w:color="auto"/>
                <w:bottom w:val="none" w:sz="0" w:space="0" w:color="auto"/>
                <w:right w:val="none" w:sz="0" w:space="0" w:color="auto"/>
              </w:divBdr>
            </w:div>
            <w:div w:id="837230466">
              <w:marLeft w:val="0"/>
              <w:marRight w:val="0"/>
              <w:marTop w:val="0"/>
              <w:marBottom w:val="0"/>
              <w:divBdr>
                <w:top w:val="none" w:sz="0" w:space="0" w:color="auto"/>
                <w:left w:val="none" w:sz="0" w:space="0" w:color="auto"/>
                <w:bottom w:val="none" w:sz="0" w:space="0" w:color="auto"/>
                <w:right w:val="none" w:sz="0" w:space="0" w:color="auto"/>
              </w:divBdr>
            </w:div>
            <w:div w:id="1350915523">
              <w:marLeft w:val="0"/>
              <w:marRight w:val="0"/>
              <w:marTop w:val="0"/>
              <w:marBottom w:val="0"/>
              <w:divBdr>
                <w:top w:val="none" w:sz="0" w:space="0" w:color="auto"/>
                <w:left w:val="none" w:sz="0" w:space="0" w:color="auto"/>
                <w:bottom w:val="none" w:sz="0" w:space="0" w:color="auto"/>
                <w:right w:val="none" w:sz="0" w:space="0" w:color="auto"/>
              </w:divBdr>
            </w:div>
            <w:div w:id="776102402">
              <w:marLeft w:val="0"/>
              <w:marRight w:val="0"/>
              <w:marTop w:val="0"/>
              <w:marBottom w:val="0"/>
              <w:divBdr>
                <w:top w:val="none" w:sz="0" w:space="0" w:color="auto"/>
                <w:left w:val="none" w:sz="0" w:space="0" w:color="auto"/>
                <w:bottom w:val="none" w:sz="0" w:space="0" w:color="auto"/>
                <w:right w:val="none" w:sz="0" w:space="0" w:color="auto"/>
              </w:divBdr>
            </w:div>
            <w:div w:id="241647732">
              <w:marLeft w:val="0"/>
              <w:marRight w:val="0"/>
              <w:marTop w:val="0"/>
              <w:marBottom w:val="0"/>
              <w:divBdr>
                <w:top w:val="none" w:sz="0" w:space="0" w:color="auto"/>
                <w:left w:val="none" w:sz="0" w:space="0" w:color="auto"/>
                <w:bottom w:val="none" w:sz="0" w:space="0" w:color="auto"/>
                <w:right w:val="none" w:sz="0" w:space="0" w:color="auto"/>
              </w:divBdr>
            </w:div>
            <w:div w:id="709375521">
              <w:marLeft w:val="0"/>
              <w:marRight w:val="0"/>
              <w:marTop w:val="0"/>
              <w:marBottom w:val="0"/>
              <w:divBdr>
                <w:top w:val="none" w:sz="0" w:space="0" w:color="auto"/>
                <w:left w:val="none" w:sz="0" w:space="0" w:color="auto"/>
                <w:bottom w:val="none" w:sz="0" w:space="0" w:color="auto"/>
                <w:right w:val="none" w:sz="0" w:space="0" w:color="auto"/>
              </w:divBdr>
            </w:div>
            <w:div w:id="712341318">
              <w:marLeft w:val="0"/>
              <w:marRight w:val="0"/>
              <w:marTop w:val="0"/>
              <w:marBottom w:val="0"/>
              <w:divBdr>
                <w:top w:val="none" w:sz="0" w:space="0" w:color="auto"/>
                <w:left w:val="none" w:sz="0" w:space="0" w:color="auto"/>
                <w:bottom w:val="none" w:sz="0" w:space="0" w:color="auto"/>
                <w:right w:val="none" w:sz="0" w:space="0" w:color="auto"/>
              </w:divBdr>
            </w:div>
            <w:div w:id="1554343384">
              <w:marLeft w:val="0"/>
              <w:marRight w:val="0"/>
              <w:marTop w:val="0"/>
              <w:marBottom w:val="0"/>
              <w:divBdr>
                <w:top w:val="none" w:sz="0" w:space="0" w:color="auto"/>
                <w:left w:val="none" w:sz="0" w:space="0" w:color="auto"/>
                <w:bottom w:val="none" w:sz="0" w:space="0" w:color="auto"/>
                <w:right w:val="none" w:sz="0" w:space="0" w:color="auto"/>
              </w:divBdr>
            </w:div>
            <w:div w:id="1208950539">
              <w:marLeft w:val="0"/>
              <w:marRight w:val="0"/>
              <w:marTop w:val="0"/>
              <w:marBottom w:val="0"/>
              <w:divBdr>
                <w:top w:val="none" w:sz="0" w:space="0" w:color="auto"/>
                <w:left w:val="none" w:sz="0" w:space="0" w:color="auto"/>
                <w:bottom w:val="none" w:sz="0" w:space="0" w:color="auto"/>
                <w:right w:val="none" w:sz="0" w:space="0" w:color="auto"/>
              </w:divBdr>
            </w:div>
            <w:div w:id="1878883111">
              <w:marLeft w:val="0"/>
              <w:marRight w:val="0"/>
              <w:marTop w:val="0"/>
              <w:marBottom w:val="0"/>
              <w:divBdr>
                <w:top w:val="none" w:sz="0" w:space="0" w:color="auto"/>
                <w:left w:val="none" w:sz="0" w:space="0" w:color="auto"/>
                <w:bottom w:val="none" w:sz="0" w:space="0" w:color="auto"/>
                <w:right w:val="none" w:sz="0" w:space="0" w:color="auto"/>
              </w:divBdr>
            </w:div>
            <w:div w:id="1147160666">
              <w:marLeft w:val="0"/>
              <w:marRight w:val="0"/>
              <w:marTop w:val="0"/>
              <w:marBottom w:val="0"/>
              <w:divBdr>
                <w:top w:val="none" w:sz="0" w:space="0" w:color="auto"/>
                <w:left w:val="none" w:sz="0" w:space="0" w:color="auto"/>
                <w:bottom w:val="none" w:sz="0" w:space="0" w:color="auto"/>
                <w:right w:val="none" w:sz="0" w:space="0" w:color="auto"/>
              </w:divBdr>
            </w:div>
            <w:div w:id="1070226740">
              <w:marLeft w:val="0"/>
              <w:marRight w:val="0"/>
              <w:marTop w:val="0"/>
              <w:marBottom w:val="0"/>
              <w:divBdr>
                <w:top w:val="none" w:sz="0" w:space="0" w:color="auto"/>
                <w:left w:val="none" w:sz="0" w:space="0" w:color="auto"/>
                <w:bottom w:val="none" w:sz="0" w:space="0" w:color="auto"/>
                <w:right w:val="none" w:sz="0" w:space="0" w:color="auto"/>
              </w:divBdr>
            </w:div>
            <w:div w:id="847060894">
              <w:marLeft w:val="0"/>
              <w:marRight w:val="0"/>
              <w:marTop w:val="0"/>
              <w:marBottom w:val="0"/>
              <w:divBdr>
                <w:top w:val="none" w:sz="0" w:space="0" w:color="auto"/>
                <w:left w:val="none" w:sz="0" w:space="0" w:color="auto"/>
                <w:bottom w:val="none" w:sz="0" w:space="0" w:color="auto"/>
                <w:right w:val="none" w:sz="0" w:space="0" w:color="auto"/>
              </w:divBdr>
            </w:div>
            <w:div w:id="1942031637">
              <w:marLeft w:val="0"/>
              <w:marRight w:val="0"/>
              <w:marTop w:val="0"/>
              <w:marBottom w:val="0"/>
              <w:divBdr>
                <w:top w:val="none" w:sz="0" w:space="0" w:color="auto"/>
                <w:left w:val="none" w:sz="0" w:space="0" w:color="auto"/>
                <w:bottom w:val="none" w:sz="0" w:space="0" w:color="auto"/>
                <w:right w:val="none" w:sz="0" w:space="0" w:color="auto"/>
              </w:divBdr>
            </w:div>
            <w:div w:id="1909268050">
              <w:marLeft w:val="0"/>
              <w:marRight w:val="0"/>
              <w:marTop w:val="0"/>
              <w:marBottom w:val="0"/>
              <w:divBdr>
                <w:top w:val="none" w:sz="0" w:space="0" w:color="auto"/>
                <w:left w:val="none" w:sz="0" w:space="0" w:color="auto"/>
                <w:bottom w:val="none" w:sz="0" w:space="0" w:color="auto"/>
                <w:right w:val="none" w:sz="0" w:space="0" w:color="auto"/>
              </w:divBdr>
            </w:div>
            <w:div w:id="1200970819">
              <w:marLeft w:val="0"/>
              <w:marRight w:val="0"/>
              <w:marTop w:val="0"/>
              <w:marBottom w:val="0"/>
              <w:divBdr>
                <w:top w:val="none" w:sz="0" w:space="0" w:color="auto"/>
                <w:left w:val="none" w:sz="0" w:space="0" w:color="auto"/>
                <w:bottom w:val="none" w:sz="0" w:space="0" w:color="auto"/>
                <w:right w:val="none" w:sz="0" w:space="0" w:color="auto"/>
              </w:divBdr>
            </w:div>
            <w:div w:id="330136422">
              <w:marLeft w:val="0"/>
              <w:marRight w:val="0"/>
              <w:marTop w:val="0"/>
              <w:marBottom w:val="0"/>
              <w:divBdr>
                <w:top w:val="none" w:sz="0" w:space="0" w:color="auto"/>
                <w:left w:val="none" w:sz="0" w:space="0" w:color="auto"/>
                <w:bottom w:val="none" w:sz="0" w:space="0" w:color="auto"/>
                <w:right w:val="none" w:sz="0" w:space="0" w:color="auto"/>
              </w:divBdr>
            </w:div>
            <w:div w:id="702218927">
              <w:marLeft w:val="0"/>
              <w:marRight w:val="0"/>
              <w:marTop w:val="0"/>
              <w:marBottom w:val="0"/>
              <w:divBdr>
                <w:top w:val="none" w:sz="0" w:space="0" w:color="auto"/>
                <w:left w:val="none" w:sz="0" w:space="0" w:color="auto"/>
                <w:bottom w:val="none" w:sz="0" w:space="0" w:color="auto"/>
                <w:right w:val="none" w:sz="0" w:space="0" w:color="auto"/>
              </w:divBdr>
            </w:div>
            <w:div w:id="1883445869">
              <w:marLeft w:val="0"/>
              <w:marRight w:val="0"/>
              <w:marTop w:val="0"/>
              <w:marBottom w:val="0"/>
              <w:divBdr>
                <w:top w:val="none" w:sz="0" w:space="0" w:color="auto"/>
                <w:left w:val="none" w:sz="0" w:space="0" w:color="auto"/>
                <w:bottom w:val="none" w:sz="0" w:space="0" w:color="auto"/>
                <w:right w:val="none" w:sz="0" w:space="0" w:color="auto"/>
              </w:divBdr>
            </w:div>
            <w:div w:id="1522158355">
              <w:marLeft w:val="0"/>
              <w:marRight w:val="0"/>
              <w:marTop w:val="0"/>
              <w:marBottom w:val="0"/>
              <w:divBdr>
                <w:top w:val="none" w:sz="0" w:space="0" w:color="auto"/>
                <w:left w:val="none" w:sz="0" w:space="0" w:color="auto"/>
                <w:bottom w:val="none" w:sz="0" w:space="0" w:color="auto"/>
                <w:right w:val="none" w:sz="0" w:space="0" w:color="auto"/>
              </w:divBdr>
            </w:div>
            <w:div w:id="894239659">
              <w:marLeft w:val="0"/>
              <w:marRight w:val="0"/>
              <w:marTop w:val="0"/>
              <w:marBottom w:val="0"/>
              <w:divBdr>
                <w:top w:val="none" w:sz="0" w:space="0" w:color="auto"/>
                <w:left w:val="none" w:sz="0" w:space="0" w:color="auto"/>
                <w:bottom w:val="none" w:sz="0" w:space="0" w:color="auto"/>
                <w:right w:val="none" w:sz="0" w:space="0" w:color="auto"/>
              </w:divBdr>
            </w:div>
            <w:div w:id="867572035">
              <w:marLeft w:val="0"/>
              <w:marRight w:val="0"/>
              <w:marTop w:val="0"/>
              <w:marBottom w:val="0"/>
              <w:divBdr>
                <w:top w:val="none" w:sz="0" w:space="0" w:color="auto"/>
                <w:left w:val="none" w:sz="0" w:space="0" w:color="auto"/>
                <w:bottom w:val="none" w:sz="0" w:space="0" w:color="auto"/>
                <w:right w:val="none" w:sz="0" w:space="0" w:color="auto"/>
              </w:divBdr>
            </w:div>
            <w:div w:id="796601556">
              <w:marLeft w:val="0"/>
              <w:marRight w:val="0"/>
              <w:marTop w:val="0"/>
              <w:marBottom w:val="0"/>
              <w:divBdr>
                <w:top w:val="none" w:sz="0" w:space="0" w:color="auto"/>
                <w:left w:val="none" w:sz="0" w:space="0" w:color="auto"/>
                <w:bottom w:val="none" w:sz="0" w:space="0" w:color="auto"/>
                <w:right w:val="none" w:sz="0" w:space="0" w:color="auto"/>
              </w:divBdr>
            </w:div>
            <w:div w:id="176576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healyam@tcd.i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4C7C6-A953-4B5A-8554-B1EA47760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25229</Words>
  <Characters>143808</Characters>
  <Application>Microsoft Office Word</Application>
  <DocSecurity>0</DocSecurity>
  <Lines>1198</Lines>
  <Paragraphs>337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168700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Anne-Marie Healy</cp:lastModifiedBy>
  <cp:revision>2</cp:revision>
  <cp:lastPrinted>2014-01-13T13:42:00Z</cp:lastPrinted>
  <dcterms:created xsi:type="dcterms:W3CDTF">2015-01-06T12:23:00Z</dcterms:created>
  <dcterms:modified xsi:type="dcterms:W3CDTF">2015-01-06T12:23:00Z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amaromi@tcd.ie@www.mendeley.com</vt:lpwstr>
  </property>
  <property fmtid="{D5CDD505-2E9C-101B-9397-08002B2CF9AE}" pid="4" name="Mendeley Citation Style_1">
    <vt:lpwstr>http://www.zotero.org/styles/harvard1</vt:lpwstr>
  </property>
  <property fmtid="{D5CDD505-2E9C-101B-9397-08002B2CF9AE}" pid="5" name="Mendeley Recent Style Id 0_1">
    <vt:lpwstr>http://www.zotero.org/styles/aaps-pharmscitech</vt:lpwstr>
  </property>
  <property fmtid="{D5CDD505-2E9C-101B-9397-08002B2CF9AE}" pid="6" name="Mendeley Recent Style Name 0_1">
    <vt:lpwstr>AAPS PharmSciTech</vt:lpwstr>
  </property>
  <property fmtid="{D5CDD505-2E9C-101B-9397-08002B2CF9AE}" pid="7" name="Mendeley Recent Style Id 1_1">
    <vt:lpwstr>http://www.zotero.org/styles/advanced-drug-delivery-reviews</vt:lpwstr>
  </property>
  <property fmtid="{D5CDD505-2E9C-101B-9397-08002B2CF9AE}" pid="8" name="Mendeley Recent Style Name 1_1">
    <vt:lpwstr>Advanced Drug Delivery Reviews</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(author-date)</vt:lpwstr>
  </property>
  <property fmtid="{D5CDD505-2E9C-101B-9397-08002B2CF9AE}" pid="15" name="Mendeley Recent Style Id 5_1">
    <vt:lpwstr>http://www.zotero.org/styles/international-journal-of-pharmaceutics</vt:lpwstr>
  </property>
  <property fmtid="{D5CDD505-2E9C-101B-9397-08002B2CF9AE}" pid="16" name="Mendeley Recent Style Name 5_1">
    <vt:lpwstr>International Journal of Pharmaceutics</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7th edition</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http://www.zotero.org/styles/pharmaceutical-research</vt:lpwstr>
  </property>
  <property fmtid="{D5CDD505-2E9C-101B-9397-08002B2CF9AE}" pid="22" name="Mendeley Recent Style Name 8_1">
    <vt:lpwstr>Pharmaceutical Research</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