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2896" w:rsidRPr="00FB18FE" w:rsidRDefault="00A82896" w:rsidP="00FB18FE"/>
    <w:p w:rsidR="00A82896" w:rsidRPr="00ED5F2F" w:rsidRDefault="00A82896">
      <w:pPr>
        <w:jc w:val="center"/>
        <w:outlineLvl w:val="0"/>
      </w:pPr>
      <w:r w:rsidRPr="00ED5F2F">
        <w:rPr>
          <w:rFonts w:asciiTheme="majorBidi" w:hAnsiTheme="majorBidi" w:cstheme="majorBidi"/>
          <w:b/>
          <w:bCs/>
          <w:sz w:val="20"/>
          <w:szCs w:val="20"/>
          <w:u w:val="single"/>
        </w:rPr>
        <w:t>Title Page</w:t>
      </w:r>
    </w:p>
    <w:p w:rsidR="00A82896" w:rsidRPr="00ED5F2F" w:rsidRDefault="00A82896" w:rsidP="00E96082">
      <w:pPr>
        <w:outlineLvl w:val="0"/>
        <w:rPr>
          <w:rFonts w:asciiTheme="majorBidi" w:hAnsiTheme="majorBidi" w:cstheme="majorBidi"/>
          <w:b/>
          <w:bCs/>
          <w:sz w:val="20"/>
          <w:szCs w:val="20"/>
        </w:rPr>
      </w:pPr>
      <w:r w:rsidRPr="00ED5F2F">
        <w:rPr>
          <w:rFonts w:asciiTheme="majorBidi" w:hAnsiTheme="majorBidi" w:cstheme="majorBidi"/>
          <w:b/>
          <w:bCs/>
          <w:sz w:val="20"/>
          <w:szCs w:val="20"/>
        </w:rPr>
        <w:t>Authors:</w:t>
      </w:r>
    </w:p>
    <w:p w:rsidR="00A82896" w:rsidRPr="00ED5F2F" w:rsidRDefault="00A82896" w:rsidP="00275950">
      <w:pPr>
        <w:outlineLvl w:val="0"/>
        <w:rPr>
          <w:rFonts w:asciiTheme="majorBidi" w:hAnsiTheme="majorBidi" w:cstheme="majorBidi"/>
          <w:sz w:val="20"/>
          <w:szCs w:val="20"/>
        </w:rPr>
      </w:pPr>
      <w:bookmarkStart w:id="0" w:name="_GoBack"/>
      <w:r w:rsidRPr="00ED5F2F">
        <w:rPr>
          <w:rFonts w:asciiTheme="majorBidi" w:hAnsiTheme="majorBidi" w:cstheme="majorBidi"/>
          <w:sz w:val="20"/>
          <w:szCs w:val="20"/>
        </w:rPr>
        <w:t>Smeaton T</w:t>
      </w:r>
      <w:r w:rsidR="00FF05DA">
        <w:rPr>
          <w:rFonts w:asciiTheme="majorBidi" w:hAnsiTheme="majorBidi" w:cstheme="majorBidi"/>
          <w:sz w:val="20"/>
          <w:szCs w:val="20"/>
        </w:rPr>
        <w:t>erence</w:t>
      </w:r>
      <w:r w:rsidRPr="00ED5F2F">
        <w:rPr>
          <w:rFonts w:asciiTheme="majorBidi" w:hAnsiTheme="majorBidi" w:cstheme="majorBidi"/>
          <w:sz w:val="20"/>
          <w:szCs w:val="20"/>
        </w:rPr>
        <w:t>.</w:t>
      </w:r>
      <w:r w:rsidRPr="00ED5F2F">
        <w:rPr>
          <w:rFonts w:asciiTheme="majorBidi" w:hAnsiTheme="majorBidi" w:cstheme="majorBidi"/>
          <w:sz w:val="20"/>
          <w:szCs w:val="20"/>
          <w:vertAlign w:val="superscript"/>
        </w:rPr>
        <w:t>1,2</w:t>
      </w:r>
      <w:r w:rsidRPr="00ED5F2F">
        <w:rPr>
          <w:rFonts w:asciiTheme="majorBidi" w:hAnsiTheme="majorBidi" w:cstheme="majorBidi"/>
          <w:sz w:val="20"/>
          <w:szCs w:val="20"/>
        </w:rPr>
        <w:t xml:space="preserve">, </w:t>
      </w:r>
      <w:proofErr w:type="spellStart"/>
      <w:r w:rsidRPr="00ED5F2F">
        <w:rPr>
          <w:rFonts w:asciiTheme="majorBidi" w:hAnsiTheme="majorBidi" w:cstheme="majorBidi"/>
          <w:sz w:val="20"/>
          <w:szCs w:val="20"/>
        </w:rPr>
        <w:t>McElwaine</w:t>
      </w:r>
      <w:proofErr w:type="spellEnd"/>
      <w:r w:rsidRPr="00ED5F2F">
        <w:rPr>
          <w:rFonts w:asciiTheme="majorBidi" w:hAnsiTheme="majorBidi" w:cstheme="majorBidi"/>
          <w:sz w:val="20"/>
          <w:szCs w:val="20"/>
        </w:rPr>
        <w:t xml:space="preserve"> P</w:t>
      </w:r>
      <w:r w:rsidR="00FF05DA">
        <w:rPr>
          <w:rFonts w:asciiTheme="majorBidi" w:hAnsiTheme="majorBidi" w:cstheme="majorBidi"/>
          <w:sz w:val="20"/>
          <w:szCs w:val="20"/>
        </w:rPr>
        <w:t>aul</w:t>
      </w:r>
      <w:r w:rsidRPr="00ED5F2F">
        <w:rPr>
          <w:rFonts w:asciiTheme="majorBidi" w:hAnsiTheme="majorBidi" w:cstheme="majorBidi"/>
          <w:sz w:val="20"/>
          <w:szCs w:val="20"/>
        </w:rPr>
        <w:t>.</w:t>
      </w:r>
      <w:r w:rsidRPr="00ED5F2F">
        <w:rPr>
          <w:rFonts w:asciiTheme="majorBidi" w:hAnsiTheme="majorBidi" w:cstheme="majorBidi"/>
          <w:sz w:val="20"/>
          <w:szCs w:val="20"/>
          <w:vertAlign w:val="superscript"/>
        </w:rPr>
        <w:t>3</w:t>
      </w:r>
      <w:r w:rsidRPr="00ED5F2F">
        <w:rPr>
          <w:rFonts w:asciiTheme="majorBidi" w:hAnsiTheme="majorBidi" w:cstheme="majorBidi"/>
          <w:sz w:val="20"/>
          <w:szCs w:val="20"/>
        </w:rPr>
        <w:t>, Cullen J</w:t>
      </w:r>
      <w:r w:rsidR="00FF05DA">
        <w:rPr>
          <w:rFonts w:asciiTheme="majorBidi" w:hAnsiTheme="majorBidi" w:cstheme="majorBidi"/>
          <w:sz w:val="20"/>
          <w:szCs w:val="20"/>
        </w:rPr>
        <w:t>ohn</w:t>
      </w:r>
      <w:r w:rsidRPr="00ED5F2F">
        <w:rPr>
          <w:rFonts w:asciiTheme="majorBidi" w:hAnsiTheme="majorBidi" w:cstheme="majorBidi"/>
          <w:sz w:val="20"/>
          <w:szCs w:val="20"/>
        </w:rPr>
        <w:t>.</w:t>
      </w:r>
      <w:r w:rsidRPr="00ED5F2F">
        <w:rPr>
          <w:rFonts w:asciiTheme="majorBidi" w:hAnsiTheme="majorBidi" w:cstheme="majorBidi"/>
          <w:sz w:val="20"/>
          <w:szCs w:val="20"/>
          <w:vertAlign w:val="superscript"/>
        </w:rPr>
        <w:t>3</w:t>
      </w:r>
      <w:r w:rsidRPr="00ED5F2F">
        <w:rPr>
          <w:rFonts w:asciiTheme="majorBidi" w:hAnsiTheme="majorBidi" w:cstheme="majorBidi"/>
          <w:sz w:val="20"/>
          <w:szCs w:val="20"/>
        </w:rPr>
        <w:t>, Santos-Martinez M</w:t>
      </w:r>
      <w:r w:rsidR="00FF05DA">
        <w:rPr>
          <w:rFonts w:asciiTheme="majorBidi" w:hAnsiTheme="majorBidi" w:cstheme="majorBidi"/>
          <w:sz w:val="20"/>
          <w:szCs w:val="20"/>
        </w:rPr>
        <w:t xml:space="preserve">aria </w:t>
      </w:r>
      <w:r w:rsidRPr="00ED5F2F">
        <w:rPr>
          <w:rFonts w:asciiTheme="majorBidi" w:hAnsiTheme="majorBidi" w:cstheme="majorBidi"/>
          <w:sz w:val="20"/>
          <w:szCs w:val="20"/>
        </w:rPr>
        <w:t>J</w:t>
      </w:r>
      <w:r w:rsidR="00FF05DA">
        <w:rPr>
          <w:rFonts w:asciiTheme="majorBidi" w:hAnsiTheme="majorBidi" w:cstheme="majorBidi"/>
          <w:sz w:val="20"/>
          <w:szCs w:val="20"/>
        </w:rPr>
        <w:t>ose</w:t>
      </w:r>
      <w:r w:rsidRPr="00ED5F2F">
        <w:rPr>
          <w:rFonts w:asciiTheme="majorBidi" w:hAnsiTheme="majorBidi" w:cstheme="majorBidi"/>
          <w:sz w:val="20"/>
          <w:szCs w:val="20"/>
        </w:rPr>
        <w:t>.</w:t>
      </w:r>
      <w:r w:rsidRPr="00ED5F2F">
        <w:rPr>
          <w:rFonts w:asciiTheme="majorBidi" w:hAnsiTheme="majorBidi" w:cstheme="majorBidi"/>
          <w:sz w:val="20"/>
          <w:szCs w:val="20"/>
          <w:vertAlign w:val="superscript"/>
        </w:rPr>
        <w:t xml:space="preserve"> 2,4</w:t>
      </w:r>
      <w:r w:rsidRPr="00ED5F2F">
        <w:rPr>
          <w:rFonts w:asciiTheme="majorBidi" w:hAnsiTheme="majorBidi" w:cstheme="majorBidi"/>
          <w:sz w:val="20"/>
          <w:szCs w:val="20"/>
        </w:rPr>
        <w:t>, Deasy E</w:t>
      </w:r>
      <w:r w:rsidR="00FF05DA">
        <w:rPr>
          <w:rFonts w:asciiTheme="majorBidi" w:hAnsiTheme="majorBidi" w:cstheme="majorBidi"/>
          <w:sz w:val="20"/>
          <w:szCs w:val="20"/>
        </w:rPr>
        <w:t>velyn</w:t>
      </w:r>
      <w:r w:rsidRPr="00ED5F2F">
        <w:rPr>
          <w:rFonts w:asciiTheme="majorBidi" w:hAnsiTheme="majorBidi" w:cstheme="majorBidi"/>
          <w:sz w:val="20"/>
          <w:szCs w:val="20"/>
        </w:rPr>
        <w:t>.</w:t>
      </w:r>
      <w:r w:rsidRPr="00ED5F2F">
        <w:rPr>
          <w:rFonts w:asciiTheme="majorBidi" w:hAnsiTheme="majorBidi" w:cstheme="majorBidi"/>
          <w:sz w:val="20"/>
          <w:szCs w:val="20"/>
          <w:vertAlign w:val="superscript"/>
        </w:rPr>
        <w:t>1,2</w:t>
      </w:r>
      <w:r w:rsidRPr="00ED5F2F">
        <w:rPr>
          <w:rFonts w:asciiTheme="majorBidi" w:hAnsiTheme="majorBidi" w:cstheme="majorBidi"/>
          <w:sz w:val="20"/>
          <w:szCs w:val="20"/>
        </w:rPr>
        <w:t>, Widdowson M</w:t>
      </w:r>
      <w:r w:rsidR="00FF05DA">
        <w:rPr>
          <w:rFonts w:asciiTheme="majorBidi" w:hAnsiTheme="majorBidi" w:cstheme="majorBidi"/>
          <w:sz w:val="20"/>
          <w:szCs w:val="20"/>
        </w:rPr>
        <w:t>atthew</w:t>
      </w:r>
      <w:r w:rsidRPr="00ED5F2F">
        <w:rPr>
          <w:rFonts w:asciiTheme="majorBidi" w:hAnsiTheme="majorBidi" w:cstheme="majorBidi"/>
          <w:sz w:val="20"/>
          <w:szCs w:val="20"/>
        </w:rPr>
        <w:t>.</w:t>
      </w:r>
      <w:r w:rsidRPr="00ED5F2F">
        <w:rPr>
          <w:rFonts w:asciiTheme="majorBidi" w:hAnsiTheme="majorBidi" w:cstheme="majorBidi"/>
          <w:sz w:val="20"/>
          <w:szCs w:val="20"/>
          <w:vertAlign w:val="superscript"/>
        </w:rPr>
        <w:t>3</w:t>
      </w:r>
      <w:r w:rsidRPr="00ED5F2F">
        <w:rPr>
          <w:rFonts w:asciiTheme="majorBidi" w:hAnsiTheme="majorBidi" w:cstheme="majorBidi"/>
          <w:sz w:val="20"/>
          <w:szCs w:val="20"/>
        </w:rPr>
        <w:t>, Grimes T</w:t>
      </w:r>
      <w:r w:rsidR="00FF05DA">
        <w:rPr>
          <w:rFonts w:asciiTheme="majorBidi" w:hAnsiTheme="majorBidi" w:cstheme="majorBidi"/>
          <w:sz w:val="20"/>
          <w:szCs w:val="20"/>
        </w:rPr>
        <w:t>amasine</w:t>
      </w:r>
      <w:r w:rsidRPr="00ED5F2F">
        <w:rPr>
          <w:rFonts w:asciiTheme="majorBidi" w:hAnsiTheme="majorBidi" w:cstheme="majorBidi"/>
          <w:sz w:val="20"/>
          <w:szCs w:val="20"/>
        </w:rPr>
        <w:t>.C.</w:t>
      </w:r>
      <w:r w:rsidRPr="00ED5F2F">
        <w:rPr>
          <w:rFonts w:asciiTheme="majorBidi" w:hAnsiTheme="majorBidi" w:cstheme="majorBidi"/>
          <w:sz w:val="20"/>
          <w:szCs w:val="20"/>
          <w:vertAlign w:val="superscript"/>
        </w:rPr>
        <w:t>1,2</w:t>
      </w:r>
      <w:r w:rsidRPr="00ED5F2F">
        <w:rPr>
          <w:rFonts w:asciiTheme="majorBidi" w:hAnsiTheme="majorBidi" w:cstheme="majorBidi"/>
          <w:sz w:val="20"/>
          <w:szCs w:val="20"/>
        </w:rPr>
        <w:t>.</w:t>
      </w:r>
    </w:p>
    <w:bookmarkEnd w:id="0"/>
    <w:p w:rsidR="00A82896" w:rsidRPr="00ED5F2F" w:rsidRDefault="00A82896" w:rsidP="00527650">
      <w:pPr>
        <w:outlineLvl w:val="0"/>
        <w:rPr>
          <w:rFonts w:asciiTheme="majorBidi" w:hAnsiTheme="majorBidi" w:cstheme="majorBidi"/>
          <w:b/>
          <w:bCs/>
          <w:sz w:val="20"/>
          <w:szCs w:val="20"/>
        </w:rPr>
      </w:pPr>
      <w:r w:rsidRPr="00ED5F2F">
        <w:rPr>
          <w:rFonts w:asciiTheme="majorBidi" w:hAnsiTheme="majorBidi" w:cstheme="majorBidi"/>
          <w:b/>
          <w:bCs/>
          <w:sz w:val="20"/>
          <w:szCs w:val="20"/>
        </w:rPr>
        <w:t>Author Affiliations:</w:t>
      </w:r>
    </w:p>
    <w:p w:rsidR="00A82896" w:rsidRPr="00ED5F2F" w:rsidRDefault="00A82896" w:rsidP="00527650">
      <w:pPr>
        <w:spacing w:after="0"/>
        <w:outlineLvl w:val="0"/>
        <w:rPr>
          <w:rFonts w:asciiTheme="majorBidi" w:hAnsiTheme="majorBidi" w:cstheme="majorBidi"/>
          <w:sz w:val="20"/>
          <w:szCs w:val="20"/>
        </w:rPr>
      </w:pPr>
      <w:r w:rsidRPr="00ED5F2F">
        <w:rPr>
          <w:rFonts w:asciiTheme="majorBidi" w:hAnsiTheme="majorBidi" w:cstheme="majorBidi"/>
          <w:sz w:val="20"/>
          <w:szCs w:val="20"/>
        </w:rPr>
        <w:t>1. Pharmacy Department, Tallaght University Hospital, Tallaght, Dublin 24, Ireland.</w:t>
      </w:r>
    </w:p>
    <w:p w:rsidR="00A82896" w:rsidRPr="00ED5F2F" w:rsidRDefault="00A82896" w:rsidP="00527650">
      <w:pPr>
        <w:spacing w:after="0"/>
        <w:outlineLvl w:val="0"/>
        <w:rPr>
          <w:rFonts w:asciiTheme="majorBidi" w:hAnsiTheme="majorBidi" w:cstheme="majorBidi"/>
          <w:sz w:val="20"/>
          <w:szCs w:val="20"/>
        </w:rPr>
      </w:pPr>
      <w:r w:rsidRPr="00ED5F2F">
        <w:rPr>
          <w:rFonts w:asciiTheme="majorBidi" w:hAnsiTheme="majorBidi" w:cstheme="majorBidi"/>
          <w:sz w:val="20"/>
          <w:szCs w:val="20"/>
        </w:rPr>
        <w:t>2. School of Pharmacy and Pharmaceutical Sciences, Trinity College Dublin, Dublin, Ireland.</w:t>
      </w:r>
    </w:p>
    <w:p w:rsidR="00A82896" w:rsidRPr="00ED5F2F" w:rsidRDefault="00A82896" w:rsidP="00527650">
      <w:pPr>
        <w:spacing w:after="0"/>
        <w:outlineLvl w:val="0"/>
        <w:rPr>
          <w:rFonts w:asciiTheme="majorBidi" w:hAnsiTheme="majorBidi" w:cstheme="majorBidi"/>
          <w:sz w:val="20"/>
          <w:szCs w:val="20"/>
        </w:rPr>
      </w:pPr>
      <w:r w:rsidRPr="00ED5F2F">
        <w:rPr>
          <w:rFonts w:asciiTheme="majorBidi" w:hAnsiTheme="majorBidi" w:cstheme="majorBidi"/>
          <w:sz w:val="20"/>
          <w:szCs w:val="20"/>
        </w:rPr>
        <w:t xml:space="preserve">3. Acute Medical Unit, Tallaght University Hospital, Tallaght, Dublin 24, Ireland. </w:t>
      </w:r>
    </w:p>
    <w:p w:rsidR="00A82896" w:rsidRPr="00ED5F2F" w:rsidRDefault="00A82896" w:rsidP="00527650">
      <w:pPr>
        <w:spacing w:after="0"/>
        <w:outlineLvl w:val="0"/>
        <w:rPr>
          <w:rFonts w:asciiTheme="majorBidi" w:hAnsiTheme="majorBidi" w:cstheme="majorBidi"/>
          <w:sz w:val="20"/>
          <w:szCs w:val="20"/>
        </w:rPr>
      </w:pPr>
      <w:r w:rsidRPr="00ED5F2F">
        <w:rPr>
          <w:rFonts w:asciiTheme="majorBidi" w:hAnsiTheme="majorBidi" w:cstheme="majorBidi"/>
          <w:sz w:val="20"/>
          <w:szCs w:val="20"/>
        </w:rPr>
        <w:t xml:space="preserve">4. School of Medicine, Trinity College Dublin, Dublin, Ireland. </w:t>
      </w:r>
    </w:p>
    <w:p w:rsidR="00A82896" w:rsidRPr="00ED5F2F" w:rsidRDefault="00A82896" w:rsidP="00527650">
      <w:pPr>
        <w:spacing w:after="0"/>
        <w:outlineLvl w:val="0"/>
        <w:rPr>
          <w:rFonts w:asciiTheme="majorBidi" w:hAnsiTheme="majorBidi" w:cstheme="majorBidi"/>
          <w:sz w:val="20"/>
          <w:szCs w:val="20"/>
        </w:rPr>
      </w:pPr>
    </w:p>
    <w:p w:rsidR="00A82896" w:rsidRPr="00ED5F2F" w:rsidRDefault="00A82896" w:rsidP="006B6374">
      <w:pPr>
        <w:spacing w:after="0"/>
        <w:outlineLvl w:val="0"/>
        <w:rPr>
          <w:rFonts w:asciiTheme="majorBidi" w:hAnsiTheme="majorBidi" w:cstheme="majorBidi"/>
          <w:b/>
          <w:bCs/>
          <w:sz w:val="20"/>
          <w:szCs w:val="20"/>
        </w:rPr>
      </w:pPr>
      <w:r w:rsidRPr="00ED5F2F">
        <w:rPr>
          <w:rFonts w:asciiTheme="majorBidi" w:hAnsiTheme="majorBidi" w:cstheme="majorBidi"/>
          <w:b/>
          <w:bCs/>
          <w:sz w:val="20"/>
          <w:szCs w:val="20"/>
        </w:rPr>
        <w:t>Corresponding Author:</w:t>
      </w:r>
    </w:p>
    <w:p w:rsidR="00A82896" w:rsidRPr="00ED5F2F" w:rsidRDefault="00A82896" w:rsidP="006B6374">
      <w:pPr>
        <w:spacing w:after="0"/>
        <w:outlineLvl w:val="0"/>
        <w:rPr>
          <w:rFonts w:asciiTheme="majorBidi" w:hAnsiTheme="majorBidi" w:cstheme="majorBidi"/>
          <w:sz w:val="20"/>
          <w:szCs w:val="20"/>
          <w:u w:val="single"/>
        </w:rPr>
      </w:pPr>
    </w:p>
    <w:p w:rsidR="00A82896" w:rsidRPr="00ED5F2F" w:rsidRDefault="00A82896" w:rsidP="006B6374">
      <w:pPr>
        <w:spacing w:after="0"/>
        <w:outlineLvl w:val="0"/>
        <w:rPr>
          <w:rFonts w:asciiTheme="majorBidi" w:hAnsiTheme="majorBidi" w:cstheme="majorBidi"/>
          <w:sz w:val="20"/>
          <w:szCs w:val="20"/>
        </w:rPr>
      </w:pPr>
      <w:r w:rsidRPr="00ED5F2F">
        <w:rPr>
          <w:rFonts w:asciiTheme="majorBidi" w:hAnsiTheme="majorBidi" w:cstheme="majorBidi"/>
          <w:sz w:val="20"/>
          <w:szCs w:val="20"/>
        </w:rPr>
        <w:t xml:space="preserve">Terence Smeaton </w:t>
      </w:r>
    </w:p>
    <w:p w:rsidR="00A82896" w:rsidRPr="00ED5F2F" w:rsidRDefault="00A82896" w:rsidP="006B6374">
      <w:pPr>
        <w:spacing w:after="0"/>
        <w:outlineLvl w:val="0"/>
        <w:rPr>
          <w:rFonts w:asciiTheme="majorBidi" w:hAnsiTheme="majorBidi" w:cstheme="majorBidi"/>
          <w:sz w:val="20"/>
          <w:szCs w:val="20"/>
        </w:rPr>
      </w:pPr>
      <w:r w:rsidRPr="00ED5F2F">
        <w:rPr>
          <w:rFonts w:asciiTheme="majorBidi" w:hAnsiTheme="majorBidi" w:cstheme="majorBidi"/>
          <w:sz w:val="20"/>
          <w:szCs w:val="20"/>
        </w:rPr>
        <w:t xml:space="preserve">Email: </w:t>
      </w:r>
      <w:hyperlink r:id="rId7" w:history="1">
        <w:r w:rsidRPr="00ED5F2F">
          <w:rPr>
            <w:rStyle w:val="Hyperlink"/>
            <w:rFonts w:asciiTheme="majorBidi" w:hAnsiTheme="majorBidi" w:cstheme="majorBidi"/>
            <w:sz w:val="20"/>
            <w:szCs w:val="20"/>
          </w:rPr>
          <w:t>terry.smeaton@gmail.com</w:t>
        </w:r>
      </w:hyperlink>
    </w:p>
    <w:p w:rsidR="00A82896" w:rsidRPr="00ED5F2F" w:rsidRDefault="00A82896" w:rsidP="00527650">
      <w:pPr>
        <w:spacing w:after="0"/>
        <w:outlineLvl w:val="0"/>
        <w:rPr>
          <w:rFonts w:asciiTheme="majorBidi" w:hAnsiTheme="majorBidi" w:cstheme="majorBidi"/>
          <w:sz w:val="20"/>
          <w:szCs w:val="20"/>
        </w:rPr>
      </w:pPr>
      <w:r w:rsidRPr="00ED5F2F">
        <w:rPr>
          <w:rFonts w:asciiTheme="majorBidi" w:hAnsiTheme="majorBidi" w:cstheme="majorBidi"/>
          <w:sz w:val="20"/>
          <w:szCs w:val="20"/>
        </w:rPr>
        <w:t>Telephone: 00353-87-125-4383</w:t>
      </w:r>
    </w:p>
    <w:p w:rsidR="00A82896" w:rsidRPr="00ED5F2F" w:rsidRDefault="00A82896" w:rsidP="00527650">
      <w:pPr>
        <w:spacing w:after="0"/>
        <w:outlineLvl w:val="0"/>
        <w:rPr>
          <w:rFonts w:asciiTheme="majorBidi" w:hAnsiTheme="majorBidi" w:cstheme="majorBidi"/>
          <w:sz w:val="20"/>
          <w:szCs w:val="20"/>
        </w:rPr>
      </w:pPr>
    </w:p>
    <w:p w:rsidR="00A82896" w:rsidRPr="00ED5F2F" w:rsidRDefault="00A82896" w:rsidP="00E96082">
      <w:pPr>
        <w:outlineLvl w:val="0"/>
        <w:rPr>
          <w:rFonts w:asciiTheme="majorBidi" w:hAnsiTheme="majorBidi" w:cstheme="majorBidi"/>
          <w:b/>
          <w:bCs/>
          <w:sz w:val="20"/>
          <w:szCs w:val="20"/>
        </w:rPr>
      </w:pPr>
      <w:r w:rsidRPr="00ED5F2F">
        <w:rPr>
          <w:rFonts w:asciiTheme="majorBidi" w:hAnsiTheme="majorBidi" w:cstheme="majorBidi"/>
          <w:b/>
          <w:bCs/>
          <w:sz w:val="20"/>
          <w:szCs w:val="20"/>
        </w:rPr>
        <w:t>Title:</w:t>
      </w:r>
    </w:p>
    <w:p w:rsidR="00A82896" w:rsidRPr="00ED5F2F" w:rsidRDefault="00A82896" w:rsidP="0091250C">
      <w:pPr>
        <w:outlineLvl w:val="0"/>
        <w:rPr>
          <w:rFonts w:asciiTheme="majorBidi" w:hAnsiTheme="majorBidi" w:cstheme="majorBidi"/>
          <w:sz w:val="20"/>
          <w:szCs w:val="20"/>
        </w:rPr>
      </w:pPr>
      <w:r w:rsidRPr="00ED5F2F">
        <w:rPr>
          <w:rFonts w:asciiTheme="majorBidi" w:hAnsiTheme="majorBidi" w:cstheme="majorBidi"/>
          <w:sz w:val="20"/>
          <w:szCs w:val="20"/>
        </w:rPr>
        <w:t>A prospective observational pilot study of adverse drug reactions contributing to hospitalisation in a cohort of middle-aged adults aged 45- 64 years.</w:t>
      </w:r>
    </w:p>
    <w:p w:rsidR="00A82896" w:rsidRPr="00ED5F2F" w:rsidRDefault="00A82896" w:rsidP="0091250C">
      <w:pPr>
        <w:outlineLvl w:val="0"/>
        <w:rPr>
          <w:rFonts w:asciiTheme="majorBidi" w:hAnsiTheme="majorBidi" w:cstheme="majorBidi"/>
          <w:b/>
          <w:bCs/>
          <w:sz w:val="20"/>
          <w:szCs w:val="20"/>
        </w:rPr>
      </w:pPr>
      <w:r w:rsidRPr="00ED5F2F">
        <w:rPr>
          <w:rFonts w:asciiTheme="majorBidi" w:hAnsiTheme="majorBidi" w:cstheme="majorBidi"/>
          <w:b/>
          <w:bCs/>
          <w:sz w:val="20"/>
          <w:szCs w:val="20"/>
        </w:rPr>
        <w:t xml:space="preserve">Running Title: </w:t>
      </w:r>
    </w:p>
    <w:p w:rsidR="00A82896" w:rsidRPr="00ED5F2F" w:rsidRDefault="00A82896" w:rsidP="006B6374">
      <w:pPr>
        <w:outlineLvl w:val="0"/>
        <w:rPr>
          <w:rFonts w:asciiTheme="majorBidi" w:hAnsiTheme="majorBidi" w:cstheme="majorBidi"/>
          <w:sz w:val="20"/>
          <w:szCs w:val="20"/>
          <w:u w:val="single"/>
        </w:rPr>
      </w:pPr>
      <w:r w:rsidRPr="00ED5F2F">
        <w:rPr>
          <w:rFonts w:asciiTheme="majorBidi" w:hAnsiTheme="majorBidi" w:cstheme="majorBidi"/>
          <w:sz w:val="20"/>
          <w:szCs w:val="20"/>
        </w:rPr>
        <w:t>A pilot study of adverse drug reactions contributing to hospitalisation in middle-aged adults aged 45- 64 years.</w:t>
      </w:r>
    </w:p>
    <w:p w:rsidR="00A82896" w:rsidRPr="00ED5F2F" w:rsidRDefault="00A82896" w:rsidP="00D141C5">
      <w:pPr>
        <w:spacing w:after="0"/>
        <w:outlineLvl w:val="0"/>
        <w:rPr>
          <w:rFonts w:asciiTheme="majorBidi" w:hAnsiTheme="majorBidi" w:cstheme="majorBidi"/>
          <w:b/>
          <w:bCs/>
          <w:sz w:val="20"/>
          <w:szCs w:val="20"/>
        </w:rPr>
      </w:pPr>
      <w:r w:rsidRPr="00ED5F2F">
        <w:rPr>
          <w:rFonts w:asciiTheme="majorBidi" w:hAnsiTheme="majorBidi" w:cstheme="majorBidi"/>
          <w:b/>
          <w:bCs/>
          <w:sz w:val="20"/>
          <w:szCs w:val="20"/>
        </w:rPr>
        <w:t>Acknowledgements:</w:t>
      </w:r>
    </w:p>
    <w:p w:rsidR="00A82896" w:rsidRPr="00ED5F2F" w:rsidRDefault="00A82896" w:rsidP="00D141C5">
      <w:pPr>
        <w:spacing w:after="0"/>
        <w:outlineLvl w:val="0"/>
        <w:rPr>
          <w:rFonts w:asciiTheme="majorBidi" w:hAnsiTheme="majorBidi" w:cstheme="majorBidi"/>
          <w:sz w:val="20"/>
          <w:szCs w:val="20"/>
        </w:rPr>
      </w:pPr>
    </w:p>
    <w:p w:rsidR="00A82896" w:rsidRPr="00ED5F2F" w:rsidRDefault="00A82896" w:rsidP="00D141C5">
      <w:pPr>
        <w:spacing w:after="0"/>
        <w:outlineLvl w:val="0"/>
        <w:rPr>
          <w:rFonts w:ascii="Times New Roman" w:hAnsi="Times New Roman" w:cs="Times New Roman"/>
          <w:sz w:val="20"/>
          <w:szCs w:val="20"/>
        </w:rPr>
      </w:pPr>
      <w:r w:rsidRPr="00ED5F2F">
        <w:rPr>
          <w:rFonts w:asciiTheme="majorBidi" w:hAnsiTheme="majorBidi" w:cstheme="majorBidi"/>
          <w:sz w:val="20"/>
          <w:szCs w:val="20"/>
        </w:rPr>
        <w:t xml:space="preserve">The authors wish to acknowledge the patients included in the study and all the staff of the Pharmacy Department and Acute Medical Unit, Tallaght University Hospital. They also acknowledge the consultants and non-consultant hospital doctors who </w:t>
      </w:r>
      <w:r w:rsidRPr="00ED5F2F">
        <w:rPr>
          <w:rFonts w:ascii="Times New Roman" w:hAnsi="Times New Roman" w:cs="Times New Roman"/>
          <w:sz w:val="20"/>
          <w:szCs w:val="20"/>
        </w:rPr>
        <w:t xml:space="preserve">aided in data collection. T. Smeaton and T.C. Grimes also wish to acknowledge the staff of the School of Pharmacy and Pharmaceutical Sciences, Trinity College Dublin for their guidance and support in completing this study as part of the M.Sc. (Hospital Pharmacy) degree. </w:t>
      </w:r>
    </w:p>
    <w:p w:rsidR="00A82896" w:rsidRPr="00ED5F2F" w:rsidRDefault="00A82896" w:rsidP="00D141C5">
      <w:pPr>
        <w:spacing w:after="0"/>
        <w:outlineLvl w:val="0"/>
        <w:rPr>
          <w:rFonts w:ascii="Times New Roman" w:hAnsi="Times New Roman" w:cs="Times New Roman"/>
          <w:sz w:val="20"/>
          <w:szCs w:val="20"/>
        </w:rPr>
      </w:pPr>
    </w:p>
    <w:p w:rsidR="00A82896" w:rsidRPr="00ED5F2F" w:rsidRDefault="00A82896" w:rsidP="00D141C5">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7245ED">
      <w:pPr>
        <w:spacing w:after="0"/>
        <w:outlineLvl w:val="0"/>
        <w:rPr>
          <w:rFonts w:asciiTheme="majorBidi" w:hAnsiTheme="majorBidi" w:cstheme="majorBidi"/>
          <w:sz w:val="20"/>
          <w:szCs w:val="20"/>
        </w:rPr>
      </w:pPr>
    </w:p>
    <w:p w:rsidR="00A82896" w:rsidRPr="00ED5F2F" w:rsidRDefault="00A82896" w:rsidP="00C918DE">
      <w:pPr>
        <w:outlineLvl w:val="0"/>
        <w:rPr>
          <w:rFonts w:asciiTheme="majorBidi" w:hAnsiTheme="majorBidi" w:cstheme="majorBidi"/>
          <w:sz w:val="20"/>
          <w:szCs w:val="20"/>
        </w:rPr>
      </w:pPr>
    </w:p>
    <w:p w:rsidR="00A82896" w:rsidRPr="00ED5F2F" w:rsidRDefault="00A82896" w:rsidP="00C918DE">
      <w:pPr>
        <w:outlineLvl w:val="0"/>
        <w:rPr>
          <w:rFonts w:asciiTheme="majorBidi" w:hAnsiTheme="majorBidi" w:cstheme="majorBidi"/>
          <w:b/>
          <w:bCs/>
          <w:sz w:val="20"/>
          <w:szCs w:val="20"/>
          <w:u w:val="single"/>
        </w:rPr>
      </w:pPr>
      <w:r w:rsidRPr="00ED5F2F">
        <w:rPr>
          <w:rFonts w:asciiTheme="majorBidi" w:hAnsiTheme="majorBidi" w:cstheme="majorBidi"/>
          <w:b/>
          <w:bCs/>
          <w:sz w:val="20"/>
          <w:szCs w:val="20"/>
          <w:u w:val="single"/>
        </w:rPr>
        <w:t>Abstract</w:t>
      </w:r>
    </w:p>
    <w:p w:rsidR="00A82896" w:rsidRPr="00ED5F2F" w:rsidRDefault="00A82896" w:rsidP="00C83243">
      <w:pPr>
        <w:rPr>
          <w:rFonts w:asciiTheme="majorBidi" w:hAnsiTheme="majorBidi" w:cstheme="majorBidi"/>
          <w:sz w:val="20"/>
          <w:szCs w:val="20"/>
        </w:rPr>
      </w:pPr>
      <w:r w:rsidRPr="00ED5F2F">
        <w:rPr>
          <w:rFonts w:asciiTheme="majorBidi" w:hAnsiTheme="majorBidi" w:cstheme="majorBidi"/>
          <w:b/>
          <w:bCs/>
          <w:sz w:val="20"/>
          <w:szCs w:val="20"/>
        </w:rPr>
        <w:t>Purpose:</w:t>
      </w:r>
      <w:r w:rsidRPr="00ED5F2F">
        <w:rPr>
          <w:rFonts w:asciiTheme="majorBidi" w:hAnsiTheme="majorBidi" w:cstheme="majorBidi"/>
          <w:sz w:val="20"/>
          <w:szCs w:val="20"/>
        </w:rPr>
        <w:t xml:space="preserve"> Determine the prevalence, severity and preventability of adverse drug reactions (ADRs), ADRs causing or contributing to hospitalisation (</w:t>
      </w:r>
      <w:proofErr w:type="spellStart"/>
      <w:r w:rsidRPr="00ED5F2F">
        <w:rPr>
          <w:rFonts w:asciiTheme="majorBidi" w:hAnsiTheme="majorBidi" w:cstheme="majorBidi"/>
          <w:sz w:val="20"/>
          <w:szCs w:val="20"/>
        </w:rPr>
        <w:t>cADRs</w:t>
      </w:r>
      <w:proofErr w:type="spellEnd"/>
      <w:r w:rsidRPr="00ED5F2F">
        <w:rPr>
          <w:rFonts w:asciiTheme="majorBidi" w:hAnsiTheme="majorBidi" w:cstheme="majorBidi"/>
          <w:sz w:val="20"/>
          <w:szCs w:val="20"/>
        </w:rPr>
        <w:t>) and preventable ADRs (</w:t>
      </w:r>
      <w:proofErr w:type="spellStart"/>
      <w:r w:rsidRPr="00ED5F2F">
        <w:rPr>
          <w:rFonts w:asciiTheme="majorBidi" w:hAnsiTheme="majorBidi" w:cstheme="majorBidi"/>
          <w:sz w:val="20"/>
          <w:szCs w:val="20"/>
        </w:rPr>
        <w:t>pADRs</w:t>
      </w:r>
      <w:proofErr w:type="spellEnd"/>
      <w:r w:rsidRPr="00ED5F2F">
        <w:rPr>
          <w:rFonts w:asciiTheme="majorBidi" w:hAnsiTheme="majorBidi" w:cstheme="majorBidi"/>
          <w:sz w:val="20"/>
          <w:szCs w:val="20"/>
        </w:rPr>
        <w:t xml:space="preserve">) in middle-aged patients aged 45-64 years presenting acutely to hospital. </w:t>
      </w:r>
    </w:p>
    <w:p w:rsidR="00A82896" w:rsidRPr="00ED5F2F" w:rsidRDefault="00A82896" w:rsidP="0054617A">
      <w:pPr>
        <w:rPr>
          <w:rFonts w:asciiTheme="majorBidi" w:hAnsiTheme="majorBidi" w:cstheme="majorBidi"/>
          <w:sz w:val="20"/>
          <w:szCs w:val="20"/>
        </w:rPr>
      </w:pPr>
      <w:r w:rsidRPr="00ED5F2F">
        <w:rPr>
          <w:rFonts w:asciiTheme="majorBidi" w:hAnsiTheme="majorBidi" w:cstheme="majorBidi"/>
          <w:b/>
          <w:sz w:val="20"/>
          <w:szCs w:val="20"/>
        </w:rPr>
        <w:t>Methods:</w:t>
      </w:r>
      <w:r w:rsidRPr="00ED5F2F">
        <w:rPr>
          <w:rFonts w:asciiTheme="majorBidi" w:hAnsiTheme="majorBidi" w:cstheme="majorBidi"/>
          <w:sz w:val="20"/>
          <w:szCs w:val="20"/>
        </w:rPr>
        <w:t xml:space="preserve">  Prospective observational pilot study. The sampling frame was middle-aged patients in the Acute Medical Unit of an Irish university teaching hospital. 100 patients using ≥3 medicines were screened for ADRs present at hospitalisation. Potential ADRs were assessed for causality, preventability, severity and relationship to hospitalisation using validated tools and clinician assessment. The associations between ADRs and potentially inappropriate prescribing (PIP) and polypharmacy (≥5 medicines) were investigated using the Pearson’s chi-squared test. Multi-variate logistic regression analyses examined association between ADRs and sex, age, polypharmacy, co-morbidity and PIP. </w:t>
      </w:r>
    </w:p>
    <w:p w:rsidR="00A82896" w:rsidRPr="00ED5F2F" w:rsidRDefault="00A82896" w:rsidP="007245ED">
      <w:pPr>
        <w:rPr>
          <w:rFonts w:asciiTheme="majorBidi" w:hAnsiTheme="majorBidi" w:cstheme="majorBidi"/>
          <w:sz w:val="20"/>
          <w:szCs w:val="20"/>
        </w:rPr>
      </w:pPr>
      <w:r w:rsidRPr="00ED5F2F">
        <w:rPr>
          <w:rFonts w:asciiTheme="majorBidi" w:hAnsiTheme="majorBidi" w:cstheme="majorBidi"/>
          <w:b/>
          <w:sz w:val="20"/>
          <w:szCs w:val="20"/>
        </w:rPr>
        <w:t>Results:</w:t>
      </w:r>
      <w:r w:rsidRPr="00ED5F2F">
        <w:rPr>
          <w:rFonts w:asciiTheme="majorBidi" w:hAnsiTheme="majorBidi" w:cstheme="majorBidi"/>
          <w:sz w:val="20"/>
          <w:szCs w:val="20"/>
        </w:rPr>
        <w:t xml:space="preserve"> Twenty-one of 100 patients experienced 23 ADRs. Prevalence of </w:t>
      </w:r>
      <w:proofErr w:type="spellStart"/>
      <w:r w:rsidRPr="00ED5F2F">
        <w:rPr>
          <w:rFonts w:asciiTheme="majorBidi" w:hAnsiTheme="majorBidi" w:cstheme="majorBidi"/>
          <w:sz w:val="20"/>
          <w:szCs w:val="20"/>
        </w:rPr>
        <w:t>cADR</w:t>
      </w:r>
      <w:proofErr w:type="spellEnd"/>
      <w:r w:rsidRPr="00ED5F2F">
        <w:rPr>
          <w:rFonts w:asciiTheme="majorBidi" w:hAnsiTheme="majorBidi" w:cstheme="majorBidi"/>
          <w:sz w:val="20"/>
          <w:szCs w:val="20"/>
        </w:rPr>
        <w:t xml:space="preserve"> and </w:t>
      </w:r>
      <w:proofErr w:type="spellStart"/>
      <w:r w:rsidRPr="00ED5F2F">
        <w:rPr>
          <w:rFonts w:asciiTheme="majorBidi" w:hAnsiTheme="majorBidi" w:cstheme="majorBidi"/>
          <w:sz w:val="20"/>
          <w:szCs w:val="20"/>
        </w:rPr>
        <w:t>pADR</w:t>
      </w:r>
      <w:proofErr w:type="spellEnd"/>
      <w:r w:rsidRPr="00ED5F2F">
        <w:rPr>
          <w:rFonts w:asciiTheme="majorBidi" w:hAnsiTheme="majorBidi" w:cstheme="majorBidi"/>
          <w:sz w:val="20"/>
          <w:szCs w:val="20"/>
        </w:rPr>
        <w:t xml:space="preserve"> was 14% and 11% of patients respectively. Over half of ADRs identified (n=14) were sufficiently severe to prompt presentation to hospital for urgent medical review.  PIP was associated with occurrence of any ADR (adjusted odds ratio 3.49, 95% CI 1.22-9.93), but not with </w:t>
      </w:r>
      <w:proofErr w:type="spellStart"/>
      <w:r w:rsidRPr="00ED5F2F">
        <w:rPr>
          <w:rFonts w:asciiTheme="majorBidi" w:hAnsiTheme="majorBidi" w:cstheme="majorBidi"/>
          <w:sz w:val="20"/>
          <w:szCs w:val="20"/>
        </w:rPr>
        <w:t>cADR</w:t>
      </w:r>
      <w:proofErr w:type="spellEnd"/>
      <w:r w:rsidRPr="00ED5F2F">
        <w:rPr>
          <w:rFonts w:asciiTheme="majorBidi" w:hAnsiTheme="majorBidi" w:cstheme="majorBidi"/>
          <w:sz w:val="20"/>
          <w:szCs w:val="20"/>
        </w:rPr>
        <w:t>. Excessive polypharmacy (≥10 medicines) (χ</w:t>
      </w:r>
      <w:r w:rsidRPr="00ED5F2F">
        <w:rPr>
          <w:rFonts w:asciiTheme="majorBidi" w:hAnsiTheme="majorBidi" w:cstheme="majorBidi"/>
          <w:sz w:val="20"/>
          <w:szCs w:val="20"/>
          <w:vertAlign w:val="superscript"/>
        </w:rPr>
        <w:t>2</w:t>
      </w:r>
      <w:r w:rsidRPr="00ED5F2F">
        <w:rPr>
          <w:rFonts w:asciiTheme="majorBidi" w:hAnsiTheme="majorBidi" w:cstheme="majorBidi"/>
          <w:sz w:val="20"/>
          <w:szCs w:val="20"/>
        </w:rPr>
        <w:t>=5.73, p=0.02), but not polypharmacy, was associated with any ADR occurrence.</w:t>
      </w:r>
    </w:p>
    <w:p w:rsidR="00A82896" w:rsidRPr="00ED5F2F" w:rsidRDefault="00A82896" w:rsidP="00C918DE">
      <w:pPr>
        <w:rPr>
          <w:rFonts w:asciiTheme="majorBidi" w:hAnsiTheme="majorBidi" w:cstheme="majorBidi"/>
          <w:sz w:val="20"/>
          <w:szCs w:val="20"/>
        </w:rPr>
      </w:pPr>
      <w:r w:rsidRPr="00ED5F2F">
        <w:rPr>
          <w:rFonts w:asciiTheme="majorBidi" w:hAnsiTheme="majorBidi" w:cstheme="majorBidi"/>
          <w:b/>
          <w:sz w:val="20"/>
          <w:szCs w:val="20"/>
        </w:rPr>
        <w:t>Conclusions:</w:t>
      </w:r>
      <w:r w:rsidRPr="00ED5F2F">
        <w:rPr>
          <w:rFonts w:asciiTheme="majorBidi" w:hAnsiTheme="majorBidi" w:cstheme="majorBidi"/>
          <w:sz w:val="20"/>
          <w:szCs w:val="20"/>
        </w:rPr>
        <w:t xml:space="preserve"> One in five patients had an ADR and experienced short-term morbidity as a result. For 11 patients, the experienced ADR was preventable. These findings illustrate that middle-aged patients are vulnerable to medicine-related harm. Additional research in larger studies is needed to more comprehensively describe ADR prevalence in middle-age as well as the risk factors for same.</w:t>
      </w:r>
    </w:p>
    <w:p w:rsidR="00A82896" w:rsidRPr="00ED5F2F" w:rsidRDefault="00A82896" w:rsidP="00F36B54">
      <w:pPr>
        <w:spacing w:after="0"/>
        <w:outlineLvl w:val="0"/>
        <w:rPr>
          <w:rFonts w:ascii="Times New Roman" w:hAnsi="Times New Roman" w:cs="Times New Roman"/>
          <w:b/>
          <w:bCs/>
          <w:sz w:val="20"/>
          <w:szCs w:val="20"/>
          <w:u w:val="single"/>
        </w:rPr>
      </w:pPr>
      <w:r w:rsidRPr="00ED5F2F">
        <w:rPr>
          <w:rFonts w:ascii="Times New Roman" w:hAnsi="Times New Roman" w:cs="Times New Roman"/>
          <w:b/>
          <w:bCs/>
          <w:sz w:val="20"/>
          <w:szCs w:val="20"/>
          <w:u w:val="single"/>
        </w:rPr>
        <w:t>Key Points</w:t>
      </w:r>
    </w:p>
    <w:p w:rsidR="00A82896" w:rsidRPr="00ED5F2F" w:rsidRDefault="00A82896" w:rsidP="00F36B54">
      <w:pPr>
        <w:spacing w:after="0"/>
        <w:outlineLvl w:val="0"/>
        <w:rPr>
          <w:rFonts w:ascii="Times New Roman" w:hAnsi="Times New Roman" w:cs="Times New Roman"/>
          <w:sz w:val="20"/>
          <w:szCs w:val="20"/>
        </w:rPr>
      </w:pPr>
    </w:p>
    <w:p w:rsidR="00A82896" w:rsidRPr="00ED5F2F" w:rsidRDefault="00A82896" w:rsidP="004A4C20">
      <w:pPr>
        <w:pStyle w:val="ListParagraph"/>
        <w:numPr>
          <w:ilvl w:val="0"/>
          <w:numId w:val="10"/>
        </w:numPr>
        <w:rPr>
          <w:rFonts w:asciiTheme="majorBidi" w:hAnsiTheme="majorBidi" w:cstheme="majorBidi"/>
          <w:sz w:val="20"/>
          <w:szCs w:val="20"/>
        </w:rPr>
      </w:pPr>
      <w:r w:rsidRPr="00ED5F2F">
        <w:rPr>
          <w:rFonts w:ascii="Times New Roman" w:hAnsi="Times New Roman" w:cs="Times New Roman"/>
          <w:sz w:val="20"/>
          <w:szCs w:val="20"/>
        </w:rPr>
        <w:t>In this pilot study, 14 of 100 middle-aged patients (45-64 years) experienced an adverse drug reaction (ADR) which caused or contributed to their hospitalisation.</w:t>
      </w:r>
    </w:p>
    <w:p w:rsidR="00A82896" w:rsidRPr="00ED5F2F" w:rsidRDefault="00A82896" w:rsidP="004A4C20">
      <w:pPr>
        <w:pStyle w:val="ListParagraph"/>
        <w:numPr>
          <w:ilvl w:val="0"/>
          <w:numId w:val="10"/>
        </w:numPr>
        <w:rPr>
          <w:rFonts w:asciiTheme="majorBidi" w:hAnsiTheme="majorBidi" w:cstheme="majorBidi"/>
          <w:sz w:val="20"/>
          <w:szCs w:val="20"/>
        </w:rPr>
      </w:pPr>
      <w:r w:rsidRPr="00ED5F2F">
        <w:rPr>
          <w:rFonts w:ascii="Times New Roman" w:hAnsi="Times New Roman" w:cs="Times New Roman"/>
          <w:sz w:val="20"/>
          <w:szCs w:val="20"/>
        </w:rPr>
        <w:t xml:space="preserve"> Potentially inappropriate prescribing and using 10 or more medicines were associated with ADR occurrence – our study is the first to identify this association in middle-aged patients. </w:t>
      </w:r>
    </w:p>
    <w:p w:rsidR="00A82896" w:rsidRPr="00ED5F2F" w:rsidRDefault="00A82896" w:rsidP="00584800">
      <w:pPr>
        <w:pStyle w:val="ListParagraph"/>
        <w:numPr>
          <w:ilvl w:val="0"/>
          <w:numId w:val="10"/>
        </w:numPr>
        <w:rPr>
          <w:rFonts w:asciiTheme="majorBidi" w:hAnsiTheme="majorBidi" w:cstheme="majorBidi"/>
          <w:sz w:val="20"/>
          <w:szCs w:val="20"/>
        </w:rPr>
      </w:pPr>
      <w:r w:rsidRPr="00ED5F2F">
        <w:rPr>
          <w:rFonts w:ascii="Times New Roman" w:hAnsi="Times New Roman" w:cs="Times New Roman"/>
          <w:sz w:val="20"/>
          <w:szCs w:val="20"/>
        </w:rPr>
        <w:t>Our results suggest that middle-aged patients may be more vulnerable to ADRs than previously appreciated and that further research is warranted to better quantify this vulnerability.</w:t>
      </w:r>
    </w:p>
    <w:p w:rsidR="00A82896" w:rsidRPr="00ED5F2F" w:rsidRDefault="00A82896" w:rsidP="00E934E6">
      <w:pPr>
        <w:rPr>
          <w:rFonts w:asciiTheme="majorBidi" w:hAnsiTheme="majorBidi" w:cstheme="majorBidi"/>
          <w:sz w:val="20"/>
          <w:szCs w:val="20"/>
        </w:rPr>
      </w:pPr>
      <w:r w:rsidRPr="00ED5F2F">
        <w:rPr>
          <w:rFonts w:asciiTheme="majorBidi" w:hAnsiTheme="majorBidi" w:cstheme="majorBidi"/>
          <w:b/>
          <w:bCs/>
          <w:sz w:val="20"/>
          <w:szCs w:val="20"/>
        </w:rPr>
        <w:t>Key words</w:t>
      </w:r>
      <w:r w:rsidRPr="00ED5F2F">
        <w:rPr>
          <w:rFonts w:asciiTheme="majorBidi" w:hAnsiTheme="majorBidi" w:cstheme="majorBidi"/>
          <w:sz w:val="20"/>
          <w:szCs w:val="20"/>
        </w:rPr>
        <w:t xml:space="preserve">: Middle age. Adverse drug reaction. Hospitalisation. Polypharmacy. Potentially inappropriate prescribing. </w:t>
      </w:r>
    </w:p>
    <w:p w:rsidR="00A82896" w:rsidRPr="00ED5F2F" w:rsidRDefault="00A82896" w:rsidP="00E77060">
      <w:pPr>
        <w:jc w:val="both"/>
        <w:rPr>
          <w:rFonts w:asciiTheme="majorBidi" w:hAnsiTheme="majorBidi" w:cstheme="majorBidi"/>
          <w:b/>
          <w:bCs/>
          <w:sz w:val="20"/>
          <w:szCs w:val="20"/>
        </w:rPr>
      </w:pPr>
      <w:r w:rsidRPr="00ED5F2F">
        <w:rPr>
          <w:rFonts w:asciiTheme="majorBidi" w:hAnsiTheme="majorBidi" w:cstheme="majorBidi"/>
          <w:b/>
          <w:bCs/>
          <w:sz w:val="20"/>
          <w:szCs w:val="20"/>
        </w:rPr>
        <w:t>1. Introduction</w:t>
      </w:r>
    </w:p>
    <w:p w:rsidR="00A82896" w:rsidRPr="00ED5F2F" w:rsidRDefault="00A82896" w:rsidP="00CB1546">
      <w:pPr>
        <w:rPr>
          <w:rFonts w:asciiTheme="majorBidi" w:hAnsiTheme="majorBidi" w:cstheme="majorBidi"/>
          <w:sz w:val="20"/>
          <w:szCs w:val="20"/>
        </w:rPr>
      </w:pPr>
      <w:r w:rsidRPr="00ED5F2F">
        <w:rPr>
          <w:rFonts w:asciiTheme="majorBidi" w:hAnsiTheme="majorBidi" w:cstheme="majorBidi"/>
          <w:sz w:val="20"/>
          <w:szCs w:val="20"/>
        </w:rPr>
        <w:t xml:space="preserve">Balancing the benefit and risk when prescribing medicines is a common dilemma, compounded by the rising prevalence of multimorbidity and polypharmacy across the adult age spectrum </w:t>
      </w:r>
      <w:r w:rsidRPr="00ED5F2F">
        <w:rPr>
          <w:rFonts w:asciiTheme="majorBidi" w:hAnsiTheme="majorBidi" w:cstheme="majorBidi"/>
          <w:noProof/>
          <w:sz w:val="20"/>
          <w:szCs w:val="20"/>
        </w:rPr>
        <w:t>(1, 2)</w:t>
      </w:r>
      <w:r w:rsidRPr="00ED5F2F">
        <w:rPr>
          <w:rFonts w:asciiTheme="majorBidi" w:hAnsiTheme="majorBidi" w:cstheme="majorBidi"/>
          <w:sz w:val="20"/>
          <w:szCs w:val="20"/>
        </w:rPr>
        <w:t xml:space="preserve">. Adverse drug reactions (ADRs) are an inherent risk of prescribing which may contribute to morbidity, mortality and healthcare costs </w:t>
      </w:r>
      <w:r w:rsidRPr="00ED5F2F">
        <w:rPr>
          <w:rFonts w:asciiTheme="majorBidi" w:hAnsiTheme="majorBidi" w:cstheme="majorBidi"/>
          <w:noProof/>
          <w:sz w:val="20"/>
          <w:szCs w:val="20"/>
        </w:rPr>
        <w:t>(3)</w:t>
      </w:r>
      <w:r w:rsidRPr="00ED5F2F">
        <w:rPr>
          <w:rFonts w:asciiTheme="majorBidi" w:hAnsiTheme="majorBidi" w:cstheme="majorBidi"/>
          <w:sz w:val="20"/>
          <w:szCs w:val="20"/>
        </w:rPr>
        <w:t xml:space="preserve">. Notwithstanding that ADRs are unintended and occur at appropriate dosages, they remain a public health concern because a substantial proportion are potentially preventable </w:t>
      </w:r>
      <w:r w:rsidRPr="00ED5F2F">
        <w:rPr>
          <w:rFonts w:asciiTheme="majorBidi" w:hAnsiTheme="majorBidi" w:cstheme="majorBidi"/>
          <w:noProof/>
          <w:sz w:val="20"/>
          <w:szCs w:val="20"/>
        </w:rPr>
        <w:t>(4)</w:t>
      </w:r>
      <w:r w:rsidRPr="00ED5F2F">
        <w:rPr>
          <w:rFonts w:asciiTheme="majorBidi" w:hAnsiTheme="majorBidi" w:cstheme="majorBidi"/>
          <w:sz w:val="20"/>
          <w:szCs w:val="20"/>
        </w:rPr>
        <w:t xml:space="preserve">.  </w:t>
      </w:r>
    </w:p>
    <w:p w:rsidR="00A82896" w:rsidRPr="00ED5F2F" w:rsidRDefault="00A82896" w:rsidP="00CB1546">
      <w:pPr>
        <w:rPr>
          <w:rFonts w:asciiTheme="majorBidi" w:hAnsiTheme="majorBidi" w:cstheme="majorBidi"/>
          <w:sz w:val="20"/>
          <w:szCs w:val="20"/>
        </w:rPr>
      </w:pPr>
      <w:r w:rsidRPr="00ED5F2F">
        <w:rPr>
          <w:rFonts w:asciiTheme="majorBidi" w:hAnsiTheme="majorBidi" w:cstheme="majorBidi"/>
          <w:sz w:val="20"/>
          <w:szCs w:val="20"/>
        </w:rPr>
        <w:t xml:space="preserve">Potentially inappropriate prescribing (PIP) occurs where the risk of adverse effect exceeds the expected clinical benefit of a prescribed medicine, especially when evidence supports a safer or more cost-effective alternative </w:t>
      </w:r>
      <w:r w:rsidRPr="00ED5F2F">
        <w:rPr>
          <w:rFonts w:asciiTheme="majorBidi" w:hAnsiTheme="majorBidi" w:cstheme="majorBidi"/>
          <w:noProof/>
          <w:sz w:val="20"/>
          <w:szCs w:val="20"/>
        </w:rPr>
        <w:t>(5)</w:t>
      </w:r>
      <w:r w:rsidRPr="00ED5F2F">
        <w:rPr>
          <w:rFonts w:asciiTheme="majorBidi" w:hAnsiTheme="majorBidi" w:cstheme="majorBidi"/>
          <w:sz w:val="20"/>
          <w:szCs w:val="20"/>
        </w:rPr>
        <w:t xml:space="preserve">. PIP incorporates potential prescribing omissions (PPOs) and potentially inappropriate medicines (PIMs) and has been frequently, but not consistently, associated with adverse medicine-related outcomes in older patients </w:t>
      </w:r>
      <w:r w:rsidRPr="00ED5F2F">
        <w:rPr>
          <w:rFonts w:asciiTheme="majorBidi" w:hAnsiTheme="majorBidi" w:cstheme="majorBidi"/>
          <w:noProof/>
          <w:sz w:val="20"/>
          <w:szCs w:val="20"/>
        </w:rPr>
        <w:t>(6-8)</w:t>
      </w:r>
      <w:r w:rsidRPr="00ED5F2F">
        <w:rPr>
          <w:rFonts w:asciiTheme="majorBidi" w:hAnsiTheme="majorBidi" w:cstheme="majorBidi"/>
          <w:sz w:val="20"/>
          <w:szCs w:val="20"/>
        </w:rPr>
        <w:t xml:space="preserve">. Multimorbidity and polypharmacy are associated with advancing age and drug-related hospitalisation in </w:t>
      </w:r>
      <w:r w:rsidRPr="00ED5F2F">
        <w:rPr>
          <w:rFonts w:asciiTheme="majorBidi" w:hAnsiTheme="majorBidi" w:cstheme="majorBidi"/>
          <w:sz w:val="20"/>
          <w:szCs w:val="20"/>
        </w:rPr>
        <w:lastRenderedPageBreak/>
        <w:t xml:space="preserve">older (&gt;65 years) patients </w:t>
      </w:r>
      <w:r w:rsidRPr="00ED5F2F">
        <w:rPr>
          <w:rFonts w:asciiTheme="majorBidi" w:hAnsiTheme="majorBidi" w:cstheme="majorBidi"/>
          <w:noProof/>
          <w:sz w:val="20"/>
          <w:szCs w:val="20"/>
        </w:rPr>
        <w:t>(9, 10)</w:t>
      </w:r>
      <w:r w:rsidRPr="00ED5F2F">
        <w:rPr>
          <w:rFonts w:asciiTheme="majorBidi" w:hAnsiTheme="majorBidi" w:cstheme="majorBidi"/>
          <w:sz w:val="20"/>
          <w:szCs w:val="20"/>
        </w:rPr>
        <w:t xml:space="preserve">. Given these associations, older patients have been a central research focus on ADRs. </w:t>
      </w:r>
    </w:p>
    <w:p w:rsidR="00A82896" w:rsidRPr="00ED5F2F" w:rsidRDefault="00A82896" w:rsidP="00AB542B">
      <w:pPr>
        <w:rPr>
          <w:rFonts w:asciiTheme="majorBidi" w:hAnsiTheme="majorBidi" w:cstheme="majorBidi"/>
          <w:sz w:val="20"/>
          <w:szCs w:val="20"/>
        </w:rPr>
      </w:pPr>
      <w:r w:rsidRPr="00ED5F2F">
        <w:rPr>
          <w:rFonts w:asciiTheme="majorBidi" w:hAnsiTheme="majorBidi" w:cstheme="majorBidi"/>
          <w:sz w:val="20"/>
          <w:szCs w:val="20"/>
        </w:rPr>
        <w:t xml:space="preserve">Considerably less is known about ADR-related hospitalisation in middle-age (45-64 years), but evidence does suggest an appreciable prevalence of risk factors in this cohort. Multimorbidity is prevalent in 23% of </w:t>
      </w:r>
      <w:proofErr w:type="gramStart"/>
      <w:r w:rsidRPr="00ED5F2F">
        <w:rPr>
          <w:rFonts w:asciiTheme="majorBidi" w:hAnsiTheme="majorBidi" w:cstheme="majorBidi"/>
          <w:sz w:val="20"/>
          <w:szCs w:val="20"/>
        </w:rPr>
        <w:t>45-54 year</w:t>
      </w:r>
      <w:proofErr w:type="gramEnd"/>
      <w:r w:rsidRPr="00ED5F2F">
        <w:rPr>
          <w:rFonts w:asciiTheme="majorBidi" w:hAnsiTheme="majorBidi" w:cstheme="majorBidi"/>
          <w:sz w:val="20"/>
          <w:szCs w:val="20"/>
        </w:rPr>
        <w:t xml:space="preserve"> olds and 39% of 55-64 year old primary care patients in Scotland </w:t>
      </w:r>
      <w:r w:rsidRPr="00ED5F2F">
        <w:rPr>
          <w:rFonts w:asciiTheme="majorBidi" w:hAnsiTheme="majorBidi" w:cstheme="majorBidi"/>
          <w:noProof/>
          <w:sz w:val="20"/>
          <w:szCs w:val="20"/>
        </w:rPr>
        <w:t>(11)</w:t>
      </w:r>
      <w:r w:rsidRPr="00ED5F2F">
        <w:rPr>
          <w:rFonts w:asciiTheme="majorBidi" w:hAnsiTheme="majorBidi" w:cstheme="majorBidi"/>
          <w:sz w:val="20"/>
          <w:szCs w:val="20"/>
        </w:rPr>
        <w:t xml:space="preserve">. In </w:t>
      </w:r>
      <w:proofErr w:type="gramStart"/>
      <w:r w:rsidRPr="00ED5F2F">
        <w:rPr>
          <w:rFonts w:asciiTheme="majorBidi" w:hAnsiTheme="majorBidi" w:cstheme="majorBidi"/>
          <w:sz w:val="20"/>
          <w:szCs w:val="20"/>
        </w:rPr>
        <w:t>Ireland ,</w:t>
      </w:r>
      <w:proofErr w:type="gramEnd"/>
      <w:r w:rsidRPr="00ED5F2F">
        <w:rPr>
          <w:rFonts w:asciiTheme="majorBidi" w:hAnsiTheme="majorBidi" w:cstheme="majorBidi"/>
          <w:sz w:val="20"/>
          <w:szCs w:val="20"/>
        </w:rPr>
        <w:t xml:space="preserve"> prevalence of polypharmacy (≥5 medicines) in middle-age increased from 8.3% in 1997 to 30.2% in 2012 </w:t>
      </w:r>
      <w:r w:rsidRPr="00ED5F2F">
        <w:rPr>
          <w:rFonts w:asciiTheme="majorBidi" w:hAnsiTheme="majorBidi" w:cstheme="majorBidi"/>
          <w:noProof/>
          <w:sz w:val="20"/>
          <w:szCs w:val="20"/>
        </w:rPr>
        <w:t>(12)</w:t>
      </w:r>
      <w:r w:rsidRPr="00ED5F2F">
        <w:rPr>
          <w:rFonts w:asciiTheme="majorBidi" w:hAnsiTheme="majorBidi" w:cstheme="majorBidi"/>
          <w:sz w:val="20"/>
          <w:szCs w:val="20"/>
        </w:rPr>
        <w:t xml:space="preserve">. The prevalence of excessive polypharmacy (≥10 medicines) also increased over the same period. PIP is also prevalent in middle-age, having been reported as 42.9% and 21.1% of primary care populations in Northern Ireland and Ireland respectively </w:t>
      </w:r>
      <w:r w:rsidRPr="00ED5F2F">
        <w:rPr>
          <w:rFonts w:asciiTheme="majorBidi" w:hAnsiTheme="majorBidi" w:cstheme="majorBidi"/>
          <w:noProof/>
          <w:sz w:val="20"/>
          <w:szCs w:val="20"/>
        </w:rPr>
        <w:t>(13)</w:t>
      </w:r>
      <w:r w:rsidRPr="00ED5F2F">
        <w:rPr>
          <w:rFonts w:asciiTheme="majorBidi" w:hAnsiTheme="majorBidi" w:cstheme="majorBidi"/>
          <w:sz w:val="20"/>
          <w:szCs w:val="20"/>
        </w:rPr>
        <w:t xml:space="preserve">. </w:t>
      </w:r>
    </w:p>
    <w:p w:rsidR="00A82896" w:rsidRPr="00ED5F2F" w:rsidRDefault="00A82896" w:rsidP="00AB542B">
      <w:pPr>
        <w:rPr>
          <w:rFonts w:asciiTheme="majorBidi" w:hAnsiTheme="majorBidi" w:cstheme="majorBidi"/>
          <w:sz w:val="20"/>
          <w:szCs w:val="20"/>
        </w:rPr>
      </w:pPr>
      <w:r w:rsidRPr="00ED5F2F">
        <w:rPr>
          <w:rFonts w:asciiTheme="majorBidi" w:hAnsiTheme="majorBidi" w:cstheme="majorBidi"/>
          <w:sz w:val="20"/>
          <w:szCs w:val="20"/>
        </w:rPr>
        <w:t xml:space="preserve">We aimed to explore the prevalence, severity and preventability of ADR-related hospitalisation among middle-aged patients presenting acutely to hospital and to identify potential risk factors for same.  </w:t>
      </w:r>
    </w:p>
    <w:p w:rsidR="00A82896" w:rsidRPr="00ED5F2F" w:rsidRDefault="00A82896" w:rsidP="00E77060">
      <w:pPr>
        <w:rPr>
          <w:rFonts w:asciiTheme="majorBidi" w:hAnsiTheme="majorBidi" w:cstheme="majorBidi"/>
          <w:b/>
          <w:bCs/>
          <w:sz w:val="20"/>
          <w:szCs w:val="20"/>
        </w:rPr>
      </w:pPr>
      <w:r w:rsidRPr="00ED5F2F">
        <w:rPr>
          <w:rFonts w:asciiTheme="majorBidi" w:hAnsiTheme="majorBidi" w:cstheme="majorBidi"/>
          <w:b/>
          <w:bCs/>
          <w:sz w:val="20"/>
          <w:szCs w:val="20"/>
        </w:rPr>
        <w:t>2. Methods</w:t>
      </w:r>
    </w:p>
    <w:p w:rsidR="00A82896" w:rsidRPr="00ED5F2F" w:rsidRDefault="00A82896" w:rsidP="00C918DE">
      <w:pPr>
        <w:outlineLvl w:val="0"/>
        <w:rPr>
          <w:rFonts w:asciiTheme="majorBidi" w:hAnsiTheme="majorBidi" w:cstheme="majorBidi"/>
          <w:b/>
          <w:bCs/>
          <w:sz w:val="20"/>
          <w:szCs w:val="20"/>
        </w:rPr>
      </w:pPr>
      <w:r w:rsidRPr="00ED5F2F">
        <w:rPr>
          <w:rFonts w:asciiTheme="majorBidi" w:hAnsiTheme="majorBidi" w:cstheme="majorBidi"/>
          <w:b/>
          <w:bCs/>
          <w:sz w:val="20"/>
          <w:szCs w:val="20"/>
        </w:rPr>
        <w:t>2.1 Study Design and Setting</w:t>
      </w:r>
    </w:p>
    <w:p w:rsidR="00A82896" w:rsidRPr="00ED5F2F" w:rsidRDefault="00A82896" w:rsidP="00712390">
      <w:pPr>
        <w:rPr>
          <w:rFonts w:asciiTheme="majorBidi" w:hAnsiTheme="majorBidi" w:cstheme="majorBidi"/>
          <w:sz w:val="20"/>
          <w:szCs w:val="20"/>
        </w:rPr>
      </w:pPr>
      <w:r w:rsidRPr="00ED5F2F">
        <w:rPr>
          <w:rFonts w:asciiTheme="majorBidi" w:hAnsiTheme="majorBidi" w:cstheme="majorBidi"/>
          <w:sz w:val="20"/>
          <w:szCs w:val="20"/>
        </w:rPr>
        <w:t xml:space="preserve">A prospective, observational pilot study was undertaken in the Acute Medical Unit (AMU) and co-located Acute Medical Assessment Unit (AMAU) of a university teaching hospital in Dublin, Ireland. The AMU is a medical short stay ward designed for acute medical patients with an anticipated length of hospital stay &lt;5 days. The AMAU is a rapid assessment unit operating 12 hours daily, Monday-Friday, from which patients may be admitted to hospital or discharged. During the study period, care for most patients in both units was shared between four AMU consultant physicians with expertise in cardiology, endocrinology, respiratory medicine and age-related healthcare. </w:t>
      </w:r>
    </w:p>
    <w:p w:rsidR="00A82896" w:rsidRPr="00ED5F2F" w:rsidRDefault="00A82896" w:rsidP="00C918DE">
      <w:pPr>
        <w:outlineLvl w:val="0"/>
        <w:rPr>
          <w:rFonts w:asciiTheme="majorBidi" w:hAnsiTheme="majorBidi" w:cstheme="majorBidi"/>
          <w:b/>
          <w:bCs/>
          <w:sz w:val="20"/>
          <w:szCs w:val="20"/>
        </w:rPr>
      </w:pPr>
      <w:r w:rsidRPr="00ED5F2F">
        <w:rPr>
          <w:rFonts w:asciiTheme="majorBidi" w:hAnsiTheme="majorBidi" w:cstheme="majorBidi"/>
          <w:b/>
          <w:bCs/>
          <w:sz w:val="20"/>
          <w:szCs w:val="20"/>
        </w:rPr>
        <w:t xml:space="preserve">2.2 Sampling </w:t>
      </w:r>
    </w:p>
    <w:p w:rsidR="00A82896" w:rsidRPr="00ED5F2F" w:rsidRDefault="00A82896" w:rsidP="006136C6">
      <w:pPr>
        <w:rPr>
          <w:rFonts w:asciiTheme="majorBidi" w:hAnsiTheme="majorBidi" w:cstheme="majorBidi"/>
          <w:sz w:val="20"/>
          <w:szCs w:val="20"/>
        </w:rPr>
      </w:pPr>
      <w:r w:rsidRPr="00ED5F2F">
        <w:rPr>
          <w:rFonts w:asciiTheme="majorBidi" w:hAnsiTheme="majorBidi" w:cstheme="majorBidi"/>
          <w:sz w:val="20"/>
          <w:szCs w:val="20"/>
        </w:rPr>
        <w:t xml:space="preserve">The sampling frame was all patients aged 45-64 years present on the AMU or AMAU [collectively called AM(A)U henceforth] and under the care of an AMU consultant physician, at time of data collection. To reduce selection bias, the list of AM(A)U patients was randomised using Microsoft Excel 2007 </w:t>
      </w:r>
      <w:proofErr w:type="gramStart"/>
      <w:r w:rsidRPr="00ED5F2F">
        <w:rPr>
          <w:rFonts w:asciiTheme="majorBidi" w:hAnsiTheme="majorBidi" w:cstheme="majorBidi"/>
          <w:sz w:val="20"/>
          <w:szCs w:val="20"/>
        </w:rPr>
        <w:t>RAND(</w:t>
      </w:r>
      <w:proofErr w:type="gramEnd"/>
      <w:r w:rsidRPr="00ED5F2F">
        <w:rPr>
          <w:rFonts w:asciiTheme="majorBidi" w:hAnsiTheme="majorBidi" w:cstheme="majorBidi"/>
          <w:sz w:val="20"/>
          <w:szCs w:val="20"/>
        </w:rPr>
        <w:t>) function. The study’s eligibility criteria were then consecutively applied. The first patient satisfying these criteria was selected for recruitment. Inclusion criterion was prescribed or taking ≥3 medicines (in single or compound formulations) pre-hospitalisation. Exclusion criteria were patients who: were hospital employees, required the use of a foreign-language interpreter, presented with deliberate self-harm, were receiving end-of-life care or had already been included in the study and presented again to the AM(A)U during the study period (Figure 1).</w:t>
      </w:r>
    </w:p>
    <w:p w:rsidR="00A82896" w:rsidRPr="00ED5F2F" w:rsidRDefault="00A82896" w:rsidP="006136C6">
      <w:pPr>
        <w:rPr>
          <w:rFonts w:asciiTheme="majorBidi" w:hAnsiTheme="majorBidi" w:cstheme="majorBidi"/>
          <w:sz w:val="20"/>
          <w:szCs w:val="20"/>
        </w:rPr>
      </w:pPr>
      <w:r w:rsidRPr="00ED5F2F">
        <w:rPr>
          <w:noProof/>
        </w:rPr>
        <w:lastRenderedPageBreak/>
        <w:drawing>
          <wp:inline distT="0" distB="0" distL="0" distR="0" wp14:anchorId="0E543509" wp14:editId="5C0D0D87">
            <wp:extent cx="5486400" cy="4838700"/>
            <wp:effectExtent l="0" t="3810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A82896" w:rsidRPr="00ED5F2F" w:rsidRDefault="00A82896" w:rsidP="009F5073">
      <w:pPr>
        <w:pStyle w:val="Caption"/>
        <w:spacing w:after="0"/>
        <w:rPr>
          <w:rFonts w:asciiTheme="majorBidi" w:hAnsiTheme="majorBidi" w:cstheme="majorBidi"/>
          <w:sz w:val="20"/>
          <w:szCs w:val="20"/>
        </w:rPr>
      </w:pPr>
      <w:r w:rsidRPr="00ED5F2F">
        <w:rPr>
          <w:rFonts w:asciiTheme="majorBidi" w:hAnsiTheme="majorBidi" w:cstheme="majorBidi"/>
          <w:sz w:val="20"/>
          <w:szCs w:val="20"/>
        </w:rPr>
        <w:t xml:space="preserve">Fig. 1 Flowchart of patient screening and application of inclusion and exclusion criteria. </w:t>
      </w:r>
    </w:p>
    <w:p w:rsidR="00A82896" w:rsidRPr="00ED5F2F" w:rsidRDefault="00A82896" w:rsidP="006136C6">
      <w:pPr>
        <w:rPr>
          <w:rFonts w:asciiTheme="majorBidi" w:hAnsiTheme="majorBidi" w:cstheme="majorBidi"/>
          <w:b/>
          <w:bCs/>
          <w:sz w:val="20"/>
          <w:szCs w:val="20"/>
        </w:rPr>
      </w:pPr>
      <w:r w:rsidRPr="00ED5F2F">
        <w:rPr>
          <w:rFonts w:asciiTheme="majorBidi" w:hAnsiTheme="majorBidi" w:cstheme="majorBidi"/>
          <w:b/>
          <w:bCs/>
          <w:sz w:val="20"/>
          <w:szCs w:val="20"/>
        </w:rPr>
        <w:t>AM(A)U = Acute Medical (Assessment) Unit.</w:t>
      </w:r>
    </w:p>
    <w:p w:rsidR="00A82896" w:rsidRPr="00ED5F2F" w:rsidRDefault="00A82896" w:rsidP="006136C6">
      <w:pPr>
        <w:rPr>
          <w:rFonts w:asciiTheme="majorBidi" w:hAnsiTheme="majorBidi" w:cstheme="majorBidi"/>
          <w:sz w:val="20"/>
          <w:szCs w:val="20"/>
        </w:rPr>
      </w:pPr>
      <w:r w:rsidRPr="00ED5F2F">
        <w:rPr>
          <w:rFonts w:asciiTheme="majorBidi" w:hAnsiTheme="majorBidi" w:cstheme="majorBidi"/>
          <w:b/>
          <w:bCs/>
          <w:sz w:val="20"/>
          <w:szCs w:val="20"/>
        </w:rPr>
        <w:t xml:space="preserve">2.3 Sample Size </w:t>
      </w:r>
    </w:p>
    <w:p w:rsidR="00A82896" w:rsidRPr="00ED5F2F" w:rsidRDefault="00A82896" w:rsidP="00B72931">
      <w:pPr>
        <w:rPr>
          <w:rFonts w:asciiTheme="majorBidi" w:hAnsiTheme="majorBidi" w:cstheme="majorBidi"/>
          <w:sz w:val="20"/>
          <w:szCs w:val="20"/>
        </w:rPr>
      </w:pPr>
      <w:r w:rsidRPr="00ED5F2F">
        <w:rPr>
          <w:rFonts w:asciiTheme="majorBidi" w:hAnsiTheme="majorBidi" w:cstheme="majorBidi"/>
          <w:sz w:val="20"/>
          <w:szCs w:val="20"/>
        </w:rPr>
        <w:t xml:space="preserve">Given the absence of comparable studies in middle-aged hospitalised patients and the exploratory nature of this study, the optimal sample size could not be readily calculated. A pragmatic target of 100 patients was sought to enable multi-variate regression analysis incorporating five independent variables. </w:t>
      </w:r>
    </w:p>
    <w:p w:rsidR="00A82896" w:rsidRPr="00ED5F2F" w:rsidRDefault="00A82896" w:rsidP="00C918DE">
      <w:pPr>
        <w:outlineLvl w:val="0"/>
        <w:rPr>
          <w:rFonts w:asciiTheme="majorBidi" w:hAnsiTheme="majorBidi" w:cstheme="majorBidi"/>
          <w:b/>
          <w:bCs/>
          <w:sz w:val="20"/>
          <w:szCs w:val="20"/>
        </w:rPr>
      </w:pPr>
      <w:r w:rsidRPr="00ED5F2F">
        <w:rPr>
          <w:rFonts w:asciiTheme="majorBidi" w:hAnsiTheme="majorBidi" w:cstheme="majorBidi"/>
          <w:b/>
          <w:bCs/>
          <w:sz w:val="20"/>
          <w:szCs w:val="20"/>
        </w:rPr>
        <w:t>2.4 Data Collection</w:t>
      </w:r>
    </w:p>
    <w:p w:rsidR="00A82896" w:rsidRPr="00ED5F2F" w:rsidRDefault="00A82896" w:rsidP="006136C6">
      <w:pPr>
        <w:rPr>
          <w:rFonts w:asciiTheme="majorBidi" w:hAnsiTheme="majorBidi" w:cstheme="majorBidi"/>
          <w:sz w:val="20"/>
          <w:szCs w:val="20"/>
        </w:rPr>
      </w:pPr>
      <w:r w:rsidRPr="00ED5F2F">
        <w:rPr>
          <w:rFonts w:asciiTheme="majorBidi" w:hAnsiTheme="majorBidi" w:cstheme="majorBidi"/>
          <w:sz w:val="20"/>
          <w:szCs w:val="20"/>
        </w:rPr>
        <w:t xml:space="preserve">Data collection occurred over 13 non-consecutive weeks from March to June 2017 between 08.00 and 18.00 Monday-Friday. Data concerning sex, age, medicine allergy and intolerance history, medical/surgical/social history, diagnostic investigations, laboratory tests, differential diagnoses, problem list, treating physician and disposition (admitted or discharged) were collected. Each patient’s best possible medication history (BPMH) was generated by TS in accordance with local standard practice (derived from the World Health Organisation’s protocol for medicine reconciliation and previous local research) </w:t>
      </w:r>
      <w:r w:rsidRPr="00ED5F2F">
        <w:rPr>
          <w:rFonts w:asciiTheme="majorBidi" w:hAnsiTheme="majorBidi" w:cstheme="majorBidi"/>
          <w:noProof/>
          <w:sz w:val="20"/>
          <w:szCs w:val="20"/>
        </w:rPr>
        <w:t>(14, 15)</w:t>
      </w:r>
      <w:r w:rsidRPr="00ED5F2F">
        <w:rPr>
          <w:rFonts w:asciiTheme="majorBidi" w:hAnsiTheme="majorBidi" w:cstheme="majorBidi"/>
          <w:sz w:val="20"/>
          <w:szCs w:val="20"/>
        </w:rPr>
        <w:t xml:space="preserve">. Creatinine clearance at point of hospitalisation was calculated using the Cockcroft and Gault method, if body weight was documented. PIP was identified by applying the </w:t>
      </w:r>
      <w:proofErr w:type="spellStart"/>
      <w:r w:rsidRPr="00ED5F2F">
        <w:rPr>
          <w:rFonts w:asciiTheme="majorBidi" w:hAnsiTheme="majorBidi" w:cstheme="majorBidi"/>
          <w:sz w:val="20"/>
          <w:szCs w:val="20"/>
        </w:rPr>
        <w:t>PRescribing</w:t>
      </w:r>
      <w:proofErr w:type="spellEnd"/>
      <w:r w:rsidRPr="00ED5F2F">
        <w:rPr>
          <w:rFonts w:asciiTheme="majorBidi" w:hAnsiTheme="majorBidi" w:cstheme="majorBidi"/>
          <w:sz w:val="20"/>
          <w:szCs w:val="20"/>
        </w:rPr>
        <w:t xml:space="preserve"> Optimally in Middle-aged People’s Treatments (PROMPT) criteria to the BPMH </w:t>
      </w:r>
      <w:r w:rsidRPr="00ED5F2F">
        <w:rPr>
          <w:rFonts w:asciiTheme="majorBidi" w:hAnsiTheme="majorBidi" w:cstheme="majorBidi"/>
          <w:noProof/>
          <w:sz w:val="20"/>
          <w:szCs w:val="20"/>
        </w:rPr>
        <w:t>(16)</w:t>
      </w:r>
      <w:r w:rsidRPr="00ED5F2F">
        <w:rPr>
          <w:rFonts w:asciiTheme="majorBidi" w:hAnsiTheme="majorBidi" w:cstheme="majorBidi"/>
          <w:sz w:val="20"/>
          <w:szCs w:val="20"/>
        </w:rPr>
        <w:t xml:space="preserve">. Recruited patients were followed-up until discharge to contextualise suspected ADRs. Following discharge, a </w:t>
      </w:r>
      <w:proofErr w:type="spellStart"/>
      <w:r w:rsidRPr="00ED5F2F">
        <w:rPr>
          <w:rFonts w:asciiTheme="majorBidi" w:hAnsiTheme="majorBidi" w:cstheme="majorBidi"/>
          <w:sz w:val="20"/>
          <w:szCs w:val="20"/>
        </w:rPr>
        <w:t>Charlson</w:t>
      </w:r>
      <w:proofErr w:type="spellEnd"/>
      <w:r w:rsidRPr="00ED5F2F">
        <w:rPr>
          <w:rFonts w:asciiTheme="majorBidi" w:hAnsiTheme="majorBidi" w:cstheme="majorBidi"/>
          <w:sz w:val="20"/>
          <w:szCs w:val="20"/>
        </w:rPr>
        <w:t xml:space="preserve"> Co-morbidity Index (CCMI) score was calculated, allowing the capture of newly diagnosed co-morbidities (e.g. new diagnosis of drug-induced liver disease in patient presenting with abdominal pain and jaundice) </w:t>
      </w:r>
      <w:r w:rsidRPr="00ED5F2F">
        <w:rPr>
          <w:rFonts w:asciiTheme="majorBidi" w:hAnsiTheme="majorBidi" w:cstheme="majorBidi"/>
          <w:noProof/>
          <w:sz w:val="20"/>
          <w:szCs w:val="20"/>
        </w:rPr>
        <w:t>(17)</w:t>
      </w:r>
      <w:r w:rsidRPr="00ED5F2F">
        <w:rPr>
          <w:rFonts w:asciiTheme="majorBidi" w:hAnsiTheme="majorBidi" w:cstheme="majorBidi"/>
          <w:sz w:val="20"/>
          <w:szCs w:val="20"/>
        </w:rPr>
        <w:t xml:space="preserve">. </w:t>
      </w:r>
    </w:p>
    <w:p w:rsidR="00A82896" w:rsidRPr="00ED5F2F" w:rsidRDefault="00A82896" w:rsidP="00C918DE">
      <w:pPr>
        <w:rPr>
          <w:rFonts w:asciiTheme="majorBidi" w:hAnsiTheme="majorBidi" w:cstheme="majorBidi"/>
          <w:b/>
          <w:sz w:val="20"/>
          <w:szCs w:val="20"/>
        </w:rPr>
      </w:pPr>
      <w:r w:rsidRPr="00ED5F2F">
        <w:rPr>
          <w:rFonts w:asciiTheme="majorBidi" w:hAnsiTheme="majorBidi" w:cstheme="majorBidi"/>
          <w:b/>
          <w:sz w:val="20"/>
          <w:szCs w:val="20"/>
        </w:rPr>
        <w:lastRenderedPageBreak/>
        <w:t>2.5 Outcome measures</w:t>
      </w:r>
    </w:p>
    <w:p w:rsidR="00A82896" w:rsidRPr="00ED5F2F" w:rsidRDefault="00A82896" w:rsidP="00861619">
      <w:pPr>
        <w:spacing w:after="0"/>
        <w:rPr>
          <w:rFonts w:asciiTheme="majorBidi" w:hAnsiTheme="majorBidi" w:cstheme="majorBidi"/>
          <w:sz w:val="20"/>
          <w:szCs w:val="20"/>
        </w:rPr>
      </w:pPr>
      <w:r w:rsidRPr="00ED5F2F">
        <w:rPr>
          <w:rFonts w:asciiTheme="majorBidi" w:hAnsiTheme="majorBidi" w:cstheme="majorBidi"/>
          <w:sz w:val="20"/>
          <w:szCs w:val="20"/>
        </w:rPr>
        <w:t>The primary outcome measures were the prevalence of:</w:t>
      </w:r>
      <w:r w:rsidRPr="00ED5F2F">
        <w:rPr>
          <w:rFonts w:asciiTheme="majorBidi" w:hAnsiTheme="majorBidi" w:cstheme="majorBidi"/>
          <w:sz w:val="20"/>
          <w:szCs w:val="20"/>
        </w:rPr>
        <w:br/>
        <w:t xml:space="preserve">- any ADR present upon presentation to hospital, </w:t>
      </w:r>
      <w:r w:rsidRPr="00ED5F2F">
        <w:rPr>
          <w:rFonts w:asciiTheme="majorBidi" w:hAnsiTheme="majorBidi" w:cstheme="majorBidi"/>
          <w:sz w:val="20"/>
          <w:szCs w:val="20"/>
        </w:rPr>
        <w:br/>
        <w:t>- ADRs which caused or contributed to hospitalisation (</w:t>
      </w:r>
      <w:proofErr w:type="spellStart"/>
      <w:r w:rsidRPr="00ED5F2F">
        <w:rPr>
          <w:rFonts w:asciiTheme="majorBidi" w:hAnsiTheme="majorBidi" w:cstheme="majorBidi"/>
          <w:sz w:val="20"/>
          <w:szCs w:val="20"/>
        </w:rPr>
        <w:t>cADR</w:t>
      </w:r>
      <w:proofErr w:type="spellEnd"/>
      <w:r w:rsidRPr="00ED5F2F">
        <w:rPr>
          <w:rFonts w:asciiTheme="majorBidi" w:hAnsiTheme="majorBidi" w:cstheme="majorBidi"/>
          <w:sz w:val="20"/>
          <w:szCs w:val="20"/>
        </w:rPr>
        <w:t xml:space="preserve">), </w:t>
      </w:r>
      <w:r w:rsidRPr="00ED5F2F">
        <w:rPr>
          <w:rFonts w:asciiTheme="majorBidi" w:hAnsiTheme="majorBidi" w:cstheme="majorBidi"/>
          <w:sz w:val="20"/>
          <w:szCs w:val="20"/>
        </w:rPr>
        <w:br/>
        <w:t>- any preventable ADR (</w:t>
      </w:r>
      <w:proofErr w:type="spellStart"/>
      <w:r w:rsidRPr="00ED5F2F">
        <w:rPr>
          <w:rFonts w:asciiTheme="majorBidi" w:hAnsiTheme="majorBidi" w:cstheme="majorBidi"/>
          <w:sz w:val="20"/>
          <w:szCs w:val="20"/>
        </w:rPr>
        <w:t>pADR</w:t>
      </w:r>
      <w:proofErr w:type="spellEnd"/>
      <w:r w:rsidRPr="00ED5F2F">
        <w:rPr>
          <w:rFonts w:asciiTheme="majorBidi" w:hAnsiTheme="majorBidi" w:cstheme="majorBidi"/>
          <w:sz w:val="20"/>
          <w:szCs w:val="20"/>
        </w:rPr>
        <w:t>) and</w:t>
      </w:r>
    </w:p>
    <w:p w:rsidR="00A82896" w:rsidRPr="00ED5F2F" w:rsidRDefault="00A82896" w:rsidP="00E603A2">
      <w:pPr>
        <w:rPr>
          <w:rFonts w:asciiTheme="majorBidi" w:hAnsiTheme="majorBidi" w:cstheme="majorBidi"/>
          <w:sz w:val="20"/>
          <w:szCs w:val="20"/>
        </w:rPr>
      </w:pPr>
      <w:r w:rsidRPr="00ED5F2F">
        <w:rPr>
          <w:rFonts w:asciiTheme="majorBidi" w:hAnsiTheme="majorBidi" w:cstheme="majorBidi"/>
          <w:sz w:val="20"/>
          <w:szCs w:val="20"/>
        </w:rPr>
        <w:t xml:space="preserve">- the quantification of ADR severity. </w:t>
      </w:r>
    </w:p>
    <w:p w:rsidR="00A82896" w:rsidRPr="00ED5F2F" w:rsidRDefault="00A82896" w:rsidP="0023372B">
      <w:pPr>
        <w:rPr>
          <w:rFonts w:asciiTheme="majorBidi" w:hAnsiTheme="majorBidi" w:cstheme="majorBidi"/>
          <w:sz w:val="20"/>
          <w:szCs w:val="20"/>
        </w:rPr>
      </w:pPr>
      <w:r w:rsidRPr="00ED5F2F">
        <w:rPr>
          <w:rFonts w:asciiTheme="majorBidi" w:hAnsiTheme="majorBidi" w:cstheme="majorBidi"/>
          <w:sz w:val="20"/>
          <w:szCs w:val="20"/>
        </w:rPr>
        <w:t xml:space="preserve">Secondary outcomes were the relationship between ADR, </w:t>
      </w:r>
      <w:proofErr w:type="spellStart"/>
      <w:r w:rsidRPr="00ED5F2F">
        <w:rPr>
          <w:rFonts w:asciiTheme="majorBidi" w:hAnsiTheme="majorBidi" w:cstheme="majorBidi"/>
          <w:sz w:val="20"/>
          <w:szCs w:val="20"/>
        </w:rPr>
        <w:t>pADR</w:t>
      </w:r>
      <w:proofErr w:type="spellEnd"/>
      <w:r w:rsidRPr="00ED5F2F">
        <w:rPr>
          <w:rFonts w:asciiTheme="majorBidi" w:hAnsiTheme="majorBidi" w:cstheme="majorBidi"/>
          <w:sz w:val="20"/>
          <w:szCs w:val="20"/>
        </w:rPr>
        <w:t xml:space="preserve"> and </w:t>
      </w:r>
      <w:proofErr w:type="spellStart"/>
      <w:r w:rsidRPr="00ED5F2F">
        <w:rPr>
          <w:rFonts w:asciiTheme="majorBidi" w:hAnsiTheme="majorBidi" w:cstheme="majorBidi"/>
          <w:sz w:val="20"/>
          <w:szCs w:val="20"/>
        </w:rPr>
        <w:t>cADR</w:t>
      </w:r>
      <w:proofErr w:type="spellEnd"/>
      <w:r w:rsidRPr="00ED5F2F">
        <w:rPr>
          <w:rFonts w:asciiTheme="majorBidi" w:hAnsiTheme="majorBidi" w:cstheme="majorBidi"/>
          <w:sz w:val="20"/>
          <w:szCs w:val="20"/>
        </w:rPr>
        <w:t xml:space="preserve"> occurrence and the independent variables: presence of PIP, pre-hospital medicine burden [including medicine count, polypharmacy (≥5 medicines) and excessive polypharmacy (≥10 medicines)], sex, age and CCMI score. </w:t>
      </w:r>
    </w:p>
    <w:p w:rsidR="00A82896" w:rsidRPr="00ED5F2F" w:rsidRDefault="00A82896" w:rsidP="0023372B">
      <w:pPr>
        <w:outlineLvl w:val="0"/>
        <w:rPr>
          <w:rFonts w:asciiTheme="majorBidi" w:hAnsiTheme="majorBidi" w:cstheme="majorBidi"/>
          <w:b/>
          <w:bCs/>
          <w:sz w:val="20"/>
          <w:szCs w:val="20"/>
        </w:rPr>
      </w:pPr>
      <w:r w:rsidRPr="00ED5F2F">
        <w:rPr>
          <w:rFonts w:asciiTheme="majorBidi" w:hAnsiTheme="majorBidi" w:cstheme="majorBidi"/>
          <w:b/>
          <w:bCs/>
          <w:sz w:val="20"/>
          <w:szCs w:val="20"/>
        </w:rPr>
        <w:t>2.6 Assessment of Potential ADRs</w:t>
      </w:r>
    </w:p>
    <w:p w:rsidR="00A82896" w:rsidRPr="00ED5F2F" w:rsidRDefault="00A82896" w:rsidP="00AB542B">
      <w:pPr>
        <w:rPr>
          <w:rFonts w:asciiTheme="majorBidi" w:hAnsiTheme="majorBidi" w:cstheme="majorBidi"/>
          <w:sz w:val="20"/>
          <w:szCs w:val="20"/>
        </w:rPr>
      </w:pPr>
      <w:r w:rsidRPr="00ED5F2F">
        <w:rPr>
          <w:rFonts w:asciiTheme="majorBidi" w:hAnsiTheme="majorBidi" w:cstheme="majorBidi"/>
          <w:sz w:val="20"/>
          <w:szCs w:val="20"/>
        </w:rPr>
        <w:t xml:space="preserve">Included patients were screened by TS for potential ADRs, present at point of hospitalisation, using an active surveillance system. This involved direct patient interview and review of all documented signs, symptoms and diagnoses, which were cross-referenced with the undesirable effects of each BPMH medicine as listed in the British National Formulary (online edition) and relevant summary of product characteristics. Suspected ADRs were independently assessed for causality, preventability, severity and relationship to hospitalisation by a pharmacist (TS) and a consultant physician or registrar. Causality was quantified using the Naranjo algorithm: ADRs were categorised as ‘doubtful’, ‘possible’, ‘probable’ or ‘definite’ according to a weighted scoring system </w:t>
      </w:r>
      <w:r w:rsidRPr="00ED5F2F">
        <w:rPr>
          <w:rFonts w:asciiTheme="majorBidi" w:hAnsiTheme="majorBidi" w:cstheme="majorBidi"/>
          <w:noProof/>
          <w:sz w:val="20"/>
          <w:szCs w:val="20"/>
        </w:rPr>
        <w:t>(18)</w:t>
      </w:r>
      <w:r w:rsidRPr="00ED5F2F">
        <w:rPr>
          <w:rFonts w:asciiTheme="majorBidi" w:hAnsiTheme="majorBidi" w:cstheme="majorBidi"/>
          <w:sz w:val="20"/>
          <w:szCs w:val="20"/>
        </w:rPr>
        <w:t xml:space="preserve">. Doubtful ADRs were not subjected to further assessment. Preventability of ADRs was assessed using the Hallas criteria and severity using the Hartwig Severity Scale </w:t>
      </w:r>
      <w:r w:rsidRPr="00ED5F2F">
        <w:rPr>
          <w:rFonts w:asciiTheme="majorBidi" w:hAnsiTheme="majorBidi" w:cstheme="majorBidi"/>
          <w:noProof/>
          <w:sz w:val="20"/>
          <w:szCs w:val="20"/>
        </w:rPr>
        <w:t>(19, 20)</w:t>
      </w:r>
      <w:r w:rsidRPr="00ED5F2F">
        <w:rPr>
          <w:rFonts w:asciiTheme="majorBidi" w:hAnsiTheme="majorBidi" w:cstheme="majorBidi"/>
          <w:sz w:val="20"/>
          <w:szCs w:val="20"/>
        </w:rPr>
        <w:t xml:space="preserve">. ADRs were ultimately categorised as being causal, contributory or incidental to hospitalisation using clinical judgement. Where discrepancies arose between physician and pharmacist decision, they were discussed to achieve consensus. Failing this, deference was given to the physician’s decision in recognition of their expertise in differentiating disease symptomatology from adverse drug effects and assessing severity of patient harm. This rationale has been applied elsewhere </w:t>
      </w:r>
      <w:r w:rsidRPr="00ED5F2F">
        <w:rPr>
          <w:rFonts w:asciiTheme="majorBidi" w:hAnsiTheme="majorBidi" w:cstheme="majorBidi"/>
          <w:noProof/>
          <w:sz w:val="20"/>
          <w:szCs w:val="20"/>
        </w:rPr>
        <w:t>(21)</w:t>
      </w:r>
      <w:r w:rsidRPr="00ED5F2F">
        <w:rPr>
          <w:rFonts w:asciiTheme="majorBidi" w:hAnsiTheme="majorBidi" w:cstheme="majorBidi"/>
          <w:sz w:val="20"/>
          <w:szCs w:val="20"/>
        </w:rPr>
        <w:t xml:space="preserve">. </w:t>
      </w:r>
    </w:p>
    <w:p w:rsidR="00A82896" w:rsidRPr="00ED5F2F" w:rsidRDefault="00A82896" w:rsidP="00C918DE">
      <w:pPr>
        <w:outlineLvl w:val="0"/>
        <w:rPr>
          <w:rFonts w:asciiTheme="majorBidi" w:hAnsiTheme="majorBidi" w:cstheme="majorBidi"/>
          <w:b/>
          <w:bCs/>
          <w:sz w:val="20"/>
          <w:szCs w:val="20"/>
        </w:rPr>
      </w:pPr>
      <w:r w:rsidRPr="00ED5F2F">
        <w:rPr>
          <w:rFonts w:asciiTheme="majorBidi" w:hAnsiTheme="majorBidi" w:cstheme="majorBidi"/>
          <w:b/>
          <w:bCs/>
          <w:sz w:val="20"/>
          <w:szCs w:val="20"/>
        </w:rPr>
        <w:t>2.7 Governance Considerations</w:t>
      </w:r>
    </w:p>
    <w:p w:rsidR="00A82896" w:rsidRPr="00ED5F2F" w:rsidRDefault="00A82896" w:rsidP="00C918DE">
      <w:pPr>
        <w:rPr>
          <w:rFonts w:ascii="Times New Roman" w:hAnsi="Times New Roman" w:cs="Times New Roman"/>
          <w:sz w:val="20"/>
          <w:szCs w:val="20"/>
        </w:rPr>
      </w:pPr>
      <w:r w:rsidRPr="00ED5F2F">
        <w:rPr>
          <w:rFonts w:ascii="Times New Roman" w:hAnsi="Times New Roman" w:cs="Times New Roman"/>
          <w:sz w:val="20"/>
          <w:szCs w:val="20"/>
        </w:rPr>
        <w:t xml:space="preserve">Ethical approval was granted by </w:t>
      </w:r>
      <w:r w:rsidRPr="00ED5F2F">
        <w:rPr>
          <w:rFonts w:ascii="Times New Roman" w:hAnsi="Times New Roman" w:cs="Times New Roman"/>
          <w:sz w:val="20"/>
          <w:szCs w:val="20"/>
          <w:shd w:val="clear" w:color="auto" w:fill="FFFFFF"/>
        </w:rPr>
        <w:t>St James’s Hospital/Tallaght University Hospital Joint Research Ethics Committee</w:t>
      </w:r>
      <w:r w:rsidRPr="00ED5F2F">
        <w:rPr>
          <w:rFonts w:ascii="Times New Roman" w:hAnsi="Times New Roman" w:cs="Times New Roman"/>
          <w:sz w:val="20"/>
          <w:szCs w:val="20"/>
        </w:rPr>
        <w:t xml:space="preserve"> who classified the study as an audit review. All investigators were employed clinical staff at the study site and provided routine clinical care and treatment to the study cohort. Explicit patient consent was not sought nor required as data collection occurred in the context of the standard pharmaceutical care which is routinely provided to patients at the study site. This care includes, but is not limited to, patient interview and review, medicine reconciliation, assessment of medicine-related problems (including ADRs) and inter-disciplinary communication. All BPMHs, PIP and potential ADRs were documented in the patient’s healthcare record in full compliance with data protection regulations. They were also communicated in real-time to the AMU physicians as part of the clinical care process. Data were managed according to best-practice guidance and legislation and was irreversibly anonymised for the purposes of this study. Patient consent for the calculation and management of CCMI score, medicine count and prevalence </w:t>
      </w:r>
      <w:proofErr w:type="gramStart"/>
      <w:r w:rsidRPr="00ED5F2F">
        <w:rPr>
          <w:rFonts w:ascii="Times New Roman" w:hAnsi="Times New Roman" w:cs="Times New Roman"/>
          <w:sz w:val="20"/>
          <w:szCs w:val="20"/>
        </w:rPr>
        <w:t>was</w:t>
      </w:r>
      <w:proofErr w:type="gramEnd"/>
      <w:r w:rsidRPr="00ED5F2F">
        <w:rPr>
          <w:rFonts w:ascii="Times New Roman" w:hAnsi="Times New Roman" w:cs="Times New Roman"/>
          <w:sz w:val="20"/>
          <w:szCs w:val="20"/>
        </w:rPr>
        <w:t xml:space="preserve"> not required as these were carried out on fully anonymised data which </w:t>
      </w:r>
      <w:r w:rsidRPr="00ED5F2F">
        <w:rPr>
          <w:rFonts w:ascii="Times New Roman" w:hAnsi="Times New Roman" w:cs="Times New Roman"/>
          <w:sz w:val="20"/>
          <w:szCs w:val="20"/>
          <w:shd w:val="clear" w:color="auto" w:fill="FFFFFF"/>
        </w:rPr>
        <w:t>falls outside General Data Protection and Health Research regulations.</w:t>
      </w:r>
    </w:p>
    <w:p w:rsidR="00A82896" w:rsidRPr="00ED5F2F" w:rsidRDefault="00A82896" w:rsidP="00C918DE">
      <w:pPr>
        <w:outlineLvl w:val="0"/>
        <w:rPr>
          <w:rFonts w:asciiTheme="majorBidi" w:hAnsiTheme="majorBidi" w:cstheme="majorBidi"/>
          <w:b/>
          <w:bCs/>
          <w:sz w:val="20"/>
          <w:szCs w:val="20"/>
        </w:rPr>
      </w:pPr>
      <w:r w:rsidRPr="00ED5F2F">
        <w:rPr>
          <w:rFonts w:asciiTheme="majorBidi" w:hAnsiTheme="majorBidi" w:cstheme="majorBidi"/>
          <w:b/>
          <w:bCs/>
          <w:sz w:val="20"/>
          <w:szCs w:val="20"/>
        </w:rPr>
        <w:t>2.8 Statistical analysis</w:t>
      </w:r>
    </w:p>
    <w:p w:rsidR="00A82896" w:rsidRPr="00ED5F2F" w:rsidRDefault="00A82896" w:rsidP="00AB542B">
      <w:pPr>
        <w:rPr>
          <w:rFonts w:asciiTheme="majorBidi" w:hAnsiTheme="majorBidi" w:cstheme="majorBidi"/>
          <w:sz w:val="20"/>
          <w:szCs w:val="20"/>
        </w:rPr>
      </w:pPr>
      <w:r w:rsidRPr="00ED5F2F">
        <w:rPr>
          <w:rFonts w:asciiTheme="majorBidi" w:hAnsiTheme="majorBidi" w:cstheme="majorBidi"/>
          <w:sz w:val="20"/>
          <w:szCs w:val="20"/>
        </w:rPr>
        <w:t xml:space="preserve">IBM SPSS Statistics (version 24) was used to support statistical analysis. Parametric numerical data were described using mean and standard deviation and non-parametric numerical data using median and inter-quartile range. The threshold for statistical significance was p&lt;0.05. Pearson’s chi-squared test and Mann Whitney U test were used to compare categorical and numerical variables respectively across patient groups (i.e. any ADR vs. none, any </w:t>
      </w:r>
      <w:proofErr w:type="spellStart"/>
      <w:r w:rsidRPr="00ED5F2F">
        <w:rPr>
          <w:rFonts w:asciiTheme="majorBidi" w:hAnsiTheme="majorBidi" w:cstheme="majorBidi"/>
          <w:sz w:val="20"/>
          <w:szCs w:val="20"/>
        </w:rPr>
        <w:t>cADR</w:t>
      </w:r>
      <w:proofErr w:type="spellEnd"/>
      <w:r w:rsidRPr="00ED5F2F">
        <w:rPr>
          <w:rFonts w:asciiTheme="majorBidi" w:hAnsiTheme="majorBidi" w:cstheme="majorBidi"/>
          <w:sz w:val="20"/>
          <w:szCs w:val="20"/>
        </w:rPr>
        <w:t xml:space="preserve"> vs. none). Separate univariate and multivariate binary logistic regression analyses were undertaken for the outcomes of ADR, </w:t>
      </w:r>
      <w:proofErr w:type="spellStart"/>
      <w:r w:rsidRPr="00ED5F2F">
        <w:rPr>
          <w:rFonts w:asciiTheme="majorBidi" w:hAnsiTheme="majorBidi" w:cstheme="majorBidi"/>
          <w:sz w:val="20"/>
          <w:szCs w:val="20"/>
        </w:rPr>
        <w:t>pADR</w:t>
      </w:r>
      <w:proofErr w:type="spellEnd"/>
      <w:r w:rsidRPr="00ED5F2F">
        <w:rPr>
          <w:rFonts w:asciiTheme="majorBidi" w:hAnsiTheme="majorBidi" w:cstheme="majorBidi"/>
          <w:sz w:val="20"/>
          <w:szCs w:val="20"/>
        </w:rPr>
        <w:t xml:space="preserve"> and </w:t>
      </w:r>
      <w:proofErr w:type="spellStart"/>
      <w:r w:rsidRPr="00ED5F2F">
        <w:rPr>
          <w:rFonts w:asciiTheme="majorBidi" w:hAnsiTheme="majorBidi" w:cstheme="majorBidi"/>
          <w:sz w:val="20"/>
          <w:szCs w:val="20"/>
        </w:rPr>
        <w:t>cADR</w:t>
      </w:r>
      <w:proofErr w:type="spellEnd"/>
      <w:r w:rsidRPr="00ED5F2F">
        <w:rPr>
          <w:rFonts w:asciiTheme="majorBidi" w:hAnsiTheme="majorBidi" w:cstheme="majorBidi"/>
          <w:sz w:val="20"/>
          <w:szCs w:val="20"/>
        </w:rPr>
        <w:t>. Results of regression analyses were presented as Beta co-efficient with 95% Confidence.</w:t>
      </w:r>
    </w:p>
    <w:p w:rsidR="00A82896" w:rsidRPr="00ED5F2F" w:rsidRDefault="00A82896" w:rsidP="00AB542B">
      <w:pPr>
        <w:rPr>
          <w:rFonts w:asciiTheme="majorBidi" w:hAnsiTheme="majorBidi" w:cstheme="majorBidi"/>
          <w:sz w:val="20"/>
          <w:szCs w:val="20"/>
        </w:rPr>
      </w:pPr>
    </w:p>
    <w:p w:rsidR="00A82896" w:rsidRPr="00ED5F2F" w:rsidRDefault="00A82896" w:rsidP="00AB542B">
      <w:pPr>
        <w:rPr>
          <w:rFonts w:asciiTheme="majorBidi" w:hAnsiTheme="majorBidi" w:cstheme="majorBidi"/>
          <w:sz w:val="20"/>
          <w:szCs w:val="20"/>
        </w:rPr>
      </w:pPr>
    </w:p>
    <w:p w:rsidR="00A82896" w:rsidRPr="00ED5F2F" w:rsidRDefault="00A82896" w:rsidP="00E87376">
      <w:pPr>
        <w:rPr>
          <w:rFonts w:asciiTheme="majorBidi" w:hAnsiTheme="majorBidi" w:cstheme="majorBidi"/>
          <w:b/>
          <w:bCs/>
          <w:sz w:val="20"/>
          <w:szCs w:val="20"/>
        </w:rPr>
      </w:pPr>
      <w:r w:rsidRPr="00ED5F2F">
        <w:rPr>
          <w:rFonts w:asciiTheme="majorBidi" w:hAnsiTheme="majorBidi" w:cstheme="majorBidi"/>
          <w:b/>
          <w:bCs/>
          <w:sz w:val="20"/>
          <w:szCs w:val="20"/>
        </w:rPr>
        <w:t xml:space="preserve">3. Results </w:t>
      </w:r>
    </w:p>
    <w:p w:rsidR="00A82896" w:rsidRPr="00ED5F2F" w:rsidRDefault="00A82896" w:rsidP="00670E15">
      <w:pPr>
        <w:rPr>
          <w:rFonts w:asciiTheme="majorBidi" w:hAnsiTheme="majorBidi" w:cstheme="majorBidi"/>
          <w:b/>
          <w:bCs/>
          <w:sz w:val="20"/>
          <w:szCs w:val="20"/>
        </w:rPr>
      </w:pPr>
      <w:r w:rsidRPr="00ED5F2F">
        <w:rPr>
          <w:rFonts w:asciiTheme="majorBidi" w:hAnsiTheme="majorBidi" w:cstheme="majorBidi"/>
          <w:b/>
          <w:bCs/>
          <w:sz w:val="20"/>
          <w:szCs w:val="20"/>
        </w:rPr>
        <w:t>3.1 Primary Outcomes</w:t>
      </w:r>
    </w:p>
    <w:p w:rsidR="00A82896" w:rsidRPr="00ED5F2F" w:rsidRDefault="00A82896" w:rsidP="00E017FC">
      <w:pPr>
        <w:tabs>
          <w:tab w:val="left" w:pos="2240"/>
        </w:tabs>
        <w:rPr>
          <w:rFonts w:asciiTheme="majorBidi" w:hAnsiTheme="majorBidi" w:cstheme="majorBidi"/>
          <w:sz w:val="20"/>
          <w:szCs w:val="20"/>
        </w:rPr>
      </w:pPr>
      <w:r w:rsidRPr="00ED5F2F">
        <w:rPr>
          <w:rFonts w:asciiTheme="majorBidi" w:hAnsiTheme="majorBidi" w:cstheme="majorBidi"/>
          <w:sz w:val="20"/>
          <w:szCs w:val="20"/>
        </w:rPr>
        <w:t xml:space="preserve">Baseline characteristics of the study population are outlined (Table 1). Of 100 patients, 21 experienced 23 ADRs. Fourteen ADRs, affecting 14 patients, were causal or contributory to hospitalisation: </w:t>
      </w:r>
      <w:proofErr w:type="spellStart"/>
      <w:r w:rsidRPr="00ED5F2F">
        <w:rPr>
          <w:rFonts w:asciiTheme="majorBidi" w:hAnsiTheme="majorBidi" w:cstheme="majorBidi"/>
          <w:sz w:val="20"/>
          <w:szCs w:val="20"/>
        </w:rPr>
        <w:t>cADR</w:t>
      </w:r>
      <w:proofErr w:type="spellEnd"/>
      <w:r w:rsidRPr="00ED5F2F">
        <w:rPr>
          <w:rFonts w:asciiTheme="majorBidi" w:hAnsiTheme="majorBidi" w:cstheme="majorBidi"/>
          <w:sz w:val="20"/>
          <w:szCs w:val="20"/>
        </w:rPr>
        <w:t xml:space="preserve"> prevalence was 14%. Of these 14 patients, 13 were admitted to the AMU - median length of stay was four days (IQR 1-8). The 14th patient was reviewed and discharged from the AMAU without in-patient admission. Thirty-seven drugs were implicated in the 23 ADRs, of which 12 were classified as a ‘possible’ and 25 as a ‘probable’ cause of the ADR. No drugs were classified as a ‘definite’ cause. </w:t>
      </w:r>
    </w:p>
    <w:p w:rsidR="00A82896" w:rsidRPr="00ED5F2F" w:rsidRDefault="00A82896" w:rsidP="00575AD7">
      <w:pPr>
        <w:rPr>
          <w:rFonts w:asciiTheme="majorBidi" w:hAnsiTheme="majorBidi" w:cstheme="majorBidi"/>
          <w:b/>
          <w:bCs/>
          <w:sz w:val="20"/>
          <w:szCs w:val="20"/>
        </w:rPr>
      </w:pPr>
      <w:r w:rsidRPr="00ED5F2F">
        <w:rPr>
          <w:rFonts w:asciiTheme="majorBidi" w:hAnsiTheme="majorBidi" w:cstheme="majorBidi"/>
          <w:b/>
          <w:bCs/>
          <w:sz w:val="20"/>
          <w:szCs w:val="20"/>
        </w:rPr>
        <w:t>Table 1 – Baseline study population characteristics</w:t>
      </w:r>
    </w:p>
    <w:tbl>
      <w:tblPr>
        <w:tblStyle w:val="TableGrid"/>
        <w:tblW w:w="7763" w:type="dxa"/>
        <w:tblLayout w:type="fixed"/>
        <w:tblLook w:val="04A0" w:firstRow="1" w:lastRow="0" w:firstColumn="1" w:lastColumn="0" w:noHBand="0" w:noVBand="1"/>
      </w:tblPr>
      <w:tblGrid>
        <w:gridCol w:w="5495"/>
        <w:gridCol w:w="2268"/>
      </w:tblGrid>
      <w:tr w:rsidR="00A82896" w:rsidRPr="00ED5F2F" w:rsidTr="001566B4">
        <w:tc>
          <w:tcPr>
            <w:tcW w:w="5495" w:type="dxa"/>
            <w:tcBorders>
              <w:top w:val="single" w:sz="4" w:space="0" w:color="auto"/>
              <w:left w:val="single" w:sz="8" w:space="0" w:color="auto"/>
              <w:bottom w:val="single" w:sz="8" w:space="0" w:color="auto"/>
              <w:right w:val="single" w:sz="8" w:space="0" w:color="auto"/>
            </w:tcBorders>
            <w:shd w:val="clear" w:color="auto" w:fill="auto"/>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Patient characteristic</w:t>
            </w:r>
          </w:p>
        </w:tc>
        <w:tc>
          <w:tcPr>
            <w:tcW w:w="2268" w:type="dxa"/>
            <w:tcBorders>
              <w:top w:val="single" w:sz="4" w:space="0" w:color="auto"/>
              <w:left w:val="single" w:sz="8" w:space="0" w:color="auto"/>
              <w:bottom w:val="single" w:sz="8" w:space="0" w:color="auto"/>
              <w:right w:val="single" w:sz="8" w:space="0" w:color="auto"/>
            </w:tcBorders>
            <w:shd w:val="clear" w:color="auto" w:fill="auto"/>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Study Population</w:t>
            </w:r>
          </w:p>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(N=100)</w:t>
            </w:r>
          </w:p>
        </w:tc>
      </w:tr>
      <w:tr w:rsidR="00A82896" w:rsidRPr="00ED5F2F" w:rsidTr="001566B4">
        <w:tc>
          <w:tcPr>
            <w:tcW w:w="5495" w:type="dxa"/>
            <w:tcBorders>
              <w:top w:val="single" w:sz="8" w:space="0" w:color="auto"/>
              <w:bottom w:val="nil"/>
              <w:right w:val="single" w:sz="8" w:space="0" w:color="auto"/>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Female (n)</w:t>
            </w:r>
          </w:p>
        </w:tc>
        <w:tc>
          <w:tcPr>
            <w:tcW w:w="2268" w:type="dxa"/>
            <w:tcBorders>
              <w:top w:val="single" w:sz="8" w:space="0" w:color="auto"/>
              <w:left w:val="single" w:sz="8" w:space="0" w:color="auto"/>
              <w:bottom w:val="nil"/>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57</w:t>
            </w:r>
          </w:p>
        </w:tc>
      </w:tr>
      <w:tr w:rsidR="00A82896" w:rsidRPr="00ED5F2F" w:rsidTr="001566B4">
        <w:tc>
          <w:tcPr>
            <w:tcW w:w="5495" w:type="dxa"/>
            <w:tcBorders>
              <w:top w:val="nil"/>
              <w:bottom w:val="nil"/>
              <w:right w:val="single" w:sz="8" w:space="0" w:color="auto"/>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Median age, years (IQR)</w:t>
            </w:r>
          </w:p>
        </w:tc>
        <w:tc>
          <w:tcPr>
            <w:tcW w:w="2268" w:type="dxa"/>
            <w:tcBorders>
              <w:top w:val="nil"/>
              <w:left w:val="single" w:sz="8" w:space="0" w:color="auto"/>
              <w:bottom w:val="nil"/>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57 (52-61)</w:t>
            </w:r>
          </w:p>
        </w:tc>
      </w:tr>
      <w:tr w:rsidR="00A82896" w:rsidRPr="00ED5F2F" w:rsidTr="001566B4">
        <w:tc>
          <w:tcPr>
            <w:tcW w:w="5495" w:type="dxa"/>
            <w:tcBorders>
              <w:top w:val="nil"/>
              <w:bottom w:val="nil"/>
              <w:right w:val="single" w:sz="8" w:space="0" w:color="auto"/>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Age breakdown, (n)</w:t>
            </w:r>
          </w:p>
        </w:tc>
        <w:tc>
          <w:tcPr>
            <w:tcW w:w="2268" w:type="dxa"/>
            <w:tcBorders>
              <w:top w:val="nil"/>
              <w:left w:val="single" w:sz="8" w:space="0" w:color="auto"/>
              <w:bottom w:val="nil"/>
            </w:tcBorders>
          </w:tcPr>
          <w:p w:rsidR="00A82896" w:rsidRPr="00ED5F2F" w:rsidRDefault="00A82896" w:rsidP="001566B4">
            <w:pPr>
              <w:jc w:val="center"/>
              <w:rPr>
                <w:rFonts w:asciiTheme="majorBidi" w:hAnsiTheme="majorBidi" w:cstheme="majorBidi"/>
                <w:sz w:val="20"/>
                <w:szCs w:val="20"/>
              </w:rPr>
            </w:pPr>
          </w:p>
        </w:tc>
      </w:tr>
      <w:tr w:rsidR="00A82896" w:rsidRPr="00ED5F2F" w:rsidTr="001566B4">
        <w:tc>
          <w:tcPr>
            <w:tcW w:w="5495" w:type="dxa"/>
            <w:tcBorders>
              <w:top w:val="nil"/>
              <w:bottom w:val="nil"/>
              <w:right w:val="single" w:sz="8" w:space="0" w:color="auto"/>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45-49 years</w:t>
            </w:r>
          </w:p>
        </w:tc>
        <w:tc>
          <w:tcPr>
            <w:tcW w:w="2268" w:type="dxa"/>
            <w:tcBorders>
              <w:top w:val="nil"/>
              <w:left w:val="single" w:sz="8" w:space="0" w:color="auto"/>
              <w:bottom w:val="nil"/>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15</w:t>
            </w:r>
          </w:p>
        </w:tc>
      </w:tr>
      <w:tr w:rsidR="00A82896" w:rsidRPr="00ED5F2F" w:rsidTr="001566B4">
        <w:tc>
          <w:tcPr>
            <w:tcW w:w="5495" w:type="dxa"/>
            <w:tcBorders>
              <w:top w:val="nil"/>
              <w:bottom w:val="nil"/>
              <w:right w:val="single" w:sz="8" w:space="0" w:color="auto"/>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50-54 years</w:t>
            </w:r>
          </w:p>
        </w:tc>
        <w:tc>
          <w:tcPr>
            <w:tcW w:w="2268" w:type="dxa"/>
            <w:tcBorders>
              <w:top w:val="nil"/>
              <w:left w:val="single" w:sz="8" w:space="0" w:color="auto"/>
              <w:bottom w:val="nil"/>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19</w:t>
            </w:r>
          </w:p>
        </w:tc>
      </w:tr>
      <w:tr w:rsidR="00A82896" w:rsidRPr="00ED5F2F" w:rsidTr="001566B4">
        <w:tc>
          <w:tcPr>
            <w:tcW w:w="5495" w:type="dxa"/>
            <w:tcBorders>
              <w:top w:val="nil"/>
              <w:bottom w:val="nil"/>
              <w:right w:val="single" w:sz="8" w:space="0" w:color="auto"/>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55-60 years</w:t>
            </w:r>
          </w:p>
        </w:tc>
        <w:tc>
          <w:tcPr>
            <w:tcW w:w="2268" w:type="dxa"/>
            <w:tcBorders>
              <w:top w:val="nil"/>
              <w:left w:val="single" w:sz="8" w:space="0" w:color="auto"/>
              <w:bottom w:val="nil"/>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26</w:t>
            </w:r>
          </w:p>
        </w:tc>
      </w:tr>
      <w:tr w:rsidR="00A82896" w:rsidRPr="00ED5F2F" w:rsidTr="001566B4">
        <w:tc>
          <w:tcPr>
            <w:tcW w:w="5495" w:type="dxa"/>
            <w:tcBorders>
              <w:top w:val="nil"/>
              <w:bottom w:val="nil"/>
              <w:right w:val="single" w:sz="8" w:space="0" w:color="auto"/>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60-64 years</w:t>
            </w:r>
          </w:p>
        </w:tc>
        <w:tc>
          <w:tcPr>
            <w:tcW w:w="2268" w:type="dxa"/>
            <w:tcBorders>
              <w:top w:val="nil"/>
              <w:left w:val="single" w:sz="8" w:space="0" w:color="auto"/>
              <w:bottom w:val="nil"/>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40</w:t>
            </w:r>
          </w:p>
        </w:tc>
      </w:tr>
      <w:tr w:rsidR="00A82896" w:rsidRPr="00ED5F2F" w:rsidTr="001566B4">
        <w:tc>
          <w:tcPr>
            <w:tcW w:w="5495" w:type="dxa"/>
            <w:tcBorders>
              <w:top w:val="nil"/>
              <w:bottom w:val="nil"/>
              <w:right w:val="single" w:sz="8" w:space="0" w:color="auto"/>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Number of chronic health conditions, median (IQR)</w:t>
            </w:r>
          </w:p>
          <w:p w:rsidR="00A82896" w:rsidRPr="00ED5F2F" w:rsidRDefault="00A82896" w:rsidP="001566B4">
            <w:pPr>
              <w:jc w:val="center"/>
              <w:rPr>
                <w:rFonts w:asciiTheme="majorBidi" w:hAnsiTheme="majorBidi" w:cstheme="majorBidi"/>
                <w:sz w:val="20"/>
                <w:szCs w:val="20"/>
              </w:rPr>
            </w:pPr>
            <w:proofErr w:type="spellStart"/>
            <w:r w:rsidRPr="00ED5F2F">
              <w:rPr>
                <w:rFonts w:asciiTheme="majorBidi" w:hAnsiTheme="majorBidi" w:cstheme="majorBidi"/>
                <w:sz w:val="20"/>
                <w:szCs w:val="20"/>
              </w:rPr>
              <w:t>Charlson</w:t>
            </w:r>
            <w:proofErr w:type="spellEnd"/>
            <w:r w:rsidRPr="00ED5F2F">
              <w:rPr>
                <w:rFonts w:asciiTheme="majorBidi" w:hAnsiTheme="majorBidi" w:cstheme="majorBidi"/>
                <w:sz w:val="20"/>
                <w:szCs w:val="20"/>
              </w:rPr>
              <w:t xml:space="preserve"> Co-morbidity Index Score, median (IQR)</w:t>
            </w:r>
          </w:p>
        </w:tc>
        <w:tc>
          <w:tcPr>
            <w:tcW w:w="2268" w:type="dxa"/>
            <w:tcBorders>
              <w:top w:val="nil"/>
              <w:left w:val="single" w:sz="8" w:space="0" w:color="auto"/>
              <w:bottom w:val="nil"/>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3 (2-4)</w:t>
            </w:r>
          </w:p>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0 (0-1)</w:t>
            </w:r>
          </w:p>
        </w:tc>
      </w:tr>
      <w:tr w:rsidR="00A82896" w:rsidRPr="00ED5F2F" w:rsidTr="00713DA2">
        <w:tc>
          <w:tcPr>
            <w:tcW w:w="5495" w:type="dxa"/>
            <w:tcBorders>
              <w:top w:val="nil"/>
              <w:bottom w:val="nil"/>
              <w:right w:val="single" w:sz="8" w:space="0" w:color="auto"/>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Number of Pre-hospital Medicines, median (IQR)</w:t>
            </w:r>
          </w:p>
        </w:tc>
        <w:tc>
          <w:tcPr>
            <w:tcW w:w="2268" w:type="dxa"/>
            <w:tcBorders>
              <w:top w:val="nil"/>
              <w:left w:val="single" w:sz="8" w:space="0" w:color="auto"/>
              <w:bottom w:val="nil"/>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8 (5-10)</w:t>
            </w:r>
          </w:p>
        </w:tc>
      </w:tr>
      <w:tr w:rsidR="00A82896" w:rsidRPr="00ED5F2F" w:rsidTr="00713DA2">
        <w:tc>
          <w:tcPr>
            <w:tcW w:w="5495" w:type="dxa"/>
            <w:tcBorders>
              <w:top w:val="nil"/>
              <w:bottom w:val="single" w:sz="4" w:space="0" w:color="auto"/>
              <w:right w:val="single" w:sz="8" w:space="0" w:color="auto"/>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Pre-Hospital Polypharmacy (≥5 medicines) (n)</w:t>
            </w:r>
          </w:p>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 xml:space="preserve">Pre-Hospital Excessive Polypharmacy </w:t>
            </w:r>
          </w:p>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(≥10 medicines) (n)</w:t>
            </w:r>
          </w:p>
        </w:tc>
        <w:tc>
          <w:tcPr>
            <w:tcW w:w="2268" w:type="dxa"/>
            <w:tcBorders>
              <w:top w:val="nil"/>
              <w:left w:val="single" w:sz="8" w:space="0" w:color="auto"/>
              <w:bottom w:val="single" w:sz="4" w:space="0" w:color="auto"/>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79</w:t>
            </w:r>
          </w:p>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35</w:t>
            </w:r>
          </w:p>
        </w:tc>
      </w:tr>
    </w:tbl>
    <w:p w:rsidR="00A82896" w:rsidRPr="00ED5F2F" w:rsidRDefault="00A82896" w:rsidP="00670E15">
      <w:pPr>
        <w:rPr>
          <w:rFonts w:asciiTheme="majorBidi" w:hAnsiTheme="majorBidi" w:cstheme="majorBidi"/>
          <w:sz w:val="20"/>
          <w:szCs w:val="20"/>
        </w:rPr>
      </w:pPr>
    </w:p>
    <w:p w:rsidR="00A82896" w:rsidRPr="00ED5F2F" w:rsidRDefault="00A82896" w:rsidP="00670E15">
      <w:pPr>
        <w:rPr>
          <w:rFonts w:asciiTheme="majorBidi" w:hAnsiTheme="majorBidi" w:cstheme="majorBidi"/>
          <w:sz w:val="20"/>
          <w:szCs w:val="20"/>
        </w:rPr>
      </w:pPr>
      <w:r w:rsidRPr="00ED5F2F">
        <w:rPr>
          <w:rFonts w:asciiTheme="majorBidi" w:hAnsiTheme="majorBidi" w:cstheme="majorBidi"/>
          <w:sz w:val="20"/>
          <w:szCs w:val="20"/>
        </w:rPr>
        <w:t xml:space="preserve">Six of the 23 ADRs were characterised as ‘definitely preventable’ and six as ‘possibly preventable’. These 12 </w:t>
      </w:r>
      <w:proofErr w:type="spellStart"/>
      <w:r w:rsidRPr="00ED5F2F">
        <w:rPr>
          <w:rFonts w:asciiTheme="majorBidi" w:hAnsiTheme="majorBidi" w:cstheme="majorBidi"/>
          <w:sz w:val="20"/>
          <w:szCs w:val="20"/>
        </w:rPr>
        <w:t>pADRs</w:t>
      </w:r>
      <w:proofErr w:type="spellEnd"/>
      <w:r w:rsidRPr="00ED5F2F">
        <w:rPr>
          <w:rFonts w:asciiTheme="majorBidi" w:hAnsiTheme="majorBidi" w:cstheme="majorBidi"/>
          <w:sz w:val="20"/>
          <w:szCs w:val="20"/>
        </w:rPr>
        <w:t xml:space="preserve"> were distributed across 11 patients (11% prevalence). Most </w:t>
      </w:r>
      <w:proofErr w:type="spellStart"/>
      <w:r w:rsidRPr="00ED5F2F">
        <w:rPr>
          <w:rFonts w:asciiTheme="majorBidi" w:hAnsiTheme="majorBidi" w:cstheme="majorBidi"/>
          <w:sz w:val="20"/>
          <w:szCs w:val="20"/>
        </w:rPr>
        <w:t>pADRs</w:t>
      </w:r>
      <w:proofErr w:type="spellEnd"/>
      <w:r w:rsidRPr="00ED5F2F">
        <w:rPr>
          <w:rFonts w:asciiTheme="majorBidi" w:hAnsiTheme="majorBidi" w:cstheme="majorBidi"/>
          <w:sz w:val="20"/>
          <w:szCs w:val="20"/>
        </w:rPr>
        <w:t xml:space="preserve"> (n=7) were also found to be </w:t>
      </w:r>
      <w:proofErr w:type="spellStart"/>
      <w:r w:rsidRPr="00ED5F2F">
        <w:rPr>
          <w:rFonts w:asciiTheme="majorBidi" w:hAnsiTheme="majorBidi" w:cstheme="majorBidi"/>
          <w:sz w:val="20"/>
          <w:szCs w:val="20"/>
        </w:rPr>
        <w:t>cADRs</w:t>
      </w:r>
      <w:proofErr w:type="spellEnd"/>
      <w:r w:rsidRPr="00ED5F2F">
        <w:rPr>
          <w:rFonts w:asciiTheme="majorBidi" w:hAnsiTheme="majorBidi" w:cstheme="majorBidi"/>
          <w:sz w:val="20"/>
          <w:szCs w:val="20"/>
        </w:rPr>
        <w:t xml:space="preserve"> (7% prevalence of preventable </w:t>
      </w:r>
      <w:proofErr w:type="spellStart"/>
      <w:r w:rsidRPr="00ED5F2F">
        <w:rPr>
          <w:rFonts w:asciiTheme="majorBidi" w:hAnsiTheme="majorBidi" w:cstheme="majorBidi"/>
          <w:sz w:val="20"/>
          <w:szCs w:val="20"/>
        </w:rPr>
        <w:t>cADRs</w:t>
      </w:r>
      <w:proofErr w:type="spellEnd"/>
      <w:r w:rsidRPr="00ED5F2F">
        <w:rPr>
          <w:rFonts w:asciiTheme="majorBidi" w:hAnsiTheme="majorBidi" w:cstheme="majorBidi"/>
          <w:sz w:val="20"/>
          <w:szCs w:val="20"/>
        </w:rPr>
        <w:t>).</w:t>
      </w:r>
    </w:p>
    <w:p w:rsidR="00A82896" w:rsidRPr="00ED5F2F" w:rsidRDefault="00A82896" w:rsidP="009900B3">
      <w:pPr>
        <w:rPr>
          <w:rFonts w:asciiTheme="majorBidi" w:hAnsiTheme="majorBidi" w:cstheme="majorBidi"/>
          <w:sz w:val="20"/>
          <w:szCs w:val="20"/>
        </w:rPr>
      </w:pPr>
      <w:r w:rsidRPr="00ED5F2F">
        <w:rPr>
          <w:rFonts w:asciiTheme="majorBidi" w:hAnsiTheme="majorBidi" w:cstheme="majorBidi"/>
          <w:sz w:val="20"/>
          <w:szCs w:val="20"/>
        </w:rPr>
        <w:t>The severity of ADRs is summarised (Table 2). In all 13 cases, level 4 ADRs resulted in a change in treatment with the suspected drug(s).</w:t>
      </w:r>
    </w:p>
    <w:p w:rsidR="00A82896" w:rsidRPr="00ED5F2F" w:rsidRDefault="00A82896" w:rsidP="001D538E">
      <w:pPr>
        <w:pStyle w:val="Caption"/>
        <w:outlineLvl w:val="0"/>
        <w:rPr>
          <w:rFonts w:asciiTheme="majorBidi" w:hAnsiTheme="majorBidi" w:cstheme="majorBidi"/>
          <w:sz w:val="20"/>
          <w:szCs w:val="20"/>
        </w:rPr>
      </w:pPr>
      <w:r w:rsidRPr="00ED5F2F">
        <w:rPr>
          <w:rFonts w:asciiTheme="majorBidi" w:hAnsiTheme="majorBidi" w:cstheme="majorBidi"/>
          <w:sz w:val="20"/>
          <w:szCs w:val="20"/>
        </w:rPr>
        <w:t>Table 2 - Categorisation of adverse drug reactions (ADRs) according to the Hartwig Severity Scale</w:t>
      </w:r>
    </w:p>
    <w:tbl>
      <w:tblPr>
        <w:tblStyle w:val="TableGrid"/>
        <w:tblW w:w="9322" w:type="dxa"/>
        <w:tblLook w:val="04A0" w:firstRow="1" w:lastRow="0" w:firstColumn="1" w:lastColumn="0" w:noHBand="0" w:noVBand="1"/>
      </w:tblPr>
      <w:tblGrid>
        <w:gridCol w:w="1526"/>
        <w:gridCol w:w="5386"/>
        <w:gridCol w:w="2410"/>
      </w:tblGrid>
      <w:tr w:rsidR="00A82896" w:rsidRPr="00ED5F2F" w:rsidTr="001566B4">
        <w:tc>
          <w:tcPr>
            <w:tcW w:w="1526" w:type="dxa"/>
            <w:tcBorders>
              <w:bottom w:val="single" w:sz="4" w:space="0" w:color="auto"/>
            </w:tcBorders>
            <w:shd w:val="clear" w:color="auto" w:fill="auto"/>
          </w:tcPr>
          <w:p w:rsidR="00A82896" w:rsidRPr="00ED5F2F" w:rsidRDefault="00A82896" w:rsidP="001566B4">
            <w:pPr>
              <w:jc w:val="center"/>
              <w:rPr>
                <w:rFonts w:asciiTheme="majorBidi" w:hAnsiTheme="majorBidi" w:cstheme="majorBidi"/>
                <w:bCs/>
                <w:sz w:val="20"/>
                <w:szCs w:val="20"/>
              </w:rPr>
            </w:pPr>
            <w:r w:rsidRPr="00ED5F2F">
              <w:rPr>
                <w:rFonts w:asciiTheme="majorBidi" w:hAnsiTheme="majorBidi" w:cstheme="majorBidi"/>
                <w:bCs/>
                <w:sz w:val="20"/>
                <w:szCs w:val="20"/>
              </w:rPr>
              <w:lastRenderedPageBreak/>
              <w:t>Hartwig Severity Grade</w:t>
            </w:r>
          </w:p>
        </w:tc>
        <w:tc>
          <w:tcPr>
            <w:tcW w:w="5386" w:type="dxa"/>
            <w:tcBorders>
              <w:bottom w:val="single" w:sz="4" w:space="0" w:color="auto"/>
            </w:tcBorders>
            <w:shd w:val="clear" w:color="auto" w:fill="auto"/>
          </w:tcPr>
          <w:p w:rsidR="00A82896" w:rsidRPr="00ED5F2F" w:rsidRDefault="00A82896" w:rsidP="001566B4">
            <w:pPr>
              <w:jc w:val="center"/>
              <w:rPr>
                <w:rFonts w:asciiTheme="majorBidi" w:hAnsiTheme="majorBidi" w:cstheme="majorBidi"/>
                <w:bCs/>
                <w:sz w:val="20"/>
                <w:szCs w:val="20"/>
              </w:rPr>
            </w:pPr>
            <w:r w:rsidRPr="00ED5F2F">
              <w:rPr>
                <w:rFonts w:asciiTheme="majorBidi" w:hAnsiTheme="majorBidi" w:cstheme="majorBidi"/>
                <w:bCs/>
                <w:sz w:val="20"/>
                <w:szCs w:val="20"/>
              </w:rPr>
              <w:t>Descriptor</w:t>
            </w:r>
          </w:p>
        </w:tc>
        <w:tc>
          <w:tcPr>
            <w:tcW w:w="2410" w:type="dxa"/>
            <w:tcBorders>
              <w:bottom w:val="single" w:sz="4" w:space="0" w:color="auto"/>
            </w:tcBorders>
            <w:shd w:val="clear" w:color="auto" w:fill="auto"/>
          </w:tcPr>
          <w:p w:rsidR="00A82896" w:rsidRPr="00ED5F2F" w:rsidRDefault="00A82896" w:rsidP="001566B4">
            <w:pPr>
              <w:jc w:val="center"/>
              <w:rPr>
                <w:rFonts w:asciiTheme="majorBidi" w:hAnsiTheme="majorBidi" w:cstheme="majorBidi"/>
                <w:bCs/>
                <w:sz w:val="20"/>
                <w:szCs w:val="20"/>
              </w:rPr>
            </w:pPr>
            <w:r w:rsidRPr="00ED5F2F">
              <w:rPr>
                <w:rFonts w:asciiTheme="majorBidi" w:hAnsiTheme="majorBidi" w:cstheme="majorBidi"/>
                <w:bCs/>
                <w:sz w:val="20"/>
                <w:szCs w:val="20"/>
              </w:rPr>
              <w:t>Number of Cases</w:t>
            </w:r>
          </w:p>
          <w:p w:rsidR="00A82896" w:rsidRPr="00ED5F2F" w:rsidRDefault="00A82896" w:rsidP="009F352A">
            <w:pPr>
              <w:rPr>
                <w:rFonts w:asciiTheme="majorBidi" w:hAnsiTheme="majorBidi" w:cstheme="majorBidi"/>
                <w:bCs/>
                <w:sz w:val="20"/>
                <w:szCs w:val="20"/>
              </w:rPr>
            </w:pPr>
          </w:p>
        </w:tc>
      </w:tr>
      <w:tr w:rsidR="00A82896" w:rsidRPr="00ED5F2F" w:rsidTr="001566B4">
        <w:tc>
          <w:tcPr>
            <w:tcW w:w="1526" w:type="dxa"/>
            <w:tcBorders>
              <w:bottom w:val="nil"/>
              <w:right w:val="nil"/>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1</w:t>
            </w:r>
          </w:p>
        </w:tc>
        <w:tc>
          <w:tcPr>
            <w:tcW w:w="5386" w:type="dxa"/>
            <w:tcBorders>
              <w:left w:val="nil"/>
              <w:bottom w:val="nil"/>
              <w:right w:val="nil"/>
            </w:tcBorders>
          </w:tcPr>
          <w:p w:rsidR="00A82896" w:rsidRPr="00ED5F2F" w:rsidRDefault="00A82896" w:rsidP="001566B4">
            <w:pPr>
              <w:rPr>
                <w:rFonts w:asciiTheme="majorBidi" w:hAnsiTheme="majorBidi" w:cstheme="majorBidi"/>
                <w:sz w:val="20"/>
                <w:szCs w:val="20"/>
              </w:rPr>
            </w:pPr>
            <w:r w:rsidRPr="00ED5F2F">
              <w:rPr>
                <w:rFonts w:asciiTheme="majorBidi" w:hAnsiTheme="majorBidi" w:cstheme="majorBidi"/>
                <w:sz w:val="20"/>
                <w:szCs w:val="20"/>
              </w:rPr>
              <w:t>An ADR occurred but no change in treatment with suspected drug(s)</w:t>
            </w:r>
          </w:p>
        </w:tc>
        <w:tc>
          <w:tcPr>
            <w:tcW w:w="2410" w:type="dxa"/>
            <w:tcBorders>
              <w:left w:val="nil"/>
              <w:bottom w:val="nil"/>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3</w:t>
            </w:r>
          </w:p>
        </w:tc>
      </w:tr>
      <w:tr w:rsidR="00A82896" w:rsidRPr="00ED5F2F" w:rsidTr="001566B4">
        <w:tc>
          <w:tcPr>
            <w:tcW w:w="1526" w:type="dxa"/>
            <w:tcBorders>
              <w:top w:val="nil"/>
              <w:bottom w:val="nil"/>
              <w:right w:val="nil"/>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2</w:t>
            </w:r>
          </w:p>
        </w:tc>
        <w:tc>
          <w:tcPr>
            <w:tcW w:w="5386" w:type="dxa"/>
            <w:tcBorders>
              <w:top w:val="nil"/>
              <w:left w:val="nil"/>
              <w:bottom w:val="nil"/>
              <w:right w:val="nil"/>
            </w:tcBorders>
          </w:tcPr>
          <w:p w:rsidR="00A82896" w:rsidRPr="00ED5F2F" w:rsidRDefault="00A82896" w:rsidP="001566B4">
            <w:pPr>
              <w:rPr>
                <w:rFonts w:asciiTheme="majorBidi" w:hAnsiTheme="majorBidi" w:cstheme="majorBidi"/>
                <w:sz w:val="20"/>
                <w:szCs w:val="20"/>
              </w:rPr>
            </w:pPr>
            <w:r w:rsidRPr="00ED5F2F">
              <w:rPr>
                <w:rFonts w:asciiTheme="majorBidi" w:hAnsiTheme="majorBidi" w:cstheme="majorBidi"/>
                <w:sz w:val="20"/>
                <w:szCs w:val="20"/>
              </w:rPr>
              <w:t xml:space="preserve">The ADR required that treatment with the suspected drug(s) be held, discontinued or otherwise changed. No antidote or other treatment required. </w:t>
            </w:r>
          </w:p>
        </w:tc>
        <w:tc>
          <w:tcPr>
            <w:tcW w:w="2410" w:type="dxa"/>
            <w:tcBorders>
              <w:top w:val="nil"/>
              <w:left w:val="nil"/>
              <w:bottom w:val="nil"/>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7</w:t>
            </w:r>
          </w:p>
        </w:tc>
      </w:tr>
      <w:tr w:rsidR="00A82896" w:rsidRPr="00ED5F2F" w:rsidTr="001566B4">
        <w:tc>
          <w:tcPr>
            <w:tcW w:w="1526" w:type="dxa"/>
            <w:tcBorders>
              <w:top w:val="nil"/>
              <w:bottom w:val="nil"/>
              <w:right w:val="nil"/>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4</w:t>
            </w:r>
          </w:p>
        </w:tc>
        <w:tc>
          <w:tcPr>
            <w:tcW w:w="5386" w:type="dxa"/>
            <w:tcBorders>
              <w:top w:val="nil"/>
              <w:left w:val="nil"/>
              <w:bottom w:val="nil"/>
              <w:right w:val="nil"/>
            </w:tcBorders>
          </w:tcPr>
          <w:p w:rsidR="00A82896" w:rsidRPr="00ED5F2F" w:rsidRDefault="00A82896" w:rsidP="001566B4">
            <w:pPr>
              <w:rPr>
                <w:rFonts w:asciiTheme="majorBidi" w:hAnsiTheme="majorBidi" w:cstheme="majorBidi"/>
                <w:sz w:val="20"/>
                <w:szCs w:val="20"/>
              </w:rPr>
            </w:pPr>
            <w:r w:rsidRPr="00ED5F2F">
              <w:rPr>
                <w:rFonts w:asciiTheme="majorBidi" w:hAnsiTheme="majorBidi" w:cstheme="majorBidi"/>
                <w:sz w:val="20"/>
                <w:szCs w:val="20"/>
              </w:rPr>
              <w:t>The ADR was the reason for admission. *</w:t>
            </w:r>
          </w:p>
        </w:tc>
        <w:tc>
          <w:tcPr>
            <w:tcW w:w="2410" w:type="dxa"/>
            <w:tcBorders>
              <w:top w:val="nil"/>
              <w:left w:val="nil"/>
              <w:bottom w:val="nil"/>
            </w:tcBorders>
          </w:tcPr>
          <w:p w:rsidR="00A82896" w:rsidRPr="00ED5F2F" w:rsidRDefault="00A82896" w:rsidP="001566B4">
            <w:pPr>
              <w:jc w:val="center"/>
              <w:rPr>
                <w:rFonts w:asciiTheme="majorBidi" w:hAnsiTheme="majorBidi" w:cstheme="majorBidi"/>
                <w:sz w:val="20"/>
                <w:szCs w:val="20"/>
              </w:rPr>
            </w:pPr>
            <w:r w:rsidRPr="00ED5F2F">
              <w:rPr>
                <w:rFonts w:asciiTheme="majorBidi" w:hAnsiTheme="majorBidi" w:cstheme="majorBidi"/>
                <w:sz w:val="20"/>
                <w:szCs w:val="20"/>
              </w:rPr>
              <w:t>13</w:t>
            </w:r>
          </w:p>
          <w:p w:rsidR="00A82896" w:rsidRPr="00ED5F2F" w:rsidRDefault="00A82896" w:rsidP="001566B4">
            <w:pPr>
              <w:jc w:val="center"/>
              <w:rPr>
                <w:rFonts w:asciiTheme="majorBidi" w:hAnsiTheme="majorBidi" w:cstheme="majorBidi"/>
                <w:sz w:val="20"/>
                <w:szCs w:val="20"/>
              </w:rPr>
            </w:pPr>
          </w:p>
        </w:tc>
      </w:tr>
      <w:tr w:rsidR="00A82896" w:rsidRPr="00ED5F2F" w:rsidTr="001566B4">
        <w:tc>
          <w:tcPr>
            <w:tcW w:w="1526" w:type="dxa"/>
            <w:tcBorders>
              <w:top w:val="nil"/>
              <w:right w:val="nil"/>
            </w:tcBorders>
          </w:tcPr>
          <w:p w:rsidR="00A82896" w:rsidRPr="00ED5F2F" w:rsidRDefault="00A82896" w:rsidP="001566B4">
            <w:pPr>
              <w:jc w:val="center"/>
              <w:rPr>
                <w:rFonts w:asciiTheme="majorBidi" w:hAnsiTheme="majorBidi" w:cstheme="majorBidi"/>
                <w:b/>
                <w:sz w:val="20"/>
                <w:szCs w:val="20"/>
              </w:rPr>
            </w:pPr>
            <w:r w:rsidRPr="00ED5F2F">
              <w:rPr>
                <w:rFonts w:asciiTheme="majorBidi" w:hAnsiTheme="majorBidi" w:cstheme="majorBidi"/>
                <w:b/>
                <w:sz w:val="20"/>
                <w:szCs w:val="20"/>
              </w:rPr>
              <w:t>Total</w:t>
            </w:r>
          </w:p>
        </w:tc>
        <w:tc>
          <w:tcPr>
            <w:tcW w:w="5386" w:type="dxa"/>
            <w:tcBorders>
              <w:top w:val="nil"/>
              <w:left w:val="nil"/>
              <w:right w:val="nil"/>
            </w:tcBorders>
          </w:tcPr>
          <w:p w:rsidR="00A82896" w:rsidRPr="00ED5F2F" w:rsidRDefault="00A82896" w:rsidP="001566B4">
            <w:pPr>
              <w:rPr>
                <w:rFonts w:asciiTheme="majorBidi" w:hAnsiTheme="majorBidi" w:cstheme="majorBidi"/>
                <w:b/>
                <w:sz w:val="20"/>
                <w:szCs w:val="20"/>
              </w:rPr>
            </w:pPr>
          </w:p>
        </w:tc>
        <w:tc>
          <w:tcPr>
            <w:tcW w:w="2410" w:type="dxa"/>
            <w:tcBorders>
              <w:top w:val="nil"/>
              <w:left w:val="nil"/>
            </w:tcBorders>
          </w:tcPr>
          <w:p w:rsidR="00A82896" w:rsidRPr="00ED5F2F" w:rsidRDefault="00A82896" w:rsidP="001566B4">
            <w:pPr>
              <w:jc w:val="center"/>
              <w:rPr>
                <w:rFonts w:asciiTheme="majorBidi" w:hAnsiTheme="majorBidi" w:cstheme="majorBidi"/>
                <w:b/>
                <w:sz w:val="20"/>
                <w:szCs w:val="20"/>
              </w:rPr>
            </w:pPr>
            <w:r w:rsidRPr="00ED5F2F">
              <w:rPr>
                <w:rFonts w:asciiTheme="majorBidi" w:hAnsiTheme="majorBidi" w:cstheme="majorBidi"/>
                <w:b/>
                <w:sz w:val="20"/>
                <w:szCs w:val="20"/>
              </w:rPr>
              <w:t>23</w:t>
            </w:r>
          </w:p>
        </w:tc>
      </w:tr>
    </w:tbl>
    <w:p w:rsidR="00A82896" w:rsidRPr="00ED5F2F" w:rsidRDefault="00A82896" w:rsidP="00C918DE">
      <w:pPr>
        <w:rPr>
          <w:rFonts w:asciiTheme="majorBidi" w:hAnsiTheme="majorBidi" w:cstheme="majorBidi"/>
          <w:sz w:val="20"/>
          <w:szCs w:val="20"/>
        </w:rPr>
      </w:pPr>
      <w:r w:rsidRPr="00ED5F2F">
        <w:rPr>
          <w:rFonts w:asciiTheme="majorBidi" w:hAnsiTheme="majorBidi" w:cstheme="majorBidi"/>
          <w:b/>
          <w:bCs/>
          <w:sz w:val="20"/>
          <w:szCs w:val="20"/>
        </w:rPr>
        <w:t xml:space="preserve">* </w:t>
      </w:r>
      <w:r w:rsidRPr="00ED5F2F">
        <w:rPr>
          <w:rFonts w:asciiTheme="majorBidi" w:hAnsiTheme="majorBidi" w:cstheme="majorBidi"/>
          <w:sz w:val="20"/>
          <w:szCs w:val="20"/>
        </w:rPr>
        <w:t xml:space="preserve">One patient with a </w:t>
      </w:r>
      <w:proofErr w:type="spellStart"/>
      <w:r w:rsidRPr="00ED5F2F">
        <w:rPr>
          <w:rFonts w:asciiTheme="majorBidi" w:hAnsiTheme="majorBidi" w:cstheme="majorBidi"/>
          <w:sz w:val="20"/>
          <w:szCs w:val="20"/>
        </w:rPr>
        <w:t>cADR</w:t>
      </w:r>
      <w:proofErr w:type="spellEnd"/>
      <w:r w:rsidRPr="00ED5F2F">
        <w:rPr>
          <w:rFonts w:asciiTheme="majorBidi" w:hAnsiTheme="majorBidi" w:cstheme="majorBidi"/>
          <w:sz w:val="20"/>
          <w:szCs w:val="20"/>
        </w:rPr>
        <w:t xml:space="preserve"> presented to the AMAU but was discharged without in-patient admission. </w:t>
      </w:r>
    </w:p>
    <w:p w:rsidR="00A82896" w:rsidRPr="00ED5F2F" w:rsidRDefault="00A82896" w:rsidP="00C918DE">
      <w:pPr>
        <w:rPr>
          <w:rFonts w:asciiTheme="majorBidi" w:hAnsiTheme="majorBidi" w:cstheme="majorBidi"/>
          <w:b/>
          <w:bCs/>
          <w:sz w:val="20"/>
          <w:szCs w:val="20"/>
        </w:rPr>
      </w:pPr>
      <w:r w:rsidRPr="00ED5F2F">
        <w:rPr>
          <w:rFonts w:asciiTheme="majorBidi" w:hAnsiTheme="majorBidi" w:cstheme="majorBidi"/>
          <w:b/>
          <w:bCs/>
          <w:sz w:val="20"/>
          <w:szCs w:val="20"/>
        </w:rPr>
        <w:t>3.2 Secondary Outcomes</w:t>
      </w:r>
    </w:p>
    <w:p w:rsidR="00A82896" w:rsidRPr="00ED5F2F" w:rsidRDefault="00A82896" w:rsidP="00B84DD0">
      <w:pPr>
        <w:rPr>
          <w:rFonts w:asciiTheme="majorBidi" w:hAnsiTheme="majorBidi" w:cstheme="majorBidi"/>
          <w:sz w:val="20"/>
          <w:szCs w:val="20"/>
        </w:rPr>
      </w:pPr>
      <w:r w:rsidRPr="00ED5F2F">
        <w:rPr>
          <w:rFonts w:asciiTheme="majorBidi" w:hAnsiTheme="majorBidi" w:cstheme="majorBidi"/>
          <w:sz w:val="20"/>
          <w:szCs w:val="20"/>
        </w:rPr>
        <w:t>3.2.1 ADRs and PIP</w:t>
      </w:r>
    </w:p>
    <w:p w:rsidR="00A82896" w:rsidRPr="00ED5F2F" w:rsidRDefault="00A82896" w:rsidP="004C051F">
      <w:pPr>
        <w:rPr>
          <w:rFonts w:asciiTheme="majorBidi" w:hAnsiTheme="majorBidi" w:cstheme="majorBidi"/>
          <w:sz w:val="20"/>
          <w:szCs w:val="20"/>
        </w:rPr>
      </w:pPr>
      <w:r w:rsidRPr="00ED5F2F">
        <w:rPr>
          <w:rFonts w:asciiTheme="majorBidi" w:hAnsiTheme="majorBidi" w:cstheme="majorBidi"/>
          <w:sz w:val="20"/>
          <w:szCs w:val="20"/>
        </w:rPr>
        <w:t xml:space="preserve">Seventy-two PIP criteria were identified in 48 patients. A PIM was the probable cause of an ADR in two patients and of a </w:t>
      </w:r>
      <w:proofErr w:type="spellStart"/>
      <w:r w:rsidRPr="00ED5F2F">
        <w:rPr>
          <w:rFonts w:asciiTheme="majorBidi" w:hAnsiTheme="majorBidi" w:cstheme="majorBidi"/>
          <w:sz w:val="20"/>
          <w:szCs w:val="20"/>
        </w:rPr>
        <w:t>cADR</w:t>
      </w:r>
      <w:proofErr w:type="spellEnd"/>
      <w:r w:rsidRPr="00ED5F2F">
        <w:rPr>
          <w:rFonts w:asciiTheme="majorBidi" w:hAnsiTheme="majorBidi" w:cstheme="majorBidi"/>
          <w:sz w:val="20"/>
          <w:szCs w:val="20"/>
        </w:rPr>
        <w:t xml:space="preserve"> in one patient. Having ≥1 PIP criteria was associated with experiencing any ADR (χ</w:t>
      </w:r>
      <w:r w:rsidRPr="00ED5F2F">
        <w:rPr>
          <w:rFonts w:asciiTheme="majorBidi" w:hAnsiTheme="majorBidi" w:cstheme="majorBidi"/>
          <w:sz w:val="20"/>
          <w:szCs w:val="20"/>
          <w:vertAlign w:val="superscript"/>
        </w:rPr>
        <w:t>2</w:t>
      </w:r>
      <w:r w:rsidRPr="00ED5F2F">
        <w:rPr>
          <w:rFonts w:asciiTheme="majorBidi" w:hAnsiTheme="majorBidi" w:cstheme="majorBidi"/>
          <w:sz w:val="20"/>
          <w:szCs w:val="20"/>
        </w:rPr>
        <w:t xml:space="preserve">=5.85, p=0.016), but not </w:t>
      </w:r>
      <w:proofErr w:type="spellStart"/>
      <w:r w:rsidRPr="00ED5F2F">
        <w:rPr>
          <w:rFonts w:asciiTheme="majorBidi" w:hAnsiTheme="majorBidi" w:cstheme="majorBidi"/>
          <w:sz w:val="20"/>
          <w:szCs w:val="20"/>
        </w:rPr>
        <w:t>pADRs</w:t>
      </w:r>
      <w:proofErr w:type="spellEnd"/>
      <w:r w:rsidRPr="00ED5F2F">
        <w:rPr>
          <w:rFonts w:asciiTheme="majorBidi" w:hAnsiTheme="majorBidi" w:cstheme="majorBidi"/>
          <w:sz w:val="20"/>
          <w:szCs w:val="20"/>
        </w:rPr>
        <w:t xml:space="preserve"> (χ</w:t>
      </w:r>
      <w:r w:rsidRPr="00ED5F2F">
        <w:rPr>
          <w:rFonts w:asciiTheme="majorBidi" w:hAnsiTheme="majorBidi" w:cstheme="majorBidi"/>
          <w:sz w:val="20"/>
          <w:szCs w:val="20"/>
          <w:vertAlign w:val="superscript"/>
        </w:rPr>
        <w:t>2</w:t>
      </w:r>
      <w:r w:rsidRPr="00ED5F2F">
        <w:rPr>
          <w:rFonts w:asciiTheme="majorBidi" w:hAnsiTheme="majorBidi" w:cstheme="majorBidi"/>
          <w:sz w:val="20"/>
          <w:szCs w:val="20"/>
        </w:rPr>
        <w:t xml:space="preserve">=1.21, p=0.27) or </w:t>
      </w:r>
      <w:proofErr w:type="spellStart"/>
      <w:r w:rsidRPr="00ED5F2F">
        <w:rPr>
          <w:rFonts w:asciiTheme="majorBidi" w:hAnsiTheme="majorBidi" w:cstheme="majorBidi"/>
          <w:sz w:val="20"/>
          <w:szCs w:val="20"/>
        </w:rPr>
        <w:t>cADRs</w:t>
      </w:r>
      <w:proofErr w:type="spellEnd"/>
      <w:r w:rsidRPr="00ED5F2F">
        <w:rPr>
          <w:rFonts w:asciiTheme="majorBidi" w:hAnsiTheme="majorBidi" w:cstheme="majorBidi"/>
          <w:sz w:val="20"/>
          <w:szCs w:val="20"/>
        </w:rPr>
        <w:t xml:space="preserve"> (χ</w:t>
      </w:r>
      <w:r w:rsidRPr="00ED5F2F">
        <w:rPr>
          <w:rFonts w:asciiTheme="majorBidi" w:hAnsiTheme="majorBidi" w:cstheme="majorBidi"/>
          <w:sz w:val="20"/>
          <w:szCs w:val="20"/>
          <w:vertAlign w:val="superscript"/>
        </w:rPr>
        <w:t>2</w:t>
      </w:r>
      <w:r w:rsidRPr="00ED5F2F">
        <w:rPr>
          <w:rFonts w:asciiTheme="majorBidi" w:hAnsiTheme="majorBidi" w:cstheme="majorBidi"/>
          <w:sz w:val="20"/>
          <w:szCs w:val="20"/>
        </w:rPr>
        <w:t xml:space="preserve">=3.58, p=0.06). In multi-variate regression analysis, the likelihood of experiencing any ADR increased almost four-fold in patients with ≥1 PIP criteria; no relationship was identified between PIP and </w:t>
      </w:r>
      <w:proofErr w:type="spellStart"/>
      <w:r w:rsidRPr="00ED5F2F">
        <w:rPr>
          <w:rFonts w:asciiTheme="majorBidi" w:hAnsiTheme="majorBidi" w:cstheme="majorBidi"/>
          <w:sz w:val="20"/>
          <w:szCs w:val="20"/>
        </w:rPr>
        <w:t>pADRs</w:t>
      </w:r>
      <w:proofErr w:type="spellEnd"/>
      <w:r w:rsidRPr="00ED5F2F">
        <w:rPr>
          <w:rFonts w:asciiTheme="majorBidi" w:hAnsiTheme="majorBidi" w:cstheme="majorBidi"/>
          <w:sz w:val="20"/>
          <w:szCs w:val="20"/>
        </w:rPr>
        <w:t xml:space="preserve"> or </w:t>
      </w:r>
      <w:proofErr w:type="spellStart"/>
      <w:r w:rsidRPr="00ED5F2F">
        <w:rPr>
          <w:rFonts w:asciiTheme="majorBidi" w:hAnsiTheme="majorBidi" w:cstheme="majorBidi"/>
          <w:sz w:val="20"/>
          <w:szCs w:val="20"/>
        </w:rPr>
        <w:t>cADRs</w:t>
      </w:r>
      <w:proofErr w:type="spellEnd"/>
      <w:r w:rsidRPr="00ED5F2F">
        <w:rPr>
          <w:rFonts w:asciiTheme="majorBidi" w:hAnsiTheme="majorBidi" w:cstheme="majorBidi"/>
          <w:sz w:val="20"/>
          <w:szCs w:val="20"/>
        </w:rPr>
        <w:t xml:space="preserve"> (Table 3).  </w:t>
      </w:r>
    </w:p>
    <w:p w:rsidR="00A82896" w:rsidRPr="00ED5F2F" w:rsidRDefault="00A82896" w:rsidP="00D051C8">
      <w:pPr>
        <w:rPr>
          <w:rFonts w:asciiTheme="majorBidi" w:hAnsiTheme="majorBidi" w:cstheme="majorBidi"/>
          <w:sz w:val="20"/>
          <w:szCs w:val="20"/>
        </w:rPr>
      </w:pPr>
      <w:r w:rsidRPr="00ED5F2F">
        <w:rPr>
          <w:rFonts w:asciiTheme="majorBidi" w:hAnsiTheme="majorBidi" w:cstheme="majorBidi"/>
          <w:sz w:val="20"/>
          <w:szCs w:val="20"/>
        </w:rPr>
        <w:t>3.2.2 ADRs and pre-hospital medicines</w:t>
      </w:r>
    </w:p>
    <w:p w:rsidR="00A82896" w:rsidRPr="00ED5F2F" w:rsidRDefault="00A82896" w:rsidP="003D1A96">
      <w:pPr>
        <w:rPr>
          <w:rFonts w:asciiTheme="majorBidi" w:hAnsiTheme="majorBidi" w:cstheme="majorBidi"/>
          <w:sz w:val="20"/>
          <w:szCs w:val="20"/>
        </w:rPr>
      </w:pPr>
      <w:r w:rsidRPr="00ED5F2F">
        <w:rPr>
          <w:rFonts w:asciiTheme="majorBidi" w:hAnsiTheme="majorBidi" w:cstheme="majorBidi"/>
          <w:sz w:val="20"/>
          <w:szCs w:val="20"/>
        </w:rPr>
        <w:t>Patients with any ADR used a greater number of pre-hospital medicines compared to those without (Mann Whitney U, p=0.023). Excessive polypharmacy (≥10 medicines) (χ</w:t>
      </w:r>
      <w:r w:rsidRPr="00ED5F2F">
        <w:rPr>
          <w:rFonts w:asciiTheme="majorBidi" w:hAnsiTheme="majorBidi" w:cstheme="majorBidi"/>
          <w:sz w:val="20"/>
          <w:szCs w:val="20"/>
          <w:vertAlign w:val="superscript"/>
        </w:rPr>
        <w:t>2</w:t>
      </w:r>
      <w:r w:rsidRPr="00ED5F2F">
        <w:rPr>
          <w:rFonts w:asciiTheme="majorBidi" w:hAnsiTheme="majorBidi" w:cstheme="majorBidi"/>
          <w:sz w:val="20"/>
          <w:szCs w:val="20"/>
        </w:rPr>
        <w:t>=5.73, p=0.02), but not polypharmacy (≥5 medicines) (χ</w:t>
      </w:r>
      <w:r w:rsidRPr="00ED5F2F">
        <w:rPr>
          <w:rFonts w:asciiTheme="majorBidi" w:hAnsiTheme="majorBidi" w:cstheme="majorBidi"/>
          <w:sz w:val="20"/>
          <w:szCs w:val="20"/>
          <w:vertAlign w:val="superscript"/>
        </w:rPr>
        <w:t>2</w:t>
      </w:r>
      <w:r w:rsidRPr="00ED5F2F">
        <w:rPr>
          <w:rFonts w:asciiTheme="majorBidi" w:hAnsiTheme="majorBidi" w:cstheme="majorBidi"/>
          <w:sz w:val="20"/>
          <w:szCs w:val="20"/>
        </w:rPr>
        <w:t xml:space="preserve">=2.11, p=0.15) was positively associated with any ADR occurrence. When patients with </w:t>
      </w:r>
      <w:proofErr w:type="spellStart"/>
      <w:r w:rsidRPr="00ED5F2F">
        <w:rPr>
          <w:rFonts w:asciiTheme="majorBidi" w:hAnsiTheme="majorBidi" w:cstheme="majorBidi"/>
          <w:sz w:val="20"/>
          <w:szCs w:val="20"/>
        </w:rPr>
        <w:t>cADRs</w:t>
      </w:r>
      <w:proofErr w:type="spellEnd"/>
      <w:r w:rsidRPr="00ED5F2F">
        <w:rPr>
          <w:rFonts w:asciiTheme="majorBidi" w:hAnsiTheme="majorBidi" w:cstheme="majorBidi"/>
          <w:sz w:val="20"/>
          <w:szCs w:val="20"/>
        </w:rPr>
        <w:t xml:space="preserve"> were compared to those without </w:t>
      </w:r>
      <w:proofErr w:type="spellStart"/>
      <w:r w:rsidRPr="00ED5F2F">
        <w:rPr>
          <w:rFonts w:asciiTheme="majorBidi" w:hAnsiTheme="majorBidi" w:cstheme="majorBidi"/>
          <w:sz w:val="20"/>
          <w:szCs w:val="20"/>
        </w:rPr>
        <w:t>cADRs</w:t>
      </w:r>
      <w:proofErr w:type="spellEnd"/>
      <w:r w:rsidRPr="00ED5F2F">
        <w:rPr>
          <w:rFonts w:asciiTheme="majorBidi" w:hAnsiTheme="majorBidi" w:cstheme="majorBidi"/>
          <w:sz w:val="20"/>
          <w:szCs w:val="20"/>
        </w:rPr>
        <w:t xml:space="preserve">, there was no difference in number of pre-hospital medicines (Mann Whitney U, p=0.31). Statistical associations between </w:t>
      </w:r>
      <w:proofErr w:type="spellStart"/>
      <w:r w:rsidRPr="00ED5F2F">
        <w:rPr>
          <w:rFonts w:asciiTheme="majorBidi" w:hAnsiTheme="majorBidi" w:cstheme="majorBidi"/>
          <w:sz w:val="20"/>
          <w:szCs w:val="20"/>
        </w:rPr>
        <w:t>pADR</w:t>
      </w:r>
      <w:proofErr w:type="spellEnd"/>
      <w:r w:rsidRPr="00ED5F2F">
        <w:rPr>
          <w:rFonts w:asciiTheme="majorBidi" w:hAnsiTheme="majorBidi" w:cstheme="majorBidi"/>
          <w:sz w:val="20"/>
          <w:szCs w:val="20"/>
        </w:rPr>
        <w:t xml:space="preserve"> and </w:t>
      </w:r>
      <w:proofErr w:type="spellStart"/>
      <w:r w:rsidRPr="00ED5F2F">
        <w:rPr>
          <w:rFonts w:asciiTheme="majorBidi" w:hAnsiTheme="majorBidi" w:cstheme="majorBidi"/>
          <w:sz w:val="20"/>
          <w:szCs w:val="20"/>
        </w:rPr>
        <w:t>cADR</w:t>
      </w:r>
      <w:proofErr w:type="spellEnd"/>
      <w:r w:rsidRPr="00ED5F2F">
        <w:rPr>
          <w:rFonts w:asciiTheme="majorBidi" w:hAnsiTheme="majorBidi" w:cstheme="majorBidi"/>
          <w:sz w:val="20"/>
          <w:szCs w:val="20"/>
        </w:rPr>
        <w:t xml:space="preserve"> occurrence and both polypharmacy and excessive polypharmacy were absent. </w:t>
      </w:r>
    </w:p>
    <w:p w:rsidR="00A82896" w:rsidRPr="00ED5F2F" w:rsidRDefault="00A82896" w:rsidP="00FB3323">
      <w:pPr>
        <w:rPr>
          <w:rFonts w:asciiTheme="majorBidi" w:hAnsiTheme="majorBidi" w:cstheme="majorBidi"/>
          <w:sz w:val="20"/>
          <w:szCs w:val="20"/>
        </w:rPr>
      </w:pPr>
      <w:r w:rsidRPr="00ED5F2F">
        <w:rPr>
          <w:rFonts w:asciiTheme="majorBidi" w:hAnsiTheme="majorBidi" w:cstheme="majorBidi"/>
          <w:sz w:val="20"/>
          <w:szCs w:val="20"/>
        </w:rPr>
        <w:t>3.2.3 ADRs and sex, age and CCMI score</w:t>
      </w:r>
    </w:p>
    <w:p w:rsidR="00A82896" w:rsidRPr="00ED5F2F" w:rsidRDefault="00A82896" w:rsidP="00284FBA">
      <w:pPr>
        <w:rPr>
          <w:rFonts w:asciiTheme="majorBidi" w:hAnsiTheme="majorBidi" w:cstheme="majorBidi"/>
          <w:sz w:val="20"/>
          <w:szCs w:val="20"/>
        </w:rPr>
      </w:pPr>
      <w:r w:rsidRPr="00ED5F2F">
        <w:rPr>
          <w:rFonts w:asciiTheme="majorBidi" w:hAnsiTheme="majorBidi" w:cstheme="majorBidi"/>
          <w:sz w:val="20"/>
          <w:szCs w:val="20"/>
        </w:rPr>
        <w:t xml:space="preserve">Females were approximately four times less likely than males to experience any ADR (Table 3). Age and CCMI score were not associated with any type of ADR.  Patients with any ADR, or any </w:t>
      </w:r>
      <w:proofErr w:type="spellStart"/>
      <w:r w:rsidRPr="00ED5F2F">
        <w:rPr>
          <w:rFonts w:asciiTheme="majorBidi" w:hAnsiTheme="majorBidi" w:cstheme="majorBidi"/>
          <w:sz w:val="20"/>
          <w:szCs w:val="20"/>
        </w:rPr>
        <w:t>cADR</w:t>
      </w:r>
      <w:proofErr w:type="spellEnd"/>
      <w:r w:rsidRPr="00ED5F2F">
        <w:rPr>
          <w:rFonts w:asciiTheme="majorBidi" w:hAnsiTheme="majorBidi" w:cstheme="majorBidi"/>
          <w:sz w:val="20"/>
          <w:szCs w:val="20"/>
        </w:rPr>
        <w:t>, did not differ to those without in terms of number of chronic health conditions (Mann Whitney U, p=0.421).</w:t>
      </w:r>
    </w:p>
    <w:p w:rsidR="00A82896" w:rsidRPr="00ED5F2F" w:rsidRDefault="00A82896" w:rsidP="00284FBA">
      <w:pPr>
        <w:rPr>
          <w:rFonts w:asciiTheme="majorBidi" w:hAnsiTheme="majorBidi" w:cstheme="majorBidi"/>
          <w:sz w:val="20"/>
          <w:szCs w:val="20"/>
        </w:rPr>
      </w:pPr>
      <w:r w:rsidRPr="00ED5F2F">
        <w:rPr>
          <w:rFonts w:asciiTheme="majorBidi" w:hAnsiTheme="majorBidi" w:cstheme="majorBidi"/>
          <w:sz w:val="20"/>
          <w:szCs w:val="20"/>
        </w:rPr>
        <w:t>3.2.4 Clinical presentation of ADRs</w:t>
      </w:r>
    </w:p>
    <w:p w:rsidR="00A82896" w:rsidRPr="00ED5F2F" w:rsidRDefault="00A82896" w:rsidP="009900B3">
      <w:pPr>
        <w:rPr>
          <w:rFonts w:asciiTheme="majorBidi" w:hAnsiTheme="majorBidi" w:cstheme="majorBidi"/>
          <w:sz w:val="20"/>
          <w:szCs w:val="20"/>
        </w:rPr>
        <w:sectPr w:rsidR="00A82896" w:rsidRPr="00ED5F2F" w:rsidSect="00201BC3">
          <w:headerReference w:type="default" r:id="rId13"/>
          <w:footerReference w:type="default" r:id="rId14"/>
          <w:pgSz w:w="11906" w:h="16838"/>
          <w:pgMar w:top="1440" w:right="1440" w:bottom="1440" w:left="1440" w:header="708" w:footer="708" w:gutter="0"/>
          <w:cols w:space="708"/>
          <w:docGrid w:linePitch="360"/>
        </w:sectPr>
      </w:pPr>
      <w:r w:rsidRPr="00ED5F2F">
        <w:rPr>
          <w:rFonts w:asciiTheme="majorBidi" w:hAnsiTheme="majorBidi" w:cstheme="majorBidi"/>
          <w:sz w:val="20"/>
          <w:szCs w:val="20"/>
        </w:rPr>
        <w:t>The cardiovascular and gastro-intestinal systems were most commonly affected by ADRs. Of the 37 drugs causing ADRs, most were from cardiovascular (n=21) or central nervous system (n=5) drug classes. Beta-adrenergic antagonists, agents acting on the renin-angiotensin-aldosterone system, diuretics and non-steroidal anti-inflammatories were the drug classes most frequently implicated in ADRs. Further detail on the identified ADRs is available in Online Resource 1.</w:t>
      </w:r>
    </w:p>
    <w:p w:rsidR="00A82896" w:rsidRPr="00ED5F2F" w:rsidRDefault="00A82896" w:rsidP="00A778F2">
      <w:pPr>
        <w:tabs>
          <w:tab w:val="left" w:pos="952"/>
        </w:tabs>
        <w:rPr>
          <w:rFonts w:asciiTheme="majorBidi" w:hAnsiTheme="majorBidi" w:cstheme="majorBidi"/>
          <w:b/>
          <w:bCs/>
          <w:sz w:val="20"/>
          <w:szCs w:val="20"/>
        </w:rPr>
      </w:pPr>
      <w:r w:rsidRPr="00ED5F2F">
        <w:rPr>
          <w:rFonts w:asciiTheme="majorBidi" w:hAnsiTheme="majorBidi" w:cstheme="majorBidi"/>
          <w:b/>
          <w:bCs/>
          <w:sz w:val="20"/>
          <w:szCs w:val="20"/>
        </w:rPr>
        <w:lastRenderedPageBreak/>
        <w:t xml:space="preserve">able 3 –Logistic regression analyses showing the association between ADR type and covariates: sex, age, CCMI score, polypharmacy and presence of PIP. </w:t>
      </w:r>
    </w:p>
    <w:tbl>
      <w:tblPr>
        <w:tblStyle w:val="TableGrid"/>
        <w:tblW w:w="12299" w:type="dxa"/>
        <w:tblLayout w:type="fixed"/>
        <w:tblLook w:val="04A0" w:firstRow="1" w:lastRow="0" w:firstColumn="1" w:lastColumn="0" w:noHBand="0" w:noVBand="1"/>
      </w:tblPr>
      <w:tblGrid>
        <w:gridCol w:w="1951"/>
        <w:gridCol w:w="1701"/>
        <w:gridCol w:w="1843"/>
        <w:gridCol w:w="1701"/>
        <w:gridCol w:w="1701"/>
        <w:gridCol w:w="1701"/>
        <w:gridCol w:w="1701"/>
      </w:tblGrid>
      <w:tr w:rsidR="00A82896" w:rsidRPr="00ED5F2F" w:rsidTr="00D75C4B">
        <w:tc>
          <w:tcPr>
            <w:tcW w:w="1951" w:type="dxa"/>
            <w:vMerge w:val="restart"/>
            <w:tcBorders>
              <w:top w:val="single" w:sz="8" w:space="0" w:color="auto"/>
              <w:left w:val="single" w:sz="8" w:space="0" w:color="auto"/>
              <w:right w:val="single" w:sz="8" w:space="0" w:color="auto"/>
            </w:tcBorders>
            <w:shd w:val="clear" w:color="auto" w:fill="auto"/>
          </w:tcPr>
          <w:p w:rsidR="00A82896" w:rsidRPr="00ED5F2F" w:rsidRDefault="00A82896" w:rsidP="00D75C4B">
            <w:pPr>
              <w:jc w:val="center"/>
              <w:rPr>
                <w:rFonts w:asciiTheme="majorBidi" w:hAnsiTheme="majorBidi" w:cstheme="majorBidi"/>
                <w:sz w:val="20"/>
                <w:szCs w:val="20"/>
              </w:rPr>
            </w:pP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Covariate</w:t>
            </w:r>
          </w:p>
        </w:tc>
        <w:tc>
          <w:tcPr>
            <w:tcW w:w="3544" w:type="dxa"/>
            <w:gridSpan w:val="2"/>
            <w:tcBorders>
              <w:top w:val="single" w:sz="8" w:space="0" w:color="auto"/>
              <w:left w:val="single" w:sz="8" w:space="0" w:color="auto"/>
              <w:bottom w:val="single" w:sz="8" w:space="0" w:color="auto"/>
              <w:right w:val="single" w:sz="8" w:space="0" w:color="auto"/>
            </w:tcBorders>
            <w:shd w:val="clear" w:color="auto" w:fill="auto"/>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Any ADR</w:t>
            </w:r>
          </w:p>
        </w:tc>
        <w:tc>
          <w:tcPr>
            <w:tcW w:w="3402" w:type="dxa"/>
            <w:gridSpan w:val="2"/>
            <w:tcBorders>
              <w:top w:val="single" w:sz="8" w:space="0" w:color="auto"/>
              <w:left w:val="single" w:sz="8" w:space="0" w:color="auto"/>
              <w:bottom w:val="single" w:sz="4" w:space="0" w:color="auto"/>
              <w:right w:val="single" w:sz="8" w:space="0" w:color="auto"/>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Preventable ADR</w:t>
            </w:r>
          </w:p>
        </w:tc>
        <w:tc>
          <w:tcPr>
            <w:tcW w:w="3402" w:type="dxa"/>
            <w:gridSpan w:val="2"/>
            <w:tcBorders>
              <w:top w:val="single" w:sz="8" w:space="0" w:color="auto"/>
              <w:left w:val="single" w:sz="8" w:space="0" w:color="auto"/>
              <w:bottom w:val="single" w:sz="4" w:space="0" w:color="auto"/>
              <w:right w:val="single" w:sz="8" w:space="0" w:color="auto"/>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Causative or contributory ADR</w:t>
            </w:r>
          </w:p>
        </w:tc>
      </w:tr>
      <w:tr w:rsidR="00A82896" w:rsidRPr="00ED5F2F" w:rsidTr="00D75C4B">
        <w:tc>
          <w:tcPr>
            <w:tcW w:w="1951" w:type="dxa"/>
            <w:vMerge/>
            <w:tcBorders>
              <w:left w:val="single" w:sz="8" w:space="0" w:color="auto"/>
              <w:bottom w:val="single" w:sz="8" w:space="0" w:color="auto"/>
              <w:right w:val="single" w:sz="8" w:space="0" w:color="auto"/>
            </w:tcBorders>
            <w:shd w:val="clear" w:color="auto" w:fill="auto"/>
          </w:tcPr>
          <w:p w:rsidR="00A82896" w:rsidRPr="00ED5F2F" w:rsidRDefault="00A82896" w:rsidP="00D75C4B">
            <w:pPr>
              <w:jc w:val="center"/>
              <w:rPr>
                <w:rFonts w:asciiTheme="majorBidi" w:hAnsiTheme="majorBidi" w:cstheme="majorBidi"/>
                <w:sz w:val="20"/>
                <w:szCs w:val="20"/>
              </w:rPr>
            </w:pPr>
          </w:p>
        </w:tc>
        <w:tc>
          <w:tcPr>
            <w:tcW w:w="1701" w:type="dxa"/>
            <w:tcBorders>
              <w:top w:val="single" w:sz="8" w:space="0" w:color="auto"/>
              <w:left w:val="single" w:sz="8" w:space="0" w:color="auto"/>
              <w:bottom w:val="single" w:sz="8" w:space="0" w:color="auto"/>
              <w:right w:val="nil"/>
            </w:tcBorders>
            <w:shd w:val="clear" w:color="auto" w:fill="auto"/>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 xml:space="preserve">Unadjusted </w:t>
            </w: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OR (95% CI)</w:t>
            </w:r>
          </w:p>
        </w:tc>
        <w:tc>
          <w:tcPr>
            <w:tcW w:w="1843" w:type="dxa"/>
            <w:tcBorders>
              <w:top w:val="single" w:sz="8" w:space="0" w:color="auto"/>
              <w:left w:val="nil"/>
              <w:bottom w:val="single" w:sz="8" w:space="0" w:color="auto"/>
              <w:right w:val="single" w:sz="4" w:space="0" w:color="auto"/>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Adjusted</w:t>
            </w: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 xml:space="preserve">OR (95% CI) </w:t>
            </w:r>
          </w:p>
        </w:tc>
        <w:tc>
          <w:tcPr>
            <w:tcW w:w="1701" w:type="dxa"/>
            <w:tcBorders>
              <w:top w:val="single" w:sz="4" w:space="0" w:color="auto"/>
              <w:left w:val="single" w:sz="4" w:space="0" w:color="auto"/>
              <w:bottom w:val="single" w:sz="4" w:space="0" w:color="auto"/>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Unadjusted</w:t>
            </w: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OR (95% CI)</w:t>
            </w:r>
          </w:p>
        </w:tc>
        <w:tc>
          <w:tcPr>
            <w:tcW w:w="1701" w:type="dxa"/>
            <w:tcBorders>
              <w:top w:val="single" w:sz="4" w:space="0" w:color="auto"/>
              <w:left w:val="nil"/>
              <w:bottom w:val="single" w:sz="4" w:space="0" w:color="auto"/>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Adjusted</w:t>
            </w: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OR (95% CI)</w:t>
            </w:r>
          </w:p>
        </w:tc>
        <w:tc>
          <w:tcPr>
            <w:tcW w:w="1701" w:type="dxa"/>
            <w:tcBorders>
              <w:top w:val="single" w:sz="4" w:space="0" w:color="auto"/>
              <w:left w:val="single" w:sz="4" w:space="0" w:color="auto"/>
              <w:bottom w:val="single" w:sz="8" w:space="0" w:color="auto"/>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Unadjusted</w:t>
            </w: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OR (95% CI)</w:t>
            </w:r>
          </w:p>
        </w:tc>
        <w:tc>
          <w:tcPr>
            <w:tcW w:w="1701" w:type="dxa"/>
            <w:tcBorders>
              <w:top w:val="single" w:sz="4" w:space="0" w:color="auto"/>
              <w:left w:val="nil"/>
              <w:bottom w:val="single" w:sz="8" w:space="0" w:color="auto"/>
              <w:right w:val="single" w:sz="4" w:space="0" w:color="auto"/>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Adjusted</w:t>
            </w: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OR (95% CI)</w:t>
            </w:r>
          </w:p>
        </w:tc>
      </w:tr>
      <w:tr w:rsidR="00A82896" w:rsidRPr="00ED5F2F" w:rsidTr="00D75C4B">
        <w:tc>
          <w:tcPr>
            <w:tcW w:w="1951" w:type="dxa"/>
            <w:tcBorders>
              <w:top w:val="single" w:sz="8" w:space="0" w:color="auto"/>
              <w:bottom w:val="nil"/>
              <w:right w:val="single" w:sz="8" w:space="0" w:color="auto"/>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 xml:space="preserve">Sex </w:t>
            </w: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(female vs. male)</w:t>
            </w:r>
          </w:p>
        </w:tc>
        <w:tc>
          <w:tcPr>
            <w:tcW w:w="1701" w:type="dxa"/>
            <w:tcBorders>
              <w:top w:val="single" w:sz="8" w:space="0" w:color="auto"/>
              <w:left w:val="single" w:sz="8" w:space="0" w:color="auto"/>
              <w:bottom w:val="nil"/>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0.38 (0.14-1.02)</w:t>
            </w:r>
          </w:p>
        </w:tc>
        <w:tc>
          <w:tcPr>
            <w:tcW w:w="1843" w:type="dxa"/>
            <w:tcBorders>
              <w:top w:val="single" w:sz="4" w:space="0" w:color="auto"/>
              <w:left w:val="nil"/>
              <w:bottom w:val="nil"/>
              <w:right w:val="single" w:sz="4" w:space="0" w:color="auto"/>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0.26 (0.09-0.76) *</w:t>
            </w:r>
          </w:p>
        </w:tc>
        <w:tc>
          <w:tcPr>
            <w:tcW w:w="1701" w:type="dxa"/>
            <w:tcBorders>
              <w:top w:val="single" w:sz="4" w:space="0" w:color="auto"/>
              <w:left w:val="single" w:sz="4" w:space="0" w:color="auto"/>
              <w:bottom w:val="nil"/>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0.51 (0.16-1.61)</w:t>
            </w:r>
          </w:p>
        </w:tc>
        <w:tc>
          <w:tcPr>
            <w:tcW w:w="1701" w:type="dxa"/>
            <w:tcBorders>
              <w:top w:val="single" w:sz="4" w:space="0" w:color="auto"/>
              <w:left w:val="nil"/>
              <w:bottom w:val="nil"/>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0.31 (0.08-1.22)</w:t>
            </w:r>
          </w:p>
        </w:tc>
        <w:tc>
          <w:tcPr>
            <w:tcW w:w="1701" w:type="dxa"/>
            <w:tcBorders>
              <w:top w:val="single" w:sz="8" w:space="0" w:color="auto"/>
              <w:left w:val="single" w:sz="4" w:space="0" w:color="auto"/>
              <w:bottom w:val="nil"/>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0.39 (0.11-1.42)</w:t>
            </w:r>
          </w:p>
        </w:tc>
        <w:tc>
          <w:tcPr>
            <w:tcW w:w="1701" w:type="dxa"/>
            <w:tcBorders>
              <w:top w:val="single" w:sz="8" w:space="0" w:color="auto"/>
              <w:left w:val="nil"/>
              <w:bottom w:val="nil"/>
              <w:right w:val="single" w:sz="4" w:space="0" w:color="auto"/>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0.46 (0.14-1.51)</w:t>
            </w:r>
          </w:p>
        </w:tc>
      </w:tr>
      <w:tr w:rsidR="00A82896" w:rsidRPr="00ED5F2F" w:rsidTr="00D75C4B">
        <w:tc>
          <w:tcPr>
            <w:tcW w:w="1951" w:type="dxa"/>
            <w:tcBorders>
              <w:top w:val="nil"/>
              <w:bottom w:val="nil"/>
              <w:right w:val="single" w:sz="8" w:space="0" w:color="auto"/>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 xml:space="preserve">Age </w:t>
            </w: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(per year older)</w:t>
            </w:r>
          </w:p>
        </w:tc>
        <w:tc>
          <w:tcPr>
            <w:tcW w:w="1701" w:type="dxa"/>
            <w:tcBorders>
              <w:top w:val="nil"/>
              <w:left w:val="single" w:sz="8" w:space="0" w:color="auto"/>
              <w:bottom w:val="nil"/>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0.95 (0.87-1.04)</w:t>
            </w:r>
          </w:p>
        </w:tc>
        <w:tc>
          <w:tcPr>
            <w:tcW w:w="1843" w:type="dxa"/>
            <w:tcBorders>
              <w:top w:val="nil"/>
              <w:left w:val="nil"/>
              <w:bottom w:val="nil"/>
              <w:right w:val="single" w:sz="4" w:space="0" w:color="auto"/>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0.96 (0.87-1.05)</w:t>
            </w:r>
          </w:p>
        </w:tc>
        <w:tc>
          <w:tcPr>
            <w:tcW w:w="1701" w:type="dxa"/>
            <w:tcBorders>
              <w:top w:val="nil"/>
              <w:left w:val="single" w:sz="4" w:space="0" w:color="auto"/>
              <w:bottom w:val="nil"/>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0.96 (0.87-1.07)</w:t>
            </w:r>
          </w:p>
        </w:tc>
        <w:tc>
          <w:tcPr>
            <w:tcW w:w="1701" w:type="dxa"/>
            <w:tcBorders>
              <w:top w:val="nil"/>
              <w:left w:val="nil"/>
              <w:bottom w:val="nil"/>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0.92 (0.82-1.04)</w:t>
            </w:r>
          </w:p>
        </w:tc>
        <w:tc>
          <w:tcPr>
            <w:tcW w:w="1701" w:type="dxa"/>
            <w:tcBorders>
              <w:top w:val="nil"/>
              <w:left w:val="single" w:sz="4" w:space="0" w:color="auto"/>
              <w:bottom w:val="nil"/>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0.92 (0.82-1.04)</w:t>
            </w:r>
          </w:p>
        </w:tc>
        <w:tc>
          <w:tcPr>
            <w:tcW w:w="1701" w:type="dxa"/>
            <w:tcBorders>
              <w:top w:val="nil"/>
              <w:left w:val="nil"/>
              <w:bottom w:val="nil"/>
              <w:right w:val="single" w:sz="4" w:space="0" w:color="auto"/>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0.96 (0.87-1.07)</w:t>
            </w:r>
          </w:p>
        </w:tc>
      </w:tr>
      <w:tr w:rsidR="00A82896" w:rsidRPr="00ED5F2F" w:rsidTr="00D75C4B">
        <w:tc>
          <w:tcPr>
            <w:tcW w:w="1951" w:type="dxa"/>
            <w:tcBorders>
              <w:top w:val="nil"/>
              <w:bottom w:val="single" w:sz="4" w:space="0" w:color="auto"/>
              <w:right w:val="single" w:sz="8" w:space="0" w:color="auto"/>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 xml:space="preserve">CCMI Score </w:t>
            </w: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(per unit score)</w:t>
            </w: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 xml:space="preserve">Polypharmacy </w:t>
            </w: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(present vs. absent)</w:t>
            </w: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PIP</w:t>
            </w: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(present vs. absent)</w:t>
            </w:r>
          </w:p>
        </w:tc>
        <w:tc>
          <w:tcPr>
            <w:tcW w:w="1701" w:type="dxa"/>
            <w:tcBorders>
              <w:top w:val="nil"/>
              <w:left w:val="single" w:sz="8" w:space="0" w:color="auto"/>
              <w:bottom w:val="single" w:sz="4" w:space="0" w:color="auto"/>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1.15 (0.72-1.86)</w:t>
            </w:r>
          </w:p>
          <w:p w:rsidR="00A82896" w:rsidRPr="00ED5F2F" w:rsidRDefault="00A82896" w:rsidP="00D75C4B">
            <w:pPr>
              <w:jc w:val="center"/>
              <w:rPr>
                <w:rFonts w:asciiTheme="majorBidi" w:hAnsiTheme="majorBidi" w:cstheme="majorBidi"/>
                <w:sz w:val="20"/>
                <w:szCs w:val="20"/>
              </w:rPr>
            </w:pP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3.01 (0.64-14.11)</w:t>
            </w:r>
          </w:p>
          <w:p w:rsidR="00A82896" w:rsidRPr="00ED5F2F" w:rsidRDefault="00A82896" w:rsidP="00D75C4B">
            <w:pPr>
              <w:jc w:val="center"/>
              <w:rPr>
                <w:rFonts w:asciiTheme="majorBidi" w:hAnsiTheme="majorBidi" w:cstheme="majorBidi"/>
                <w:sz w:val="20"/>
                <w:szCs w:val="20"/>
              </w:rPr>
            </w:pP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3.49 (1.22-9.93) *</w:t>
            </w:r>
          </w:p>
        </w:tc>
        <w:tc>
          <w:tcPr>
            <w:tcW w:w="1843" w:type="dxa"/>
            <w:tcBorders>
              <w:top w:val="nil"/>
              <w:left w:val="nil"/>
              <w:bottom w:val="single" w:sz="4" w:space="0" w:color="auto"/>
              <w:right w:val="single" w:sz="4" w:space="0" w:color="auto"/>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0.99 (0.58-1.70)</w:t>
            </w:r>
          </w:p>
          <w:p w:rsidR="00A82896" w:rsidRPr="00ED5F2F" w:rsidRDefault="00A82896" w:rsidP="00D75C4B">
            <w:pPr>
              <w:jc w:val="center"/>
              <w:rPr>
                <w:rFonts w:asciiTheme="majorBidi" w:hAnsiTheme="majorBidi" w:cstheme="majorBidi"/>
                <w:sz w:val="20"/>
                <w:szCs w:val="20"/>
              </w:rPr>
            </w:pP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2.40 (0.48-13.23)</w:t>
            </w:r>
          </w:p>
          <w:p w:rsidR="00A82896" w:rsidRPr="00ED5F2F" w:rsidRDefault="00A82896" w:rsidP="00D75C4B">
            <w:pPr>
              <w:jc w:val="center"/>
              <w:rPr>
                <w:rFonts w:asciiTheme="majorBidi" w:hAnsiTheme="majorBidi" w:cstheme="majorBidi"/>
                <w:sz w:val="20"/>
                <w:szCs w:val="20"/>
              </w:rPr>
            </w:pP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3.65 (1.13-11.78) *</w:t>
            </w:r>
          </w:p>
        </w:tc>
        <w:tc>
          <w:tcPr>
            <w:tcW w:w="1701" w:type="dxa"/>
            <w:tcBorders>
              <w:top w:val="nil"/>
              <w:left w:val="single" w:sz="4" w:space="0" w:color="auto"/>
              <w:bottom w:val="single" w:sz="4" w:space="0" w:color="auto"/>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1.11 (0.64-1.94)</w:t>
            </w:r>
          </w:p>
          <w:p w:rsidR="00A82896" w:rsidRPr="00ED5F2F" w:rsidRDefault="00A82896" w:rsidP="00D75C4B">
            <w:pPr>
              <w:jc w:val="center"/>
              <w:rPr>
                <w:rFonts w:asciiTheme="majorBidi" w:hAnsiTheme="majorBidi" w:cstheme="majorBidi"/>
                <w:sz w:val="20"/>
                <w:szCs w:val="20"/>
              </w:rPr>
            </w:pP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1.70 (0.35-8.27)</w:t>
            </w:r>
          </w:p>
          <w:p w:rsidR="00A82896" w:rsidRPr="00ED5F2F" w:rsidRDefault="00A82896" w:rsidP="00D75C4B">
            <w:pPr>
              <w:jc w:val="center"/>
              <w:rPr>
                <w:rFonts w:asciiTheme="majorBidi" w:hAnsiTheme="majorBidi" w:cstheme="majorBidi"/>
                <w:sz w:val="20"/>
                <w:szCs w:val="20"/>
              </w:rPr>
            </w:pP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2.05 (0.56-7.50)</w:t>
            </w:r>
          </w:p>
          <w:p w:rsidR="00A82896" w:rsidRPr="00ED5F2F" w:rsidRDefault="00A82896" w:rsidP="00D75C4B">
            <w:pPr>
              <w:jc w:val="center"/>
              <w:rPr>
                <w:rFonts w:asciiTheme="majorBidi" w:hAnsiTheme="majorBidi" w:cstheme="majorBidi"/>
                <w:sz w:val="20"/>
                <w:szCs w:val="20"/>
              </w:rPr>
            </w:pPr>
          </w:p>
        </w:tc>
        <w:tc>
          <w:tcPr>
            <w:tcW w:w="1701" w:type="dxa"/>
            <w:tcBorders>
              <w:top w:val="nil"/>
              <w:left w:val="nil"/>
              <w:bottom w:val="single" w:sz="4" w:space="0" w:color="auto"/>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0.73 (0.31-1.73)</w:t>
            </w:r>
          </w:p>
          <w:p w:rsidR="00A82896" w:rsidRPr="00ED5F2F" w:rsidRDefault="00A82896" w:rsidP="00D75C4B">
            <w:pPr>
              <w:jc w:val="center"/>
              <w:rPr>
                <w:rFonts w:asciiTheme="majorBidi" w:hAnsiTheme="majorBidi" w:cstheme="majorBidi"/>
                <w:sz w:val="20"/>
                <w:szCs w:val="20"/>
              </w:rPr>
            </w:pP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1.10 (0.17-7.29)</w:t>
            </w:r>
          </w:p>
          <w:p w:rsidR="00A82896" w:rsidRPr="00ED5F2F" w:rsidRDefault="00A82896" w:rsidP="00D75C4B">
            <w:pPr>
              <w:jc w:val="center"/>
              <w:rPr>
                <w:rFonts w:asciiTheme="majorBidi" w:hAnsiTheme="majorBidi" w:cstheme="majorBidi"/>
                <w:sz w:val="20"/>
                <w:szCs w:val="20"/>
              </w:rPr>
            </w:pP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2.51 (0.56-11.23)</w:t>
            </w:r>
          </w:p>
        </w:tc>
        <w:tc>
          <w:tcPr>
            <w:tcW w:w="1701" w:type="dxa"/>
            <w:tcBorders>
              <w:top w:val="nil"/>
              <w:left w:val="single" w:sz="4" w:space="0" w:color="auto"/>
              <w:bottom w:val="single" w:sz="4" w:space="0" w:color="auto"/>
              <w:right w:val="nil"/>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0.80 (0.37-1.72)</w:t>
            </w:r>
          </w:p>
          <w:p w:rsidR="00A82896" w:rsidRPr="00ED5F2F" w:rsidRDefault="00A82896" w:rsidP="00D75C4B">
            <w:pPr>
              <w:jc w:val="center"/>
              <w:rPr>
                <w:rFonts w:asciiTheme="majorBidi" w:hAnsiTheme="majorBidi" w:cstheme="majorBidi"/>
                <w:sz w:val="20"/>
                <w:szCs w:val="20"/>
              </w:rPr>
            </w:pP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1.22 (0.243-6.13)</w:t>
            </w:r>
          </w:p>
          <w:p w:rsidR="00A82896" w:rsidRPr="00ED5F2F" w:rsidRDefault="00A82896" w:rsidP="00D75C4B">
            <w:pPr>
              <w:jc w:val="center"/>
              <w:rPr>
                <w:rFonts w:asciiTheme="majorBidi" w:hAnsiTheme="majorBidi" w:cstheme="majorBidi"/>
                <w:sz w:val="20"/>
                <w:szCs w:val="20"/>
              </w:rPr>
            </w:pP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3.12 (0.92-10.86)</w:t>
            </w:r>
          </w:p>
        </w:tc>
        <w:tc>
          <w:tcPr>
            <w:tcW w:w="1701" w:type="dxa"/>
            <w:tcBorders>
              <w:top w:val="nil"/>
              <w:left w:val="nil"/>
              <w:bottom w:val="single" w:sz="4" w:space="0" w:color="auto"/>
              <w:right w:val="single" w:sz="4" w:space="0" w:color="auto"/>
            </w:tcBorders>
          </w:tcPr>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1.05 (0.57-1.92)</w:t>
            </w:r>
          </w:p>
          <w:p w:rsidR="00A82896" w:rsidRPr="00ED5F2F" w:rsidRDefault="00A82896" w:rsidP="00D75C4B">
            <w:pPr>
              <w:jc w:val="center"/>
              <w:rPr>
                <w:rFonts w:asciiTheme="majorBidi" w:hAnsiTheme="majorBidi" w:cstheme="majorBidi"/>
                <w:sz w:val="20"/>
                <w:szCs w:val="20"/>
              </w:rPr>
            </w:pP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1.98 (0.37-10.34)</w:t>
            </w:r>
          </w:p>
          <w:p w:rsidR="00A82896" w:rsidRPr="00ED5F2F" w:rsidRDefault="00A82896" w:rsidP="00D75C4B">
            <w:pPr>
              <w:jc w:val="center"/>
              <w:rPr>
                <w:rFonts w:asciiTheme="majorBidi" w:hAnsiTheme="majorBidi" w:cstheme="majorBidi"/>
                <w:sz w:val="20"/>
                <w:szCs w:val="20"/>
              </w:rPr>
            </w:pPr>
          </w:p>
          <w:p w:rsidR="00A82896" w:rsidRPr="00ED5F2F" w:rsidRDefault="00A82896" w:rsidP="00D75C4B">
            <w:pPr>
              <w:jc w:val="center"/>
              <w:rPr>
                <w:rFonts w:asciiTheme="majorBidi" w:hAnsiTheme="majorBidi" w:cstheme="majorBidi"/>
                <w:sz w:val="20"/>
                <w:szCs w:val="20"/>
              </w:rPr>
            </w:pPr>
            <w:r w:rsidRPr="00ED5F2F">
              <w:rPr>
                <w:rFonts w:asciiTheme="majorBidi" w:hAnsiTheme="majorBidi" w:cstheme="majorBidi"/>
                <w:sz w:val="20"/>
                <w:szCs w:val="20"/>
              </w:rPr>
              <w:t>3.48 (0.89-13.59)</w:t>
            </w:r>
          </w:p>
        </w:tc>
      </w:tr>
    </w:tbl>
    <w:p w:rsidR="00A82896" w:rsidRPr="00ED5F2F" w:rsidRDefault="00A82896" w:rsidP="00A778F2">
      <w:pPr>
        <w:rPr>
          <w:rFonts w:asciiTheme="majorBidi" w:hAnsiTheme="majorBidi" w:cstheme="majorBidi"/>
          <w:sz w:val="20"/>
          <w:szCs w:val="20"/>
        </w:rPr>
        <w:sectPr w:rsidR="00A82896" w:rsidRPr="00ED5F2F" w:rsidSect="003A7B3E">
          <w:pgSz w:w="16838" w:h="11906" w:orient="landscape"/>
          <w:pgMar w:top="1440" w:right="1440" w:bottom="1440" w:left="1440" w:header="708" w:footer="708" w:gutter="0"/>
          <w:cols w:space="708"/>
          <w:docGrid w:linePitch="360"/>
        </w:sectPr>
      </w:pPr>
      <w:r w:rsidRPr="00ED5F2F">
        <w:rPr>
          <w:rFonts w:asciiTheme="majorBidi" w:hAnsiTheme="majorBidi" w:cstheme="majorBidi"/>
          <w:sz w:val="20"/>
          <w:szCs w:val="20"/>
        </w:rPr>
        <w:t xml:space="preserve"> * Threshold for statistical significance is p&lt;0.05. ADR = Adverse drug reaction. CCMI = </w:t>
      </w:r>
      <w:proofErr w:type="spellStart"/>
      <w:r w:rsidRPr="00ED5F2F">
        <w:rPr>
          <w:rFonts w:asciiTheme="majorBidi" w:hAnsiTheme="majorBidi" w:cstheme="majorBidi"/>
          <w:sz w:val="20"/>
          <w:szCs w:val="20"/>
        </w:rPr>
        <w:t>Charlson</w:t>
      </w:r>
      <w:proofErr w:type="spellEnd"/>
      <w:r w:rsidRPr="00ED5F2F">
        <w:rPr>
          <w:rFonts w:asciiTheme="majorBidi" w:hAnsiTheme="majorBidi" w:cstheme="majorBidi"/>
          <w:sz w:val="20"/>
          <w:szCs w:val="20"/>
        </w:rPr>
        <w:t xml:space="preserve"> Co-Morbidity Index. IQR = Inter-quartile range. OR = Odds Ratio.      PIP = Potentially inappropriate prescribing.  </w:t>
      </w:r>
    </w:p>
    <w:p w:rsidR="00A82896" w:rsidRPr="00ED5F2F" w:rsidRDefault="00A82896" w:rsidP="003269FD">
      <w:pPr>
        <w:outlineLvl w:val="0"/>
        <w:rPr>
          <w:rFonts w:asciiTheme="majorBidi" w:hAnsiTheme="majorBidi" w:cstheme="majorBidi"/>
          <w:b/>
          <w:bCs/>
          <w:sz w:val="20"/>
          <w:szCs w:val="20"/>
        </w:rPr>
      </w:pPr>
      <w:r w:rsidRPr="00ED5F2F">
        <w:rPr>
          <w:rFonts w:asciiTheme="majorBidi" w:hAnsiTheme="majorBidi" w:cstheme="majorBidi"/>
          <w:b/>
          <w:bCs/>
          <w:sz w:val="20"/>
          <w:szCs w:val="20"/>
        </w:rPr>
        <w:lastRenderedPageBreak/>
        <w:t>4. Discussion</w:t>
      </w:r>
    </w:p>
    <w:p w:rsidR="00A82896" w:rsidRPr="00ED5F2F" w:rsidRDefault="00A82896" w:rsidP="003269FD">
      <w:pPr>
        <w:outlineLvl w:val="0"/>
        <w:rPr>
          <w:rFonts w:asciiTheme="majorBidi" w:hAnsiTheme="majorBidi" w:cstheme="majorBidi"/>
          <w:b/>
          <w:bCs/>
          <w:sz w:val="20"/>
          <w:szCs w:val="20"/>
        </w:rPr>
      </w:pPr>
      <w:r w:rsidRPr="00ED5F2F">
        <w:rPr>
          <w:rFonts w:asciiTheme="majorBidi" w:hAnsiTheme="majorBidi" w:cstheme="majorBidi"/>
          <w:b/>
          <w:bCs/>
          <w:sz w:val="20"/>
          <w:szCs w:val="20"/>
        </w:rPr>
        <w:t>4.1 Key findings</w:t>
      </w:r>
    </w:p>
    <w:p w:rsidR="00A82896" w:rsidRPr="00ED5F2F" w:rsidRDefault="00A82896" w:rsidP="006C3656">
      <w:pPr>
        <w:outlineLvl w:val="0"/>
        <w:rPr>
          <w:rFonts w:asciiTheme="majorBidi" w:hAnsiTheme="majorBidi" w:cstheme="majorBidi"/>
          <w:b/>
          <w:bCs/>
          <w:sz w:val="20"/>
          <w:szCs w:val="20"/>
        </w:rPr>
      </w:pPr>
      <w:r w:rsidRPr="00ED5F2F">
        <w:rPr>
          <w:rFonts w:asciiTheme="majorBidi" w:hAnsiTheme="majorBidi" w:cstheme="majorBidi"/>
          <w:sz w:val="20"/>
          <w:szCs w:val="20"/>
        </w:rPr>
        <w:t>This preliminary study identified that ADRs were present in 21 of 100 middle-aged patients presenting to the AM(A)U. This is the first study to describe the prevalence of ADRs in middle-aged hospitalised patients and the prevalence of patients experiencing ADRs that cause or contribute to acute hospital presentation. Many of the identified ADRs were preventable. This is also the first study to establish an association between ADR occurrence in middle-age and both PIP and excessive polypharmacy. These results suggest that middle-aged patients may be more vulnerable to ADRs than previously appreciated. Further research is warranted to better quantify this vulnerability and characterise the risk factors to enable future management and prevention.</w:t>
      </w:r>
    </w:p>
    <w:p w:rsidR="00A82896" w:rsidRPr="00ED5F2F" w:rsidRDefault="00A82896" w:rsidP="006C3656">
      <w:pPr>
        <w:rPr>
          <w:rFonts w:asciiTheme="majorBidi" w:hAnsiTheme="majorBidi" w:cstheme="majorBidi"/>
          <w:b/>
          <w:bCs/>
          <w:sz w:val="20"/>
          <w:szCs w:val="20"/>
        </w:rPr>
      </w:pPr>
      <w:r w:rsidRPr="00ED5F2F">
        <w:rPr>
          <w:rFonts w:asciiTheme="majorBidi" w:hAnsiTheme="majorBidi" w:cstheme="majorBidi"/>
          <w:b/>
          <w:bCs/>
          <w:sz w:val="20"/>
          <w:szCs w:val="20"/>
        </w:rPr>
        <w:t xml:space="preserve">4.2 Findings in context of previous research </w:t>
      </w:r>
    </w:p>
    <w:p w:rsidR="00A82896" w:rsidRPr="00ED5F2F" w:rsidRDefault="00A82896" w:rsidP="00AB542B">
      <w:pPr>
        <w:rPr>
          <w:rFonts w:asciiTheme="majorBidi" w:hAnsiTheme="majorBidi" w:cstheme="majorBidi"/>
          <w:sz w:val="20"/>
          <w:szCs w:val="20"/>
        </w:rPr>
      </w:pPr>
      <w:proofErr w:type="gramStart"/>
      <w:r w:rsidRPr="00ED5F2F">
        <w:rPr>
          <w:rFonts w:asciiTheme="majorBidi" w:hAnsiTheme="majorBidi" w:cstheme="majorBidi"/>
          <w:sz w:val="20"/>
          <w:szCs w:val="20"/>
        </w:rPr>
        <w:t>The  identified</w:t>
      </w:r>
      <w:proofErr w:type="gramEnd"/>
      <w:r w:rsidRPr="00ED5F2F">
        <w:rPr>
          <w:rFonts w:asciiTheme="majorBidi" w:hAnsiTheme="majorBidi" w:cstheme="majorBidi"/>
          <w:sz w:val="20"/>
          <w:szCs w:val="20"/>
        </w:rPr>
        <w:t xml:space="preserve"> 14% prevalence of </w:t>
      </w:r>
      <w:proofErr w:type="spellStart"/>
      <w:r w:rsidRPr="00ED5F2F">
        <w:rPr>
          <w:rFonts w:asciiTheme="majorBidi" w:hAnsiTheme="majorBidi" w:cstheme="majorBidi"/>
          <w:sz w:val="20"/>
          <w:szCs w:val="20"/>
        </w:rPr>
        <w:t>cADR</w:t>
      </w:r>
      <w:proofErr w:type="spellEnd"/>
      <w:r w:rsidRPr="00ED5F2F">
        <w:rPr>
          <w:rFonts w:asciiTheme="majorBidi" w:hAnsiTheme="majorBidi" w:cstheme="majorBidi"/>
          <w:sz w:val="20"/>
          <w:szCs w:val="20"/>
        </w:rPr>
        <w:t xml:space="preserve"> is higher than that reported previously </w:t>
      </w:r>
      <w:r w:rsidRPr="00ED5F2F">
        <w:rPr>
          <w:rFonts w:asciiTheme="majorBidi" w:hAnsiTheme="majorBidi" w:cstheme="majorBidi"/>
          <w:noProof/>
          <w:sz w:val="20"/>
          <w:szCs w:val="20"/>
        </w:rPr>
        <w:t>(22)</w:t>
      </w:r>
      <w:r w:rsidRPr="00ED5F2F">
        <w:rPr>
          <w:rFonts w:asciiTheme="majorBidi" w:hAnsiTheme="majorBidi" w:cstheme="majorBidi"/>
          <w:sz w:val="20"/>
          <w:szCs w:val="20"/>
        </w:rPr>
        <w:t xml:space="preserve">. Our active surveillance system may have increased ADR detection relative to studies relying on spontaneous reporting </w:t>
      </w:r>
      <w:r w:rsidRPr="00ED5F2F">
        <w:rPr>
          <w:rFonts w:asciiTheme="majorBidi" w:hAnsiTheme="majorBidi" w:cstheme="majorBidi"/>
          <w:noProof/>
          <w:sz w:val="20"/>
          <w:szCs w:val="20"/>
        </w:rPr>
        <w:t>(23)</w:t>
      </w:r>
      <w:r w:rsidRPr="00ED5F2F">
        <w:rPr>
          <w:rFonts w:asciiTheme="majorBidi" w:hAnsiTheme="majorBidi" w:cstheme="majorBidi"/>
          <w:sz w:val="20"/>
          <w:szCs w:val="20"/>
        </w:rPr>
        <w:t xml:space="preserve">. We actively involved patients in the surveillance, which possibly enhanced ADR recognition </w:t>
      </w:r>
      <w:r w:rsidRPr="00ED5F2F">
        <w:rPr>
          <w:rFonts w:asciiTheme="majorBidi" w:hAnsiTheme="majorBidi" w:cstheme="majorBidi"/>
          <w:noProof/>
          <w:sz w:val="20"/>
          <w:szCs w:val="20"/>
        </w:rPr>
        <w:t>(24)</w:t>
      </w:r>
      <w:r w:rsidRPr="00ED5F2F">
        <w:rPr>
          <w:rFonts w:asciiTheme="majorBidi" w:hAnsiTheme="majorBidi" w:cstheme="majorBidi"/>
          <w:sz w:val="20"/>
          <w:szCs w:val="20"/>
        </w:rPr>
        <w:t xml:space="preserve">. Finally, we reported a composite endpoint (i.e. ADR causal OR contributory to hospitalisation) which may have increased prevalence relative to studies that only considered ADRs which directly led to hospitalisation. </w:t>
      </w:r>
    </w:p>
    <w:p w:rsidR="00A82896" w:rsidRPr="00ED5F2F" w:rsidRDefault="00A82896" w:rsidP="00AB542B">
      <w:pPr>
        <w:rPr>
          <w:rFonts w:asciiTheme="majorBidi" w:hAnsiTheme="majorBidi" w:cstheme="majorBidi"/>
          <w:sz w:val="20"/>
          <w:szCs w:val="20"/>
        </w:rPr>
      </w:pPr>
      <w:r w:rsidRPr="00ED5F2F">
        <w:rPr>
          <w:rFonts w:asciiTheme="majorBidi" w:hAnsiTheme="majorBidi" w:cstheme="majorBidi"/>
          <w:sz w:val="20"/>
          <w:szCs w:val="20"/>
        </w:rPr>
        <w:t xml:space="preserve">Prevalence of medicine-related hospitalisation in older patients has been studied extensively </w:t>
      </w:r>
      <w:r w:rsidRPr="00ED5F2F">
        <w:rPr>
          <w:rFonts w:asciiTheme="majorBidi" w:hAnsiTheme="majorBidi" w:cstheme="majorBidi"/>
          <w:noProof/>
          <w:sz w:val="20"/>
          <w:szCs w:val="20"/>
        </w:rPr>
        <w:t>(25-27)</w:t>
      </w:r>
      <w:r w:rsidRPr="00ED5F2F">
        <w:rPr>
          <w:rFonts w:asciiTheme="majorBidi" w:hAnsiTheme="majorBidi" w:cstheme="majorBidi"/>
          <w:sz w:val="20"/>
          <w:szCs w:val="20"/>
        </w:rPr>
        <w:t xml:space="preserve">. This is often justified with reference to progressive age-related physiological dysfunction and associated changes in drug action and handling </w:t>
      </w:r>
      <w:r w:rsidRPr="00ED5F2F">
        <w:rPr>
          <w:rFonts w:asciiTheme="majorBidi" w:hAnsiTheme="majorBidi" w:cstheme="majorBidi"/>
          <w:noProof/>
          <w:sz w:val="20"/>
          <w:szCs w:val="20"/>
        </w:rPr>
        <w:t>(28)</w:t>
      </w:r>
      <w:r w:rsidRPr="00ED5F2F">
        <w:rPr>
          <w:rFonts w:asciiTheme="majorBidi" w:hAnsiTheme="majorBidi" w:cstheme="majorBidi"/>
          <w:sz w:val="20"/>
          <w:szCs w:val="20"/>
        </w:rPr>
        <w:t xml:space="preserve">. Being aged ≥65 years has been identified as an independent risk factor for ADR-related hospitalisation </w:t>
      </w:r>
      <w:r w:rsidRPr="00ED5F2F">
        <w:rPr>
          <w:rFonts w:asciiTheme="majorBidi" w:hAnsiTheme="majorBidi" w:cstheme="majorBidi"/>
          <w:noProof/>
          <w:sz w:val="20"/>
          <w:szCs w:val="20"/>
        </w:rPr>
        <w:t>(10)</w:t>
      </w:r>
      <w:r w:rsidRPr="00ED5F2F">
        <w:rPr>
          <w:rFonts w:asciiTheme="majorBidi" w:hAnsiTheme="majorBidi" w:cstheme="majorBidi"/>
          <w:sz w:val="20"/>
          <w:szCs w:val="20"/>
        </w:rPr>
        <w:t xml:space="preserve">. However, prevalence of </w:t>
      </w:r>
      <w:proofErr w:type="spellStart"/>
      <w:r w:rsidRPr="00ED5F2F">
        <w:rPr>
          <w:rFonts w:asciiTheme="majorBidi" w:hAnsiTheme="majorBidi" w:cstheme="majorBidi"/>
          <w:sz w:val="20"/>
          <w:szCs w:val="20"/>
        </w:rPr>
        <w:t>cADRs</w:t>
      </w:r>
      <w:proofErr w:type="spellEnd"/>
      <w:r w:rsidRPr="00ED5F2F">
        <w:rPr>
          <w:rFonts w:asciiTheme="majorBidi" w:hAnsiTheme="majorBidi" w:cstheme="majorBidi"/>
          <w:sz w:val="20"/>
          <w:szCs w:val="20"/>
        </w:rPr>
        <w:t xml:space="preserve"> in our study was higher than that reported for acutely ill elderly patients admitted to a different Irish university teaching hospital, suggesting a significant burden of ADRs in middle-aged hospitalised patients </w:t>
      </w:r>
      <w:r w:rsidRPr="00ED5F2F">
        <w:rPr>
          <w:rFonts w:asciiTheme="majorBidi" w:hAnsiTheme="majorBidi" w:cstheme="majorBidi"/>
          <w:noProof/>
          <w:sz w:val="20"/>
          <w:szCs w:val="20"/>
        </w:rPr>
        <w:t>(29)</w:t>
      </w:r>
      <w:r w:rsidRPr="00ED5F2F">
        <w:rPr>
          <w:rFonts w:asciiTheme="majorBidi" w:hAnsiTheme="majorBidi" w:cstheme="majorBidi"/>
          <w:sz w:val="20"/>
          <w:szCs w:val="20"/>
        </w:rPr>
        <w:t>. This merits further attention and investigation.</w:t>
      </w:r>
    </w:p>
    <w:p w:rsidR="00A82896" w:rsidRPr="00ED5F2F" w:rsidRDefault="00A82896" w:rsidP="00AB542B">
      <w:pPr>
        <w:outlineLvl w:val="0"/>
        <w:rPr>
          <w:rFonts w:asciiTheme="majorBidi" w:hAnsiTheme="majorBidi" w:cstheme="majorBidi"/>
          <w:sz w:val="20"/>
          <w:szCs w:val="20"/>
        </w:rPr>
      </w:pPr>
      <w:r w:rsidRPr="00ED5F2F">
        <w:rPr>
          <w:rFonts w:asciiTheme="majorBidi" w:hAnsiTheme="majorBidi" w:cstheme="majorBidi"/>
          <w:sz w:val="20"/>
          <w:szCs w:val="20"/>
        </w:rPr>
        <w:t xml:space="preserve">In prospective studies, the severity of ADRs is seldom reported, limiting opportunities for comparisons </w:t>
      </w:r>
      <w:r w:rsidRPr="00ED5F2F">
        <w:rPr>
          <w:rFonts w:asciiTheme="majorBidi" w:hAnsiTheme="majorBidi" w:cstheme="majorBidi"/>
          <w:noProof/>
          <w:sz w:val="20"/>
          <w:szCs w:val="20"/>
        </w:rPr>
        <w:t>(9, 30)</w:t>
      </w:r>
      <w:r w:rsidRPr="00ED5F2F">
        <w:rPr>
          <w:rFonts w:asciiTheme="majorBidi" w:hAnsiTheme="majorBidi" w:cstheme="majorBidi"/>
          <w:sz w:val="20"/>
          <w:szCs w:val="20"/>
        </w:rPr>
        <w:t xml:space="preserve">. Over half of ADRs identified in this study were sufficiently severe (Level 4) to prompt presentation to hospital. This is consistent with a prospective study of hospitalised adults in the UK, which characterised 25% of identified ADRs as Level 4 or above </w:t>
      </w:r>
      <w:r w:rsidRPr="00ED5F2F">
        <w:rPr>
          <w:rFonts w:asciiTheme="majorBidi" w:hAnsiTheme="majorBidi" w:cstheme="majorBidi"/>
          <w:noProof/>
          <w:sz w:val="20"/>
          <w:szCs w:val="20"/>
        </w:rPr>
        <w:t>(20)</w:t>
      </w:r>
      <w:r w:rsidRPr="00ED5F2F">
        <w:rPr>
          <w:rFonts w:asciiTheme="majorBidi" w:hAnsiTheme="majorBidi" w:cstheme="majorBidi"/>
          <w:sz w:val="20"/>
          <w:szCs w:val="20"/>
        </w:rPr>
        <w:t xml:space="preserve">. The predominance of more minor ADRs remains even in studies where different severity scales are used </w:t>
      </w:r>
      <w:r w:rsidRPr="00ED5F2F">
        <w:rPr>
          <w:rFonts w:asciiTheme="majorBidi" w:hAnsiTheme="majorBidi" w:cstheme="majorBidi"/>
          <w:noProof/>
          <w:sz w:val="20"/>
          <w:szCs w:val="20"/>
        </w:rPr>
        <w:t>(31)</w:t>
      </w:r>
      <w:r w:rsidRPr="00ED5F2F">
        <w:rPr>
          <w:rFonts w:asciiTheme="majorBidi" w:hAnsiTheme="majorBidi" w:cstheme="majorBidi"/>
          <w:sz w:val="20"/>
          <w:szCs w:val="20"/>
        </w:rPr>
        <w:t xml:space="preserve">. Relative to older patients, the presence of a superior physiological reserve and potentially greater resilience to ADRs in middle-age may explain the exclusively mild-moderate ADRs identified in this study </w:t>
      </w:r>
      <w:r w:rsidRPr="00ED5F2F">
        <w:rPr>
          <w:rFonts w:asciiTheme="majorBidi" w:hAnsiTheme="majorBidi" w:cstheme="majorBidi"/>
          <w:noProof/>
          <w:sz w:val="20"/>
          <w:szCs w:val="20"/>
        </w:rPr>
        <w:t>(32)</w:t>
      </w:r>
      <w:r w:rsidRPr="00ED5F2F">
        <w:rPr>
          <w:rFonts w:asciiTheme="majorBidi" w:hAnsiTheme="majorBidi" w:cstheme="majorBidi"/>
          <w:sz w:val="20"/>
          <w:szCs w:val="20"/>
        </w:rPr>
        <w:t xml:space="preserve">. Additionally, standard admission policies for AM(A)Us specifically contra-indicate patients with haemodynamic instability, meaning severe ADR presentations may not have been captured in our cohort because they were admitted to other hospital units </w:t>
      </w:r>
      <w:r w:rsidRPr="00ED5F2F">
        <w:rPr>
          <w:rFonts w:asciiTheme="majorBidi" w:hAnsiTheme="majorBidi" w:cstheme="majorBidi"/>
          <w:noProof/>
          <w:sz w:val="20"/>
          <w:szCs w:val="20"/>
        </w:rPr>
        <w:t>(33)</w:t>
      </w:r>
      <w:r w:rsidRPr="00ED5F2F">
        <w:rPr>
          <w:rFonts w:asciiTheme="majorBidi" w:hAnsiTheme="majorBidi" w:cstheme="majorBidi"/>
          <w:sz w:val="20"/>
          <w:szCs w:val="20"/>
        </w:rPr>
        <w:t xml:space="preserve">. </w:t>
      </w:r>
    </w:p>
    <w:p w:rsidR="00A82896" w:rsidRPr="00ED5F2F" w:rsidRDefault="00A82896" w:rsidP="00AB542B">
      <w:pPr>
        <w:outlineLvl w:val="0"/>
        <w:rPr>
          <w:rFonts w:asciiTheme="majorBidi" w:hAnsiTheme="majorBidi" w:cstheme="majorBidi"/>
          <w:sz w:val="20"/>
          <w:szCs w:val="20"/>
        </w:rPr>
      </w:pPr>
      <w:r w:rsidRPr="00ED5F2F">
        <w:rPr>
          <w:rFonts w:asciiTheme="majorBidi" w:hAnsiTheme="majorBidi" w:cstheme="majorBidi"/>
          <w:sz w:val="20"/>
          <w:szCs w:val="20"/>
        </w:rPr>
        <w:t xml:space="preserve">Of all ADRs (including seven </w:t>
      </w:r>
      <w:proofErr w:type="spellStart"/>
      <w:r w:rsidRPr="00ED5F2F">
        <w:rPr>
          <w:rFonts w:asciiTheme="majorBidi" w:hAnsiTheme="majorBidi" w:cstheme="majorBidi"/>
          <w:sz w:val="20"/>
          <w:szCs w:val="20"/>
        </w:rPr>
        <w:t>cADRs</w:t>
      </w:r>
      <w:proofErr w:type="spellEnd"/>
      <w:r w:rsidRPr="00ED5F2F">
        <w:rPr>
          <w:rFonts w:asciiTheme="majorBidi" w:hAnsiTheme="majorBidi" w:cstheme="majorBidi"/>
          <w:sz w:val="20"/>
          <w:szCs w:val="20"/>
        </w:rPr>
        <w:t xml:space="preserve">), 52% (n=12) were preventable. This is consistent with previous evidence and highlights for the first time the burden of preventable ADRs in a middle-aged hospitalised cohort </w:t>
      </w:r>
      <w:r w:rsidRPr="00ED5F2F">
        <w:rPr>
          <w:rFonts w:asciiTheme="majorBidi" w:hAnsiTheme="majorBidi" w:cstheme="majorBidi"/>
          <w:noProof/>
          <w:sz w:val="20"/>
          <w:szCs w:val="20"/>
        </w:rPr>
        <w:t>(4, 34)</w:t>
      </w:r>
      <w:r w:rsidRPr="00ED5F2F">
        <w:rPr>
          <w:rFonts w:asciiTheme="majorBidi" w:hAnsiTheme="majorBidi" w:cstheme="majorBidi"/>
          <w:sz w:val="20"/>
          <w:szCs w:val="20"/>
        </w:rPr>
        <w:t xml:space="preserve">. ADRs are a leading cause of morbidity and mortality </w:t>
      </w:r>
      <w:r w:rsidRPr="00ED5F2F">
        <w:rPr>
          <w:rFonts w:asciiTheme="majorBidi" w:hAnsiTheme="majorBidi" w:cstheme="majorBidi"/>
          <w:noProof/>
          <w:sz w:val="20"/>
          <w:szCs w:val="20"/>
        </w:rPr>
        <w:t>(4)</w:t>
      </w:r>
      <w:r w:rsidRPr="00ED5F2F">
        <w:rPr>
          <w:rFonts w:asciiTheme="majorBidi" w:hAnsiTheme="majorBidi" w:cstheme="majorBidi"/>
          <w:sz w:val="20"/>
          <w:szCs w:val="20"/>
        </w:rPr>
        <w:t xml:space="preserve">. Hospitalisation resulting from ADRs is costly and depletes the resources of over-burdened healthcare services </w:t>
      </w:r>
      <w:r w:rsidRPr="00ED5F2F">
        <w:rPr>
          <w:rFonts w:asciiTheme="majorBidi" w:hAnsiTheme="majorBidi" w:cstheme="majorBidi"/>
          <w:noProof/>
          <w:sz w:val="20"/>
          <w:szCs w:val="20"/>
        </w:rPr>
        <w:t>(35)</w:t>
      </w:r>
      <w:r w:rsidRPr="00ED5F2F">
        <w:rPr>
          <w:rFonts w:asciiTheme="majorBidi" w:hAnsiTheme="majorBidi" w:cstheme="majorBidi"/>
          <w:sz w:val="20"/>
          <w:szCs w:val="20"/>
        </w:rPr>
        <w:t xml:space="preserve">. Many of the implicated drug classes (namely NSAIDs and diuretics) have well-documented associations with hospitalisation </w:t>
      </w:r>
      <w:r w:rsidRPr="00ED5F2F">
        <w:rPr>
          <w:rFonts w:asciiTheme="majorBidi" w:hAnsiTheme="majorBidi" w:cstheme="majorBidi"/>
          <w:noProof/>
          <w:sz w:val="20"/>
          <w:szCs w:val="20"/>
        </w:rPr>
        <w:t>(9, 36, 37)</w:t>
      </w:r>
      <w:r w:rsidRPr="00ED5F2F">
        <w:rPr>
          <w:rFonts w:asciiTheme="majorBidi" w:hAnsiTheme="majorBidi" w:cstheme="majorBidi"/>
          <w:sz w:val="20"/>
          <w:szCs w:val="20"/>
        </w:rPr>
        <w:t>. This reinforces the need for rigorous assessment of the benefit-risk ratio for these drug classes, irrespective of patient age.</w:t>
      </w:r>
    </w:p>
    <w:p w:rsidR="00A82896" w:rsidRPr="00ED5F2F" w:rsidRDefault="00A82896" w:rsidP="00AB542B">
      <w:pPr>
        <w:outlineLvl w:val="0"/>
        <w:rPr>
          <w:rFonts w:asciiTheme="majorBidi" w:hAnsiTheme="majorBidi" w:cstheme="majorBidi"/>
          <w:sz w:val="20"/>
          <w:szCs w:val="20"/>
        </w:rPr>
      </w:pPr>
      <w:r w:rsidRPr="00ED5F2F">
        <w:rPr>
          <w:rFonts w:asciiTheme="majorBidi" w:hAnsiTheme="majorBidi" w:cstheme="majorBidi"/>
          <w:sz w:val="20"/>
          <w:szCs w:val="20"/>
        </w:rPr>
        <w:t xml:space="preserve">Our study provided the first evidence that middle-aged patients exposed to PIP may be at higher risk of ADRs than those not. This contrasts with Moriarty (2017), who reported that having ≥2 PROMPT criteria was not associated with an increased rate of emergency department or general practitioner visits or a reduction in quality of life in community-dwelling middle-aged people </w:t>
      </w:r>
      <w:r w:rsidRPr="00ED5F2F">
        <w:rPr>
          <w:rFonts w:asciiTheme="majorBidi" w:hAnsiTheme="majorBidi" w:cstheme="majorBidi"/>
          <w:noProof/>
          <w:sz w:val="20"/>
          <w:szCs w:val="20"/>
        </w:rPr>
        <w:t>(32)</w:t>
      </w:r>
      <w:r w:rsidRPr="00ED5F2F">
        <w:rPr>
          <w:rFonts w:asciiTheme="majorBidi" w:hAnsiTheme="majorBidi" w:cstheme="majorBidi"/>
          <w:sz w:val="20"/>
          <w:szCs w:val="20"/>
        </w:rPr>
        <w:t xml:space="preserve">. The study populations are different: we investigated patients using three or more medicines and presenting to acute hospital care while Moriarty investigated community-dwelling patients.  The outcome measures differed Moriarty investigated healthcare utilisation, we investigated ADRs.  Our finding provides a signal that may be helpful to prioritise hospitalised patients in need of intensive medication review. To confirm and better characterise the relationship between PIP and adverse medicine-related outcomes (including ADRs) in middle-age, further research in larger observational studies is needed. </w:t>
      </w:r>
    </w:p>
    <w:p w:rsidR="00A82896" w:rsidRPr="00ED5F2F" w:rsidRDefault="00A82896" w:rsidP="003E4995">
      <w:pPr>
        <w:outlineLvl w:val="0"/>
        <w:rPr>
          <w:rFonts w:asciiTheme="majorBidi" w:hAnsiTheme="majorBidi" w:cstheme="majorBidi"/>
          <w:sz w:val="20"/>
          <w:szCs w:val="20"/>
        </w:rPr>
      </w:pPr>
      <w:r w:rsidRPr="00ED5F2F">
        <w:rPr>
          <w:rFonts w:ascii="Times New Roman" w:hAnsi="Times New Roman" w:cs="Times New Roman"/>
          <w:sz w:val="20"/>
          <w:szCs w:val="20"/>
        </w:rPr>
        <w:lastRenderedPageBreak/>
        <w:t xml:space="preserve">Excessive polypharmacy was positively associated with ADR occurrence in this cohort. This supports the published literature identifying polypharmacy as a major risk factor for ADRs, possibly due to the increased potential for drug-drug interactions </w:t>
      </w:r>
      <w:r w:rsidRPr="00ED5F2F">
        <w:rPr>
          <w:rFonts w:ascii="Times New Roman" w:hAnsi="Times New Roman" w:cs="Times New Roman"/>
          <w:noProof/>
          <w:sz w:val="20"/>
          <w:szCs w:val="20"/>
        </w:rPr>
        <w:t>(10, 38, 39)</w:t>
      </w:r>
      <w:r w:rsidRPr="00ED5F2F">
        <w:rPr>
          <w:rFonts w:ascii="Times New Roman" w:hAnsi="Times New Roman" w:cs="Times New Roman"/>
          <w:sz w:val="20"/>
          <w:szCs w:val="20"/>
        </w:rPr>
        <w:t xml:space="preserve">. Increasing age was not associated with ADR occurrence of any type in our study. The presence or absence of this association has been inconsistently reported in the literature and robust evidence to support the assertion that age is an independent risk factor for ADRs in hospitalised patients is lacking </w:t>
      </w:r>
      <w:r w:rsidRPr="00ED5F2F">
        <w:rPr>
          <w:rFonts w:ascii="Times New Roman" w:hAnsi="Times New Roman" w:cs="Times New Roman"/>
          <w:noProof/>
          <w:sz w:val="20"/>
          <w:szCs w:val="20"/>
        </w:rPr>
        <w:t>(25, 40, 41, 42, 43)</w:t>
      </w:r>
      <w:r w:rsidRPr="00ED5F2F">
        <w:rPr>
          <w:rFonts w:ascii="Times New Roman" w:hAnsi="Times New Roman" w:cs="Times New Roman"/>
          <w:sz w:val="20"/>
          <w:szCs w:val="20"/>
        </w:rPr>
        <w:t>. Our observation should stimulate further exploration of the concept that a patient’s physiological and clinical characteristics (e.g. medicine burden, multi-morbidity, frailty score,</w:t>
      </w:r>
      <w:r w:rsidRPr="00ED5F2F">
        <w:t xml:space="preserve"> </w:t>
      </w:r>
      <w:r w:rsidRPr="00ED5F2F">
        <w:rPr>
          <w:rFonts w:ascii="Times New Roman" w:hAnsi="Times New Roman" w:cs="Times New Roman"/>
          <w:sz w:val="20"/>
          <w:szCs w:val="20"/>
        </w:rPr>
        <w:t xml:space="preserve">renal impairment, use of </w:t>
      </w:r>
      <w:proofErr w:type="gramStart"/>
      <w:r w:rsidRPr="00ED5F2F">
        <w:rPr>
          <w:rFonts w:ascii="Times New Roman" w:hAnsi="Times New Roman" w:cs="Times New Roman"/>
          <w:sz w:val="20"/>
          <w:szCs w:val="20"/>
        </w:rPr>
        <w:t>high risk</w:t>
      </w:r>
      <w:proofErr w:type="gramEnd"/>
      <w:r w:rsidRPr="00ED5F2F">
        <w:rPr>
          <w:rFonts w:ascii="Times New Roman" w:hAnsi="Times New Roman" w:cs="Times New Roman"/>
          <w:sz w:val="20"/>
          <w:szCs w:val="20"/>
        </w:rPr>
        <w:t xml:space="preserve"> medication) may be more relevant than chronological age, at least in middle-age, for predicting ADR occurrence </w:t>
      </w:r>
      <w:r w:rsidRPr="00ED5F2F">
        <w:rPr>
          <w:rFonts w:ascii="Times New Roman" w:hAnsi="Times New Roman" w:cs="Times New Roman"/>
          <w:noProof/>
          <w:sz w:val="20"/>
          <w:szCs w:val="20"/>
        </w:rPr>
        <w:t>(32, 44)</w:t>
      </w:r>
      <w:r w:rsidRPr="00ED5F2F">
        <w:rPr>
          <w:rFonts w:ascii="Times New Roman" w:hAnsi="Times New Roman" w:cs="Times New Roman"/>
          <w:sz w:val="20"/>
          <w:szCs w:val="20"/>
        </w:rPr>
        <w:t xml:space="preserve">. Women were four times less likely than men to experience any ADR, which is an uncommon but not unique finding in the published literature </w:t>
      </w:r>
      <w:r w:rsidRPr="00ED5F2F">
        <w:rPr>
          <w:rFonts w:ascii="Times New Roman" w:hAnsi="Times New Roman" w:cs="Times New Roman"/>
          <w:noProof/>
          <w:sz w:val="20"/>
          <w:szCs w:val="20"/>
        </w:rPr>
        <w:t>(9, 20)</w:t>
      </w:r>
      <w:r w:rsidRPr="00ED5F2F">
        <w:rPr>
          <w:rFonts w:ascii="Times New Roman" w:hAnsi="Times New Roman" w:cs="Times New Roman"/>
          <w:sz w:val="20"/>
          <w:szCs w:val="20"/>
        </w:rPr>
        <w:t xml:space="preserve">. </w:t>
      </w:r>
    </w:p>
    <w:p w:rsidR="00A82896" w:rsidRPr="00ED5F2F" w:rsidRDefault="00A82896" w:rsidP="00FA70F9">
      <w:pPr>
        <w:outlineLvl w:val="0"/>
        <w:rPr>
          <w:rFonts w:asciiTheme="majorBidi" w:hAnsiTheme="majorBidi" w:cstheme="majorBidi"/>
          <w:b/>
          <w:bCs/>
          <w:sz w:val="20"/>
          <w:szCs w:val="20"/>
        </w:rPr>
      </w:pPr>
      <w:r w:rsidRPr="00ED5F2F">
        <w:rPr>
          <w:rFonts w:asciiTheme="majorBidi" w:hAnsiTheme="majorBidi" w:cstheme="majorBidi"/>
          <w:b/>
          <w:bCs/>
          <w:sz w:val="20"/>
          <w:szCs w:val="20"/>
        </w:rPr>
        <w:t>4.3 Practice, policy and research implications</w:t>
      </w:r>
    </w:p>
    <w:p w:rsidR="00A82896" w:rsidRPr="00ED5F2F" w:rsidRDefault="00A82896" w:rsidP="00C707C2">
      <w:pPr>
        <w:rPr>
          <w:sz w:val="20"/>
          <w:szCs w:val="20"/>
        </w:rPr>
      </w:pPr>
      <w:r w:rsidRPr="00ED5F2F">
        <w:rPr>
          <w:rFonts w:asciiTheme="majorBidi" w:hAnsiTheme="majorBidi" w:cstheme="majorBidi"/>
          <w:sz w:val="20"/>
          <w:szCs w:val="20"/>
        </w:rPr>
        <w:t xml:space="preserve">Anti-hypertensives, diuretics and NSAIDs were the drug classes most frequently implicated in ADRs. These findings highlight the need for prescribers to consistently consider the benefit-risk ratio of such medicines in middle-age and to make changes when the ratio is no longer favourable. Our findings also provide a preliminary signal that middle-aged patients are vulnerable to ADRs and that PIP may increase this vulnerability. It follows therefore that interventions which target PIP in middle-age could potentially reduce medicine-related harm, both in the short-term and long-term </w:t>
      </w:r>
      <w:r w:rsidRPr="00ED5F2F">
        <w:rPr>
          <w:rFonts w:asciiTheme="majorBidi" w:hAnsiTheme="majorBidi" w:cstheme="majorBidi"/>
          <w:noProof/>
          <w:sz w:val="20"/>
          <w:szCs w:val="20"/>
        </w:rPr>
        <w:t>(45)</w:t>
      </w:r>
      <w:r w:rsidRPr="00ED5F2F">
        <w:rPr>
          <w:rFonts w:asciiTheme="majorBidi" w:hAnsiTheme="majorBidi" w:cstheme="majorBidi"/>
          <w:sz w:val="20"/>
          <w:szCs w:val="20"/>
        </w:rPr>
        <w:t xml:space="preserve">. Larger longitudinal studies are required to confirm such benefits. The result of our pilot study can also be used to support sample size calculations for future studies. </w:t>
      </w:r>
    </w:p>
    <w:p w:rsidR="00A82896" w:rsidRPr="00ED5F2F" w:rsidRDefault="00A82896" w:rsidP="00CE0A47">
      <w:pPr>
        <w:outlineLvl w:val="0"/>
        <w:rPr>
          <w:rFonts w:asciiTheme="majorBidi" w:hAnsiTheme="majorBidi" w:cstheme="majorBidi"/>
          <w:b/>
          <w:bCs/>
          <w:sz w:val="20"/>
          <w:szCs w:val="20"/>
        </w:rPr>
      </w:pPr>
      <w:r w:rsidRPr="00ED5F2F">
        <w:rPr>
          <w:rFonts w:asciiTheme="majorBidi" w:hAnsiTheme="majorBidi" w:cstheme="majorBidi"/>
          <w:b/>
          <w:bCs/>
          <w:sz w:val="20"/>
          <w:szCs w:val="20"/>
        </w:rPr>
        <w:t>4.4 Study strengths and limitations</w:t>
      </w:r>
    </w:p>
    <w:p w:rsidR="00A82896" w:rsidRPr="00ED5F2F" w:rsidRDefault="00A82896" w:rsidP="00CB3CFD">
      <w:pPr>
        <w:outlineLvl w:val="0"/>
        <w:rPr>
          <w:rFonts w:asciiTheme="majorBidi" w:hAnsiTheme="majorBidi" w:cstheme="majorBidi"/>
          <w:sz w:val="20"/>
          <w:szCs w:val="20"/>
        </w:rPr>
      </w:pPr>
      <w:r w:rsidRPr="00ED5F2F">
        <w:rPr>
          <w:rFonts w:asciiTheme="majorBidi" w:hAnsiTheme="majorBidi" w:cstheme="majorBidi"/>
          <w:sz w:val="20"/>
          <w:szCs w:val="20"/>
        </w:rPr>
        <w:t xml:space="preserve">Our study had several strengths. Firstly, a prospective study design was optimal to achieve our study aim and facilitated the comprehensive collection of all relevant data </w:t>
      </w:r>
      <w:r w:rsidRPr="00ED5F2F">
        <w:rPr>
          <w:rFonts w:asciiTheme="majorBidi" w:hAnsiTheme="majorBidi" w:cstheme="majorBidi"/>
          <w:noProof/>
          <w:sz w:val="20"/>
          <w:szCs w:val="20"/>
        </w:rPr>
        <w:t>(9, 23)</w:t>
      </w:r>
      <w:r w:rsidRPr="00ED5F2F">
        <w:rPr>
          <w:rFonts w:asciiTheme="majorBidi" w:hAnsiTheme="majorBidi" w:cstheme="majorBidi"/>
          <w:sz w:val="20"/>
          <w:szCs w:val="20"/>
        </w:rPr>
        <w:t xml:space="preserve">. The use of validated assessment tools strengthened the study rigour and reduced the risk of bias reported in other prospective studies </w:t>
      </w:r>
      <w:r w:rsidRPr="00ED5F2F">
        <w:rPr>
          <w:rFonts w:asciiTheme="majorBidi" w:hAnsiTheme="majorBidi" w:cstheme="majorBidi"/>
          <w:noProof/>
          <w:sz w:val="20"/>
          <w:szCs w:val="20"/>
        </w:rPr>
        <w:t>(29)</w:t>
      </w:r>
      <w:r w:rsidRPr="00ED5F2F">
        <w:rPr>
          <w:rFonts w:asciiTheme="majorBidi" w:hAnsiTheme="majorBidi" w:cstheme="majorBidi"/>
          <w:sz w:val="20"/>
          <w:szCs w:val="20"/>
        </w:rPr>
        <w:t xml:space="preserve">. The involvement of a multi-disciplinary clinical team promoted a holistic approach to ADR identification and assessment and further strengthened the study’s internal and clinical validity. Several limitations were also present. The sample size was small, restricted to a single site and powered to detect the identified prevalence of ADR-related hospitalisation with a precision level of 6%. Given the exploratory nature of this study, it was necessary to accept these limitations from the outset. Secondly, we excluded those taking &lt;3 medicines. This was unnecessarily prohibitive, as the median number of medicines taken regularly by Irish people aged ≥50 years is two </w:t>
      </w:r>
      <w:r w:rsidRPr="00ED5F2F">
        <w:rPr>
          <w:rFonts w:asciiTheme="majorBidi" w:hAnsiTheme="majorBidi" w:cstheme="majorBidi"/>
          <w:noProof/>
          <w:sz w:val="20"/>
          <w:szCs w:val="20"/>
        </w:rPr>
        <w:t>(46)</w:t>
      </w:r>
      <w:r w:rsidRPr="00ED5F2F">
        <w:rPr>
          <w:rFonts w:asciiTheme="majorBidi" w:hAnsiTheme="majorBidi" w:cstheme="majorBidi"/>
          <w:sz w:val="20"/>
          <w:szCs w:val="20"/>
        </w:rPr>
        <w:t xml:space="preserve">. Regarding ADR assessment, level of agreement between pharmacist and physicians was not formally analysed, unlike in other studies </w:t>
      </w:r>
      <w:r w:rsidRPr="00ED5F2F">
        <w:rPr>
          <w:rFonts w:asciiTheme="majorBidi" w:hAnsiTheme="majorBidi" w:cstheme="majorBidi"/>
          <w:noProof/>
          <w:sz w:val="20"/>
          <w:szCs w:val="20"/>
        </w:rPr>
        <w:t>(6, 21)</w:t>
      </w:r>
      <w:r w:rsidRPr="00ED5F2F">
        <w:rPr>
          <w:rFonts w:asciiTheme="majorBidi" w:hAnsiTheme="majorBidi" w:cstheme="majorBidi"/>
          <w:sz w:val="20"/>
          <w:szCs w:val="20"/>
        </w:rPr>
        <w:t>. In our regression analysis, we treated the number of medicines as a categorical variable (polypharmacy being use of five or more medicines), however, ideally this should have been retained as a continuous variable to optimise model reliability and richness of interpretive ability (47).  Our analysis does not account for the duration of medication use which likely impacts on the likelihood of experiencing an ADR.  A final limitation is the study setting. The AM(A)U is not fully representative of general medical in-patient wards (due to the short stay nature of the unit) or the emergency care setting. Consequently, the identified ADR prevalence and severity may not be generalisable and likely underestimates the prevalence in the general middle-aged patient population acutely admitted to hospital.</w:t>
      </w:r>
    </w:p>
    <w:p w:rsidR="00A82896" w:rsidRPr="00ED5F2F" w:rsidRDefault="00A82896" w:rsidP="00B72931">
      <w:pPr>
        <w:outlineLvl w:val="0"/>
        <w:rPr>
          <w:rFonts w:asciiTheme="majorBidi" w:hAnsiTheme="majorBidi" w:cstheme="majorBidi"/>
          <w:b/>
          <w:bCs/>
          <w:sz w:val="20"/>
          <w:szCs w:val="20"/>
        </w:rPr>
      </w:pPr>
      <w:r w:rsidRPr="00ED5F2F">
        <w:rPr>
          <w:rFonts w:asciiTheme="majorBidi" w:hAnsiTheme="majorBidi" w:cstheme="majorBidi"/>
          <w:b/>
          <w:bCs/>
          <w:sz w:val="20"/>
          <w:szCs w:val="20"/>
        </w:rPr>
        <w:t>5. Conclusion</w:t>
      </w:r>
    </w:p>
    <w:p w:rsidR="00A82896" w:rsidRPr="00ED5F2F" w:rsidRDefault="00A82896" w:rsidP="006443C9">
      <w:pPr>
        <w:rPr>
          <w:rFonts w:asciiTheme="majorBidi" w:hAnsiTheme="majorBidi" w:cstheme="majorBidi"/>
          <w:sz w:val="20"/>
          <w:szCs w:val="20"/>
        </w:rPr>
      </w:pPr>
      <w:r w:rsidRPr="00ED5F2F">
        <w:rPr>
          <w:rFonts w:asciiTheme="majorBidi" w:hAnsiTheme="majorBidi" w:cstheme="majorBidi"/>
          <w:sz w:val="20"/>
          <w:szCs w:val="20"/>
        </w:rPr>
        <w:t xml:space="preserve">Of 100 patients aged 45-64 years in our preliminary study, 23 experienced an ADR and 14 experienced an ADR which caused or contributed to their hospitalisation. The majority of identified ADRs were preventable and caused appreciable short-term morbidity. PIP and excessive polypharmacy, but not age, were risk factors for ADR occurrence. ADR prevalence in this study was at least comparable to that reported for older patients, which suggests a vulnerability to ADRs in middle-age which has yet to be comprehensively described in the literature. Additional research in larger studies is therefore warranted to better quantify ADR burden in middle-age and the risk factors for same. </w:t>
      </w:r>
    </w:p>
    <w:p w:rsidR="00A82896" w:rsidRPr="00ED5F2F" w:rsidRDefault="00A82896" w:rsidP="00BB4ADE">
      <w:pPr>
        <w:spacing w:after="0"/>
        <w:outlineLvl w:val="0"/>
        <w:rPr>
          <w:rFonts w:asciiTheme="majorBidi" w:hAnsiTheme="majorBidi" w:cstheme="majorBidi"/>
          <w:b/>
          <w:bCs/>
          <w:sz w:val="20"/>
          <w:szCs w:val="20"/>
        </w:rPr>
      </w:pPr>
      <w:r w:rsidRPr="00ED5F2F">
        <w:rPr>
          <w:rFonts w:asciiTheme="majorBidi" w:hAnsiTheme="majorBidi" w:cstheme="majorBidi"/>
          <w:b/>
          <w:bCs/>
          <w:sz w:val="20"/>
          <w:szCs w:val="20"/>
        </w:rPr>
        <w:t>6. Authors’ Contribution</w:t>
      </w:r>
    </w:p>
    <w:p w:rsidR="00A82896" w:rsidRPr="00ED5F2F" w:rsidRDefault="00A82896" w:rsidP="00BB4ADE">
      <w:pPr>
        <w:spacing w:after="0"/>
        <w:outlineLvl w:val="0"/>
        <w:rPr>
          <w:rFonts w:asciiTheme="majorBidi" w:hAnsiTheme="majorBidi" w:cstheme="majorBidi"/>
          <w:sz w:val="20"/>
          <w:szCs w:val="20"/>
          <w:u w:val="single"/>
        </w:rPr>
      </w:pPr>
    </w:p>
    <w:p w:rsidR="00A82896" w:rsidRPr="00ED5F2F" w:rsidRDefault="00A82896" w:rsidP="007245ED">
      <w:pPr>
        <w:spacing w:after="0"/>
        <w:outlineLvl w:val="0"/>
        <w:rPr>
          <w:rFonts w:asciiTheme="majorBidi" w:hAnsiTheme="majorBidi" w:cstheme="majorBidi"/>
          <w:sz w:val="20"/>
          <w:szCs w:val="20"/>
        </w:rPr>
      </w:pPr>
      <w:r w:rsidRPr="00ED5F2F">
        <w:rPr>
          <w:rFonts w:asciiTheme="majorBidi" w:hAnsiTheme="majorBidi" w:cstheme="majorBidi"/>
          <w:sz w:val="20"/>
          <w:szCs w:val="20"/>
        </w:rPr>
        <w:lastRenderedPageBreak/>
        <w:t xml:space="preserve">T.C. Grimes conceived the research question. T. Smeaton, T.C. Grimes and M.J. Santos-Martinez designed the study. T. Smeaton and T.C. Grimes collected data, performed the statistical analyses and drafted the manuscript. P. </w:t>
      </w:r>
      <w:proofErr w:type="spellStart"/>
      <w:r w:rsidRPr="00ED5F2F">
        <w:rPr>
          <w:rFonts w:asciiTheme="majorBidi" w:hAnsiTheme="majorBidi" w:cstheme="majorBidi"/>
          <w:sz w:val="20"/>
          <w:szCs w:val="20"/>
        </w:rPr>
        <w:t>McElwaine</w:t>
      </w:r>
      <w:proofErr w:type="spellEnd"/>
      <w:r w:rsidRPr="00ED5F2F">
        <w:rPr>
          <w:rFonts w:asciiTheme="majorBidi" w:hAnsiTheme="majorBidi" w:cstheme="majorBidi"/>
          <w:sz w:val="20"/>
          <w:szCs w:val="20"/>
        </w:rPr>
        <w:t>, J. Cullen and M. Widdowson provided access to the patient cohort, participated in data collection, revised the manuscript and approved the final version for submission. All authors revised the manuscript and approved the final version for submission.</w:t>
      </w:r>
    </w:p>
    <w:p w:rsidR="00A82896" w:rsidRPr="00ED5F2F" w:rsidRDefault="00A82896" w:rsidP="007245ED">
      <w:pPr>
        <w:spacing w:after="0"/>
        <w:outlineLvl w:val="0"/>
        <w:rPr>
          <w:rFonts w:ascii="Times New Roman" w:hAnsi="Times New Roman" w:cs="Times New Roman"/>
          <w:sz w:val="20"/>
          <w:szCs w:val="20"/>
        </w:rPr>
      </w:pPr>
    </w:p>
    <w:p w:rsidR="00A82896" w:rsidRPr="00ED5F2F" w:rsidRDefault="00A82896" w:rsidP="007245ED">
      <w:pPr>
        <w:spacing w:after="0"/>
        <w:outlineLvl w:val="0"/>
        <w:rPr>
          <w:rFonts w:ascii="Times New Roman" w:hAnsi="Times New Roman" w:cs="Times New Roman"/>
          <w:sz w:val="20"/>
          <w:szCs w:val="20"/>
        </w:rPr>
      </w:pPr>
    </w:p>
    <w:p w:rsidR="00A82896" w:rsidRPr="00ED5F2F" w:rsidRDefault="00A82896" w:rsidP="007245ED">
      <w:pPr>
        <w:spacing w:after="0"/>
        <w:outlineLvl w:val="0"/>
        <w:rPr>
          <w:rFonts w:ascii="Times New Roman" w:hAnsi="Times New Roman" w:cs="Times New Roman"/>
          <w:sz w:val="20"/>
          <w:szCs w:val="20"/>
        </w:rPr>
      </w:pPr>
    </w:p>
    <w:p w:rsidR="00A82896" w:rsidRPr="00ED5F2F" w:rsidRDefault="00A82896" w:rsidP="007245ED">
      <w:pPr>
        <w:spacing w:after="0"/>
        <w:outlineLvl w:val="0"/>
        <w:rPr>
          <w:rFonts w:ascii="Times New Roman" w:hAnsi="Times New Roman" w:cs="Times New Roman"/>
          <w:sz w:val="20"/>
          <w:szCs w:val="20"/>
        </w:rPr>
      </w:pPr>
    </w:p>
    <w:p w:rsidR="00A82896" w:rsidRPr="00ED5F2F" w:rsidRDefault="00A82896" w:rsidP="007245ED">
      <w:pPr>
        <w:spacing w:after="0"/>
        <w:outlineLvl w:val="0"/>
        <w:rPr>
          <w:rFonts w:ascii="Times New Roman" w:hAnsi="Times New Roman" w:cs="Times New Roman"/>
          <w:b/>
          <w:bCs/>
          <w:sz w:val="20"/>
          <w:szCs w:val="20"/>
        </w:rPr>
      </w:pPr>
      <w:r w:rsidRPr="00ED5F2F">
        <w:rPr>
          <w:rFonts w:ascii="Times New Roman" w:hAnsi="Times New Roman" w:cs="Times New Roman"/>
          <w:b/>
          <w:bCs/>
          <w:sz w:val="20"/>
          <w:szCs w:val="20"/>
        </w:rPr>
        <w:t>7. Compliance with ethical standards</w:t>
      </w:r>
    </w:p>
    <w:p w:rsidR="00A82896" w:rsidRPr="00ED5F2F" w:rsidRDefault="00A82896" w:rsidP="007245ED">
      <w:pPr>
        <w:spacing w:after="0"/>
        <w:outlineLvl w:val="0"/>
        <w:rPr>
          <w:rFonts w:ascii="Times New Roman" w:hAnsi="Times New Roman" w:cs="Times New Roman"/>
          <w:sz w:val="20"/>
          <w:szCs w:val="20"/>
        </w:rPr>
      </w:pPr>
    </w:p>
    <w:p w:rsidR="00A82896" w:rsidRPr="00ED5F2F" w:rsidRDefault="00A82896" w:rsidP="007245ED">
      <w:pPr>
        <w:spacing w:after="0"/>
        <w:outlineLvl w:val="0"/>
        <w:rPr>
          <w:rFonts w:ascii="Times New Roman" w:hAnsi="Times New Roman" w:cs="Times New Roman"/>
          <w:sz w:val="20"/>
          <w:szCs w:val="20"/>
        </w:rPr>
      </w:pPr>
      <w:r w:rsidRPr="00ED5F2F">
        <w:rPr>
          <w:rFonts w:ascii="Times New Roman" w:hAnsi="Times New Roman" w:cs="Times New Roman"/>
          <w:sz w:val="20"/>
          <w:szCs w:val="20"/>
        </w:rPr>
        <w:t xml:space="preserve">The authors declare that they have no conflicts of interest. T. Smeaton received funding from Tallaght University Hospital Pharmacy Department to complete the M. Sc. (Hospital Pharmacy) degree, of which this study formed a part, at the School of Pharmacy and Pharmaceutical Sciences, Trinity College Dublin. T. Grimes received no financial support for the conduct of this study. T. Grimes has received speaker </w:t>
      </w:r>
      <w:proofErr w:type="spellStart"/>
      <w:r w:rsidRPr="00ED5F2F">
        <w:rPr>
          <w:rFonts w:ascii="Times New Roman" w:hAnsi="Times New Roman" w:cs="Times New Roman"/>
          <w:sz w:val="20"/>
          <w:szCs w:val="20"/>
        </w:rPr>
        <w:t>honoria</w:t>
      </w:r>
      <w:proofErr w:type="spellEnd"/>
      <w:r w:rsidRPr="00ED5F2F">
        <w:rPr>
          <w:rFonts w:ascii="Times New Roman" w:hAnsi="Times New Roman" w:cs="Times New Roman"/>
          <w:sz w:val="20"/>
          <w:szCs w:val="20"/>
        </w:rPr>
        <w:t xml:space="preserve"> and research grants within the relevant period, all of which are not related to the topic or the conduct of this study or the preparation of this manuscript. </w:t>
      </w:r>
    </w:p>
    <w:p w:rsidR="00A82896" w:rsidRPr="00ED5F2F" w:rsidRDefault="00A82896" w:rsidP="00BB4ADE">
      <w:pPr>
        <w:spacing w:after="0"/>
        <w:outlineLvl w:val="0"/>
        <w:rPr>
          <w:rFonts w:ascii="Times New Roman" w:hAnsi="Times New Roman" w:cs="Times New Roman"/>
          <w:sz w:val="20"/>
          <w:szCs w:val="20"/>
        </w:rPr>
      </w:pPr>
    </w:p>
    <w:p w:rsidR="00A82896" w:rsidRPr="00ED5F2F" w:rsidRDefault="00A82896">
      <w:pPr>
        <w:rPr>
          <w:rFonts w:ascii="Times New Roman" w:hAnsi="Times New Roman" w:cs="Times New Roman"/>
          <w:sz w:val="20"/>
          <w:szCs w:val="20"/>
        </w:rPr>
      </w:pPr>
      <w:r w:rsidRPr="00ED5F2F">
        <w:rPr>
          <w:rFonts w:ascii="Times New Roman" w:hAnsi="Times New Roman" w:cs="Times New Roman"/>
          <w:b/>
          <w:bCs/>
          <w:sz w:val="20"/>
          <w:szCs w:val="20"/>
        </w:rPr>
        <w:t>8. Reference List</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1.</w:t>
      </w:r>
      <w:r w:rsidRPr="00ED5F2F">
        <w:rPr>
          <w:rFonts w:ascii="Times New Roman" w:hAnsi="Times New Roman" w:cs="Times New Roman"/>
          <w:sz w:val="20"/>
          <w:szCs w:val="20"/>
        </w:rPr>
        <w:tab/>
        <w:t>Aronson JK. Balanced prescribing - principles and challenges. Br J Clin Pharmacol. 2012;74(4):566-72.</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2.</w:t>
      </w:r>
      <w:r w:rsidRPr="00ED5F2F">
        <w:rPr>
          <w:rFonts w:ascii="Times New Roman" w:hAnsi="Times New Roman" w:cs="Times New Roman"/>
          <w:sz w:val="20"/>
          <w:szCs w:val="20"/>
        </w:rPr>
        <w:tab/>
        <w:t>Coleman JJ. Prescribing in 2019: what are the safety concerns? Expert Opin on Drug Saf. 2019;18(2):69-74.</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3.</w:t>
      </w:r>
      <w:r w:rsidRPr="00ED5F2F">
        <w:rPr>
          <w:rFonts w:ascii="Times New Roman" w:hAnsi="Times New Roman" w:cs="Times New Roman"/>
          <w:sz w:val="20"/>
          <w:szCs w:val="20"/>
        </w:rPr>
        <w:tab/>
        <w:t>Veeren JC, Weiss M. Trends in emergency hospital admissions in England due to adverse drug reactions: 2008–2015. Journal of Pharmaceutical Health Services Research. 2017;8(1):5-11.</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4.</w:t>
      </w:r>
      <w:r w:rsidRPr="00ED5F2F">
        <w:rPr>
          <w:rFonts w:ascii="Times New Roman" w:hAnsi="Times New Roman" w:cs="Times New Roman"/>
          <w:sz w:val="20"/>
          <w:szCs w:val="20"/>
        </w:rPr>
        <w:tab/>
        <w:t>Patel NS, Patel TK, Patel PB, Naik VN, Tripathi CB. Hospitalizations due to preventable adverse reactions-a systematic review. Eur J Clin Pharmacol. 2017;73(4):385-98.</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5.</w:t>
      </w:r>
      <w:r w:rsidRPr="00ED5F2F">
        <w:rPr>
          <w:rFonts w:ascii="Times New Roman" w:hAnsi="Times New Roman" w:cs="Times New Roman"/>
          <w:sz w:val="20"/>
          <w:szCs w:val="20"/>
        </w:rPr>
        <w:tab/>
        <w:t>Conejos Miquel MD, Sánchez Cuervo M, Delgado Silveira E, Sevilla Machuca I, González-Blazquez S, Montero Errasquin B, et al. Potentially inappropriate drug prescription in older subjects across health care settings. European Geriatr Med. 2010;1(1):9-14.</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6.</w:t>
      </w:r>
      <w:r w:rsidRPr="00ED5F2F">
        <w:rPr>
          <w:rFonts w:ascii="Times New Roman" w:hAnsi="Times New Roman" w:cs="Times New Roman"/>
          <w:sz w:val="20"/>
          <w:szCs w:val="20"/>
        </w:rPr>
        <w:tab/>
        <w:t>Wallace E, McDowell R, Bennett K, Fahey T, Smith SM. Impact of Potentially Inappropriate Prescribing on Adverse Drug Events, Health Related Quality of Life and Emergency Hospital Attendance in Older People Attending General Practice: A Prospective Cohort Study. J Gerontol A Biol Sci Med Sci. 2017;72(2):271-7.</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7.</w:t>
      </w:r>
      <w:r w:rsidRPr="00ED5F2F">
        <w:rPr>
          <w:rFonts w:ascii="Times New Roman" w:hAnsi="Times New Roman" w:cs="Times New Roman"/>
          <w:sz w:val="20"/>
          <w:szCs w:val="20"/>
        </w:rPr>
        <w:tab/>
        <w:t>Hill-Taylor B, Walsh KA, Stewart S, Hayden J, Byrne S, Sketris IS. Effectiveness of the STOPP/START (Screening Tool of Older Persons' potentially inappropriate Prescriptions/Screening Tool to Alert doctors to the Right Treatment) criteria: systematic review and meta-analysis of randomized controlled studies. J Clin Pharm Ther. 2016;41(2):158-69.</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8.</w:t>
      </w:r>
      <w:r w:rsidRPr="00ED5F2F">
        <w:rPr>
          <w:rFonts w:ascii="Times New Roman" w:hAnsi="Times New Roman" w:cs="Times New Roman"/>
          <w:sz w:val="20"/>
          <w:szCs w:val="20"/>
        </w:rPr>
        <w:tab/>
        <w:t>Cooper JA, Cadogan CA, Patterson SM, Kerse N, Bradley MC, Ryan C, et al. Interventions to improve the appropriate use of polypharmacy in older people: a Cochrane systematic review. BMJ Open. 2015;5(12):e009235.</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9.</w:t>
      </w:r>
      <w:r w:rsidRPr="00ED5F2F">
        <w:rPr>
          <w:rFonts w:ascii="Times New Roman" w:hAnsi="Times New Roman" w:cs="Times New Roman"/>
          <w:sz w:val="20"/>
          <w:szCs w:val="20"/>
        </w:rPr>
        <w:tab/>
        <w:t>Al Hamid A, Ghaleb M, Aljadhey H, Aslanpour Z. A systematic review of hospitalization resulting from medicine-related problems in adult patients. Br J Clin Pharmacol. 2014;78(2):202-17.</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10.</w:t>
      </w:r>
      <w:r w:rsidRPr="00ED5F2F">
        <w:rPr>
          <w:rFonts w:ascii="Times New Roman" w:hAnsi="Times New Roman" w:cs="Times New Roman"/>
          <w:sz w:val="20"/>
          <w:szCs w:val="20"/>
        </w:rPr>
        <w:tab/>
        <w:t>Pedros C, Quintana B, Rebolledo M, Porta N, Vallano A, Arnau JM. Prevalence, risk factors and main features of adverse drug reactions leading to hospital admission. Eur J Clin Pharmacol. 2014;70(3):361-7.</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11.</w:t>
      </w:r>
      <w:r w:rsidRPr="00ED5F2F">
        <w:rPr>
          <w:rFonts w:ascii="Times New Roman" w:hAnsi="Times New Roman" w:cs="Times New Roman"/>
          <w:sz w:val="20"/>
          <w:szCs w:val="20"/>
        </w:rPr>
        <w:tab/>
        <w:t>McLean G, Gunn J, Wyke S, Guthrie B, Watt GC, Blane DN, et al. The influence of socioeconomic deprivation on multimorbidity at different ages: a cross-sectional study. Br J Gen Pract. 2014;64(624):e440-7.</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12.</w:t>
      </w:r>
      <w:r w:rsidRPr="00ED5F2F">
        <w:rPr>
          <w:rFonts w:ascii="Times New Roman" w:hAnsi="Times New Roman" w:cs="Times New Roman"/>
          <w:sz w:val="20"/>
          <w:szCs w:val="20"/>
        </w:rPr>
        <w:tab/>
        <w:t>Moriarty F, Hardy C, Bennett K, Smith SM, Fahey T. Trends and interaction of polypharmacy and potentially inappropriate prescribing in primary care over 15 years in Ireland: a repeated cross-sectional study. BMJ Open. 2015;5(9):e008656.</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13.</w:t>
      </w:r>
      <w:r w:rsidRPr="00ED5F2F">
        <w:rPr>
          <w:rFonts w:ascii="Times New Roman" w:hAnsi="Times New Roman" w:cs="Times New Roman"/>
          <w:sz w:val="20"/>
          <w:szCs w:val="20"/>
        </w:rPr>
        <w:tab/>
        <w:t>Cooper JA, Moriarty F, Ryan C, Smith SM, Bennett K, Fahey T, et al. Potentially inappropriate prescribing in two populations with differing socio-economic profiles: a cross-sectional database study using the PROMPT criteria. Eur J Clin Pharmacol. 2016;72(5):583-91.</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14.</w:t>
      </w:r>
      <w:r w:rsidRPr="00ED5F2F">
        <w:rPr>
          <w:rFonts w:ascii="Times New Roman" w:hAnsi="Times New Roman" w:cs="Times New Roman"/>
          <w:sz w:val="20"/>
          <w:szCs w:val="20"/>
        </w:rPr>
        <w:tab/>
        <w:t>Fitzsimons M, Grimes T, Galvin M. Sources of pre-admission medication information: observational study of accuracy and availability. Int J Pharm Pract. 2011;19(6):408-16.</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lastRenderedPageBreak/>
        <w:t>15.</w:t>
      </w:r>
      <w:r w:rsidRPr="00ED5F2F">
        <w:rPr>
          <w:rFonts w:ascii="Times New Roman" w:hAnsi="Times New Roman" w:cs="Times New Roman"/>
          <w:sz w:val="20"/>
          <w:szCs w:val="20"/>
        </w:rPr>
        <w:tab/>
        <w:t xml:space="preserve">World Health Organisation [Internet]. The High 5s Project Standard Operating Protocol. Assuring medication accuracy at transitions of care: medicine reconciliation Geneva: World Health Organisation; 2014 [Available from: httsp://www.who.int/patientsafety/implementation/solutions/high5s/h5s-sop.pdf]  </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16.</w:t>
      </w:r>
      <w:r w:rsidRPr="00ED5F2F">
        <w:rPr>
          <w:rFonts w:ascii="Times New Roman" w:hAnsi="Times New Roman" w:cs="Times New Roman"/>
          <w:sz w:val="20"/>
          <w:szCs w:val="20"/>
        </w:rPr>
        <w:tab/>
        <w:t>Cooper JA, Ryan C, Smith SM, Wallace E, Bennett K, Cahir C, et al. The development of the PROMPT (PRescribing Optimally in Middle-aged People's Treatments) criteria. BMC Health Serv Res. 2014;14:484.</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17.</w:t>
      </w:r>
      <w:r w:rsidRPr="00ED5F2F">
        <w:rPr>
          <w:rFonts w:ascii="Times New Roman" w:hAnsi="Times New Roman" w:cs="Times New Roman"/>
          <w:sz w:val="20"/>
          <w:szCs w:val="20"/>
        </w:rPr>
        <w:tab/>
        <w:t>Quan H, Li B, Couris CM, Fushimi K, Graham P, Hider P, et al. Updating and validating the Charlson comorbidity index and score for risk adjustment in hospital discharge abstracts using data from 6 countries. Am J Epidemiol. 2011;173(6):676-82.</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18.</w:t>
      </w:r>
      <w:r w:rsidRPr="00ED5F2F">
        <w:rPr>
          <w:rFonts w:ascii="Times New Roman" w:hAnsi="Times New Roman" w:cs="Times New Roman"/>
          <w:sz w:val="20"/>
          <w:szCs w:val="20"/>
        </w:rPr>
        <w:tab/>
        <w:t>Walsh D, Lavan A, Cushen AM, Williams D. Adverse drug reactions as a cause of admission to a Dublin-based university teaching hospital. Ir J Med Sci. 2015;184(2):441-7.</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19.</w:t>
      </w:r>
      <w:r w:rsidRPr="00ED5F2F">
        <w:rPr>
          <w:rFonts w:ascii="Times New Roman" w:hAnsi="Times New Roman" w:cs="Times New Roman"/>
          <w:sz w:val="20"/>
          <w:szCs w:val="20"/>
        </w:rPr>
        <w:tab/>
        <w:t>Hallas J, Harvald B, Gram LF, Grodum E, Brosen K, Haghfelt T, et al. Drug related hospital admissions: the role of definitions and intensity of data collection, and the possibility of prevention. J Intern Med. 1990;228(2):83-90.</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20.</w:t>
      </w:r>
      <w:r w:rsidRPr="00ED5F2F">
        <w:rPr>
          <w:rFonts w:ascii="Times New Roman" w:hAnsi="Times New Roman" w:cs="Times New Roman"/>
          <w:sz w:val="20"/>
          <w:szCs w:val="20"/>
        </w:rPr>
        <w:tab/>
        <w:t>Davies EC, Green CF, Taylor S, Williamson PR, Mottram DR, Pirmohamed M. Adverse drug reactions in hospital in-patients: a prospective analysis of 3695 patient-episodes. PloS one. 2009;4(2):e4439-e.</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21.</w:t>
      </w:r>
      <w:r w:rsidRPr="00ED5F2F">
        <w:rPr>
          <w:rFonts w:ascii="Times New Roman" w:hAnsi="Times New Roman" w:cs="Times New Roman"/>
          <w:sz w:val="20"/>
          <w:szCs w:val="20"/>
        </w:rPr>
        <w:tab/>
        <w:t>Ahern F, Sahm LJ, Lynch D, McCarthy S. Determining the frequency and preventability of adverse drug reaction-related admissions to an Irish University Hospital: a cross-sectional study. Emerg Med J. 2014;31(1):24-9.</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22.</w:t>
      </w:r>
      <w:r w:rsidRPr="00ED5F2F">
        <w:rPr>
          <w:rFonts w:ascii="Times New Roman" w:hAnsi="Times New Roman" w:cs="Times New Roman"/>
          <w:sz w:val="20"/>
          <w:szCs w:val="20"/>
        </w:rPr>
        <w:tab/>
        <w:t>Kongkaew C, Noyce PR, Ashcroft DM. Hospital admissions associated with adverse drug reactions: a systematic review of prospective observational studies. Ann Pharmacother. 2008;42(7):1017-25.</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23.</w:t>
      </w:r>
      <w:r w:rsidRPr="00ED5F2F">
        <w:rPr>
          <w:rFonts w:ascii="Times New Roman" w:hAnsi="Times New Roman" w:cs="Times New Roman"/>
          <w:sz w:val="20"/>
          <w:szCs w:val="20"/>
        </w:rPr>
        <w:tab/>
        <w:t>Leendertse AJ, Visser D, Egberts AC, van den Bemt PM. The relationship between study characteristics and the prevalence of medication-related hospitalizations: a literature review and novel analysis. Drug Saf. 2010;33(3):233-44.</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24.</w:t>
      </w:r>
      <w:r w:rsidRPr="00ED5F2F">
        <w:rPr>
          <w:rFonts w:ascii="Times New Roman" w:hAnsi="Times New Roman" w:cs="Times New Roman"/>
          <w:sz w:val="20"/>
          <w:szCs w:val="20"/>
        </w:rPr>
        <w:tab/>
        <w:t>Kari H, Kortejarvi H, Airaksinen M, Laaksonen R. Patient involvement is essential in identifying drug-related problems. Br J Clin Pharmacol. 2018;84(9):2048-58.</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25.</w:t>
      </w:r>
      <w:r w:rsidRPr="00ED5F2F">
        <w:rPr>
          <w:rFonts w:ascii="Times New Roman" w:hAnsi="Times New Roman" w:cs="Times New Roman"/>
          <w:sz w:val="20"/>
          <w:szCs w:val="20"/>
        </w:rPr>
        <w:tab/>
        <w:t>Budnitz DS, Lovegrove MC, Shehab N, Richards CL. Emergency hospitalizations for adverse drug events in older Americans. N Engl J Med. 2011;365(21):2002-12.</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26.</w:t>
      </w:r>
      <w:r w:rsidRPr="00ED5F2F">
        <w:rPr>
          <w:rFonts w:ascii="Times New Roman" w:hAnsi="Times New Roman" w:cs="Times New Roman"/>
          <w:sz w:val="20"/>
          <w:szCs w:val="20"/>
        </w:rPr>
        <w:tab/>
        <w:t>Salvi F, Marchetti A, D'Angelo F, Boemi M, Lattanzio F, Cherubini A. Adverse drug events as a cause of hospitalization in older adults. Drug Saf. 2012;35 Suppl 1:29-45.</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27.</w:t>
      </w:r>
      <w:r w:rsidRPr="00ED5F2F">
        <w:rPr>
          <w:rFonts w:ascii="Times New Roman" w:hAnsi="Times New Roman" w:cs="Times New Roman"/>
          <w:sz w:val="20"/>
          <w:szCs w:val="20"/>
        </w:rPr>
        <w:tab/>
        <w:t>Budnitz DS, Shehab N, Kegler SR, Richards CL. Medication use leading to emergency department visits for adverse drug events in older adults. Ann Intern Med. 2007;147(11):755-65.</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28.</w:t>
      </w:r>
      <w:r w:rsidRPr="00ED5F2F">
        <w:rPr>
          <w:rFonts w:ascii="Times New Roman" w:hAnsi="Times New Roman" w:cs="Times New Roman"/>
          <w:sz w:val="20"/>
          <w:szCs w:val="20"/>
        </w:rPr>
        <w:tab/>
        <w:t>Lavan AH, Gallagher PF, O'Mahony D. Methods to reduce prescribing errors in elderly patients with multimorbidity. Clin Interv Aging. 2016;11:857-66.</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29.</w:t>
      </w:r>
      <w:r w:rsidRPr="00ED5F2F">
        <w:rPr>
          <w:rFonts w:ascii="Times New Roman" w:hAnsi="Times New Roman" w:cs="Times New Roman"/>
          <w:sz w:val="20"/>
          <w:szCs w:val="20"/>
        </w:rPr>
        <w:tab/>
        <w:t>Gallagher P, O'Mahony D. STOPP (Screening Tool of Older Persons' potentially inappropriate Prescriptions): application to acutely ill elderly patients and comparison with Beers' criteria. Age Ageing. 2008;37(6):673-9.</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30.</w:t>
      </w:r>
      <w:r w:rsidRPr="00ED5F2F">
        <w:rPr>
          <w:rFonts w:ascii="Times New Roman" w:hAnsi="Times New Roman" w:cs="Times New Roman"/>
          <w:sz w:val="20"/>
          <w:szCs w:val="20"/>
        </w:rPr>
        <w:tab/>
        <w:t>Bouvy JC, De Bruin ML, Koopmanschap MA. Epidemiology of adverse drug reactions in Europe: a review of recent observational studies. Drug Saf. 2015;38(5):437-53.</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31.</w:t>
      </w:r>
      <w:r w:rsidRPr="00ED5F2F">
        <w:rPr>
          <w:rFonts w:ascii="Times New Roman" w:hAnsi="Times New Roman" w:cs="Times New Roman"/>
          <w:sz w:val="20"/>
          <w:szCs w:val="20"/>
        </w:rPr>
        <w:tab/>
        <w:t>Dormann H, Sonst A, Müller F, Vogler R, Patapovas A, Pfistermeister B, et al. Adverse drug events in older patients admitted as an emergency: the role of potentially inappropriate medication in elderly people (PRISCUS). Dtsch Arztebl Int. 2013;110(13):213-9.</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32.</w:t>
      </w:r>
      <w:r w:rsidRPr="00ED5F2F">
        <w:rPr>
          <w:rFonts w:ascii="Times New Roman" w:hAnsi="Times New Roman" w:cs="Times New Roman"/>
          <w:sz w:val="20"/>
          <w:szCs w:val="20"/>
        </w:rPr>
        <w:tab/>
        <w:t>Moriarty F, Cahir C, Bennett K, Hughes CM, Kenny RA, Fahey T. Potentially inappropriate prescribing and its association with health outcomes in middle-aged people: a prospective cohort study in Ireland. BMJ Open. 2017;7(10):e016562.</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33.</w:t>
      </w:r>
      <w:r w:rsidRPr="00ED5F2F">
        <w:rPr>
          <w:rFonts w:ascii="Times New Roman" w:hAnsi="Times New Roman" w:cs="Times New Roman"/>
          <w:sz w:val="20"/>
          <w:szCs w:val="20"/>
        </w:rPr>
        <w:tab/>
        <w:t>Scott I, Vaughan L, Bell D. Effectiveness of acute medical units in hospitals: a systematic review. Int J Qual Health Care. 2009;21(6):397-407.</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34.</w:t>
      </w:r>
      <w:r w:rsidRPr="00ED5F2F">
        <w:rPr>
          <w:rFonts w:ascii="Times New Roman" w:hAnsi="Times New Roman" w:cs="Times New Roman"/>
          <w:sz w:val="20"/>
          <w:szCs w:val="20"/>
        </w:rPr>
        <w:tab/>
        <w:t>Hakkarainen KM, Hedna K, Petzold M, Hagg S. Percentage of patients with preventable adverse drug reactions and preventability of adverse drug reactions--a meta-analysis. PLoS One. 2012;7(3):e33236.</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35.</w:t>
      </w:r>
      <w:r w:rsidRPr="00ED5F2F">
        <w:rPr>
          <w:rFonts w:ascii="Times New Roman" w:hAnsi="Times New Roman" w:cs="Times New Roman"/>
          <w:sz w:val="20"/>
          <w:szCs w:val="20"/>
        </w:rPr>
        <w:tab/>
        <w:t>Batel Marques F, Penedones A, Mendes D, Alves C. A systematic review of observational studies evaluating costs of adverse drug reactions. Clinicoecon Outcomes Res. 2016;8:413-26.</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36.</w:t>
      </w:r>
      <w:r w:rsidRPr="00ED5F2F">
        <w:rPr>
          <w:rFonts w:ascii="Times New Roman" w:hAnsi="Times New Roman" w:cs="Times New Roman"/>
          <w:sz w:val="20"/>
          <w:szCs w:val="20"/>
        </w:rPr>
        <w:tab/>
        <w:t>Howard RL, Avery AJ, Slavenburg S, Royal S, Pipe G, Lucassen P, et al. Which drugs cause preventable admissions to hospital? A systematic review. Br J Clin Pharmacol. 2007;63(2):136-47.</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37.</w:t>
      </w:r>
      <w:r w:rsidRPr="00ED5F2F">
        <w:rPr>
          <w:rFonts w:ascii="Times New Roman" w:hAnsi="Times New Roman" w:cs="Times New Roman"/>
          <w:sz w:val="20"/>
          <w:szCs w:val="20"/>
        </w:rPr>
        <w:tab/>
        <w:t>Pirmohamed M, James S, Meakin S, Green C, Scott AK, Walley TJ, et al. Adverse drug reactions as cause of admission to hospital: prospective analysis of 18 820 patients. Bmj. 2004;329(7456):15-9.</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38.</w:t>
      </w:r>
      <w:r w:rsidRPr="00ED5F2F">
        <w:rPr>
          <w:rFonts w:ascii="Times New Roman" w:hAnsi="Times New Roman" w:cs="Times New Roman"/>
          <w:sz w:val="20"/>
          <w:szCs w:val="20"/>
        </w:rPr>
        <w:tab/>
        <w:t>Guthrie B, Makubate B, Hernandez-Santiago V, Dreischulte T. The rising tide of polypharmacy and drug-drug interactions: population database analysis 1995-2010. BMC Med. 2015;13:74.</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39.</w:t>
      </w:r>
      <w:r w:rsidRPr="00ED5F2F">
        <w:rPr>
          <w:rFonts w:ascii="Times New Roman" w:hAnsi="Times New Roman" w:cs="Times New Roman"/>
          <w:sz w:val="20"/>
          <w:szCs w:val="20"/>
        </w:rPr>
        <w:tab/>
        <w:t>Zed PJ, Abu-Laban RB, Balen RM, Loewen PS, Hohl CM, Brubacher JR, et al. Incidence, severity and preventability of medication-related visits to the emergency department: a prospective study. CMAJ. 2008;178(12):1563-9.</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lastRenderedPageBreak/>
        <w:t>40.</w:t>
      </w:r>
      <w:r w:rsidRPr="00ED5F2F">
        <w:rPr>
          <w:rFonts w:ascii="Times New Roman" w:hAnsi="Times New Roman" w:cs="Times New Roman"/>
          <w:sz w:val="20"/>
          <w:szCs w:val="20"/>
        </w:rPr>
        <w:tab/>
        <w:t>van der Hooft CS, Dieleman JP, Siemes C, Aarnoudse AJ, Verhamme KM, Stricker BH, et al. Adverse drug reaction-related hospitalisations: a population-based cohort study. Pharmacoepidemiol Drug Saf. 2008;17(4):365-71.</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41.</w:t>
      </w:r>
      <w:r w:rsidRPr="00ED5F2F">
        <w:rPr>
          <w:rFonts w:ascii="Times New Roman" w:hAnsi="Times New Roman" w:cs="Times New Roman"/>
          <w:sz w:val="20"/>
          <w:szCs w:val="20"/>
        </w:rPr>
        <w:tab/>
        <w:t>Onder G, Pedone C, Landi F, Cesari M, Della Vedova C, Bernabei R, et al. Adverse drug reactions as cause of hospital admissions: results from the Italian Group of Pharmacoepidemiology in the Elderly (GIFA). J Am Geriatr Soc. 2002;50(12):1962-8.</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42.</w:t>
      </w:r>
      <w:r w:rsidRPr="00ED5F2F">
        <w:rPr>
          <w:rFonts w:ascii="Times New Roman" w:hAnsi="Times New Roman" w:cs="Times New Roman"/>
          <w:sz w:val="20"/>
          <w:szCs w:val="20"/>
        </w:rPr>
        <w:tab/>
        <w:t>Geeson C, Wei L, Franklin BDDevelopment and performance evaluation of the Medicines Optimisation Assessment Tool (MOAT): a prognostic model to target hospital pharmacists’ input to prevent medication-related problemsBMJ Quality &amp; Safety 2019;28:645-656.</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43.</w:t>
      </w:r>
      <w:r w:rsidRPr="00ED5F2F">
        <w:rPr>
          <w:rFonts w:ascii="Times New Roman" w:hAnsi="Times New Roman" w:cs="Times New Roman"/>
          <w:sz w:val="20"/>
          <w:szCs w:val="20"/>
        </w:rPr>
        <w:tab/>
        <w:t xml:space="preserve">Carbonin, P., Bernabei, R. and Sgadari, A. Is Age an Independent Risk Factor of Adverse Drug Reactions in Hospitalized Medical Patients?*. Journal of the American Geriatrics Society 1991;39:1093-1099. doi:10.1111/j.1532-5415.1991.tb02875.x </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44.</w:t>
      </w:r>
      <w:r w:rsidRPr="00ED5F2F">
        <w:rPr>
          <w:rFonts w:ascii="Times New Roman" w:hAnsi="Times New Roman" w:cs="Times New Roman"/>
          <w:sz w:val="20"/>
          <w:szCs w:val="20"/>
        </w:rPr>
        <w:tab/>
        <w:t>Gurwitz JH, Avorn J. The ambiguous relation between aging and adverse drug reactions. Ann Intern Med. 1991;114(11):956-66.</w:t>
      </w:r>
    </w:p>
    <w:p w:rsidR="00A82896" w:rsidRPr="00ED5F2F" w:rsidRDefault="00A82896" w:rsidP="00257434">
      <w:pPr>
        <w:pStyle w:val="EndNoteBibliography"/>
        <w:spacing w:after="0"/>
        <w:rPr>
          <w:rFonts w:ascii="Times New Roman" w:hAnsi="Times New Roman" w:cs="Times New Roman"/>
          <w:sz w:val="20"/>
          <w:szCs w:val="20"/>
        </w:rPr>
      </w:pPr>
      <w:r w:rsidRPr="00ED5F2F">
        <w:rPr>
          <w:rFonts w:ascii="Times New Roman" w:hAnsi="Times New Roman" w:cs="Times New Roman"/>
          <w:sz w:val="20"/>
          <w:szCs w:val="20"/>
        </w:rPr>
        <w:t>45.</w:t>
      </w:r>
      <w:r w:rsidRPr="00ED5F2F">
        <w:rPr>
          <w:rFonts w:ascii="Times New Roman" w:hAnsi="Times New Roman" w:cs="Times New Roman"/>
          <w:sz w:val="20"/>
          <w:szCs w:val="20"/>
        </w:rPr>
        <w:tab/>
        <w:t>Hansen CR, Byrne S, Cullinan S, O'Mahony D, Sahm LJ, Kearney PM. Longitudinal patterns of potentially inappropriate prescribing in early old-aged people. Eur J Clin Pharmacol. 2018;74(3):307-13.</w:t>
      </w:r>
    </w:p>
    <w:p w:rsidR="00A82896" w:rsidRPr="00ED5F2F" w:rsidRDefault="00A82896" w:rsidP="00257434">
      <w:pPr>
        <w:pStyle w:val="EndNoteBibliography"/>
        <w:rPr>
          <w:rFonts w:ascii="Times New Roman" w:hAnsi="Times New Roman" w:cs="Times New Roman"/>
          <w:sz w:val="20"/>
          <w:szCs w:val="20"/>
        </w:rPr>
      </w:pPr>
      <w:r w:rsidRPr="00ED5F2F">
        <w:rPr>
          <w:rFonts w:ascii="Times New Roman" w:hAnsi="Times New Roman" w:cs="Times New Roman"/>
          <w:sz w:val="20"/>
          <w:szCs w:val="20"/>
        </w:rPr>
        <w:t>46.</w:t>
      </w:r>
      <w:r w:rsidRPr="00ED5F2F">
        <w:rPr>
          <w:rFonts w:ascii="Times New Roman" w:hAnsi="Times New Roman" w:cs="Times New Roman"/>
          <w:sz w:val="20"/>
          <w:szCs w:val="20"/>
        </w:rPr>
        <w:tab/>
        <w:t>Richardson K, Moore P, Peklar J, Galvin R, Bennett K, Kenny R. Polypharmacy in adults over 50 in Ireland: opportunities for cost saving and improved healthcare. Dublin: The Irish Longitudinal Study of Ageing (TILDA); 2012.</w:t>
      </w:r>
    </w:p>
    <w:p w:rsidR="00A82896" w:rsidRPr="005F6F80" w:rsidRDefault="00A82896" w:rsidP="00257434">
      <w:pPr>
        <w:pStyle w:val="EndNoteBibliography"/>
        <w:rPr>
          <w:rFonts w:ascii="Times New Roman" w:hAnsi="Times New Roman" w:cs="Times New Roman"/>
          <w:sz w:val="20"/>
          <w:szCs w:val="20"/>
        </w:rPr>
      </w:pPr>
      <w:r w:rsidRPr="00ED5F2F">
        <w:rPr>
          <w:rFonts w:ascii="Times New Roman" w:hAnsi="Times New Roman" w:cs="Times New Roman"/>
          <w:sz w:val="20"/>
          <w:szCs w:val="20"/>
        </w:rPr>
        <w:t>47.</w:t>
      </w:r>
      <w:r w:rsidRPr="00ED5F2F">
        <w:rPr>
          <w:rFonts w:ascii="Times New Roman" w:hAnsi="Times New Roman" w:cs="Times New Roman"/>
          <w:sz w:val="20"/>
          <w:szCs w:val="20"/>
        </w:rPr>
        <w:tab/>
        <w:t>Moons KGM, de Groot JAH, Bouwmeester W, Vergouwe Y, Mallett S, Altman DG, et al. Critical Appraisal and Data Extraction for Systematic Reviews of Prediction Modelling Studies: The CHARMS Checklist. PLoS Med 2014;11(10): e1001744. https://doi.org/10.1371/journal.pmed.1001744</w:t>
      </w:r>
    </w:p>
    <w:p w:rsidR="00A82896" w:rsidRDefault="00A82896"/>
    <w:p w:rsidR="00801F75" w:rsidRDefault="00351705"/>
    <w:sectPr w:rsidR="00801F75" w:rsidSect="00FB18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1705" w:rsidRDefault="00351705">
      <w:pPr>
        <w:spacing w:after="0" w:line="240" w:lineRule="auto"/>
      </w:pPr>
      <w:r>
        <w:separator/>
      </w:r>
    </w:p>
  </w:endnote>
  <w:endnote w:type="continuationSeparator" w:id="0">
    <w:p w:rsidR="00351705" w:rsidRDefault="00351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94456"/>
      <w:docPartObj>
        <w:docPartGallery w:val="Page Numbers (Bottom of Page)"/>
        <w:docPartUnique/>
      </w:docPartObj>
    </w:sdtPr>
    <w:sdtEndPr/>
    <w:sdtContent>
      <w:p w:rsidR="00573172" w:rsidRDefault="00ED5F2F">
        <w:pPr>
          <w:pStyle w:val="Footer"/>
          <w:jc w:val="right"/>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rsidR="00573172" w:rsidRDefault="003517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1705" w:rsidRDefault="00351705">
      <w:pPr>
        <w:spacing w:after="0" w:line="240" w:lineRule="auto"/>
      </w:pPr>
      <w:r>
        <w:separator/>
      </w:r>
    </w:p>
  </w:footnote>
  <w:footnote w:type="continuationSeparator" w:id="0">
    <w:p w:rsidR="00351705" w:rsidRDefault="00351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3172" w:rsidRDefault="00351705" w:rsidP="005C3208">
    <w:pPr>
      <w:pStyle w:val="Header"/>
    </w:pPr>
  </w:p>
  <w:p w:rsidR="00573172" w:rsidRDefault="00351705" w:rsidP="00C918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E5AA0"/>
    <w:multiLevelType w:val="hybridMultilevel"/>
    <w:tmpl w:val="CC52DD0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C252147"/>
    <w:multiLevelType w:val="hybridMultilevel"/>
    <w:tmpl w:val="88DCC23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234369A5"/>
    <w:multiLevelType w:val="hybridMultilevel"/>
    <w:tmpl w:val="E0ACD37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2577008B"/>
    <w:multiLevelType w:val="hybridMultilevel"/>
    <w:tmpl w:val="E5AEEDB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2EC5022F"/>
    <w:multiLevelType w:val="hybridMultilevel"/>
    <w:tmpl w:val="F5C08D5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35E71C86"/>
    <w:multiLevelType w:val="hybridMultilevel"/>
    <w:tmpl w:val="F91898B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39F110FF"/>
    <w:multiLevelType w:val="hybridMultilevel"/>
    <w:tmpl w:val="742640C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4BAD01D0"/>
    <w:multiLevelType w:val="hybridMultilevel"/>
    <w:tmpl w:val="BC7693B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53582C01"/>
    <w:multiLevelType w:val="hybridMultilevel"/>
    <w:tmpl w:val="910C0F7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7CD0095E"/>
    <w:multiLevelType w:val="hybridMultilevel"/>
    <w:tmpl w:val="2182BEF0"/>
    <w:lvl w:ilvl="0" w:tplc="1809000F">
      <w:start w:val="2"/>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2"/>
  </w:num>
  <w:num w:numId="2">
    <w:abstractNumId w:val="8"/>
  </w:num>
  <w:num w:numId="3">
    <w:abstractNumId w:val="0"/>
  </w:num>
  <w:num w:numId="4">
    <w:abstractNumId w:val="4"/>
  </w:num>
  <w:num w:numId="5">
    <w:abstractNumId w:val="1"/>
  </w:num>
  <w:num w:numId="6">
    <w:abstractNumId w:val="3"/>
  </w:num>
  <w:num w:numId="7">
    <w:abstractNumId w:val="6"/>
  </w:num>
  <w:num w:numId="8">
    <w:abstractNumId w:val="7"/>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A82896"/>
    <w:rsid w:val="00220C42"/>
    <w:rsid w:val="00351705"/>
    <w:rsid w:val="00A82896"/>
    <w:rsid w:val="00AE4604"/>
    <w:rsid w:val="00D724E1"/>
    <w:rsid w:val="00ED5F2F"/>
    <w:rsid w:val="00F4004F"/>
    <w:rsid w:val="00FF05D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7DC4B"/>
  <w15:chartTrackingRefBased/>
  <w15:docId w15:val="{F4C0F0F4-CC68-4567-8238-695059007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2896"/>
    <w:pPr>
      <w:spacing w:after="200" w:line="276" w:lineRule="auto"/>
    </w:pPr>
    <w:rPr>
      <w:rFonts w:eastAsiaTheme="minorEastAsia"/>
      <w:lang w:eastAsia="en-IE"/>
    </w:rPr>
  </w:style>
  <w:style w:type="paragraph" w:styleId="Heading3">
    <w:name w:val="heading 3"/>
    <w:basedOn w:val="Normal"/>
    <w:link w:val="Heading3Char"/>
    <w:uiPriority w:val="9"/>
    <w:qFormat/>
    <w:rsid w:val="00A8289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82896"/>
    <w:rPr>
      <w:rFonts w:ascii="Times New Roman" w:eastAsia="Times New Roman" w:hAnsi="Times New Roman" w:cs="Times New Roman"/>
      <w:b/>
      <w:bCs/>
      <w:sz w:val="27"/>
      <w:szCs w:val="27"/>
      <w:lang w:eastAsia="en-IE"/>
    </w:rPr>
  </w:style>
  <w:style w:type="paragraph" w:styleId="Header">
    <w:name w:val="header"/>
    <w:basedOn w:val="Normal"/>
    <w:link w:val="HeaderChar"/>
    <w:uiPriority w:val="99"/>
    <w:unhideWhenUsed/>
    <w:rsid w:val="00A828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896"/>
    <w:rPr>
      <w:rFonts w:eastAsiaTheme="minorEastAsia"/>
      <w:lang w:eastAsia="en-IE"/>
    </w:rPr>
  </w:style>
  <w:style w:type="character" w:styleId="Hyperlink">
    <w:name w:val="Hyperlink"/>
    <w:basedOn w:val="DefaultParagraphFont"/>
    <w:uiPriority w:val="99"/>
    <w:unhideWhenUsed/>
    <w:rsid w:val="00A82896"/>
    <w:rPr>
      <w:color w:val="0563C1" w:themeColor="hyperlink"/>
      <w:u w:val="single"/>
    </w:rPr>
  </w:style>
  <w:style w:type="paragraph" w:styleId="Caption">
    <w:name w:val="caption"/>
    <w:basedOn w:val="Normal"/>
    <w:next w:val="Normal"/>
    <w:uiPriority w:val="35"/>
    <w:unhideWhenUsed/>
    <w:qFormat/>
    <w:rsid w:val="00A82896"/>
    <w:pPr>
      <w:spacing w:line="240" w:lineRule="auto"/>
      <w:jc w:val="both"/>
    </w:pPr>
    <w:rPr>
      <w:rFonts w:asciiTheme="minorBidi" w:hAnsiTheme="minorBidi"/>
      <w:b/>
      <w:bCs/>
      <w:sz w:val="18"/>
      <w:szCs w:val="18"/>
    </w:rPr>
  </w:style>
  <w:style w:type="table" w:styleId="TableGrid">
    <w:name w:val="Table Grid"/>
    <w:basedOn w:val="TableNormal"/>
    <w:uiPriority w:val="39"/>
    <w:rsid w:val="00A82896"/>
    <w:pPr>
      <w:spacing w:after="0" w:line="240" w:lineRule="auto"/>
    </w:pPr>
    <w:rPr>
      <w:rFonts w:eastAsiaTheme="minorEastAsia"/>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28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2896"/>
    <w:rPr>
      <w:rFonts w:ascii="Tahoma" w:eastAsiaTheme="minorEastAsia" w:hAnsi="Tahoma" w:cs="Tahoma"/>
      <w:sz w:val="16"/>
      <w:szCs w:val="16"/>
      <w:lang w:eastAsia="en-IE"/>
    </w:rPr>
  </w:style>
  <w:style w:type="paragraph" w:styleId="DocumentMap">
    <w:name w:val="Document Map"/>
    <w:basedOn w:val="Normal"/>
    <w:link w:val="DocumentMapChar"/>
    <w:uiPriority w:val="99"/>
    <w:semiHidden/>
    <w:unhideWhenUsed/>
    <w:rsid w:val="00A82896"/>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82896"/>
    <w:rPr>
      <w:rFonts w:ascii="Tahoma" w:eastAsiaTheme="minorEastAsia" w:hAnsi="Tahoma" w:cs="Tahoma"/>
      <w:sz w:val="16"/>
      <w:szCs w:val="16"/>
      <w:lang w:eastAsia="en-IE"/>
    </w:rPr>
  </w:style>
  <w:style w:type="paragraph" w:styleId="Footer">
    <w:name w:val="footer"/>
    <w:basedOn w:val="Normal"/>
    <w:link w:val="FooterChar"/>
    <w:uiPriority w:val="99"/>
    <w:unhideWhenUsed/>
    <w:rsid w:val="00A828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896"/>
    <w:rPr>
      <w:rFonts w:eastAsiaTheme="minorEastAsia"/>
      <w:lang w:eastAsia="en-IE"/>
    </w:rPr>
  </w:style>
  <w:style w:type="character" w:styleId="CommentReference">
    <w:name w:val="annotation reference"/>
    <w:basedOn w:val="DefaultParagraphFont"/>
    <w:uiPriority w:val="99"/>
    <w:semiHidden/>
    <w:unhideWhenUsed/>
    <w:rsid w:val="00A82896"/>
    <w:rPr>
      <w:sz w:val="16"/>
      <w:szCs w:val="16"/>
    </w:rPr>
  </w:style>
  <w:style w:type="paragraph" w:styleId="CommentText">
    <w:name w:val="annotation text"/>
    <w:basedOn w:val="Normal"/>
    <w:link w:val="CommentTextChar"/>
    <w:uiPriority w:val="99"/>
    <w:unhideWhenUsed/>
    <w:rsid w:val="00A82896"/>
    <w:pPr>
      <w:spacing w:line="240" w:lineRule="auto"/>
    </w:pPr>
    <w:rPr>
      <w:sz w:val="20"/>
      <w:szCs w:val="20"/>
    </w:rPr>
  </w:style>
  <w:style w:type="character" w:customStyle="1" w:styleId="CommentTextChar">
    <w:name w:val="Comment Text Char"/>
    <w:basedOn w:val="DefaultParagraphFont"/>
    <w:link w:val="CommentText"/>
    <w:uiPriority w:val="99"/>
    <w:rsid w:val="00A82896"/>
    <w:rPr>
      <w:rFonts w:eastAsiaTheme="minorEastAsia"/>
      <w:sz w:val="20"/>
      <w:szCs w:val="20"/>
      <w:lang w:eastAsia="en-IE"/>
    </w:rPr>
  </w:style>
  <w:style w:type="paragraph" w:styleId="CommentSubject">
    <w:name w:val="annotation subject"/>
    <w:basedOn w:val="CommentText"/>
    <w:next w:val="CommentText"/>
    <w:link w:val="CommentSubjectChar"/>
    <w:uiPriority w:val="99"/>
    <w:semiHidden/>
    <w:unhideWhenUsed/>
    <w:rsid w:val="00A82896"/>
    <w:rPr>
      <w:b/>
      <w:bCs/>
    </w:rPr>
  </w:style>
  <w:style w:type="character" w:customStyle="1" w:styleId="CommentSubjectChar">
    <w:name w:val="Comment Subject Char"/>
    <w:basedOn w:val="CommentTextChar"/>
    <w:link w:val="CommentSubject"/>
    <w:uiPriority w:val="99"/>
    <w:semiHidden/>
    <w:rsid w:val="00A82896"/>
    <w:rPr>
      <w:rFonts w:eastAsiaTheme="minorEastAsia"/>
      <w:b/>
      <w:bCs/>
      <w:sz w:val="20"/>
      <w:szCs w:val="20"/>
      <w:lang w:eastAsia="en-IE"/>
    </w:rPr>
  </w:style>
  <w:style w:type="character" w:styleId="FollowedHyperlink">
    <w:name w:val="FollowedHyperlink"/>
    <w:basedOn w:val="DefaultParagraphFont"/>
    <w:uiPriority w:val="99"/>
    <w:semiHidden/>
    <w:unhideWhenUsed/>
    <w:rsid w:val="00A82896"/>
    <w:rPr>
      <w:color w:val="954F72" w:themeColor="followedHyperlink"/>
      <w:u w:val="single"/>
    </w:rPr>
  </w:style>
  <w:style w:type="paragraph" w:styleId="Revision">
    <w:name w:val="Revision"/>
    <w:hidden/>
    <w:uiPriority w:val="99"/>
    <w:semiHidden/>
    <w:rsid w:val="00A82896"/>
    <w:pPr>
      <w:spacing w:after="0" w:line="240" w:lineRule="auto"/>
    </w:pPr>
    <w:rPr>
      <w:rFonts w:eastAsiaTheme="minorEastAsia"/>
      <w:lang w:eastAsia="en-IE"/>
    </w:rPr>
  </w:style>
  <w:style w:type="character" w:customStyle="1" w:styleId="UnresolvedMention1">
    <w:name w:val="Unresolved Mention1"/>
    <w:basedOn w:val="DefaultParagraphFont"/>
    <w:uiPriority w:val="99"/>
    <w:semiHidden/>
    <w:unhideWhenUsed/>
    <w:rsid w:val="00A82896"/>
    <w:rPr>
      <w:color w:val="808080"/>
      <w:shd w:val="clear" w:color="auto" w:fill="E6E6E6"/>
    </w:rPr>
  </w:style>
  <w:style w:type="paragraph" w:styleId="ListParagraph">
    <w:name w:val="List Paragraph"/>
    <w:basedOn w:val="Normal"/>
    <w:uiPriority w:val="34"/>
    <w:qFormat/>
    <w:rsid w:val="00A82896"/>
    <w:pPr>
      <w:ind w:left="720"/>
      <w:contextualSpacing/>
    </w:pPr>
  </w:style>
  <w:style w:type="paragraph" w:customStyle="1" w:styleId="commentcontentpara">
    <w:name w:val="commentcontentpara"/>
    <w:basedOn w:val="Normal"/>
    <w:rsid w:val="00A82896"/>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A82896"/>
    <w:rPr>
      <w:color w:val="605E5C"/>
      <w:shd w:val="clear" w:color="auto" w:fill="E1DFDD"/>
    </w:rPr>
  </w:style>
  <w:style w:type="paragraph" w:customStyle="1" w:styleId="p">
    <w:name w:val="p"/>
    <w:basedOn w:val="Normal"/>
    <w:rsid w:val="00A8289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82896"/>
    <w:rPr>
      <w:i/>
      <w:iCs/>
    </w:rPr>
  </w:style>
  <w:style w:type="character" w:customStyle="1" w:styleId="internalref">
    <w:name w:val="internalref"/>
    <w:basedOn w:val="DefaultParagraphFont"/>
    <w:rsid w:val="00A82896"/>
  </w:style>
  <w:style w:type="paragraph" w:customStyle="1" w:styleId="EndNoteBibliographyTitle">
    <w:name w:val="EndNote Bibliography Title"/>
    <w:basedOn w:val="Normal"/>
    <w:link w:val="EndNoteBibliographyTitleChar"/>
    <w:rsid w:val="00A82896"/>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A82896"/>
    <w:rPr>
      <w:rFonts w:ascii="Calibri" w:eastAsiaTheme="minorEastAsia" w:hAnsi="Calibri" w:cs="Calibri"/>
      <w:noProof/>
      <w:lang w:eastAsia="en-IE"/>
    </w:rPr>
  </w:style>
  <w:style w:type="paragraph" w:customStyle="1" w:styleId="EndNoteBibliography">
    <w:name w:val="EndNote Bibliography"/>
    <w:basedOn w:val="Normal"/>
    <w:link w:val="EndNoteBibliographyChar"/>
    <w:rsid w:val="00A82896"/>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A82896"/>
    <w:rPr>
      <w:rFonts w:ascii="Calibri" w:eastAsiaTheme="minorEastAsia" w:hAnsi="Calibri" w:cs="Calibri"/>
      <w:noProof/>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erry.smeaton@gmail.com" TargetMode="External"/><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58A29A8-4AE6-4BF4-B748-4C4996B87C13}"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IE"/>
        </a:p>
      </dgm:t>
    </dgm:pt>
    <dgm:pt modelId="{59DAA605-54A4-47D7-9194-E1606E935392}">
      <dgm:prSet phldrT="[Text]" custT="1"/>
      <dgm:spPr/>
      <dgm:t>
        <a:bodyPr/>
        <a:lstStyle/>
        <a:p>
          <a:r>
            <a:rPr lang="en-IE" sz="1050"/>
            <a:t>168 patients aged 45-64 years and receiving care from an AMU consultant in AM(A)U</a:t>
          </a:r>
        </a:p>
      </dgm:t>
    </dgm:pt>
    <dgm:pt modelId="{F71C0C88-6B4B-48D4-AA05-5653742C7FAE}" type="parTrans" cxnId="{7DCD9FE8-A29D-4158-BC54-3FD5C6E5B101}">
      <dgm:prSet/>
      <dgm:spPr/>
      <dgm:t>
        <a:bodyPr/>
        <a:lstStyle/>
        <a:p>
          <a:endParaRPr lang="en-IE" sz="1050"/>
        </a:p>
      </dgm:t>
    </dgm:pt>
    <dgm:pt modelId="{CD9F8E90-1B47-4D78-8D74-9800A818A2D8}" type="sibTrans" cxnId="{7DCD9FE8-A29D-4158-BC54-3FD5C6E5B101}">
      <dgm:prSet/>
      <dgm:spPr/>
      <dgm:t>
        <a:bodyPr/>
        <a:lstStyle/>
        <a:p>
          <a:endParaRPr lang="en-IE" sz="1050"/>
        </a:p>
      </dgm:t>
    </dgm:pt>
    <dgm:pt modelId="{1256A25B-1E53-4966-ABCA-F757FEDD1486}" type="asst">
      <dgm:prSet phldrT="[Text]" custT="1"/>
      <dgm:spPr/>
      <dgm:t>
        <a:bodyPr/>
        <a:lstStyle/>
        <a:p>
          <a:r>
            <a:rPr lang="en-IE" sz="1050"/>
            <a:t>15 patients discharged prior to screening</a:t>
          </a:r>
        </a:p>
        <a:p>
          <a:r>
            <a:rPr lang="en-IE" sz="1050"/>
            <a:t>46 patients using &lt;3 pharmacologically active compounds</a:t>
          </a:r>
        </a:p>
        <a:p>
          <a:r>
            <a:rPr lang="en-IE" sz="1050"/>
            <a:t>4 patients already recruited to study</a:t>
          </a:r>
        </a:p>
        <a:p>
          <a:r>
            <a:rPr lang="en-IE" sz="1050"/>
            <a:t>2 non-English speaking/ interpreter needed</a:t>
          </a:r>
        </a:p>
        <a:p>
          <a:r>
            <a:rPr lang="en-IE" sz="1050"/>
            <a:t>1 patient with deliberate self-harm</a:t>
          </a:r>
        </a:p>
        <a:p>
          <a:endParaRPr lang="en-IE" sz="1050"/>
        </a:p>
      </dgm:t>
    </dgm:pt>
    <dgm:pt modelId="{4F29BD6F-6CF8-4769-B270-A43E27272718}" type="parTrans" cxnId="{E124C798-CDAB-4C47-9904-49D2B3F51C0E}">
      <dgm:prSet/>
      <dgm:spPr/>
      <dgm:t>
        <a:bodyPr/>
        <a:lstStyle/>
        <a:p>
          <a:endParaRPr lang="en-IE" sz="1050"/>
        </a:p>
      </dgm:t>
    </dgm:pt>
    <dgm:pt modelId="{C1D14BF1-DB2C-4C46-B659-E08DC0914A6F}" type="sibTrans" cxnId="{E124C798-CDAB-4C47-9904-49D2B3F51C0E}">
      <dgm:prSet/>
      <dgm:spPr/>
      <dgm:t>
        <a:bodyPr/>
        <a:lstStyle/>
        <a:p>
          <a:endParaRPr lang="en-IE" sz="1050"/>
        </a:p>
      </dgm:t>
    </dgm:pt>
    <dgm:pt modelId="{B6531C80-D974-4B97-B35D-76EB6C5CC62A}">
      <dgm:prSet phldrT="[Text]" custT="1"/>
      <dgm:spPr/>
      <dgm:t>
        <a:bodyPr/>
        <a:lstStyle/>
        <a:p>
          <a:r>
            <a:rPr lang="en-IE" sz="1050"/>
            <a:t>100 patients screened for ADRs</a:t>
          </a:r>
        </a:p>
      </dgm:t>
    </dgm:pt>
    <dgm:pt modelId="{0BDEEC30-1C03-4979-B13A-A8670ABF466E}" type="parTrans" cxnId="{4C04BB7C-4515-4F7B-B408-243EB3D23EF7}">
      <dgm:prSet/>
      <dgm:spPr/>
      <dgm:t>
        <a:bodyPr/>
        <a:lstStyle/>
        <a:p>
          <a:endParaRPr lang="en-IE" sz="1050"/>
        </a:p>
      </dgm:t>
    </dgm:pt>
    <dgm:pt modelId="{0C02FC97-C1B6-49FC-B9DD-153FCC216783}" type="sibTrans" cxnId="{4C04BB7C-4515-4F7B-B408-243EB3D23EF7}">
      <dgm:prSet/>
      <dgm:spPr/>
      <dgm:t>
        <a:bodyPr/>
        <a:lstStyle/>
        <a:p>
          <a:endParaRPr lang="en-IE" sz="1050"/>
        </a:p>
      </dgm:t>
    </dgm:pt>
    <dgm:pt modelId="{07818E82-4E54-4FF6-8B12-450B1E07E036}">
      <dgm:prSet/>
      <dgm:spPr/>
      <dgm:t>
        <a:bodyPr/>
        <a:lstStyle/>
        <a:p>
          <a:r>
            <a:rPr lang="en-IE"/>
            <a:t>20 patients  assessed in AMAU and discharged </a:t>
          </a:r>
        </a:p>
        <a:p>
          <a:r>
            <a:rPr lang="en-IE"/>
            <a:t>on same day</a:t>
          </a:r>
        </a:p>
      </dgm:t>
    </dgm:pt>
    <dgm:pt modelId="{23F28B69-C4C0-4EC1-9008-6B7D3422D11E}" type="parTrans" cxnId="{47927EF7-9F55-4DBA-8A89-EB18C4A521F7}">
      <dgm:prSet/>
      <dgm:spPr/>
      <dgm:t>
        <a:bodyPr/>
        <a:lstStyle/>
        <a:p>
          <a:endParaRPr lang="en-IE"/>
        </a:p>
      </dgm:t>
    </dgm:pt>
    <dgm:pt modelId="{C10F991D-D300-4C09-A864-1023DDFCA455}" type="sibTrans" cxnId="{47927EF7-9F55-4DBA-8A89-EB18C4A521F7}">
      <dgm:prSet/>
      <dgm:spPr/>
      <dgm:t>
        <a:bodyPr/>
        <a:lstStyle/>
        <a:p>
          <a:endParaRPr lang="en-IE"/>
        </a:p>
      </dgm:t>
    </dgm:pt>
    <dgm:pt modelId="{148F0ADA-D0D2-4F4B-8232-A7EDAA179687}">
      <dgm:prSet custT="1"/>
      <dgm:spPr/>
      <dgm:t>
        <a:bodyPr/>
        <a:lstStyle/>
        <a:p>
          <a:r>
            <a:rPr lang="en-IE" sz="1050"/>
            <a:t>80 patients admitted    to hospital </a:t>
          </a:r>
        </a:p>
      </dgm:t>
    </dgm:pt>
    <dgm:pt modelId="{A20C6BBC-BFC4-4386-886F-A302D5147C4E}" type="parTrans" cxnId="{C2E4E79D-9CE9-48A8-8249-9C55BA2D44FD}">
      <dgm:prSet/>
      <dgm:spPr/>
      <dgm:t>
        <a:bodyPr/>
        <a:lstStyle/>
        <a:p>
          <a:endParaRPr lang="en-IE"/>
        </a:p>
      </dgm:t>
    </dgm:pt>
    <dgm:pt modelId="{CF0081A0-ACF9-45E6-9718-A876252A4330}" type="sibTrans" cxnId="{C2E4E79D-9CE9-48A8-8249-9C55BA2D44FD}">
      <dgm:prSet/>
      <dgm:spPr/>
      <dgm:t>
        <a:bodyPr/>
        <a:lstStyle/>
        <a:p>
          <a:endParaRPr lang="en-IE"/>
        </a:p>
      </dgm:t>
    </dgm:pt>
    <dgm:pt modelId="{A1678B0C-2369-4C2B-93A7-88914EA2ECC3}" type="pres">
      <dgm:prSet presAssocID="{658A29A8-4AE6-4BF4-B748-4C4996B87C13}" presName="hierChild1" presStyleCnt="0">
        <dgm:presLayoutVars>
          <dgm:orgChart val="1"/>
          <dgm:chPref val="1"/>
          <dgm:dir/>
          <dgm:animOne val="branch"/>
          <dgm:animLvl val="lvl"/>
          <dgm:resizeHandles/>
        </dgm:presLayoutVars>
      </dgm:prSet>
      <dgm:spPr/>
    </dgm:pt>
    <dgm:pt modelId="{F287E4A6-2B98-495F-B34D-4680FCDA8FE7}" type="pres">
      <dgm:prSet presAssocID="{59DAA605-54A4-47D7-9194-E1606E935392}" presName="hierRoot1" presStyleCnt="0">
        <dgm:presLayoutVars>
          <dgm:hierBranch val="init"/>
        </dgm:presLayoutVars>
      </dgm:prSet>
      <dgm:spPr/>
    </dgm:pt>
    <dgm:pt modelId="{E83A9670-E855-40A2-9281-922D949195E5}" type="pres">
      <dgm:prSet presAssocID="{59DAA605-54A4-47D7-9194-E1606E935392}" presName="rootComposite1" presStyleCnt="0"/>
      <dgm:spPr/>
    </dgm:pt>
    <dgm:pt modelId="{1358A296-CA27-4459-B84D-FF4457422981}" type="pres">
      <dgm:prSet presAssocID="{59DAA605-54A4-47D7-9194-E1606E935392}" presName="rootText1" presStyleLbl="node0" presStyleIdx="0" presStyleCnt="1" custScaleX="347088" custScaleY="51219">
        <dgm:presLayoutVars>
          <dgm:chPref val="3"/>
        </dgm:presLayoutVars>
      </dgm:prSet>
      <dgm:spPr/>
    </dgm:pt>
    <dgm:pt modelId="{DA8E99CC-59D5-4E8F-8766-50C1E9C4F166}" type="pres">
      <dgm:prSet presAssocID="{59DAA605-54A4-47D7-9194-E1606E935392}" presName="rootConnector1" presStyleLbl="node1" presStyleIdx="0" presStyleCnt="0"/>
      <dgm:spPr/>
    </dgm:pt>
    <dgm:pt modelId="{3E019AF6-C03A-4213-B907-6565E530A13E}" type="pres">
      <dgm:prSet presAssocID="{59DAA605-54A4-47D7-9194-E1606E935392}" presName="hierChild2" presStyleCnt="0"/>
      <dgm:spPr/>
    </dgm:pt>
    <dgm:pt modelId="{057D2A38-AFDD-4989-B3E3-FC60B36F7DF9}" type="pres">
      <dgm:prSet presAssocID="{0BDEEC30-1C03-4979-B13A-A8670ABF466E}" presName="Name37" presStyleLbl="parChTrans1D2" presStyleIdx="0" presStyleCnt="2"/>
      <dgm:spPr/>
    </dgm:pt>
    <dgm:pt modelId="{DA213900-254C-4AA2-B150-F29944F7521F}" type="pres">
      <dgm:prSet presAssocID="{B6531C80-D974-4B97-B35D-76EB6C5CC62A}" presName="hierRoot2" presStyleCnt="0">
        <dgm:presLayoutVars>
          <dgm:hierBranch val="init"/>
        </dgm:presLayoutVars>
      </dgm:prSet>
      <dgm:spPr/>
    </dgm:pt>
    <dgm:pt modelId="{BEB5D062-4803-4B55-ACE1-B431ADD6014C}" type="pres">
      <dgm:prSet presAssocID="{B6531C80-D974-4B97-B35D-76EB6C5CC62A}" presName="rootComposite" presStyleCnt="0"/>
      <dgm:spPr/>
    </dgm:pt>
    <dgm:pt modelId="{CD44BF45-16A2-4242-8670-4B0A188018DA}" type="pres">
      <dgm:prSet presAssocID="{B6531C80-D974-4B97-B35D-76EB6C5CC62A}" presName="rootText" presStyleLbl="node2" presStyleIdx="0" presStyleCnt="1" custScaleX="150641">
        <dgm:presLayoutVars>
          <dgm:chPref val="3"/>
        </dgm:presLayoutVars>
      </dgm:prSet>
      <dgm:spPr/>
    </dgm:pt>
    <dgm:pt modelId="{A4ECC4B4-A20B-4CE0-8146-80F1C1D7477F}" type="pres">
      <dgm:prSet presAssocID="{B6531C80-D974-4B97-B35D-76EB6C5CC62A}" presName="rootConnector" presStyleLbl="node2" presStyleIdx="0" presStyleCnt="1"/>
      <dgm:spPr/>
    </dgm:pt>
    <dgm:pt modelId="{A60DDBDF-F52C-4EC9-987C-F50328E0F16C}" type="pres">
      <dgm:prSet presAssocID="{B6531C80-D974-4B97-B35D-76EB6C5CC62A}" presName="hierChild4" presStyleCnt="0"/>
      <dgm:spPr/>
    </dgm:pt>
    <dgm:pt modelId="{F84107E7-C70A-487B-A6D4-40DB7236FD74}" type="pres">
      <dgm:prSet presAssocID="{23F28B69-C4C0-4EC1-9008-6B7D3422D11E}" presName="Name37" presStyleLbl="parChTrans1D3" presStyleIdx="0" presStyleCnt="2"/>
      <dgm:spPr/>
    </dgm:pt>
    <dgm:pt modelId="{FDE7C587-0140-41A4-98A7-462A27C0AF8A}" type="pres">
      <dgm:prSet presAssocID="{07818E82-4E54-4FF6-8B12-450B1E07E036}" presName="hierRoot2" presStyleCnt="0">
        <dgm:presLayoutVars>
          <dgm:hierBranch val="init"/>
        </dgm:presLayoutVars>
      </dgm:prSet>
      <dgm:spPr/>
    </dgm:pt>
    <dgm:pt modelId="{57FD6CDB-579D-4339-B9CF-10C0A6C8751C}" type="pres">
      <dgm:prSet presAssocID="{07818E82-4E54-4FF6-8B12-450B1E07E036}" presName="rootComposite" presStyleCnt="0"/>
      <dgm:spPr/>
    </dgm:pt>
    <dgm:pt modelId="{847D4603-FA6A-469B-8FD2-D57001AF17FE}" type="pres">
      <dgm:prSet presAssocID="{07818E82-4E54-4FF6-8B12-450B1E07E036}" presName="rootText" presStyleLbl="node3" presStyleIdx="0" presStyleCnt="2" custLinFactNeighborX="81072" custLinFactNeighborY="-1386">
        <dgm:presLayoutVars>
          <dgm:chPref val="3"/>
        </dgm:presLayoutVars>
      </dgm:prSet>
      <dgm:spPr/>
    </dgm:pt>
    <dgm:pt modelId="{ED0C9F2F-F369-41EF-B554-798F0B09D590}" type="pres">
      <dgm:prSet presAssocID="{07818E82-4E54-4FF6-8B12-450B1E07E036}" presName="rootConnector" presStyleLbl="node3" presStyleIdx="0" presStyleCnt="2"/>
      <dgm:spPr/>
    </dgm:pt>
    <dgm:pt modelId="{66464E33-23AA-40B6-B11E-FA152F77FDBE}" type="pres">
      <dgm:prSet presAssocID="{07818E82-4E54-4FF6-8B12-450B1E07E036}" presName="hierChild4" presStyleCnt="0"/>
      <dgm:spPr/>
    </dgm:pt>
    <dgm:pt modelId="{B50472F3-F96D-4C7C-9A94-FFE6AE148F32}" type="pres">
      <dgm:prSet presAssocID="{07818E82-4E54-4FF6-8B12-450B1E07E036}" presName="hierChild5" presStyleCnt="0"/>
      <dgm:spPr/>
    </dgm:pt>
    <dgm:pt modelId="{4FC98BDB-DCF9-4207-ACE1-096AAFC77173}" type="pres">
      <dgm:prSet presAssocID="{A20C6BBC-BFC4-4386-886F-A302D5147C4E}" presName="Name37" presStyleLbl="parChTrans1D3" presStyleIdx="1" presStyleCnt="2"/>
      <dgm:spPr/>
    </dgm:pt>
    <dgm:pt modelId="{EFC37EE9-2975-401A-A9CE-D85AB32C0C04}" type="pres">
      <dgm:prSet presAssocID="{148F0ADA-D0D2-4F4B-8232-A7EDAA179687}" presName="hierRoot2" presStyleCnt="0">
        <dgm:presLayoutVars>
          <dgm:hierBranch val="init"/>
        </dgm:presLayoutVars>
      </dgm:prSet>
      <dgm:spPr/>
    </dgm:pt>
    <dgm:pt modelId="{E515F206-7006-4E96-92E3-118EC737CCD2}" type="pres">
      <dgm:prSet presAssocID="{148F0ADA-D0D2-4F4B-8232-A7EDAA179687}" presName="rootComposite" presStyleCnt="0"/>
      <dgm:spPr/>
    </dgm:pt>
    <dgm:pt modelId="{ABE06272-9A99-4B34-BF40-BA9C7AF6B89D}" type="pres">
      <dgm:prSet presAssocID="{148F0ADA-D0D2-4F4B-8232-A7EDAA179687}" presName="rootText" presStyleLbl="node3" presStyleIdx="1" presStyleCnt="2" custLinFactX="-51099" custLinFactY="-42742" custLinFactNeighborX="-100000" custLinFactNeighborY="-100000">
        <dgm:presLayoutVars>
          <dgm:chPref val="3"/>
        </dgm:presLayoutVars>
      </dgm:prSet>
      <dgm:spPr/>
    </dgm:pt>
    <dgm:pt modelId="{08D35219-4A16-47F1-9A92-5472E8ED7B7C}" type="pres">
      <dgm:prSet presAssocID="{148F0ADA-D0D2-4F4B-8232-A7EDAA179687}" presName="rootConnector" presStyleLbl="node3" presStyleIdx="1" presStyleCnt="2"/>
      <dgm:spPr/>
    </dgm:pt>
    <dgm:pt modelId="{38D77195-FDD9-4115-A707-BAEB2B0B99D0}" type="pres">
      <dgm:prSet presAssocID="{148F0ADA-D0D2-4F4B-8232-A7EDAA179687}" presName="hierChild4" presStyleCnt="0"/>
      <dgm:spPr/>
    </dgm:pt>
    <dgm:pt modelId="{B3535176-5F3C-438B-85A3-9887125A0F41}" type="pres">
      <dgm:prSet presAssocID="{148F0ADA-D0D2-4F4B-8232-A7EDAA179687}" presName="hierChild5" presStyleCnt="0"/>
      <dgm:spPr/>
    </dgm:pt>
    <dgm:pt modelId="{16593293-4B7F-4231-B270-DCC23C9FF93D}" type="pres">
      <dgm:prSet presAssocID="{B6531C80-D974-4B97-B35D-76EB6C5CC62A}" presName="hierChild5" presStyleCnt="0"/>
      <dgm:spPr/>
    </dgm:pt>
    <dgm:pt modelId="{CFBEB2DC-BEF4-42E5-9CD0-15E1369BE0DD}" type="pres">
      <dgm:prSet presAssocID="{59DAA605-54A4-47D7-9194-E1606E935392}" presName="hierChild3" presStyleCnt="0"/>
      <dgm:spPr/>
    </dgm:pt>
    <dgm:pt modelId="{FCAA4E66-5E82-44D8-977E-E0AD531D01E4}" type="pres">
      <dgm:prSet presAssocID="{4F29BD6F-6CF8-4769-B270-A43E27272718}" presName="Name111" presStyleLbl="parChTrans1D2" presStyleIdx="1" presStyleCnt="2"/>
      <dgm:spPr/>
    </dgm:pt>
    <dgm:pt modelId="{A87545E6-0FE3-4123-8B79-9E004DB0F7BC}" type="pres">
      <dgm:prSet presAssocID="{1256A25B-1E53-4966-ABCA-F757FEDD1486}" presName="hierRoot3" presStyleCnt="0">
        <dgm:presLayoutVars>
          <dgm:hierBranch val="init"/>
        </dgm:presLayoutVars>
      </dgm:prSet>
      <dgm:spPr/>
    </dgm:pt>
    <dgm:pt modelId="{0C07BF02-69D5-4A2B-9D68-E0DF88B5480C}" type="pres">
      <dgm:prSet presAssocID="{1256A25B-1E53-4966-ABCA-F757FEDD1486}" presName="rootComposite3" presStyleCnt="0"/>
      <dgm:spPr/>
    </dgm:pt>
    <dgm:pt modelId="{790AC0A4-D52C-4A7F-8BA9-283CD686946F}" type="pres">
      <dgm:prSet presAssocID="{1256A25B-1E53-4966-ABCA-F757FEDD1486}" presName="rootText3" presStyleLbl="asst1" presStyleIdx="0" presStyleCnt="1" custScaleX="182779" custScaleY="207089">
        <dgm:presLayoutVars>
          <dgm:chPref val="3"/>
        </dgm:presLayoutVars>
      </dgm:prSet>
      <dgm:spPr/>
    </dgm:pt>
    <dgm:pt modelId="{D373D57A-1C3C-43A0-9F5B-B3CECBDD5B3F}" type="pres">
      <dgm:prSet presAssocID="{1256A25B-1E53-4966-ABCA-F757FEDD1486}" presName="rootConnector3" presStyleLbl="asst1" presStyleIdx="0" presStyleCnt="1"/>
      <dgm:spPr/>
    </dgm:pt>
    <dgm:pt modelId="{62E0DB35-31D5-42F0-8524-1BB928736CBE}" type="pres">
      <dgm:prSet presAssocID="{1256A25B-1E53-4966-ABCA-F757FEDD1486}" presName="hierChild6" presStyleCnt="0"/>
      <dgm:spPr/>
    </dgm:pt>
    <dgm:pt modelId="{867C5E13-EE5D-468A-AFBF-4BBF2588694B}" type="pres">
      <dgm:prSet presAssocID="{1256A25B-1E53-4966-ABCA-F757FEDD1486}" presName="hierChild7" presStyleCnt="0"/>
      <dgm:spPr/>
    </dgm:pt>
  </dgm:ptLst>
  <dgm:cxnLst>
    <dgm:cxn modelId="{7215A200-4847-4721-87F0-4E2E4A8BE775}" type="presOf" srcId="{07818E82-4E54-4FF6-8B12-450B1E07E036}" destId="{ED0C9F2F-F369-41EF-B554-798F0B09D590}" srcOrd="1" destOrd="0" presId="urn:microsoft.com/office/officeart/2005/8/layout/orgChart1"/>
    <dgm:cxn modelId="{EA5C7803-DA3F-457F-AF4F-3175242C6196}" type="presOf" srcId="{07818E82-4E54-4FF6-8B12-450B1E07E036}" destId="{847D4603-FA6A-469B-8FD2-D57001AF17FE}" srcOrd="0" destOrd="0" presId="urn:microsoft.com/office/officeart/2005/8/layout/orgChart1"/>
    <dgm:cxn modelId="{8D3D980C-3A28-45A6-B8C8-C9D7DC286312}" type="presOf" srcId="{0BDEEC30-1C03-4979-B13A-A8670ABF466E}" destId="{057D2A38-AFDD-4989-B3E3-FC60B36F7DF9}" srcOrd="0" destOrd="0" presId="urn:microsoft.com/office/officeart/2005/8/layout/orgChart1"/>
    <dgm:cxn modelId="{F07A2220-8DA1-4844-B69F-971B38247EE5}" type="presOf" srcId="{B6531C80-D974-4B97-B35D-76EB6C5CC62A}" destId="{A4ECC4B4-A20B-4CE0-8146-80F1C1D7477F}" srcOrd="1" destOrd="0" presId="urn:microsoft.com/office/officeart/2005/8/layout/orgChart1"/>
    <dgm:cxn modelId="{BD478B24-3F03-49D1-B348-A0EA1FF908F0}" type="presOf" srcId="{1256A25B-1E53-4966-ABCA-F757FEDD1486}" destId="{D373D57A-1C3C-43A0-9F5B-B3CECBDD5B3F}" srcOrd="1" destOrd="0" presId="urn:microsoft.com/office/officeart/2005/8/layout/orgChart1"/>
    <dgm:cxn modelId="{6E6ED03E-64BD-4CD0-AB4C-F9B00FFEBEFF}" type="presOf" srcId="{658A29A8-4AE6-4BF4-B748-4C4996B87C13}" destId="{A1678B0C-2369-4C2B-93A7-88914EA2ECC3}" srcOrd="0" destOrd="0" presId="urn:microsoft.com/office/officeart/2005/8/layout/orgChart1"/>
    <dgm:cxn modelId="{88F3545D-ED5F-446F-96B0-E1BD19A32802}" type="presOf" srcId="{4F29BD6F-6CF8-4769-B270-A43E27272718}" destId="{FCAA4E66-5E82-44D8-977E-E0AD531D01E4}" srcOrd="0" destOrd="0" presId="urn:microsoft.com/office/officeart/2005/8/layout/orgChart1"/>
    <dgm:cxn modelId="{46129654-8A47-4068-97F1-4A5A1C3502C4}" type="presOf" srcId="{B6531C80-D974-4B97-B35D-76EB6C5CC62A}" destId="{CD44BF45-16A2-4242-8670-4B0A188018DA}" srcOrd="0" destOrd="0" presId="urn:microsoft.com/office/officeart/2005/8/layout/orgChart1"/>
    <dgm:cxn modelId="{4C04BB7C-4515-4F7B-B408-243EB3D23EF7}" srcId="{59DAA605-54A4-47D7-9194-E1606E935392}" destId="{B6531C80-D974-4B97-B35D-76EB6C5CC62A}" srcOrd="1" destOrd="0" parTransId="{0BDEEC30-1C03-4979-B13A-A8670ABF466E}" sibTransId="{0C02FC97-C1B6-49FC-B9DD-153FCC216783}"/>
    <dgm:cxn modelId="{AD11CE7F-0EEE-441C-B3CB-C4D58850B1B1}" type="presOf" srcId="{23F28B69-C4C0-4EC1-9008-6B7D3422D11E}" destId="{F84107E7-C70A-487B-A6D4-40DB7236FD74}" srcOrd="0" destOrd="0" presId="urn:microsoft.com/office/officeart/2005/8/layout/orgChart1"/>
    <dgm:cxn modelId="{E124C798-CDAB-4C47-9904-49D2B3F51C0E}" srcId="{59DAA605-54A4-47D7-9194-E1606E935392}" destId="{1256A25B-1E53-4966-ABCA-F757FEDD1486}" srcOrd="0" destOrd="0" parTransId="{4F29BD6F-6CF8-4769-B270-A43E27272718}" sibTransId="{C1D14BF1-DB2C-4C46-B659-E08DC0914A6F}"/>
    <dgm:cxn modelId="{D96EDD9C-ADC3-4ED9-9386-FE30D6A17EC3}" type="presOf" srcId="{1256A25B-1E53-4966-ABCA-F757FEDD1486}" destId="{790AC0A4-D52C-4A7F-8BA9-283CD686946F}" srcOrd="0" destOrd="0" presId="urn:microsoft.com/office/officeart/2005/8/layout/orgChart1"/>
    <dgm:cxn modelId="{C2E4E79D-9CE9-48A8-8249-9C55BA2D44FD}" srcId="{B6531C80-D974-4B97-B35D-76EB6C5CC62A}" destId="{148F0ADA-D0D2-4F4B-8232-A7EDAA179687}" srcOrd="1" destOrd="0" parTransId="{A20C6BBC-BFC4-4386-886F-A302D5147C4E}" sibTransId="{CF0081A0-ACF9-45E6-9718-A876252A4330}"/>
    <dgm:cxn modelId="{93C113A7-75E8-4CB1-911A-94436DE9D6F1}" type="presOf" srcId="{148F0ADA-D0D2-4F4B-8232-A7EDAA179687}" destId="{ABE06272-9A99-4B34-BF40-BA9C7AF6B89D}" srcOrd="0" destOrd="0" presId="urn:microsoft.com/office/officeart/2005/8/layout/orgChart1"/>
    <dgm:cxn modelId="{17CB28AA-225A-456D-B2CA-71C365A95449}" type="presOf" srcId="{59DAA605-54A4-47D7-9194-E1606E935392}" destId="{1358A296-CA27-4459-B84D-FF4457422981}" srcOrd="0" destOrd="0" presId="urn:microsoft.com/office/officeart/2005/8/layout/orgChart1"/>
    <dgm:cxn modelId="{CDBC8AC8-A297-4E72-81A8-610A73AB956A}" type="presOf" srcId="{148F0ADA-D0D2-4F4B-8232-A7EDAA179687}" destId="{08D35219-4A16-47F1-9A92-5472E8ED7B7C}" srcOrd="1" destOrd="0" presId="urn:microsoft.com/office/officeart/2005/8/layout/orgChart1"/>
    <dgm:cxn modelId="{B7EFB4D2-F3CB-4490-8329-DE99EB00C470}" type="presOf" srcId="{59DAA605-54A4-47D7-9194-E1606E935392}" destId="{DA8E99CC-59D5-4E8F-8766-50C1E9C4F166}" srcOrd="1" destOrd="0" presId="urn:microsoft.com/office/officeart/2005/8/layout/orgChart1"/>
    <dgm:cxn modelId="{4984D0DD-7E3E-476B-B7CD-4779691FCC47}" type="presOf" srcId="{A20C6BBC-BFC4-4386-886F-A302D5147C4E}" destId="{4FC98BDB-DCF9-4207-ACE1-096AAFC77173}" srcOrd="0" destOrd="0" presId="urn:microsoft.com/office/officeart/2005/8/layout/orgChart1"/>
    <dgm:cxn modelId="{7DCD9FE8-A29D-4158-BC54-3FD5C6E5B101}" srcId="{658A29A8-4AE6-4BF4-B748-4C4996B87C13}" destId="{59DAA605-54A4-47D7-9194-E1606E935392}" srcOrd="0" destOrd="0" parTransId="{F71C0C88-6B4B-48D4-AA05-5653742C7FAE}" sibTransId="{CD9F8E90-1B47-4D78-8D74-9800A818A2D8}"/>
    <dgm:cxn modelId="{47927EF7-9F55-4DBA-8A89-EB18C4A521F7}" srcId="{B6531C80-D974-4B97-B35D-76EB6C5CC62A}" destId="{07818E82-4E54-4FF6-8B12-450B1E07E036}" srcOrd="0" destOrd="0" parTransId="{23F28B69-C4C0-4EC1-9008-6B7D3422D11E}" sibTransId="{C10F991D-D300-4C09-A864-1023DDFCA455}"/>
    <dgm:cxn modelId="{A90CDB39-5276-485A-BDEE-69C2CF9D6BC6}" type="presParOf" srcId="{A1678B0C-2369-4C2B-93A7-88914EA2ECC3}" destId="{F287E4A6-2B98-495F-B34D-4680FCDA8FE7}" srcOrd="0" destOrd="0" presId="urn:microsoft.com/office/officeart/2005/8/layout/orgChart1"/>
    <dgm:cxn modelId="{B64E0F6F-F3C1-46F1-BF5E-0A96B4C65CE0}" type="presParOf" srcId="{F287E4A6-2B98-495F-B34D-4680FCDA8FE7}" destId="{E83A9670-E855-40A2-9281-922D949195E5}" srcOrd="0" destOrd="0" presId="urn:microsoft.com/office/officeart/2005/8/layout/orgChart1"/>
    <dgm:cxn modelId="{0DB32E71-7CCD-4581-B228-3FB87CCBB5A4}" type="presParOf" srcId="{E83A9670-E855-40A2-9281-922D949195E5}" destId="{1358A296-CA27-4459-B84D-FF4457422981}" srcOrd="0" destOrd="0" presId="urn:microsoft.com/office/officeart/2005/8/layout/orgChart1"/>
    <dgm:cxn modelId="{75A594C1-C94B-4039-B6A2-1795C15048FC}" type="presParOf" srcId="{E83A9670-E855-40A2-9281-922D949195E5}" destId="{DA8E99CC-59D5-4E8F-8766-50C1E9C4F166}" srcOrd="1" destOrd="0" presId="urn:microsoft.com/office/officeart/2005/8/layout/orgChart1"/>
    <dgm:cxn modelId="{E3891440-E275-4E54-8E49-C179A7E59432}" type="presParOf" srcId="{F287E4A6-2B98-495F-B34D-4680FCDA8FE7}" destId="{3E019AF6-C03A-4213-B907-6565E530A13E}" srcOrd="1" destOrd="0" presId="urn:microsoft.com/office/officeart/2005/8/layout/orgChart1"/>
    <dgm:cxn modelId="{6BE7CD4F-AC94-4DBC-9C04-3DB1D198BD17}" type="presParOf" srcId="{3E019AF6-C03A-4213-B907-6565E530A13E}" destId="{057D2A38-AFDD-4989-B3E3-FC60B36F7DF9}" srcOrd="0" destOrd="0" presId="urn:microsoft.com/office/officeart/2005/8/layout/orgChart1"/>
    <dgm:cxn modelId="{564469B2-7708-4532-8D57-3A1215B66CD2}" type="presParOf" srcId="{3E019AF6-C03A-4213-B907-6565E530A13E}" destId="{DA213900-254C-4AA2-B150-F29944F7521F}" srcOrd="1" destOrd="0" presId="urn:microsoft.com/office/officeart/2005/8/layout/orgChart1"/>
    <dgm:cxn modelId="{5F6B5931-D987-45A8-A2E7-611AE48D2D2F}" type="presParOf" srcId="{DA213900-254C-4AA2-B150-F29944F7521F}" destId="{BEB5D062-4803-4B55-ACE1-B431ADD6014C}" srcOrd="0" destOrd="0" presId="urn:microsoft.com/office/officeart/2005/8/layout/orgChart1"/>
    <dgm:cxn modelId="{A092921C-A55C-41C5-B435-32BDFF42421D}" type="presParOf" srcId="{BEB5D062-4803-4B55-ACE1-B431ADD6014C}" destId="{CD44BF45-16A2-4242-8670-4B0A188018DA}" srcOrd="0" destOrd="0" presId="urn:microsoft.com/office/officeart/2005/8/layout/orgChart1"/>
    <dgm:cxn modelId="{82A56E98-5126-4511-B91B-C98AE4AD736A}" type="presParOf" srcId="{BEB5D062-4803-4B55-ACE1-B431ADD6014C}" destId="{A4ECC4B4-A20B-4CE0-8146-80F1C1D7477F}" srcOrd="1" destOrd="0" presId="urn:microsoft.com/office/officeart/2005/8/layout/orgChart1"/>
    <dgm:cxn modelId="{0DE0242A-6AA7-4CEB-9C14-FEEF4574B571}" type="presParOf" srcId="{DA213900-254C-4AA2-B150-F29944F7521F}" destId="{A60DDBDF-F52C-4EC9-987C-F50328E0F16C}" srcOrd="1" destOrd="0" presId="urn:microsoft.com/office/officeart/2005/8/layout/orgChart1"/>
    <dgm:cxn modelId="{A3534ED1-FC01-49D4-88B3-91A41A4DA0A5}" type="presParOf" srcId="{A60DDBDF-F52C-4EC9-987C-F50328E0F16C}" destId="{F84107E7-C70A-487B-A6D4-40DB7236FD74}" srcOrd="0" destOrd="0" presId="urn:microsoft.com/office/officeart/2005/8/layout/orgChart1"/>
    <dgm:cxn modelId="{6D38D960-6B54-48F7-8DB7-80FA5D3F3837}" type="presParOf" srcId="{A60DDBDF-F52C-4EC9-987C-F50328E0F16C}" destId="{FDE7C587-0140-41A4-98A7-462A27C0AF8A}" srcOrd="1" destOrd="0" presId="urn:microsoft.com/office/officeart/2005/8/layout/orgChart1"/>
    <dgm:cxn modelId="{944D0BE7-D38B-40F8-B2CC-90CFD8E9E394}" type="presParOf" srcId="{FDE7C587-0140-41A4-98A7-462A27C0AF8A}" destId="{57FD6CDB-579D-4339-B9CF-10C0A6C8751C}" srcOrd="0" destOrd="0" presId="urn:microsoft.com/office/officeart/2005/8/layout/orgChart1"/>
    <dgm:cxn modelId="{7FE70918-915C-465D-B6E8-C9CBEB224382}" type="presParOf" srcId="{57FD6CDB-579D-4339-B9CF-10C0A6C8751C}" destId="{847D4603-FA6A-469B-8FD2-D57001AF17FE}" srcOrd="0" destOrd="0" presId="urn:microsoft.com/office/officeart/2005/8/layout/orgChart1"/>
    <dgm:cxn modelId="{8CD6353E-9AFD-4E94-9321-3A1A7008A648}" type="presParOf" srcId="{57FD6CDB-579D-4339-B9CF-10C0A6C8751C}" destId="{ED0C9F2F-F369-41EF-B554-798F0B09D590}" srcOrd="1" destOrd="0" presId="urn:microsoft.com/office/officeart/2005/8/layout/orgChart1"/>
    <dgm:cxn modelId="{0E6061E6-1E11-477F-8195-30CA697E3BB2}" type="presParOf" srcId="{FDE7C587-0140-41A4-98A7-462A27C0AF8A}" destId="{66464E33-23AA-40B6-B11E-FA152F77FDBE}" srcOrd="1" destOrd="0" presId="urn:microsoft.com/office/officeart/2005/8/layout/orgChart1"/>
    <dgm:cxn modelId="{2E9D3F7E-9BDC-429D-A1DD-24B68391DBBA}" type="presParOf" srcId="{FDE7C587-0140-41A4-98A7-462A27C0AF8A}" destId="{B50472F3-F96D-4C7C-9A94-FFE6AE148F32}" srcOrd="2" destOrd="0" presId="urn:microsoft.com/office/officeart/2005/8/layout/orgChart1"/>
    <dgm:cxn modelId="{F72A394D-85E4-483A-8532-58E182962E30}" type="presParOf" srcId="{A60DDBDF-F52C-4EC9-987C-F50328E0F16C}" destId="{4FC98BDB-DCF9-4207-ACE1-096AAFC77173}" srcOrd="2" destOrd="0" presId="urn:microsoft.com/office/officeart/2005/8/layout/orgChart1"/>
    <dgm:cxn modelId="{904F6C8F-9F6A-43E4-A780-8BFF4D7626D9}" type="presParOf" srcId="{A60DDBDF-F52C-4EC9-987C-F50328E0F16C}" destId="{EFC37EE9-2975-401A-A9CE-D85AB32C0C04}" srcOrd="3" destOrd="0" presId="urn:microsoft.com/office/officeart/2005/8/layout/orgChart1"/>
    <dgm:cxn modelId="{5773C9A0-6EE7-4873-9C83-593A68AA4504}" type="presParOf" srcId="{EFC37EE9-2975-401A-A9CE-D85AB32C0C04}" destId="{E515F206-7006-4E96-92E3-118EC737CCD2}" srcOrd="0" destOrd="0" presId="urn:microsoft.com/office/officeart/2005/8/layout/orgChart1"/>
    <dgm:cxn modelId="{6878251C-A210-4BC9-B333-9CB888D9B721}" type="presParOf" srcId="{E515F206-7006-4E96-92E3-118EC737CCD2}" destId="{ABE06272-9A99-4B34-BF40-BA9C7AF6B89D}" srcOrd="0" destOrd="0" presId="urn:microsoft.com/office/officeart/2005/8/layout/orgChart1"/>
    <dgm:cxn modelId="{A560804E-D89A-47F0-98C0-D75CA07D9F10}" type="presParOf" srcId="{E515F206-7006-4E96-92E3-118EC737CCD2}" destId="{08D35219-4A16-47F1-9A92-5472E8ED7B7C}" srcOrd="1" destOrd="0" presId="urn:microsoft.com/office/officeart/2005/8/layout/orgChart1"/>
    <dgm:cxn modelId="{62129FB4-6860-4FF7-9775-3CC464276A8E}" type="presParOf" srcId="{EFC37EE9-2975-401A-A9CE-D85AB32C0C04}" destId="{38D77195-FDD9-4115-A707-BAEB2B0B99D0}" srcOrd="1" destOrd="0" presId="urn:microsoft.com/office/officeart/2005/8/layout/orgChart1"/>
    <dgm:cxn modelId="{2CA4BFA6-F811-4AF2-97F9-3A3916EC1466}" type="presParOf" srcId="{EFC37EE9-2975-401A-A9CE-D85AB32C0C04}" destId="{B3535176-5F3C-438B-85A3-9887125A0F41}" srcOrd="2" destOrd="0" presId="urn:microsoft.com/office/officeart/2005/8/layout/orgChart1"/>
    <dgm:cxn modelId="{42710CD6-6EE7-4375-92F4-E11E8A0350EF}" type="presParOf" srcId="{DA213900-254C-4AA2-B150-F29944F7521F}" destId="{16593293-4B7F-4231-B270-DCC23C9FF93D}" srcOrd="2" destOrd="0" presId="urn:microsoft.com/office/officeart/2005/8/layout/orgChart1"/>
    <dgm:cxn modelId="{33AE910B-FDA6-453B-ACCE-E5CBFB4C1862}" type="presParOf" srcId="{F287E4A6-2B98-495F-B34D-4680FCDA8FE7}" destId="{CFBEB2DC-BEF4-42E5-9CD0-15E1369BE0DD}" srcOrd="2" destOrd="0" presId="urn:microsoft.com/office/officeart/2005/8/layout/orgChart1"/>
    <dgm:cxn modelId="{728DC060-3976-447B-9E13-D48982C8A86E}" type="presParOf" srcId="{CFBEB2DC-BEF4-42E5-9CD0-15E1369BE0DD}" destId="{FCAA4E66-5E82-44D8-977E-E0AD531D01E4}" srcOrd="0" destOrd="0" presId="urn:microsoft.com/office/officeart/2005/8/layout/orgChart1"/>
    <dgm:cxn modelId="{73D576A4-7317-4D4A-9CEF-283AE664CBAE}" type="presParOf" srcId="{CFBEB2DC-BEF4-42E5-9CD0-15E1369BE0DD}" destId="{A87545E6-0FE3-4123-8B79-9E004DB0F7BC}" srcOrd="1" destOrd="0" presId="urn:microsoft.com/office/officeart/2005/8/layout/orgChart1"/>
    <dgm:cxn modelId="{C92967BC-E38E-449A-A341-DE6ABCD4CD64}" type="presParOf" srcId="{A87545E6-0FE3-4123-8B79-9E004DB0F7BC}" destId="{0C07BF02-69D5-4A2B-9D68-E0DF88B5480C}" srcOrd="0" destOrd="0" presId="urn:microsoft.com/office/officeart/2005/8/layout/orgChart1"/>
    <dgm:cxn modelId="{D2E9B91A-B9C8-4502-B6C9-C7E0F721801F}" type="presParOf" srcId="{0C07BF02-69D5-4A2B-9D68-E0DF88B5480C}" destId="{790AC0A4-D52C-4A7F-8BA9-283CD686946F}" srcOrd="0" destOrd="0" presId="urn:microsoft.com/office/officeart/2005/8/layout/orgChart1"/>
    <dgm:cxn modelId="{A904B0F6-AB44-4A7F-8CDF-C377F084A251}" type="presParOf" srcId="{0C07BF02-69D5-4A2B-9D68-E0DF88B5480C}" destId="{D373D57A-1C3C-43A0-9F5B-B3CECBDD5B3F}" srcOrd="1" destOrd="0" presId="urn:microsoft.com/office/officeart/2005/8/layout/orgChart1"/>
    <dgm:cxn modelId="{FFA10591-9ECC-4DBF-B348-0D4F45911D87}" type="presParOf" srcId="{A87545E6-0FE3-4123-8B79-9E004DB0F7BC}" destId="{62E0DB35-31D5-42F0-8524-1BB928736CBE}" srcOrd="1" destOrd="0" presId="urn:microsoft.com/office/officeart/2005/8/layout/orgChart1"/>
    <dgm:cxn modelId="{B7DABCF6-7D66-4387-BD50-3CD1A45554D6}" type="presParOf" srcId="{A87545E6-0FE3-4123-8B79-9E004DB0F7BC}" destId="{867C5E13-EE5D-468A-AFBF-4BBF2588694B}"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AA4E66-5E82-44D8-977E-E0AD531D01E4}">
      <dsp:nvSpPr>
        <dsp:cNvPr id="0" name=""/>
        <dsp:cNvSpPr/>
      </dsp:nvSpPr>
      <dsp:spPr>
        <a:xfrm>
          <a:off x="2734780" y="343295"/>
          <a:ext cx="139763" cy="968657"/>
        </a:xfrm>
        <a:custGeom>
          <a:avLst/>
          <a:gdLst/>
          <a:ahLst/>
          <a:cxnLst/>
          <a:rect l="0" t="0" r="0" b="0"/>
          <a:pathLst>
            <a:path>
              <a:moveTo>
                <a:pt x="139763" y="0"/>
              </a:moveTo>
              <a:lnTo>
                <a:pt x="139763" y="968657"/>
              </a:lnTo>
              <a:lnTo>
                <a:pt x="0" y="968657"/>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C98BDB-DCF9-4207-ACE1-096AAFC77173}">
      <dsp:nvSpPr>
        <dsp:cNvPr id="0" name=""/>
        <dsp:cNvSpPr/>
      </dsp:nvSpPr>
      <dsp:spPr>
        <a:xfrm>
          <a:off x="1693086" y="2946152"/>
          <a:ext cx="379396" cy="607359"/>
        </a:xfrm>
        <a:custGeom>
          <a:avLst/>
          <a:gdLst/>
          <a:ahLst/>
          <a:cxnLst/>
          <a:rect l="0" t="0" r="0" b="0"/>
          <a:pathLst>
            <a:path>
              <a:moveTo>
                <a:pt x="379396" y="0"/>
              </a:moveTo>
              <a:lnTo>
                <a:pt x="379396" y="607359"/>
              </a:lnTo>
              <a:lnTo>
                <a:pt x="0" y="60735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4107E7-C70A-487B-A6D4-40DB7236FD74}">
      <dsp:nvSpPr>
        <dsp:cNvPr id="0" name=""/>
        <dsp:cNvSpPr/>
      </dsp:nvSpPr>
      <dsp:spPr>
        <a:xfrm>
          <a:off x="2072482" y="2946152"/>
          <a:ext cx="1379907" cy="603073"/>
        </a:xfrm>
        <a:custGeom>
          <a:avLst/>
          <a:gdLst/>
          <a:ahLst/>
          <a:cxnLst/>
          <a:rect l="0" t="0" r="0" b="0"/>
          <a:pathLst>
            <a:path>
              <a:moveTo>
                <a:pt x="0" y="0"/>
              </a:moveTo>
              <a:lnTo>
                <a:pt x="0" y="603073"/>
              </a:lnTo>
              <a:lnTo>
                <a:pt x="1379907" y="60307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7D2A38-AFDD-4989-B3E3-FC60B36F7DF9}">
      <dsp:nvSpPr>
        <dsp:cNvPr id="0" name=""/>
        <dsp:cNvSpPr/>
      </dsp:nvSpPr>
      <dsp:spPr>
        <a:xfrm>
          <a:off x="2828824" y="343295"/>
          <a:ext cx="91440" cy="1937315"/>
        </a:xfrm>
        <a:custGeom>
          <a:avLst/>
          <a:gdLst/>
          <a:ahLst/>
          <a:cxnLst/>
          <a:rect l="0" t="0" r="0" b="0"/>
          <a:pathLst>
            <a:path>
              <a:moveTo>
                <a:pt x="45720" y="0"/>
              </a:moveTo>
              <a:lnTo>
                <a:pt x="45720" y="193731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58A296-CA27-4459-B84D-FF4457422981}">
      <dsp:nvSpPr>
        <dsp:cNvPr id="0" name=""/>
        <dsp:cNvSpPr/>
      </dsp:nvSpPr>
      <dsp:spPr>
        <a:xfrm>
          <a:off x="564532" y="2412"/>
          <a:ext cx="4620024" cy="34088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IE" sz="1050" kern="1200"/>
            <a:t>168 patients aged 45-64 years and receiving care from an AMU consultant in AM(A)U</a:t>
          </a:r>
        </a:p>
      </dsp:txBody>
      <dsp:txXfrm>
        <a:off x="564532" y="2412"/>
        <a:ext cx="4620024" cy="340883"/>
      </dsp:txXfrm>
    </dsp:sp>
    <dsp:sp modelId="{CD44BF45-16A2-4242-8670-4B0A188018DA}">
      <dsp:nvSpPr>
        <dsp:cNvPr id="0" name=""/>
        <dsp:cNvSpPr/>
      </dsp:nvSpPr>
      <dsp:spPr>
        <a:xfrm>
          <a:off x="1871967" y="2280611"/>
          <a:ext cx="2005154" cy="66554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IE" sz="1050" kern="1200"/>
            <a:t>100 patients screened for ADRs</a:t>
          </a:r>
        </a:p>
      </dsp:txBody>
      <dsp:txXfrm>
        <a:off x="1871967" y="2280611"/>
        <a:ext cx="2005154" cy="665540"/>
      </dsp:txXfrm>
    </dsp:sp>
    <dsp:sp modelId="{847D4603-FA6A-469B-8FD2-D57001AF17FE}">
      <dsp:nvSpPr>
        <dsp:cNvPr id="0" name=""/>
        <dsp:cNvSpPr/>
      </dsp:nvSpPr>
      <dsp:spPr>
        <a:xfrm>
          <a:off x="3452390" y="3216454"/>
          <a:ext cx="1331081" cy="66554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E" sz="1000" kern="1200"/>
            <a:t>20 patients  assessed in AMAU and discharged </a:t>
          </a:r>
        </a:p>
        <a:p>
          <a:pPr marL="0" lvl="0" indent="0" algn="ctr" defTabSz="444500">
            <a:lnSpc>
              <a:spcPct val="90000"/>
            </a:lnSpc>
            <a:spcBef>
              <a:spcPct val="0"/>
            </a:spcBef>
            <a:spcAft>
              <a:spcPct val="35000"/>
            </a:spcAft>
            <a:buNone/>
          </a:pPr>
          <a:r>
            <a:rPr lang="en-IE" sz="1000" kern="1200"/>
            <a:t>on same day</a:t>
          </a:r>
        </a:p>
      </dsp:txBody>
      <dsp:txXfrm>
        <a:off x="3452390" y="3216454"/>
        <a:ext cx="1331081" cy="665540"/>
      </dsp:txXfrm>
    </dsp:sp>
    <dsp:sp modelId="{ABE06272-9A99-4B34-BF40-BA9C7AF6B89D}">
      <dsp:nvSpPr>
        <dsp:cNvPr id="0" name=""/>
        <dsp:cNvSpPr/>
      </dsp:nvSpPr>
      <dsp:spPr>
        <a:xfrm>
          <a:off x="362004" y="3220740"/>
          <a:ext cx="1331081" cy="66554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IE" sz="1050" kern="1200"/>
            <a:t>80 patients admitted    to hospital </a:t>
          </a:r>
        </a:p>
      </dsp:txBody>
      <dsp:txXfrm>
        <a:off x="362004" y="3220740"/>
        <a:ext cx="1331081" cy="665540"/>
      </dsp:txXfrm>
    </dsp:sp>
    <dsp:sp modelId="{790AC0A4-D52C-4A7F-8BA9-283CD686946F}">
      <dsp:nvSpPr>
        <dsp:cNvPr id="0" name=""/>
        <dsp:cNvSpPr/>
      </dsp:nvSpPr>
      <dsp:spPr>
        <a:xfrm>
          <a:off x="301843" y="622822"/>
          <a:ext cx="2432937" cy="137826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IE" sz="1050" kern="1200"/>
            <a:t>15 patients discharged prior to screening</a:t>
          </a:r>
        </a:p>
        <a:p>
          <a:pPr marL="0" lvl="0" indent="0" algn="ctr" defTabSz="466725">
            <a:lnSpc>
              <a:spcPct val="90000"/>
            </a:lnSpc>
            <a:spcBef>
              <a:spcPct val="0"/>
            </a:spcBef>
            <a:spcAft>
              <a:spcPct val="35000"/>
            </a:spcAft>
            <a:buNone/>
          </a:pPr>
          <a:r>
            <a:rPr lang="en-IE" sz="1050" kern="1200"/>
            <a:t>46 patients using &lt;3 pharmacologically active compounds</a:t>
          </a:r>
        </a:p>
        <a:p>
          <a:pPr marL="0" lvl="0" indent="0" algn="ctr" defTabSz="466725">
            <a:lnSpc>
              <a:spcPct val="90000"/>
            </a:lnSpc>
            <a:spcBef>
              <a:spcPct val="0"/>
            </a:spcBef>
            <a:spcAft>
              <a:spcPct val="35000"/>
            </a:spcAft>
            <a:buNone/>
          </a:pPr>
          <a:r>
            <a:rPr lang="en-IE" sz="1050" kern="1200"/>
            <a:t>4 patients already recruited to study</a:t>
          </a:r>
        </a:p>
        <a:p>
          <a:pPr marL="0" lvl="0" indent="0" algn="ctr" defTabSz="466725">
            <a:lnSpc>
              <a:spcPct val="90000"/>
            </a:lnSpc>
            <a:spcBef>
              <a:spcPct val="0"/>
            </a:spcBef>
            <a:spcAft>
              <a:spcPct val="35000"/>
            </a:spcAft>
            <a:buNone/>
          </a:pPr>
          <a:r>
            <a:rPr lang="en-IE" sz="1050" kern="1200"/>
            <a:t>2 non-English speaking/ interpreter needed</a:t>
          </a:r>
        </a:p>
        <a:p>
          <a:pPr marL="0" lvl="0" indent="0" algn="ctr" defTabSz="466725">
            <a:lnSpc>
              <a:spcPct val="90000"/>
            </a:lnSpc>
            <a:spcBef>
              <a:spcPct val="0"/>
            </a:spcBef>
            <a:spcAft>
              <a:spcPct val="35000"/>
            </a:spcAft>
            <a:buNone/>
          </a:pPr>
          <a:r>
            <a:rPr lang="en-IE" sz="1050" kern="1200"/>
            <a:t>1 patient with deliberate self-harm</a:t>
          </a:r>
        </a:p>
        <a:p>
          <a:pPr marL="0" lvl="0" indent="0" algn="ctr" defTabSz="466725">
            <a:lnSpc>
              <a:spcPct val="90000"/>
            </a:lnSpc>
            <a:spcBef>
              <a:spcPct val="0"/>
            </a:spcBef>
            <a:spcAft>
              <a:spcPct val="35000"/>
            </a:spcAft>
            <a:buNone/>
          </a:pPr>
          <a:endParaRPr lang="en-IE" sz="1050" kern="1200"/>
        </a:p>
      </dsp:txBody>
      <dsp:txXfrm>
        <a:off x="301843" y="622822"/>
        <a:ext cx="2432937" cy="137826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5798</Words>
  <Characters>33052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Tamasine Grimes</dc:creator>
  <cp:keywords/>
  <dc:description/>
  <cp:lastModifiedBy>Tamasine Grimes</cp:lastModifiedBy>
  <cp:revision>4</cp:revision>
  <dcterms:created xsi:type="dcterms:W3CDTF">2019-12-05T12:33:00Z</dcterms:created>
  <dcterms:modified xsi:type="dcterms:W3CDTF">2019-12-10T08:43:00Z</dcterms:modified>
</cp:coreProperties>
</file>