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8DE" w:rsidRDefault="002E68DE" w:rsidP="00D04725">
      <w:pPr>
        <w:spacing w:line="360" w:lineRule="auto"/>
        <w:jc w:val="both"/>
        <w:rPr>
          <w:rFonts w:cstheme="minorHAnsi"/>
          <w:b/>
        </w:rPr>
      </w:pPr>
    </w:p>
    <w:p w:rsidR="00D04725" w:rsidRPr="000828BC" w:rsidRDefault="00D04725" w:rsidP="000828BC">
      <w:pPr>
        <w:spacing w:line="360" w:lineRule="auto"/>
        <w:jc w:val="center"/>
        <w:rPr>
          <w:rFonts w:cstheme="minorHAnsi"/>
          <w:b/>
          <w:i/>
          <w:sz w:val="26"/>
          <w:szCs w:val="26"/>
        </w:rPr>
      </w:pPr>
      <w:r w:rsidRPr="000828BC">
        <w:rPr>
          <w:rFonts w:cstheme="minorHAnsi"/>
          <w:b/>
          <w:i/>
          <w:sz w:val="26"/>
          <w:szCs w:val="26"/>
        </w:rPr>
        <w:t>Bail and the use of pre-trial detention: Findings from an empirical study</w:t>
      </w:r>
    </w:p>
    <w:p w:rsidR="00D04725" w:rsidRPr="000828BC" w:rsidRDefault="00D04725" w:rsidP="000828BC">
      <w:pPr>
        <w:spacing w:line="360" w:lineRule="auto"/>
        <w:jc w:val="center"/>
        <w:rPr>
          <w:rFonts w:cstheme="minorHAnsi"/>
        </w:rPr>
      </w:pPr>
      <w:r w:rsidRPr="000828BC">
        <w:rPr>
          <w:rFonts w:cstheme="minorHAnsi"/>
        </w:rPr>
        <w:t>Mary Rogan</w:t>
      </w:r>
      <w:r w:rsidR="000828BC" w:rsidRPr="000828BC">
        <w:rPr>
          <w:rFonts w:cstheme="minorHAnsi"/>
        </w:rPr>
        <w:t xml:space="preserve">, </w:t>
      </w:r>
      <w:r w:rsidRPr="000828BC">
        <w:rPr>
          <w:rFonts w:cstheme="minorHAnsi"/>
        </w:rPr>
        <w:t>School of Law, Trinity College Dublin</w:t>
      </w:r>
    </w:p>
    <w:p w:rsidR="00D04725"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rPr>
      </w:pPr>
      <w:r>
        <w:rPr>
          <w:rFonts w:cstheme="minorHAnsi"/>
        </w:rPr>
        <w:t>This paper</w:t>
      </w:r>
      <w:r w:rsidRPr="00E2345D">
        <w:rPr>
          <w:rFonts w:cstheme="minorHAnsi"/>
        </w:rPr>
        <w:t xml:space="preserve"> examines the operation of bail and the use of pre-trial detention in practice. </w:t>
      </w:r>
      <w:bookmarkStart w:id="0" w:name="_GoBack"/>
      <w:bookmarkEnd w:id="0"/>
      <w:r w:rsidRPr="00E2345D">
        <w:rPr>
          <w:rFonts w:cstheme="minorHAnsi"/>
        </w:rPr>
        <w:t>The findings presented here come from an empirical study I have recently completed along with David Perry BL on the use of pre-trial detention in Ireland. This work was part of a cross-European study funded by the Justice Programme of the European Commission, and was also supported by the Austrian Ministry of Justice.</w:t>
      </w:r>
      <w:r w:rsidRPr="00E2345D">
        <w:rPr>
          <w:rStyle w:val="FootnoteReference"/>
          <w:rFonts w:cstheme="minorHAnsi"/>
        </w:rPr>
        <w:footnoteReference w:id="1"/>
      </w:r>
      <w:r w:rsidRPr="00E2345D">
        <w:rPr>
          <w:rFonts w:cstheme="minorHAnsi"/>
        </w:rPr>
        <w:t xml:space="preserve"> Ireland was one of seven EU countries taking part in research on how pre-trial detention is used across the European Union. Along with ourselves, Germany, Romania, the Netherlands, Austria, Lithuania and Belgium were conducting similar research. We had two key objectives: to examine whether pre-trial detention is a measure of last resort in these countries, and to make recommendations for policy and practice. The project is known as “Pre-trial detention as </w:t>
      </w:r>
      <w:r w:rsidRPr="00E2345D">
        <w:rPr>
          <w:rFonts w:cstheme="minorHAnsi"/>
          <w:i/>
        </w:rPr>
        <w:t>ultima ratio</w:t>
      </w:r>
      <w:r w:rsidRPr="00E2345D">
        <w:rPr>
          <w:rFonts w:cstheme="minorHAnsi"/>
        </w:rPr>
        <w:t xml:space="preserve">” or DETOUR.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r w:rsidRPr="00E2345D">
        <w:rPr>
          <w:rFonts w:cstheme="minorHAnsi"/>
        </w:rPr>
        <w:t xml:space="preserve">The European Commission has funded </w:t>
      </w:r>
      <w:r>
        <w:rPr>
          <w:rFonts w:cstheme="minorHAnsi"/>
        </w:rPr>
        <w:t>several studies</w:t>
      </w:r>
      <w:r w:rsidRPr="00E2345D">
        <w:rPr>
          <w:rFonts w:cstheme="minorHAnsi"/>
        </w:rPr>
        <w:t xml:space="preserve"> in the area of pre-trial detention. This is because the European Union is increasingly interested in the use of detention at the pre-trial stage and is concerned about high levels of pre-trial detention in European countries. We are somewhat unusual in the European context in that we do not have comparatively high levels of detention at the pre-trial stage. Our rates of pre-trial detention are relatively low </w:t>
      </w:r>
      <w:r>
        <w:rPr>
          <w:rFonts w:cstheme="minorHAnsi"/>
        </w:rPr>
        <w:t>when compared to many of our European neighbours</w:t>
      </w:r>
      <w:r w:rsidRPr="00E2345D">
        <w:rPr>
          <w:rFonts w:cstheme="minorHAnsi"/>
        </w:rPr>
        <w:t xml:space="preserve">.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r w:rsidRPr="00E2345D">
        <w:rPr>
          <w:rFonts w:cstheme="minorHAnsi"/>
          <w:noProof/>
          <w:lang w:val="en-IE" w:eastAsia="en-IE"/>
        </w:rPr>
        <w:lastRenderedPageBreak/>
        <w:drawing>
          <wp:anchor distT="0" distB="0" distL="114300" distR="114300" simplePos="0" relativeHeight="251659264" behindDoc="0" locked="0" layoutInCell="1" allowOverlap="1" wp14:anchorId="79FE3608" wp14:editId="286BCBDE">
            <wp:simplePos x="0" y="0"/>
            <wp:positionH relativeFrom="column">
              <wp:align>left</wp:align>
            </wp:positionH>
            <wp:positionV relativeFrom="paragraph">
              <wp:align>top</wp:align>
            </wp:positionV>
            <wp:extent cx="5356927" cy="3633324"/>
            <wp:effectExtent l="0" t="0" r="15240" b="12065"/>
            <wp:wrapSquare wrapText="bothSides"/>
            <wp:docPr id="1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sidRPr="00E2345D">
        <w:rPr>
          <w:rFonts w:cstheme="minorHAnsi"/>
        </w:rPr>
        <w:br w:type="textWrapping" w:clear="all"/>
      </w:r>
    </w:p>
    <w:p w:rsidR="00D04725" w:rsidRPr="00E2345D" w:rsidRDefault="00D04725" w:rsidP="00D04725">
      <w:pPr>
        <w:spacing w:line="360" w:lineRule="auto"/>
        <w:jc w:val="both"/>
        <w:rPr>
          <w:rFonts w:cstheme="minorHAnsi"/>
          <w:b/>
        </w:rPr>
      </w:pPr>
      <w:r w:rsidRPr="00E2345D">
        <w:rPr>
          <w:rFonts w:cstheme="minorHAnsi"/>
          <w:b/>
        </w:rPr>
        <w:t>Figure 1: Annual Prison Committals (Source: Irish Prison Service Annual Reports)</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r w:rsidRPr="00E2345D">
        <w:rPr>
          <w:rFonts w:cstheme="minorHAnsi"/>
        </w:rPr>
        <w:t xml:space="preserve">When it comes to the rate of pre-trial detention per 100,000 population, we are at the lower end of the European scale. In 2014, our rate of pre-trial detention was 11.8 per 100,000 population, 12.2 in 2015 and 13.6 in 2017. This figure is calculated on the basis of the average daily prison population, a snapshot figure taken on the same day each year. Our figures therefore stand in or around 11-13 pre-trial detainees per 100,000 population. The comparable figure for Austria is 24 per 100,000 population.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r w:rsidRPr="00E2345D">
        <w:rPr>
          <w:rFonts w:cstheme="minorHAnsi"/>
        </w:rPr>
        <w:t>The number of pre-trial detainees in prison in Ireland on April 4</w:t>
      </w:r>
      <w:r w:rsidRPr="00E2345D">
        <w:rPr>
          <w:rFonts w:cstheme="minorHAnsi"/>
          <w:vertAlign w:val="superscript"/>
        </w:rPr>
        <w:t>th</w:t>
      </w:r>
      <w:r w:rsidRPr="00E2345D">
        <w:rPr>
          <w:rFonts w:cstheme="minorHAnsi"/>
        </w:rPr>
        <w:t xml:space="preserve"> 2018</w:t>
      </w:r>
      <w:r>
        <w:rPr>
          <w:rFonts w:cstheme="minorHAnsi"/>
        </w:rPr>
        <w:t>,</w:t>
      </w:r>
      <w:r w:rsidRPr="00E2345D">
        <w:rPr>
          <w:rFonts w:cstheme="minorHAnsi"/>
        </w:rPr>
        <w:t xml:space="preserve"> based on the daily figures published by the Irish Prison Service figures is 656, higher than that on April 4</w:t>
      </w:r>
      <w:r w:rsidRPr="00E2345D">
        <w:rPr>
          <w:rFonts w:cstheme="minorHAnsi"/>
          <w:vertAlign w:val="superscript"/>
        </w:rPr>
        <w:t>th</w:t>
      </w:r>
      <w:r w:rsidRPr="00E2345D">
        <w:rPr>
          <w:rFonts w:cstheme="minorHAnsi"/>
        </w:rPr>
        <w:t xml:space="preserve"> 2017</w:t>
      </w:r>
      <w:r>
        <w:rPr>
          <w:rFonts w:cstheme="minorHAnsi"/>
        </w:rPr>
        <w:t xml:space="preserve">, when it was 549. Our rate of pre-trial detainees per 100,000 population </w:t>
      </w:r>
      <w:r w:rsidRPr="00E2345D">
        <w:rPr>
          <w:rFonts w:cstheme="minorHAnsi"/>
        </w:rPr>
        <w:t xml:space="preserve">is getting closer to 14 per 100,000 population. It is notable that many of our research participants expressed concern that we are drifting in Ireland towards more use of pre-trial detention, with an increase in remands being </w:t>
      </w:r>
      <w:r w:rsidRPr="00E2345D">
        <w:rPr>
          <w:rFonts w:cstheme="minorHAnsi"/>
        </w:rPr>
        <w:lastRenderedPageBreak/>
        <w:t xml:space="preserve">seen in the quite recent past. Our pre-trial detention population stands at around 16% of the total prison population. </w:t>
      </w:r>
    </w:p>
    <w:p w:rsidR="00D04725" w:rsidRPr="00E2345D" w:rsidRDefault="00D04725" w:rsidP="00D04725">
      <w:pPr>
        <w:spacing w:line="360" w:lineRule="auto"/>
        <w:jc w:val="both"/>
        <w:rPr>
          <w:rFonts w:cstheme="minorHAnsi"/>
          <w:b/>
        </w:rPr>
      </w:pPr>
    </w:p>
    <w:p w:rsidR="00D04725" w:rsidRDefault="00D04725" w:rsidP="00D04725">
      <w:pPr>
        <w:spacing w:line="360" w:lineRule="auto"/>
        <w:jc w:val="both"/>
        <w:rPr>
          <w:rFonts w:cstheme="minorHAnsi"/>
          <w:i/>
        </w:rPr>
      </w:pPr>
      <w:r>
        <w:rPr>
          <w:rFonts w:cstheme="minorHAnsi"/>
          <w:i/>
        </w:rPr>
        <w:t xml:space="preserve">Methodology </w:t>
      </w:r>
    </w:p>
    <w:p w:rsidR="00D04725" w:rsidRDefault="00D04725" w:rsidP="00D04725">
      <w:pPr>
        <w:spacing w:line="360" w:lineRule="auto"/>
        <w:jc w:val="both"/>
        <w:rPr>
          <w:rFonts w:cstheme="minorHAnsi"/>
          <w:i/>
        </w:rPr>
      </w:pPr>
    </w:p>
    <w:p w:rsidR="00D04725" w:rsidRPr="00E2345D" w:rsidRDefault="00D04725" w:rsidP="00D04725">
      <w:pPr>
        <w:spacing w:line="360" w:lineRule="auto"/>
        <w:jc w:val="both"/>
        <w:rPr>
          <w:rFonts w:cstheme="minorHAnsi"/>
        </w:rPr>
      </w:pPr>
      <w:r w:rsidRPr="00E2345D">
        <w:rPr>
          <w:rFonts w:cstheme="minorHAnsi"/>
        </w:rPr>
        <w:t xml:space="preserve">The DETOUR research </w:t>
      </w:r>
      <w:r>
        <w:rPr>
          <w:rFonts w:cstheme="minorHAnsi"/>
        </w:rPr>
        <w:t>sought</w:t>
      </w:r>
      <w:r w:rsidRPr="00E2345D">
        <w:rPr>
          <w:rFonts w:cstheme="minorHAnsi"/>
        </w:rPr>
        <w:t xml:space="preserve"> to examine how the legal framework governing the use of pre-trial detention operates in practice. It wanted to examine how the grounds for denying bail are used in reality. Those familiar grounds, revolving around the classic </w:t>
      </w:r>
      <w:r w:rsidRPr="00E2345D">
        <w:rPr>
          <w:rFonts w:cstheme="minorHAnsi"/>
          <w:i/>
        </w:rPr>
        <w:t xml:space="preserve">O’Callaghan </w:t>
      </w:r>
      <w:r w:rsidRPr="00E2345D">
        <w:rPr>
          <w:rFonts w:cstheme="minorHAnsi"/>
        </w:rPr>
        <w:t xml:space="preserve">principles and the more recent section 2 of the Bail Act 1997, are well established as legal principles. We wanted to explore how they are deployed on a day to day basis.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r w:rsidRPr="00E2345D">
        <w:rPr>
          <w:rFonts w:cstheme="minorHAnsi"/>
        </w:rPr>
        <w:t xml:space="preserve">That legal framework has been undergoing change of late. The factors which can be taken into account in deciding to grant or refuse an application for bail on the basis of section 2 have been recently amended in the Criminal Justice (Burglary of Dwellings) Act 2015 and the Criminal Justice Act 2017. The burglary amendment essentially means that pending charges or recent convictions for burglary of a dwelling can be taken as evidence of the likelihood of committing offences while on bail. The Criminal Justice Act 2017 allows a judge to take into account the extent to which the number and frequency of any previous convictions for serious offences </w:t>
      </w:r>
      <w:r>
        <w:rPr>
          <w:rFonts w:cstheme="minorHAnsi"/>
        </w:rPr>
        <w:t>indicates</w:t>
      </w:r>
      <w:r w:rsidRPr="00E2345D">
        <w:rPr>
          <w:rFonts w:cstheme="minorHAnsi"/>
        </w:rPr>
        <w:t xml:space="preserve"> persistent</w:t>
      </w:r>
      <w:r>
        <w:rPr>
          <w:rFonts w:cstheme="minorHAnsi"/>
        </w:rPr>
        <w:t xml:space="preserve"> serious offending by the person, which goes to an assessment of the</w:t>
      </w:r>
      <w:r w:rsidRPr="00E2345D">
        <w:rPr>
          <w:rFonts w:cstheme="minorHAnsi"/>
        </w:rPr>
        <w:t xml:space="preserve"> nature and likelihood of danger to a person or the co</w:t>
      </w:r>
      <w:r>
        <w:rPr>
          <w:rFonts w:cstheme="minorHAnsi"/>
        </w:rPr>
        <w:t>mmunity through release on bail. This slightly unwieldy formulation applies</w:t>
      </w:r>
      <w:r w:rsidRPr="00E2345D">
        <w:rPr>
          <w:rFonts w:cstheme="minorHAnsi"/>
        </w:rPr>
        <w:t xml:space="preserve"> when the judge is taking into account a factor listed under section 2. </w:t>
      </w: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rPr>
      </w:pPr>
      <w:r w:rsidRPr="00E2345D">
        <w:rPr>
          <w:rFonts w:cstheme="minorHAnsi"/>
        </w:rPr>
        <w:t xml:space="preserve">Our research employed a qualitative research methodology to understand the operation of our system, and specifically, to explore how it is viewed by those who work in the system. We carried out 26 interviews with judges of the District and Superior Courts with experience of hearing bail applications, prosecutors, both in the Office of the Director of Public Prosecutions and barristers who do primarily prosecution work, defence solicitors and barristers, and staff of the Probation Service. We received ethical approval for the research from the School of Law’s Research Ethics Committee at Trinity College Dublin. We are very grateful to all our participants. My colleague </w:t>
      </w:r>
      <w:r w:rsidRPr="00E2345D">
        <w:rPr>
          <w:rFonts w:cstheme="minorHAnsi"/>
        </w:rPr>
        <w:lastRenderedPageBreak/>
        <w:t xml:space="preserve">David Perry and I also did some observations of bail hearings in the District Court and High Court. We also reviewed the literature and the law.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r w:rsidRPr="00E2345D">
        <w:rPr>
          <w:rFonts w:cstheme="minorHAnsi"/>
        </w:rPr>
        <w:t xml:space="preserve">We conducted semi-structured interviews with our research participants, asking them about their views and experiences of how decision-making on pre-trial detention works in practice. The guide for our interviews was more or less the same as that used with participants in other countries, with some variation to allow for differences in national legal systems. We asked questions about the legal grounds for detention, the factors which influence the decision-making process, how conditions are arrived at, how particular groups including those without housing and those from outside Ireland are dealt with, and their suggestions for reform. We also gave all our participants across Europe a vignette, or set of facts, and asked them to tell us how they would go about making their decision in that scenario. </w:t>
      </w: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rPr>
      </w:pPr>
      <w:r>
        <w:rPr>
          <w:rFonts w:cstheme="minorHAnsi"/>
        </w:rPr>
        <w:t>This paper will focus on</w:t>
      </w:r>
      <w:r w:rsidRPr="00E2345D">
        <w:rPr>
          <w:rFonts w:cstheme="minorHAnsi"/>
        </w:rPr>
        <w:t xml:space="preserve"> five areas from the many findings </w:t>
      </w:r>
      <w:r>
        <w:rPr>
          <w:rFonts w:cstheme="minorHAnsi"/>
        </w:rPr>
        <w:t>from the study</w:t>
      </w:r>
      <w:r w:rsidRPr="00E2345D">
        <w:rPr>
          <w:rFonts w:cstheme="minorHAnsi"/>
        </w:rPr>
        <w:t xml:space="preserve">. First, I will explore the observations of our participants on the </w:t>
      </w:r>
      <w:r w:rsidRPr="00E2345D">
        <w:rPr>
          <w:rFonts w:cstheme="minorHAnsi"/>
          <w:i/>
        </w:rPr>
        <w:t xml:space="preserve">prima facie </w:t>
      </w:r>
      <w:r w:rsidRPr="00E2345D">
        <w:rPr>
          <w:rFonts w:cstheme="minorHAnsi"/>
        </w:rPr>
        <w:t xml:space="preserve">entitlement to bail in the Irish system, secondly, views on the legal grounds for detention, thirdly, views on the giving of reasons for decisions, fourthly views on the bail conditions imposed, and, finally, participants’ views on the topic of ‘vulnerability’ of some applicants for bail. </w:t>
      </w:r>
    </w:p>
    <w:p w:rsidR="00D04725" w:rsidRPr="00E2345D" w:rsidRDefault="00D04725" w:rsidP="00D04725">
      <w:pPr>
        <w:spacing w:line="360" w:lineRule="auto"/>
        <w:jc w:val="both"/>
        <w:rPr>
          <w:rFonts w:cstheme="minorHAnsi"/>
          <w:b/>
        </w:rPr>
      </w:pPr>
    </w:p>
    <w:p w:rsidR="00D04725" w:rsidRDefault="00D04725" w:rsidP="00D04725">
      <w:pPr>
        <w:spacing w:line="360" w:lineRule="auto"/>
        <w:jc w:val="both"/>
        <w:rPr>
          <w:rFonts w:cstheme="minorHAnsi"/>
          <w:i/>
        </w:rPr>
      </w:pPr>
      <w:r>
        <w:rPr>
          <w:rFonts w:cstheme="minorHAnsi"/>
          <w:i/>
        </w:rPr>
        <w:t xml:space="preserve">A strong presumption in favour of bail </w:t>
      </w:r>
    </w:p>
    <w:p w:rsidR="00D04725" w:rsidRDefault="00D04725" w:rsidP="00D04725">
      <w:pPr>
        <w:spacing w:line="360" w:lineRule="auto"/>
        <w:jc w:val="both"/>
        <w:rPr>
          <w:rFonts w:cstheme="minorHAnsi"/>
          <w:i/>
        </w:rPr>
      </w:pPr>
    </w:p>
    <w:p w:rsidR="00D04725" w:rsidRPr="00E2345D" w:rsidRDefault="00D04725" w:rsidP="00D04725">
      <w:pPr>
        <w:spacing w:line="360" w:lineRule="auto"/>
        <w:jc w:val="both"/>
        <w:rPr>
          <w:rFonts w:cstheme="minorHAnsi"/>
        </w:rPr>
      </w:pPr>
      <w:r w:rsidRPr="00E2345D">
        <w:rPr>
          <w:rFonts w:cstheme="minorHAnsi"/>
        </w:rPr>
        <w:t xml:space="preserve">A very strong theme to emerge from the research was that the presumption in favour of bail in Irish law was not simply a paper presumption, but one which is taken very seriously by the judiciary and indeed all the actors in the process. You will see the seriousness of the presumption reflected in these quotes from the interviews below. The presumption in favour of bail was noted by all our participants.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ind w:left="720"/>
        <w:jc w:val="both"/>
        <w:rPr>
          <w:rFonts w:cstheme="minorHAnsi"/>
          <w:b/>
        </w:rPr>
      </w:pPr>
      <w:r w:rsidRPr="00E2345D">
        <w:rPr>
          <w:rFonts w:cstheme="minorHAnsi"/>
        </w:rPr>
        <w:t>“For the everyday, relatively minor offence, I would assess the approach as relatively lenient” (</w:t>
      </w:r>
      <w:r w:rsidRPr="00E2345D">
        <w:rPr>
          <w:rFonts w:cstheme="minorHAnsi"/>
          <w:b/>
        </w:rPr>
        <w:t xml:space="preserve">Defence Practitioner 6). </w:t>
      </w:r>
    </w:p>
    <w:p w:rsidR="00D04725" w:rsidRPr="00E2345D" w:rsidRDefault="00D04725" w:rsidP="00D04725">
      <w:pPr>
        <w:spacing w:line="360" w:lineRule="auto"/>
        <w:ind w:left="720"/>
        <w:jc w:val="both"/>
        <w:rPr>
          <w:rFonts w:cstheme="minorHAnsi"/>
          <w:b/>
        </w:rPr>
      </w:pPr>
    </w:p>
    <w:p w:rsidR="00D04725" w:rsidRPr="00E2345D" w:rsidRDefault="00D04725" w:rsidP="00D04725">
      <w:pPr>
        <w:spacing w:line="360" w:lineRule="auto"/>
        <w:ind w:left="720"/>
        <w:jc w:val="both"/>
        <w:rPr>
          <w:rFonts w:cstheme="minorHAnsi"/>
          <w:b/>
        </w:rPr>
      </w:pPr>
      <w:r w:rsidRPr="00E2345D">
        <w:rPr>
          <w:rFonts w:cstheme="minorHAnsi"/>
        </w:rPr>
        <w:t xml:space="preserve">“I think the majority of people would get bail” </w:t>
      </w:r>
      <w:r w:rsidRPr="00E2345D">
        <w:rPr>
          <w:rFonts w:cstheme="minorHAnsi"/>
          <w:b/>
        </w:rPr>
        <w:t>(Defence Practitioner 9).</w:t>
      </w:r>
    </w:p>
    <w:p w:rsidR="00D04725" w:rsidRPr="00E2345D" w:rsidRDefault="00D04725" w:rsidP="00D04725">
      <w:pPr>
        <w:spacing w:line="360" w:lineRule="auto"/>
        <w:ind w:left="720"/>
        <w:jc w:val="both"/>
        <w:rPr>
          <w:rFonts w:cstheme="minorHAnsi"/>
          <w:b/>
        </w:rPr>
      </w:pPr>
    </w:p>
    <w:p w:rsidR="00D04725" w:rsidRPr="00E2345D" w:rsidRDefault="00D04725" w:rsidP="00D04725">
      <w:pPr>
        <w:spacing w:line="360" w:lineRule="auto"/>
        <w:ind w:left="720"/>
        <w:jc w:val="both"/>
        <w:rPr>
          <w:rFonts w:cstheme="minorHAnsi"/>
          <w:b/>
        </w:rPr>
      </w:pPr>
      <w:r w:rsidRPr="00E2345D">
        <w:rPr>
          <w:rFonts w:cstheme="minorHAnsi"/>
        </w:rPr>
        <w:t xml:space="preserve">"Essentially, it starts with the presumption that somebody will get bail." </w:t>
      </w:r>
      <w:r w:rsidRPr="00E2345D">
        <w:rPr>
          <w:rFonts w:cstheme="minorHAnsi"/>
          <w:b/>
        </w:rPr>
        <w:t>(Judge 3)</w:t>
      </w:r>
    </w:p>
    <w:p w:rsidR="00D04725" w:rsidRPr="00E2345D" w:rsidRDefault="00D04725" w:rsidP="00D04725">
      <w:pPr>
        <w:spacing w:line="360" w:lineRule="auto"/>
        <w:ind w:left="720"/>
        <w:jc w:val="both"/>
        <w:rPr>
          <w:rFonts w:cstheme="minorHAnsi"/>
        </w:rPr>
      </w:pPr>
    </w:p>
    <w:p w:rsidR="00D04725" w:rsidRPr="00E2345D" w:rsidRDefault="00D04725" w:rsidP="00D04725">
      <w:pPr>
        <w:spacing w:line="360" w:lineRule="auto"/>
        <w:ind w:left="720"/>
        <w:jc w:val="both"/>
        <w:rPr>
          <w:rFonts w:cstheme="minorHAnsi"/>
          <w:b/>
        </w:rPr>
      </w:pPr>
      <w:r w:rsidRPr="00E2345D">
        <w:rPr>
          <w:rFonts w:cstheme="minorHAnsi"/>
        </w:rPr>
        <w:t xml:space="preserve">"There is obviously a constitutional presumption from what I’ve seen that’s taken very seriously by the judiciary." </w:t>
      </w:r>
      <w:r w:rsidRPr="00E2345D">
        <w:rPr>
          <w:rFonts w:cstheme="minorHAnsi"/>
          <w:b/>
        </w:rPr>
        <w:t>(Prosecution Practitioner 2)</w:t>
      </w:r>
    </w:p>
    <w:p w:rsidR="00D04725" w:rsidRPr="00E2345D" w:rsidRDefault="00D04725" w:rsidP="00D04725">
      <w:pPr>
        <w:spacing w:line="360" w:lineRule="auto"/>
        <w:ind w:left="720"/>
        <w:jc w:val="both"/>
        <w:rPr>
          <w:rFonts w:cstheme="minorHAnsi"/>
        </w:rPr>
      </w:pPr>
    </w:p>
    <w:p w:rsidR="00D04725" w:rsidRPr="00E2345D" w:rsidRDefault="00D04725" w:rsidP="00D04725">
      <w:pPr>
        <w:spacing w:line="360" w:lineRule="auto"/>
        <w:ind w:left="720"/>
        <w:jc w:val="both"/>
        <w:rPr>
          <w:rFonts w:cstheme="minorHAnsi"/>
          <w:b/>
        </w:rPr>
      </w:pPr>
      <w:r w:rsidRPr="00E2345D">
        <w:rPr>
          <w:rFonts w:cstheme="minorHAnsi"/>
        </w:rPr>
        <w:t xml:space="preserve">"Certainly the first thing that always comes to my mind that there is a presumption in favour of the applicant for bail on the basis of </w:t>
      </w:r>
      <w:r w:rsidRPr="00E2345D">
        <w:rPr>
          <w:rFonts w:cstheme="minorHAnsi"/>
          <w:i/>
        </w:rPr>
        <w:t>O’Callaghan</w:t>
      </w:r>
      <w:r w:rsidRPr="00E2345D">
        <w:rPr>
          <w:rFonts w:cstheme="minorHAnsi"/>
        </w:rPr>
        <w:t xml:space="preserve">.  So, every applicant does have a constitutional advantage of getting bail, get bail fixed..." </w:t>
      </w:r>
      <w:r w:rsidRPr="00E2345D">
        <w:rPr>
          <w:rFonts w:cstheme="minorHAnsi"/>
          <w:b/>
        </w:rPr>
        <w:t>(Prosecution Practitioner 1)</w:t>
      </w: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rPr>
      </w:pPr>
      <w:r w:rsidRPr="00E2345D">
        <w:rPr>
          <w:rFonts w:cstheme="minorHAnsi"/>
        </w:rPr>
        <w:t xml:space="preserve">Bail was viewed as being ‘the norm’, ‘the default position’. That may seem unsurprising to those in Ireland who work in this area on a daily basis, but it is in considerable contrast to the other European countries we studied. In Ireland the position is that you must be argued into custody, whereas elsewhere, the position is you must be argued out of custody. We look through the lens of liberty, whereas the lens is detention elsewhere. I will return to this point that the matter is more nuanced, and that the liberty involved is not total or unrestricted liberty, but this is a key contrast arising from our research. </w:t>
      </w: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rPr>
      </w:pPr>
      <w:r w:rsidRPr="00E2345D">
        <w:rPr>
          <w:rFonts w:cstheme="minorHAnsi"/>
        </w:rPr>
        <w:t>Judges talked about the seriousness of the application and the importance of the presumption of innocence and the prima facie right to bail. As Judge 4 said “there’s a very strong constitutional imperative in Ireland that people shouldn’t be a long time in custody pending trial, unless there’s a good reason for it”. Similar views were expressed in other interviews:</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ind w:left="720"/>
        <w:jc w:val="both"/>
        <w:rPr>
          <w:rFonts w:eastAsia="Times New Roman" w:cstheme="minorHAnsi"/>
          <w:b/>
          <w:lang w:val="en-US"/>
        </w:rPr>
      </w:pPr>
      <w:r w:rsidRPr="00E2345D">
        <w:rPr>
          <w:rFonts w:eastAsia="Times New Roman" w:cstheme="minorHAnsi"/>
          <w:lang w:val="en-US"/>
        </w:rPr>
        <w:t xml:space="preserve">“It's a serious application by the State to deprive somebody of their liberty and I have to keep in mind number one the presumption of innocence and number two constitutional right to bail and that is the whole system and that's how it works”. </w:t>
      </w:r>
      <w:r w:rsidRPr="00E2345D">
        <w:rPr>
          <w:rFonts w:eastAsia="Times New Roman" w:cstheme="minorHAnsi"/>
          <w:b/>
          <w:lang w:val="en-US"/>
        </w:rPr>
        <w:t xml:space="preserve">(Judge 6).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ind w:left="720"/>
        <w:jc w:val="both"/>
        <w:rPr>
          <w:rFonts w:eastAsia="Times New Roman" w:cstheme="minorHAnsi"/>
          <w:b/>
          <w:lang w:val="en-US"/>
        </w:rPr>
      </w:pPr>
      <w:r w:rsidRPr="00E2345D">
        <w:rPr>
          <w:rFonts w:cstheme="minorHAnsi"/>
        </w:rPr>
        <w:lastRenderedPageBreak/>
        <w:t>“</w:t>
      </w:r>
      <w:r w:rsidRPr="00E2345D">
        <w:rPr>
          <w:rFonts w:eastAsia="Times New Roman" w:cstheme="minorHAnsi"/>
          <w:lang w:val="en-US"/>
        </w:rPr>
        <w:t>[the system]</w:t>
      </w:r>
      <w:r w:rsidRPr="00E2345D">
        <w:rPr>
          <w:rFonts w:eastAsia="Times New Roman" w:cstheme="minorHAnsi"/>
          <w:b/>
          <w:lang w:val="en-US"/>
        </w:rPr>
        <w:t xml:space="preserve"> </w:t>
      </w:r>
      <w:r w:rsidRPr="00E2345D">
        <w:rPr>
          <w:rFonts w:eastAsia="Times New Roman" w:cstheme="minorHAnsi"/>
          <w:lang w:val="en-US"/>
        </w:rPr>
        <w:t xml:space="preserve">it is underpinned … by the presumption of innocence” </w:t>
      </w:r>
      <w:r w:rsidRPr="00E2345D">
        <w:rPr>
          <w:rFonts w:eastAsia="Times New Roman" w:cstheme="minorHAnsi"/>
          <w:b/>
          <w:lang w:val="en-US"/>
        </w:rPr>
        <w:t xml:space="preserve">(Prosecution Participant 4). </w:t>
      </w:r>
    </w:p>
    <w:p w:rsidR="00D04725" w:rsidRPr="00E2345D" w:rsidRDefault="00D04725" w:rsidP="00D04725">
      <w:pPr>
        <w:spacing w:line="360" w:lineRule="auto"/>
        <w:jc w:val="both"/>
        <w:rPr>
          <w:rFonts w:cstheme="minorHAnsi"/>
          <w:b/>
        </w:rPr>
      </w:pPr>
    </w:p>
    <w:p w:rsidR="00D04725" w:rsidRDefault="00D04725" w:rsidP="00D04725">
      <w:pPr>
        <w:spacing w:line="360" w:lineRule="auto"/>
        <w:jc w:val="both"/>
        <w:rPr>
          <w:rFonts w:cstheme="minorHAnsi"/>
          <w:i/>
        </w:rPr>
      </w:pPr>
      <w:r>
        <w:rPr>
          <w:rFonts w:cstheme="minorHAnsi"/>
          <w:i/>
        </w:rPr>
        <w:t>Prosecution self-restraint</w:t>
      </w:r>
    </w:p>
    <w:p w:rsidR="00D04725" w:rsidRDefault="00D04725" w:rsidP="00D04725">
      <w:pPr>
        <w:spacing w:line="360" w:lineRule="auto"/>
        <w:jc w:val="both"/>
        <w:rPr>
          <w:rFonts w:cstheme="minorHAnsi"/>
          <w:i/>
        </w:rPr>
      </w:pPr>
    </w:p>
    <w:p w:rsidR="00D04725" w:rsidRPr="00E2345D" w:rsidRDefault="00D04725" w:rsidP="00D04725">
      <w:pPr>
        <w:spacing w:line="360" w:lineRule="auto"/>
        <w:jc w:val="both"/>
        <w:rPr>
          <w:rFonts w:cstheme="minorHAnsi"/>
        </w:rPr>
      </w:pPr>
      <w:r w:rsidRPr="00E2345D">
        <w:rPr>
          <w:rFonts w:cstheme="minorHAnsi"/>
        </w:rPr>
        <w:t xml:space="preserve">Another important theme to arise was how critical the prosecution is in ensuring this presumption is something real. We might call this ‘prosecution self-restraint’. It was clear from interviews with prosecutors that they took the presumption in favour of bail seriously and did not take an approach of simply objecting in every case. This is an important filter and consent to bail is a striking feature of the system. Prosecutors described advising </w:t>
      </w:r>
      <w:proofErr w:type="spellStart"/>
      <w:r w:rsidRPr="00E2345D">
        <w:rPr>
          <w:rFonts w:cstheme="minorHAnsi"/>
        </w:rPr>
        <w:t>gardaí</w:t>
      </w:r>
      <w:proofErr w:type="spellEnd"/>
      <w:r w:rsidRPr="00E2345D">
        <w:rPr>
          <w:rFonts w:cstheme="minorHAnsi"/>
        </w:rPr>
        <w:t xml:space="preserve"> that a bail application simply wouldn’t fly, and shouldn’t be pursued, as well as their efforts to arrive at a set of conditions which would allow bail to be granted in an appropriate case.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ind w:left="720"/>
        <w:jc w:val="both"/>
        <w:rPr>
          <w:rFonts w:cstheme="minorHAnsi"/>
        </w:rPr>
      </w:pPr>
      <w:r w:rsidRPr="00E2345D">
        <w:rPr>
          <w:rFonts w:eastAsia="Times New Roman" w:cstheme="minorHAnsi"/>
          <w:lang w:val="en-US"/>
        </w:rPr>
        <w:t xml:space="preserve">“Most bail applications tend to be on consent. The only reason there would be strong objections would be the seriousness of the charge or they don't like the individual concerned.”. </w:t>
      </w:r>
      <w:r w:rsidRPr="00E2345D">
        <w:rPr>
          <w:rFonts w:eastAsia="Times New Roman" w:cstheme="minorHAnsi"/>
          <w:b/>
          <w:lang w:val="en-US"/>
        </w:rPr>
        <w:t>(</w:t>
      </w:r>
      <w:proofErr w:type="spellStart"/>
      <w:r w:rsidRPr="00E2345D">
        <w:rPr>
          <w:rFonts w:eastAsia="Times New Roman" w:cstheme="minorHAnsi"/>
          <w:b/>
          <w:lang w:val="en-US"/>
        </w:rPr>
        <w:t>Defence</w:t>
      </w:r>
      <w:proofErr w:type="spellEnd"/>
      <w:r w:rsidRPr="00E2345D">
        <w:rPr>
          <w:rFonts w:eastAsia="Times New Roman" w:cstheme="minorHAnsi"/>
          <w:b/>
          <w:lang w:val="en-US"/>
        </w:rPr>
        <w:t xml:space="preserve"> Practitioner 4). </w:t>
      </w:r>
    </w:p>
    <w:p w:rsidR="00D04725" w:rsidRPr="00E2345D" w:rsidRDefault="00D04725" w:rsidP="00D04725">
      <w:pPr>
        <w:spacing w:line="360" w:lineRule="auto"/>
        <w:ind w:left="720"/>
        <w:jc w:val="both"/>
        <w:rPr>
          <w:rFonts w:eastAsia="Times New Roman" w:cstheme="minorHAnsi"/>
          <w:lang w:val="en-US"/>
        </w:rPr>
      </w:pPr>
    </w:p>
    <w:p w:rsidR="00D04725" w:rsidRPr="00E2345D" w:rsidRDefault="00D04725" w:rsidP="00D04725">
      <w:pPr>
        <w:spacing w:line="360" w:lineRule="auto"/>
        <w:ind w:left="720"/>
        <w:jc w:val="both"/>
        <w:rPr>
          <w:rFonts w:eastAsia="Times New Roman" w:cstheme="minorHAnsi"/>
          <w:b/>
          <w:lang w:val="en-US"/>
        </w:rPr>
      </w:pPr>
      <w:r w:rsidRPr="00E2345D">
        <w:rPr>
          <w:rFonts w:eastAsia="Times New Roman" w:cstheme="minorHAnsi"/>
          <w:lang w:val="en-US"/>
        </w:rPr>
        <w:t xml:space="preserve">“If there's a chance of getting bail and it's not a very, very serious offence and you don't have the Guards absolutely gung ho to say there's no way this can happen you'll work around it”. </w:t>
      </w:r>
      <w:r w:rsidRPr="00E2345D">
        <w:rPr>
          <w:rFonts w:eastAsia="Times New Roman" w:cstheme="minorHAnsi"/>
          <w:b/>
          <w:lang w:val="en-US"/>
        </w:rPr>
        <w:t xml:space="preserve">(Prosecution Practitioner 4). </w:t>
      </w:r>
    </w:p>
    <w:p w:rsidR="00D04725" w:rsidRPr="00E2345D" w:rsidRDefault="00D04725" w:rsidP="00D04725">
      <w:pPr>
        <w:spacing w:line="360" w:lineRule="auto"/>
        <w:jc w:val="both"/>
        <w:rPr>
          <w:rFonts w:eastAsia="Times New Roman" w:cstheme="minorHAnsi"/>
          <w:lang w:val="en-US"/>
        </w:rPr>
      </w:pPr>
    </w:p>
    <w:p w:rsidR="00D04725" w:rsidRPr="00E2345D" w:rsidRDefault="00D04725" w:rsidP="00D04725">
      <w:pPr>
        <w:spacing w:line="360" w:lineRule="auto"/>
        <w:jc w:val="both"/>
        <w:rPr>
          <w:rFonts w:eastAsia="Times New Roman" w:cstheme="minorHAnsi"/>
          <w:b/>
          <w:lang w:val="en-US"/>
        </w:rPr>
      </w:pPr>
      <w:r w:rsidRPr="00E2345D">
        <w:rPr>
          <w:rFonts w:eastAsia="Times New Roman" w:cstheme="minorHAnsi"/>
          <w:lang w:val="en-US"/>
        </w:rPr>
        <w:t xml:space="preserve">This was reflected in the views of a judge also: “I think the State are excellent. They consent where they can consent” </w:t>
      </w:r>
      <w:r w:rsidRPr="00E2345D">
        <w:rPr>
          <w:rFonts w:eastAsia="Times New Roman" w:cstheme="minorHAnsi"/>
          <w:b/>
          <w:lang w:val="en-US"/>
        </w:rPr>
        <w:t xml:space="preserve">(Judge 5). </w:t>
      </w: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rPr>
      </w:pPr>
      <w:r w:rsidRPr="00E2345D">
        <w:rPr>
          <w:rFonts w:cstheme="minorHAnsi"/>
        </w:rPr>
        <w:t xml:space="preserve">Participants felt that the legal framework was the real basis for decision-making on bail, rather than extraneous or extra-legal factors. There was a very strong view that </w:t>
      </w:r>
      <w:r w:rsidRPr="00E2345D">
        <w:rPr>
          <w:rFonts w:cstheme="minorHAnsi"/>
          <w:i/>
        </w:rPr>
        <w:t xml:space="preserve">O’Callaghan </w:t>
      </w:r>
      <w:r w:rsidRPr="00E2345D">
        <w:rPr>
          <w:rFonts w:cstheme="minorHAnsi"/>
        </w:rPr>
        <w:t>remains the most important legal ground, and the most argued. The view was expressed in the interviews that the impact of section 2 has not been as strong as first feared or hoped.</w:t>
      </w: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rPr>
      </w:pPr>
      <w:r w:rsidRPr="00E2345D">
        <w:rPr>
          <w:rFonts w:cstheme="minorHAnsi"/>
        </w:rPr>
        <w:lastRenderedPageBreak/>
        <w:t xml:space="preserve">As one judge said, “the be all and end all of bail in Ireland is the </w:t>
      </w:r>
      <w:r w:rsidRPr="00E2345D">
        <w:rPr>
          <w:rFonts w:cstheme="minorHAnsi"/>
          <w:i/>
        </w:rPr>
        <w:t xml:space="preserve">O’Callaghan </w:t>
      </w:r>
      <w:r w:rsidRPr="00E2345D">
        <w:rPr>
          <w:rFonts w:cstheme="minorHAnsi"/>
        </w:rPr>
        <w:t>case” (</w:t>
      </w:r>
      <w:r w:rsidRPr="00E2345D">
        <w:rPr>
          <w:rFonts w:cstheme="minorHAnsi"/>
          <w:b/>
        </w:rPr>
        <w:t>Judge 3)</w:t>
      </w:r>
      <w:r w:rsidRPr="00E2345D">
        <w:rPr>
          <w:rFonts w:cstheme="minorHAnsi"/>
        </w:rPr>
        <w:t xml:space="preserve">. A defence practitioner felt that the additional section 2 ground didn’t really add much to the analysis, and if a judge felt, overall, that bail should be refused, the particular heading for the refusal was not so important. A prosecution participant felt that adding a section 2 objection was a kind of ‘belt and braces’ approach when the overall case wasn’t that strong.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ind w:left="720"/>
        <w:jc w:val="both"/>
        <w:rPr>
          <w:rFonts w:eastAsia="Times New Roman" w:cstheme="minorHAnsi"/>
          <w:b/>
          <w:lang w:val="en-US"/>
        </w:rPr>
      </w:pPr>
      <w:r w:rsidRPr="00E2345D">
        <w:rPr>
          <w:rFonts w:eastAsia="Times New Roman" w:cstheme="minorHAnsi"/>
          <w:lang w:val="en-US"/>
        </w:rPr>
        <w:t xml:space="preserve">“You know section two of the Bail Act came in and everybody thought that was going to be the end of bail and all that, I think that my own experience if a Judge was going to refuse bail in this case anyway they would have done it whether it was under section two or O’Callaghan, it's not really, I haven’t seen it making either a negative effect or a positive effect, they would have done it, they may well </w:t>
      </w:r>
      <w:proofErr w:type="spellStart"/>
      <w:r w:rsidRPr="00E2345D">
        <w:rPr>
          <w:rFonts w:eastAsia="Times New Roman" w:cstheme="minorHAnsi"/>
          <w:lang w:val="en-US"/>
        </w:rPr>
        <w:t>utilise</w:t>
      </w:r>
      <w:proofErr w:type="spellEnd"/>
      <w:r w:rsidRPr="00E2345D">
        <w:rPr>
          <w:rFonts w:eastAsia="Times New Roman" w:cstheme="minorHAnsi"/>
          <w:lang w:val="en-US"/>
        </w:rPr>
        <w:t xml:space="preserve"> the cover of section two in order to do so” </w:t>
      </w:r>
      <w:r w:rsidRPr="00E2345D">
        <w:rPr>
          <w:rFonts w:eastAsia="Times New Roman" w:cstheme="minorHAnsi"/>
          <w:b/>
          <w:lang w:val="en-US"/>
        </w:rPr>
        <w:t>(</w:t>
      </w:r>
      <w:proofErr w:type="spellStart"/>
      <w:r w:rsidRPr="00E2345D">
        <w:rPr>
          <w:rFonts w:eastAsia="Times New Roman" w:cstheme="minorHAnsi"/>
          <w:b/>
          <w:lang w:val="en-US"/>
        </w:rPr>
        <w:t>Defence</w:t>
      </w:r>
      <w:proofErr w:type="spellEnd"/>
      <w:r w:rsidRPr="00E2345D">
        <w:rPr>
          <w:rFonts w:eastAsia="Times New Roman" w:cstheme="minorHAnsi"/>
          <w:b/>
          <w:lang w:val="en-US"/>
        </w:rPr>
        <w:t xml:space="preserve"> Practitioner 8)</w:t>
      </w:r>
    </w:p>
    <w:p w:rsidR="00D04725" w:rsidRPr="00E2345D" w:rsidRDefault="00D04725" w:rsidP="00D04725">
      <w:pPr>
        <w:spacing w:line="360" w:lineRule="auto"/>
        <w:ind w:left="720"/>
        <w:jc w:val="both"/>
        <w:rPr>
          <w:rFonts w:eastAsia="Times New Roman" w:cstheme="minorHAnsi"/>
          <w:b/>
          <w:lang w:val="en-US"/>
        </w:rPr>
      </w:pPr>
    </w:p>
    <w:p w:rsidR="00D04725" w:rsidRPr="00E2345D" w:rsidRDefault="00D04725" w:rsidP="00D04725">
      <w:pPr>
        <w:spacing w:line="360" w:lineRule="auto"/>
        <w:jc w:val="both"/>
        <w:rPr>
          <w:rFonts w:eastAsia="Times New Roman" w:cstheme="minorHAnsi"/>
          <w:lang w:val="en-US"/>
        </w:rPr>
      </w:pPr>
      <w:r w:rsidRPr="00E2345D">
        <w:rPr>
          <w:rFonts w:eastAsia="Times New Roman" w:cstheme="minorHAnsi"/>
          <w:lang w:val="en-US"/>
        </w:rPr>
        <w:t>The idea that section 2 was run as an additional bolster to an application was reflected in the views of some prosecution participants:</w:t>
      </w:r>
    </w:p>
    <w:p w:rsidR="00D04725" w:rsidRPr="00E2345D" w:rsidRDefault="00D04725" w:rsidP="00D04725">
      <w:pPr>
        <w:spacing w:line="360" w:lineRule="auto"/>
        <w:jc w:val="both"/>
        <w:rPr>
          <w:rFonts w:eastAsia="Times New Roman" w:cstheme="minorHAnsi"/>
          <w:lang w:val="en-US"/>
        </w:rPr>
      </w:pPr>
    </w:p>
    <w:p w:rsidR="00D04725" w:rsidRPr="00E2345D" w:rsidRDefault="00D04725" w:rsidP="00D04725">
      <w:pPr>
        <w:spacing w:line="360" w:lineRule="auto"/>
        <w:ind w:left="720"/>
        <w:jc w:val="both"/>
        <w:rPr>
          <w:rFonts w:eastAsia="Times New Roman" w:cstheme="minorHAnsi"/>
          <w:b/>
          <w:lang w:val="en-US"/>
        </w:rPr>
      </w:pPr>
      <w:r w:rsidRPr="00E2345D">
        <w:rPr>
          <w:rFonts w:eastAsia="Times New Roman" w:cstheme="minorHAnsi"/>
          <w:lang w:val="en-US"/>
        </w:rPr>
        <w:t xml:space="preserve">“Sometimes you will have a weak O’Callaghan and a weak section two and you will run both of them. So, because it is a second bite of the cherry you can start from scratch again in the High Court”. </w:t>
      </w:r>
      <w:r w:rsidRPr="00E2345D">
        <w:rPr>
          <w:rFonts w:eastAsia="Times New Roman" w:cstheme="minorHAnsi"/>
          <w:b/>
          <w:lang w:val="en-US"/>
        </w:rPr>
        <w:t xml:space="preserve">(Prosecution Participant 5). </w:t>
      </w:r>
    </w:p>
    <w:p w:rsidR="00D04725" w:rsidRPr="00E2345D" w:rsidRDefault="00D04725" w:rsidP="00D04725">
      <w:pPr>
        <w:spacing w:line="360" w:lineRule="auto"/>
        <w:jc w:val="both"/>
        <w:rPr>
          <w:rFonts w:cstheme="minorHAnsi"/>
          <w:b/>
        </w:rPr>
      </w:pPr>
    </w:p>
    <w:p w:rsidR="00D04725" w:rsidRDefault="00D04725" w:rsidP="00D04725">
      <w:pPr>
        <w:spacing w:line="360" w:lineRule="auto"/>
        <w:jc w:val="both"/>
        <w:rPr>
          <w:rFonts w:cstheme="minorHAnsi"/>
          <w:i/>
        </w:rPr>
      </w:pPr>
      <w:r>
        <w:rPr>
          <w:rFonts w:cstheme="minorHAnsi"/>
          <w:i/>
        </w:rPr>
        <w:t xml:space="preserve">Factors influencing decisions on bail </w:t>
      </w:r>
    </w:p>
    <w:p w:rsidR="00D04725" w:rsidRDefault="00D04725" w:rsidP="00D04725">
      <w:pPr>
        <w:spacing w:line="360" w:lineRule="auto"/>
        <w:jc w:val="both"/>
        <w:rPr>
          <w:rFonts w:cstheme="minorHAnsi"/>
          <w:i/>
        </w:rPr>
      </w:pPr>
    </w:p>
    <w:p w:rsidR="00D04725" w:rsidRPr="00E2345D" w:rsidRDefault="00D04725" w:rsidP="00D04725">
      <w:pPr>
        <w:spacing w:line="360" w:lineRule="auto"/>
        <w:jc w:val="both"/>
        <w:rPr>
          <w:rFonts w:cstheme="minorHAnsi"/>
        </w:rPr>
      </w:pPr>
      <w:r w:rsidRPr="00E2345D">
        <w:rPr>
          <w:rFonts w:cstheme="minorHAnsi"/>
        </w:rPr>
        <w:t>By far the most important factor in deciding whether the legal grounds for denial of bail had been made out was bench warrant history. This was an overwhelmingly important factor for our participants. This is interesting as it shows that the Irish system is focused, still, on past behaviour, rather than predictions of future behaviour. Judges are of course trying to predict whether a person will turn up for trial or commit offences on bail, but this is rooted in the prior history. The bench warrant history is almost determinative of an application it seems.</w:t>
      </w: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ind w:left="720"/>
        <w:jc w:val="both"/>
        <w:rPr>
          <w:rFonts w:cstheme="minorHAnsi"/>
          <w:b/>
          <w:bCs/>
        </w:rPr>
      </w:pPr>
      <w:r w:rsidRPr="00E2345D">
        <w:rPr>
          <w:rFonts w:cstheme="minorHAnsi"/>
          <w:bCs/>
        </w:rPr>
        <w:lastRenderedPageBreak/>
        <w:t xml:space="preserve">"The big thing is bench warrant history, whether or not they have previously demonstrated disregard to turn up in court. That would be the number one factor." </w:t>
      </w:r>
      <w:r w:rsidRPr="00E2345D">
        <w:rPr>
          <w:rFonts w:cstheme="minorHAnsi"/>
          <w:b/>
          <w:bCs/>
        </w:rPr>
        <w:t>(Defence Practitioner 4)</w:t>
      </w:r>
    </w:p>
    <w:p w:rsidR="00D04725" w:rsidRPr="00E2345D" w:rsidRDefault="00D04725" w:rsidP="00D04725">
      <w:pPr>
        <w:spacing w:line="360" w:lineRule="auto"/>
        <w:ind w:left="720"/>
        <w:jc w:val="both"/>
        <w:rPr>
          <w:rFonts w:cstheme="minorHAnsi"/>
          <w:b/>
          <w:bCs/>
        </w:rPr>
      </w:pPr>
    </w:p>
    <w:p w:rsidR="00D04725" w:rsidRPr="00E2345D" w:rsidRDefault="00D04725" w:rsidP="00D04725">
      <w:pPr>
        <w:spacing w:line="360" w:lineRule="auto"/>
        <w:ind w:left="720"/>
        <w:jc w:val="both"/>
        <w:rPr>
          <w:rFonts w:cstheme="minorHAnsi"/>
          <w:b/>
          <w:bCs/>
        </w:rPr>
      </w:pPr>
      <w:r w:rsidRPr="00E2345D">
        <w:rPr>
          <w:rFonts w:cstheme="minorHAnsi"/>
          <w:bCs/>
        </w:rPr>
        <w:t xml:space="preserve">"Warrant history. Always warrant history. It's the first question asked: how many warrants? … But the first thing is always warrant history." </w:t>
      </w:r>
      <w:r w:rsidRPr="00E2345D">
        <w:rPr>
          <w:rFonts w:cstheme="minorHAnsi"/>
          <w:b/>
          <w:bCs/>
        </w:rPr>
        <w:t>(Defence Practitioner 10)</w:t>
      </w:r>
    </w:p>
    <w:p w:rsidR="00D04725" w:rsidRPr="00E2345D" w:rsidRDefault="00D04725" w:rsidP="00D04725">
      <w:pPr>
        <w:spacing w:line="360" w:lineRule="auto"/>
        <w:jc w:val="both"/>
        <w:rPr>
          <w:rFonts w:cstheme="minorHAnsi"/>
          <w:bCs/>
        </w:rPr>
      </w:pPr>
    </w:p>
    <w:p w:rsidR="00D04725" w:rsidRPr="00E2345D" w:rsidRDefault="00D04725" w:rsidP="00D04725">
      <w:pPr>
        <w:spacing w:line="360" w:lineRule="auto"/>
        <w:ind w:left="720"/>
        <w:jc w:val="both"/>
        <w:rPr>
          <w:rFonts w:eastAsia="Times New Roman" w:cstheme="minorHAnsi"/>
          <w:b/>
          <w:lang w:val="en-US"/>
        </w:rPr>
      </w:pPr>
      <w:r w:rsidRPr="00E2345D">
        <w:rPr>
          <w:rFonts w:eastAsia="Times New Roman" w:cstheme="minorHAnsi"/>
          <w:lang w:val="en-US"/>
        </w:rPr>
        <w:t xml:space="preserve">“I think first and foremost would be warrant history, people who have failed to appear in the past and how many times that they have failed to appear, that would be significant”. </w:t>
      </w:r>
      <w:r w:rsidRPr="00E2345D">
        <w:rPr>
          <w:rFonts w:eastAsia="Times New Roman" w:cstheme="minorHAnsi"/>
          <w:b/>
          <w:lang w:val="en-US"/>
        </w:rPr>
        <w:t>(Judge 2)</w:t>
      </w:r>
    </w:p>
    <w:p w:rsidR="00D04725" w:rsidRPr="00E2345D" w:rsidRDefault="00D04725" w:rsidP="00D04725">
      <w:pPr>
        <w:spacing w:line="360" w:lineRule="auto"/>
        <w:ind w:left="720"/>
        <w:jc w:val="both"/>
        <w:rPr>
          <w:rFonts w:eastAsia="Times New Roman" w:cstheme="minorHAnsi"/>
          <w:b/>
          <w:lang w:val="en-US"/>
        </w:rPr>
      </w:pPr>
    </w:p>
    <w:p w:rsidR="00D04725" w:rsidRPr="00E2345D" w:rsidRDefault="00D04725" w:rsidP="00D04725">
      <w:pPr>
        <w:spacing w:line="360" w:lineRule="auto"/>
        <w:ind w:left="720"/>
        <w:jc w:val="both"/>
        <w:rPr>
          <w:rFonts w:eastAsia="Times New Roman" w:cstheme="minorHAnsi"/>
          <w:b/>
          <w:lang w:val="en-US"/>
        </w:rPr>
      </w:pPr>
      <w:r w:rsidRPr="00E2345D">
        <w:rPr>
          <w:rFonts w:eastAsia="Times New Roman" w:cstheme="minorHAnsi"/>
          <w:lang w:val="en-US"/>
        </w:rPr>
        <w:t xml:space="preserve">“And if it’s the case that, you know, that you don’t treat the courts with respect, if you don’t turn up for your court cases, it’s likely to have an impact if you’re charged in the future”. </w:t>
      </w:r>
      <w:r w:rsidRPr="00E2345D">
        <w:rPr>
          <w:rFonts w:eastAsia="Times New Roman" w:cstheme="minorHAnsi"/>
          <w:b/>
          <w:lang w:val="en-US"/>
        </w:rPr>
        <w:t>(Judge 3)</w:t>
      </w:r>
    </w:p>
    <w:p w:rsidR="00D04725" w:rsidRPr="00E2345D" w:rsidRDefault="00D04725" w:rsidP="00D04725">
      <w:pPr>
        <w:spacing w:line="360" w:lineRule="auto"/>
        <w:ind w:left="720"/>
        <w:jc w:val="both"/>
        <w:rPr>
          <w:rFonts w:eastAsia="Times New Roman" w:cstheme="minorHAnsi"/>
          <w:b/>
          <w:lang w:val="en-US"/>
        </w:rPr>
      </w:pPr>
    </w:p>
    <w:p w:rsidR="00D04725" w:rsidRPr="00E2345D" w:rsidRDefault="00D04725" w:rsidP="00D04725">
      <w:pPr>
        <w:spacing w:line="360" w:lineRule="auto"/>
        <w:ind w:left="720"/>
        <w:jc w:val="both"/>
        <w:rPr>
          <w:rFonts w:eastAsia="Times New Roman" w:cstheme="minorHAnsi"/>
          <w:b/>
          <w:lang w:val="en-US"/>
        </w:rPr>
      </w:pPr>
      <w:r w:rsidRPr="00E2345D">
        <w:rPr>
          <w:rFonts w:eastAsia="Times New Roman" w:cstheme="minorHAnsi"/>
          <w:lang w:val="en-US"/>
        </w:rPr>
        <w:t xml:space="preserve">“Well the first thing you’d want to do is you’ll establish if… has he ever been on bail before and what has his performance been like in answering his bail bond” </w:t>
      </w:r>
      <w:r w:rsidRPr="00E2345D">
        <w:rPr>
          <w:rFonts w:eastAsia="Times New Roman" w:cstheme="minorHAnsi"/>
          <w:b/>
          <w:lang w:val="en-US"/>
        </w:rPr>
        <w:t xml:space="preserve">(Judge 4).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r w:rsidRPr="00E2345D">
        <w:rPr>
          <w:rFonts w:cstheme="minorHAnsi"/>
        </w:rPr>
        <w:t xml:space="preserve">Also mentioned as highly important factors were the seriousness of the charge and, to a lesser extent, the length of time until the trial. This was more influential when the matter was likely to go before the Circuit Court or higher courts. </w:t>
      </w:r>
    </w:p>
    <w:p w:rsidR="00D04725" w:rsidRPr="00E2345D" w:rsidRDefault="00D04725" w:rsidP="00D04725">
      <w:pPr>
        <w:spacing w:line="360" w:lineRule="auto"/>
        <w:jc w:val="both"/>
        <w:rPr>
          <w:rFonts w:cstheme="minorHAnsi"/>
          <w:b/>
        </w:rPr>
      </w:pPr>
    </w:p>
    <w:p w:rsidR="00D04725" w:rsidRDefault="00D04725" w:rsidP="00D04725">
      <w:pPr>
        <w:spacing w:line="360" w:lineRule="auto"/>
        <w:jc w:val="both"/>
        <w:rPr>
          <w:rFonts w:cstheme="minorHAnsi"/>
          <w:i/>
        </w:rPr>
      </w:pPr>
      <w:r>
        <w:rPr>
          <w:rFonts w:cstheme="minorHAnsi"/>
          <w:i/>
        </w:rPr>
        <w:t>Reasoning and judicial variation</w:t>
      </w:r>
    </w:p>
    <w:p w:rsidR="00D04725" w:rsidRDefault="00D04725" w:rsidP="00D04725">
      <w:pPr>
        <w:spacing w:line="360" w:lineRule="auto"/>
        <w:jc w:val="both"/>
        <w:rPr>
          <w:rFonts w:cstheme="minorHAnsi"/>
          <w:i/>
        </w:rPr>
      </w:pPr>
    </w:p>
    <w:p w:rsidR="00D04725" w:rsidRPr="00E2345D" w:rsidRDefault="00D04725" w:rsidP="00D04725">
      <w:pPr>
        <w:spacing w:line="360" w:lineRule="auto"/>
        <w:jc w:val="both"/>
        <w:rPr>
          <w:rFonts w:cstheme="minorHAnsi"/>
        </w:rPr>
      </w:pPr>
      <w:r w:rsidRPr="00E2345D">
        <w:rPr>
          <w:rFonts w:cstheme="minorHAnsi"/>
        </w:rPr>
        <w:t xml:space="preserve">We asked participants about the reasoning and the explanation for the decisions. Practitioners reported that practice amongst judges concerning the giving of reasons for decisions varied widely. Variation amongst judges generally was a recurring theme in our interviews with practitioners, but it was also clear that some judges did not feel they had many opportunities to see the practice of other judges in action, and were acting in some ways in an isolated fashion.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r w:rsidRPr="00E2345D">
        <w:rPr>
          <w:rFonts w:cstheme="minorHAnsi"/>
        </w:rPr>
        <w:t xml:space="preserve">Amongst practitioners, some judges were noted as taking a lot of time and care to make sure the reasons were explained and also made clear to the applicant for bail, others were felt to give a very brief analysis. At District Court level it was felt by our participants that the time pressures and long lists were driving factors behind this situation. Pressure on judges was a key theme to emerge from the research.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ind w:left="720"/>
        <w:jc w:val="both"/>
        <w:rPr>
          <w:rFonts w:cstheme="minorHAnsi"/>
          <w:b/>
        </w:rPr>
      </w:pPr>
      <w:r w:rsidRPr="00E2345D">
        <w:rPr>
          <w:rFonts w:cstheme="minorHAnsi"/>
        </w:rPr>
        <w:t xml:space="preserve">“What I see now is that when somebody is granted bail, there isn’t too much said … when someone is refused bail … I actually find the level of reasoning quite good generally” </w:t>
      </w:r>
      <w:r w:rsidRPr="00E2345D">
        <w:rPr>
          <w:rFonts w:cstheme="minorHAnsi"/>
          <w:b/>
        </w:rPr>
        <w:t xml:space="preserve">(Defence Practitioner 1). </w:t>
      </w: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rPr>
      </w:pPr>
      <w:r w:rsidRPr="00E2345D">
        <w:rPr>
          <w:rFonts w:cstheme="minorHAnsi"/>
        </w:rPr>
        <w:t xml:space="preserve">One defence practitioner noted quite directly that reasons are for the benefit of everyone, not just the defence.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ind w:left="720"/>
        <w:jc w:val="both"/>
        <w:rPr>
          <w:rFonts w:cstheme="minorHAnsi"/>
        </w:rPr>
      </w:pPr>
      <w:r w:rsidRPr="00E2345D">
        <w:rPr>
          <w:rFonts w:cstheme="minorHAnsi"/>
        </w:rPr>
        <w:t xml:space="preserve">"It's always sort of seen, oh the duty to give reasons is a sop to the defence, it's not a sop to the defence, it's about good decision-making and allows prosecutors to see that as well you know" </w:t>
      </w:r>
      <w:r w:rsidRPr="00E2345D">
        <w:rPr>
          <w:rFonts w:cstheme="minorHAnsi"/>
          <w:b/>
        </w:rPr>
        <w:t>(Defence Practitioner 8)</w:t>
      </w:r>
      <w:r w:rsidRPr="00E2345D">
        <w:rPr>
          <w:rFonts w:cstheme="minorHAnsi"/>
        </w:rPr>
        <w:t xml:space="preserve">. </w:t>
      </w:r>
    </w:p>
    <w:p w:rsidR="00D04725" w:rsidRPr="00E2345D" w:rsidRDefault="00D04725" w:rsidP="00D04725">
      <w:pPr>
        <w:spacing w:line="360" w:lineRule="auto"/>
        <w:jc w:val="both"/>
        <w:rPr>
          <w:rFonts w:cstheme="minorHAnsi"/>
          <w:b/>
        </w:rPr>
      </w:pPr>
    </w:p>
    <w:p w:rsidR="00D04725" w:rsidRDefault="00D04725" w:rsidP="00D04725">
      <w:pPr>
        <w:spacing w:line="360" w:lineRule="auto"/>
        <w:jc w:val="both"/>
        <w:rPr>
          <w:rFonts w:cstheme="minorHAnsi"/>
          <w:i/>
        </w:rPr>
      </w:pPr>
      <w:r>
        <w:rPr>
          <w:rFonts w:cstheme="minorHAnsi"/>
          <w:i/>
        </w:rPr>
        <w:t>Conditions of release</w:t>
      </w:r>
    </w:p>
    <w:p w:rsidR="00D04725" w:rsidRDefault="00D04725" w:rsidP="00D04725">
      <w:pPr>
        <w:spacing w:line="360" w:lineRule="auto"/>
        <w:jc w:val="both"/>
        <w:rPr>
          <w:rFonts w:cstheme="minorHAnsi"/>
          <w:i/>
        </w:rPr>
      </w:pPr>
    </w:p>
    <w:p w:rsidR="00D04725" w:rsidRPr="00E2345D" w:rsidRDefault="00D04725" w:rsidP="00D04725">
      <w:pPr>
        <w:spacing w:line="360" w:lineRule="auto"/>
        <w:jc w:val="both"/>
        <w:rPr>
          <w:rFonts w:cstheme="minorHAnsi"/>
        </w:rPr>
      </w:pPr>
      <w:r w:rsidRPr="00E2345D">
        <w:rPr>
          <w:rFonts w:cstheme="minorHAnsi"/>
        </w:rPr>
        <w:t xml:space="preserve">Another area we explored in the interviews concerned the types of conditions which were usually imposed and the basis for those conditions. Looking at our system in comparative perspective, a quite interesting way of thinking about our system. Much of the time, it seems our discussions about bail in Ireland revolve around the binary distinction between liberty and detention. This is the standard narrative: in or out. It is submitted that this distinction is actually an unhelpful one. It is also inaccurate. The decision is, in the vast majority of cases, between pre-trial detention and </w:t>
      </w:r>
      <w:r w:rsidRPr="00E2345D">
        <w:rPr>
          <w:rFonts w:cstheme="minorHAnsi"/>
          <w:i/>
        </w:rPr>
        <w:t>gradations</w:t>
      </w:r>
      <w:r w:rsidRPr="00E2345D">
        <w:rPr>
          <w:rFonts w:cstheme="minorHAnsi"/>
        </w:rPr>
        <w:t xml:space="preserve"> or </w:t>
      </w:r>
      <w:r w:rsidRPr="00E2345D">
        <w:rPr>
          <w:rFonts w:cstheme="minorHAnsi"/>
          <w:i/>
        </w:rPr>
        <w:t xml:space="preserve">levels </w:t>
      </w:r>
      <w:r w:rsidRPr="00E2345D">
        <w:rPr>
          <w:rFonts w:cstheme="minorHAnsi"/>
        </w:rPr>
        <w:t xml:space="preserve">of liberty. People are not released without conditions, and the liberty they are released into can often be quite restricted. Perhaps the flexible and extensive possible list of </w:t>
      </w:r>
      <w:r w:rsidRPr="00E2345D">
        <w:rPr>
          <w:rFonts w:cstheme="minorHAnsi"/>
        </w:rPr>
        <w:lastRenderedPageBreak/>
        <w:t xml:space="preserve">conditions is part of the reason why we have more people out of pre-trial detention here than in other European countries.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r w:rsidRPr="00E2345D">
        <w:rPr>
          <w:rFonts w:cstheme="minorHAnsi"/>
        </w:rPr>
        <w:t>Some practitioners did express concern that conditions could be disproportionate and the necessity for them was not always demonstrated. The Criminal Justice Act 2017 has included a requirement that conditions be “necessary and proportionate”. The findings of this research may act as a timely reminder of what practitioners felt to fall within and without that test.</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r w:rsidRPr="00E2345D">
        <w:rPr>
          <w:rFonts w:cstheme="minorHAnsi"/>
        </w:rPr>
        <w:t xml:space="preserve">It was generally felt that a set of standard conditions was imposed in almost every case: signing on; a curfew; a residence condition and a mobile phone condition. Most concern about proportionality was expressed concerning the curfew condition. Prosecution and defence practitioners felt that they had experienced instances when a condition was imposed without a reason, and the condition was not relevant to the concerns of the court about turning up for trial and reoffending. One defence practitioner felt there was sometimes a ‘tick the box’ approach, with the conditions not always specifically tailored to the case. </w:t>
      </w: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rPr>
      </w:pPr>
      <w:r w:rsidRPr="00E2345D">
        <w:rPr>
          <w:rFonts w:cstheme="minorHAnsi"/>
        </w:rPr>
        <w:t xml:space="preserve">Some defence practitioners felt that some of these conditions which they viewed as unnecessary were ordered in circumstances where a judge had granted bail in the face of objections and the conditions were a kind of compensation. Others felt that once a Garda had said a condition was necessary, a judge was unlikely to look beyond that and accede to the defence’s application that the condition wasn’t needed. </w:t>
      </w: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rPr>
      </w:pPr>
      <w:r w:rsidRPr="00E2345D">
        <w:rPr>
          <w:rFonts w:cstheme="minorHAnsi"/>
        </w:rPr>
        <w:t xml:space="preserve">Defence practitioners also reported some concerns that there were times when the conditions were difficult for an accused person to meet because of economic circumstances. This was particularly the case concerning a requirement to keep a mobile phone in credit, and obviously, the ability to put forward a financial guarantee.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r w:rsidRPr="00E2345D">
        <w:rPr>
          <w:rFonts w:cstheme="minorHAnsi"/>
        </w:rPr>
        <w:t xml:space="preserve">On the other hand, some judges expressed real concern and frustration about the ability of conditions to meet their concerns in particular cases. Some judges felt that their toolkit for </w:t>
      </w:r>
      <w:r w:rsidRPr="00E2345D">
        <w:rPr>
          <w:rFonts w:cstheme="minorHAnsi"/>
        </w:rPr>
        <w:lastRenderedPageBreak/>
        <w:t xml:space="preserve">ensuring a person turned up for trial, especially with a long and bad record, was very limited, and that practitioners were not  always creative or helpful in trying to fashion conditions which would meet those concerns. </w:t>
      </w:r>
    </w:p>
    <w:p w:rsidR="00D04725" w:rsidRPr="00E2345D" w:rsidRDefault="00D04725" w:rsidP="00D04725">
      <w:pPr>
        <w:spacing w:line="360" w:lineRule="auto"/>
        <w:jc w:val="both"/>
        <w:rPr>
          <w:rFonts w:cstheme="minorHAnsi"/>
        </w:rPr>
      </w:pPr>
    </w:p>
    <w:p w:rsidR="00CA743F" w:rsidRDefault="00CA743F" w:rsidP="00D04725">
      <w:pPr>
        <w:spacing w:line="360" w:lineRule="auto"/>
        <w:jc w:val="both"/>
        <w:rPr>
          <w:rFonts w:cstheme="minorHAnsi"/>
          <w:i/>
        </w:rPr>
      </w:pPr>
      <w:r>
        <w:rPr>
          <w:rFonts w:cstheme="minorHAnsi"/>
          <w:i/>
        </w:rPr>
        <w:t xml:space="preserve">Electronic monitoring </w:t>
      </w:r>
    </w:p>
    <w:p w:rsidR="00CA743F" w:rsidRDefault="00CA743F" w:rsidP="00D04725">
      <w:pPr>
        <w:spacing w:line="360" w:lineRule="auto"/>
        <w:jc w:val="both"/>
        <w:rPr>
          <w:rFonts w:cstheme="minorHAnsi"/>
          <w:i/>
        </w:rPr>
      </w:pPr>
    </w:p>
    <w:p w:rsidR="00D04725" w:rsidRPr="00E2345D" w:rsidRDefault="00D04725" w:rsidP="00D04725">
      <w:pPr>
        <w:spacing w:line="360" w:lineRule="auto"/>
        <w:jc w:val="both"/>
        <w:rPr>
          <w:rFonts w:cstheme="minorHAnsi"/>
        </w:rPr>
      </w:pPr>
      <w:r w:rsidRPr="00E2345D">
        <w:rPr>
          <w:rFonts w:cstheme="minorHAnsi"/>
        </w:rPr>
        <w:t xml:space="preserve">We asked our participants for their views on electronic monitoring and how it might work at the pre-trial stage in Ireland. Our participants were very divided on whether electronic monitoring was necessary or desirable. There was no clear consensus on the issue. Some participants felt that electronic monitoring would mean more people could get bail, and, interestingly, some felt that the defence could make arguments seeking electronic monitoring, and, if bail was refused, appealing on the basis that electronic monitoring wasn’t adequately considered. Many participants mentioned that Ireland has a low-tech version of electronic monitoring anyway in the form of the curfew and the mobile phone condition. </w:t>
      </w:r>
    </w:p>
    <w:p w:rsidR="00D04725" w:rsidRPr="00E2345D" w:rsidRDefault="00D04725" w:rsidP="00D04725">
      <w:pPr>
        <w:spacing w:line="360" w:lineRule="auto"/>
        <w:jc w:val="both"/>
        <w:rPr>
          <w:rFonts w:cstheme="minorHAnsi"/>
        </w:rPr>
      </w:pPr>
    </w:p>
    <w:p w:rsidR="00CA743F" w:rsidRDefault="00CA743F" w:rsidP="00D04725">
      <w:pPr>
        <w:spacing w:line="360" w:lineRule="auto"/>
        <w:jc w:val="both"/>
        <w:rPr>
          <w:rFonts w:cstheme="minorHAnsi"/>
          <w:i/>
        </w:rPr>
      </w:pPr>
      <w:r>
        <w:rPr>
          <w:rFonts w:cstheme="minorHAnsi"/>
          <w:i/>
        </w:rPr>
        <w:t xml:space="preserve">Vulnerability </w:t>
      </w:r>
    </w:p>
    <w:p w:rsidR="00CA743F" w:rsidRDefault="00CA743F" w:rsidP="00D04725">
      <w:pPr>
        <w:spacing w:line="360" w:lineRule="auto"/>
        <w:jc w:val="both"/>
        <w:rPr>
          <w:rFonts w:cstheme="minorHAnsi"/>
          <w:i/>
        </w:rPr>
      </w:pPr>
    </w:p>
    <w:p w:rsidR="00D04725" w:rsidRPr="00E2345D" w:rsidRDefault="00D04725" w:rsidP="00D04725">
      <w:pPr>
        <w:spacing w:line="360" w:lineRule="auto"/>
        <w:jc w:val="both"/>
        <w:rPr>
          <w:rFonts w:cstheme="minorHAnsi"/>
        </w:rPr>
      </w:pPr>
      <w:r w:rsidRPr="00E2345D">
        <w:rPr>
          <w:rFonts w:cstheme="minorHAnsi"/>
        </w:rPr>
        <w:t xml:space="preserve">We also explored what might be termed the effect of characteristics of vulnerability amongst accused persons. A lack of housing was viewed as a major and growing problem which the courts were grappling with on a daily basis. Some defence practitioners felt that a lack of address was a major disadvantage for their clients in terms of their likelihood of getting bail. Judges noted that a lack of an address was not a factor which could lead to a refusal of bail and they and prosecutors noted that efforts would be made to come up with some solution if the only stumbling block in a bail application was an address.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r w:rsidRPr="00E2345D">
        <w:rPr>
          <w:rFonts w:cstheme="minorHAnsi"/>
        </w:rPr>
        <w:t xml:space="preserve">Regarding nationality, judges and prosecutors recognised that when a person was from outside Ireland this would raise more of a concern under the flight risk heading. However, amongst most of our participants, nationality alone was felt not to be a determinative factor; ties to the state </w:t>
      </w:r>
      <w:r w:rsidRPr="00E2345D">
        <w:rPr>
          <w:rFonts w:cstheme="minorHAnsi"/>
        </w:rPr>
        <w:lastRenderedPageBreak/>
        <w:t xml:space="preserve">was the important thing. There was, however, felt to be a clear difference between EU nationals and non-EU nationals. </w:t>
      </w: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rPr>
      </w:pPr>
      <w:r w:rsidRPr="00E2345D">
        <w:rPr>
          <w:rFonts w:cstheme="minorHAnsi"/>
        </w:rPr>
        <w:t xml:space="preserve">As one defence practitioner said – it came down to giving the judge comfort – and this was easier to provide because of the European Arrest Warrant framework. A prosecution practitioner felt that those from outside the EU faced particular challenges in bail applications, especially when they did not have identification documents.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r w:rsidRPr="00E2345D">
        <w:rPr>
          <w:rFonts w:cstheme="minorHAnsi"/>
        </w:rPr>
        <w:t xml:space="preserve">In this respect, it is important to mention the European Supervision Order (ESO) 2009/829/JHA. This is a Framework Decision, which Ireland has not implemented; we are, </w:t>
      </w:r>
      <w:proofErr w:type="spellStart"/>
      <w:r w:rsidRPr="00E2345D">
        <w:rPr>
          <w:rFonts w:cstheme="minorHAnsi"/>
        </w:rPr>
        <w:t>its</w:t>
      </w:r>
      <w:proofErr w:type="spellEnd"/>
      <w:r w:rsidRPr="00E2345D">
        <w:rPr>
          <w:rFonts w:cstheme="minorHAnsi"/>
        </w:rPr>
        <w:t xml:space="preserve"> seems, the last of the EU28 to do so. The ESO aims to reduce the need for pre-trial detention, allowing an EU citizen awaiting trial in another EU country to return home until their trial begins. The home country supervises them, employing the measures imposed by the country in which their trial will be held.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eastAsia="Times New Roman" w:cstheme="minorHAnsi"/>
          <w:b/>
          <w:lang w:val="en-US"/>
        </w:rPr>
      </w:pPr>
      <w:r w:rsidRPr="00E2345D">
        <w:rPr>
          <w:rFonts w:cstheme="minorHAnsi"/>
        </w:rPr>
        <w:t xml:space="preserve">We found very low awareness of the ESO amongst our participants, but, generally speaking, openness to the idea. </w:t>
      </w:r>
      <w:r w:rsidRPr="00E2345D">
        <w:rPr>
          <w:rFonts w:eastAsia="Times New Roman" w:cstheme="minorHAnsi"/>
          <w:lang w:val="en-US"/>
        </w:rPr>
        <w:t xml:space="preserve">The European Supervision Order was viewed as peculiarly appropriate to Ireland given the close connections and border with Northern Ireland. One participant noted that people with family connections in Northern Ireland (which are quite common) were sometimes the subject of objections to bail on the grounds that they had links with another jurisdiction. This could be addressed with the European Supervision Order. </w:t>
      </w: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b/>
        </w:rPr>
      </w:pPr>
      <w:r w:rsidRPr="00E2345D">
        <w:rPr>
          <w:rFonts w:cstheme="minorHAnsi"/>
          <w:b/>
        </w:rPr>
        <w:t>Conclusion</w:t>
      </w: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rPr>
      </w:pPr>
      <w:r w:rsidRPr="00E2345D">
        <w:rPr>
          <w:rFonts w:cstheme="minorHAnsi"/>
        </w:rPr>
        <w:t xml:space="preserve">Finally, to summarise some of the key themes which have emerged from our research. </w:t>
      </w:r>
    </w:p>
    <w:p w:rsidR="00D04725" w:rsidRPr="00E2345D" w:rsidRDefault="00D04725" w:rsidP="00D04725">
      <w:pPr>
        <w:spacing w:line="360" w:lineRule="auto"/>
        <w:jc w:val="both"/>
        <w:rPr>
          <w:rFonts w:cstheme="minorHAnsi"/>
        </w:rPr>
      </w:pPr>
    </w:p>
    <w:p w:rsidR="00D04725" w:rsidRPr="00E2345D" w:rsidRDefault="00D04725" w:rsidP="00D04725">
      <w:pPr>
        <w:pStyle w:val="ListParagraph"/>
        <w:numPr>
          <w:ilvl w:val="0"/>
          <w:numId w:val="1"/>
        </w:numPr>
        <w:spacing w:line="360" w:lineRule="auto"/>
        <w:jc w:val="both"/>
        <w:rPr>
          <w:rFonts w:cstheme="minorHAnsi"/>
        </w:rPr>
      </w:pPr>
      <w:r w:rsidRPr="00E2345D">
        <w:rPr>
          <w:rFonts w:cstheme="minorHAnsi"/>
        </w:rPr>
        <w:t xml:space="preserve">The “liberty versus detention” narrative can be unhelpful – the decision is, almost always, between detention and gradations of liberty. The idea that a person is simply out without any restrictions is almost always false, and should be challenged. </w:t>
      </w:r>
    </w:p>
    <w:p w:rsidR="00D04725" w:rsidRPr="00E2345D" w:rsidRDefault="00D04725" w:rsidP="00D04725">
      <w:pPr>
        <w:pStyle w:val="ListParagraph"/>
        <w:numPr>
          <w:ilvl w:val="0"/>
          <w:numId w:val="1"/>
        </w:numPr>
        <w:spacing w:line="360" w:lineRule="auto"/>
        <w:jc w:val="both"/>
        <w:rPr>
          <w:rFonts w:cstheme="minorHAnsi"/>
        </w:rPr>
      </w:pPr>
      <w:r w:rsidRPr="00E2345D">
        <w:rPr>
          <w:rFonts w:cstheme="minorHAnsi"/>
        </w:rPr>
        <w:lastRenderedPageBreak/>
        <w:t xml:space="preserve">Ireland is viewed as having good practice in the area of pre-trial detention, and we would be out of step with EU-wide activities were we to increase our pre-trial detention rates, or focus more on the risk of reoffending ground. </w:t>
      </w:r>
    </w:p>
    <w:p w:rsidR="00D04725" w:rsidRPr="00E2345D" w:rsidRDefault="00D04725" w:rsidP="00D04725">
      <w:pPr>
        <w:pStyle w:val="ListParagraph"/>
        <w:numPr>
          <w:ilvl w:val="0"/>
          <w:numId w:val="1"/>
        </w:numPr>
        <w:spacing w:line="360" w:lineRule="auto"/>
        <w:jc w:val="both"/>
        <w:rPr>
          <w:rFonts w:cstheme="minorHAnsi"/>
        </w:rPr>
      </w:pPr>
      <w:r w:rsidRPr="00E2345D">
        <w:rPr>
          <w:rFonts w:cstheme="minorHAnsi"/>
        </w:rPr>
        <w:t xml:space="preserve">Amongst judges in particular, there was a desire for more opportunities to share experiences, good practice, to learn about the practice of other judges both here and in Ireland and to reflect. </w:t>
      </w:r>
    </w:p>
    <w:p w:rsidR="00D04725" w:rsidRPr="00E2345D" w:rsidRDefault="00D04725" w:rsidP="00D04725">
      <w:pPr>
        <w:pStyle w:val="ListParagraph"/>
        <w:numPr>
          <w:ilvl w:val="0"/>
          <w:numId w:val="1"/>
        </w:numPr>
        <w:spacing w:line="360" w:lineRule="auto"/>
        <w:jc w:val="both"/>
        <w:rPr>
          <w:rFonts w:cstheme="minorHAnsi"/>
        </w:rPr>
      </w:pPr>
      <w:r w:rsidRPr="00E2345D">
        <w:rPr>
          <w:rFonts w:cstheme="minorHAnsi"/>
        </w:rPr>
        <w:t>The research has also shown that there is a burden on judges taking these decisions – it can be demoralising, frustrating, burdensome, scary. Judges need support and time to reflect on their practice. As one judge put it: “and I don’t normally … you’d never hear me say anything like this, but it is very taxing”. Judges need support and time to reflect on their practice.</w:t>
      </w:r>
    </w:p>
    <w:p w:rsidR="00D04725" w:rsidRPr="00E2345D" w:rsidRDefault="00D04725" w:rsidP="00D04725">
      <w:pPr>
        <w:pStyle w:val="ListParagraph"/>
        <w:numPr>
          <w:ilvl w:val="0"/>
          <w:numId w:val="1"/>
        </w:numPr>
        <w:spacing w:line="360" w:lineRule="auto"/>
        <w:jc w:val="both"/>
        <w:rPr>
          <w:rFonts w:cstheme="minorHAnsi"/>
        </w:rPr>
      </w:pPr>
      <w:r w:rsidRPr="00E2345D">
        <w:rPr>
          <w:rFonts w:cstheme="minorHAnsi"/>
        </w:rPr>
        <w:t xml:space="preserve">More consideration is needed of the possible effects of electronic monitoring and the implications of the European Supervision Order for Irish practice. </w:t>
      </w: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rPr>
      </w:pPr>
    </w:p>
    <w:p w:rsidR="00D04725" w:rsidRPr="00E2345D" w:rsidRDefault="00D04725" w:rsidP="00D04725">
      <w:pPr>
        <w:spacing w:line="360" w:lineRule="auto"/>
        <w:jc w:val="both"/>
        <w:rPr>
          <w:rFonts w:cstheme="minorHAnsi"/>
          <w:b/>
        </w:rPr>
      </w:pPr>
    </w:p>
    <w:p w:rsidR="00D04725" w:rsidRPr="00E2345D" w:rsidRDefault="00D04725" w:rsidP="00D04725">
      <w:pPr>
        <w:spacing w:line="360" w:lineRule="auto"/>
        <w:jc w:val="both"/>
        <w:rPr>
          <w:rFonts w:cstheme="minorHAnsi"/>
          <w:b/>
        </w:rPr>
      </w:pPr>
    </w:p>
    <w:p w:rsidR="00D04725" w:rsidRPr="00E2345D" w:rsidRDefault="00D04725" w:rsidP="00D04725">
      <w:pPr>
        <w:jc w:val="both"/>
        <w:rPr>
          <w:rFonts w:cstheme="minorHAnsi"/>
        </w:rPr>
      </w:pPr>
    </w:p>
    <w:p w:rsidR="003D5B44" w:rsidRDefault="00483C80"/>
    <w:sectPr w:rsidR="003D5B44" w:rsidSect="003F70D4">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3C80" w:rsidRDefault="00483C80" w:rsidP="00D04725">
      <w:r>
        <w:separator/>
      </w:r>
    </w:p>
  </w:endnote>
  <w:endnote w:type="continuationSeparator" w:id="0">
    <w:p w:rsidR="00483C80" w:rsidRDefault="00483C80" w:rsidP="00D04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F4F" w:rsidRDefault="00765C4E" w:rsidP="007C78F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80F4F" w:rsidRDefault="00483C80" w:rsidP="00180F4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F4F" w:rsidRDefault="00765C4E" w:rsidP="007C78F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828BC">
      <w:rPr>
        <w:rStyle w:val="PageNumber"/>
        <w:noProof/>
      </w:rPr>
      <w:t>1</w:t>
    </w:r>
    <w:r>
      <w:rPr>
        <w:rStyle w:val="PageNumber"/>
      </w:rPr>
      <w:fldChar w:fldCharType="end"/>
    </w:r>
  </w:p>
  <w:p w:rsidR="00180F4F" w:rsidRDefault="00483C80" w:rsidP="00180F4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3C80" w:rsidRDefault="00483C80" w:rsidP="00D04725">
      <w:r>
        <w:separator/>
      </w:r>
    </w:p>
  </w:footnote>
  <w:footnote w:type="continuationSeparator" w:id="0">
    <w:p w:rsidR="00483C80" w:rsidRDefault="00483C80" w:rsidP="00D04725">
      <w:r>
        <w:continuationSeparator/>
      </w:r>
    </w:p>
  </w:footnote>
  <w:footnote w:id="1">
    <w:p w:rsidR="00D04725" w:rsidRPr="00AF084F" w:rsidRDefault="00D04725" w:rsidP="00D04725">
      <w:pPr>
        <w:pStyle w:val="FootnoteText"/>
        <w:rPr>
          <w:lang w:val="en-IE"/>
        </w:rPr>
      </w:pPr>
      <w:r>
        <w:rPr>
          <w:rStyle w:val="FootnoteReference"/>
        </w:rPr>
        <w:footnoteRef/>
      </w:r>
      <w:r>
        <w:t xml:space="preserve"> </w:t>
      </w:r>
      <w:hyperlink r:id="rId1" w:history="1">
        <w:r w:rsidRPr="00A97687">
          <w:rPr>
            <w:rStyle w:val="Hyperlink"/>
          </w:rPr>
          <w:t>http://www.irks.at/detour/menu1.html</w:t>
        </w:r>
      </w:hyperlink>
      <w:r>
        <w:t xml:space="preserve"> (last accessed April 5 2018).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9D690E"/>
    <w:multiLevelType w:val="hybridMultilevel"/>
    <w:tmpl w:val="1D48CA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725"/>
    <w:rsid w:val="00005C6D"/>
    <w:rsid w:val="00034315"/>
    <w:rsid w:val="000828BC"/>
    <w:rsid w:val="000A61AD"/>
    <w:rsid w:val="000E5E07"/>
    <w:rsid w:val="000F1D24"/>
    <w:rsid w:val="000F2941"/>
    <w:rsid w:val="001122E4"/>
    <w:rsid w:val="00117DA0"/>
    <w:rsid w:val="001613D9"/>
    <w:rsid w:val="001670DF"/>
    <w:rsid w:val="00197154"/>
    <w:rsid w:val="001A0C75"/>
    <w:rsid w:val="001E166B"/>
    <w:rsid w:val="001E6017"/>
    <w:rsid w:val="00232CED"/>
    <w:rsid w:val="002644CB"/>
    <w:rsid w:val="00266B80"/>
    <w:rsid w:val="002E68DE"/>
    <w:rsid w:val="003117C2"/>
    <w:rsid w:val="00313618"/>
    <w:rsid w:val="003362B7"/>
    <w:rsid w:val="00374FB6"/>
    <w:rsid w:val="003B419F"/>
    <w:rsid w:val="003B588B"/>
    <w:rsid w:val="003F1A52"/>
    <w:rsid w:val="003F76B9"/>
    <w:rsid w:val="00453428"/>
    <w:rsid w:val="00475C2B"/>
    <w:rsid w:val="00483C80"/>
    <w:rsid w:val="004A2C3A"/>
    <w:rsid w:val="004A71AA"/>
    <w:rsid w:val="004E2891"/>
    <w:rsid w:val="0052785F"/>
    <w:rsid w:val="005454B6"/>
    <w:rsid w:val="00546225"/>
    <w:rsid w:val="005A20EE"/>
    <w:rsid w:val="005F7E00"/>
    <w:rsid w:val="00641E37"/>
    <w:rsid w:val="00653F3F"/>
    <w:rsid w:val="00672AA8"/>
    <w:rsid w:val="00686A52"/>
    <w:rsid w:val="00742117"/>
    <w:rsid w:val="00745BC8"/>
    <w:rsid w:val="00765C4E"/>
    <w:rsid w:val="00795116"/>
    <w:rsid w:val="007D091B"/>
    <w:rsid w:val="007D7CEC"/>
    <w:rsid w:val="00800EBD"/>
    <w:rsid w:val="00803CAF"/>
    <w:rsid w:val="0080590E"/>
    <w:rsid w:val="00811B60"/>
    <w:rsid w:val="0082697B"/>
    <w:rsid w:val="008357AE"/>
    <w:rsid w:val="00836A2A"/>
    <w:rsid w:val="00851DF9"/>
    <w:rsid w:val="00856532"/>
    <w:rsid w:val="008656AD"/>
    <w:rsid w:val="0088115A"/>
    <w:rsid w:val="008958F9"/>
    <w:rsid w:val="008A0DD5"/>
    <w:rsid w:val="008C0812"/>
    <w:rsid w:val="00900A9D"/>
    <w:rsid w:val="009033EA"/>
    <w:rsid w:val="00953C95"/>
    <w:rsid w:val="009A25AA"/>
    <w:rsid w:val="009B79E0"/>
    <w:rsid w:val="00A013F4"/>
    <w:rsid w:val="00A51998"/>
    <w:rsid w:val="00A51C09"/>
    <w:rsid w:val="00A726DF"/>
    <w:rsid w:val="00A77057"/>
    <w:rsid w:val="00A91001"/>
    <w:rsid w:val="00A96FF3"/>
    <w:rsid w:val="00AE339C"/>
    <w:rsid w:val="00B66105"/>
    <w:rsid w:val="00B739D8"/>
    <w:rsid w:val="00B776D8"/>
    <w:rsid w:val="00B8650B"/>
    <w:rsid w:val="00BE0FD0"/>
    <w:rsid w:val="00BE4FA7"/>
    <w:rsid w:val="00BF241A"/>
    <w:rsid w:val="00C03BF8"/>
    <w:rsid w:val="00C26C67"/>
    <w:rsid w:val="00CA743F"/>
    <w:rsid w:val="00CD4B2B"/>
    <w:rsid w:val="00D04725"/>
    <w:rsid w:val="00D06105"/>
    <w:rsid w:val="00D55212"/>
    <w:rsid w:val="00D934EA"/>
    <w:rsid w:val="00DB343F"/>
    <w:rsid w:val="00DE6955"/>
    <w:rsid w:val="00DF4F05"/>
    <w:rsid w:val="00E36CD7"/>
    <w:rsid w:val="00E61A48"/>
    <w:rsid w:val="00E7781D"/>
    <w:rsid w:val="00E86B1D"/>
    <w:rsid w:val="00EF1386"/>
    <w:rsid w:val="00F424A9"/>
    <w:rsid w:val="00F80421"/>
    <w:rsid w:val="00FC37BD"/>
    <w:rsid w:val="00FF0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9D6A7F3D-B3DF-9D4A-99B9-90025ABE1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7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725"/>
    <w:pPr>
      <w:ind w:left="720"/>
      <w:contextualSpacing/>
    </w:pPr>
  </w:style>
  <w:style w:type="paragraph" w:styleId="Footer">
    <w:name w:val="footer"/>
    <w:basedOn w:val="Normal"/>
    <w:link w:val="FooterChar"/>
    <w:uiPriority w:val="99"/>
    <w:unhideWhenUsed/>
    <w:rsid w:val="00D04725"/>
    <w:pPr>
      <w:tabs>
        <w:tab w:val="center" w:pos="4680"/>
        <w:tab w:val="right" w:pos="9360"/>
      </w:tabs>
    </w:pPr>
  </w:style>
  <w:style w:type="character" w:customStyle="1" w:styleId="FooterChar">
    <w:name w:val="Footer Char"/>
    <w:basedOn w:val="DefaultParagraphFont"/>
    <w:link w:val="Footer"/>
    <w:uiPriority w:val="99"/>
    <w:rsid w:val="00D04725"/>
  </w:style>
  <w:style w:type="character" w:styleId="PageNumber">
    <w:name w:val="page number"/>
    <w:basedOn w:val="DefaultParagraphFont"/>
    <w:uiPriority w:val="99"/>
    <w:semiHidden/>
    <w:unhideWhenUsed/>
    <w:rsid w:val="00D04725"/>
  </w:style>
  <w:style w:type="paragraph" w:styleId="FootnoteText">
    <w:name w:val="footnote text"/>
    <w:basedOn w:val="Normal"/>
    <w:link w:val="FootnoteTextChar"/>
    <w:uiPriority w:val="99"/>
    <w:semiHidden/>
    <w:unhideWhenUsed/>
    <w:rsid w:val="00D04725"/>
    <w:rPr>
      <w:sz w:val="20"/>
      <w:szCs w:val="20"/>
    </w:rPr>
  </w:style>
  <w:style w:type="character" w:customStyle="1" w:styleId="FootnoteTextChar">
    <w:name w:val="Footnote Text Char"/>
    <w:basedOn w:val="DefaultParagraphFont"/>
    <w:link w:val="FootnoteText"/>
    <w:uiPriority w:val="99"/>
    <w:semiHidden/>
    <w:rsid w:val="00D04725"/>
    <w:rPr>
      <w:sz w:val="20"/>
      <w:szCs w:val="20"/>
    </w:rPr>
  </w:style>
  <w:style w:type="character" w:styleId="FootnoteReference">
    <w:name w:val="footnote reference"/>
    <w:basedOn w:val="DefaultParagraphFont"/>
    <w:uiPriority w:val="99"/>
    <w:semiHidden/>
    <w:unhideWhenUsed/>
    <w:rsid w:val="00D04725"/>
    <w:rPr>
      <w:vertAlign w:val="superscript"/>
    </w:rPr>
  </w:style>
  <w:style w:type="character" w:styleId="Hyperlink">
    <w:name w:val="Hyperlink"/>
    <w:basedOn w:val="DefaultParagraphFont"/>
    <w:uiPriority w:val="99"/>
    <w:unhideWhenUsed/>
    <w:rsid w:val="00D04725"/>
    <w:rPr>
      <w:color w:val="0563C1" w:themeColor="hyperlink"/>
      <w:u w:val="single"/>
    </w:rPr>
  </w:style>
  <w:style w:type="character" w:styleId="FollowedHyperlink">
    <w:name w:val="FollowedHyperlink"/>
    <w:basedOn w:val="DefaultParagraphFont"/>
    <w:uiPriority w:val="99"/>
    <w:semiHidden/>
    <w:unhideWhenUsed/>
    <w:rsid w:val="000828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rks.at/detour/menu1.html"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sng"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IE" sz="1400" b="0" u="sng">
                <a:latin typeface="Times New Roman" panose="02020603050405020304" pitchFamily="18" charset="0"/>
                <a:cs typeface="Times New Roman" panose="02020603050405020304" pitchFamily="18" charset="0"/>
              </a:rPr>
              <a:t>a</a:t>
            </a:r>
            <a:r>
              <a:rPr lang="en-IE" sz="1400" b="0" u="sng" cap="none" baseline="0">
                <a:latin typeface="Times New Roman" panose="02020603050405020304" pitchFamily="18" charset="0"/>
                <a:cs typeface="Times New Roman" panose="02020603050405020304" pitchFamily="18" charset="0"/>
              </a:rPr>
              <a:t>nnual Prison Committals: 2007 - 2016</a:t>
            </a:r>
            <a:endParaRPr lang="en-IE" sz="1400" b="0" u="sng">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manualLayout>
          <c:layoutTarget val="inner"/>
          <c:xMode val="edge"/>
          <c:yMode val="edge"/>
          <c:x val="8.3253391518831196E-2"/>
          <c:y val="0.263773022795942"/>
          <c:w val="0.878192391613699"/>
          <c:h val="0.66291016596903096"/>
        </c:manualLayout>
      </c:layout>
      <c:lineChart>
        <c:grouping val="standard"/>
        <c:varyColors val="0"/>
        <c:ser>
          <c:idx val="0"/>
          <c:order val="0"/>
          <c:tx>
            <c:strRef>
              <c:f>Sheet1!$B$1</c:f>
              <c:strCache>
                <c:ptCount val="1"/>
                <c:pt idx="0">
                  <c:v>Total Committals</c:v>
                </c:pt>
              </c:strCache>
            </c:strRef>
          </c:tx>
          <c:spPr>
            <a:ln w="38100" cap="flat" cmpd="dbl" algn="ctr">
              <a:solidFill>
                <a:schemeClr val="accent1"/>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Sheet1!$A$2:$A$11</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cat>
          <c:val>
            <c:numRef>
              <c:f>Sheet1!$B$2:$B$11</c:f>
              <c:numCache>
                <c:formatCode>General</c:formatCode>
                <c:ptCount val="10"/>
                <c:pt idx="0">
                  <c:v>11934</c:v>
                </c:pt>
                <c:pt idx="1">
                  <c:v>13557</c:v>
                </c:pt>
                <c:pt idx="2">
                  <c:v>15425</c:v>
                </c:pt>
                <c:pt idx="3">
                  <c:v>17179</c:v>
                </c:pt>
                <c:pt idx="4">
                  <c:v>17318</c:v>
                </c:pt>
                <c:pt idx="5">
                  <c:v>17026</c:v>
                </c:pt>
                <c:pt idx="6">
                  <c:v>15735</c:v>
                </c:pt>
                <c:pt idx="7">
                  <c:v>16155</c:v>
                </c:pt>
                <c:pt idx="8">
                  <c:v>17206</c:v>
                </c:pt>
                <c:pt idx="9">
                  <c:v>15099</c:v>
                </c:pt>
              </c:numCache>
            </c:numRef>
          </c:val>
          <c:smooth val="0"/>
          <c:extLst xmlns:c16r2="http://schemas.microsoft.com/office/drawing/2015/06/chart">
            <c:ext xmlns:c16="http://schemas.microsoft.com/office/drawing/2014/chart" uri="{C3380CC4-5D6E-409C-BE32-E72D297353CC}">
              <c16:uniqueId val="{00000000-F74C-6747-BB04-E1EFD74D32B5}"/>
            </c:ext>
          </c:extLst>
        </c:ser>
        <c:ser>
          <c:idx val="1"/>
          <c:order val="1"/>
          <c:tx>
            <c:strRef>
              <c:f>Sheet1!$C$1</c:f>
              <c:strCache>
                <c:ptCount val="1"/>
                <c:pt idx="0">
                  <c:v>Sentenced</c:v>
                </c:pt>
              </c:strCache>
            </c:strRef>
          </c:tx>
          <c:spPr>
            <a:ln w="38100" cap="flat" cmpd="dbl" algn="ctr">
              <a:solidFill>
                <a:schemeClr val="accent2"/>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Sheet1!$A$2:$A$11</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cat>
          <c:val>
            <c:numRef>
              <c:f>Sheet1!$C$2:$C$11</c:f>
              <c:numCache>
                <c:formatCode>General</c:formatCode>
                <c:ptCount val="10"/>
                <c:pt idx="0">
                  <c:v>5715</c:v>
                </c:pt>
                <c:pt idx="1">
                  <c:v>7461</c:v>
                </c:pt>
                <c:pt idx="2">
                  <c:v>10226</c:v>
                </c:pt>
                <c:pt idx="3">
                  <c:v>11861</c:v>
                </c:pt>
                <c:pt idx="4">
                  <c:v>12342</c:v>
                </c:pt>
                <c:pt idx="5">
                  <c:v>12991</c:v>
                </c:pt>
                <c:pt idx="6">
                  <c:v>12011</c:v>
                </c:pt>
                <c:pt idx="7">
                  <c:v>12336</c:v>
                </c:pt>
                <c:pt idx="8">
                  <c:v>13503</c:v>
                </c:pt>
                <c:pt idx="9">
                  <c:v>11660</c:v>
                </c:pt>
              </c:numCache>
            </c:numRef>
          </c:val>
          <c:smooth val="0"/>
          <c:extLst xmlns:c16r2="http://schemas.microsoft.com/office/drawing/2015/06/chart">
            <c:ext xmlns:c16="http://schemas.microsoft.com/office/drawing/2014/chart" uri="{C3380CC4-5D6E-409C-BE32-E72D297353CC}">
              <c16:uniqueId val="{00000001-F74C-6747-BB04-E1EFD74D32B5}"/>
            </c:ext>
          </c:extLst>
        </c:ser>
        <c:ser>
          <c:idx val="2"/>
          <c:order val="2"/>
          <c:tx>
            <c:strRef>
              <c:f>Sheet1!$D$1</c:f>
              <c:strCache>
                <c:ptCount val="1"/>
                <c:pt idx="0">
                  <c:v>Pretrial Detention</c:v>
                </c:pt>
              </c:strCache>
            </c:strRef>
          </c:tx>
          <c:spPr>
            <a:ln w="38100" cap="flat" cmpd="dbl" algn="ctr">
              <a:solidFill>
                <a:schemeClr val="accent3"/>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Sheet1!$A$2:$A$11</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cat>
          <c:val>
            <c:numRef>
              <c:f>Sheet1!$D$2:$D$11</c:f>
              <c:numCache>
                <c:formatCode>General</c:formatCode>
                <c:ptCount val="10"/>
                <c:pt idx="0">
                  <c:v>4967</c:v>
                </c:pt>
                <c:pt idx="1">
                  <c:v>5052</c:v>
                </c:pt>
                <c:pt idx="2">
                  <c:v>4519</c:v>
                </c:pt>
                <c:pt idx="3">
                  <c:v>4836</c:v>
                </c:pt>
                <c:pt idx="4">
                  <c:v>4546</c:v>
                </c:pt>
                <c:pt idx="5">
                  <c:v>3632</c:v>
                </c:pt>
                <c:pt idx="6">
                  <c:v>3234</c:v>
                </c:pt>
                <c:pt idx="7">
                  <c:v>3858</c:v>
                </c:pt>
                <c:pt idx="8">
                  <c:v>3294</c:v>
                </c:pt>
                <c:pt idx="9">
                  <c:v>2976</c:v>
                </c:pt>
              </c:numCache>
            </c:numRef>
          </c:val>
          <c:smooth val="0"/>
          <c:extLst xmlns:c16r2="http://schemas.microsoft.com/office/drawing/2015/06/chart">
            <c:ext xmlns:c16="http://schemas.microsoft.com/office/drawing/2014/chart" uri="{C3380CC4-5D6E-409C-BE32-E72D297353CC}">
              <c16:uniqueId val="{00000002-F74C-6747-BB04-E1EFD74D32B5}"/>
            </c:ext>
          </c:extLst>
        </c:ser>
        <c:ser>
          <c:idx val="3"/>
          <c:order val="3"/>
          <c:tx>
            <c:strRef>
              <c:f>Sheet1!$E$1</c:f>
              <c:strCache>
                <c:ptCount val="1"/>
                <c:pt idx="0">
                  <c:v>Other Committals</c:v>
                </c:pt>
              </c:strCache>
            </c:strRef>
          </c:tx>
          <c:spPr>
            <a:ln w="38100" cap="flat" cmpd="dbl" algn="ctr">
              <a:solidFill>
                <a:schemeClr val="accent4"/>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Sheet1!$A$2:$A$11</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cat>
          <c:val>
            <c:numRef>
              <c:f>Sheet1!$E$2:$E$11</c:f>
              <c:numCache>
                <c:formatCode>General</c:formatCode>
                <c:ptCount val="10"/>
                <c:pt idx="0">
                  <c:v>1252</c:v>
                </c:pt>
                <c:pt idx="1">
                  <c:v>1044</c:v>
                </c:pt>
                <c:pt idx="2">
                  <c:v>680</c:v>
                </c:pt>
                <c:pt idx="3">
                  <c:v>482</c:v>
                </c:pt>
                <c:pt idx="4">
                  <c:v>430</c:v>
                </c:pt>
                <c:pt idx="5">
                  <c:v>403</c:v>
                </c:pt>
                <c:pt idx="6">
                  <c:v>490</c:v>
                </c:pt>
                <c:pt idx="7">
                  <c:v>461</c:v>
                </c:pt>
                <c:pt idx="8">
                  <c:v>409</c:v>
                </c:pt>
                <c:pt idx="9">
                  <c:v>463</c:v>
                </c:pt>
              </c:numCache>
            </c:numRef>
          </c:val>
          <c:smooth val="0"/>
          <c:extLst xmlns:c16r2="http://schemas.microsoft.com/office/drawing/2015/06/chart">
            <c:ext xmlns:c16="http://schemas.microsoft.com/office/drawing/2014/chart" uri="{C3380CC4-5D6E-409C-BE32-E72D297353CC}">
              <c16:uniqueId val="{00000003-F74C-6747-BB04-E1EFD74D32B5}"/>
            </c:ext>
          </c:extLst>
        </c:ser>
        <c:dLbls>
          <c:showLegendKey val="0"/>
          <c:showVal val="1"/>
          <c:showCatName val="0"/>
          <c:showSerName val="0"/>
          <c:showPercent val="0"/>
          <c:showBubbleSize val="0"/>
        </c:dLbls>
        <c:smooth val="0"/>
        <c:axId val="506701664"/>
        <c:axId val="506698920"/>
      </c:lineChart>
      <c:catAx>
        <c:axId val="506701664"/>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6698920"/>
        <c:crosses val="autoZero"/>
        <c:auto val="1"/>
        <c:lblAlgn val="ctr"/>
        <c:lblOffset val="100"/>
        <c:noMultiLvlLbl val="0"/>
      </c:catAx>
      <c:valAx>
        <c:axId val="506698920"/>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670166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3346</Words>
  <Characters>19075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Rogan</dc:creator>
  <cp:keywords/>
  <dc:description/>
  <cp:lastModifiedBy>Beth Whitney</cp:lastModifiedBy>
  <cp:revision>4</cp:revision>
  <dcterms:created xsi:type="dcterms:W3CDTF">2018-04-06T09:47:00Z</dcterms:created>
  <dcterms:modified xsi:type="dcterms:W3CDTF">2018-04-16T08:44:00Z</dcterms:modified>
</cp:coreProperties>
</file>