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82867E" w14:textId="77777777" w:rsidR="00EE6D7F" w:rsidRDefault="00EE6D7F" w:rsidP="00E41DED">
      <w:pPr>
        <w:spacing w:line="480" w:lineRule="auto"/>
        <w:jc w:val="center"/>
        <w:rPr>
          <w:rFonts w:ascii="Times" w:hAnsi="Times" w:cstheme="minorHAnsi"/>
          <w:color w:val="000000" w:themeColor="text1"/>
          <w:sz w:val="28"/>
          <w:szCs w:val="28"/>
        </w:rPr>
      </w:pPr>
    </w:p>
    <w:p w14:paraId="5187568D" w14:textId="2DDB0CB0" w:rsidR="00A465FD" w:rsidRPr="008C2309" w:rsidRDefault="004E4558" w:rsidP="00E41DED">
      <w:pPr>
        <w:spacing w:line="480" w:lineRule="auto"/>
        <w:jc w:val="center"/>
        <w:rPr>
          <w:rFonts w:ascii="Times" w:hAnsi="Times" w:cstheme="minorHAnsi"/>
          <w:color w:val="000000" w:themeColor="text1"/>
          <w:sz w:val="28"/>
          <w:szCs w:val="28"/>
        </w:rPr>
      </w:pPr>
      <w:r w:rsidRPr="008C2309">
        <w:rPr>
          <w:rFonts w:ascii="Times" w:hAnsi="Times" w:cstheme="minorHAnsi"/>
          <w:color w:val="000000" w:themeColor="text1"/>
          <w:sz w:val="28"/>
          <w:szCs w:val="28"/>
        </w:rPr>
        <w:t xml:space="preserve">A Comparative Study </w:t>
      </w:r>
      <w:r w:rsidR="00264C72" w:rsidRPr="008C2309">
        <w:rPr>
          <w:rFonts w:ascii="Times" w:hAnsi="Times" w:cstheme="minorHAnsi"/>
          <w:color w:val="000000" w:themeColor="text1"/>
          <w:sz w:val="28"/>
          <w:szCs w:val="28"/>
        </w:rPr>
        <w:t>between</w:t>
      </w:r>
      <w:r w:rsidRPr="008C2309">
        <w:rPr>
          <w:rFonts w:ascii="Times" w:hAnsi="Times" w:cstheme="minorHAnsi"/>
          <w:color w:val="000000" w:themeColor="text1"/>
          <w:sz w:val="28"/>
          <w:szCs w:val="28"/>
        </w:rPr>
        <w:t xml:space="preserve"> Hot-Melt Extrusion and Spray-Drying for the </w:t>
      </w:r>
      <w:r w:rsidR="004262A0" w:rsidRPr="008C2309">
        <w:rPr>
          <w:rFonts w:ascii="Times" w:hAnsi="Times" w:cstheme="minorHAnsi"/>
          <w:color w:val="000000" w:themeColor="text1"/>
          <w:sz w:val="28"/>
          <w:szCs w:val="28"/>
        </w:rPr>
        <w:t>Manufacture</w:t>
      </w:r>
      <w:r w:rsidRPr="008C2309">
        <w:rPr>
          <w:rFonts w:ascii="Times" w:hAnsi="Times" w:cstheme="minorHAnsi"/>
          <w:color w:val="000000" w:themeColor="text1"/>
          <w:sz w:val="28"/>
          <w:szCs w:val="28"/>
        </w:rPr>
        <w:t xml:space="preserve"> of </w:t>
      </w:r>
      <w:r w:rsidR="00A75170" w:rsidRPr="008C2309">
        <w:rPr>
          <w:rFonts w:ascii="Times" w:hAnsi="Times" w:cstheme="minorHAnsi"/>
          <w:color w:val="000000" w:themeColor="text1"/>
          <w:sz w:val="28"/>
          <w:szCs w:val="28"/>
        </w:rPr>
        <w:t>Anti-</w:t>
      </w:r>
      <w:r w:rsidR="004262A0" w:rsidRPr="008C2309">
        <w:rPr>
          <w:rFonts w:ascii="Times" w:hAnsi="Times" w:cstheme="minorHAnsi"/>
          <w:color w:val="000000" w:themeColor="text1"/>
          <w:sz w:val="28"/>
          <w:szCs w:val="28"/>
        </w:rPr>
        <w:t>Hypertension</w:t>
      </w:r>
      <w:r w:rsidR="00A75170" w:rsidRPr="008C2309">
        <w:rPr>
          <w:rFonts w:ascii="Times" w:hAnsi="Times" w:cstheme="minorHAnsi"/>
          <w:color w:val="000000" w:themeColor="text1"/>
          <w:sz w:val="28"/>
          <w:szCs w:val="28"/>
        </w:rPr>
        <w:t xml:space="preserve"> </w:t>
      </w:r>
      <w:r w:rsidRPr="008C2309">
        <w:rPr>
          <w:rFonts w:ascii="Times" w:hAnsi="Times" w:cstheme="minorHAnsi"/>
          <w:color w:val="000000" w:themeColor="text1"/>
          <w:sz w:val="28"/>
          <w:szCs w:val="28"/>
        </w:rPr>
        <w:t>Compatible Monolithic Fixed-Dose Combination</w:t>
      </w:r>
      <w:r w:rsidR="00A75170" w:rsidRPr="008C2309">
        <w:rPr>
          <w:rFonts w:ascii="Times" w:hAnsi="Times" w:cstheme="minorHAnsi"/>
          <w:color w:val="000000" w:themeColor="text1"/>
          <w:sz w:val="28"/>
          <w:szCs w:val="28"/>
        </w:rPr>
        <w:t xml:space="preserve"> Products</w:t>
      </w:r>
    </w:p>
    <w:p w14:paraId="173478D4" w14:textId="77777777" w:rsidR="003C7B9F" w:rsidRPr="008C2309" w:rsidRDefault="003C7B9F" w:rsidP="00E41DED">
      <w:pPr>
        <w:spacing w:line="480" w:lineRule="auto"/>
        <w:jc w:val="both"/>
        <w:rPr>
          <w:rFonts w:ascii="Times" w:hAnsi="Times" w:cstheme="minorHAnsi"/>
          <w:color w:val="000000" w:themeColor="text1"/>
          <w:sz w:val="28"/>
          <w:szCs w:val="28"/>
        </w:rPr>
      </w:pPr>
    </w:p>
    <w:p w14:paraId="5FC4E286" w14:textId="19CB3D5F" w:rsidR="00625F84" w:rsidRPr="008C2309" w:rsidRDefault="00134F40" w:rsidP="00E41DED">
      <w:pPr>
        <w:spacing w:line="480" w:lineRule="auto"/>
        <w:jc w:val="both"/>
        <w:rPr>
          <w:rFonts w:ascii="Times" w:hAnsi="Times" w:cstheme="minorHAnsi"/>
          <w:color w:val="000000" w:themeColor="text1"/>
          <w:vertAlign w:val="superscript"/>
        </w:rPr>
      </w:pPr>
      <w:r w:rsidRPr="008C2309">
        <w:rPr>
          <w:rFonts w:ascii="Times" w:hAnsi="Times" w:cstheme="minorHAnsi"/>
          <w:color w:val="000000" w:themeColor="text1"/>
        </w:rPr>
        <w:t>J.</w:t>
      </w:r>
      <w:r w:rsidR="00A75170" w:rsidRPr="008C2309">
        <w:rPr>
          <w:rFonts w:ascii="Times" w:hAnsi="Times" w:cstheme="minorHAnsi"/>
          <w:color w:val="000000" w:themeColor="text1"/>
        </w:rPr>
        <w:t xml:space="preserve"> </w:t>
      </w:r>
      <w:r w:rsidRPr="008C2309">
        <w:rPr>
          <w:rFonts w:ascii="Times" w:hAnsi="Times" w:cstheme="minorHAnsi"/>
          <w:color w:val="000000" w:themeColor="text1"/>
        </w:rPr>
        <w:t>F. Kelleher</w:t>
      </w:r>
      <w:r w:rsidR="000E38F4" w:rsidRPr="008C2309">
        <w:rPr>
          <w:rFonts w:ascii="Times" w:hAnsi="Times" w:cstheme="minorHAnsi"/>
          <w:color w:val="000000" w:themeColor="text1"/>
        </w:rPr>
        <w:t xml:space="preserve"> </w:t>
      </w:r>
      <w:r w:rsidRPr="008C2309">
        <w:rPr>
          <w:rFonts w:ascii="Times" w:hAnsi="Times" w:cstheme="minorHAnsi"/>
          <w:noProof/>
          <w:color w:val="000000" w:themeColor="text1"/>
          <w:vertAlign w:val="superscript"/>
        </w:rPr>
        <w:t>1</w:t>
      </w:r>
      <w:r w:rsidR="00810759" w:rsidRPr="008C2309">
        <w:rPr>
          <w:rFonts w:ascii="Times" w:hAnsi="Times" w:cstheme="minorHAnsi"/>
          <w:noProof/>
          <w:color w:val="000000" w:themeColor="text1"/>
          <w:vertAlign w:val="superscript"/>
        </w:rPr>
        <w:t xml:space="preserve"> </w:t>
      </w:r>
      <w:r w:rsidRPr="008C2309">
        <w:rPr>
          <w:rFonts w:ascii="Times" w:hAnsi="Times" w:cstheme="minorHAnsi"/>
          <w:noProof/>
          <w:color w:val="000000" w:themeColor="text1"/>
        </w:rPr>
        <w:t>,</w:t>
      </w:r>
      <w:r w:rsidRPr="008C2309">
        <w:rPr>
          <w:rFonts w:ascii="Times" w:hAnsi="Times" w:cstheme="minorHAnsi"/>
          <w:color w:val="000000" w:themeColor="text1"/>
        </w:rPr>
        <w:t xml:space="preserve"> G.</w:t>
      </w:r>
      <w:r w:rsidR="00A75170" w:rsidRPr="008C2309">
        <w:rPr>
          <w:rFonts w:ascii="Times" w:hAnsi="Times" w:cstheme="minorHAnsi"/>
          <w:color w:val="000000" w:themeColor="text1"/>
        </w:rPr>
        <w:t xml:space="preserve"> </w:t>
      </w:r>
      <w:r w:rsidRPr="008C2309">
        <w:rPr>
          <w:rFonts w:ascii="Times" w:hAnsi="Times" w:cstheme="minorHAnsi"/>
          <w:color w:val="000000" w:themeColor="text1"/>
        </w:rPr>
        <w:t>C. Gilvary</w:t>
      </w:r>
      <w:r w:rsidR="000E38F4" w:rsidRPr="008C2309">
        <w:rPr>
          <w:rFonts w:ascii="Times" w:hAnsi="Times" w:cstheme="minorHAnsi"/>
          <w:color w:val="000000" w:themeColor="text1"/>
        </w:rPr>
        <w:t xml:space="preserve"> </w:t>
      </w:r>
      <w:r w:rsidRPr="008C2309">
        <w:rPr>
          <w:rFonts w:ascii="Times" w:hAnsi="Times" w:cstheme="minorHAnsi"/>
          <w:color w:val="000000" w:themeColor="text1"/>
          <w:vertAlign w:val="superscript"/>
        </w:rPr>
        <w:t>2</w:t>
      </w:r>
      <w:r w:rsidR="000E38F4" w:rsidRPr="008C2309">
        <w:rPr>
          <w:rFonts w:ascii="Times" w:hAnsi="Times" w:cstheme="minorHAnsi"/>
          <w:color w:val="000000" w:themeColor="text1"/>
        </w:rPr>
        <w:t>, A.</w:t>
      </w:r>
      <w:r w:rsidR="00A75170" w:rsidRPr="008C2309">
        <w:rPr>
          <w:rFonts w:ascii="Times" w:hAnsi="Times" w:cstheme="minorHAnsi"/>
          <w:color w:val="000000" w:themeColor="text1"/>
        </w:rPr>
        <w:t xml:space="preserve"> M.</w:t>
      </w:r>
      <w:r w:rsidR="000E38F4" w:rsidRPr="008C2309">
        <w:rPr>
          <w:rFonts w:ascii="Times" w:hAnsi="Times" w:cstheme="minorHAnsi"/>
          <w:color w:val="000000" w:themeColor="text1"/>
        </w:rPr>
        <w:t xml:space="preserve"> Madi </w:t>
      </w:r>
      <w:r w:rsidR="000E38F4" w:rsidRPr="008C2309">
        <w:rPr>
          <w:rFonts w:ascii="Times" w:hAnsi="Times" w:cstheme="minorHAnsi"/>
          <w:color w:val="000000" w:themeColor="text1"/>
          <w:vertAlign w:val="superscript"/>
        </w:rPr>
        <w:t>1</w:t>
      </w:r>
      <w:r w:rsidR="000E38F4" w:rsidRPr="008C2309">
        <w:rPr>
          <w:rFonts w:ascii="Times" w:hAnsi="Times" w:cstheme="minorHAnsi"/>
          <w:color w:val="000000" w:themeColor="text1"/>
        </w:rPr>
        <w:t xml:space="preserve">, </w:t>
      </w:r>
      <w:r w:rsidR="00A33649" w:rsidRPr="008C2309">
        <w:rPr>
          <w:rFonts w:ascii="Times" w:hAnsi="Times" w:cstheme="minorHAnsi"/>
          <w:color w:val="000000" w:themeColor="text1"/>
        </w:rPr>
        <w:t>D.</w:t>
      </w:r>
      <w:r w:rsidR="00B21D9F" w:rsidRPr="008C2309">
        <w:rPr>
          <w:rFonts w:ascii="Times" w:hAnsi="Times" w:cstheme="minorHAnsi"/>
          <w:color w:val="000000" w:themeColor="text1"/>
        </w:rPr>
        <w:t xml:space="preserve"> </w:t>
      </w:r>
      <w:r w:rsidR="00A33649" w:rsidRPr="008C2309">
        <w:rPr>
          <w:rFonts w:ascii="Times" w:hAnsi="Times" w:cstheme="minorHAnsi"/>
          <w:color w:val="000000" w:themeColor="text1"/>
        </w:rPr>
        <w:t>S. Jones</w:t>
      </w:r>
      <w:r w:rsidR="00B21D9F" w:rsidRPr="008C2309">
        <w:rPr>
          <w:rFonts w:ascii="Times" w:hAnsi="Times" w:cstheme="minorHAnsi"/>
          <w:color w:val="000000" w:themeColor="text1"/>
        </w:rPr>
        <w:t xml:space="preserve"> </w:t>
      </w:r>
      <w:r w:rsidR="00B21D9F" w:rsidRPr="008C2309">
        <w:rPr>
          <w:rFonts w:ascii="Times" w:hAnsi="Times" w:cstheme="minorHAnsi"/>
          <w:color w:val="000000" w:themeColor="text1"/>
          <w:vertAlign w:val="superscript"/>
        </w:rPr>
        <w:t>2</w:t>
      </w:r>
      <w:r w:rsidR="00A33649" w:rsidRPr="008C2309">
        <w:rPr>
          <w:rFonts w:ascii="Times" w:hAnsi="Times" w:cstheme="minorHAnsi"/>
          <w:color w:val="000000" w:themeColor="text1"/>
        </w:rPr>
        <w:t xml:space="preserve">, </w:t>
      </w:r>
      <w:r w:rsidR="000E38F4" w:rsidRPr="008C2309">
        <w:rPr>
          <w:rFonts w:ascii="Times" w:hAnsi="Times" w:cstheme="minorHAnsi"/>
          <w:color w:val="000000" w:themeColor="text1"/>
        </w:rPr>
        <w:t>S.</w:t>
      </w:r>
      <w:r w:rsidR="00A75170" w:rsidRPr="008C2309">
        <w:rPr>
          <w:rFonts w:ascii="Times" w:hAnsi="Times" w:cstheme="minorHAnsi"/>
          <w:color w:val="000000" w:themeColor="text1"/>
        </w:rPr>
        <w:t xml:space="preserve"> </w:t>
      </w:r>
      <w:r w:rsidR="000E38F4" w:rsidRPr="008C2309">
        <w:rPr>
          <w:rFonts w:ascii="Times" w:hAnsi="Times" w:cstheme="minorHAnsi"/>
          <w:color w:val="000000" w:themeColor="text1"/>
        </w:rPr>
        <w:t xml:space="preserve">Li </w:t>
      </w:r>
      <w:r w:rsidR="000E38F4" w:rsidRPr="008C2309">
        <w:rPr>
          <w:rFonts w:ascii="Times" w:hAnsi="Times" w:cstheme="minorHAnsi"/>
          <w:color w:val="000000" w:themeColor="text1"/>
          <w:vertAlign w:val="superscript"/>
        </w:rPr>
        <w:t>2</w:t>
      </w:r>
      <w:r w:rsidR="000E38F4" w:rsidRPr="008C2309">
        <w:rPr>
          <w:rFonts w:ascii="Times" w:hAnsi="Times" w:cstheme="minorHAnsi"/>
          <w:color w:val="000000" w:themeColor="text1"/>
        </w:rPr>
        <w:t xml:space="preserve">, Y. Tian </w:t>
      </w:r>
      <w:r w:rsidR="000E38F4" w:rsidRPr="008C2309">
        <w:rPr>
          <w:rFonts w:ascii="Times" w:hAnsi="Times" w:cstheme="minorHAnsi"/>
          <w:color w:val="000000" w:themeColor="text1"/>
          <w:vertAlign w:val="superscript"/>
        </w:rPr>
        <w:t>2</w:t>
      </w:r>
      <w:r w:rsidR="000E38F4" w:rsidRPr="008C2309">
        <w:rPr>
          <w:rFonts w:ascii="Times" w:hAnsi="Times" w:cstheme="minorHAnsi"/>
          <w:color w:val="000000" w:themeColor="text1"/>
        </w:rPr>
        <w:t xml:space="preserve">, A. Almajaan </w:t>
      </w:r>
      <w:r w:rsidR="000E38F4" w:rsidRPr="008C2309">
        <w:rPr>
          <w:rFonts w:ascii="Times" w:hAnsi="Times" w:cstheme="minorHAnsi"/>
          <w:color w:val="000000" w:themeColor="text1"/>
          <w:vertAlign w:val="superscript"/>
        </w:rPr>
        <w:t>2</w:t>
      </w:r>
      <w:r w:rsidR="000E38F4" w:rsidRPr="008C2309">
        <w:rPr>
          <w:rFonts w:ascii="Times" w:hAnsi="Times" w:cstheme="minorHAnsi"/>
          <w:color w:val="000000" w:themeColor="text1"/>
        </w:rPr>
        <w:t xml:space="preserve">, Z. Senta-Loys </w:t>
      </w:r>
      <w:r w:rsidR="000E38F4" w:rsidRPr="008C2309">
        <w:rPr>
          <w:rFonts w:ascii="Times" w:hAnsi="Times" w:cstheme="minorHAnsi"/>
          <w:color w:val="000000" w:themeColor="text1"/>
          <w:vertAlign w:val="superscript"/>
        </w:rPr>
        <w:t>2</w:t>
      </w:r>
      <w:r w:rsidR="000E38F4" w:rsidRPr="008C2309">
        <w:rPr>
          <w:rFonts w:ascii="Times" w:hAnsi="Times" w:cstheme="minorHAnsi"/>
          <w:color w:val="000000" w:themeColor="text1"/>
        </w:rPr>
        <w:t>, G.</w:t>
      </w:r>
      <w:r w:rsidR="00A75170" w:rsidRPr="008C2309">
        <w:rPr>
          <w:rFonts w:ascii="Times" w:hAnsi="Times" w:cstheme="minorHAnsi"/>
          <w:color w:val="000000" w:themeColor="text1"/>
        </w:rPr>
        <w:t xml:space="preserve"> </w:t>
      </w:r>
      <w:r w:rsidR="000E38F4" w:rsidRPr="008C2309">
        <w:rPr>
          <w:rFonts w:ascii="Times" w:hAnsi="Times" w:cstheme="minorHAnsi"/>
          <w:color w:val="000000" w:themeColor="text1"/>
        </w:rPr>
        <w:t>P. Andrews</w:t>
      </w:r>
      <w:r w:rsidR="000E38F4" w:rsidRPr="008C2309">
        <w:rPr>
          <w:rFonts w:ascii="Times" w:hAnsi="Times" w:cstheme="minorHAnsi"/>
          <w:color w:val="000000" w:themeColor="text1"/>
          <w:vertAlign w:val="superscript"/>
        </w:rPr>
        <w:t>2</w:t>
      </w:r>
      <w:r w:rsidR="0052606A" w:rsidRPr="008C2309">
        <w:rPr>
          <w:rFonts w:ascii="Times" w:hAnsi="Times" w:cstheme="minorHAnsi"/>
          <w:color w:val="000000" w:themeColor="text1"/>
        </w:rPr>
        <w:t>,</w:t>
      </w:r>
      <w:r w:rsidR="000E38F4" w:rsidRPr="008C2309">
        <w:rPr>
          <w:rFonts w:ascii="Times" w:hAnsi="Times" w:cstheme="minorHAnsi"/>
          <w:color w:val="000000" w:themeColor="text1"/>
        </w:rPr>
        <w:t xml:space="preserve"> A.</w:t>
      </w:r>
      <w:r w:rsidR="00A75170" w:rsidRPr="008C2309">
        <w:rPr>
          <w:rFonts w:ascii="Times" w:hAnsi="Times" w:cstheme="minorHAnsi"/>
          <w:color w:val="000000" w:themeColor="text1"/>
        </w:rPr>
        <w:t xml:space="preserve"> </w:t>
      </w:r>
      <w:r w:rsidR="000E38F4" w:rsidRPr="008C2309">
        <w:rPr>
          <w:rFonts w:ascii="Times" w:hAnsi="Times" w:cstheme="minorHAnsi"/>
          <w:color w:val="000000" w:themeColor="text1"/>
        </w:rPr>
        <w:t xml:space="preserve">M. Healy </w:t>
      </w:r>
      <w:r w:rsidR="00810759" w:rsidRPr="008C2309">
        <w:rPr>
          <w:rFonts w:ascii="Times" w:hAnsi="Times" w:cstheme="minorHAnsi"/>
          <w:color w:val="000000" w:themeColor="text1"/>
          <w:vertAlign w:val="superscript"/>
        </w:rPr>
        <w:t>1,</w:t>
      </w:r>
      <w:r w:rsidR="00810759" w:rsidRPr="008C2309">
        <w:rPr>
          <w:rFonts w:ascii="Times" w:hAnsi="Times" w:cstheme="minorHAnsi"/>
          <w:color w:val="000000" w:themeColor="text1"/>
        </w:rPr>
        <w:t xml:space="preserve"> *</w:t>
      </w:r>
    </w:p>
    <w:p w14:paraId="58EE4930" w14:textId="77777777" w:rsidR="007C693A" w:rsidRPr="008C2309" w:rsidRDefault="007C693A" w:rsidP="00E41DED">
      <w:pPr>
        <w:spacing w:line="480" w:lineRule="auto"/>
        <w:jc w:val="both"/>
        <w:outlineLvl w:val="0"/>
        <w:rPr>
          <w:rFonts w:ascii="Times" w:hAnsi="Times" w:cstheme="minorHAnsi"/>
          <w:color w:val="000000" w:themeColor="text1"/>
        </w:rPr>
      </w:pPr>
    </w:p>
    <w:p w14:paraId="0C54FCDF" w14:textId="77777777" w:rsidR="007C693A" w:rsidRPr="008C2309" w:rsidRDefault="007C693A" w:rsidP="00E41DED">
      <w:pPr>
        <w:spacing w:line="480" w:lineRule="auto"/>
        <w:jc w:val="both"/>
        <w:outlineLvl w:val="0"/>
        <w:rPr>
          <w:rFonts w:ascii="Times" w:hAnsi="Times" w:cstheme="minorHAnsi"/>
          <w:color w:val="000000" w:themeColor="text1"/>
        </w:rPr>
      </w:pPr>
    </w:p>
    <w:p w14:paraId="5F1858D9" w14:textId="77777777" w:rsidR="007C693A" w:rsidRPr="008C2309" w:rsidRDefault="007C693A" w:rsidP="00E41DED">
      <w:pPr>
        <w:spacing w:line="480" w:lineRule="auto"/>
        <w:jc w:val="both"/>
        <w:outlineLvl w:val="0"/>
        <w:rPr>
          <w:rFonts w:ascii="Times" w:hAnsi="Times" w:cstheme="minorHAnsi"/>
          <w:color w:val="000000" w:themeColor="text1"/>
        </w:rPr>
      </w:pPr>
    </w:p>
    <w:p w14:paraId="74258C8C" w14:textId="795C2585" w:rsidR="000C3319" w:rsidRPr="008C2309" w:rsidRDefault="000C3319" w:rsidP="00E41DED">
      <w:pPr>
        <w:spacing w:line="480" w:lineRule="auto"/>
        <w:jc w:val="both"/>
        <w:outlineLvl w:val="0"/>
        <w:rPr>
          <w:rFonts w:ascii="Times" w:hAnsi="Times" w:cstheme="minorHAnsi"/>
          <w:color w:val="000000" w:themeColor="text1"/>
        </w:rPr>
      </w:pPr>
      <w:r w:rsidRPr="008C2309">
        <w:rPr>
          <w:rFonts w:ascii="Times" w:hAnsi="Times" w:cstheme="minorHAnsi"/>
          <w:color w:val="000000" w:themeColor="text1"/>
        </w:rPr>
        <w:t>Affiliation</w:t>
      </w:r>
    </w:p>
    <w:p w14:paraId="0925A315" w14:textId="3DF08145" w:rsidR="00810759" w:rsidRPr="008C2309" w:rsidRDefault="00810759" w:rsidP="00E41DED">
      <w:pPr>
        <w:spacing w:line="480" w:lineRule="auto"/>
        <w:jc w:val="both"/>
        <w:rPr>
          <w:rFonts w:ascii="Times" w:hAnsi="Times" w:cstheme="minorHAnsi"/>
          <w:color w:val="000000" w:themeColor="text1"/>
        </w:rPr>
      </w:pPr>
      <w:r w:rsidRPr="008C2309">
        <w:rPr>
          <w:rFonts w:ascii="Times" w:hAnsi="Times" w:cstheme="minorHAnsi"/>
          <w:color w:val="000000" w:themeColor="text1"/>
          <w:vertAlign w:val="superscript"/>
        </w:rPr>
        <w:t>1</w:t>
      </w:r>
      <w:r w:rsidRPr="008C2309">
        <w:rPr>
          <w:rFonts w:ascii="Times" w:hAnsi="Times" w:cstheme="minorHAnsi"/>
          <w:color w:val="000000" w:themeColor="text1"/>
        </w:rPr>
        <w:t xml:space="preserve"> School of Pharmacy and Pharmaceutical Sciences, Trinity College Dublin, Dublin, Ireland</w:t>
      </w:r>
    </w:p>
    <w:p w14:paraId="1EFCE164" w14:textId="25C6A941" w:rsidR="007D1CEE" w:rsidRPr="008C2309" w:rsidRDefault="00810759" w:rsidP="00E41DED">
      <w:pPr>
        <w:spacing w:line="480" w:lineRule="auto"/>
        <w:jc w:val="both"/>
        <w:outlineLvl w:val="0"/>
        <w:rPr>
          <w:rFonts w:ascii="Times" w:hAnsi="Times" w:cstheme="minorHAnsi"/>
          <w:color w:val="000000" w:themeColor="text1"/>
        </w:rPr>
      </w:pPr>
      <w:r w:rsidRPr="008C2309">
        <w:rPr>
          <w:rFonts w:ascii="Times" w:hAnsi="Times" w:cstheme="minorHAnsi"/>
          <w:color w:val="000000" w:themeColor="text1"/>
          <w:vertAlign w:val="superscript"/>
        </w:rPr>
        <w:t>2</w:t>
      </w:r>
      <w:r w:rsidRPr="008C2309">
        <w:rPr>
          <w:rFonts w:ascii="Times" w:hAnsi="Times" w:cstheme="minorHAnsi"/>
          <w:color w:val="000000" w:themeColor="text1"/>
        </w:rPr>
        <w:t xml:space="preserve"> </w:t>
      </w:r>
      <w:r w:rsidR="007D1CEE" w:rsidRPr="008C2309">
        <w:rPr>
          <w:rFonts w:ascii="Times" w:hAnsi="Times" w:cstheme="minorHAnsi"/>
          <w:color w:val="000000" w:themeColor="text1"/>
        </w:rPr>
        <w:t>School of Pharmacy, Queen</w:t>
      </w:r>
      <w:r w:rsidR="00C1701B" w:rsidRPr="008C2309">
        <w:rPr>
          <w:rFonts w:ascii="Times" w:hAnsi="Times" w:cstheme="minorHAnsi"/>
          <w:color w:val="000000" w:themeColor="text1"/>
        </w:rPr>
        <w:t>’</w:t>
      </w:r>
      <w:r w:rsidR="007D1CEE" w:rsidRPr="008C2309">
        <w:rPr>
          <w:rFonts w:ascii="Times" w:hAnsi="Times" w:cstheme="minorHAnsi"/>
          <w:color w:val="000000" w:themeColor="text1"/>
        </w:rPr>
        <w:t xml:space="preserve">s University </w:t>
      </w:r>
      <w:r w:rsidR="00A40A1B" w:rsidRPr="008C2309">
        <w:rPr>
          <w:rFonts w:ascii="Times" w:hAnsi="Times" w:cstheme="minorHAnsi"/>
          <w:color w:val="000000" w:themeColor="text1"/>
        </w:rPr>
        <w:t xml:space="preserve">of </w:t>
      </w:r>
      <w:r w:rsidR="007D1CEE" w:rsidRPr="008C2309">
        <w:rPr>
          <w:rFonts w:ascii="Times" w:hAnsi="Times" w:cstheme="minorHAnsi"/>
          <w:color w:val="000000" w:themeColor="text1"/>
        </w:rPr>
        <w:t xml:space="preserve">Belfast, </w:t>
      </w:r>
      <w:r w:rsidR="00DF47E5" w:rsidRPr="008C2309">
        <w:rPr>
          <w:rFonts w:ascii="Times" w:hAnsi="Times" w:cstheme="minorHAnsi"/>
          <w:color w:val="000000" w:themeColor="text1"/>
        </w:rPr>
        <w:t xml:space="preserve">Belfast, </w:t>
      </w:r>
      <w:r w:rsidR="007D1CEE" w:rsidRPr="008C2309">
        <w:rPr>
          <w:rFonts w:ascii="Times" w:hAnsi="Times" w:cstheme="minorHAnsi"/>
          <w:color w:val="000000" w:themeColor="text1"/>
        </w:rPr>
        <w:t>Northern Ireland</w:t>
      </w:r>
    </w:p>
    <w:p w14:paraId="0C78D81E" w14:textId="77777777" w:rsidR="00663D9B" w:rsidRPr="008C2309" w:rsidRDefault="00663D9B" w:rsidP="00E41DED">
      <w:pPr>
        <w:spacing w:line="480" w:lineRule="auto"/>
        <w:jc w:val="both"/>
        <w:rPr>
          <w:rFonts w:ascii="Times" w:hAnsi="Times" w:cstheme="minorHAnsi"/>
          <w:color w:val="000000" w:themeColor="text1"/>
        </w:rPr>
      </w:pPr>
    </w:p>
    <w:p w14:paraId="40DDF944" w14:textId="1BD91BB9" w:rsidR="00053171" w:rsidRPr="008C2309" w:rsidRDefault="00053171" w:rsidP="00E41DED">
      <w:pPr>
        <w:spacing w:line="480" w:lineRule="auto"/>
        <w:jc w:val="both"/>
        <w:rPr>
          <w:rFonts w:ascii="Times" w:hAnsi="Times" w:cstheme="minorHAnsi"/>
          <w:color w:val="000000" w:themeColor="text1"/>
        </w:rPr>
      </w:pPr>
    </w:p>
    <w:p w14:paraId="7E772356" w14:textId="6D80E914" w:rsidR="001227E8" w:rsidRPr="008C2309" w:rsidRDefault="001227E8" w:rsidP="00E41DED">
      <w:pPr>
        <w:spacing w:line="480" w:lineRule="auto"/>
        <w:jc w:val="both"/>
        <w:rPr>
          <w:rFonts w:ascii="Times" w:hAnsi="Times" w:cstheme="minorHAnsi"/>
          <w:color w:val="000000" w:themeColor="text1"/>
        </w:rPr>
      </w:pPr>
    </w:p>
    <w:p w14:paraId="057A86E0" w14:textId="33883E51" w:rsidR="001227E8" w:rsidRPr="008C2309" w:rsidRDefault="001227E8" w:rsidP="00E41DED">
      <w:pPr>
        <w:spacing w:line="480" w:lineRule="auto"/>
        <w:jc w:val="both"/>
        <w:rPr>
          <w:rFonts w:ascii="Times" w:hAnsi="Times" w:cstheme="minorHAnsi"/>
          <w:color w:val="000000" w:themeColor="text1"/>
        </w:rPr>
      </w:pPr>
    </w:p>
    <w:p w14:paraId="0CCB8B83" w14:textId="62A039F9" w:rsidR="001227E8" w:rsidRPr="008C2309" w:rsidRDefault="001227E8" w:rsidP="00E41DED">
      <w:pPr>
        <w:spacing w:line="480" w:lineRule="auto"/>
        <w:jc w:val="both"/>
        <w:rPr>
          <w:rFonts w:ascii="Times" w:hAnsi="Times" w:cstheme="minorHAnsi"/>
          <w:color w:val="000000" w:themeColor="text1"/>
        </w:rPr>
      </w:pPr>
    </w:p>
    <w:p w14:paraId="4CCF2836" w14:textId="77777777" w:rsidR="0052606A" w:rsidRPr="008C2309" w:rsidRDefault="0052606A" w:rsidP="00E41DED">
      <w:pPr>
        <w:spacing w:line="480" w:lineRule="auto"/>
        <w:jc w:val="both"/>
        <w:rPr>
          <w:rFonts w:ascii="Times" w:hAnsi="Times" w:cstheme="minorHAnsi"/>
          <w:color w:val="000000" w:themeColor="text1"/>
        </w:rPr>
      </w:pPr>
    </w:p>
    <w:p w14:paraId="795D1A5B" w14:textId="77777777" w:rsidR="00663D9B" w:rsidRPr="008C2309" w:rsidRDefault="00663D9B" w:rsidP="00E41DED">
      <w:pPr>
        <w:spacing w:line="480" w:lineRule="auto"/>
        <w:jc w:val="both"/>
        <w:rPr>
          <w:rFonts w:ascii="Times" w:hAnsi="Times" w:cstheme="minorHAnsi"/>
          <w:color w:val="000000" w:themeColor="text1"/>
        </w:rPr>
      </w:pPr>
    </w:p>
    <w:p w14:paraId="624177BE" w14:textId="63D18EB8" w:rsidR="00476DC4" w:rsidRPr="008C2309" w:rsidRDefault="00053171"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w:t>
      </w:r>
      <w:r w:rsidR="00476DC4" w:rsidRPr="008C2309">
        <w:rPr>
          <w:rFonts w:ascii="Times" w:hAnsi="Times" w:cstheme="minorHAnsi"/>
          <w:color w:val="000000" w:themeColor="text1"/>
        </w:rPr>
        <w:t>To whom c</w:t>
      </w:r>
      <w:r w:rsidRPr="008C2309">
        <w:rPr>
          <w:rFonts w:ascii="Times" w:hAnsi="Times" w:cstheme="minorHAnsi"/>
          <w:color w:val="000000" w:themeColor="text1"/>
        </w:rPr>
        <w:t>orrespondence</w:t>
      </w:r>
      <w:r w:rsidR="00640EB5" w:rsidRPr="008C2309">
        <w:rPr>
          <w:rFonts w:ascii="Times" w:hAnsi="Times" w:cstheme="minorHAnsi"/>
          <w:color w:val="000000" w:themeColor="text1"/>
        </w:rPr>
        <w:t xml:space="preserve"> sho</w:t>
      </w:r>
      <w:r w:rsidR="00476DC4" w:rsidRPr="008C2309">
        <w:rPr>
          <w:rFonts w:ascii="Times" w:hAnsi="Times" w:cstheme="minorHAnsi"/>
          <w:color w:val="000000" w:themeColor="text1"/>
        </w:rPr>
        <w:t>uld be addressed</w:t>
      </w:r>
      <w:r w:rsidRPr="008C2309">
        <w:rPr>
          <w:rFonts w:ascii="Times" w:hAnsi="Times" w:cstheme="minorHAnsi"/>
          <w:color w:val="000000" w:themeColor="text1"/>
        </w:rPr>
        <w:t xml:space="preserve"> to: </w:t>
      </w:r>
    </w:p>
    <w:p w14:paraId="04089282" w14:textId="32E0B4CF" w:rsidR="00A119DC" w:rsidRPr="008C2309" w:rsidRDefault="00A119DC"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A</w:t>
      </w:r>
      <w:r w:rsidR="00CF5BC9" w:rsidRPr="008C2309">
        <w:rPr>
          <w:rFonts w:ascii="Times" w:hAnsi="Times" w:cstheme="minorHAnsi"/>
          <w:color w:val="000000" w:themeColor="text1"/>
        </w:rPr>
        <w:t>nne Marie</w:t>
      </w:r>
      <w:r w:rsidRPr="008C2309">
        <w:rPr>
          <w:rFonts w:ascii="Times" w:hAnsi="Times" w:cstheme="minorHAnsi"/>
          <w:color w:val="000000" w:themeColor="text1"/>
        </w:rPr>
        <w:t xml:space="preserve"> Healy </w:t>
      </w:r>
      <w:r w:rsidR="00E4426F" w:rsidRPr="008C2309">
        <w:rPr>
          <w:rFonts w:ascii="Times" w:hAnsi="Times" w:cstheme="minorHAnsi"/>
          <w:color w:val="000000" w:themeColor="text1"/>
        </w:rPr>
        <w:t xml:space="preserve"> </w:t>
      </w:r>
    </w:p>
    <w:p w14:paraId="270EFBA3" w14:textId="25B5FE3C" w:rsidR="00A119DC" w:rsidRPr="008C2309" w:rsidRDefault="00A119DC"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Tel: +35318961444</w:t>
      </w:r>
    </w:p>
    <w:p w14:paraId="09A86332" w14:textId="65EDA9BA" w:rsidR="00663D9B" w:rsidRPr="008C2309" w:rsidRDefault="00A119DC"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Email:</w:t>
      </w:r>
      <w:r w:rsidR="00E4426F" w:rsidRPr="008C2309">
        <w:rPr>
          <w:rFonts w:ascii="Times" w:hAnsi="Times" w:cstheme="minorHAnsi"/>
          <w:color w:val="000000" w:themeColor="text1"/>
        </w:rPr>
        <w:t xml:space="preserve"> </w:t>
      </w:r>
      <w:hyperlink r:id="rId8" w:history="1">
        <w:r w:rsidR="00AA7F76" w:rsidRPr="008C2309">
          <w:rPr>
            <w:rStyle w:val="Hyperlink"/>
            <w:rFonts w:ascii="Times" w:hAnsi="Times" w:cstheme="minorHAnsi"/>
            <w:color w:val="000000" w:themeColor="text1"/>
            <w:u w:val="none"/>
          </w:rPr>
          <w:t>healyam@tcd.ie</w:t>
        </w:r>
      </w:hyperlink>
    </w:p>
    <w:p w14:paraId="7ABC0B59" w14:textId="40BD77D7" w:rsidR="00E41DED" w:rsidRPr="008C2309" w:rsidRDefault="00E41DED" w:rsidP="00E41DED">
      <w:pPr>
        <w:spacing w:line="480" w:lineRule="auto"/>
        <w:jc w:val="both"/>
        <w:rPr>
          <w:rFonts w:ascii="Times" w:hAnsi="Times" w:cstheme="minorHAnsi"/>
          <w:color w:val="000000" w:themeColor="text1"/>
        </w:rPr>
      </w:pPr>
    </w:p>
    <w:p w14:paraId="3FAB5556" w14:textId="77777777" w:rsidR="00C1701B" w:rsidRPr="008C2309" w:rsidRDefault="00C1701B" w:rsidP="00E41DED">
      <w:pPr>
        <w:spacing w:line="480" w:lineRule="auto"/>
        <w:jc w:val="both"/>
        <w:rPr>
          <w:rFonts w:ascii="Times" w:hAnsi="Times" w:cstheme="minorHAnsi"/>
          <w:color w:val="000000" w:themeColor="text1"/>
        </w:rPr>
      </w:pPr>
    </w:p>
    <w:p w14:paraId="05FDDFBB" w14:textId="1F437A6B" w:rsidR="00A87C18" w:rsidRPr="008C2309" w:rsidRDefault="00A87C18"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Abstract</w:t>
      </w:r>
    </w:p>
    <w:p w14:paraId="476302EB" w14:textId="7E1D23CA" w:rsidR="00E031C4" w:rsidRPr="008C2309" w:rsidRDefault="006F7D97" w:rsidP="00555A21">
      <w:pPr>
        <w:spacing w:line="480" w:lineRule="auto"/>
        <w:jc w:val="both"/>
        <w:rPr>
          <w:rFonts w:ascii="Times" w:hAnsi="Times" w:cstheme="minorHAnsi"/>
          <w:color w:val="000000" w:themeColor="text1"/>
        </w:rPr>
      </w:pPr>
      <w:r w:rsidRPr="008C2309">
        <w:rPr>
          <w:rFonts w:ascii="Times" w:hAnsi="Times" w:cstheme="minorHAnsi"/>
          <w:color w:val="000000" w:themeColor="text1"/>
        </w:rPr>
        <w:t xml:space="preserve">The purpose of this work </w:t>
      </w:r>
      <w:r w:rsidR="0041718E" w:rsidRPr="008C2309">
        <w:rPr>
          <w:rFonts w:ascii="Times" w:hAnsi="Times" w:cstheme="minorHAnsi"/>
          <w:color w:val="000000" w:themeColor="text1"/>
        </w:rPr>
        <w:t xml:space="preserve">was </w:t>
      </w:r>
      <w:r w:rsidRPr="008C2309">
        <w:rPr>
          <w:rFonts w:ascii="Times" w:hAnsi="Times" w:cstheme="minorHAnsi"/>
          <w:color w:val="000000" w:themeColor="text1"/>
        </w:rPr>
        <w:t xml:space="preserve">to </w:t>
      </w:r>
      <w:r w:rsidR="00593FEF" w:rsidRPr="008C2309">
        <w:rPr>
          <w:rFonts w:ascii="Times" w:hAnsi="Times" w:cstheme="minorHAnsi"/>
          <w:color w:val="000000" w:themeColor="text1"/>
        </w:rPr>
        <w:t xml:space="preserve">investigate the </w:t>
      </w:r>
      <w:r w:rsidR="0041718E" w:rsidRPr="008C2309">
        <w:rPr>
          <w:rFonts w:ascii="Times" w:hAnsi="Times" w:cstheme="minorHAnsi"/>
          <w:color w:val="000000" w:themeColor="text1"/>
        </w:rPr>
        <w:t xml:space="preserve">application </w:t>
      </w:r>
      <w:r w:rsidR="00593FEF" w:rsidRPr="008C2309">
        <w:rPr>
          <w:rFonts w:ascii="Times" w:hAnsi="Times" w:cstheme="minorHAnsi"/>
          <w:color w:val="000000" w:themeColor="text1"/>
        </w:rPr>
        <w:t xml:space="preserve">of different advanced </w:t>
      </w:r>
      <w:r w:rsidR="00433C3F" w:rsidRPr="008C2309">
        <w:rPr>
          <w:rFonts w:ascii="Times" w:hAnsi="Times" w:cstheme="minorHAnsi"/>
          <w:color w:val="000000" w:themeColor="text1"/>
        </w:rPr>
        <w:t xml:space="preserve">continuous </w:t>
      </w:r>
      <w:r w:rsidR="00CA7DBF" w:rsidRPr="008C2309">
        <w:rPr>
          <w:rFonts w:ascii="Times" w:hAnsi="Times" w:cstheme="minorHAnsi"/>
          <w:color w:val="000000" w:themeColor="text1"/>
        </w:rPr>
        <w:t xml:space="preserve">processing </w:t>
      </w:r>
      <w:r w:rsidR="00593FEF" w:rsidRPr="008C2309">
        <w:rPr>
          <w:rFonts w:ascii="Times" w:hAnsi="Times" w:cstheme="minorHAnsi"/>
          <w:color w:val="000000" w:themeColor="text1"/>
        </w:rPr>
        <w:t>techniques (hot</w:t>
      </w:r>
      <w:r w:rsidR="007B2B0D" w:rsidRPr="008C2309">
        <w:rPr>
          <w:rFonts w:ascii="Times" w:hAnsi="Times" w:cstheme="minorHAnsi"/>
          <w:color w:val="000000" w:themeColor="text1"/>
        </w:rPr>
        <w:t xml:space="preserve"> </w:t>
      </w:r>
      <w:r w:rsidR="00593FEF" w:rsidRPr="008C2309">
        <w:rPr>
          <w:rFonts w:ascii="Times" w:hAnsi="Times" w:cstheme="minorHAnsi"/>
          <w:color w:val="000000" w:themeColor="text1"/>
        </w:rPr>
        <w:t xml:space="preserve">melt extrusion and </w:t>
      </w:r>
      <w:r w:rsidR="001161AF" w:rsidRPr="008C2309">
        <w:rPr>
          <w:rFonts w:ascii="Times" w:hAnsi="Times" w:cstheme="minorHAnsi"/>
          <w:color w:val="000000" w:themeColor="text1"/>
        </w:rPr>
        <w:t>spray</w:t>
      </w:r>
      <w:r w:rsidR="007B2B0D" w:rsidRPr="008C2309">
        <w:rPr>
          <w:rFonts w:ascii="Times" w:hAnsi="Times" w:cstheme="minorHAnsi"/>
          <w:color w:val="000000" w:themeColor="text1"/>
        </w:rPr>
        <w:t xml:space="preserve"> </w:t>
      </w:r>
      <w:r w:rsidR="001161AF" w:rsidRPr="008C2309">
        <w:rPr>
          <w:rFonts w:ascii="Times" w:hAnsi="Times" w:cstheme="minorHAnsi"/>
          <w:color w:val="000000" w:themeColor="text1"/>
        </w:rPr>
        <w:t xml:space="preserve">drying) </w:t>
      </w:r>
      <w:r w:rsidR="0041718E" w:rsidRPr="008C2309">
        <w:rPr>
          <w:rFonts w:ascii="Times" w:hAnsi="Times" w:cstheme="minorHAnsi"/>
          <w:color w:val="000000" w:themeColor="text1"/>
        </w:rPr>
        <w:t xml:space="preserve">to </w:t>
      </w:r>
      <w:r w:rsidR="001161AF" w:rsidRPr="008C2309">
        <w:rPr>
          <w:rFonts w:ascii="Times" w:hAnsi="Times" w:cstheme="minorHAnsi"/>
          <w:color w:val="000000" w:themeColor="text1"/>
        </w:rPr>
        <w:t>the production</w:t>
      </w:r>
      <w:r w:rsidR="00593FEF" w:rsidRPr="008C2309">
        <w:rPr>
          <w:rFonts w:ascii="Times" w:hAnsi="Times" w:cstheme="minorHAnsi"/>
          <w:color w:val="000000" w:themeColor="text1"/>
        </w:rPr>
        <w:t xml:space="preserve"> of </w:t>
      </w:r>
      <w:r w:rsidR="0041718E" w:rsidRPr="008C2309">
        <w:rPr>
          <w:rFonts w:ascii="Times" w:hAnsi="Times" w:cstheme="minorHAnsi"/>
          <w:color w:val="000000" w:themeColor="text1"/>
        </w:rPr>
        <w:t>fixed-dose combination (FDC) monolithic systems comprising</w:t>
      </w:r>
      <w:r w:rsidR="00FE45E9" w:rsidRPr="008C2309">
        <w:rPr>
          <w:rFonts w:ascii="Times" w:hAnsi="Times" w:cstheme="minorHAnsi"/>
          <w:color w:val="000000" w:themeColor="text1"/>
        </w:rPr>
        <w:t xml:space="preserve"> of</w:t>
      </w:r>
      <w:r w:rsidR="0041718E" w:rsidRPr="008C2309">
        <w:rPr>
          <w:rFonts w:ascii="Times" w:hAnsi="Times" w:cstheme="minorHAnsi"/>
          <w:color w:val="000000" w:themeColor="text1"/>
        </w:rPr>
        <w:t xml:space="preserve"> </w:t>
      </w:r>
      <w:r w:rsidR="00593FEF" w:rsidRPr="008C2309">
        <w:rPr>
          <w:rFonts w:ascii="Times" w:hAnsi="Times" w:cstheme="minorHAnsi"/>
          <w:color w:val="000000" w:themeColor="text1"/>
        </w:rPr>
        <w:t>hydrochlorothiazide and rami</w:t>
      </w:r>
      <w:r w:rsidR="001468BD" w:rsidRPr="008C2309">
        <w:rPr>
          <w:rFonts w:ascii="Times" w:hAnsi="Times" w:cstheme="minorHAnsi"/>
          <w:color w:val="000000" w:themeColor="text1"/>
        </w:rPr>
        <w:t xml:space="preserve">pril </w:t>
      </w:r>
      <w:r w:rsidR="000C49D6" w:rsidRPr="008C2309">
        <w:rPr>
          <w:rFonts w:ascii="Times" w:hAnsi="Times" w:cstheme="minorHAnsi"/>
          <w:color w:val="000000" w:themeColor="text1"/>
        </w:rPr>
        <w:t>for the treatment of hypertension</w:t>
      </w:r>
      <w:r w:rsidR="001468BD" w:rsidRPr="008C2309">
        <w:rPr>
          <w:rFonts w:ascii="Times" w:hAnsi="Times" w:cstheme="minorHAnsi"/>
          <w:color w:val="000000" w:themeColor="text1"/>
        </w:rPr>
        <w:t>.</w:t>
      </w:r>
      <w:r w:rsidRPr="008C2309">
        <w:rPr>
          <w:rFonts w:ascii="Times" w:hAnsi="Times" w:cstheme="minorHAnsi"/>
          <w:color w:val="000000" w:themeColor="text1"/>
        </w:rPr>
        <w:t xml:space="preserve"> </w:t>
      </w:r>
      <w:r w:rsidR="0041718E" w:rsidRPr="008C2309">
        <w:rPr>
          <w:rFonts w:ascii="Times" w:hAnsi="Times" w:cstheme="minorHAnsi"/>
          <w:color w:val="000000" w:themeColor="text1"/>
        </w:rPr>
        <w:t xml:space="preserve">Identical </w:t>
      </w:r>
      <w:r w:rsidR="00F1549D" w:rsidRPr="008C2309">
        <w:rPr>
          <w:rFonts w:ascii="Times" w:hAnsi="Times" w:cstheme="minorHAnsi"/>
          <w:color w:val="000000" w:themeColor="text1"/>
        </w:rPr>
        <w:t>FDC</w:t>
      </w:r>
      <w:r w:rsidR="001468BD" w:rsidRPr="008C2309">
        <w:rPr>
          <w:rFonts w:ascii="Times" w:hAnsi="Times" w:cstheme="minorHAnsi"/>
          <w:color w:val="000000" w:themeColor="text1"/>
        </w:rPr>
        <w:t xml:space="preserve"> </w:t>
      </w:r>
      <w:r w:rsidR="0041718E" w:rsidRPr="008C2309">
        <w:rPr>
          <w:rFonts w:ascii="Times" w:hAnsi="Times" w:cstheme="minorHAnsi"/>
          <w:color w:val="000000" w:themeColor="text1"/>
        </w:rPr>
        <w:t xml:space="preserve">formulations </w:t>
      </w:r>
      <w:r w:rsidR="001468BD" w:rsidRPr="008C2309">
        <w:rPr>
          <w:rFonts w:ascii="Times" w:hAnsi="Times" w:cstheme="minorHAnsi"/>
          <w:color w:val="000000" w:themeColor="text1"/>
        </w:rPr>
        <w:t xml:space="preserve">were manufactured </w:t>
      </w:r>
      <w:r w:rsidR="0041718E" w:rsidRPr="008C2309">
        <w:rPr>
          <w:rFonts w:ascii="Times" w:hAnsi="Times" w:cstheme="minorHAnsi"/>
          <w:color w:val="000000" w:themeColor="text1"/>
        </w:rPr>
        <w:t xml:space="preserve">by the two different methods </w:t>
      </w:r>
      <w:r w:rsidR="001468BD" w:rsidRPr="008C2309">
        <w:rPr>
          <w:rFonts w:ascii="Times" w:hAnsi="Times" w:cstheme="minorHAnsi"/>
          <w:color w:val="000000" w:themeColor="text1"/>
        </w:rPr>
        <w:t xml:space="preserve">and were </w:t>
      </w:r>
      <w:r w:rsidR="0041718E" w:rsidRPr="008C2309">
        <w:rPr>
          <w:rFonts w:ascii="Times" w:hAnsi="Times" w:cstheme="minorHAnsi"/>
          <w:color w:val="000000" w:themeColor="text1"/>
        </w:rPr>
        <w:t>characterised</w:t>
      </w:r>
      <w:r w:rsidR="001468BD" w:rsidRPr="008C2309">
        <w:rPr>
          <w:rFonts w:ascii="Times" w:hAnsi="Times" w:cstheme="minorHAnsi"/>
          <w:color w:val="000000" w:themeColor="text1"/>
        </w:rPr>
        <w:t xml:space="preserve"> </w:t>
      </w:r>
      <w:r w:rsidR="0041718E" w:rsidRPr="008C2309">
        <w:rPr>
          <w:rFonts w:ascii="Times" w:hAnsi="Times" w:cstheme="minorHAnsi"/>
          <w:color w:val="000000" w:themeColor="text1"/>
        </w:rPr>
        <w:t xml:space="preserve">using </w:t>
      </w:r>
      <w:r w:rsidR="001468BD" w:rsidRPr="008C2309">
        <w:rPr>
          <w:rFonts w:ascii="Times" w:hAnsi="Times" w:cstheme="minorHAnsi"/>
          <w:color w:val="000000" w:themeColor="text1"/>
        </w:rPr>
        <w:t>powder x-ray diffraction</w:t>
      </w:r>
      <w:r w:rsidR="00EA1159" w:rsidRPr="008C2309">
        <w:rPr>
          <w:rFonts w:ascii="Times" w:hAnsi="Times" w:cstheme="minorHAnsi"/>
          <w:color w:val="000000" w:themeColor="text1"/>
        </w:rPr>
        <w:t xml:space="preserve"> (PXRD)</w:t>
      </w:r>
      <w:r w:rsidR="001468BD" w:rsidRPr="008C2309">
        <w:rPr>
          <w:rFonts w:ascii="Times" w:hAnsi="Times" w:cstheme="minorHAnsi"/>
          <w:color w:val="000000" w:themeColor="text1"/>
        </w:rPr>
        <w:t xml:space="preserve"> and modulated differential scanning calorimetry</w:t>
      </w:r>
      <w:r w:rsidR="00EA1159" w:rsidRPr="008C2309">
        <w:rPr>
          <w:rFonts w:ascii="Times" w:hAnsi="Times" w:cstheme="minorHAnsi"/>
          <w:color w:val="000000" w:themeColor="text1"/>
        </w:rPr>
        <w:t xml:space="preserve"> (</w:t>
      </w:r>
      <w:r w:rsidR="0099066F" w:rsidRPr="008C2309">
        <w:rPr>
          <w:rFonts w:ascii="Times" w:hAnsi="Times" w:cstheme="minorHAnsi"/>
          <w:color w:val="000000" w:themeColor="text1"/>
        </w:rPr>
        <w:t>mDSC</w:t>
      </w:r>
      <w:r w:rsidR="00EA1159" w:rsidRPr="008C2309">
        <w:rPr>
          <w:rFonts w:ascii="Times" w:hAnsi="Times" w:cstheme="minorHAnsi"/>
          <w:color w:val="000000" w:themeColor="text1"/>
        </w:rPr>
        <w:t>)</w:t>
      </w:r>
      <w:r w:rsidR="001468BD" w:rsidRPr="008C2309">
        <w:rPr>
          <w:rFonts w:ascii="Times" w:hAnsi="Times" w:cstheme="minorHAnsi"/>
          <w:color w:val="000000" w:themeColor="text1"/>
        </w:rPr>
        <w:t xml:space="preserve">. </w:t>
      </w:r>
      <w:r w:rsidR="0041718E" w:rsidRPr="008C2309">
        <w:rPr>
          <w:rFonts w:ascii="Times" w:hAnsi="Times" w:cstheme="minorHAnsi"/>
          <w:color w:val="000000" w:themeColor="text1"/>
        </w:rPr>
        <w:t>D</w:t>
      </w:r>
      <w:r w:rsidR="00F75A67" w:rsidRPr="008C2309">
        <w:rPr>
          <w:rFonts w:ascii="Times" w:hAnsi="Times" w:cstheme="minorHAnsi"/>
          <w:color w:val="000000" w:themeColor="text1"/>
        </w:rPr>
        <w:t>ru</w:t>
      </w:r>
      <w:r w:rsidR="00F1549D" w:rsidRPr="008C2309">
        <w:rPr>
          <w:rFonts w:ascii="Times" w:hAnsi="Times" w:cstheme="minorHAnsi"/>
          <w:color w:val="000000" w:themeColor="text1"/>
        </w:rPr>
        <w:t xml:space="preserve">g </w:t>
      </w:r>
      <w:r w:rsidR="001468BD" w:rsidRPr="008C2309">
        <w:rPr>
          <w:rFonts w:ascii="Times" w:hAnsi="Times" w:cstheme="minorHAnsi"/>
          <w:color w:val="000000" w:themeColor="text1"/>
        </w:rPr>
        <w:t xml:space="preserve">dissolution rates </w:t>
      </w:r>
      <w:r w:rsidR="0041718E" w:rsidRPr="008C2309">
        <w:rPr>
          <w:rFonts w:ascii="Times" w:hAnsi="Times" w:cstheme="minorHAnsi"/>
          <w:color w:val="000000" w:themeColor="text1"/>
        </w:rPr>
        <w:t xml:space="preserve">were investigated using a Wood’s apparatus, while </w:t>
      </w:r>
      <w:r w:rsidR="002A423E" w:rsidRPr="008C2309">
        <w:rPr>
          <w:rFonts w:ascii="Times" w:hAnsi="Times" w:cstheme="minorHAnsi"/>
          <w:color w:val="000000" w:themeColor="text1"/>
        </w:rPr>
        <w:t>physical</w:t>
      </w:r>
      <w:r w:rsidR="00F1549D" w:rsidRPr="008C2309">
        <w:rPr>
          <w:rFonts w:ascii="Times" w:hAnsi="Times" w:cstheme="minorHAnsi"/>
          <w:color w:val="000000" w:themeColor="text1"/>
        </w:rPr>
        <w:t xml:space="preserve"> </w:t>
      </w:r>
      <w:r w:rsidR="00950366" w:rsidRPr="008C2309">
        <w:rPr>
          <w:rFonts w:ascii="Times" w:hAnsi="Times" w:cstheme="minorHAnsi"/>
          <w:color w:val="000000" w:themeColor="text1"/>
        </w:rPr>
        <w:t>stability</w:t>
      </w:r>
      <w:r w:rsidR="001468BD" w:rsidRPr="008C2309">
        <w:rPr>
          <w:rFonts w:ascii="Times" w:hAnsi="Times" w:cstheme="minorHAnsi"/>
          <w:color w:val="000000" w:themeColor="text1"/>
        </w:rPr>
        <w:t xml:space="preserve"> </w:t>
      </w:r>
      <w:r w:rsidR="0041718E" w:rsidRPr="008C2309">
        <w:rPr>
          <w:rFonts w:ascii="Times" w:hAnsi="Times" w:cstheme="minorHAnsi"/>
          <w:color w:val="000000" w:themeColor="text1"/>
        </w:rPr>
        <w:t>was assessed on</w:t>
      </w:r>
      <w:r w:rsidR="00E4523D" w:rsidRPr="008C2309">
        <w:rPr>
          <w:rFonts w:ascii="Times" w:hAnsi="Times" w:cstheme="minorHAnsi"/>
          <w:color w:val="000000" w:themeColor="text1"/>
        </w:rPr>
        <w:t xml:space="preserve"> </w:t>
      </w:r>
      <w:r w:rsidR="0041718E" w:rsidRPr="008C2309">
        <w:rPr>
          <w:rFonts w:ascii="Times" w:hAnsi="Times" w:cstheme="minorHAnsi"/>
          <w:color w:val="000000" w:themeColor="text1"/>
        </w:rPr>
        <w:t>storage under controlled temperature and humidity conditions</w:t>
      </w:r>
      <w:r w:rsidR="008A492E" w:rsidRPr="008C2309">
        <w:rPr>
          <w:rFonts w:ascii="Times" w:hAnsi="Times" w:cstheme="minorHAnsi"/>
          <w:color w:val="000000" w:themeColor="text1"/>
        </w:rPr>
        <w:t>.</w:t>
      </w:r>
      <w:r w:rsidR="00E4523D" w:rsidRPr="008C2309">
        <w:rPr>
          <w:rFonts w:ascii="Times" w:hAnsi="Times" w:cstheme="minorHAnsi"/>
          <w:color w:val="000000" w:themeColor="text1"/>
        </w:rPr>
        <w:t xml:space="preserve"> </w:t>
      </w:r>
      <w:r w:rsidR="00A33649" w:rsidRPr="008C2309">
        <w:rPr>
          <w:rFonts w:ascii="Times" w:hAnsi="Times" w:cstheme="minorHAnsi"/>
          <w:color w:val="000000" w:themeColor="text1"/>
        </w:rPr>
        <w:t>Interestingly</w:t>
      </w:r>
      <w:r w:rsidRPr="008C2309">
        <w:rPr>
          <w:rFonts w:ascii="Times" w:hAnsi="Times" w:cstheme="minorHAnsi"/>
          <w:color w:val="000000" w:themeColor="text1"/>
        </w:rPr>
        <w:t xml:space="preserve"> b</w:t>
      </w:r>
      <w:r w:rsidR="00EA1159" w:rsidRPr="008C2309">
        <w:rPr>
          <w:rFonts w:ascii="Times" w:hAnsi="Times" w:cstheme="minorHAnsi"/>
          <w:color w:val="000000" w:themeColor="text1"/>
        </w:rPr>
        <w:t xml:space="preserve">oth drugs were transformed into their amorphous forms when </w:t>
      </w:r>
      <w:r w:rsidR="004A7D47" w:rsidRPr="008C2309">
        <w:rPr>
          <w:rFonts w:ascii="Times" w:hAnsi="Times" w:cstheme="minorHAnsi"/>
          <w:color w:val="000000" w:themeColor="text1"/>
        </w:rPr>
        <w:t xml:space="preserve">spray dried, however, </w:t>
      </w:r>
      <w:r w:rsidR="007B2B0D" w:rsidRPr="008C2309">
        <w:rPr>
          <w:rFonts w:ascii="Times" w:hAnsi="Times" w:cstheme="minorHAnsi"/>
          <w:color w:val="000000" w:themeColor="text1"/>
        </w:rPr>
        <w:t xml:space="preserve">hydrochlorothiazide </w:t>
      </w:r>
      <w:r w:rsidR="00E4523D" w:rsidRPr="008C2309">
        <w:rPr>
          <w:rFonts w:ascii="Times" w:hAnsi="Times" w:cstheme="minorHAnsi"/>
          <w:color w:val="000000" w:themeColor="text1"/>
        </w:rPr>
        <w:t xml:space="preserve">was determined, </w:t>
      </w:r>
      <w:r w:rsidR="004A6B37" w:rsidRPr="008C2309">
        <w:rPr>
          <w:rFonts w:ascii="Times" w:hAnsi="Times" w:cstheme="minorHAnsi"/>
          <w:color w:val="000000" w:themeColor="text1"/>
        </w:rPr>
        <w:t>by PXRD</w:t>
      </w:r>
      <w:r w:rsidR="00E4523D" w:rsidRPr="008C2309">
        <w:rPr>
          <w:rFonts w:ascii="Times" w:hAnsi="Times" w:cstheme="minorHAnsi"/>
          <w:color w:val="000000" w:themeColor="text1"/>
        </w:rPr>
        <w:t xml:space="preserve">, to be </w:t>
      </w:r>
      <w:r w:rsidR="004A7D47" w:rsidRPr="008C2309">
        <w:rPr>
          <w:rFonts w:ascii="Times" w:hAnsi="Times" w:cstheme="minorHAnsi"/>
          <w:color w:val="000000" w:themeColor="text1"/>
        </w:rPr>
        <w:t>partially crystalline when hot melt extruded with either polymer carrier (Kollidon</w:t>
      </w:r>
      <w:r w:rsidR="00FD3B3F" w:rsidRPr="008C2309">
        <w:rPr>
          <w:rFonts w:ascii="Times" w:hAnsi="Times" w:cstheme="minorHAnsi"/>
          <w:color w:val="000000" w:themeColor="text1"/>
          <w:vertAlign w:val="superscript"/>
        </w:rPr>
        <w:t>®</w:t>
      </w:r>
      <w:r w:rsidR="004A7D47" w:rsidRPr="008C2309">
        <w:rPr>
          <w:rFonts w:ascii="Times" w:hAnsi="Times" w:cstheme="minorHAnsi"/>
          <w:color w:val="000000" w:themeColor="text1"/>
        </w:rPr>
        <w:t xml:space="preserve"> VA 64 or Soluplus</w:t>
      </w:r>
      <w:r w:rsidR="00FD3B3F" w:rsidRPr="008C2309">
        <w:rPr>
          <w:rFonts w:ascii="Times" w:hAnsi="Times" w:cstheme="minorHAnsi"/>
          <w:color w:val="000000" w:themeColor="text1"/>
          <w:vertAlign w:val="superscript"/>
        </w:rPr>
        <w:t>®</w:t>
      </w:r>
      <w:r w:rsidR="004A7D47" w:rsidRPr="008C2309">
        <w:rPr>
          <w:rFonts w:ascii="Times" w:hAnsi="Times" w:cstheme="minorHAnsi"/>
          <w:color w:val="000000" w:themeColor="text1"/>
        </w:rPr>
        <w:t>)</w:t>
      </w:r>
      <w:r w:rsidR="00EA1159" w:rsidRPr="008C2309">
        <w:rPr>
          <w:rFonts w:ascii="Times" w:hAnsi="Times" w:cstheme="minorHAnsi"/>
          <w:color w:val="000000" w:themeColor="text1"/>
        </w:rPr>
        <w:t xml:space="preserve">. </w:t>
      </w:r>
      <w:r w:rsidR="00E4523D" w:rsidRPr="008C2309">
        <w:rPr>
          <w:rFonts w:ascii="Times" w:hAnsi="Times" w:cstheme="minorHAnsi"/>
          <w:color w:val="000000" w:themeColor="text1"/>
        </w:rPr>
        <w:t xml:space="preserve">Hot melt extrusion was found to result in significant degradation of </w:t>
      </w:r>
      <w:r w:rsidR="007B2B0D" w:rsidRPr="008C2309">
        <w:rPr>
          <w:rFonts w:ascii="Times" w:hAnsi="Times" w:cstheme="minorHAnsi"/>
          <w:color w:val="000000" w:themeColor="text1"/>
        </w:rPr>
        <w:t>r</w:t>
      </w:r>
      <w:r w:rsidR="00E4523D" w:rsidRPr="008C2309">
        <w:rPr>
          <w:rFonts w:ascii="Times" w:hAnsi="Times" w:cstheme="minorHAnsi"/>
          <w:color w:val="000000" w:themeColor="text1"/>
        </w:rPr>
        <w:t xml:space="preserve">amipril, </w:t>
      </w:r>
      <w:r w:rsidR="007B2B0D" w:rsidRPr="008C2309">
        <w:rPr>
          <w:rFonts w:ascii="Times" w:hAnsi="Times" w:cstheme="minorHAnsi"/>
          <w:color w:val="000000" w:themeColor="text1"/>
        </w:rPr>
        <w:t>however</w:t>
      </w:r>
      <w:r w:rsidR="00E4523D" w:rsidRPr="008C2309">
        <w:rPr>
          <w:rFonts w:ascii="Times" w:hAnsi="Times" w:cstheme="minorHAnsi"/>
          <w:color w:val="000000" w:themeColor="text1"/>
        </w:rPr>
        <w:t xml:space="preserve">, this could be mitigated by the inclusion of the </w:t>
      </w:r>
      <w:r w:rsidR="007B2B0D" w:rsidRPr="008C2309">
        <w:rPr>
          <w:rFonts w:ascii="Times" w:hAnsi="Times" w:cstheme="minorHAnsi"/>
          <w:color w:val="000000" w:themeColor="text1"/>
        </w:rPr>
        <w:t>plasticizer</w:t>
      </w:r>
      <w:r w:rsidR="00E4523D" w:rsidRPr="008C2309">
        <w:rPr>
          <w:rFonts w:ascii="Times" w:hAnsi="Times" w:cstheme="minorHAnsi"/>
          <w:color w:val="000000" w:themeColor="text1"/>
        </w:rPr>
        <w:t xml:space="preserve">, </w:t>
      </w:r>
      <w:r w:rsidR="00FB6B6D" w:rsidRPr="008C2309">
        <w:rPr>
          <w:rFonts w:ascii="Times" w:hAnsi="Times" w:cstheme="minorHAnsi"/>
          <w:color w:val="000000" w:themeColor="text1"/>
        </w:rPr>
        <w:t>polyethylene glycol 3350</w:t>
      </w:r>
      <w:r w:rsidR="00E4523D" w:rsidRPr="008C2309">
        <w:rPr>
          <w:rFonts w:ascii="Times" w:hAnsi="Times" w:cstheme="minorHAnsi"/>
          <w:color w:val="000000" w:themeColor="text1"/>
        </w:rPr>
        <w:t xml:space="preserve">, in the formulation and appropriate adjustment of processing </w:t>
      </w:r>
      <w:r w:rsidR="007B2B0D" w:rsidRPr="008C2309">
        <w:rPr>
          <w:rFonts w:ascii="Times" w:hAnsi="Times" w:cstheme="minorHAnsi"/>
          <w:color w:val="000000" w:themeColor="text1"/>
        </w:rPr>
        <w:t>temperature</w:t>
      </w:r>
      <w:r w:rsidR="00E4523D" w:rsidRPr="008C2309">
        <w:rPr>
          <w:rFonts w:ascii="Times" w:hAnsi="Times" w:cstheme="minorHAnsi"/>
          <w:color w:val="000000" w:themeColor="text1"/>
        </w:rPr>
        <w:t>.</w:t>
      </w:r>
      <w:r w:rsidR="00E22065" w:rsidRPr="008C2309">
        <w:rPr>
          <w:rFonts w:ascii="Times" w:hAnsi="Times" w:cstheme="minorHAnsi"/>
          <w:color w:val="000000" w:themeColor="text1"/>
        </w:rPr>
        <w:t xml:space="preserve"> The results of </w:t>
      </w:r>
      <w:r w:rsidR="00CB4A8E" w:rsidRPr="008C2309">
        <w:rPr>
          <w:rFonts w:ascii="Times" w:hAnsi="Times" w:cstheme="minorHAnsi"/>
          <w:color w:val="000000" w:themeColor="text1"/>
        </w:rPr>
        <w:t>i</w:t>
      </w:r>
      <w:r w:rsidR="00E4523D" w:rsidRPr="008C2309">
        <w:rPr>
          <w:rFonts w:ascii="Times" w:hAnsi="Times" w:cstheme="minorHAnsi"/>
          <w:color w:val="000000" w:themeColor="text1"/>
        </w:rPr>
        <w:t>ntrinsic dissolution rate studies</w:t>
      </w:r>
      <w:r w:rsidR="00E22065" w:rsidRPr="008C2309">
        <w:rPr>
          <w:rFonts w:ascii="Times" w:hAnsi="Times" w:cstheme="minorHAnsi"/>
          <w:color w:val="000000" w:themeColor="text1"/>
        </w:rPr>
        <w:t xml:space="preserve"> showed that</w:t>
      </w:r>
      <w:r w:rsidR="00CB4A8E" w:rsidRPr="008C2309">
        <w:rPr>
          <w:rFonts w:ascii="Times" w:hAnsi="Times" w:cstheme="minorHAnsi"/>
          <w:color w:val="000000" w:themeColor="text1"/>
        </w:rPr>
        <w:t xml:space="preserve"> </w:t>
      </w:r>
      <w:r w:rsidR="00E4523D" w:rsidRPr="008C2309">
        <w:rPr>
          <w:rFonts w:ascii="Times" w:hAnsi="Times" w:cstheme="minorHAnsi"/>
          <w:color w:val="000000" w:themeColor="text1"/>
        </w:rPr>
        <w:t>hot-melt extruded samples were found to release both drugs faster than identical formulations produced via spray</w:t>
      </w:r>
      <w:r w:rsidR="00020AED" w:rsidRPr="008C2309">
        <w:rPr>
          <w:rFonts w:ascii="Times" w:hAnsi="Times" w:cstheme="minorHAnsi"/>
          <w:color w:val="000000" w:themeColor="text1"/>
        </w:rPr>
        <w:t xml:space="preserve"> </w:t>
      </w:r>
      <w:r w:rsidR="00E4523D" w:rsidRPr="008C2309">
        <w:rPr>
          <w:rFonts w:ascii="Times" w:hAnsi="Times" w:cstheme="minorHAnsi"/>
          <w:color w:val="000000" w:themeColor="text1"/>
        </w:rPr>
        <w:t xml:space="preserve">drying. However, the differences were attributable to </w:t>
      </w:r>
      <w:r w:rsidR="00FB6B6D" w:rsidRPr="008C2309">
        <w:rPr>
          <w:rFonts w:ascii="Times" w:hAnsi="Times" w:cstheme="minorHAnsi"/>
          <w:color w:val="000000" w:themeColor="text1"/>
        </w:rPr>
        <w:t>the surface roughness of the compressed discs in the Wood’s apparatus</w:t>
      </w:r>
      <w:r w:rsidR="00050C9E" w:rsidRPr="008C2309">
        <w:rPr>
          <w:rFonts w:ascii="Times" w:hAnsi="Times" w:cstheme="minorHAnsi"/>
          <w:color w:val="000000" w:themeColor="text1"/>
        </w:rPr>
        <w:t xml:space="preserve">, </w:t>
      </w:r>
      <w:r w:rsidR="00E4523D" w:rsidRPr="008C2309">
        <w:rPr>
          <w:rFonts w:ascii="Times" w:hAnsi="Times" w:cstheme="minorHAnsi"/>
          <w:color w:val="000000" w:themeColor="text1"/>
        </w:rPr>
        <w:t>rather than solid state differences between samples. A</w:t>
      </w:r>
      <w:r w:rsidR="009D046B" w:rsidRPr="008C2309">
        <w:rPr>
          <w:rFonts w:ascii="Times" w:hAnsi="Times" w:cstheme="minorHAnsi"/>
          <w:color w:val="000000" w:themeColor="text1"/>
        </w:rPr>
        <w:t>fter a 60-day stability study</w:t>
      </w:r>
      <w:r w:rsidR="000C49D6" w:rsidRPr="008C2309">
        <w:rPr>
          <w:rFonts w:ascii="Times" w:hAnsi="Times" w:cstheme="minorHAnsi"/>
          <w:color w:val="000000" w:themeColor="text1"/>
        </w:rPr>
        <w:t xml:space="preserve"> </w:t>
      </w:r>
      <w:r w:rsidR="009D046B" w:rsidRPr="008C2309">
        <w:rPr>
          <w:rFonts w:ascii="Times" w:hAnsi="Times" w:cstheme="minorHAnsi"/>
          <w:color w:val="000000" w:themeColor="text1"/>
        </w:rPr>
        <w:t>spray</w:t>
      </w:r>
      <w:r w:rsidR="00020AED" w:rsidRPr="008C2309">
        <w:rPr>
          <w:rFonts w:ascii="Times" w:hAnsi="Times" w:cstheme="minorHAnsi"/>
          <w:color w:val="000000" w:themeColor="text1"/>
        </w:rPr>
        <w:t xml:space="preserve"> </w:t>
      </w:r>
      <w:r w:rsidR="009D046B" w:rsidRPr="008C2309">
        <w:rPr>
          <w:rFonts w:ascii="Times" w:hAnsi="Times" w:cstheme="minorHAnsi"/>
          <w:color w:val="000000" w:themeColor="text1"/>
        </w:rPr>
        <w:t xml:space="preserve">dried samples exhibited </w:t>
      </w:r>
      <w:r w:rsidR="00CE410C" w:rsidRPr="008C2309">
        <w:rPr>
          <w:rFonts w:ascii="Times" w:hAnsi="Times" w:cstheme="minorHAnsi"/>
          <w:color w:val="000000" w:themeColor="text1"/>
        </w:rPr>
        <w:t xml:space="preserve">a greater </w:t>
      </w:r>
      <w:r w:rsidR="00E76A56" w:rsidRPr="008C2309">
        <w:rPr>
          <w:rFonts w:ascii="Times" w:hAnsi="Times" w:cstheme="minorHAnsi"/>
          <w:color w:val="000000" w:themeColor="text1"/>
        </w:rPr>
        <w:t>physical stability than the equivalent hot melt extruded samp</w:t>
      </w:r>
      <w:r w:rsidR="006F787D" w:rsidRPr="008C2309">
        <w:rPr>
          <w:rFonts w:ascii="Times" w:hAnsi="Times" w:cstheme="minorHAnsi"/>
          <w:color w:val="000000" w:themeColor="text1"/>
        </w:rPr>
        <w:t>les.</w:t>
      </w:r>
    </w:p>
    <w:p w14:paraId="5F27E4C9" w14:textId="77777777" w:rsidR="003C64F1" w:rsidRPr="008C2309" w:rsidRDefault="003C64F1" w:rsidP="00E41DED">
      <w:pPr>
        <w:spacing w:line="480" w:lineRule="auto"/>
        <w:jc w:val="both"/>
        <w:rPr>
          <w:rFonts w:ascii="Times" w:hAnsi="Times" w:cstheme="minorHAnsi"/>
          <w:color w:val="000000" w:themeColor="text1"/>
        </w:rPr>
      </w:pPr>
    </w:p>
    <w:p w14:paraId="615B3D2B" w14:textId="079E363D" w:rsidR="00E41DED" w:rsidRPr="008C2309" w:rsidRDefault="00433C3F"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Key words:</w:t>
      </w:r>
      <w:r w:rsidR="003C64F1" w:rsidRPr="008C2309">
        <w:rPr>
          <w:rFonts w:ascii="Times" w:hAnsi="Times" w:cstheme="minorHAnsi"/>
          <w:color w:val="000000" w:themeColor="text1"/>
        </w:rPr>
        <w:t xml:space="preserve"> </w:t>
      </w:r>
      <w:r w:rsidRPr="008C2309">
        <w:rPr>
          <w:rFonts w:ascii="Times" w:hAnsi="Times" w:cstheme="minorHAnsi"/>
          <w:color w:val="000000" w:themeColor="text1"/>
        </w:rPr>
        <w:t>Hot melt extrusion, spray drying, fixed dose combinations, continuous manufacture, amorphous solid dispersions</w:t>
      </w:r>
      <w:r w:rsidR="00663D9B" w:rsidRPr="008C2309">
        <w:rPr>
          <w:rFonts w:ascii="Times" w:hAnsi="Times" w:cstheme="minorHAnsi"/>
          <w:color w:val="000000" w:themeColor="text1"/>
        </w:rPr>
        <w:t>.</w:t>
      </w:r>
    </w:p>
    <w:p w14:paraId="778F5862" w14:textId="77777777" w:rsidR="00E41DED" w:rsidRPr="008C2309" w:rsidRDefault="00E41DED" w:rsidP="00E41DED">
      <w:pPr>
        <w:spacing w:line="480" w:lineRule="auto"/>
        <w:jc w:val="both"/>
        <w:rPr>
          <w:rFonts w:ascii="Times" w:hAnsi="Times" w:cstheme="minorHAnsi"/>
          <w:color w:val="000000" w:themeColor="text1"/>
        </w:rPr>
      </w:pPr>
    </w:p>
    <w:p w14:paraId="076BD8C9" w14:textId="5E92655D" w:rsidR="00A87C18" w:rsidRPr="008C2309" w:rsidRDefault="00A87C18" w:rsidP="00E41DED">
      <w:pPr>
        <w:pStyle w:val="Heading1"/>
      </w:pPr>
      <w:r w:rsidRPr="008C2309">
        <w:t>Introduction</w:t>
      </w:r>
    </w:p>
    <w:p w14:paraId="7EF6B9F9" w14:textId="6BF907A8" w:rsidR="003369A4" w:rsidRPr="008C2309" w:rsidRDefault="00E031C4" w:rsidP="00E41DED">
      <w:pPr>
        <w:spacing w:line="480" w:lineRule="auto"/>
        <w:jc w:val="both"/>
        <w:rPr>
          <w:rFonts w:ascii="Times" w:hAnsi="Times"/>
        </w:rPr>
      </w:pPr>
      <w:r w:rsidRPr="008C2309">
        <w:rPr>
          <w:rFonts w:ascii="Times" w:hAnsi="Times"/>
        </w:rPr>
        <w:t>A f</w:t>
      </w:r>
      <w:r w:rsidR="00805FF3" w:rsidRPr="008C2309">
        <w:rPr>
          <w:rFonts w:ascii="Times" w:hAnsi="Times"/>
        </w:rPr>
        <w:t xml:space="preserve">ixed dose combination (FDC) product </w:t>
      </w:r>
      <w:r w:rsidRPr="008C2309">
        <w:rPr>
          <w:rFonts w:ascii="Times" w:hAnsi="Times"/>
        </w:rPr>
        <w:t xml:space="preserve">is </w:t>
      </w:r>
      <w:r w:rsidR="00805FF3" w:rsidRPr="008C2309">
        <w:rPr>
          <w:rFonts w:ascii="Times" w:hAnsi="Times"/>
        </w:rPr>
        <w:t>defined as a combination product that include</w:t>
      </w:r>
      <w:r w:rsidRPr="008C2309">
        <w:rPr>
          <w:rFonts w:ascii="Times" w:hAnsi="Times"/>
        </w:rPr>
        <w:t>s</w:t>
      </w:r>
      <w:r w:rsidR="00805FF3" w:rsidRPr="008C2309">
        <w:rPr>
          <w:rFonts w:ascii="Times" w:hAnsi="Times"/>
        </w:rPr>
        <w:t xml:space="preserve"> two or more active pharmaceutical ingredients (APIs) combined in a single dosage form, which is manufactured and distributed in fixed doses</w:t>
      </w:r>
      <w:r w:rsidR="00D932EC" w:rsidRPr="008C2309">
        <w:rPr>
          <w:rFonts w:ascii="Times" w:hAnsi="Times"/>
        </w:rPr>
        <w:t xml:space="preserve"> </w:t>
      </w:r>
      <w:r w:rsidR="00805FF3" w:rsidRPr="008C2309">
        <w:rPr>
          <w:rFonts w:ascii="Times" w:hAnsi="Times"/>
        </w:rPr>
        <w:fldChar w:fldCharType="begin" w:fldLock="1"/>
      </w:r>
      <w:r w:rsidR="00432184" w:rsidRPr="008C2309">
        <w:rPr>
          <w:rFonts w:ascii="Times" w:hAnsi="Times"/>
        </w:rPr>
        <w:instrText>ADDIN CSL_CITATION { "citationItems" : [ { "id" : "ITEM-1", "itemData" : { "DOI" : "10.1111/j.1365-2125.2007.03089.x", "ISBN" : "1365-2125", "ISSN" : "03065251", "PMID" : "18294326", "author" : [ { "dropping-particle" : "", "family" : "Gautam", "given" : "Chandler S.", "non-dropping-particle" : "", "parse-names" : false, "suffix" : "" }, { "dropping-particle" : "", "family" : "Saha", "given" : "Lekha", "non-dropping-particle" : "", "parse-names" : false, "suffix" : "" } ], "container-title" : "British Journal of Clinical Pharmacology", "id" : "ITEM-1", "issue" : "5", "issued" : { "date-parts" : [ [ "2008" ] ] }, "page" : "795-796", "title" : "Fixed dose drug combinations (FDCs): Rational or irrational: A view point", "type" : "article-journal", "volume" : "65" }, "uris" : [ "http://www.mendeley.com/documents/?uuid=20aa1e2e-a2c6-44d4-87c3-999bb812cebe", "http://www.mendeley.com/documents/?uuid=730b9768-39f2-445c-9eef-ce2c33a1afe8" ] } ], "mendeley" : { "formattedCitation" : "(Gautam and Saha, 2008)", "plainTextFormattedCitation" : "(Gautam and Saha, 2008)", "previouslyFormattedCitation" : "(Gautam and Saha, 2008)" }, "properties" : {  }, "schema" : "https://github.com/citation-style-language/schema/raw/master/csl-citation.json" }</w:instrText>
      </w:r>
      <w:r w:rsidR="00805FF3" w:rsidRPr="008C2309">
        <w:rPr>
          <w:rFonts w:ascii="Times" w:hAnsi="Times"/>
        </w:rPr>
        <w:fldChar w:fldCharType="separate"/>
      </w:r>
      <w:r w:rsidR="00B33BE2" w:rsidRPr="008C2309">
        <w:rPr>
          <w:rFonts w:ascii="Times" w:hAnsi="Times"/>
          <w:noProof/>
        </w:rPr>
        <w:t>(Gautam and Saha, 2008)</w:t>
      </w:r>
      <w:r w:rsidR="00805FF3" w:rsidRPr="008C2309">
        <w:rPr>
          <w:rFonts w:ascii="Times" w:hAnsi="Times"/>
        </w:rPr>
        <w:fldChar w:fldCharType="end"/>
      </w:r>
      <w:r w:rsidR="00805FF3" w:rsidRPr="008C2309">
        <w:rPr>
          <w:rFonts w:ascii="Times" w:hAnsi="Times"/>
        </w:rPr>
        <w:t xml:space="preserve">. FDCs offer many advantages for patients on multiple drugs to treat the same condition, most </w:t>
      </w:r>
      <w:r w:rsidRPr="008C2309">
        <w:rPr>
          <w:rFonts w:ascii="Times" w:hAnsi="Times"/>
        </w:rPr>
        <w:t>notably</w:t>
      </w:r>
      <w:r w:rsidR="00805FF3" w:rsidRPr="008C2309">
        <w:rPr>
          <w:rFonts w:ascii="Times" w:hAnsi="Times"/>
        </w:rPr>
        <w:t>, reducing the pill burden and as a result, increasing patient compliance</w:t>
      </w:r>
      <w:r w:rsidR="00D932EC" w:rsidRPr="008C2309">
        <w:rPr>
          <w:rFonts w:ascii="Times" w:hAnsi="Times"/>
        </w:rPr>
        <w:t xml:space="preserve"> </w:t>
      </w:r>
      <w:r w:rsidR="00805FF3" w:rsidRPr="008C2309">
        <w:rPr>
          <w:rFonts w:ascii="Times" w:hAnsi="Times"/>
        </w:rPr>
        <w:fldChar w:fldCharType="begin" w:fldLock="1"/>
      </w:r>
      <w:r w:rsidR="00432184" w:rsidRPr="008C2309">
        <w:rPr>
          <w:rFonts w:ascii="Times" w:hAnsi="Times"/>
        </w:rPr>
        <w:instrText>ADDIN CSL_CITATION { "citationItems" : [ { "id" : "ITEM-1", "itemData" : { "DOI" : "10.1177/1715163513499530", "ISSN" : "1715-1635", "PMID" : "24093027", "author" : [ { "dropping-particle" : "", "family" : "Farrell", "given" : "Barbara", "non-dropping-particle" : "", "parse-names" : false, "suffix" : "" }, { "dropping-particle" : "", "family" : "Shamji", "given" : "Salima", "non-dropping-particle" : "", "parse-names" : false, "suffix" : "" }, { "dropping-particle" : "", "family" : "Monahan", "given" : "Anne", "non-dropping-particle" : "", "parse-names" : false, "suffix" : "" }, { "dropping-particle" : "", "family" : "French Merkley", "given" : "V\u00e9ronique", "non-dropping-particle" : "", "parse-names" : false, "suffix" : "" } ], "container-title" : "Canadian pharmacists journal : CPJ = Revue des pharmaciens du Canada : RPC", "id" : "ITEM-1", "issue" : "5", "issued" : { "date-parts" : [ [ "2013" ] ] }, "page" : "243-4", "title" : "Reducing polypharmacy in the elderly: Cases to help you &amp;quot;rock the boat&amp;quot;.", "type" : "article-journal", "volume" : "146" }, "uris" : [ "http://www.mendeley.com/documents/?uuid=69edf485-1133-4714-ba53-9b877df05bd0", "http://www.mendeley.com/documents/?uuid=b6b94735-5914-4bbe-9641-8b9cab713621" ] } ], "mendeley" : { "formattedCitation" : "(Farrell et al., 2013)", "plainTextFormattedCitation" : "(Farrell et al., 2013)", "previouslyFormattedCitation" : "(Farrell et al., 2013)" }, "properties" : {  }, "schema" : "https://github.com/citation-style-language/schema/raw/master/csl-citation.json" }</w:instrText>
      </w:r>
      <w:r w:rsidR="00805FF3" w:rsidRPr="008C2309">
        <w:rPr>
          <w:rFonts w:ascii="Times" w:hAnsi="Times"/>
        </w:rPr>
        <w:fldChar w:fldCharType="separate"/>
      </w:r>
      <w:r w:rsidR="00B33BE2" w:rsidRPr="008C2309">
        <w:rPr>
          <w:rFonts w:ascii="Times" w:hAnsi="Times"/>
          <w:noProof/>
        </w:rPr>
        <w:t>(Farrell et al., 2013)</w:t>
      </w:r>
      <w:r w:rsidR="00805FF3" w:rsidRPr="008C2309">
        <w:rPr>
          <w:rFonts w:ascii="Times" w:hAnsi="Times"/>
        </w:rPr>
        <w:fldChar w:fldCharType="end"/>
      </w:r>
      <w:r w:rsidR="00805FF3" w:rsidRPr="008C2309">
        <w:rPr>
          <w:rFonts w:ascii="Times" w:hAnsi="Times"/>
        </w:rPr>
        <w:t xml:space="preserve">. </w:t>
      </w:r>
      <w:r w:rsidR="00924BDA" w:rsidRPr="008C2309">
        <w:rPr>
          <w:rFonts w:ascii="Times" w:hAnsi="Times"/>
        </w:rPr>
        <w:t xml:space="preserve">The </w:t>
      </w:r>
      <w:r w:rsidR="007007B7" w:rsidRPr="008C2309">
        <w:rPr>
          <w:rFonts w:ascii="Times" w:hAnsi="Times"/>
        </w:rPr>
        <w:t>ever-increasing</w:t>
      </w:r>
      <w:r w:rsidR="00924BDA" w:rsidRPr="008C2309">
        <w:rPr>
          <w:rFonts w:ascii="Times" w:hAnsi="Times"/>
        </w:rPr>
        <w:t xml:space="preserve"> role </w:t>
      </w:r>
      <w:r w:rsidR="00F210F6" w:rsidRPr="008C2309">
        <w:rPr>
          <w:rFonts w:ascii="Times" w:hAnsi="Times"/>
        </w:rPr>
        <w:t>FDC products</w:t>
      </w:r>
      <w:r w:rsidR="00924BDA" w:rsidRPr="008C2309">
        <w:rPr>
          <w:rFonts w:ascii="Times" w:hAnsi="Times"/>
        </w:rPr>
        <w:t xml:space="preserve"> play in healthcare is evident from the increasing numbers available on the market.</w:t>
      </w:r>
      <w:r w:rsidR="00F210F6" w:rsidRPr="008C2309">
        <w:rPr>
          <w:rFonts w:ascii="Times" w:hAnsi="Times"/>
        </w:rPr>
        <w:t xml:space="preserve"> FDC approvals </w:t>
      </w:r>
      <w:r w:rsidRPr="008C2309">
        <w:rPr>
          <w:rFonts w:ascii="Times" w:hAnsi="Times"/>
        </w:rPr>
        <w:t xml:space="preserve">by the Food and Drug Administration (FDA) in the United States </w:t>
      </w:r>
      <w:r w:rsidR="00F210F6" w:rsidRPr="008C2309">
        <w:rPr>
          <w:rFonts w:ascii="Times" w:hAnsi="Times"/>
        </w:rPr>
        <w:t>increased from 12 in the 1980s to 59 in the 2000s</w:t>
      </w:r>
      <w:r w:rsidR="00D932EC" w:rsidRPr="008C2309">
        <w:rPr>
          <w:rFonts w:ascii="Times" w:hAnsi="Times"/>
        </w:rPr>
        <w:t xml:space="preserve"> </w:t>
      </w:r>
      <w:r w:rsidRPr="008C2309">
        <w:rPr>
          <w:rFonts w:ascii="Times" w:hAnsi="Times"/>
        </w:rPr>
        <w:fldChar w:fldCharType="begin" w:fldLock="1"/>
      </w:r>
      <w:r w:rsidR="00432184" w:rsidRPr="008C2309">
        <w:rPr>
          <w:rFonts w:ascii="Times" w:hAnsi="Times"/>
        </w:rPr>
        <w:instrText>ADDIN CSL_CITATION { "citationItems" : [ { "id" : "ITEM-1", "itemData" : { "DOI" : "10.1371/journal.pone.0140708", "ISSN" : "19326203", "PMID" : "26469277", "abstract" : "\u00a9 2015 Hao et al.This is an open access article distributed under the terms of the Creative Commons Attribution License, which permits unrestricted use, distribution, and reproduction in any medium, provided the original author and source are credited. Introduction: Fixed-dose combinations (FDC) contain two or more active ingredients. The effective patentand exclusivity life of FDC compared to single active ingredient has not been assessed. Objectives: Trends in FDA approved FDC in the period 1980-2012 and time lag between approval of FDC and single active ingredients in the combination were assessed, and the effective patentand exclusivity life of FDC was compared with their single active ingredients. Materials and Methods: New molecular entities (NMEs), new therapeutic biologics license applications (BLAs) and FDC data were collected from the FDA Orange Book and Drugs@FDA. Analysis includedFDC containing one or more NMEs or BLAs at first FDA approval (NMEs-FDC) and only already marketed drugs (Non-NMEs-FDC). Descriptive, Kruskal-Wallis and Wilcoxon RankSum analyses were performed. Results: During the study period, the FDA approved 28 NMEs-FDC (3.5%of NMEs) and 117 non-NMEs-FDC. FDC approvals increased from 12 in the 1980s to 59 in the 2000s. Non-NMEs-FDC entered the market at a median of 5.43 years (interquartile range 1.74, 10.31) after first FDA approval of single active ingredients in the combination. The Non-NMEs-FDC entered the market at a median of 2.33 years (-7.55, 2.39) before approval of generic single active ingredient. Non-NME-FDC added a median of 9.70 (2.75, 16.24) years to thepatent and exclusivity life of the single active ingredients in the combination. Conclusion: FDC approvals significantly increased over the last twenty years. Pharmaceutical companiesmarket FDC drugs shortly before the generic versions of the single ingredients enter the market extending the patent and exclusivity life of drugs included in the combination.", "author" : [ { "dropping-particle" : "", "family" : "Hao", "given" : "Jing", "non-dropping-particle" : "", "parse-names" : false, "suffix" : "" }, { "dropping-particle" : "", "family" : "Rodriguez-Monguio", "given" : "Rosa", "non-dropping-particle" : "", "parse-names" : false, "suffix" : "" }, { "dropping-particle" : "", "family" : "Seoane-Vazquez", "given" : "Enrique", "non-dropping-particle" : "", "parse-names" : false, "suffix" : "" } ], "container-title" : "PLoS ONE", "id" : "ITEM-1", "issue" : "10", "issued" : { "date-parts" : [ [ "2015" ] ] }, "page" : "1-13", "title" : "Fixed-dose combination drug approvals, patents and market exclusivities compared to single active ingredient pharmaceuticals", "type" : "article-journal", "volume" : "10" }, "uris" : [ "http://www.mendeley.com/documents/?uuid=4992c4c3-c397-4cdf-a9cb-6be863ccf839", "http://www.mendeley.com/documents/?uuid=fb841754-5736-482a-a38c-9eeb1f4787df" ] } ], "mendeley" : { "formattedCitation" : "(Hao et al., 2015)", "plainTextFormattedCitation" : "(Hao et al., 2015)", "previouslyFormattedCitation" : "(Hao et al., 2015)" }, "properties" : {  }, "schema" : "https://github.com/citation-style-language/schema/raw/master/csl-citation.json" }</w:instrText>
      </w:r>
      <w:r w:rsidRPr="008C2309">
        <w:rPr>
          <w:rFonts w:ascii="Times" w:hAnsi="Times"/>
        </w:rPr>
        <w:fldChar w:fldCharType="separate"/>
      </w:r>
      <w:r w:rsidR="00B33BE2" w:rsidRPr="008C2309">
        <w:rPr>
          <w:rFonts w:ascii="Times" w:hAnsi="Times"/>
          <w:noProof/>
        </w:rPr>
        <w:t>(Hao et al., 2015)</w:t>
      </w:r>
      <w:r w:rsidRPr="008C2309">
        <w:rPr>
          <w:rFonts w:ascii="Times" w:hAnsi="Times"/>
        </w:rPr>
        <w:fldChar w:fldCharType="end"/>
      </w:r>
      <w:r w:rsidR="00F210F6" w:rsidRPr="008C2309">
        <w:rPr>
          <w:rFonts w:ascii="Times" w:hAnsi="Times"/>
        </w:rPr>
        <w:t xml:space="preserve">. </w:t>
      </w:r>
      <w:r w:rsidR="00AE427A" w:rsidRPr="008C2309">
        <w:rPr>
          <w:rFonts w:ascii="Times" w:hAnsi="Times"/>
        </w:rPr>
        <w:t>The World Health Organisation (WHO) has also increased the number of FDC products on their essential medication list</w:t>
      </w:r>
      <w:r w:rsidRPr="008C2309">
        <w:rPr>
          <w:rFonts w:ascii="Times" w:hAnsi="Times"/>
        </w:rPr>
        <w:t>,</w:t>
      </w:r>
      <w:r w:rsidR="00AE427A" w:rsidRPr="008C2309">
        <w:rPr>
          <w:rFonts w:ascii="Times" w:hAnsi="Times"/>
        </w:rPr>
        <w:t xml:space="preserve"> with 32 </w:t>
      </w:r>
      <w:r w:rsidR="00441872" w:rsidRPr="008C2309">
        <w:rPr>
          <w:rFonts w:ascii="Times" w:hAnsi="Times"/>
        </w:rPr>
        <w:t xml:space="preserve">FDCs on the </w:t>
      </w:r>
      <w:r w:rsidR="00020AED" w:rsidRPr="008C2309">
        <w:rPr>
          <w:rFonts w:ascii="Times" w:hAnsi="Times"/>
        </w:rPr>
        <w:t>March 2017</w:t>
      </w:r>
      <w:r w:rsidR="00D932EC" w:rsidRPr="008C2309">
        <w:rPr>
          <w:rFonts w:ascii="Times" w:hAnsi="Times"/>
        </w:rPr>
        <w:t xml:space="preserve"> </w:t>
      </w:r>
      <w:r w:rsidR="0002020E" w:rsidRPr="008C2309">
        <w:rPr>
          <w:rFonts w:ascii="Times" w:hAnsi="Times"/>
        </w:rPr>
        <w:fldChar w:fldCharType="begin" w:fldLock="1"/>
      </w:r>
      <w:r w:rsidR="0002020E" w:rsidRPr="008C2309">
        <w:rPr>
          <w:rFonts w:ascii="Times" w:hAnsi="Times"/>
        </w:rPr>
        <w:instrText>ADDIN CSL_CITATION { "citationItems" : [ { "id" : "ITEM-1", "itemData" : { "URL" : "http://www.who.int/entity/medicines/publications/essentialmedicines/20th_EML2017_FINAL_amendedAug2017.pdf?ua=1", "abstract" : "The core list presents a list of minimum medicine needs for a basic health-care system, listing the most efficacious, safe and cost\u2013effective medicines for priority conditions. Priority conditions are selected on the basis of current and estimated future public health relevance, and potential for safe and cost-effective treatment. The complementary list presents essential medicines for priority diseases, for which specialized diagnostic or monitoring facilities, and/or specialist medical care, and/or specialist training are needed. In case of doubt medicines may also be listed as complementary on the basis of consistent higher costs or less attractive cost-effectiveness in a variety of settings. The square box symbol (\uf06f) is primarily intended to indicate similar clinical performance within a pharmacological class. The listed medicine should be the example of the class for which there is the best evidence for effectiveness and safety. In some cases, this may be the first medicine that is licensed for marketing; in other instances, subsequently licensed compounds may be safer or more effective. Where there is no difference in terms of efficacy and safety data, the listed medicine should be the one that is generally available at the lowest price, based on international drug price information sources. Not all square boxes are applicable to medicine selection for children \u2014 see the second EMLc for details. Therapeutic equivalence is indicated only on the basis of reviews of efficacy and safety and when consistent with WHO clinical guidelines. National lists should not use a similar symbol and should be specific in their final selection, which would depend on local availability and price.", "accessed" : { "date-parts" : [ [ "2018", "2", "1" ] ] }, "author" : [ { "dropping-particle" : "", "family" : "World Health Organization", "given" : "", "non-dropping-particle" : "", "parse-names" : false, "suffix" : "" } ], "container-title" : "Essential medicines and health products", "id" : "ITEM-1", "issue" : "August", "issued" : { "date-parts" : [ [ "2017" ] ] }, "title" : "WHO Model List of Essential Medicines 20th edition", "type" : "webpage" }, "uris" : [ "http://www.mendeley.com/documents/?uuid=af91ae49-a912-42a4-8918-9c09e37e4bef" ] } ], "mendeley" : { "formattedCitation" : "(World Health Organization, 2017)", "plainTextFormattedCitation" : "(World Health Organization, 2017)", "previouslyFormattedCitation" : "(World Health Organization, 2017)" }, "properties" : {  }, "schema" : "https://github.com/citation-style-language/schema/raw/master/csl-citation.json" }</w:instrText>
      </w:r>
      <w:r w:rsidR="0002020E" w:rsidRPr="008C2309">
        <w:rPr>
          <w:rFonts w:ascii="Times" w:hAnsi="Times"/>
        </w:rPr>
        <w:fldChar w:fldCharType="separate"/>
      </w:r>
      <w:r w:rsidR="0002020E" w:rsidRPr="008C2309">
        <w:rPr>
          <w:rFonts w:ascii="Times" w:hAnsi="Times"/>
          <w:noProof/>
        </w:rPr>
        <w:t>(World Health Organization, 2017)</w:t>
      </w:r>
      <w:r w:rsidR="0002020E" w:rsidRPr="008C2309">
        <w:rPr>
          <w:rFonts w:ascii="Times" w:hAnsi="Times"/>
        </w:rPr>
        <w:fldChar w:fldCharType="end"/>
      </w:r>
      <w:r w:rsidR="00020AED" w:rsidRPr="008C2309">
        <w:rPr>
          <w:rFonts w:ascii="Times" w:hAnsi="Times"/>
        </w:rPr>
        <w:t xml:space="preserve"> published </w:t>
      </w:r>
      <w:r w:rsidR="00441872" w:rsidRPr="008C2309">
        <w:rPr>
          <w:rFonts w:ascii="Times" w:hAnsi="Times"/>
        </w:rPr>
        <w:t xml:space="preserve">list, which is nearly double the number of FDC products </w:t>
      </w:r>
      <w:r w:rsidRPr="008C2309">
        <w:rPr>
          <w:rFonts w:ascii="Times" w:hAnsi="Times"/>
        </w:rPr>
        <w:t xml:space="preserve">that were </w:t>
      </w:r>
      <w:r w:rsidR="00441872" w:rsidRPr="008C2309">
        <w:rPr>
          <w:rFonts w:ascii="Times" w:hAnsi="Times"/>
        </w:rPr>
        <w:t>on the list in 2002</w:t>
      </w:r>
      <w:r w:rsidR="0002020E" w:rsidRPr="008C2309">
        <w:rPr>
          <w:rFonts w:ascii="Times" w:hAnsi="Times"/>
        </w:rPr>
        <w:t>.</w:t>
      </w:r>
      <w:r w:rsidRPr="008C2309">
        <w:rPr>
          <w:rFonts w:ascii="Times" w:hAnsi="Times"/>
        </w:rPr>
        <w:t xml:space="preserve"> </w:t>
      </w:r>
    </w:p>
    <w:p w14:paraId="581B2BE7" w14:textId="45E66628" w:rsidR="00805FF3" w:rsidRPr="008C2309" w:rsidRDefault="00805FF3" w:rsidP="00E41DED">
      <w:pPr>
        <w:spacing w:line="480" w:lineRule="auto"/>
        <w:jc w:val="both"/>
        <w:rPr>
          <w:rFonts w:ascii="Times" w:hAnsi="Times"/>
        </w:rPr>
      </w:pPr>
      <w:r w:rsidRPr="008C2309">
        <w:rPr>
          <w:rFonts w:ascii="Times" w:hAnsi="Times"/>
        </w:rPr>
        <w:t xml:space="preserve">Traditionally, batch manufacturing is utilized </w:t>
      </w:r>
      <w:r w:rsidR="00C25766" w:rsidRPr="008C2309">
        <w:rPr>
          <w:rFonts w:ascii="Times" w:hAnsi="Times"/>
        </w:rPr>
        <w:t>to produce</w:t>
      </w:r>
      <w:r w:rsidRPr="008C2309">
        <w:rPr>
          <w:rFonts w:ascii="Times" w:hAnsi="Times"/>
        </w:rPr>
        <w:t xml:space="preserve"> pharmaceutical products, including FDCs. In this process, going from one step to the next, materials are tested off</w:t>
      </w:r>
      <w:r w:rsidR="00D8152D" w:rsidRPr="008C2309">
        <w:rPr>
          <w:rFonts w:ascii="Times" w:hAnsi="Times"/>
        </w:rPr>
        <w:t>-</w:t>
      </w:r>
      <w:r w:rsidRPr="008C2309">
        <w:rPr>
          <w:rFonts w:ascii="Times" w:hAnsi="Times"/>
        </w:rPr>
        <w:t xml:space="preserve">line and stored before being </w:t>
      </w:r>
      <w:r w:rsidR="009D5212" w:rsidRPr="008C2309">
        <w:rPr>
          <w:rFonts w:ascii="Times" w:hAnsi="Times"/>
        </w:rPr>
        <w:t>transferred</w:t>
      </w:r>
      <w:r w:rsidRPr="008C2309">
        <w:rPr>
          <w:rFonts w:ascii="Times" w:hAnsi="Times"/>
        </w:rPr>
        <w:t xml:space="preserve"> to the next processing step. In continuous </w:t>
      </w:r>
      <w:r w:rsidR="00E94508" w:rsidRPr="008C2309">
        <w:rPr>
          <w:rFonts w:ascii="Times" w:hAnsi="Times"/>
        </w:rPr>
        <w:t>manufacturing</w:t>
      </w:r>
      <w:r w:rsidR="009222F8" w:rsidRPr="008C2309">
        <w:rPr>
          <w:rFonts w:ascii="Times" w:hAnsi="Times"/>
        </w:rPr>
        <w:t xml:space="preserve"> processes</w:t>
      </w:r>
      <w:r w:rsidRPr="008C2309">
        <w:rPr>
          <w:rFonts w:ascii="Times" w:hAnsi="Times"/>
        </w:rPr>
        <w:t>, such as</w:t>
      </w:r>
      <w:r w:rsidR="00E031C4" w:rsidRPr="008C2309">
        <w:rPr>
          <w:rFonts w:ascii="Times" w:hAnsi="Times"/>
        </w:rPr>
        <w:t xml:space="preserve"> spray drying </w:t>
      </w:r>
      <w:r w:rsidRPr="008C2309">
        <w:rPr>
          <w:rFonts w:ascii="Times" w:hAnsi="Times"/>
        </w:rPr>
        <w:t>(SD)</w:t>
      </w:r>
      <w:r w:rsidR="00D932EC" w:rsidRPr="008C2309">
        <w:rPr>
          <w:rFonts w:ascii="Times" w:hAnsi="Times"/>
        </w:rPr>
        <w:t xml:space="preserve"> </w:t>
      </w:r>
      <w:r w:rsidRPr="008C2309">
        <w:rPr>
          <w:rFonts w:ascii="Times" w:hAnsi="Times"/>
        </w:rPr>
        <w:fldChar w:fldCharType="begin" w:fldLock="1"/>
      </w:r>
      <w:r w:rsidR="00432184" w:rsidRPr="008C2309">
        <w:rPr>
          <w:rFonts w:ascii="Times" w:hAnsi="Times"/>
        </w:rPr>
        <w:instrText>ADDIN CSL_CITATION { "citationItems" : [ { "id" : "ITEM-1", "itemData" : { "DOI" : "10.1021/acs.oprd.5b00309", "ISSN" : "1520586X", "author" : [ { "dropping-particle" : "", "family" : "Gursch", "given" : "Johannes", "non-dropping-particle" : "", "parse-names" : false, "suffix" : "" }, { "dropping-particle" : "", "family" : "Hohl", "given" : "Roland", "non-dropping-particle" : "", "parse-names" : false, "suffix" : "" }, { "dropping-particle" : "", "family" : "Armenante", "given" : "Marco E.", "non-dropping-particle" : "", "parse-names" : false, "suffix" : "" }, { "dropping-particle" : "", "family" : "Dujmovic", "given" : "Diana", "non-dropping-particle" : "", "parse-names" : false, "suffix" : "" }, { "dropping-particle" : "", "family" : "Wel", "given" : "Peter", "non-dropping-particle" : "Van Der", "parse-names" : false, "suffix" : "" }, { "dropping-particle" : "", "family" : "Brozio", "given" : "J\u00f6rg", "non-dropping-particle" : "", "parse-names" : false, "suffix" : "" }, { "dropping-particle" : "", "family" : "Krumme", "given" : "Markus", "non-dropping-particle" : "", "parse-names" : false, "suffix" : "" }, { "dropping-particle" : "", "family" : "Rasenack", "given" : "Norbert", "non-dropping-particle" : "", "parse-names" : false, "suffix" : "" }, { "dropping-particle" : "", "family" : "Khinast", "given" : "Johannes", "non-dropping-particle" : "", "parse-names" : false, "suffix" : "" } ], "container-title" : "Organic Process Research and Development", "id" : "ITEM-1", "issue" : "12", "issued" : { "date-parts" : [ [ "2015" ] ] }, "page" : "2055-2066", "title" : "Continuous Drying of Small Particles for Pharmaceutical Applications - An Evaluation of Selected Lab-Scale Systems", "type" : "article-journal", "volume" : "19" }, "uris" : [ "http://www.mendeley.com/documents/?uuid=aba417ed-7696-4f6c-9906-ea409208fa85", "http://www.mendeley.com/documents/?uuid=baedf38f-96a1-4cd5-8eac-007d306c8358" ] } ], "mendeley" : { "formattedCitation" : "(Gursch et al., 2015)", "plainTextFormattedCitation" : "(Gursch et al., 2015)", "previouslyFormattedCitation" : "(Gursch et al., 2015)" }, "properties" : {  }, "schema" : "https://github.com/citation-style-language/schema/raw/master/csl-citation.json" }</w:instrText>
      </w:r>
      <w:r w:rsidRPr="008C2309">
        <w:rPr>
          <w:rFonts w:ascii="Times" w:hAnsi="Times"/>
        </w:rPr>
        <w:fldChar w:fldCharType="separate"/>
      </w:r>
      <w:r w:rsidR="00B33BE2" w:rsidRPr="008C2309">
        <w:rPr>
          <w:rFonts w:ascii="Times" w:hAnsi="Times"/>
          <w:noProof/>
        </w:rPr>
        <w:t>(Gursch et al., 2015)</w:t>
      </w:r>
      <w:r w:rsidRPr="008C2309">
        <w:rPr>
          <w:rFonts w:ascii="Times" w:hAnsi="Times"/>
        </w:rPr>
        <w:fldChar w:fldCharType="end"/>
      </w:r>
      <w:r w:rsidRPr="008C2309">
        <w:rPr>
          <w:rFonts w:ascii="Times" w:hAnsi="Times"/>
        </w:rPr>
        <w:t xml:space="preserve"> and </w:t>
      </w:r>
      <w:r w:rsidR="00E031C4" w:rsidRPr="008C2309">
        <w:rPr>
          <w:rFonts w:ascii="Times" w:hAnsi="Times"/>
        </w:rPr>
        <w:t xml:space="preserve">hot melt extrusion </w:t>
      </w:r>
      <w:r w:rsidRPr="008C2309">
        <w:rPr>
          <w:rFonts w:ascii="Times" w:hAnsi="Times"/>
        </w:rPr>
        <w:t>(HME)</w:t>
      </w:r>
      <w:r w:rsidR="00D932EC" w:rsidRPr="008C2309">
        <w:rPr>
          <w:rFonts w:ascii="Times" w:hAnsi="Times"/>
        </w:rPr>
        <w:t xml:space="preserve"> </w:t>
      </w:r>
      <w:r w:rsidRPr="008C2309">
        <w:rPr>
          <w:rFonts w:ascii="Times" w:hAnsi="Times"/>
        </w:rPr>
        <w:fldChar w:fldCharType="begin" w:fldLock="1"/>
      </w:r>
      <w:r w:rsidR="00432184" w:rsidRPr="008C2309">
        <w:rPr>
          <w:rFonts w:ascii="Times" w:hAnsi="Times"/>
        </w:rPr>
        <w:instrText>ADDIN CSL_CITATION { "citationItems" : [ { "id" : "ITEM-1", "itemData" : { "DOI" : "10.1021/acs.oprd.5b00309", "ISSN" : "1520586X", "author" : [ { "dropping-particle" : "", "family" : "Gursch", "given" : "Johannes", "non-dropping-particle" : "", "parse-names" : false, "suffix" : "" }, { "dropping-particle" : "", "family" : "Hohl", "given" : "Roland", "non-dropping-particle" : "", "parse-names" : false, "suffix" : "" }, { "dropping-particle" : "", "family" : "Armenante", "given" : "Marco E.", "non-dropping-particle" : "", "parse-names" : false, "suffix" : "" }, { "dropping-particle" : "", "family" : "Dujmovic", "given" : "Diana", "non-dropping-particle" : "", "parse-names" : false, "suffix" : "" }, { "dropping-particle" : "", "family" : "Wel", "given" : "Peter", "non-dropping-particle" : "Van Der", "parse-names" : false, "suffix" : "" }, { "dropping-particle" : "", "family" : "Brozio", "given" : "J\u00f6rg", "non-dropping-particle" : "", "parse-names" : false, "suffix" : "" }, { "dropping-particle" : "", "family" : "Krumme", "given" : "Markus", "non-dropping-particle" : "", "parse-names" : false, "suffix" : "" }, { "dropping-particle" : "", "family" : "Rasenack", "given" : "Norbert", "non-dropping-particle" : "", "parse-names" : false, "suffix" : "" }, { "dropping-particle" : "", "family" : "Khinast", "given" : "Johannes", "non-dropping-particle" : "", "parse-names" : false, "suffix" : "" } ], "container-title" : "Organic Process Research and Development", "id" : "ITEM-1", "issue" : "12", "issued" : { "date-parts" : [ [ "2015" ] ] }, "page" : "2055-2066", "title" : "Continuous Drying of Small Particles for Pharmaceutical Applications - An Evaluation of Selected Lab-Scale Systems", "type" : "article-journal", "volume" : "19" }, "uris" : [ "http://www.mendeley.com/documents/?uuid=baedf38f-96a1-4cd5-8eac-007d306c8358", "http://www.mendeley.com/documents/?uuid=aba417ed-7696-4f6c-9906-ea409208fa85" ] } ], "mendeley" : { "formattedCitation" : "(Gursch et al., 2015)", "plainTextFormattedCitation" : "(Gursch et al., 2015)", "previouslyFormattedCitation" : "(Gursch et al., 2015)" }, "properties" : {  }, "schema" : "https://github.com/citation-style-language/schema/raw/master/csl-citation.json" }</w:instrText>
      </w:r>
      <w:r w:rsidRPr="008C2309">
        <w:rPr>
          <w:rFonts w:ascii="Times" w:hAnsi="Times"/>
        </w:rPr>
        <w:fldChar w:fldCharType="separate"/>
      </w:r>
      <w:r w:rsidR="00B33BE2" w:rsidRPr="008C2309">
        <w:rPr>
          <w:rFonts w:ascii="Times" w:hAnsi="Times"/>
          <w:noProof/>
        </w:rPr>
        <w:t>(Gursch et al., 2015)</w:t>
      </w:r>
      <w:r w:rsidRPr="008C2309">
        <w:rPr>
          <w:rFonts w:ascii="Times" w:hAnsi="Times"/>
        </w:rPr>
        <w:fldChar w:fldCharType="end"/>
      </w:r>
      <w:r w:rsidRPr="008C2309">
        <w:rPr>
          <w:rFonts w:ascii="Times" w:hAnsi="Times"/>
        </w:rPr>
        <w:t xml:space="preserve">, </w:t>
      </w:r>
      <w:r w:rsidR="00B04EA2" w:rsidRPr="008C2309">
        <w:rPr>
          <w:rFonts w:ascii="Times" w:hAnsi="Times"/>
        </w:rPr>
        <w:t>there is</w:t>
      </w:r>
      <w:r w:rsidR="009222F8" w:rsidRPr="008C2309">
        <w:rPr>
          <w:rFonts w:ascii="Times" w:hAnsi="Times"/>
        </w:rPr>
        <w:t xml:space="preserve"> a continuous feed input and product output in a one</w:t>
      </w:r>
      <w:r w:rsidR="009D5212" w:rsidRPr="008C2309">
        <w:rPr>
          <w:rFonts w:ascii="Times" w:hAnsi="Times"/>
        </w:rPr>
        <w:t>-</w:t>
      </w:r>
      <w:r w:rsidR="009222F8" w:rsidRPr="008C2309">
        <w:rPr>
          <w:rFonts w:ascii="Times" w:hAnsi="Times"/>
        </w:rPr>
        <w:t>step process</w:t>
      </w:r>
      <w:r w:rsidRPr="008C2309">
        <w:rPr>
          <w:rFonts w:ascii="Times" w:hAnsi="Times"/>
        </w:rPr>
        <w:t>. Inline process analytical techniques (PAT) and quality by design (QbD) ensure desired parameters are maintained throughout the continuous process, allowing manufacture to continue up to 24</w:t>
      </w:r>
      <w:r w:rsidR="00CA7DBF" w:rsidRPr="008C2309">
        <w:rPr>
          <w:rFonts w:ascii="Times" w:hAnsi="Times"/>
        </w:rPr>
        <w:t xml:space="preserve"> hours </w:t>
      </w:r>
      <w:r w:rsidRPr="008C2309">
        <w:rPr>
          <w:rFonts w:ascii="Times" w:hAnsi="Times"/>
        </w:rPr>
        <w:t>per day if required</w:t>
      </w:r>
      <w:r w:rsidR="00D932EC" w:rsidRPr="008C2309">
        <w:rPr>
          <w:rFonts w:ascii="Times" w:hAnsi="Times"/>
        </w:rPr>
        <w:t xml:space="preserve"> </w:t>
      </w:r>
      <w:r w:rsidRPr="008C2309">
        <w:rPr>
          <w:rFonts w:ascii="Times" w:hAnsi="Times"/>
        </w:rPr>
        <w:fldChar w:fldCharType="begin" w:fldLock="1"/>
      </w:r>
      <w:r w:rsidR="00432184" w:rsidRPr="008C2309">
        <w:rPr>
          <w:rFonts w:ascii="Times" w:hAnsi="Times"/>
        </w:rPr>
        <w:instrText>ADDIN CSL_CITATION { "citationItems" : [ { "id" : "ITEM-1", "itemData" : { "author" : [ { "dropping-particle" : "", "family" : "Lee", "given" : "S.L", "non-dropping-particle" : "", "parse-names" : false, "suffix" : "" } ], "container-title" : "Journal of Pharmaceutical Innovation", "id" : "ITEM-1", "issue" : "3", "issued" : { "date-parts" : [ [ "2015" ] ] }, "page" : "191-199", "title" : "Modernizing Pharmaceutical Manufacturing: from Batch to Continuous Production", "type" : "article-journal", "volume" : "10" }, "uris" : [ "http://www.mendeley.com/documents/?uuid=d34ffc6b-7585-4db2-9d52-7ae8dc37d16c", "http://www.mendeley.com/documents/?uuid=05c85f9b-cd6e-45f1-bc62-67eeabebc687" ] } ], "mendeley" : { "formattedCitation" : "(Lee, 2015)", "plainTextFormattedCitation" : "(Lee, 2015)", "previouslyFormattedCitation" : "(Lee, 2015)" }, "properties" : {  }, "schema" : "https://github.com/citation-style-language/schema/raw/master/csl-citation.json" }</w:instrText>
      </w:r>
      <w:r w:rsidRPr="008C2309">
        <w:rPr>
          <w:rFonts w:ascii="Times" w:hAnsi="Times"/>
        </w:rPr>
        <w:fldChar w:fldCharType="separate"/>
      </w:r>
      <w:r w:rsidR="00B33BE2" w:rsidRPr="008C2309">
        <w:rPr>
          <w:rFonts w:ascii="Times" w:hAnsi="Times"/>
          <w:noProof/>
        </w:rPr>
        <w:t>(Lee, 2015)</w:t>
      </w:r>
      <w:r w:rsidRPr="008C2309">
        <w:rPr>
          <w:rFonts w:ascii="Times" w:hAnsi="Times"/>
        </w:rPr>
        <w:fldChar w:fldCharType="end"/>
      </w:r>
      <w:r w:rsidRPr="008C2309">
        <w:rPr>
          <w:rFonts w:ascii="Times" w:hAnsi="Times"/>
        </w:rPr>
        <w:t>. While continuous manufacturing</w:t>
      </w:r>
      <w:r w:rsidR="009222F8" w:rsidRPr="008C2309">
        <w:rPr>
          <w:rFonts w:ascii="Times" w:hAnsi="Times"/>
        </w:rPr>
        <w:t xml:space="preserve"> processes</w:t>
      </w:r>
      <w:r w:rsidRPr="008C2309">
        <w:rPr>
          <w:rFonts w:ascii="Times" w:hAnsi="Times"/>
        </w:rPr>
        <w:t xml:space="preserve"> </w:t>
      </w:r>
      <w:r w:rsidR="009222F8" w:rsidRPr="008C2309">
        <w:rPr>
          <w:rFonts w:ascii="Times" w:hAnsi="Times"/>
        </w:rPr>
        <w:t>are</w:t>
      </w:r>
      <w:r w:rsidRPr="008C2309">
        <w:rPr>
          <w:rFonts w:ascii="Times" w:hAnsi="Times"/>
        </w:rPr>
        <w:t xml:space="preserve"> relatively new in the pharmaceutical</w:t>
      </w:r>
      <w:r w:rsidR="00762E6C" w:rsidRPr="008C2309">
        <w:rPr>
          <w:rFonts w:ascii="Times" w:hAnsi="Times"/>
        </w:rPr>
        <w:t xml:space="preserve"> arena</w:t>
      </w:r>
      <w:r w:rsidR="00663D9B" w:rsidRPr="008C2309">
        <w:rPr>
          <w:rFonts w:ascii="Times" w:hAnsi="Times"/>
        </w:rPr>
        <w:t xml:space="preserve">, </w:t>
      </w:r>
      <w:r w:rsidR="00762E6C" w:rsidRPr="008C2309">
        <w:rPr>
          <w:rFonts w:ascii="Times" w:hAnsi="Times"/>
        </w:rPr>
        <w:t xml:space="preserve">more </w:t>
      </w:r>
      <w:r w:rsidRPr="008C2309">
        <w:rPr>
          <w:rFonts w:ascii="Times" w:hAnsi="Times"/>
        </w:rPr>
        <w:t>companies are moving towards continuous manufacturing as it promises to reduc</w:t>
      </w:r>
      <w:r w:rsidR="009222F8" w:rsidRPr="008C2309">
        <w:rPr>
          <w:rFonts w:ascii="Times" w:hAnsi="Times"/>
        </w:rPr>
        <w:t>e</w:t>
      </w:r>
      <w:r w:rsidRPr="008C2309">
        <w:rPr>
          <w:rFonts w:ascii="Times" w:hAnsi="Times"/>
        </w:rPr>
        <w:t xml:space="preserve"> costs while also increasing the quality, agility and flexibility of products</w:t>
      </w:r>
      <w:r w:rsidR="00D932EC" w:rsidRPr="008C2309">
        <w:rPr>
          <w:rFonts w:ascii="Times" w:hAnsi="Times"/>
        </w:rPr>
        <w:t xml:space="preserve"> </w:t>
      </w:r>
      <w:r w:rsidRPr="008C2309">
        <w:rPr>
          <w:rFonts w:ascii="Times" w:hAnsi="Times"/>
        </w:rPr>
        <w:fldChar w:fldCharType="begin" w:fldLock="1"/>
      </w:r>
      <w:r w:rsidR="00432184" w:rsidRPr="008C2309">
        <w:rPr>
          <w:rFonts w:ascii="Times" w:hAnsi="Times"/>
        </w:rPr>
        <w:instrText>ADDIN CSL_CITATION { "citationItems" : [ { "id" : "ITEM-1", "itemData" : { "DOI" : "10.1002/aic.11022", "ISSN" : "1547-5905", "author" : [ { "dropping-particle" : "", "family" : "McKenzie", "given" : "Paul", "non-dropping-particle" : "", "parse-names" : false, "suffix" : "" }, { "dropping-particle" : "", "family" : "Kiang", "given" : "San", "non-dropping-particle" : "", "parse-names" : false, "suffix" : "" }, { "dropping-particle" : "", "family" : "Tom", "given" : "Jean", "non-dropping-particle" : "", "parse-names" : false, "suffix" : "" }, { "dropping-particle" : "", "family" : "Rubin", "given" : "A Erik", "non-dropping-particle" : "", "parse-names" : false, "suffix" : "" }, { "dropping-particle" : "", "family" : "Futran", "given" : "Mauricio", "non-dropping-particle" : "", "parse-names" : false, "suffix" : "" } ], "container-title" : "AIChE Journal", "id" : "ITEM-1", "issue" : "12", "issued" : { "date-parts" : [ [ "2006", "12" ] ] }, "page" : "3990-3994", "publisher" : "Wiley Subscription Services, Inc., A Wiley Company", "title" : "Can pharmaceutical process development become high tech?", "type" : "article-journal", "volume" : "52" }, "uris" : [ "http://www.mendeley.com/documents/?uuid=4e2e0b95-67a1-42ed-9167-f70c0f184b3c", "http://www.mendeley.com/documents/?uuid=34da0f36-ceff-4404-aef9-bd2e5113b7fd" ] } ], "mendeley" : { "formattedCitation" : "(McKenzie et al., 2006)", "plainTextFormattedCitation" : "(McKenzie et al., 2006)", "previouslyFormattedCitation" : "(McKenzie et al., 2006)" }, "properties" : {  }, "schema" : "https://github.com/citation-style-language/schema/raw/master/csl-citation.json" }</w:instrText>
      </w:r>
      <w:r w:rsidRPr="008C2309">
        <w:rPr>
          <w:rFonts w:ascii="Times" w:hAnsi="Times"/>
        </w:rPr>
        <w:fldChar w:fldCharType="separate"/>
      </w:r>
      <w:r w:rsidR="00B33BE2" w:rsidRPr="008C2309">
        <w:rPr>
          <w:rFonts w:ascii="Times" w:hAnsi="Times"/>
          <w:noProof/>
        </w:rPr>
        <w:t>(McKenzie et al., 2006)</w:t>
      </w:r>
      <w:r w:rsidRPr="008C2309">
        <w:rPr>
          <w:rFonts w:ascii="Times" w:hAnsi="Times"/>
        </w:rPr>
        <w:fldChar w:fldCharType="end"/>
      </w:r>
      <w:r w:rsidRPr="008C2309">
        <w:rPr>
          <w:rFonts w:ascii="Times" w:hAnsi="Times"/>
        </w:rPr>
        <w:t>.</w:t>
      </w:r>
    </w:p>
    <w:p w14:paraId="25703448" w14:textId="6E5790C2" w:rsidR="00805FF3" w:rsidRPr="008C2309" w:rsidRDefault="00277D29" w:rsidP="00E41DED">
      <w:pPr>
        <w:spacing w:line="480" w:lineRule="auto"/>
        <w:jc w:val="both"/>
        <w:rPr>
          <w:rFonts w:ascii="Times" w:hAnsi="Times"/>
        </w:rPr>
      </w:pPr>
      <w:r w:rsidRPr="008C2309">
        <w:rPr>
          <w:rFonts w:ascii="Times" w:hAnsi="Times"/>
        </w:rPr>
        <w:lastRenderedPageBreak/>
        <w:t>HME and SD are two of most common processing techniques used in continuous manufacturing</w:t>
      </w:r>
      <w:r w:rsidR="00D932EC" w:rsidRPr="008C2309">
        <w:rPr>
          <w:rFonts w:ascii="Times" w:hAnsi="Times"/>
        </w:rPr>
        <w:t xml:space="preserve"> </w:t>
      </w:r>
      <w:r w:rsidRPr="008C2309">
        <w:rPr>
          <w:rFonts w:ascii="Times" w:hAnsi="Times"/>
        </w:rPr>
        <w:fldChar w:fldCharType="begin" w:fldLock="1"/>
      </w:r>
      <w:r w:rsidR="00432184" w:rsidRPr="008C2309">
        <w:rPr>
          <w:rFonts w:ascii="Times" w:hAnsi="Times"/>
        </w:rPr>
        <w:instrText>ADDIN CSL_CITATION { "citationItems" : [ { "id" : "ITEM-1", "itemData" : { "DOI" : "10.1208/s12249-015-0425-7", "ISSN" : "1530-9932", "PMID" : "26729533", "abstract" : "The objective of the study was to develop an amorphous solid dispersion\\n(ASD) for an insoluble compound X by hot melt extrusion (HME) process.\\nThe focus was to identify material-sparing approaches to develop\\nbioavailable and stable ASD including scale up of HME process using\\nminimal drug. Mixtures of compound X and polymers with and without\\nsurfactants or pH modifiers were evaluated by hot stage microscopy\\n(HSM), polarized light microscopy (PLM), and modulated differential\\nscanning calorimetry (mDSC), which enabled systematic selection of ASD\\ncomponents. Formulation blends of compound X with PVP K12 and PVP VA64\\npolymers were extruded through a 9-mm twin screw mini-extruder. Physical\\ncharacterization of extrudates by PLM, XRPD, and mDSC indicated\\nformation of single-phase ASD's. Accelerated stability testing was\\nperformed that allowed rapid selection of stable ASD's and suitable\\npackaging configurations. Dissolution testing by a discriminating\\ntwo-step non-sink dissolution method showed 70-80% drug release from\\nprototype ASD's, which was around twofold higher compared to crystalline\\ntablet formulations. The in vivo pharmacokinetic study in dogs showed\\nthat bioavailability from ASD of compound X with PVP VA64 was four times\\nhigher compared to crystalline tablet formulations. The HME process was\\nscaled up from lab scale to clinical scale using volumetric scale up\\napproach and scale-independent-specific energy parameter. The present\\nstudy demonstrated systematic development of ASD dosage form and scale\\nup of HME process to clinical scale using minimal drug (similar to 500\\ng), which allowed successful clinical batch manufacture of enabled\\nformulation within 7 months.", "author" : [ { "dropping-particle" : "", "family" : "Agrawal", "given" : "Anjali M.", "non-dropping-particle" : "", "parse-names" : false, "suffix" : "" }, { "dropping-particle" : "", "family" : "Dudhedia", "given" : "Mayur S.", "non-dropping-particle" : "", "parse-names" : false, "suffix" : "" }, { "dropping-particle" : "", "family" : "Zimny", "given" : "Ewa", "non-dropping-particle" : "", "parse-names" : false, "suffix" : "" } ], "container-title" : "AAPS PharmSciTech", "id" : "ITEM-1", "issue" : "1", "issued" : { "date-parts" : [ [ "2016" ] ] }, "page" : "133-147", "title" : "Hot Melt Extrusion: Development of an Amorphous Solid Dispersion for an Insoluble Drug from Mini-scale to Clinical Scale", "type" : "article-journal", "volume" : "17" }, "uris" : [ "http://www.mendeley.com/documents/?uuid=17251368-41b8-4387-94cb-2790d4b0ee43", "http://www.mendeley.com/documents/?uuid=d592eb4f-3815-474a-b903-5b2559947e49" ] } ], "mendeley" : { "formattedCitation" : "(Agrawal et al., 2016)", "plainTextFormattedCitation" : "(Agrawal et al., 2016)", "previouslyFormattedCitation" : "(Agrawal et al., 2016)" }, "properties" : {  }, "schema" : "https://github.com/citation-style-language/schema/raw/master/csl-citation.json" }</w:instrText>
      </w:r>
      <w:r w:rsidRPr="008C2309">
        <w:rPr>
          <w:rFonts w:ascii="Times" w:hAnsi="Times"/>
        </w:rPr>
        <w:fldChar w:fldCharType="separate"/>
      </w:r>
      <w:r w:rsidR="00B33BE2" w:rsidRPr="008C2309">
        <w:rPr>
          <w:rFonts w:ascii="Times" w:hAnsi="Times"/>
          <w:noProof/>
        </w:rPr>
        <w:t>(Agrawal et al., 2016)</w:t>
      </w:r>
      <w:r w:rsidRPr="008C2309">
        <w:rPr>
          <w:rFonts w:ascii="Times" w:hAnsi="Times"/>
        </w:rPr>
        <w:fldChar w:fldCharType="end"/>
      </w:r>
      <w:r w:rsidRPr="008C2309">
        <w:rPr>
          <w:rFonts w:ascii="Times" w:hAnsi="Times"/>
        </w:rPr>
        <w:t xml:space="preserve"> and can</w:t>
      </w:r>
      <w:r w:rsidR="007863AB" w:rsidRPr="008C2309">
        <w:rPr>
          <w:rFonts w:ascii="Times" w:hAnsi="Times"/>
        </w:rPr>
        <w:t xml:space="preserve"> be</w:t>
      </w:r>
      <w:r w:rsidRPr="008C2309">
        <w:rPr>
          <w:rFonts w:ascii="Times" w:hAnsi="Times"/>
        </w:rPr>
        <w:t xml:space="preserve"> used to produce solid </w:t>
      </w:r>
      <w:r w:rsidR="007A29D7" w:rsidRPr="008C2309">
        <w:rPr>
          <w:rFonts w:ascii="Times" w:hAnsi="Times"/>
        </w:rPr>
        <w:t>dispersions. Often</w:t>
      </w:r>
      <w:r w:rsidR="00805FF3" w:rsidRPr="008C2309">
        <w:rPr>
          <w:rFonts w:ascii="Times" w:hAnsi="Times"/>
        </w:rPr>
        <w:t xml:space="preserve"> one method of preparation for solid dispersions is arbitrarily chosen and then formulation scientists modify the formulation until </w:t>
      </w:r>
      <w:r w:rsidR="00762E6C" w:rsidRPr="008C2309">
        <w:rPr>
          <w:rFonts w:ascii="Times" w:hAnsi="Times"/>
        </w:rPr>
        <w:t>the</w:t>
      </w:r>
      <w:r w:rsidR="00805FF3" w:rsidRPr="008C2309">
        <w:rPr>
          <w:rFonts w:ascii="Times" w:hAnsi="Times"/>
        </w:rPr>
        <w:t xml:space="preserve"> desired characteristics </w:t>
      </w:r>
      <w:r w:rsidR="00762E6C" w:rsidRPr="008C2309">
        <w:rPr>
          <w:rFonts w:ascii="Times" w:hAnsi="Times"/>
        </w:rPr>
        <w:t>are</w:t>
      </w:r>
      <w:r w:rsidR="00805FF3" w:rsidRPr="008C2309">
        <w:rPr>
          <w:rFonts w:ascii="Times" w:hAnsi="Times"/>
        </w:rPr>
        <w:t xml:space="preserve"> achieved</w:t>
      </w:r>
      <w:r w:rsidR="00D932EC" w:rsidRPr="008C2309">
        <w:rPr>
          <w:rFonts w:ascii="Times" w:hAnsi="Times"/>
        </w:rPr>
        <w:t xml:space="preserve"> </w:t>
      </w:r>
      <w:r w:rsidR="00805FF3" w:rsidRPr="008C2309">
        <w:rPr>
          <w:rFonts w:ascii="Times" w:hAnsi="Times"/>
        </w:rPr>
        <w:fldChar w:fldCharType="begin" w:fldLock="1"/>
      </w:r>
      <w:r w:rsidR="00432184" w:rsidRPr="008C2309">
        <w:rPr>
          <w:rFonts w:ascii="Times" w:hAnsi="Times"/>
        </w:rPr>
        <w:instrText>ADDIN CSL_CITATION { "citationItems" : [ { "id" : "ITEM-1", "itemData" : { "DOI" : "10.1208/s12249-015-0425-7", "ISSN" : "1530-9932", "PMID" : "26729533", "abstract" : "The objective of the study was to develop an amorphous solid dispersion\\n(ASD) for an insoluble compound X by hot melt extrusion (HME) process.\\nThe focus was to identify material-sparing approaches to develop\\nbioavailable and stable ASD including scale up of HME process using\\nminimal drug. Mixtures of compound X and polymers with and without\\nsurfactants or pH modifiers were evaluated by hot stage microscopy\\n(HSM), polarized light microscopy (PLM), and modulated differential\\nscanning calorimetry (mDSC), which enabled systematic selection of ASD\\ncomponents. Formulation blends of compound X with PVP K12 and PVP VA64\\npolymers were extruded through a 9-mm twin screw mini-extruder. Physical\\ncharacterization of extrudates by PLM, XRPD, and mDSC indicated\\nformation of single-phase ASD's. Accelerated stability testing was\\nperformed that allowed rapid selection of stable ASD's and suitable\\npackaging configurations. Dissolution testing by a discriminating\\ntwo-step non-sink dissolution method showed 70-80% drug release from\\nprototype ASD's, which was around twofold higher compared to crystalline\\ntablet formulations. The in vivo pharmacokinetic study in dogs showed\\nthat bioavailability from ASD of compound X with PVP VA64 was four times\\nhigher compared to crystalline tablet formulations. The HME process was\\nscaled up from lab scale to clinical scale using volumetric scale up\\napproach and scale-independent-specific energy parameter. The present\\nstudy demonstrated systematic development of ASD dosage form and scale\\nup of HME process to clinical scale using minimal drug (similar to 500\\ng), which allowed successful clinical batch manufacture of enabled\\nformulation within 7 months.", "author" : [ { "dropping-particle" : "", "family" : "Agrawal", "given" : "Anjali M.", "non-dropping-particle" : "", "parse-names" : false, "suffix" : "" }, { "dropping-particle" : "", "family" : "Dudhedia", "given" : "Mayur S.", "non-dropping-particle" : "", "parse-names" : false, "suffix" : "" }, { "dropping-particle" : "", "family" : "Zimny", "given" : "Ewa", "non-dropping-particle" : "", "parse-names" : false, "suffix" : "" } ], "container-title" : "AAPS PharmSciTech", "id" : "ITEM-1", "issue" : "1", "issued" : { "date-parts" : [ [ "2016" ] ] }, "page" : "133-147", "title" : "Hot Melt Extrusion: Development of an Amorphous Solid Dispersion for an Insoluble Drug from Mini-scale to Clinical Scale", "type" : "article-journal", "volume" : "17" }, "uris" : [ "http://www.mendeley.com/documents/?uuid=d592eb4f-3815-474a-b903-5b2559947e49", "http://www.mendeley.com/documents/?uuid=17251368-41b8-4387-94cb-2790d4b0ee43" ] } ], "mendeley" : { "formattedCitation" : "(Agrawal et al., 2016)", "plainTextFormattedCitation" : "(Agrawal et al., 2016)", "previouslyFormattedCitation" : "(Agrawal et al., 2016)" }, "properties" : {  }, "schema" : "https://github.com/citation-style-language/schema/raw/master/csl-citation.json" }</w:instrText>
      </w:r>
      <w:r w:rsidR="00805FF3" w:rsidRPr="008C2309">
        <w:rPr>
          <w:rFonts w:ascii="Times" w:hAnsi="Times"/>
        </w:rPr>
        <w:fldChar w:fldCharType="separate"/>
      </w:r>
      <w:r w:rsidR="00B33BE2" w:rsidRPr="008C2309">
        <w:rPr>
          <w:rFonts w:ascii="Times" w:hAnsi="Times"/>
          <w:noProof/>
        </w:rPr>
        <w:t>(Agrawal et al., 2016)</w:t>
      </w:r>
      <w:r w:rsidR="00805FF3" w:rsidRPr="008C2309">
        <w:rPr>
          <w:rFonts w:ascii="Times" w:hAnsi="Times"/>
        </w:rPr>
        <w:fldChar w:fldCharType="end"/>
      </w:r>
      <w:r w:rsidR="00805FF3" w:rsidRPr="008C2309">
        <w:rPr>
          <w:rFonts w:ascii="Times" w:hAnsi="Times"/>
        </w:rPr>
        <w:t>. However, solid dispersions prepared by different techniques can often display differences in their physicochemical properties</w:t>
      </w:r>
      <w:r w:rsidR="00D932EC" w:rsidRPr="008C2309">
        <w:rPr>
          <w:rFonts w:ascii="Times" w:hAnsi="Times"/>
        </w:rPr>
        <w:t xml:space="preserve"> </w:t>
      </w:r>
      <w:r w:rsidR="00805FF3" w:rsidRPr="008C2309">
        <w:rPr>
          <w:rFonts w:ascii="Times" w:hAnsi="Times"/>
        </w:rPr>
        <w:fldChar w:fldCharType="begin" w:fldLock="1"/>
      </w:r>
      <w:r w:rsidR="00432184" w:rsidRPr="008C2309">
        <w:rPr>
          <w:rFonts w:ascii="Times" w:hAnsi="Times"/>
        </w:rPr>
        <w:instrText>ADDIN CSL_CITATION { "citationItems" : [ { "id" : "ITEM-1", "itemData" : { "DOI" : "10.1016/j.carbpol.2013.08.046", "ISBN" : "1879-1344 (Electronic)\\r0144-8617 (Linking)", "ISSN" : "01448617", "PMID" : "24274533", "abstract" : "The poor solubility of drugs remains one of the most challenging aspects of formulation development. Aiming at improving the biopharmaceutical limitations of the calcium channel blocker nimodipine, the development of solid dispersions is proposed herein. Three different proportions of nimodipine:HPMC were tested and all of them generated amorphous solid dispersions. Improvements of up 318% in the solubility and a 4-fold increase in the dissolution rate of nimodipine were achieved. Stability studies conducted over 90 days in a desiccator indicated that the initial characteristic of the formulations were maintained. However, at 40 C/75% RH recrystallization was observed for solid dispersions with 70 and 80% of HPMC, whilst the formulation composed of 90% of the carrier remained amorphous. The increase in the stability observed when the HPMC concentration was increased from 70 to 90% in the solid dispersions was attributed to the dilution mechanism. ?? 2013 Elsevier Ltd. All rights reserved.", "author" : [ { "dropping-particle" : "", "family" : "Riekes", "given" : "Manoela Kl??ppel", "non-dropping-particle" : "", "parse-names" : false, "suffix" : "" }, { "dropping-particle" : "", "family" : "Kuminek", "given" : "Gislaine", "non-dropping-particle" : "", "parse-names" : false, "suffix" : "" }, { "dropping-particle" : "", "family" : "Rauber", "given" : "Gabriela Schneider", "non-dropping-particle" : "", "parse-names" : false, "suffix" : "" }, { "dropping-particle" : "", "family" : "Campos", "given" : "Carlos Eduardo Maduro", "non-dropping-particle" : "De", "parse-names" : false, "suffix" : "" }, { "dropping-particle" : "", "family" : "Bortoluzzi", "given" : "Adailton Jo??o", "non-dropping-particle" : "", "parse-names" : false, "suffix" : "" }, { "dropping-particle" : "", "family" : "Stulzer", "given" : "Hellen Karine", "non-dropping-particle" : "", "parse-names" : false, "suffix" : "" } ], "container-title" : "Carbohydrate Polymers", "id" : "ITEM-1", "issued" : { "date-parts" : [ [ "2014" ] ] }, "page" : "474-482", "publisher" : "Elsevier Ltd.", "title" : "HPMC as a potential enhancer of nimodipine biopharmaceutical properties via ball-milled solid dispersions", "type" : "article-journal", "volume" : "99" }, "uris" : [ "http://www.mendeley.com/documents/?uuid=e586b30c-0f3b-43ca-abcf-86c639911ba6", "http://www.mendeley.com/documents/?uuid=31186a66-b556-4adc-98ce-26dbcb6bb43e" ] }, { "id" : "ITEM-2", "itemData" : { "DOI" : "10.1016/j.ijpharm.2003.11.025", "ISBN" : "1718990502", "ISSN" : "03785173", "PMID" : "15019063", "abstract" : "This study compares the physicochemical properties of carbamazepine (CBZ) solid dispersions prepared by either a conventional solvent evaporation versus a supercritical fluid process. Solid dispersions of carbamazepine in polyvinylpyrrolidone (PVP) K30 with either Gelucire 44/14 or Vitamin E TPGS, NF (D-??-tocopheryl polyethylene glycol 1000 succinate) were prepared and characterized by intrinsic dissolution, differential scanning calorimetry, powder X-ray diffraction and Fourier transform infrared spectroscopy. CBZ/PVP K30 and CBZ/PVP K30/TPGS solid dispersions showed increased dissolution rate. The best intrinsic dissolution rate (IDR) was obtained for supercritically processed CBZ/PVP K30 that was four-fold higher than pure CBZ. Thermograms of various solid dispersions did not show the melting peak of CBZ, indicating that CBZ was in amorphous form inside the carrier system. This was further confirmed by X-ray diffraction studies. Infrared spectroscopic studies showed interaction between CBZ and PVP K30 in solid dispersions. The amorphous state of CBZ coupled with presence of interaction between drug and PVP K30 suggests fewer, if any, stability problems. Because the supercritical-based process produced solid dispersions with IDR better than conventional solid dispersions augmented with amphiphilic carriers, stability issues associated with lipid carriers do not apply, which, in turn, implies easier scale up under current Good Manufacturing Practice for this technique. ?? 2003 Elsevier B.V. All rights reserved.", "author" : [ { "dropping-particle" : "", "family" : "Sethia", "given" : "S.", "non-dropping-particle" : "", "parse-names" : false, "suffix" : "" }, { "dropping-particle" : "", "family" : "Squillante", "given" : "E.", "non-dropping-particle" : "", "parse-names" : false, "suffix" : "" } ], "container-title" : "International Journal of Pharmaceutics", "id" : "ITEM-2", "issue" : "1-2", "issued" : { "date-parts" : [ [ "2004" ] ] }, "page" : "1-10", "title" : "Solid dispersion of carbamazepine in PVP K30 by conventional solvent evaporation and supercritical methods", "type" : "article-journal", "volume" : "272" }, "uris" : [ "http://www.mendeley.com/documents/?uuid=3e9c9053-c408-463d-add6-8d8723876417", "http://www.mendeley.com/documents/?uuid=c5246f61-8de3-46f0-90e3-288627da7ad8" ] }, { "id" : "ITEM-3", "itemData" : { "DOI" : "10.1208/s12249-015-0425-7", "ISSN" : "1530-9932", "PMID" : "26729533", "abstract" : "The objective of the study was to develop an amorphous solid dispersion\\n(ASD) for an insoluble compound X by hot melt extrusion (HME) process.\\nThe focus was to identify material-sparing approaches to develop\\nbioavailable and stable ASD including scale up of HME process using\\nminimal drug. Mixtures of compound X and polymers with and without\\nsurfactants or pH modifiers were evaluated by hot stage microscopy\\n(HSM), polarized light microscopy (PLM), and modulated differential\\nscanning calorimetry (mDSC), which enabled systematic selection of ASD\\ncomponents. Formulation blends of compound X with PVP K12 and PVP VA64\\npolymers were extruded through a 9-mm twin screw mini-extruder. Physical\\ncharacterization of extrudates by PLM, XRPD, and mDSC indicated\\nformation of single-phase ASD's. Accelerated stability testing was\\nperformed that allowed rapid selection of stable ASD's and suitable\\npackaging configurations. Dissolution testing by a discriminating\\ntwo-step non-sink dissolution method showed 70-80% drug release from\\nprototype ASD's, which was around twofold higher compared to crystalline\\ntablet formulations. The in vivo pharmacokinetic study in dogs showed\\nthat bioavailability from ASD of compound X with PVP VA64 was four times\\nhigher compared to crystalline tablet formulations. The HME process was\\nscaled up from lab scale to clinical scale using volumetric scale up\\napproach and scale-independent-specific energy parameter. The present\\nstudy demonstrated systematic development of ASD dosage form and scale\\nup of HME process to clinical scale using minimal drug (similar to 500\\ng), which allowed successful clinical batch manufacture of enabled\\nformulation within 7 months.", "author" : [ { "dropping-particle" : "", "family" : "Agrawal", "given" : "Anjali M.", "non-dropping-particle" : "", "parse-names" : false, "suffix" : "" }, { "dropping-particle" : "", "family" : "Dudhedia", "given" : "Mayur S.", "non-dropping-particle" : "", "parse-names" : false, "suffix" : "" }, { "dropping-particle" : "", "family" : "Zimny", "given" : "Ewa", "non-dropping-particle" : "", "parse-names" : false, "suffix" : "" } ], "container-title" : "AAPS PharmSciTech", "id" : "ITEM-3", "issue" : "1", "issued" : { "date-parts" : [ [ "2016" ] ] }, "page" : "133-147", "title" : "Hot Melt Extrusion: Development of an Amorphous Solid Dispersion for an Insoluble Drug from Mini-scale to Clinical Scale", "type" : "article-journal", "volume" : "17" }, "uris" : [ "http://www.mendeley.com/documents/?uuid=d592eb4f-3815-474a-b903-5b2559947e49", "http://www.mendeley.com/documents/?uuid=17251368-41b8-4387-94cb-2790d4b0ee43" ] } ], "mendeley" : { "formattedCitation" : "(Agrawal et al., 2016; Riekes et al., 2014; Sethia and Squillante, 2004)", "plainTextFormattedCitation" : "(Agrawal et al., 2016; Riekes et al., 2014; Sethia and Squillante, 2004)", "previouslyFormattedCitation" : "(Agrawal et al., 2016; Riekes et al., 2014; Sethia and Squillante, 2004)" }, "properties" : {  }, "schema" : "https://github.com/citation-style-language/schema/raw/master/csl-citation.json" }</w:instrText>
      </w:r>
      <w:r w:rsidR="00805FF3" w:rsidRPr="008C2309">
        <w:rPr>
          <w:rFonts w:ascii="Times" w:hAnsi="Times"/>
        </w:rPr>
        <w:fldChar w:fldCharType="separate"/>
      </w:r>
      <w:r w:rsidR="00B33BE2" w:rsidRPr="008C2309">
        <w:rPr>
          <w:rFonts w:ascii="Times" w:hAnsi="Times"/>
          <w:noProof/>
        </w:rPr>
        <w:t>(Agrawal et al., 2016; Riekes et al., 2014; Sethia and Squillante, 2004)</w:t>
      </w:r>
      <w:r w:rsidR="00805FF3" w:rsidRPr="008C2309">
        <w:rPr>
          <w:rFonts w:ascii="Times" w:hAnsi="Times"/>
        </w:rPr>
        <w:fldChar w:fldCharType="end"/>
      </w:r>
      <w:r w:rsidR="00582AEA" w:rsidRPr="008C2309">
        <w:rPr>
          <w:rFonts w:ascii="Times" w:hAnsi="Times"/>
        </w:rPr>
        <w:t xml:space="preserve">. </w:t>
      </w:r>
      <w:r w:rsidR="00805FF3" w:rsidRPr="008C2309">
        <w:rPr>
          <w:rFonts w:ascii="Times" w:hAnsi="Times"/>
        </w:rPr>
        <w:t xml:space="preserve">Therefore, during early stage development of a formulation, it may be important to understand the influence of the processing technique on the desired formulation. </w:t>
      </w:r>
    </w:p>
    <w:p w14:paraId="65F15394" w14:textId="65B10EEF" w:rsidR="00393358" w:rsidRPr="008C2309" w:rsidRDefault="00805FF3" w:rsidP="00E41DED">
      <w:pPr>
        <w:spacing w:line="480" w:lineRule="auto"/>
        <w:jc w:val="both"/>
        <w:rPr>
          <w:rFonts w:ascii="Times" w:hAnsi="Times" w:cstheme="minorHAnsi"/>
          <w:color w:val="000000" w:themeColor="text1"/>
        </w:rPr>
      </w:pPr>
      <w:r w:rsidRPr="008C2309">
        <w:rPr>
          <w:rFonts w:ascii="Times" w:hAnsi="Times"/>
        </w:rPr>
        <w:t xml:space="preserve">SD and HME are techniques that </w:t>
      </w:r>
      <w:r w:rsidR="00D3496F" w:rsidRPr="008C2309">
        <w:rPr>
          <w:rFonts w:ascii="Times" w:hAnsi="Times"/>
        </w:rPr>
        <w:t>may be employed</w:t>
      </w:r>
      <w:r w:rsidRPr="008C2309">
        <w:rPr>
          <w:rFonts w:ascii="Times" w:hAnsi="Times"/>
        </w:rPr>
        <w:t xml:space="preserve"> to produce</w:t>
      </w:r>
      <w:r w:rsidR="007007B7" w:rsidRPr="008C2309">
        <w:rPr>
          <w:rFonts w:ascii="Times" w:hAnsi="Times"/>
        </w:rPr>
        <w:t xml:space="preserve"> </w:t>
      </w:r>
      <w:r w:rsidR="00277D29" w:rsidRPr="008C2309">
        <w:rPr>
          <w:rFonts w:ascii="Times" w:hAnsi="Times"/>
        </w:rPr>
        <w:t>FDCs</w:t>
      </w:r>
      <w:r w:rsidR="00033343" w:rsidRPr="008C2309">
        <w:rPr>
          <w:rFonts w:ascii="Times" w:hAnsi="Times"/>
        </w:rPr>
        <w:t>,</w:t>
      </w:r>
      <w:r w:rsidR="006D4274" w:rsidRPr="008C2309">
        <w:rPr>
          <w:rFonts w:ascii="Times" w:hAnsi="Times"/>
        </w:rPr>
        <w:t xml:space="preserve"> with both techniques having their own </w:t>
      </w:r>
      <w:r w:rsidR="008B177C" w:rsidRPr="008C2309">
        <w:rPr>
          <w:rFonts w:ascii="Times" w:hAnsi="Times"/>
        </w:rPr>
        <w:t xml:space="preserve">associated </w:t>
      </w:r>
      <w:r w:rsidR="006D4274" w:rsidRPr="008C2309">
        <w:rPr>
          <w:rFonts w:ascii="Times" w:hAnsi="Times"/>
        </w:rPr>
        <w:t>advantages and disadvantages.</w:t>
      </w:r>
      <w:r w:rsidRPr="008C2309">
        <w:rPr>
          <w:rFonts w:ascii="Times" w:hAnsi="Times" w:cstheme="minorHAnsi"/>
          <w:color w:val="000000" w:themeColor="text1"/>
        </w:rPr>
        <w:t xml:space="preserve"> Thermal (and mechanical) energy input during the extrusion process is normally supplied via heat conduction from barrel heating zones and the friction of the melt against the screw elements and interior wall of the extruder barrel</w:t>
      </w:r>
      <w:r w:rsidR="00D932EC" w:rsidRPr="008C2309">
        <w:rPr>
          <w:rFonts w:ascii="Times" w:hAnsi="Times" w:cstheme="minorHAnsi"/>
          <w:color w:val="000000" w:themeColor="text1"/>
        </w:rPr>
        <w:t xml:space="preserve"> </w:t>
      </w:r>
      <w:r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"10.1016/j.ejpb.2017.05.014", "ISSN" : "0939-6411", "author" : [ { "dropping-particle" : "", "family" : "Huang", "given" : "Siyuan", "non-dropping-particle" : "", "parse-names" : false, "suffix" : "" }, { "dropping-particle" : "", "family" : "Donnell", "given" : "Kevin P O", "non-dropping-particle" : "", "parse-names" : false, "suffix" : "" }, { "dropping-particle" : "", "family" : "Delpon", "given" : "Sophie M", "non-dropping-particle" : "", "parse-names" : false, "suffix" : "" }, { "dropping-particle" : "", "family" : "Vaux", "given" : "De", "non-dropping-particle" : "", "parse-names" : false, "suffix" : "" }, { "dropping-particle" : "", "family" : "Brien", "given" : "John O", "non-dropping-particle" : "", "parse-names" : false, "suffix" : "" }, { "dropping-particle" : "", "family" : "Stutzman", "given" : "John", "non-dropping-particle" : "", "parse-names" : false, "suffix" : "" }, { "dropping-particle" : "", "family" : "Williams", "given" : "Robert O", "non-dropping-particle" : "", "parse-names" : false, "suffix" : "" } ], "container-title" : "European Journal of Pharmaceutics and Biopharmaceutics", "id" : "ITEM-1", "issued" : { "date-parts" : [ [ "2017" ] ] }, "page" : "56-67", "publisher" : "Elsevier B.V.", "title" : "European Journal of Pharmaceutics and Biopharmaceutics Processing thermally labile drugs by hot-melt extrusion : The lesson with", "type" : "article-journal", "volume" : "119" }, "uris" : [ "http://www.mendeley.com/documents/?uuid=92a3bda0-7567-4e02-9aa3-d9bba98f1146", "http://www.mendeley.com/documents/?uuid=002febfb-b2fc-4ab8-92a2-7dfd590a8059" ] } ], "mendeley" : { "formattedCitation" : "(Huang et al., 2017)", "plainTextFormattedCitation" : "(Huang et al., 2017)", "previouslyFormattedCitation" : "(Huang et al., 2017)" }, "properties" : {  }, "schema" : "https://github.com/citation-style-language/schema/raw/master/csl-citation.json" }</w:instrText>
      </w:r>
      <w:r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(Huang et al., 2017)</w:t>
      </w:r>
      <w:r w:rsidRPr="008C2309">
        <w:rPr>
          <w:rFonts w:ascii="Times" w:hAnsi="Times" w:cstheme="minorHAnsi"/>
          <w:color w:val="000000" w:themeColor="text1"/>
        </w:rPr>
        <w:fldChar w:fldCharType="end"/>
      </w:r>
      <w:r w:rsidRPr="008C2309">
        <w:rPr>
          <w:rFonts w:ascii="Times" w:hAnsi="Times" w:cstheme="minorHAnsi"/>
          <w:color w:val="000000" w:themeColor="text1"/>
        </w:rPr>
        <w:t xml:space="preserve">. It is </w:t>
      </w:r>
      <w:r w:rsidR="00E94508" w:rsidRPr="008C2309">
        <w:rPr>
          <w:rFonts w:ascii="Times" w:hAnsi="Times" w:cstheme="minorHAnsi"/>
          <w:color w:val="000000" w:themeColor="text1"/>
        </w:rPr>
        <w:t>because of</w:t>
      </w:r>
      <w:r w:rsidRPr="008C2309">
        <w:rPr>
          <w:rFonts w:ascii="Times" w:hAnsi="Times" w:cstheme="minorHAnsi"/>
          <w:color w:val="000000" w:themeColor="text1"/>
        </w:rPr>
        <w:t xml:space="preserve"> this heat conduction that </w:t>
      </w:r>
      <w:r w:rsidR="006C0C84" w:rsidRPr="008C2309">
        <w:rPr>
          <w:rFonts w:ascii="Times" w:hAnsi="Times" w:cstheme="minorHAnsi"/>
          <w:color w:val="000000" w:themeColor="text1"/>
        </w:rPr>
        <w:t xml:space="preserve">degradation of thermolabile compounds </w:t>
      </w:r>
      <w:r w:rsidRPr="008C2309">
        <w:rPr>
          <w:rFonts w:ascii="Times" w:hAnsi="Times" w:cstheme="minorHAnsi"/>
          <w:color w:val="000000" w:themeColor="text1"/>
        </w:rPr>
        <w:t xml:space="preserve">can </w:t>
      </w:r>
      <w:r w:rsidR="006C0C84" w:rsidRPr="008C2309">
        <w:rPr>
          <w:rFonts w:ascii="Times" w:hAnsi="Times" w:cstheme="minorHAnsi"/>
          <w:color w:val="000000" w:themeColor="text1"/>
        </w:rPr>
        <w:t>arise</w:t>
      </w:r>
      <w:r w:rsidRPr="008C2309">
        <w:rPr>
          <w:rFonts w:ascii="Times" w:hAnsi="Times" w:cstheme="minorHAnsi"/>
          <w:color w:val="000000" w:themeColor="text1"/>
        </w:rPr>
        <w:t>. Despite this drawback, HME has had a well-documented history as a continuous, solvent-free, robust, quick and cost-effective pharmaceutical manufacturing process for the production of a wide variety of dosage forms</w:t>
      </w:r>
      <w:r w:rsidR="00D932EC" w:rsidRPr="008C2309">
        <w:rPr>
          <w:rFonts w:ascii="Times" w:hAnsi="Times" w:cstheme="minorHAnsi"/>
          <w:color w:val="000000" w:themeColor="text1"/>
        </w:rPr>
        <w:t xml:space="preserve"> </w:t>
      </w:r>
      <w:r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"10.1208/s12249-015-0360-7", "ISSN" : "1530-9932", "PMID" : "26159653", "abstract" : "Hot-melt extrusion (HME) is a promising technology for the production of new chemical entities in the developmental pipeline and for improving products already on the market. In drug discovery and development, industry estimates that more than 50% of active pharmaceutical ingredients currently used belong to the biopharmaceutical classification system II (BCS class II), which are characterized as poorly water-soluble compounds and result in formulations with low bioavailability. Therefore, there is a critical need for the pharmaceutical industry to develop formulations that will enhance the solubility and ultimately the bioavailability of these compounds. HME technology also offers an opportunity to earn intellectual property, which is evident from an increasing number of patents and publications that have included it as a novel pharmaceutical formulation technology over the past decades. This review had a threefold objective. First, it sought to provide an overview of HME principles and present detailed engineered extrusion equipment designs. Second, it included a number of published reports on the application of HME techniques that covered the fields of solid dispersions, microencapsulation, taste masking, targeted drug delivery systems, sustained release, films, nanotechnology, floating drug delivery systems, implants, and continuous manufacturing using the wet granulation process. Lastly, this review discussed the importance of using the quality by design approach in drug development, evaluated the process analytical technology used in pharmaceutical HME monitoring and control, discussed techniques used in HME, and emphasized the potential for monitoring and controlling hot-melt technology.", "author" : [ { "dropping-particle" : "", "family" : "Patil", "given" : "Hemlata", "non-dropping-particle" : "", "parse-names" : false, "suffix" : "" }, { "dropping-particle" : "V.", "family" : "Tiwari", "given" : "Roshan", "non-dropping-particle" : "", "parse-names" : false, "suffix" : "" }, { "dropping-particle" : "", "family" : "Repka", "given" : "Michael A.", "non-dropping-particle" : "", "parse-names" : false, "suffix" : "" } ], "container-title" : "AAPS PharmSciTech", "id" : "ITEM-1", "issue" : "1", "issued" : { "date-parts" : [ [ "2015" ] ] }, "page" : "20-42", "title" : "Hot-Melt Extrusion: from Theory to Application in Pharmaceutical Formulation", "type" : "article-journal", "volume" : "17" }, "uris" : [ "http://www.mendeley.com/documents/?uuid=dde79690-f906-4861-8e09-442c6ff00c19", "http://www.mendeley.com/documents/?uuid=e99e08fe-6c57-4443-a8e2-e43be7fe4d66" ] } ], "mendeley" : { "formattedCitation" : "(Patil et al., 2015)", "plainTextFormattedCitation" : "(Patil et al., 2015)", "previouslyFormattedCitation" : "(Patil et al., 2015)" }, "properties" : {  }, "schema" : "https://github.com/citation-style-language/schema/raw/master/csl-citation.json" }</w:instrText>
      </w:r>
      <w:r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(Patil et al., 2015)</w:t>
      </w:r>
      <w:r w:rsidRPr="008C2309">
        <w:rPr>
          <w:rFonts w:ascii="Times" w:hAnsi="Times" w:cstheme="minorHAnsi"/>
          <w:color w:val="000000" w:themeColor="text1"/>
        </w:rPr>
        <w:fldChar w:fldCharType="end"/>
      </w:r>
      <w:r w:rsidRPr="008C2309">
        <w:rPr>
          <w:rFonts w:ascii="Times" w:hAnsi="Times" w:cstheme="minorHAnsi"/>
          <w:color w:val="000000" w:themeColor="text1"/>
        </w:rPr>
        <w:t>.</w:t>
      </w:r>
      <w:r w:rsidR="006D4274" w:rsidRPr="008C2309">
        <w:rPr>
          <w:rFonts w:ascii="Times" w:hAnsi="Times" w:cstheme="minorHAnsi"/>
          <w:color w:val="000000" w:themeColor="text1"/>
        </w:rPr>
        <w:t xml:space="preserve"> </w:t>
      </w:r>
      <w:r w:rsidR="00393358" w:rsidRPr="008C2309">
        <w:rPr>
          <w:rFonts w:ascii="Times" w:hAnsi="Times" w:cstheme="minorHAnsi"/>
          <w:color w:val="000000" w:themeColor="text1"/>
        </w:rPr>
        <w:t>W</w:t>
      </w:r>
      <w:r w:rsidR="006D4274" w:rsidRPr="008C2309">
        <w:rPr>
          <w:rFonts w:ascii="Times" w:hAnsi="Times" w:cstheme="minorHAnsi"/>
          <w:color w:val="000000" w:themeColor="text1"/>
        </w:rPr>
        <w:t xml:space="preserve">hile the application of HME </w:t>
      </w:r>
      <w:r w:rsidR="006C0C84" w:rsidRPr="008C2309">
        <w:rPr>
          <w:rFonts w:ascii="Times" w:hAnsi="Times" w:cstheme="minorHAnsi"/>
          <w:color w:val="000000" w:themeColor="text1"/>
        </w:rPr>
        <w:t xml:space="preserve">to </w:t>
      </w:r>
      <w:r w:rsidR="006D4274" w:rsidRPr="008C2309">
        <w:rPr>
          <w:rFonts w:ascii="Times" w:hAnsi="Times" w:cstheme="minorHAnsi"/>
          <w:color w:val="000000" w:themeColor="text1"/>
        </w:rPr>
        <w:t xml:space="preserve">thermolabile drugs remains challenging and is one of its main limitations, </w:t>
      </w:r>
      <w:r w:rsidR="006C0C84" w:rsidRPr="008C2309">
        <w:rPr>
          <w:rFonts w:ascii="Times" w:hAnsi="Times" w:cstheme="minorHAnsi"/>
          <w:color w:val="000000" w:themeColor="text1"/>
        </w:rPr>
        <w:t>heat sensitive drugs have been successfully processed using this technique</w:t>
      </w:r>
      <w:r w:rsidR="00D932EC" w:rsidRPr="008C2309">
        <w:rPr>
          <w:rFonts w:ascii="Times" w:hAnsi="Times" w:cstheme="minorHAnsi"/>
          <w:color w:val="000000" w:themeColor="text1"/>
        </w:rPr>
        <w:t xml:space="preserve"> </w:t>
      </w:r>
      <w:r w:rsidR="006D4274"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"10.1081/DDC-100102218", "ISBN" : "03639045 (ISSN)", "ISSN" : "0363-9045 (Print) 0363-9045 (Linking)", "PMID" : "10219532", "abstract" : "Hydroxypropylcellulose (HPC) films containing drugs or hydrophilic or hydrophobic plasticizers were prepared by a hot melt extrusion process. Polyethylene glycol 8000 (PEG 8000) 2%, triethyl citrate (TEC) 2%, acetyltributyl citrate (ATBC) 2%, and polyethylene glycol 400 (PEG 400) 1% were the plasticizing agents studied. In addition, either hydrocortisone (HC) 1% or chlorpheniramine maleate (CPM) 1% was incorporated into the films as a model drug. The physical-mechanical properties of the films that were investigated included tensile strength (TS), percentage elongation (%E), and Young's modulus (YM). Differential scanning calorimetry (DSC) was utilized to determine glass transition temperatures (Tg's). These parameters were studied as a function of time and temperature. The glass transition temperatures initially decreased with the inclusion of the drugs and plasticizers. However, after 6 months aging, films containing PEG 400 and HC showed a marked increase in Tg. The films containing PEG 400 showed physical-mechanical instability in all parameters studied. All extruded films exhibited a marked decrease in TS in contrast to a large increase in %E when testing was performed perpendicular to flow versus in the direction of flow. In addition, a consistent film of HPC in the absence of drugs or plasticizers could not be extruded due to the excessive stress on the equipment. Although the theoretical percentage of CPM on aging remained fairly constant over the processing temperature ranges in this study, the HC levels remaining in the extruded films during storage were a function of time and temperature.", "author" : [ { "dropping-particle" : "", "family" : "Repka", "given" : "M a", "non-dropping-particle" : "", "parse-names" : false, "suffix" : "" }, { "dropping-particle" : "", "family" : "Gerding", "given" : "T G", "non-dropping-particle" : "", "parse-names" : false, "suffix" : "" }, { "dropping-particle" : "", "family" : "Repka", "given" : "S L", "non-dropping-particle" : "", "parse-names" : false, "suffix" : "" }, { "dropping-particle" : "", "family" : "McGinity", "given" : "J W", "non-dropping-particle" : "", "parse-names" : false, "suffix" : "" } ], "container-title" : "Drug development and industrial pharmacy", "id" : "ITEM-1", "issue" : "5", "issued" : { "date-parts" : [ [ "1999" ] ] }, "page" : "625-633", "title" : "Influence of plasticizers and drugs on the physical-mechanical properties of hydroxypropylcellulose films prepared by hot melt extrusion.", "type" : "article-journal", "volume" : "25" }, "uris" : [ "http://www.mendeley.com/documents/?uuid=6a7280a8-888e-443d-86d9-a22fe1b0410e", "http://www.mendeley.com/documents/?uuid=27f8a224-edee-4322-97f7-8a6148f2eb83" ] } ], "mendeley" : { "formattedCitation" : "(Repka et al., 1999)", "plainTextFormattedCitation" : "(Repka et al., 1999)", "previouslyFormattedCitation" : "(Repka et al., 1999)" }, "properties" : {  }, "schema" : "https://github.com/citation-style-language/schema/raw/master/csl-citation.json" }</w:instrText>
      </w:r>
      <w:r w:rsidR="006D4274"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(Repka et al., 1999)</w:t>
      </w:r>
      <w:r w:rsidR="006D4274" w:rsidRPr="008C2309">
        <w:rPr>
          <w:rFonts w:ascii="Times" w:hAnsi="Times" w:cstheme="minorHAnsi"/>
          <w:color w:val="000000" w:themeColor="text1"/>
        </w:rPr>
        <w:fldChar w:fldCharType="end"/>
      </w:r>
      <w:r w:rsidR="006D4274" w:rsidRPr="008C2309">
        <w:rPr>
          <w:rFonts w:ascii="Times" w:hAnsi="Times" w:cstheme="minorHAnsi"/>
          <w:color w:val="000000" w:themeColor="text1"/>
        </w:rPr>
        <w:t>.</w:t>
      </w:r>
      <w:r w:rsidR="00393358" w:rsidRPr="008C2309">
        <w:rPr>
          <w:rFonts w:ascii="Times" w:hAnsi="Times" w:cstheme="minorHAnsi"/>
          <w:color w:val="000000" w:themeColor="text1"/>
        </w:rPr>
        <w:t xml:space="preserve"> However, a</w:t>
      </w:r>
      <w:r w:rsidR="006D4274" w:rsidRPr="008C2309">
        <w:rPr>
          <w:rFonts w:ascii="Times" w:hAnsi="Times" w:cstheme="minorHAnsi"/>
          <w:color w:val="000000" w:themeColor="text1"/>
        </w:rPr>
        <w:t>s a result of</w:t>
      </w:r>
      <w:r w:rsidR="00E94508" w:rsidRPr="008C2309">
        <w:rPr>
          <w:rFonts w:ascii="Times" w:hAnsi="Times" w:cstheme="minorHAnsi"/>
          <w:color w:val="000000" w:themeColor="text1"/>
        </w:rPr>
        <w:t xml:space="preserve"> this</w:t>
      </w:r>
      <w:r w:rsidR="006D4274" w:rsidRPr="008C2309">
        <w:rPr>
          <w:rFonts w:ascii="Times" w:hAnsi="Times" w:cstheme="minorHAnsi"/>
          <w:color w:val="000000" w:themeColor="text1"/>
        </w:rPr>
        <w:t xml:space="preserve"> possible thermal degradation</w:t>
      </w:r>
      <w:r w:rsidRPr="008C2309">
        <w:rPr>
          <w:rFonts w:ascii="Times" w:hAnsi="Times" w:cstheme="minorHAnsi"/>
          <w:color w:val="000000" w:themeColor="text1"/>
        </w:rPr>
        <w:t>, SD may be more useful for thermolabile materials, as it can be used</w:t>
      </w:r>
      <w:r w:rsidR="00E94508" w:rsidRPr="008C2309">
        <w:rPr>
          <w:rFonts w:ascii="Times" w:hAnsi="Times" w:cstheme="minorHAnsi"/>
          <w:color w:val="000000" w:themeColor="text1"/>
        </w:rPr>
        <w:t xml:space="preserve"> </w:t>
      </w:r>
      <w:r w:rsidR="00D3496F" w:rsidRPr="008C2309">
        <w:rPr>
          <w:rFonts w:ascii="Times" w:hAnsi="Times" w:cstheme="minorHAnsi"/>
          <w:color w:val="000000" w:themeColor="text1"/>
        </w:rPr>
        <w:t>to process solutions or suspension</w:t>
      </w:r>
      <w:r w:rsidR="007272B4" w:rsidRPr="008C2309">
        <w:rPr>
          <w:rFonts w:ascii="Times" w:hAnsi="Times" w:cstheme="minorHAnsi"/>
          <w:color w:val="000000" w:themeColor="text1"/>
        </w:rPr>
        <w:t>s</w:t>
      </w:r>
      <w:r w:rsidR="00D932EC" w:rsidRPr="008C2309">
        <w:rPr>
          <w:rFonts w:ascii="Times" w:hAnsi="Times" w:cstheme="minorHAnsi"/>
          <w:color w:val="000000" w:themeColor="text1"/>
        </w:rPr>
        <w:t xml:space="preserve"> </w:t>
      </w:r>
      <w:r w:rsidR="007272B4" w:rsidRPr="008C2309">
        <w:rPr>
          <w:rFonts w:ascii="Times" w:hAnsi="Times" w:cstheme="minorHAnsi"/>
          <w:color w:val="000000" w:themeColor="text1"/>
        </w:rPr>
        <w:fldChar w:fldCharType="begin" w:fldLock="1"/>
      </w:r>
      <w:r w:rsidR="007272B4" w:rsidRPr="008C2309">
        <w:rPr>
          <w:rFonts w:ascii="Times" w:hAnsi="Times" w:cstheme="minorHAnsi"/>
          <w:color w:val="000000" w:themeColor="text1"/>
        </w:rPr>
        <w:instrText>ADDIN CSL_CITATION { "citationItems" : [ { "id" : "ITEM-1", "itemData" : { "ISBN" : "0702042900, 9780702042904", "author" : [ { "dropping-particle" : "", "family" : "Aulton", "given" : "Michael E.", "non-dropping-particle" : "", "parse-names" : false, "suffix" : "" }, { "dropping-particle" : "", "family" : "Taylor", "given" : "Kevin", "non-dropping-particle" : "", "parse-names" : false, "suffix" : "" } ], "edition" : "Fourth edi", "id" : "ITEM-1", "issued" : { "date-parts" : [ [ "2013" ] ] }, "number-of-pages" : "894", "publisher" : "Elsevier Health Sciences,", "title" : "Aulton's Pharmaceutics: The Design and Manufacture of Medicines", "type" : "book" }, "uris" : [ "http://www.mendeley.com/documents/?uuid=7ff727ad-7979-458f-a33b-6b4feb5be9dc" ] } ], "mendeley" : { "formattedCitation" : "(Aulton and Taylor, 2013)", "plainTextFormattedCitation" : "(Aulton and Taylor, 2013)", "previouslyFormattedCitation" : "(Aulton and Taylor, 2013)" }, "properties" : {  }, "schema" : "https://github.com/citation-style-language/schema/raw/master/csl-citation.json" }</w:instrText>
      </w:r>
      <w:r w:rsidR="007272B4" w:rsidRPr="008C2309">
        <w:rPr>
          <w:rFonts w:ascii="Times" w:hAnsi="Times" w:cstheme="minorHAnsi"/>
          <w:color w:val="000000" w:themeColor="text1"/>
        </w:rPr>
        <w:fldChar w:fldCharType="separate"/>
      </w:r>
      <w:r w:rsidR="007272B4" w:rsidRPr="008C2309">
        <w:rPr>
          <w:rFonts w:ascii="Times" w:hAnsi="Times" w:cstheme="minorHAnsi"/>
          <w:noProof/>
          <w:color w:val="000000" w:themeColor="text1"/>
        </w:rPr>
        <w:t>(Aulton and Taylor, 2013)</w:t>
      </w:r>
      <w:r w:rsidR="007272B4" w:rsidRPr="008C2309">
        <w:rPr>
          <w:rFonts w:ascii="Times" w:hAnsi="Times" w:cstheme="minorHAnsi"/>
          <w:color w:val="000000" w:themeColor="text1"/>
        </w:rPr>
        <w:fldChar w:fldCharType="end"/>
      </w:r>
      <w:r w:rsidR="00D3496F" w:rsidRPr="008C2309">
        <w:rPr>
          <w:rFonts w:ascii="Times" w:hAnsi="Times" w:cstheme="minorHAnsi"/>
          <w:color w:val="000000" w:themeColor="text1"/>
        </w:rPr>
        <w:t xml:space="preserve"> </w:t>
      </w:r>
      <w:r w:rsidR="00E94508" w:rsidRPr="008C2309">
        <w:rPr>
          <w:rFonts w:ascii="Times" w:hAnsi="Times" w:cstheme="minorHAnsi"/>
          <w:color w:val="000000" w:themeColor="text1"/>
        </w:rPr>
        <w:t xml:space="preserve">at </w:t>
      </w:r>
      <w:r w:rsidR="00D3496F" w:rsidRPr="008C2309">
        <w:rPr>
          <w:rFonts w:ascii="Times" w:hAnsi="Times" w:cstheme="minorHAnsi"/>
          <w:color w:val="000000" w:themeColor="text1"/>
        </w:rPr>
        <w:t>relatively low</w:t>
      </w:r>
      <w:r w:rsidR="00A5374A" w:rsidRPr="008C2309">
        <w:rPr>
          <w:rFonts w:ascii="Times" w:hAnsi="Times" w:cstheme="minorHAnsi"/>
          <w:color w:val="000000" w:themeColor="text1"/>
        </w:rPr>
        <w:t xml:space="preserve"> processing temperature</w:t>
      </w:r>
      <w:r w:rsidR="00D3496F" w:rsidRPr="008C2309">
        <w:rPr>
          <w:rFonts w:ascii="Times" w:hAnsi="Times" w:cstheme="minorHAnsi"/>
          <w:color w:val="000000" w:themeColor="text1"/>
        </w:rPr>
        <w:t>s</w:t>
      </w:r>
      <w:r w:rsidRPr="008C2309">
        <w:rPr>
          <w:rFonts w:ascii="Times" w:hAnsi="Times" w:cstheme="minorHAnsi"/>
          <w:color w:val="000000" w:themeColor="text1"/>
        </w:rPr>
        <w:t xml:space="preserve">, </w:t>
      </w:r>
      <w:r w:rsidR="00E94508" w:rsidRPr="008C2309">
        <w:rPr>
          <w:rFonts w:ascii="Times" w:hAnsi="Times" w:cstheme="minorHAnsi"/>
          <w:color w:val="000000" w:themeColor="text1"/>
        </w:rPr>
        <w:t>due to the availability of</w:t>
      </w:r>
      <w:r w:rsidR="009222F8" w:rsidRPr="008C2309">
        <w:rPr>
          <w:rFonts w:ascii="Times" w:hAnsi="Times" w:cstheme="minorHAnsi"/>
          <w:color w:val="000000" w:themeColor="text1"/>
        </w:rPr>
        <w:t xml:space="preserve"> a wide range</w:t>
      </w:r>
      <w:r w:rsidR="00E94508" w:rsidRPr="008C2309">
        <w:rPr>
          <w:rFonts w:ascii="Times" w:hAnsi="Times" w:cstheme="minorHAnsi"/>
          <w:color w:val="000000" w:themeColor="text1"/>
        </w:rPr>
        <w:t xml:space="preserve"> </w:t>
      </w:r>
      <w:r w:rsidR="00D86E9E" w:rsidRPr="008C2309">
        <w:rPr>
          <w:rFonts w:ascii="Times" w:hAnsi="Times" w:cstheme="minorHAnsi"/>
          <w:color w:val="000000" w:themeColor="text1"/>
        </w:rPr>
        <w:t xml:space="preserve">of </w:t>
      </w:r>
      <w:r w:rsidR="00E94508" w:rsidRPr="008C2309">
        <w:rPr>
          <w:rFonts w:ascii="Times" w:hAnsi="Times" w:cstheme="minorHAnsi"/>
          <w:color w:val="000000" w:themeColor="text1"/>
        </w:rPr>
        <w:t>volatile solvents</w:t>
      </w:r>
      <w:r w:rsidRPr="008C2309">
        <w:rPr>
          <w:rFonts w:ascii="Times" w:hAnsi="Times" w:cstheme="minorHAnsi"/>
          <w:color w:val="000000" w:themeColor="text1"/>
        </w:rPr>
        <w:t>.</w:t>
      </w:r>
      <w:r w:rsidR="009222F8" w:rsidRPr="008C2309">
        <w:rPr>
          <w:rFonts w:ascii="Times" w:hAnsi="Times" w:cstheme="minorHAnsi"/>
          <w:color w:val="000000" w:themeColor="text1"/>
        </w:rPr>
        <w:t xml:space="preserve"> While the wide range of solvents is advantageous for processing materials at low temperatures,</w:t>
      </w:r>
      <w:r w:rsidR="00E94508" w:rsidRPr="008C2309">
        <w:rPr>
          <w:rFonts w:ascii="Times" w:hAnsi="Times" w:cstheme="minorHAnsi"/>
          <w:color w:val="000000" w:themeColor="text1"/>
        </w:rPr>
        <w:t xml:space="preserve"> </w:t>
      </w:r>
      <w:r w:rsidR="009222F8" w:rsidRPr="008C2309">
        <w:rPr>
          <w:rFonts w:ascii="Times" w:hAnsi="Times" w:cstheme="minorHAnsi"/>
          <w:color w:val="000000" w:themeColor="text1"/>
        </w:rPr>
        <w:t>o</w:t>
      </w:r>
      <w:r w:rsidR="00393358" w:rsidRPr="008C2309">
        <w:rPr>
          <w:rFonts w:ascii="Times" w:hAnsi="Times" w:cstheme="minorHAnsi"/>
          <w:color w:val="000000" w:themeColor="text1"/>
        </w:rPr>
        <w:t xml:space="preserve">ne of the main disadvantages of SD </w:t>
      </w:r>
      <w:r w:rsidR="006C0C84" w:rsidRPr="008C2309">
        <w:rPr>
          <w:rFonts w:ascii="Times" w:hAnsi="Times" w:cstheme="minorHAnsi"/>
          <w:color w:val="000000" w:themeColor="text1"/>
        </w:rPr>
        <w:t xml:space="preserve">is </w:t>
      </w:r>
      <w:r w:rsidR="00393358" w:rsidRPr="008C2309">
        <w:rPr>
          <w:rFonts w:ascii="Times" w:hAnsi="Times" w:cstheme="minorHAnsi"/>
          <w:color w:val="000000" w:themeColor="text1"/>
        </w:rPr>
        <w:t xml:space="preserve">the use of </w:t>
      </w:r>
      <w:r w:rsidR="007863AB" w:rsidRPr="008C2309">
        <w:rPr>
          <w:rFonts w:ascii="Times" w:hAnsi="Times" w:cstheme="minorHAnsi"/>
          <w:color w:val="000000" w:themeColor="text1"/>
        </w:rPr>
        <w:t xml:space="preserve">organic </w:t>
      </w:r>
      <w:r w:rsidR="00393358" w:rsidRPr="008C2309">
        <w:rPr>
          <w:rFonts w:ascii="Times" w:hAnsi="Times" w:cstheme="minorHAnsi"/>
          <w:color w:val="000000" w:themeColor="text1"/>
        </w:rPr>
        <w:t xml:space="preserve">solvents in the process. The pharmaceutical industry in recent years has tried to move away from the use of </w:t>
      </w:r>
      <w:r w:rsidR="00393358" w:rsidRPr="008C2309">
        <w:rPr>
          <w:rFonts w:ascii="Times" w:hAnsi="Times" w:cstheme="minorHAnsi"/>
          <w:color w:val="000000" w:themeColor="text1"/>
        </w:rPr>
        <w:lastRenderedPageBreak/>
        <w:t xml:space="preserve">organic solvents due to </w:t>
      </w:r>
      <w:r w:rsidR="006C0C84" w:rsidRPr="008C2309">
        <w:rPr>
          <w:rFonts w:ascii="Times" w:hAnsi="Times" w:cstheme="minorHAnsi"/>
          <w:color w:val="000000" w:themeColor="text1"/>
        </w:rPr>
        <w:t xml:space="preserve">the </w:t>
      </w:r>
      <w:r w:rsidR="00393358" w:rsidRPr="008C2309">
        <w:rPr>
          <w:rFonts w:ascii="Times" w:hAnsi="Times" w:cstheme="minorHAnsi"/>
          <w:color w:val="000000" w:themeColor="text1"/>
        </w:rPr>
        <w:t xml:space="preserve">harmful effects </w:t>
      </w:r>
      <w:r w:rsidR="00C074C8" w:rsidRPr="008C2309">
        <w:rPr>
          <w:rFonts w:ascii="Times" w:hAnsi="Times" w:cstheme="minorHAnsi"/>
          <w:color w:val="000000" w:themeColor="text1"/>
        </w:rPr>
        <w:t>they can have on the environment</w:t>
      </w:r>
      <w:r w:rsidR="006C0C84" w:rsidRPr="008C2309">
        <w:rPr>
          <w:rFonts w:ascii="Times" w:hAnsi="Times" w:cstheme="minorHAnsi"/>
          <w:color w:val="000000" w:themeColor="text1"/>
        </w:rPr>
        <w:t>,</w:t>
      </w:r>
      <w:r w:rsidR="00C074C8" w:rsidRPr="008C2309">
        <w:rPr>
          <w:rFonts w:ascii="Times" w:hAnsi="Times" w:cstheme="minorHAnsi"/>
          <w:color w:val="000000" w:themeColor="text1"/>
        </w:rPr>
        <w:t xml:space="preserve"> but also </w:t>
      </w:r>
      <w:r w:rsidR="006C0C84" w:rsidRPr="008C2309">
        <w:rPr>
          <w:rFonts w:ascii="Times" w:hAnsi="Times" w:cstheme="minorHAnsi"/>
          <w:color w:val="000000" w:themeColor="text1"/>
        </w:rPr>
        <w:t xml:space="preserve">due to </w:t>
      </w:r>
      <w:r w:rsidR="00C074C8" w:rsidRPr="008C2309">
        <w:rPr>
          <w:rFonts w:ascii="Times" w:hAnsi="Times" w:cstheme="minorHAnsi"/>
          <w:color w:val="000000" w:themeColor="text1"/>
        </w:rPr>
        <w:t xml:space="preserve">the effects residual solvents may have on </w:t>
      </w:r>
      <w:r w:rsidR="006C0C84" w:rsidRPr="008C2309">
        <w:rPr>
          <w:rFonts w:ascii="Times" w:hAnsi="Times" w:cstheme="minorHAnsi"/>
          <w:color w:val="000000" w:themeColor="text1"/>
        </w:rPr>
        <w:t xml:space="preserve">manufactured </w:t>
      </w:r>
      <w:r w:rsidR="00C074C8" w:rsidRPr="008C2309">
        <w:rPr>
          <w:rFonts w:ascii="Times" w:hAnsi="Times" w:cstheme="minorHAnsi"/>
          <w:color w:val="000000" w:themeColor="text1"/>
        </w:rPr>
        <w:t>products produced</w:t>
      </w:r>
      <w:r w:rsidR="00D932EC" w:rsidRPr="008C2309">
        <w:rPr>
          <w:rFonts w:ascii="Times" w:hAnsi="Times" w:cstheme="minorHAnsi"/>
          <w:color w:val="000000" w:themeColor="text1"/>
        </w:rPr>
        <w:t xml:space="preserve"> </w:t>
      </w:r>
      <w:r w:rsidR="007A29D7" w:rsidRPr="008C2309">
        <w:rPr>
          <w:rFonts w:ascii="Times" w:hAnsi="Times" w:cstheme="minorHAnsi"/>
          <w:color w:val="000000" w:themeColor="text1"/>
        </w:rPr>
        <w:fldChar w:fldCharType="begin" w:fldLock="1"/>
      </w:r>
      <w:r w:rsidR="007A29D7" w:rsidRPr="008C2309">
        <w:rPr>
          <w:rFonts w:ascii="Times" w:hAnsi="Times" w:cstheme="minorHAnsi"/>
          <w:color w:val="000000" w:themeColor="text1"/>
        </w:rPr>
        <w:instrText>ADDIN CSL_CITATION { "citationItems" : [ { "id" : "ITEM-1", "itemData" : { "DOI" : "10.1002/9783527629688.ch16", "ISBN" : "9783527629688", "author" : [ { "dropping-particle" : "", "family" : "Dunn", "given" : "Peter J.", "non-dropping-particle" : "", "parse-names" : false, "suffix" : "" }, { "dropping-particle" : "", "family" : "Wells", "given" : "Andrew S.", "non-dropping-particle" : "", "parse-names" : false, "suffix" : "" }, { "dropping-particle" : "", "family" : "Williams", "given" : "Michael T.", "non-dropping-particle" : "", "parse-names" : false, "suffix" : "" } ], "container-title" : "Green Chemistry in the Pharmaceutical Industry", "id" : "ITEM-1", "issued" : { "date-parts" : [ [ "2010" ] ] }, "publisher" : "Wiley-VCH Verlag GmbH &amp; Co. KGaA", "publisher-place" : "Weinheim, Germany", "title" : "Future Trends for Green Chemistry in the Pharmaceutical Industry", "type" : "chapter" }, "uris" : [ "http://www.mendeley.com/documents/?uuid=212db862-718e-34a6-8800-a1cdc1b7b5f7" ] } ], "mendeley" : { "formattedCitation" : "(Dunn et al., 2010)", "plainTextFormattedCitation" : "(Dunn et al., 2010)", "previouslyFormattedCitation" : "(Dunn et al., 2010)" }, "properties" : {  }, "schema" : "https://github.com/citation-style-language/schema/raw/master/csl-citation.json" }</w:instrText>
      </w:r>
      <w:r w:rsidR="007A29D7" w:rsidRPr="008C2309">
        <w:rPr>
          <w:rFonts w:ascii="Times" w:hAnsi="Times" w:cstheme="minorHAnsi"/>
          <w:color w:val="000000" w:themeColor="text1"/>
        </w:rPr>
        <w:fldChar w:fldCharType="separate"/>
      </w:r>
      <w:r w:rsidR="007A29D7" w:rsidRPr="008C2309">
        <w:rPr>
          <w:rFonts w:ascii="Times" w:hAnsi="Times" w:cstheme="minorHAnsi"/>
          <w:noProof/>
          <w:color w:val="000000" w:themeColor="text1"/>
        </w:rPr>
        <w:t>(Dunn et al., 2010)</w:t>
      </w:r>
      <w:r w:rsidR="007A29D7" w:rsidRPr="008C2309">
        <w:rPr>
          <w:rFonts w:ascii="Times" w:hAnsi="Times" w:cstheme="minorHAnsi"/>
          <w:color w:val="000000" w:themeColor="text1"/>
        </w:rPr>
        <w:fldChar w:fldCharType="end"/>
      </w:r>
    </w:p>
    <w:p w14:paraId="78C09E1D" w14:textId="5AA13D03" w:rsidR="00805FF3" w:rsidRPr="008C2309" w:rsidRDefault="00033343" w:rsidP="00E41DED">
      <w:pPr>
        <w:spacing w:line="480" w:lineRule="auto"/>
        <w:jc w:val="both"/>
        <w:rPr>
          <w:rFonts w:ascii="Times" w:hAnsi="Times" w:cstheme="minorHAnsi"/>
          <w:color w:val="000000" w:themeColor="text1"/>
        </w:rPr>
      </w:pPr>
      <w:r w:rsidRPr="008C2309">
        <w:rPr>
          <w:rFonts w:ascii="Times" w:hAnsi="Times"/>
          <w:color w:val="000000" w:themeColor="text1"/>
        </w:rPr>
        <w:t>A</w:t>
      </w:r>
      <w:r w:rsidR="006C0C84" w:rsidRPr="008C2309">
        <w:rPr>
          <w:rFonts w:ascii="Times" w:hAnsi="Times"/>
          <w:color w:val="000000" w:themeColor="text1"/>
        </w:rPr>
        <w:t xml:space="preserve">ngiotensin converting enzyme </w:t>
      </w:r>
      <w:r w:rsidR="00805FF3" w:rsidRPr="008C2309">
        <w:rPr>
          <w:rFonts w:ascii="Times" w:hAnsi="Times"/>
          <w:color w:val="000000" w:themeColor="text1"/>
        </w:rPr>
        <w:t>(ACE) inhibitors and thiazide diuretics in fixed dose combination products have been shown to reduce blood pressure (BP) more substantially than with individual therapy of the drugs alone</w:t>
      </w:r>
      <w:r w:rsidR="00D932EC" w:rsidRPr="008C2309">
        <w:rPr>
          <w:rFonts w:ascii="Times" w:hAnsi="Times"/>
          <w:color w:val="000000" w:themeColor="text1"/>
        </w:rPr>
        <w:t xml:space="preserve"> </w:t>
      </w:r>
      <w:r w:rsidR="00805FF3" w:rsidRPr="008C2309">
        <w:rPr>
          <w:rFonts w:ascii="Times" w:hAnsi="Times"/>
          <w:color w:val="000000" w:themeColor="text1"/>
        </w:rPr>
        <w:fldChar w:fldCharType="begin" w:fldLock="1"/>
      </w:r>
      <w:r w:rsidR="00CF6239" w:rsidRPr="008C2309">
        <w:rPr>
          <w:rFonts w:ascii="Times" w:hAnsi="Times"/>
          <w:color w:val="000000" w:themeColor="text1"/>
        </w:rPr>
        <w:instrText>ADDIN CSL_CITATION { "citationItems" : [ { "id" : "ITEM-1", "itemData" : { "DOI" : "10.1111/j.1365-2125.1987.tb03121.x", "ISSN" : "13652125", "PMID" : "3555583", "abstract" : "The results of controlled clinical studies have shown that about 80% of hypertensive patients have a satisfactory blood pressure reduction when treated with a combination of captopril and thiazide diuretics. The high response rate to this treatment can be explained on the basis of the mechanism of action of these drugs. In the long term, diuretics act by reducing peripheral vascular resistance. The mechanism by which they reduce peripheral vascular resistance is the subject of debate, but could be explained on the basis of cellular ionic changes. From our studies, it was observed that thiazides cause a reduction in intracellular Na+ (Nai) and in intra- and extracellular K+ (Ki, Ke). Since in many patients Ke losses are greater than Ki losses, the Ki/Ke ratio (which is directly related to membrane potential and thus to vascular tone) increases. Captopril also reduces Nai, but its effects on Ke and Ki are quite different from those of thiazides. Captopril in fact causes an increase in Ki inducing a net increase in Ki/Ke. This increase can also be observed when captopril is given in combination with thiazides. Therefore the combination of captopril and thiazides has an additive effect on Nai, and increases Ki/Ke in the vast majority of patients. The decrease in Nai probably acts by reducing membrane sensitivity to catecholamines and angiotensin, whereas the increase in Ki/Ke acts by hyperpolarizing vascular smooth muscle membrane. The combination of captopril an thiazides also has favourable metabolic effects.(ABSTRACT TRUNCATED AT 250 WORDS)", "author" : [ { "dropping-particle" : "", "family" : "Ambrosioni", "given" : "E", "non-dropping-particle" : "", "parse-names" : false, "suffix" : "" }, { "dropping-particle" : "", "family" : "Borghi", "given" : "C", "non-dropping-particle" : "", "parse-names" : false, "suffix" : "" }, { "dropping-particle" : "", "family" : "Costa", "given" : "FV", "non-dropping-particle" : "", "parse-names" : false, "suffix" : "" } ], "container-title" : "British Journal of Clinical Pharmacology", "id" : "ITEM-1", "issue" : "1 S", "issued" : { "date-parts" : [ [ "1987" ] ] }, "language" : "eng", "page" : "43S-50S", "publisher-place" : "England", "title" : "Captopril and hydrochlorothiazide: rationale for their combination.", "type" : "article-journal", "volume" : "23" }, "uris" : [ "http://www.mendeley.com/documents/?uuid=50ca80f9-70ca-46db-be2a-3ed8ff23a1a6", "http://www.mendeley.com/documents/?uuid=7ae3759f-9b72-4961-b879-c5246a16de63" ] }, { "id" : "ITEM-2", "itemData" : { "ISSN" : "0031-6970 (Print)", "PMID" : "2076713", "abstract" : "The pharmacodynamic effects and acceptability of perindopril (4 mg daily) and hydrochlorothiazide (25 mg daily) given alone or in combination for 1 month were investigated in a double-blind, placebo controlled, parallel group study. The pharmacokinetics of perindopril and its active metabolite perindoprilat and the time course of angiotensin converting enzyme inhibition were studied for 72 h following the last dose of treatment in the two appropriate groups. Similar decreases in blood pressure were seen 24 h after the last dose of perindopril or hydrochlorothiazide (11/7 mm Hg supine) given alone at these doses. The effect of these drugs given together was additive on diastolic blood pressure and synergistic on systolic blood pressure (24.5/12.6 mm Hg supine) taking into account the placebo response. The significant increase in plasma renin activity produced by perindopril alone was potentiated by concurrent administration of hydrochlorothiazide. The formation of perindoprilat was slightly reduced in the group also receiving hydrochlorothiazide and there was a very small reduction in ACE inhibition in this group. Perindopril, whether given alone or in combination with hydrochlorothiazide, was well tolerated and produced no clinically significant change in routine haematology or serum biochemistry. The additive or synergistic effects of perindopril and hydrochlorothiazide on blood pressure must be due to their complementary physiological actions and not to a pharmacokinetic interaction.", "author" : [ { "dropping-particle" : "", "family" : "Brown", "given" : "C L", "non-dropping-particle" : "", "parse-names" : false, "suffix" : "" }, { "dropping-particle" : "", "family" : "Backhouse", "given" : "C I", "non-dropping-particle" : "", "parse-names" : false, "suffix" : "" }, { "dropping-particle" : "", "family" : "Grippat", "given" : "J C", "non-dropping-particle" : "", "parse-names" : false, "suffix" : "" }, { "dropping-particle" : "", "family" : "Santoni", "given" : "J P", "non-dropping-particle" : "", "parse-names" : false, "suffix" : "" } ], "container-title" : "European journal of clinical pharmacology", "id" : "ITEM-2", "issue" : "4", "issued" : { "date-parts" : [ [ "1990" ] ] }, "language" : "eng", "page" : "327-332", "publisher-place" : "Germany", "title" : "The effect of perindopril and hydrochlorothiazide alone and in combination on blood pressure and on the renin-angiotensin system in hypertensive subjects.", "type" : "article-journal", "volume" : "39" }, "uris" : [ "http://www.mendeley.com/documents/?uuid=d0b557b2-1f59-46d3-8e8b-7ec8e1b3d948", "http://www.mendeley.com/documents/?uuid=2446c3e0-50db-4f78-b31c-6439e60353ee" ] }, { "id" : "ITEM-3", "itemData" : { "ISSN" : "0003-9926 (Print)", "PMID" : "8147677", "abstract" : "OBJECTIVE: To test the antihypertensive and metabolic effects of lisinopril, 10 mg/d (L); hydrochlorothiazide, 12.5 and 25 mg/d (H12.5 and H25); and its combination with lisinopril (L/H12.5 and L/H25) against placebo in patients with mild to moderate (stage I and stage II) hypertension. DESIGN: Multicenter, double-blind, placebo-controlled outpatient study of 12 weeks' duration. PATIENTS: After 4 weeks of single-blind placebo treatment, 505 patients whose sitting diastolic blood pressure was 100 to 114 mm Hg were randomized into the study--467 patients completed it (placebo, 71; L, 80; H12.5, 79; H25, 77; L/H12.5, 79; and L/H25, 81). The patients were seen in the clinic every 2 weeks, where measurements of their sitting and upright blood pressure and heart rate were taken 24 +/- 2 hours after drug administration. Complete blood cell counts with differential cell counts, blood chemistry studies, urinalyses, and electrocardiograms were done at baseline and during the study. Roentgenograms were done once at baseline. RESULTS: Compared with placebo, all drug regimens decreased sitting and upright blood pressure (P &lt; .001) and had no effect on sitting and upright heart rate. The greatest effect was obtained with the combinations of L/H12.5 and L/H25. There was no difference between L/H12.5 and L/H25 or between H12.5 and H25. There were no serious clinical side effects except cough, which was slightly higher with L, L/H12.5, and L/H25. The only metabolic side effects were in serum potassium level, which was lower with H25 (P &lt; .01), and serum glucose level, which was higher with H25 and L/H25 (P &lt; .01). CONCLUSIONS: The data suggest that (1) monotherapy of hypertension with L, H12.5, H25, L/H12.5, and L/H25 was effective and well tolerated; (2) the best results were achieved with L/H12.5 and L/H25; (3) lower doses of hydrochlorothiazide either alone or in combination with lisinopril were equipotent with higher doses and were free of metabolic side effects.", "author" : [ { "dropping-particle" : "", "family" : "Chrysant", "given" : "S G", "non-dropping-particle" : "", "parse-names" : false, "suffix" : "" } ], "container-title" : "Archives of internal medicine", "id" : "ITEM-3", "issue" : "7", "issued" : { "date-parts" : [ [ "1994", "4" ] ] }, "language" : "eng", "page" : "737-743", "publisher-place" : "United States", "title" : "Antihypertensive effectiveness of low-dose lisinopril-hydrochlorothiazide combination. A large multicenter study. Lisinopril-Hydrochlorothiazide Group.", "type" : "article-journal", "volume" : "154" }, "uris" : [ "http://www.mendeley.com/documents/?uuid=a3d8f987-b5e3-422a-aaa8-6b3cc5220ae3", "http://www.mendeley.com/documents/?uuid=131a51c4-96cc-489c-bb42-93af6da0260d" ] } ], "mendeley" : { "formattedCitation" : "(Ambrosioni et al., 1987; Brown et al., 1990; Chrysant, 1994)", "plainTextFormattedCitation" : "(Ambrosioni et al., 1987; Brown et al., 1990; Chrysant, 1994)", "previouslyFormattedCitation" : "(Ambrosioni et al., 1987; Brown et al., 1990; Chrysant, 1994)" }, "properties" : {  }, "schema" : "https://github.com/citation-style-language/schema/raw/master/csl-citation.json" }</w:instrText>
      </w:r>
      <w:r w:rsidR="00805FF3" w:rsidRPr="008C2309">
        <w:rPr>
          <w:rFonts w:ascii="Times" w:hAnsi="Times"/>
          <w:color w:val="000000" w:themeColor="text1"/>
        </w:rPr>
        <w:fldChar w:fldCharType="separate"/>
      </w:r>
      <w:r w:rsidR="00B33BE2" w:rsidRPr="008C2309">
        <w:rPr>
          <w:rFonts w:ascii="Times" w:hAnsi="Times"/>
          <w:noProof/>
          <w:color w:val="000000" w:themeColor="text1"/>
        </w:rPr>
        <w:t>(Ambrosioni et al., 1987; Brown et al., 1990; Chrysant, 1994)</w:t>
      </w:r>
      <w:r w:rsidR="00805FF3" w:rsidRPr="008C2309">
        <w:rPr>
          <w:rFonts w:ascii="Times" w:hAnsi="Times"/>
          <w:color w:val="000000" w:themeColor="text1"/>
        </w:rPr>
        <w:fldChar w:fldCharType="end"/>
      </w:r>
      <w:r w:rsidR="00805FF3" w:rsidRPr="008C2309">
        <w:rPr>
          <w:rFonts w:ascii="Times" w:hAnsi="Times"/>
          <w:color w:val="000000" w:themeColor="text1"/>
        </w:rPr>
        <w:t xml:space="preserve">. </w:t>
      </w:r>
      <w:r w:rsidR="006C0C84" w:rsidRPr="008C2309">
        <w:rPr>
          <w:rFonts w:ascii="Times" w:hAnsi="Times"/>
          <w:color w:val="000000" w:themeColor="text1"/>
        </w:rPr>
        <w:t>Hydrochlorothiazide (</w:t>
      </w:r>
      <w:r w:rsidR="00805FF3" w:rsidRPr="008C2309">
        <w:rPr>
          <w:rFonts w:ascii="Times" w:hAnsi="Times"/>
          <w:color w:val="000000" w:themeColor="text1"/>
        </w:rPr>
        <w:t>HCTZ</w:t>
      </w:r>
      <w:r w:rsidR="006C0C84" w:rsidRPr="008C2309">
        <w:rPr>
          <w:rFonts w:ascii="Times" w:hAnsi="Times"/>
          <w:color w:val="000000" w:themeColor="text1"/>
        </w:rPr>
        <w:t>)</w:t>
      </w:r>
      <w:r w:rsidR="00805FF3" w:rsidRPr="008C2309">
        <w:rPr>
          <w:rFonts w:ascii="Times" w:hAnsi="Times"/>
          <w:color w:val="000000" w:themeColor="text1"/>
        </w:rPr>
        <w:t>, a thiazide diuretic</w:t>
      </w:r>
      <w:r w:rsidR="00D932EC" w:rsidRPr="008C2309">
        <w:rPr>
          <w:rFonts w:ascii="Times" w:hAnsi="Times"/>
          <w:color w:val="000000" w:themeColor="text1"/>
        </w:rPr>
        <w:t xml:space="preserve"> </w:t>
      </w:r>
      <w:r w:rsidR="00AE58D7" w:rsidRPr="008C2309">
        <w:rPr>
          <w:rFonts w:ascii="Times" w:hAnsi="Times"/>
          <w:color w:val="000000" w:themeColor="text1"/>
        </w:rPr>
        <w:fldChar w:fldCharType="begin" w:fldLock="1"/>
      </w:r>
      <w:r w:rsidR="00AE58D7" w:rsidRPr="008C2309">
        <w:rPr>
          <w:rFonts w:ascii="Times" w:hAnsi="Times"/>
          <w:color w:val="000000" w:themeColor="text1"/>
        </w:rPr>
        <w:instrText>ADDIN CSL_CITATION { "citationItems" : [ { "id" : "ITEM-1", "itemData" : { "URL" : "https://www.pharmacopoeia.com/bp-2018/monographs/hydrochlorothiazide.html?date=2018-01-01&amp;text=hydrochlorothiazide", "accessed" : { "date-parts" : [ [ "2018", "2", "19" ] ] }, "author" : [ { "dropping-particle" : "", "family" : "British Pharmacopoeia", "given" : "", "non-dropping-particle" : "", "parse-names" : false, "suffix" : "" } ], "container-title" : "British Pharmacopoeia", "id" : "ITEM-1", "issued" : { "date-parts" : [ [ "2018" ] ] }, "title" : "Hydrochlorothiazide Monograph", "type" : "webpage" }, "uris" : [ "http://www.mendeley.com/documents/?uuid=b4a373a3-5e2c-410a-bbf3-28491de17998" ] } ], "mendeley" : { "formattedCitation" : "(British Pharmacopoeia, 2018a)", "plainTextFormattedCitation" : "(British Pharmacopoeia, 2018a)", "previouslyFormattedCitation" : "(British Pharmacopoeia, 2018a)" }, "properties" : {  }, "schema" : "https://github.com/citation-style-language/schema/raw/master/csl-citation.json" }</w:instrText>
      </w:r>
      <w:r w:rsidR="00AE58D7" w:rsidRPr="008C2309">
        <w:rPr>
          <w:rFonts w:ascii="Times" w:hAnsi="Times"/>
          <w:color w:val="000000" w:themeColor="text1"/>
        </w:rPr>
        <w:fldChar w:fldCharType="separate"/>
      </w:r>
      <w:r w:rsidR="00AE58D7" w:rsidRPr="008C2309">
        <w:rPr>
          <w:rFonts w:ascii="Times" w:hAnsi="Times"/>
          <w:noProof/>
          <w:color w:val="000000" w:themeColor="text1"/>
        </w:rPr>
        <w:t>(British Pharmacopoeia, 2018a)</w:t>
      </w:r>
      <w:r w:rsidR="00AE58D7" w:rsidRPr="008C2309">
        <w:rPr>
          <w:rFonts w:ascii="Times" w:hAnsi="Times"/>
          <w:color w:val="000000" w:themeColor="text1"/>
        </w:rPr>
        <w:fldChar w:fldCharType="end"/>
      </w:r>
      <w:r w:rsidR="00805FF3" w:rsidRPr="008C2309">
        <w:rPr>
          <w:rFonts w:ascii="Times" w:hAnsi="Times"/>
          <w:color w:val="000000" w:themeColor="text1"/>
        </w:rPr>
        <w:t xml:space="preserve">, and </w:t>
      </w:r>
      <w:r w:rsidR="00D3496F" w:rsidRPr="008C2309">
        <w:rPr>
          <w:rFonts w:ascii="Times" w:hAnsi="Times"/>
          <w:color w:val="000000" w:themeColor="text1"/>
        </w:rPr>
        <w:t xml:space="preserve">ramipril </w:t>
      </w:r>
      <w:r w:rsidR="006C0C84" w:rsidRPr="008C2309">
        <w:rPr>
          <w:rFonts w:ascii="Times" w:hAnsi="Times"/>
          <w:color w:val="000000" w:themeColor="text1"/>
        </w:rPr>
        <w:t>(</w:t>
      </w:r>
      <w:r w:rsidR="00805FF3" w:rsidRPr="008C2309">
        <w:rPr>
          <w:rFonts w:ascii="Times" w:hAnsi="Times"/>
          <w:color w:val="000000" w:themeColor="text1"/>
        </w:rPr>
        <w:t>RAM</w:t>
      </w:r>
      <w:r w:rsidR="006C0C84" w:rsidRPr="008C2309">
        <w:rPr>
          <w:rFonts w:ascii="Times" w:hAnsi="Times"/>
          <w:color w:val="000000" w:themeColor="text1"/>
        </w:rPr>
        <w:t>)</w:t>
      </w:r>
      <w:r w:rsidR="00805FF3" w:rsidRPr="008C2309">
        <w:rPr>
          <w:rFonts w:ascii="Times" w:hAnsi="Times"/>
          <w:color w:val="000000" w:themeColor="text1"/>
        </w:rPr>
        <w:t xml:space="preserve">, an </w:t>
      </w:r>
      <w:r w:rsidR="006C0C84" w:rsidRPr="008C2309">
        <w:rPr>
          <w:rFonts w:ascii="Times" w:hAnsi="Times"/>
          <w:color w:val="000000" w:themeColor="text1"/>
        </w:rPr>
        <w:t>ACE</w:t>
      </w:r>
      <w:r w:rsidR="00805FF3" w:rsidRPr="008C2309">
        <w:rPr>
          <w:rFonts w:ascii="Times" w:hAnsi="Times"/>
          <w:color w:val="000000" w:themeColor="text1"/>
        </w:rPr>
        <w:t xml:space="preserve"> inhibitor</w:t>
      </w:r>
      <w:r w:rsidR="00D932EC" w:rsidRPr="008C2309">
        <w:rPr>
          <w:rFonts w:ascii="Times" w:hAnsi="Times"/>
          <w:color w:val="000000" w:themeColor="text1"/>
        </w:rPr>
        <w:t xml:space="preserve"> </w:t>
      </w:r>
      <w:r w:rsidR="007265E7" w:rsidRPr="008C2309">
        <w:rPr>
          <w:rFonts w:ascii="Times" w:hAnsi="Times"/>
          <w:color w:val="000000" w:themeColor="text1"/>
        </w:rPr>
        <w:fldChar w:fldCharType="begin" w:fldLock="1"/>
      </w:r>
      <w:r w:rsidR="00AE58D7" w:rsidRPr="008C2309">
        <w:rPr>
          <w:rFonts w:ascii="Times" w:hAnsi="Times"/>
          <w:color w:val="000000" w:themeColor="text1"/>
        </w:rPr>
        <w:instrText>ADDIN CSL_CITATION { "citationItems" : [ { "id" : "ITEM-1", "itemData" : { "URL" : "https://www.pharmacopoeia.com/bp-2018/monographs/ramipril.html?date=2018-01-01&amp;text=Ramipril", "accessed" : { "date-parts" : [ [ "2018", "2", "19" ] ] }, "author" : [ { "dropping-particle" : "", "family" : "British Pharmacopoeia", "given" : "", "non-dropping-particle" : "", "parse-names" : false, "suffix" : "" } ], "container-title" : "British Pharmacopoeia", "id" : "ITEM-1", "issued" : { "date-parts" : [ [ "2018" ] ] }, "title" : "Ramipril Monograph", "type" : "webpage" }, "uris" : [ "http://www.mendeley.com/documents/?uuid=e4571907-1435-446e-bda8-8e7a17ec0c59" ] } ], "mendeley" : { "formattedCitation" : "(British Pharmacopoeia, 2018b)", "plainTextFormattedCitation" : "(British Pharmacopoeia, 2018b)", "previouslyFormattedCitation" : "(British Pharmacopoeia, 2018b)" }, "properties" : {  }, "schema" : "https://github.com/citation-style-language/schema/raw/master/csl-citation.json" }</w:instrText>
      </w:r>
      <w:r w:rsidR="007265E7" w:rsidRPr="008C2309">
        <w:rPr>
          <w:rFonts w:ascii="Times" w:hAnsi="Times"/>
          <w:color w:val="000000" w:themeColor="text1"/>
        </w:rPr>
        <w:fldChar w:fldCharType="separate"/>
      </w:r>
      <w:r w:rsidR="00AE58D7" w:rsidRPr="008C2309">
        <w:rPr>
          <w:rFonts w:ascii="Times" w:hAnsi="Times"/>
          <w:noProof/>
          <w:color w:val="000000" w:themeColor="text1"/>
        </w:rPr>
        <w:t>(British Pharmacopoeia, 2018b)</w:t>
      </w:r>
      <w:r w:rsidR="007265E7" w:rsidRPr="008C2309">
        <w:rPr>
          <w:rFonts w:ascii="Times" w:hAnsi="Times"/>
          <w:color w:val="000000" w:themeColor="text1"/>
        </w:rPr>
        <w:fldChar w:fldCharType="end"/>
      </w:r>
      <w:r w:rsidR="00805FF3" w:rsidRPr="008C2309">
        <w:rPr>
          <w:rFonts w:ascii="Times" w:hAnsi="Times"/>
          <w:color w:val="000000" w:themeColor="text1"/>
        </w:rPr>
        <w:t xml:space="preserve">, are both recommended for the treatment of </w:t>
      </w:r>
      <w:r w:rsidR="006C0C84" w:rsidRPr="008C2309">
        <w:rPr>
          <w:rFonts w:ascii="Times" w:hAnsi="Times"/>
          <w:color w:val="000000" w:themeColor="text1"/>
        </w:rPr>
        <w:t>hypertension (</w:t>
      </w:r>
      <w:r w:rsidR="00805FF3" w:rsidRPr="008C2309">
        <w:rPr>
          <w:rFonts w:ascii="Times" w:hAnsi="Times"/>
          <w:color w:val="000000" w:themeColor="text1"/>
        </w:rPr>
        <w:t>HPT</w:t>
      </w:r>
      <w:r w:rsidR="006C0C84" w:rsidRPr="008C2309">
        <w:rPr>
          <w:rFonts w:ascii="Times" w:hAnsi="Times"/>
          <w:color w:val="000000" w:themeColor="text1"/>
        </w:rPr>
        <w:t>)</w:t>
      </w:r>
      <w:r w:rsidR="00D932EC" w:rsidRPr="008C2309">
        <w:rPr>
          <w:rFonts w:ascii="Times" w:hAnsi="Times"/>
          <w:color w:val="000000" w:themeColor="text1"/>
        </w:rPr>
        <w:t xml:space="preserve"> </w:t>
      </w:r>
      <w:r w:rsidR="00805FF3" w:rsidRPr="008C2309">
        <w:rPr>
          <w:rFonts w:ascii="Times" w:hAnsi="Times"/>
          <w:color w:val="000000" w:themeColor="text1"/>
        </w:rPr>
        <w:fldChar w:fldCharType="begin" w:fldLock="1"/>
      </w:r>
      <w:r w:rsidR="0003749A" w:rsidRPr="008C2309">
        <w:rPr>
          <w:rFonts w:ascii="Times" w:hAnsi="Times"/>
          <w:color w:val="000000" w:themeColor="text1"/>
        </w:rPr>
        <w:instrText>ADDIN CSL_CITATION { "citationItems" : [ { "id" : "ITEM-1", "itemData" : { "URL" : "http://www.who.int/cardiovascular_diseases/en/", "author" : [ { "dropping-particle" : "", "family" : "World Health Organization", "given" : "", "non-dropping-particle" : "", "parse-names" : false, "suffix" : "" } ], "id" : "ITEM-1", "issued" : { "date-parts" : [ [ "2016" ] ] }, "publisher" : "World Health Organization", "title" : "Cardiovascular diseases (CVDs)", "type" : "webpage" }, "uris" : [ "http://www.mendeley.com/documents/?uuid=63437898-0ee8-3987-a35b-2815022e41e0", "http://www.mendeley.com/documents/?uuid=1a7e1c07-49d6-48f4-8478-f761ee0621c6" ] } ], "mendeley" : { "formattedCitation" : "(World Health Organization, 2016)", "plainTextFormattedCitation" : "(World Health Organization, 2016)", "previouslyFormattedCitation" : "(World Health Organization, 2016)" }, "properties" : {  }, "schema" : "https://github.com/citation-style-language/schema/raw/master/csl-citation.json" }</w:instrText>
      </w:r>
      <w:r w:rsidR="00805FF3" w:rsidRPr="008C2309">
        <w:rPr>
          <w:rFonts w:ascii="Times" w:hAnsi="Times"/>
          <w:color w:val="000000" w:themeColor="text1"/>
        </w:rPr>
        <w:fldChar w:fldCharType="separate"/>
      </w:r>
      <w:r w:rsidR="00CA007C" w:rsidRPr="008C2309">
        <w:rPr>
          <w:rFonts w:ascii="Times" w:hAnsi="Times"/>
          <w:noProof/>
          <w:color w:val="000000" w:themeColor="text1"/>
        </w:rPr>
        <w:t>(World Health Organization, 2016)</w:t>
      </w:r>
      <w:r w:rsidR="00805FF3" w:rsidRPr="008C2309">
        <w:rPr>
          <w:rFonts w:ascii="Times" w:hAnsi="Times"/>
          <w:color w:val="000000" w:themeColor="text1"/>
        </w:rPr>
        <w:fldChar w:fldCharType="end"/>
      </w:r>
      <w:r w:rsidR="00805FF3" w:rsidRPr="008C2309">
        <w:rPr>
          <w:rFonts w:ascii="Times" w:hAnsi="Times"/>
          <w:color w:val="000000" w:themeColor="text1"/>
        </w:rPr>
        <w:t>. When dosage forms contain</w:t>
      </w:r>
      <w:r w:rsidR="003805F2" w:rsidRPr="008C2309">
        <w:rPr>
          <w:rFonts w:ascii="Times" w:hAnsi="Times"/>
          <w:color w:val="000000" w:themeColor="text1"/>
        </w:rPr>
        <w:t>ing</w:t>
      </w:r>
      <w:r w:rsidR="00805FF3" w:rsidRPr="008C2309">
        <w:rPr>
          <w:rFonts w:ascii="Times" w:hAnsi="Times"/>
          <w:color w:val="000000" w:themeColor="text1"/>
        </w:rPr>
        <w:t xml:space="preserve"> RAM </w:t>
      </w:r>
      <w:r w:rsidR="00490781" w:rsidRPr="008C2309">
        <w:rPr>
          <w:rFonts w:ascii="Times" w:hAnsi="Times"/>
          <w:color w:val="000000" w:themeColor="text1"/>
        </w:rPr>
        <w:t>in association with</w:t>
      </w:r>
      <w:r w:rsidR="00805FF3" w:rsidRPr="008C2309">
        <w:rPr>
          <w:rFonts w:ascii="Times" w:hAnsi="Times"/>
          <w:color w:val="000000" w:themeColor="text1"/>
        </w:rPr>
        <w:t xml:space="preserve"> HCTZ</w:t>
      </w:r>
      <w:r w:rsidR="00D3496F" w:rsidRPr="008C2309">
        <w:rPr>
          <w:rFonts w:ascii="Times" w:hAnsi="Times"/>
          <w:color w:val="000000" w:themeColor="text1"/>
        </w:rPr>
        <w:t xml:space="preserve"> are used</w:t>
      </w:r>
      <w:r w:rsidR="00490781" w:rsidRPr="008C2309">
        <w:rPr>
          <w:rFonts w:ascii="Times" w:hAnsi="Times"/>
          <w:color w:val="000000" w:themeColor="text1"/>
        </w:rPr>
        <w:t>,</w:t>
      </w:r>
      <w:r w:rsidR="00805FF3" w:rsidRPr="008C2309">
        <w:rPr>
          <w:rFonts w:ascii="Times" w:hAnsi="Times"/>
          <w:color w:val="000000" w:themeColor="text1"/>
        </w:rPr>
        <w:t xml:space="preserve"> there is a significantly greater reduction in BP than </w:t>
      </w:r>
      <w:r w:rsidR="006C0C84" w:rsidRPr="008C2309">
        <w:rPr>
          <w:rFonts w:ascii="Times" w:hAnsi="Times"/>
          <w:color w:val="000000" w:themeColor="text1"/>
        </w:rPr>
        <w:t xml:space="preserve">with </w:t>
      </w:r>
      <w:r w:rsidR="00805FF3" w:rsidRPr="008C2309">
        <w:rPr>
          <w:rFonts w:ascii="Times" w:hAnsi="Times"/>
          <w:color w:val="000000" w:themeColor="text1"/>
        </w:rPr>
        <w:t>individual monotherapies at the same dosages</w:t>
      </w:r>
      <w:r w:rsidR="00D932EC" w:rsidRPr="008C2309">
        <w:rPr>
          <w:rFonts w:ascii="Times" w:hAnsi="Times"/>
          <w:color w:val="000000" w:themeColor="text1"/>
        </w:rPr>
        <w:t xml:space="preserve"> </w:t>
      </w:r>
      <w:r w:rsidR="00805FF3" w:rsidRPr="008C2309">
        <w:rPr>
          <w:rFonts w:ascii="Times" w:hAnsi="Times"/>
          <w:color w:val="000000" w:themeColor="text1"/>
        </w:rPr>
        <w:fldChar w:fldCharType="begin" w:fldLock="1"/>
      </w:r>
      <w:r w:rsidR="00432184" w:rsidRPr="008C2309">
        <w:rPr>
          <w:rFonts w:ascii="Times" w:hAnsi="Times"/>
          <w:color w:val="000000" w:themeColor="text1"/>
        </w:rPr>
        <w:instrText>ADDIN CSL_CITATION { "citationItems" : [ { "id" : "ITEM-1", "itemData" : { "ISSN" : "0263-6352 (Print)", "PMID" : "8385183", "abstract" : "OBJECTIVE: To identify appropriate dosages of ramipril and hydrochlorothiazide (HCT) when given in combination once a day for the treatment of essential hypertension. DESIGN: A 2- or 4-week placebo run-in followed by 6-week, double-blind, parallel-group phase: 4 x 3 factorial (2.5, 5 and 10 mg ramipril; 12.5 and 25 mg HCT; all six combinations; placebo). SETTING: Office practice (21 centres). PATIENTS AND PARTICIPANTS: Patients with mild-to-moderate essential hypertension (World Health Organization stage I-II; supine diastolic blood pressure 100-115 mmHg in last 2 weeks of run-in): 581 enrolled, 534 randomly assigned to double-blind therapy and 517 completed. MAIN OUTCOME MEASURES: Reduction in supine and standing blood pressure. RESULTS: In pairwise comparisons, the combinations of 5 mg ramipril with 12.5 and 25 mg HCT and 10 mg ramipril with 12.5 mg HCT consistently produced significantly greater blood pressure reductions than their respective components. Response surface analyses were performed, and a stairstep model was constructed to characterize the shape of the dose-response surface. The combinations involving 5 and 10 mg ramipril with 12.5 and 25 mg HCT were again more effective than their components. Withdrawals and adverse effects were minimal for all treatments. A large drop in serum potassium was observed on 25 mg HCT, but not on combination therapy. Addition of ramipril appeared to reduce the hyperuricaemic effect of HCT. CONCLUSIONS: Several dosage combinations of ramipril plus HCT produced significantly greater blood pressure reductions than the monotherapies at the same dosages. Overall, the combination of 5 mg ramipril and 25 mg HCT gave the best mean reduction. Combination therapy with ramipril plus HCT was safe and effective for patients with mild-to-moderate essential hypertension.", "author" : [ { "dropping-particle" : "", "family" : "Scholze", "given" : "J", "non-dropping-particle" : "", "parse-names" : false, "suffix" : "" }, { "dropping-particle" : "", "family" : "Breitstadt", "given" : "A", "non-dropping-particle" : "", "parse-names" : false, "suffix" : "" }, { "dropping-particle" : "", "family" : "Cairns", "given" : "V", "non-dropping-particle" : "", "parse-names" : false, "suffix" : "" }, { "dropping-particle" : "", "family" : "Bauer", "given" : "B", "non-dropping-particle" : "", "parse-names" : false, "suffix" : "" }, { "dropping-particle" : "", "family" : "Bender", "given" : "N", "non-dropping-particle" : "", "parse-names" : false, "suffix" : "" }, { "dropping-particle" : "", "family" : "Priestley", "given" : "C", "non-dropping-particle" : "", "parse-names" : false, "suffix" : "" }, { "dropping-particle" : "", "family" : "Moreadith", "given" : "C", "non-dropping-particle" : "", "parse-names" : false, "suffix" : "" }, { "dropping-particle" : "", "family" : "Phillips", "given" : "J", "non-dropping-particle" : "", "parse-names" : false, "suffix" : "" }, { "dropping-particle" : "", "family" : "Elst", "given" : "E", "non-dropping-particle" : "Vander", "parse-names" : false, "suffix" : "" }, { "dropping-particle" : "", "family" : "Koch", "given" : "G", "non-dropping-particle" : "", "parse-names" : false, "suffix" : "" } ], "container-title" : "Journal of hypertension", "id" : "ITEM-1", "issue" : "2", "issued" : { "date-parts" : [ [ "1993", "2" ] ] }, "language" : "eng", "page" : "217-221", "publisher-place" : "England", "title" : "Short report: ramipril and hydrochlorothiazide combination therapy in hypertension: a clinical trial of factorial design. The East Germany Collaborative Trial Group.", "type" : "article-journal", "volume" : "11" }, "uris" : [ "http://www.mendeley.com/documents/?uuid=f29aa869-c255-4863-8ee5-f53f46bde63f", "http://www.mendeley.com/documents/?uuid=d597c448-ffae-4633-9efc-30668f2f6a2b" ] } ], "mendeley" : { "formattedCitation" : "(Scholze et al., 1993)", "plainTextFormattedCitation" : "(Scholze et al., 1993)", "previouslyFormattedCitation" : "(Scholze et al., 1993)" }, "properties" : {  }, "schema" : "https://github.com/citation-style-language/schema/raw/master/csl-citation.json" }</w:instrText>
      </w:r>
      <w:r w:rsidR="00805FF3" w:rsidRPr="008C2309">
        <w:rPr>
          <w:rFonts w:ascii="Times" w:hAnsi="Times"/>
          <w:color w:val="000000" w:themeColor="text1"/>
        </w:rPr>
        <w:fldChar w:fldCharType="separate"/>
      </w:r>
      <w:r w:rsidR="00B33BE2" w:rsidRPr="008C2309">
        <w:rPr>
          <w:rFonts w:ascii="Times" w:hAnsi="Times"/>
          <w:noProof/>
          <w:color w:val="000000" w:themeColor="text1"/>
        </w:rPr>
        <w:t>(Scholze et al., 1993)</w:t>
      </w:r>
      <w:r w:rsidR="00805FF3" w:rsidRPr="008C2309">
        <w:rPr>
          <w:rFonts w:ascii="Times" w:hAnsi="Times"/>
          <w:color w:val="000000" w:themeColor="text1"/>
        </w:rPr>
        <w:fldChar w:fldCharType="end"/>
      </w:r>
      <w:r w:rsidR="00805FF3" w:rsidRPr="008C2309">
        <w:rPr>
          <w:rFonts w:ascii="Times" w:hAnsi="Times"/>
          <w:color w:val="000000" w:themeColor="text1"/>
        </w:rPr>
        <w:t>, probably due to the additive effects of both drugs.</w:t>
      </w:r>
      <w:r w:rsidR="00490781" w:rsidRPr="008C2309">
        <w:rPr>
          <w:rFonts w:ascii="Times" w:hAnsi="Times"/>
          <w:color w:val="000000" w:themeColor="text1"/>
        </w:rPr>
        <w:t xml:space="preserve"> While</w:t>
      </w:r>
      <w:r w:rsidR="00805FF3" w:rsidRPr="008C2309">
        <w:rPr>
          <w:rFonts w:ascii="Times" w:hAnsi="Times"/>
          <w:color w:val="000000" w:themeColor="text1"/>
        </w:rPr>
        <w:t xml:space="preserve"> </w:t>
      </w:r>
      <w:r w:rsidR="00490781" w:rsidRPr="008C2309">
        <w:rPr>
          <w:rFonts w:ascii="Times" w:hAnsi="Times"/>
        </w:rPr>
        <w:t>t</w:t>
      </w:r>
      <w:r w:rsidR="00805FF3" w:rsidRPr="008C2309">
        <w:rPr>
          <w:rFonts w:ascii="Times" w:hAnsi="Times"/>
        </w:rPr>
        <w:t xml:space="preserve">he British </w:t>
      </w:r>
      <w:r w:rsidR="006C0C84" w:rsidRPr="008C2309">
        <w:rPr>
          <w:rFonts w:ascii="Times" w:hAnsi="Times"/>
        </w:rPr>
        <w:t xml:space="preserve">Pharmacopeia </w:t>
      </w:r>
      <w:r w:rsidR="00805FF3" w:rsidRPr="008C2309">
        <w:rPr>
          <w:rFonts w:ascii="Times" w:hAnsi="Times"/>
        </w:rPr>
        <w:t>states that HCTZ is very slightly soluble in water</w:t>
      </w:r>
      <w:r w:rsidR="00D932EC" w:rsidRPr="008C2309">
        <w:rPr>
          <w:rFonts w:ascii="Times" w:hAnsi="Times"/>
        </w:rPr>
        <w:t xml:space="preserve"> </w:t>
      </w:r>
      <w:r w:rsidR="00AE58D7" w:rsidRPr="008C2309">
        <w:rPr>
          <w:rFonts w:ascii="Times" w:hAnsi="Times"/>
        </w:rPr>
        <w:fldChar w:fldCharType="begin" w:fldLock="1"/>
      </w:r>
      <w:r w:rsidR="00AE58D7" w:rsidRPr="008C2309">
        <w:rPr>
          <w:rFonts w:ascii="Times" w:hAnsi="Times"/>
        </w:rPr>
        <w:instrText>ADDIN CSL_CITATION { "citationItems" : [ { "id" : "ITEM-1", "itemData" : { "URL" : "https://www.pharmacopoeia.com/bp-2018/monographs/hydrochlorothiazide.html?date=2018-01-01&amp;text=hydrochlorothiazide", "accessed" : { "date-parts" : [ [ "2018", "2", "19" ] ] }, "author" : [ { "dropping-particle" : "", "family" : "British Pharmacopoeia", "given" : "", "non-dropping-particle" : "", "parse-names" : false, "suffix" : "" } ], "container-title" : "British Pharmacopoeia", "id" : "ITEM-1", "issued" : { "date-parts" : [ [ "2018" ] ] }, "title" : "Hydrochlorothiazide Monograph", "type" : "webpage" }, "uris" : [ "http://www.mendeley.com/documents/?uuid=b4a373a3-5e2c-410a-bbf3-28491de17998" ] } ], "mendeley" : { "formattedCitation" : "(British Pharmacopoeia, 2018a)", "plainTextFormattedCitation" : "(British Pharmacopoeia, 2018a)", "previouslyFormattedCitation" : "(British Pharmacopoeia, 2018a)" }, "properties" : {  }, "schema" : "https://github.com/citation-style-language/schema/raw/master/csl-citation.json" }</w:instrText>
      </w:r>
      <w:r w:rsidR="00AE58D7" w:rsidRPr="008C2309">
        <w:rPr>
          <w:rFonts w:ascii="Times" w:hAnsi="Times"/>
        </w:rPr>
        <w:fldChar w:fldCharType="separate"/>
      </w:r>
      <w:r w:rsidR="00AE58D7" w:rsidRPr="008C2309">
        <w:rPr>
          <w:rFonts w:ascii="Times" w:hAnsi="Times"/>
          <w:noProof/>
        </w:rPr>
        <w:t>(British Pharmacopoeia, 2018a)</w:t>
      </w:r>
      <w:r w:rsidR="00AE58D7" w:rsidRPr="008C2309">
        <w:rPr>
          <w:rFonts w:ascii="Times" w:hAnsi="Times"/>
        </w:rPr>
        <w:fldChar w:fldCharType="end"/>
      </w:r>
      <w:r w:rsidR="00805FF3" w:rsidRPr="008C2309">
        <w:rPr>
          <w:rFonts w:ascii="Times" w:hAnsi="Times"/>
        </w:rPr>
        <w:t xml:space="preserve"> and </w:t>
      </w:r>
      <w:r w:rsidR="00490781" w:rsidRPr="008C2309">
        <w:rPr>
          <w:rFonts w:ascii="Times" w:hAnsi="Times"/>
        </w:rPr>
        <w:t>RAM</w:t>
      </w:r>
      <w:r w:rsidR="00805FF3" w:rsidRPr="008C2309">
        <w:rPr>
          <w:rFonts w:ascii="Times" w:hAnsi="Times"/>
        </w:rPr>
        <w:t xml:space="preserve"> is sparingly soluble in water</w:t>
      </w:r>
      <w:r w:rsidR="00D932EC" w:rsidRPr="008C2309">
        <w:rPr>
          <w:rFonts w:ascii="Times" w:hAnsi="Times"/>
        </w:rPr>
        <w:t xml:space="preserve"> </w:t>
      </w:r>
      <w:r w:rsidR="00AE58D7" w:rsidRPr="008C2309">
        <w:rPr>
          <w:rFonts w:ascii="Times" w:hAnsi="Times"/>
        </w:rPr>
        <w:fldChar w:fldCharType="begin" w:fldLock="1"/>
      </w:r>
      <w:r w:rsidR="00AE58D7" w:rsidRPr="008C2309">
        <w:rPr>
          <w:rFonts w:ascii="Times" w:hAnsi="Times"/>
        </w:rPr>
        <w:instrText>ADDIN CSL_CITATION { "citationItems" : [ { "id" : "ITEM-1", "itemData" : { "URL" : "https://www.pharmacopoeia.com/bp-2018/monographs/ramipril.html?date=2018-01-01&amp;text=Ramipril", "accessed" : { "date-parts" : [ [ "2018", "2", "19" ] ] }, "author" : [ { "dropping-particle" : "", "family" : "British Pharmacopoeia", "given" : "", "non-dropping-particle" : "", "parse-names" : false, "suffix" : "" } ], "container-title" : "British Pharmacopoeia", "id" : "ITEM-1", "issued" : { "date-parts" : [ [ "2018" ] ] }, "title" : "Ramipril Monograph", "type" : "webpage" }, "uris" : [ "http://www.mendeley.com/documents/?uuid=e4571907-1435-446e-bda8-8e7a17ec0c59" ] } ], "mendeley" : { "formattedCitation" : "(British Pharmacopoeia, 2018b)", "plainTextFormattedCitation" : "(British Pharmacopoeia, 2018b)", "previouslyFormattedCitation" : "(British Pharmacopoeia, 2018b)" }, "properties" : {  }, "schema" : "https://github.com/citation-style-language/schema/raw/master/csl-citation.json" }</w:instrText>
      </w:r>
      <w:r w:rsidR="00AE58D7" w:rsidRPr="008C2309">
        <w:rPr>
          <w:rFonts w:ascii="Times" w:hAnsi="Times"/>
        </w:rPr>
        <w:fldChar w:fldCharType="separate"/>
      </w:r>
      <w:r w:rsidR="00AE58D7" w:rsidRPr="008C2309">
        <w:rPr>
          <w:rFonts w:ascii="Times" w:hAnsi="Times"/>
          <w:noProof/>
        </w:rPr>
        <w:t>(British Pharmacopoeia, 2018b)</w:t>
      </w:r>
      <w:r w:rsidR="00AE58D7" w:rsidRPr="008C2309">
        <w:rPr>
          <w:rFonts w:ascii="Times" w:hAnsi="Times"/>
        </w:rPr>
        <w:fldChar w:fldCharType="end"/>
      </w:r>
      <w:r w:rsidR="006863A8" w:rsidRPr="008C2309">
        <w:rPr>
          <w:rFonts w:ascii="Times" w:hAnsi="Times"/>
        </w:rPr>
        <w:t>,</w:t>
      </w:r>
      <w:r w:rsidR="00805FF3" w:rsidRPr="008C2309">
        <w:rPr>
          <w:rFonts w:ascii="Times" w:hAnsi="Times"/>
        </w:rPr>
        <w:t xml:space="preserve"> respectively, the </w:t>
      </w:r>
      <w:r w:rsidR="006C0C84" w:rsidRPr="008C2309">
        <w:rPr>
          <w:rFonts w:ascii="Times" w:hAnsi="Times"/>
        </w:rPr>
        <w:t xml:space="preserve">Biopharmaceutics Classification System </w:t>
      </w:r>
      <w:r w:rsidR="00805FF3" w:rsidRPr="008C2309">
        <w:rPr>
          <w:rFonts w:ascii="Times" w:hAnsi="Times"/>
        </w:rPr>
        <w:t xml:space="preserve">(BCS), classifies a substance to be highly soluble when the highest dose strength is soluble </w:t>
      </w:r>
      <w:r w:rsidR="006C0C84" w:rsidRPr="008C2309">
        <w:rPr>
          <w:rFonts w:ascii="Times" w:hAnsi="Times"/>
        </w:rPr>
        <w:t xml:space="preserve">in less than </w:t>
      </w:r>
      <w:r w:rsidR="00805FF3" w:rsidRPr="008C2309">
        <w:rPr>
          <w:rFonts w:ascii="Times" w:hAnsi="Times"/>
        </w:rPr>
        <w:t>250</w:t>
      </w:r>
      <w:r w:rsidR="006C0C84" w:rsidRPr="008C2309">
        <w:rPr>
          <w:rFonts w:ascii="Times" w:hAnsi="Times"/>
        </w:rPr>
        <w:t xml:space="preserve"> </w:t>
      </w:r>
      <w:r w:rsidR="00805FF3" w:rsidRPr="008C2309">
        <w:rPr>
          <w:rFonts w:ascii="Times" w:hAnsi="Times"/>
        </w:rPr>
        <w:t>ml water over the pH range of 1 to 7.5</w:t>
      </w:r>
      <w:r w:rsidR="00AF2541" w:rsidRPr="008C2309">
        <w:rPr>
          <w:rFonts w:ascii="Times" w:hAnsi="Times"/>
        </w:rPr>
        <w:t xml:space="preserve"> at 37</w:t>
      </w:r>
      <w:r w:rsidR="003665C2" w:rsidRPr="008C2309">
        <w:rPr>
          <w:rFonts w:ascii="Times" w:hAnsi="Times"/>
        </w:rPr>
        <w:t xml:space="preserve"> </w:t>
      </w:r>
      <w:r w:rsidR="003665C2" w:rsidRPr="008C2309">
        <w:rPr>
          <w:rFonts w:ascii="Times" w:hAnsi="Times"/>
          <w:color w:val="000000" w:themeColor="text1"/>
        </w:rPr>
        <w:t>°</w:t>
      </w:r>
      <w:r w:rsidR="003665C2" w:rsidRPr="008C2309">
        <w:rPr>
          <w:rFonts w:ascii="Times" w:hAnsi="Times" w:cstheme="minorHAnsi"/>
          <w:color w:val="000000" w:themeColor="text1"/>
        </w:rPr>
        <w:t>C</w:t>
      </w:r>
      <w:r w:rsidR="00D932EC" w:rsidRPr="008C2309">
        <w:rPr>
          <w:rFonts w:ascii="Times" w:hAnsi="Times" w:cstheme="minorHAnsi"/>
          <w:color w:val="000000" w:themeColor="text1"/>
        </w:rPr>
        <w:t xml:space="preserve"> </w:t>
      </w:r>
      <w:r w:rsidR="003665C2" w:rsidRPr="008C2309">
        <w:rPr>
          <w:rFonts w:ascii="Times" w:hAnsi="Times" w:cstheme="minorHAnsi"/>
          <w:color w:val="000000" w:themeColor="text1"/>
        </w:rPr>
        <w:fldChar w:fldCharType="begin" w:fldLock="1"/>
      </w:r>
      <w:r w:rsidR="003665C2" w:rsidRPr="008C2309">
        <w:rPr>
          <w:rFonts w:ascii="Times" w:hAnsi="Times" w:cstheme="minorHAnsi"/>
          <w:color w:val="000000" w:themeColor="text1"/>
        </w:rPr>
        <w:instrText>ADDIN CSL_CITATION { "citationItems" : [ { "id" : "ITEM-1", "itemData" : { "DOI" : "10.1002/jps.20064", "author" : [ { "dropping-particle" : "", "family" : "Polli", "given" : "James E.", "non-dropping-particle" : "", "parse-names" : false, "suffix" : "" }, { "dropping-particle" : "", "family" : "Yu", "given" : "Lawrence X.", "non-dropping-particle" : "", "parse-names" : false, "suffix" : "" }, { "dropping-particle" : "", "family" : "Cook", "given" : "Jack A.", "non-dropping-particle" : "", "parse-names" : false, "suffix" : "" }, { "dropping-particle" : "", "family" : "Amidon", "given" : "Gordon L.", "non-dropping-particle" : "", "parse-names" : false, "suffix" : "" }, { "dropping-particle" : "", "family" : "Borchardt", "given" : "Ronald T.", "non-dropping-particle" : "", "parse-names" : false, "suffix" : "" }, { "dropping-particle" : "", "family" : "Burnside", "given" : "Beth A.", "non-dropping-particle" : "", "parse-names" : false, "suffix" : "" }, { "dropping-particle" : "", "family" : "Burton", "given" : "Philip S.", "non-dropping-particle" : "", "parse-names" : false, "suffix" : "" }, { "dropping-particle" : "", "family" : "Chen", "given" : "Mei\u2010Ling", "non-dropping-particle" : "", "parse-names" : false, "suffix" : "" }, { "dropping-particle" : "", "family" : "Conner", "given" : "Dale P.", "non-dropping-particle" : "", "parse-names" : false, "suffix" : "" }, { "dropping-particle" : "", "family" : "Faustino", "given" : "Patrick J.", "non-dropping-particle" : "", "parse-names" : false, "suffix" : "" }, { "dropping-particle" : "", "family" : "Hawi", "given" : "Amale A.", "non-dropping-particle" : "", "parse-names" : false, "suffix" : "" }, { "dropping-particle" : "", "family" : "Hussain", "given" : "Ajaz S.", "non-dropping-particle" : "", "parse-names" : false, "suffix" : "" }, { "dropping-particle" : "", "family" : "Joshi", "given" : "Hemant N.", "non-dropping-particle" : "", "parse-names" : false, "suffix" : "" }, { "dropping-particle" : "", "family" : "Kwei", "given" : "Gloria", "non-dropping-particle" : "", "parse-names" : false, "suffix" : "" }, { "dropping-particle" : "", "family" : "Lee", "given" : "Vincent H.L.", "non-dropping-particle" : "", "parse-names" : false, "suffix" : "" }, { "dropping-particle" : "", "family" : "Lesko", "given" : "Lawrence J.", "non-dropping-particle" : "", "parse-names" : false, "suffix" : "" }, { "dropping-particle" : "", "family" : "Lipper", "given" : "Robert A.", "non-dropping-particle" : "", "parse-names" : false, "suffix" : "" }, { "dropping-particle" : "", "family" : "Loper", "given" : "Alice E.", "non-dropping-particle" : "", "parse-names" : false, "suffix" : "" }, { "dropping-particle" : "", "family" : "Nerurkar", "given" : "Shriniwas G.", "non-dropping-particle" : "", "parse-names" : false, "suffix" : "" }, { "dropping-particle" : "", "family" : "Polli", "given" : "Joseph W.", "non-dropping-particle" : "", "parse-names" : false, "suffix" : "" }, { "dropping-particle" : "", "family" : "Sanvordeker", "given" : "Dilip R.", "non-dropping-particle" : "", "parse-names" : false, "suffix" : "" }, { "dropping-particle" : "", "family" : "Taneja", "given" : "Rajneesh", "non-dropping-particle" : "", "parse-names" : false, "suffix" : "" }, { "dropping-particle" : "", "family" : "Uppoor", "given" : "Ramana S.", "non-dropping-particle" : "", "parse-names" : false, "suffix" : "" }, { "dropping-particle" : "", "family" : "Vattikonda", "given" : "Chandra S.", "non-dropping-particle" : "", "parse-names" : false, "suffix" : "" }, { "dropping-particle" : "", "family" : "Wilding", "given" : "Ian", "non-dropping-particle" : "", "parse-names" : false, "suffix" : "" }, { "dropping-particle" : "", "family" : "Zhang", "given" : "Guohua", "non-dropping-particle" : "", "parse-names" : false, "suffix" : "" } ], "container-title" : "Journal of Pharmaceutical Sciences", "id" : "ITEM-1", "issue" : "6", "issued" : { "date-parts" : [ [ "2004", "6", "1" ] ] }, "number-of-pages" : "1375-1381", "publisher" : "Elsevier", "title" : "Summary workshop report: Biopharmaceutics classification system\u2014implementation challenges and extension opportunities", "type" : "report", "volume" : "93" }, "uris" : [ "http://www.mendeley.com/documents/?uuid=746e73f9-047f-39b2-bb3f-359c194f1381" ] }, { "id" : "ITEM-2", "itemData" : { "DOI" : "10.1016/J.EJPB.2004.03.001", "ISSN" : "0939-6411", "abstract" : "Since its inception in 1995, the biopharmaceutical classification system (BCS) has become an increasingly important tool for regulation of drug products world-wide. Until now, application of the BCS has been partially hindered by the lack of a freely available and accurate database summarising solubility and permeability characteristics of drug substances. In this report, orally administered drugs on the Model list of Essential Medicines of the World Health Organization (WHO) are assigned BCS classifications on the basis of data available in the public domain. Of the 130 orally administered drugs on the WHO list, 61 could be classified with certainty. Twenty-one (84%) of these belong to class I (highly soluble, highly permeable), 10 (17%) to class II (poorly soluble, highly permeable), 24 (39%) to class III (highly soluble, poorly permeable) and 6 (10%) to class IV (poorly soluble, poorly permeable). A further 28 drugs could be provisionally assigned, while for 41 drugs insufficient or conflicting data precluded assignment to a specific BCS class. A total of 32 class I drugs (either certain or provisional classification) were identified. These drugs can be further considered for biowaiver status (drug product approval based on dissolution tests rather than bioequivalence studies in humans).", "author" : [ { "dropping-particle" : "", "family" : "Lindenberg", "given" : "Marc", "non-dropping-particle" : "", "parse-names" : false, "suffix" : "" }, { "dropping-particle" : "", "family" : "Kopp", "given" : "Sabine", "non-dropping-particle" : "", "parse-names" : false, "suffix" : "" }, { "dropping-particle" : "", "family" : "Dressman", "given" : "Jennifer B", "non-dropping-particle" : "", "parse-names" : false, "suffix" : "" } ], "container-title" : "European Journal of Pharmaceutics and Biopharmaceutics", "id" : "ITEM-2", "issue" : "2", "issued" : { "date-parts" : [ [ "2004", "9", "1" ] ] }, "page" : "265-278", "publisher" : "Elsevier", "title" : "Classification of orally administered drugs on the World Health Organization Model list of Essential Medicines according to the biopharmaceutics classification system", "type" : "article-journal", "volume" : "58" }, "uris" : [ "http://www.mendeley.com/documents/?uuid=4242e6fc-562b-3aaf-b1f7-ac87a86d634a" ] } ], "mendeley" : { "formattedCitation" : "(Lindenberg et al., 2004; Polli et al., 2004)", "plainTextFormattedCitation" : "(Lindenberg et al., 2004; Polli et al., 2004)", "previouslyFormattedCitation" : "(Lindenberg et al., 2004; Polli et al., 2004)" }, "properties" : {  }, "schema" : "https://github.com/citation-style-language/schema/raw/master/csl-citation.json" }</w:instrText>
      </w:r>
      <w:r w:rsidR="003665C2" w:rsidRPr="008C2309">
        <w:rPr>
          <w:rFonts w:ascii="Times" w:hAnsi="Times" w:cstheme="minorHAnsi"/>
          <w:color w:val="000000" w:themeColor="text1"/>
        </w:rPr>
        <w:fldChar w:fldCharType="separate"/>
      </w:r>
      <w:r w:rsidR="003665C2" w:rsidRPr="008C2309">
        <w:rPr>
          <w:rFonts w:ascii="Times" w:hAnsi="Times" w:cstheme="minorHAnsi"/>
          <w:noProof/>
          <w:color w:val="000000" w:themeColor="text1"/>
        </w:rPr>
        <w:t>(Lindenberg et al., 2004; Polli et al., 2004)</w:t>
      </w:r>
      <w:r w:rsidR="003665C2" w:rsidRPr="008C2309">
        <w:rPr>
          <w:rFonts w:ascii="Times" w:hAnsi="Times" w:cstheme="minorHAnsi"/>
          <w:color w:val="000000" w:themeColor="text1"/>
        </w:rPr>
        <w:fldChar w:fldCharType="end"/>
      </w:r>
      <w:r w:rsidR="00186A9B" w:rsidRPr="008C2309">
        <w:rPr>
          <w:rFonts w:ascii="Times" w:hAnsi="Times" w:cstheme="minorHAnsi"/>
          <w:color w:val="000000" w:themeColor="text1"/>
        </w:rPr>
        <w:t xml:space="preserve">. </w:t>
      </w:r>
      <w:r w:rsidR="005E5C85" w:rsidRPr="008C2309">
        <w:rPr>
          <w:rFonts w:ascii="Times" w:hAnsi="Times" w:cstheme="minorHAnsi"/>
          <w:color w:val="000000" w:themeColor="text1"/>
        </w:rPr>
        <w:t xml:space="preserve">While some authors have referred to HCTZ as a BCS class IV drug (high solubility, low permeability) </w:t>
      </w:r>
      <w:r w:rsidR="00E3068E" w:rsidRPr="008C2309">
        <w:rPr>
          <w:rFonts w:ascii="Times" w:hAnsi="Times" w:cstheme="minorHAnsi"/>
          <w:color w:val="000000" w:themeColor="text1"/>
        </w:rPr>
        <w:fldChar w:fldCharType="begin" w:fldLock="1"/>
      </w:r>
      <w:r w:rsidR="009E4354" w:rsidRPr="008C2309">
        <w:rPr>
          <w:rFonts w:ascii="Times" w:hAnsi="Times" w:cstheme="minorHAnsi"/>
          <w:color w:val="000000" w:themeColor="text1"/>
        </w:rPr>
        <w:instrText>ADDIN CSL_CITATION { "citationItems" : [ { "id" : "ITEM-1", "itemData" : { "DOI" : "10.1016/J.JCONREL.2017.01.014", "ISSN" : "0168-3659", "abstract" : "BCS class IV drugs (e.g., amphotericin B, furosemide, acetazolamide, ritonavir, paclitaxel) exhibit many characteristics that are problematic for effective oral and per oral delivery. Some of the problems associated include low aqueous solubility, poor permeability, erratic and poor absorption, inter and intra subject variability and significant positive food effect which leads to low and variable bioavailability. Also, most of the class IV drugs are substrate for P-glycoprotein (low permeability) and substrate for CYP3A4 (extensive pre systemic metabolism) which further potentiates the problem of poor therapeutic potential of these drugs. A decade back, extreme examples of class IV compounds were an exception rather than the rule, yet today many drug candidates under development pipeline fall into this category. Formulation and development of an efficacious delivery system for BCS class IV drugs are herculean tasks for any formulator. The inherent hurdles posed by these drugs hamper their translation to actual market. The importance of the formulation composition and design to successful drug development is especially illustrated by the BCS class IV case. To be clinically effective these drugs require the development of a proper delivery system for both oral and per oral delivery. Ideal oral dosage forms should produce both a reasonably high bioavailability and low inter and intra subject variability in absorption. Also, ideal systems for BCS class IV should produce a therapeutic concentration of the drug at reasonable dose volumes for intravenous administration. This article highlights the various techniques and upcoming strategies which can be employed for the development of highly notorious BCS class IV drugs. Some of the techniques employed are lipid based delivery systems, polymer based nanocarriers, crystal engineering (nanocrystals and co-crystals), liquisolid technology, self-emulsifying solid dispersions and miscellaneous techniques addressing the P-gp efflux problem. The review also focuses on the roadblocks in the clinical development of the aforementioned strategies such as problems in scale up, manufacturing under cGMP guidelines, appropriate quality control tests, validation of various processes and variable therein etc. It also brings to forefront the current lack of regulatory guidelines which poses difficulties during preclinical and clinical testing for submission of NDA and subsequent marketing. Today, the pharmaceutical industry has\u2026", "author" : [ { "dropping-particle" : "", "family" : "Ghadi", "given" : "Rohan", "non-dropping-particle" : "", "parse-names" : false, "suffix" : "" }, { "dropping-particle" : "", "family" : "Dand", "given" : "Neha", "non-dropping-particle" : "", "parse-names" : false, "suffix" : "" } ], "container-title" : "Journal of Controlled Release", "id" : "ITEM-1", "issued" : { "date-parts" : [ [ "2017", "2", "28" ] ] }, "page" : "71-95", "publisher" : "Elsevier", "title" : "BCS class IV drugs: Highly notorious candidates for formulation development", "type" : "article-journal", "volume" : "248" }, "uris" : [ "http://www.mendeley.com/documents/?uuid=1eb07c92-0379-30a5-ab62-7250e0991c9b" ] }, { "id" : "ITEM-2", "itemData" : { "DOI" : "10.1021/acs.molpharmaceut.5b00020", "abstract" : "Hydrochlorothiazide (HCT) is a diuretic and a BCS class IV drug with low solubility and low permeability, exhibiting poor oral absorption. The present study attempts to improve the physicochemical properties of the drug using a crystal engineering approach with cocrystals. Such multi-component crystals of HCT with nicotinic acid (NIC), nicotinamide (NCT), 4-aminobenzoic acid (PABA), succina-mide (SAM), and resorcinol (RES) were prepared using liquid-assisted grinding, and their solubilities in pH 7.4 buffer were evaluated. Diffusion and membrane permeability were studied using a Franz diffusion cell. Except for the SAM and NIC cocrystals, all other binary systems exhibited improved solubility. All of the cocrystals showed improved diffusion/membrane permeability compared to that of HCT with the exception of the SAM cocrystal. When the solubility was high, as in the case of PABA, NCT, and RES cocrystals, the flux/permeability dropped slightly. This is in agreement with the expected interplay between solubility and permeability. Improved solubility/ permeability is attributed to new drug\u2212coformer interactions. Cocrystals of SAM, however, showed poor solubility and flux. This cocrystal contains a primary sulfonamide dimer synthon similar to that of HCT polymorphs, which may be a reason for its unusual behavior. Hirshfeld surface analysis was carried out in all cases to determine whether a correlation exists between cocrystal permeability and drug\u2212coformer interactions.", "author" : [ { "dropping-particle" : "", "family" : "Sanphui", "given" : "Palash", "non-dropping-particle" : "", "parse-names" : false, "suffix" : "" }, { "dropping-particle" : "", "family" : "Kusum Devi", "given" : "V", "non-dropping-particle" : "", "parse-names" : false, "suffix" : "" }, { "dropping-particle" : "", "family" : "Clara", "given" : "Deepa", "non-dropping-particle" : "", "parse-names" : false, "suffix" : "" }, { "dropping-particle" : "", "family" : "Malviya", "given" : "Nidhi", "non-dropping-particle" : "", "parse-names" : false, "suffix" : "" }, { "dropping-particle" : "", "family" : "Ganguly", "given" : "Somnath", "non-dropping-particle" : "", "parse-names" : false, "suffix" : "" }, { "dropping-particle" : "", "family" : "Desiraju", "given" : "Gautam R", "non-dropping-particle" : "", "parse-names" : false, "suffix" : "" } ], "container-title" : "Molecular Pharmaceutics", "id" : "ITEM-2", "issue" : "5", "issued" : { "date-parts" : [ [ "2015" ] ] }, "page" : "1615\u20131622", "title" : "Cocrystals of Hydrochlorothiazide: Solubility and Diffusion/ Permeability Enhancements through Drug\u2212Coformer Interactions", "type" : "article-journal", "volume" : "12" }, "uris" : [ "http://www.mendeley.com/documents/?uuid=d438673e-87c2-3dec-9a67-f13b6c47ce45" ] }, { "id" : "ITEM-3", "itemData" : { "DOI" : "10.1016/S0939-6411(00)00091-6", "ISSN" : "0939-6411", "abstract" : "In the last decade, the regulatory bioequivalence (BE) requirements of drug products have undergone major changes. The introduction of the biopharmaceutics drug classification system (BCS) into the guidelines of the Food and Drug Administration (FDA) is a major step forward to classify the biopharmaceutical properties of drugs and drug products. Based on mechanistic approaches to the drug absorption and dissolution processes, the BCS enables the regulatory bodies to simplify and improve the drug approval process. The knowledge of the BCS characteristics of a drug in a formulation can also be utilized by the formulation scientist to develop a more optimized dosage form based on fundamental mechanistic, rather than empirical, information. This report gives a brief overview of the BCS and its implications.", "author" : [ { "dropping-particle" : "", "family" : "L\u00f6benberg", "given" : "Raimar", "non-dropping-particle" : "", "parse-names" : false, "suffix" : "" }, { "dropping-particle" : "", "family" : "Amidon", "given" : "Gordon L.", "non-dropping-particle" : "", "parse-names" : false, "suffix" : "" } ], "container-title" : "European Journal of Pharmaceutics and Biopharmaceutics", "id" : "ITEM-3", "issue" : "1", "issued" : { "date-parts" : [ [ "2000", "7", "3" ] ] }, "page" : "3-12", "publisher" : "Elsevier", "title" : "Modern bioavailability, bioequivalence and biopharmaceutics classification system. New scientific approaches to international regulatory standards", "type" : "article-journal", "volume" : "50" }, "uris" : [ "http://www.mendeley.com/documents/?uuid=c8116688-63a1-3ab0-a245-77160f7c0241" ] } ], "mendeley" : { "formattedCitation" : "(Ghadi and Dand, 2017; L\u00f6benberg and Amidon, 2000; Sanphui et al., 2015)", "plainTextFormattedCitation" : "(Ghadi and Dand, 2017; L\u00f6benberg and Amidon, 2000; Sanphui et al., 2015)", "previouslyFormattedCitation" : "(Ghadi and Dand, 2017; L\u00f6benberg and Amidon, 2000; Sanphui et al., 2015)" }, "properties" : {  }, "schema" : "https://github.com/citation-style-language/schema/raw/master/csl-citation.json" }</w:instrText>
      </w:r>
      <w:r w:rsidR="00E3068E" w:rsidRPr="008C2309">
        <w:rPr>
          <w:rFonts w:ascii="Times" w:hAnsi="Times" w:cstheme="minorHAnsi"/>
          <w:color w:val="000000" w:themeColor="text1"/>
        </w:rPr>
        <w:fldChar w:fldCharType="separate"/>
      </w:r>
      <w:r w:rsidR="00E3068E" w:rsidRPr="008C2309">
        <w:rPr>
          <w:rFonts w:ascii="Times" w:hAnsi="Times" w:cstheme="minorHAnsi"/>
          <w:noProof/>
          <w:color w:val="000000" w:themeColor="text1"/>
        </w:rPr>
        <w:t>(Ghadi and Dand, 2017; Löbenberg and Amidon, 2000; Sanphui et al., 2015)</w:t>
      </w:r>
      <w:r w:rsidR="00E3068E" w:rsidRPr="008C2309">
        <w:rPr>
          <w:rFonts w:ascii="Times" w:hAnsi="Times" w:cstheme="minorHAnsi"/>
          <w:color w:val="000000" w:themeColor="text1"/>
        </w:rPr>
        <w:fldChar w:fldCharType="end"/>
      </w:r>
      <w:r w:rsidR="005E5C85" w:rsidRPr="008C2309">
        <w:rPr>
          <w:rFonts w:ascii="Times" w:hAnsi="Times" w:cstheme="minorHAnsi"/>
          <w:color w:val="000000" w:themeColor="text1"/>
        </w:rPr>
        <w:t xml:space="preserve">, </w:t>
      </w:r>
      <w:r w:rsidR="00A771CC" w:rsidRPr="008C2309">
        <w:rPr>
          <w:rFonts w:ascii="Times" w:hAnsi="Times"/>
        </w:rPr>
        <w:t>HCTZ</w:t>
      </w:r>
      <w:r w:rsidR="005E5C85" w:rsidRPr="008C2309">
        <w:rPr>
          <w:rFonts w:ascii="Times" w:hAnsi="Times"/>
        </w:rPr>
        <w:t>, which has</w:t>
      </w:r>
      <w:r w:rsidR="00A771CC" w:rsidRPr="008C2309">
        <w:rPr>
          <w:rFonts w:ascii="Times" w:hAnsi="Times"/>
        </w:rPr>
        <w:t xml:space="preserve"> a </w:t>
      </w:r>
      <w:bookmarkStart w:id="0" w:name="_Hlk504487241"/>
      <w:r w:rsidR="00A771CC" w:rsidRPr="008C2309">
        <w:rPr>
          <w:rFonts w:ascii="Times" w:hAnsi="Times"/>
        </w:rPr>
        <w:t>p</w:t>
      </w:r>
      <w:r w:rsidR="00A771CC" w:rsidRPr="008C2309">
        <w:rPr>
          <w:rFonts w:ascii="Times" w:hAnsi="Times"/>
          <w:i/>
        </w:rPr>
        <w:t>K</w:t>
      </w:r>
      <w:r w:rsidR="00A771CC" w:rsidRPr="008C2309">
        <w:rPr>
          <w:rFonts w:ascii="Times" w:hAnsi="Times"/>
          <w:vertAlign w:val="subscript"/>
        </w:rPr>
        <w:t>a</w:t>
      </w:r>
      <w:r w:rsidR="00A771CC" w:rsidRPr="008C2309">
        <w:rPr>
          <w:rFonts w:ascii="Times" w:hAnsi="Times"/>
        </w:rPr>
        <w:t xml:space="preserve"> value of </w:t>
      </w:r>
      <w:bookmarkEnd w:id="0"/>
      <w:r w:rsidR="00A771CC" w:rsidRPr="008C2309">
        <w:rPr>
          <w:rFonts w:ascii="Times" w:hAnsi="Times"/>
        </w:rPr>
        <w:t>7.9</w:t>
      </w:r>
      <w:r w:rsidR="00D932EC" w:rsidRPr="008C2309">
        <w:rPr>
          <w:rFonts w:ascii="Times" w:hAnsi="Times"/>
        </w:rPr>
        <w:t xml:space="preserve"> </w:t>
      </w:r>
      <w:r w:rsidR="00871B85" w:rsidRPr="008C2309">
        <w:rPr>
          <w:rFonts w:ascii="Times" w:hAnsi="Times"/>
        </w:rPr>
        <w:fldChar w:fldCharType="begin" w:fldLock="1"/>
      </w:r>
      <w:r w:rsidR="00C36BE5" w:rsidRPr="008C2309">
        <w:rPr>
          <w:rFonts w:ascii="Times" w:hAnsi="Times"/>
        </w:rPr>
        <w:instrText>ADDIN CSL_CITATION { "citationItems" : [ { "id" : "ITEM-1", "itemData" : { "ISBN" : "9781849736701", "edition" : "Fifteenth", "editor" : [ { "dropping-particle" : "", "family" : "O'Neill", "given" : "Maryadele J", "non-dropping-particle" : "", "parse-names" : false, "suffix" : "" } ], "id" : "ITEM-1", "issued" : { "date-parts" : [ [ "2013" ] ] }, "number-of-pages" : "885-886", "publisher" : "Royal Society of Chemistry", "title" : "The Merck index : an encyclopedia of chemicals, drugs, and biologicals", "type" : "book" }, "uris" : [ "http://www.mendeley.com/documents/?uuid=8daac45a-6d14-4c0c-ae1a-84ce9a891784" ] } ], "mendeley" : { "formattedCitation" : "(O\u2019Neill, 2013)", "plainTextFormattedCitation" : "(O\u2019Neill, 2013)", "previouslyFormattedCitation" : "(O\u2019Neill, 2013)" }, "properties" : {  }, "schema" : "https://github.com/citation-style-language/schema/raw/master/csl-citation.json" }</w:instrText>
      </w:r>
      <w:r w:rsidR="00871B85" w:rsidRPr="008C2309">
        <w:rPr>
          <w:rFonts w:ascii="Times" w:hAnsi="Times"/>
        </w:rPr>
        <w:fldChar w:fldCharType="separate"/>
      </w:r>
      <w:r w:rsidR="00C36BE5" w:rsidRPr="008C2309">
        <w:rPr>
          <w:rFonts w:ascii="Times" w:hAnsi="Times"/>
          <w:noProof/>
        </w:rPr>
        <w:t>(O’Neill, 2013)</w:t>
      </w:r>
      <w:r w:rsidR="00871B85" w:rsidRPr="008C2309">
        <w:rPr>
          <w:rFonts w:ascii="Times" w:hAnsi="Times"/>
        </w:rPr>
        <w:fldChar w:fldCharType="end"/>
      </w:r>
      <w:r w:rsidR="00D932EC" w:rsidRPr="008C2309">
        <w:rPr>
          <w:rFonts w:ascii="Times" w:hAnsi="Times"/>
        </w:rPr>
        <w:t xml:space="preserve"> </w:t>
      </w:r>
      <w:r w:rsidR="00A771CC" w:rsidRPr="008C2309">
        <w:rPr>
          <w:rFonts w:ascii="Times" w:hAnsi="Times"/>
        </w:rPr>
        <w:t xml:space="preserve">has been reported </w:t>
      </w:r>
      <w:r w:rsidR="005E5C85" w:rsidRPr="008C2309">
        <w:rPr>
          <w:rFonts w:ascii="Times" w:hAnsi="Times"/>
        </w:rPr>
        <w:t xml:space="preserve">to have a solubility ranging </w:t>
      </w:r>
      <w:r w:rsidR="00A771CC" w:rsidRPr="008C2309">
        <w:rPr>
          <w:rFonts w:ascii="Times" w:hAnsi="Times"/>
        </w:rPr>
        <w:t>from 60.8 mg to 103 mg per 100</w:t>
      </w:r>
      <w:r w:rsidR="00270427" w:rsidRPr="008C2309">
        <w:rPr>
          <w:rFonts w:ascii="Times" w:hAnsi="Times"/>
        </w:rPr>
        <w:t xml:space="preserve"> </w:t>
      </w:r>
      <w:r w:rsidR="00A771CC" w:rsidRPr="008C2309">
        <w:rPr>
          <w:rFonts w:ascii="Times" w:hAnsi="Times"/>
        </w:rPr>
        <w:t>ml within the pH range 1.0 to 7.4</w:t>
      </w:r>
      <w:r w:rsidR="00D932EC" w:rsidRPr="008C2309">
        <w:rPr>
          <w:rFonts w:ascii="Times" w:hAnsi="Times"/>
        </w:rPr>
        <w:t xml:space="preserve"> </w:t>
      </w:r>
      <w:r w:rsidR="00A771CC" w:rsidRPr="008C2309">
        <w:rPr>
          <w:rFonts w:ascii="Times" w:hAnsi="Times"/>
        </w:rPr>
        <w:fldChar w:fldCharType="begin" w:fldLock="1"/>
      </w:r>
      <w:r w:rsidR="00432184" w:rsidRPr="008C2309">
        <w:rPr>
          <w:rFonts w:ascii="Times" w:hAnsi="Times"/>
        </w:rPr>
        <w:instrText>ADDIN CSL_CITATION { "citationItems" : [ { "id" : "ITEM-1", "itemData" : { "DOI" : "10.1515/acph-2015-0031", "ISSN" : "18469558", "abstract" : "&lt;p&gt;During the past few years, the studies of bi- and multi-layered tablets increased due to the consumption of several different drugs per day by a patient and requests for appropriate patient compliance. The demographic shift toward older population increases the use of combination therapy as polypharmacy. Hydrochlorothiazide (HCTZ), as a model drug, is most commonly used in the treatment of hypertension, congestive heart failure and as a diuretic. The aim of the present study is to investigate the effect of the local environment on dissolution and stability behaviour of HCTZ in fixed multilayered tablet combinations, which are commonly used in polypharmacy. For this purposes, three different systems were introduced: (i) two conventional tablets (HCTZ and pH modifying placebo), (ii) 2-layer tablets (HCTZ, pH modifying placebo) and (iii) 3-layer tablets (HCTZ, barrier and pH modifying placebo). Disintegration of tablets, dissolution of HCTZ from tablets and HCTZ related substances were monitored for all systems. Results showed that there was a significant difference between dissolution profiles of the conventional two-tablet system (HCTZ tablet and pH modifying tablet) and the 2-layer and 3-layer tablets, which include the pH modifying layer. In the case of the conventional two-tablets system, 85 % of HCTZ was dissolved in less than 15 minutes. The dissolution profiles of HCTZ from 2-layered and 3-layered tablets showed a decrease in the dissolution rate. In addition, during the stability studies, it has been confirmed that the typical degradation product of HCTZ is formed, impurity B (4-amino-6-chloro-1,3-benzenedisulfonamide), which implies formation of formaldehyde as hydrolytic impurity not reported in the Ph. Eur. (16). Both impurities are particularly raised in 2-layered tablets with alkaline and neutral placebo layers. Stability of HCTZ was improved in the case of the 3-layer tablet, where the intermediate separation layer of glycerol monostearate was present. It is presumed that the HCTZ dissolution rate was decreased due to formation of non-soluble substances as a result of HCTZ degradation in the presence of alkaline layer.&lt;/p&gt;", "author" : [ { "dropping-particle" : "", "family" : "Blatnik", "given" : "Sandra Urek", "non-dropping-particle" : "", "parse-names" : false, "suffix" : "" }, { "dropping-particle" : "", "family" : "Dreu", "given" : "Rok", "non-dropping-particle" : "", "parse-names" : false, "suffix" : "" }, { "dropping-particle" : "", "family" : "Sr\u010di\u010d", "given" : "Stanko", "non-dropping-particle" : "", "parse-names" : false, "suffix" : "" } ], "container-title" : "Acta Pharmaceutica", "id" : "ITEM-1", "issue" : "4", "issued" : { "date-parts" : [ [ "2015" ] ] }, "page" : "383-397", "title" : "Influence of pH modifiers on the dissolution and stability of hydrochlorothiazide in the bi- and three-layer tablets", "type" : "article-journal", "volume" : "65" }, "uris" : [ "http://www.mendeley.com/documents/?uuid=012c0ebb-3745-4c61-bfb7-5609725caa31" ] } ], "mendeley" : { "formattedCitation" : "(Blatnik et al., 2015)", "plainTextFormattedCitation" : "(Blatnik et al., 2015)", "previouslyFormattedCitation" : "(Blatnik et al., 2015)" }, "properties" : {  }, "schema" : "https://github.com/citation-style-language/schema/raw/master/csl-citation.json" }</w:instrText>
      </w:r>
      <w:r w:rsidR="00A771CC" w:rsidRPr="008C2309">
        <w:rPr>
          <w:rFonts w:ascii="Times" w:hAnsi="Times"/>
        </w:rPr>
        <w:fldChar w:fldCharType="separate"/>
      </w:r>
      <w:r w:rsidR="00B33BE2" w:rsidRPr="008C2309">
        <w:rPr>
          <w:rFonts w:ascii="Times" w:hAnsi="Times"/>
          <w:noProof/>
        </w:rPr>
        <w:t>(Blatnik et al., 2015)</w:t>
      </w:r>
      <w:r w:rsidR="00A771CC" w:rsidRPr="008C2309">
        <w:rPr>
          <w:rFonts w:ascii="Times" w:hAnsi="Times"/>
        </w:rPr>
        <w:fldChar w:fldCharType="end"/>
      </w:r>
      <w:r w:rsidR="00270427" w:rsidRPr="008C2309">
        <w:rPr>
          <w:rFonts w:ascii="Times" w:hAnsi="Times"/>
        </w:rPr>
        <w:t xml:space="preserve">. </w:t>
      </w:r>
      <w:r w:rsidR="00490781" w:rsidRPr="008C2309">
        <w:rPr>
          <w:rFonts w:ascii="Times" w:hAnsi="Times"/>
        </w:rPr>
        <w:t>As</w:t>
      </w:r>
      <w:r w:rsidR="00805FF3" w:rsidRPr="008C2309">
        <w:rPr>
          <w:rFonts w:ascii="Times" w:hAnsi="Times"/>
        </w:rPr>
        <w:t xml:space="preserve"> </w:t>
      </w:r>
      <w:r w:rsidR="007863AB" w:rsidRPr="008C2309">
        <w:rPr>
          <w:rFonts w:ascii="Times" w:hAnsi="Times"/>
        </w:rPr>
        <w:t xml:space="preserve">the </w:t>
      </w:r>
      <w:r w:rsidR="00805FF3" w:rsidRPr="008C2309">
        <w:rPr>
          <w:rFonts w:ascii="Times" w:hAnsi="Times"/>
        </w:rPr>
        <w:t>maximum daily dose of HCTZ is 100</w:t>
      </w:r>
      <w:r w:rsidR="006C0C84" w:rsidRPr="008C2309">
        <w:rPr>
          <w:rFonts w:ascii="Times" w:hAnsi="Times"/>
        </w:rPr>
        <w:t xml:space="preserve"> </w:t>
      </w:r>
      <w:r w:rsidR="00805FF3" w:rsidRPr="008C2309">
        <w:rPr>
          <w:rFonts w:ascii="Times" w:hAnsi="Times"/>
        </w:rPr>
        <w:t>mg</w:t>
      </w:r>
      <w:r w:rsidR="00D932EC" w:rsidRPr="008C2309">
        <w:rPr>
          <w:rFonts w:ascii="Times" w:hAnsi="Times"/>
        </w:rPr>
        <w:t xml:space="preserve"> </w:t>
      </w:r>
      <w:r w:rsidR="00F77C82" w:rsidRPr="008C2309">
        <w:rPr>
          <w:rFonts w:ascii="Times" w:hAnsi="Times"/>
        </w:rPr>
        <w:fldChar w:fldCharType="begin" w:fldLock="1"/>
      </w:r>
      <w:r w:rsidR="00F77C82" w:rsidRPr="008C2309">
        <w:rPr>
          <w:rFonts w:ascii="Times" w:hAnsi="Times"/>
        </w:rPr>
        <w:instrText>ADDIN CSL_CITATION { "citationItems" : [ { "id" : "ITEM-1", "itemData" : { "ISBN" : "9780857111395", "edition" : "Thirty-eig", "editor" : [ { "dropping-particle" : "", "family" : "Brayfield", "given" : "Alison", "non-dropping-particle" : "", "parse-names" : false, "suffix" : "" } ], "id" : "ITEM-1", "issued" : { "date-parts" : [ [ "2014" ] ] }, "publisher" : "Pharmaceutical Press", "title" : "Martindale - The Complete Drug Reference", "type" : "book" }, "uris" : [ "http://www.mendeley.com/documents/?uuid=f27ea078-5921-46aa-a343-909c0eab247b" ] } ], "mendeley" : { "formattedCitation" : "(Brayfield, 2014)", "plainTextFormattedCitation" : "(Brayfield, 2014)", "previouslyFormattedCitation" : "(Brayfield, 2014)" }, "properties" : {  }, "schema" : "https://github.com/citation-style-language/schema/raw/master/csl-citation.json" }</w:instrText>
      </w:r>
      <w:r w:rsidR="00F77C82" w:rsidRPr="008C2309">
        <w:rPr>
          <w:rFonts w:ascii="Times" w:hAnsi="Times"/>
        </w:rPr>
        <w:fldChar w:fldCharType="separate"/>
      </w:r>
      <w:r w:rsidR="00F77C82" w:rsidRPr="008C2309">
        <w:rPr>
          <w:rFonts w:ascii="Times" w:hAnsi="Times"/>
          <w:noProof/>
        </w:rPr>
        <w:t>(Brayfield, 2014)</w:t>
      </w:r>
      <w:r w:rsidR="00F77C82" w:rsidRPr="008C2309">
        <w:rPr>
          <w:rFonts w:ascii="Times" w:hAnsi="Times"/>
        </w:rPr>
        <w:fldChar w:fldCharType="end"/>
      </w:r>
      <w:r w:rsidR="00805FF3" w:rsidRPr="008C2309">
        <w:rPr>
          <w:rFonts w:ascii="Times" w:hAnsi="Times"/>
        </w:rPr>
        <w:t xml:space="preserve">, HCTZ </w:t>
      </w:r>
      <w:r w:rsidR="005E5C85" w:rsidRPr="008C2309">
        <w:rPr>
          <w:rFonts w:ascii="Times" w:hAnsi="Times"/>
        </w:rPr>
        <w:t xml:space="preserve">may be </w:t>
      </w:r>
      <w:r w:rsidR="00805FF3" w:rsidRPr="008C2309">
        <w:rPr>
          <w:rFonts w:ascii="Times" w:hAnsi="Times"/>
        </w:rPr>
        <w:t>considered highly soluble</w:t>
      </w:r>
      <w:r w:rsidR="00270427" w:rsidRPr="008C2309">
        <w:rPr>
          <w:rFonts w:ascii="Times" w:hAnsi="Times"/>
        </w:rPr>
        <w:t xml:space="preserve"> according to the BCS system</w:t>
      </w:r>
      <w:r w:rsidR="006E4C9B" w:rsidRPr="008C2309">
        <w:rPr>
          <w:rFonts w:ascii="Times" w:hAnsi="Times"/>
        </w:rPr>
        <w:t>,</w:t>
      </w:r>
      <w:r w:rsidR="00805FF3" w:rsidRPr="008C2309">
        <w:rPr>
          <w:rFonts w:ascii="Times" w:hAnsi="Times"/>
        </w:rPr>
        <w:t xml:space="preserve"> as th</w:t>
      </w:r>
      <w:r w:rsidR="00490781" w:rsidRPr="008C2309">
        <w:rPr>
          <w:rFonts w:ascii="Times" w:hAnsi="Times"/>
        </w:rPr>
        <w:t>e</w:t>
      </w:r>
      <w:r w:rsidR="00805FF3" w:rsidRPr="008C2309">
        <w:rPr>
          <w:rFonts w:ascii="Times" w:hAnsi="Times"/>
        </w:rPr>
        <w:t xml:space="preserve"> max</w:t>
      </w:r>
      <w:r w:rsidR="006C0C84" w:rsidRPr="008C2309">
        <w:rPr>
          <w:rFonts w:ascii="Times" w:hAnsi="Times"/>
        </w:rPr>
        <w:t>imum</w:t>
      </w:r>
      <w:r w:rsidR="00805FF3" w:rsidRPr="008C2309">
        <w:rPr>
          <w:rFonts w:ascii="Times" w:hAnsi="Times"/>
        </w:rPr>
        <w:t xml:space="preserve"> dose</w:t>
      </w:r>
      <w:r w:rsidR="006E4C9B" w:rsidRPr="008C2309">
        <w:rPr>
          <w:rFonts w:ascii="Times" w:hAnsi="Times"/>
        </w:rPr>
        <w:t xml:space="preserve"> </w:t>
      </w:r>
      <w:r w:rsidR="00805FF3" w:rsidRPr="008C2309">
        <w:rPr>
          <w:rFonts w:ascii="Times" w:hAnsi="Times"/>
        </w:rPr>
        <w:t>dissolve</w:t>
      </w:r>
      <w:r w:rsidR="00CB36CC" w:rsidRPr="008C2309">
        <w:rPr>
          <w:rFonts w:ascii="Times" w:hAnsi="Times"/>
        </w:rPr>
        <w:t>s</w:t>
      </w:r>
      <w:r w:rsidR="00805FF3" w:rsidRPr="008C2309">
        <w:rPr>
          <w:rFonts w:ascii="Times" w:hAnsi="Times"/>
        </w:rPr>
        <w:t xml:space="preserve"> in </w:t>
      </w:r>
      <w:r w:rsidR="006C0C84" w:rsidRPr="008C2309">
        <w:rPr>
          <w:rFonts w:ascii="Times" w:hAnsi="Times"/>
        </w:rPr>
        <w:t xml:space="preserve">less than </w:t>
      </w:r>
      <w:r w:rsidR="00805FF3" w:rsidRPr="008C2309">
        <w:rPr>
          <w:rFonts w:ascii="Times" w:hAnsi="Times"/>
        </w:rPr>
        <w:t>250</w:t>
      </w:r>
      <w:r w:rsidR="006E4C9B" w:rsidRPr="008C2309">
        <w:rPr>
          <w:rFonts w:ascii="Times" w:hAnsi="Times"/>
        </w:rPr>
        <w:t xml:space="preserve"> </w:t>
      </w:r>
      <w:r w:rsidR="00805FF3" w:rsidRPr="008C2309">
        <w:rPr>
          <w:rFonts w:ascii="Times" w:hAnsi="Times"/>
        </w:rPr>
        <w:t xml:space="preserve">ml </w:t>
      </w:r>
      <w:r w:rsidR="006C0C84" w:rsidRPr="008C2309">
        <w:rPr>
          <w:rFonts w:ascii="Times" w:hAnsi="Times"/>
        </w:rPr>
        <w:t xml:space="preserve">water </w:t>
      </w:r>
      <w:r w:rsidR="00805FF3" w:rsidRPr="008C2309">
        <w:rPr>
          <w:rFonts w:ascii="Times" w:hAnsi="Times"/>
        </w:rPr>
        <w:t>over the stated pH range</w:t>
      </w:r>
      <w:r w:rsidR="005E5C85" w:rsidRPr="008C2309">
        <w:rPr>
          <w:rFonts w:ascii="Times" w:hAnsi="Times"/>
        </w:rPr>
        <w:t>, and it may thus be</w:t>
      </w:r>
      <w:r w:rsidR="00270427" w:rsidRPr="008C2309">
        <w:rPr>
          <w:rFonts w:ascii="Times" w:hAnsi="Times"/>
        </w:rPr>
        <w:t xml:space="preserve"> classed as a BCS class III (high solubility, low permeability) drug compound</w:t>
      </w:r>
      <w:r w:rsidR="00D932EC" w:rsidRPr="008C2309">
        <w:rPr>
          <w:rFonts w:ascii="Times" w:hAnsi="Times"/>
        </w:rPr>
        <w:t xml:space="preserve"> </w:t>
      </w:r>
      <w:r w:rsidR="00270427" w:rsidRPr="008C2309">
        <w:rPr>
          <w:rFonts w:ascii="Times" w:hAnsi="Times"/>
        </w:rPr>
        <w:fldChar w:fldCharType="begin" w:fldLock="1"/>
      </w:r>
      <w:r w:rsidR="00432184" w:rsidRPr="008C2309">
        <w:rPr>
          <w:rFonts w:ascii="Times" w:hAnsi="Times"/>
        </w:rPr>
        <w:instrText>ADDIN CSL_CITATION { "citationItems" : [ { "id" : "ITEM-1", "itemData" : { "DOI" : "10.1055/s-0042-111434", "ISSN" : "2194-9387 (Electronic)", "PMID" : "27463032", "abstract" : "Bioequivalence studies are expensive, time consuming and invasive to humans. Accordingly, an alternative in vitro study (biowaivers) has been introduced for drugs which belong to BCS class I and III and for other strengths of already approved higher drug strength. The main objective of this study was to prove the biowaiver eligibility of a lower strength Ramipril/Hydrochlorothiazide (2.5/12.5 mg) tablets. Visual and pharmacopoeial quality tests were performed on the higher and lower generic and on the reference listed drug to determine whether they are pharmaceutically equivalent. All products were investigated using the biowaiver criteria. Dissolution profiles were conducted at pH values 1.2, 4.5 and 6.8. Difference factor (f1) and similarity factor (f2) were calculated. The tested products were successfully complied with pharmacopeial requirements. f1 was below 15 and f2 was above 50 in all dissolution conditions. Precisely, Ramipril showed release higher than 85% within 15 min. f1 and f2 for Hydrochlorothiazide were 8 and 61 respectively at the recommended discriminative pH media.These results suggest that the current biowaiver criteria could be a sufficient guarantee of bioequivalence of the lower strength of Ramizide assuming that the product is manufactured at the same site and contains same quality and grade of excipients and in a proportional amounts.", "author" : [ { "dropping-particle" : "", "family" : "Zaid", "given" : "A N", "non-dropping-particle" : "", "parse-names" : false, "suffix" : "" }, { "dropping-particle" : "", "family" : "Ghanem", "given" : "M", "non-dropping-particle" : "", "parse-names" : false, "suffix" : "" }, { "dropping-particle" : "", "family" : "Maqboul", "given" : "L", "non-dropping-particle" : "", "parse-names" : false, "suffix" : "" }, { "dropping-particle" : "", "family" : "Zaid", "given" : "H", "non-dropping-particle" : "", "parse-names" : false, "suffix" : "" }, { "dropping-particle" : "", "family" : "Mahasne", "given" : "A", "non-dropping-particle" : "", "parse-names" : false, "suffix" : "" } ], "container-title" : "Drug research", "id" : "ITEM-1", "issue" : "10", "issued" : { "date-parts" : [ [ "2016", "10" ] ] }, "language" : "eng", "page" : "539-546", "publisher-place" : "Germany", "title" : "Biowaiver Eligibility of a Lower Strength Ramipril/Hydrochlorothiazide Immediate  Release Tablets Using a New Validated HPLC Analytical Method.", "type" : "article-journal", "volume" : "66" }, "uris" : [ "http://www.mendeley.com/documents/?uuid=ddbc59bf-bc4a-497d-b485-f0d00042f192", "http://www.mendeley.com/documents/?uuid=5721d6b1-f0bb-4617-ac68-8ecd027a955a" ] }, { "id" : "ITEM-2", "itemData" : { "ISSN" : "1543-8384 (Print)", "PMID" : "16026005", "abstract" : "The purpose of this study is to test the hypothesis that rapidly dissolving immediate-release (IR) solid oral products containing a highly soluble and highly permeable drug [biopharmaceutical classification system (BCS) class I] are bioequivalent under fed conditions. Metoprolol and propranolol (BCS class I) as well as hydrochlorothiazide (BCS class III) were selected as model drugs. The relative bioavailability of two FDA approved (Orange Book AB rating) solid oral dosage forms of metoprolol and propranolol/hydrochlorothiazide (combination tablets) was evaluated in human volunteers under fed conditions using a two-way crossover design. Equal numbers of male and female volunteers were recruited, and racial and/or ethnic minorities were not excluded. The plasma concentrations of metoprolol, propranolol, and hydrochlorothiazide were determined using validated high-performance liquid chromatography (HPLC) methods. Eighteen subjects completed the metoprolol study while 17 subjects completed the propranolol/hydrochlorothiazide combination tablet study. In the metoprolol study, the 90% confidence intervals of Cmax and AUC(inf) were 98-118% and 92-115%, respectively. For propranolol, the 90% confidence intervals of Cmax and AUC(inf) were 91-121% and 89-117%, and for hydrochlorothiazide, the 90% confidence intervals for Cmax and AUC(inf) were 96-107% and 97-106%, respectively. These study results appear to support the hypothesis that rapidly dissolving IR solid oral products containing a BCS class I drug are likely to be bioequivalent under fed conditions. In addition, BCS class III drugs may have the potential to be bioequivalent under fed conditions.", "author" : [ { "dropping-particle" : "", "family" : "Yu", "given" : "Lawrence X", "non-dropping-particle" : "", "parse-names" : false, "suffix" : "" }, { "dropping-particle" : "", "family" : "Straughn", "given" : "Arthur B", "non-dropping-particle" : "", "parse-names" : false, "suffix" : "" }, { "dropping-particle" : "", "family" : "Faustino", "given" : "Patrick J", "non-dropping-particle" : "", "parse-names" : false, "suffix" : "" }, { "dropping-particle" : "", "family" : "Yang", "given" : "Yongsheng", "non-dropping-particle" : "", "parse-names" : false, "suffix" : "" }, { "dropping-particle" : "", "family" : "Parekh", "given" : "Ameeta", "non-dropping-particle" : "", "parse-names" : false, "suffix" : "" }, { "dropping-particle" : "", "family" : "Ciavarella", "given" : "Anthony B", "non-dropping-particle" : "", "parse-names" : false, "suffix" : "" }, { "dropping-particle" : "", "family" : "Asafu-Adjaye", "given" : "Ebenezer", "non-dropping-particle" : "", "parse-names" : false, "suffix" : "" }, { "dropping-particle" : "", "family" : "Mehta", "given" : "Mehul U", "non-dropping-particle" : "", "parse-names" : false, "suffix" : "" }, { "dropping-particle" : "", "family" : "Conner", "given" : "Dale P", "non-dropping-particle" : "", "parse-names" : false, "suffix" : "" }, { "dropping-particle" : "", "family" : "Lesko", "given" : "Larry J", "non-dropping-particle" : "", "parse-names" : false, "suffix" : "" }, { "dropping-particle" : "", "family" : "Hussain", "given" : "Ajaz S", "non-dropping-particle" : "", "parse-names" : false, "suffix" : "" } ], "container-title" : "Molecular pharmaceutics", "id" : "ITEM-2", "issue" : "5", "issued" : { "date-parts" : [ [ "2004" ] ] }, "language" : "eng", "page" : "357-362", "publisher-place" : "United States", "title" : "The effect of food on the relative bioavailability of rapidly dissolving immediate-release solid oral products containing highly soluble drugs.", "type" : "article-journal", "volume" : "1" }, "uris" : [ "http://www.mendeley.com/documents/?uuid=0b3c75ee-13c5-4635-b566-bf6adbaafd39", "http://www.mendeley.com/documents/?uuid=968593e1-df01-4c73-bd86-a9642b9aed4e" ] }, { "id" : "ITEM-3", "itemData" : { "DOI" : "10.1208/s12249-008-9161-6", "ISSN" : "1530-9932", "PMID" : "19034672", "abstract" : "none", "author" : [ { "dropping-particle" : "", "family" : "Klein", "given" : "A", "non-dropping-particle" : "", "parse-names" : false, "suffix" : "" }, { "dropping-particle" : "", "family" : "Shah", "given" : "V P", "non-dropping-particle" : "", "parse-names" : false, "suffix" : "" } ], "container-title" : "AAPS PharmSciTech", "id" : "ITEM-3", "issue" : "4", "issued" : { "date-parts" : [ [ "2008" ] ] }, "page" : "1179-1184", "title" : "A standardized mini paddle apparatus as an alternative to the standard paddle.", "type" : "article-journal", "volume" : "9" }, "uris" : [ "http://www.mendeley.com/documents/?uuid=06231a87-d7a0-4fe1-9ee1-554041be38df", "http://www.mendeley.com/documents/?uuid=8b523c0f-266f-4260-a424-e9b7c50b802e" ] } ], "mendeley" : { "formattedCitation" : "(Klein and Shah, 2008; Yu et al., 2004; Zaid et al., 2016)", "plainTextFormattedCitation" : "(Klein and Shah, 2008; Yu et al., 2004; Zaid et al., 2016)", "previouslyFormattedCitation" : "(Klein and Shah, 2008; Yu et al., 2004; Zaid et al., 2016)" }, "properties" : {  }, "schema" : "https://github.com/citation-style-language/schema/raw/master/csl-citation.json" }</w:instrText>
      </w:r>
      <w:r w:rsidR="00270427" w:rsidRPr="008C2309">
        <w:rPr>
          <w:rFonts w:ascii="Times" w:hAnsi="Times"/>
        </w:rPr>
        <w:fldChar w:fldCharType="separate"/>
      </w:r>
      <w:r w:rsidR="00B33BE2" w:rsidRPr="008C2309">
        <w:rPr>
          <w:rFonts w:ascii="Times" w:hAnsi="Times"/>
          <w:noProof/>
        </w:rPr>
        <w:t>(Klein and Shah, 2008; Yu et al., 2004; Zaid et al., 2016)</w:t>
      </w:r>
      <w:r w:rsidR="00270427" w:rsidRPr="008C2309">
        <w:rPr>
          <w:rFonts w:ascii="Times" w:hAnsi="Times"/>
        </w:rPr>
        <w:fldChar w:fldCharType="end"/>
      </w:r>
      <w:r w:rsidR="00270427" w:rsidRPr="008C2309">
        <w:rPr>
          <w:rFonts w:ascii="Times" w:hAnsi="Times"/>
        </w:rPr>
        <w:t xml:space="preserve">. </w:t>
      </w:r>
      <w:r w:rsidR="00A61D1E" w:rsidRPr="008C2309">
        <w:rPr>
          <w:rFonts w:ascii="Times" w:hAnsi="Times"/>
        </w:rPr>
        <w:t>RAM has a p</w:t>
      </w:r>
      <w:r w:rsidR="00A61D1E" w:rsidRPr="008C2309">
        <w:rPr>
          <w:rFonts w:ascii="Times" w:hAnsi="Times"/>
          <w:i/>
        </w:rPr>
        <w:t>K</w:t>
      </w:r>
      <w:r w:rsidR="00A61D1E" w:rsidRPr="008C2309">
        <w:rPr>
          <w:rFonts w:ascii="Times" w:hAnsi="Times"/>
          <w:vertAlign w:val="subscript"/>
        </w:rPr>
        <w:t>a</w:t>
      </w:r>
      <w:r w:rsidR="00A61D1E" w:rsidRPr="008C2309">
        <w:rPr>
          <w:rFonts w:ascii="Times" w:hAnsi="Times"/>
        </w:rPr>
        <w:t xml:space="preserve"> value of 3.17</w:t>
      </w:r>
      <w:r w:rsidR="00D932EC" w:rsidRPr="008C2309">
        <w:rPr>
          <w:rFonts w:ascii="Times" w:hAnsi="Times"/>
        </w:rPr>
        <w:t xml:space="preserve"> </w:t>
      </w:r>
      <w:r w:rsidR="00C36BE5" w:rsidRPr="008C2309">
        <w:rPr>
          <w:rFonts w:ascii="Times" w:hAnsi="Times"/>
        </w:rPr>
        <w:fldChar w:fldCharType="begin" w:fldLock="1"/>
      </w:r>
      <w:r w:rsidR="00C36BE5" w:rsidRPr="008C2309">
        <w:rPr>
          <w:rFonts w:ascii="Times" w:hAnsi="Times"/>
        </w:rPr>
        <w:instrText>ADDIN CSL_CITATION { "citationItems" : [ { "id" : "ITEM-1", "itemData" : { "ISBN" : "9781849736701", "edition" : "Fifteenth", "editor" : [ { "dropping-particle" : "", "family" : "O'Neill", "given" : "Maryadele J", "non-dropping-particle" : "", "parse-names" : false, "suffix" : "" } ], "id" : "ITEM-1", "issued" : { "date-parts" : [ [ "2013" ] ] }, "number-of-pages" : "885-886", "publisher" : "Royal Society of Chemistry", "title" : "The Merck index : an encyclopedia of chemicals, drugs, and biologicals", "type" : "book" }, "uris" : [ "http://www.mendeley.com/documents/?uuid=8daac45a-6d14-4c0c-ae1a-84ce9a891784" ] } ], "mendeley" : { "formattedCitation" : "(O\u2019Neill, 2013)", "plainTextFormattedCitation" : "(O\u2019Neill, 2013)", "previouslyFormattedCitation" : "(O\u2019Neill, 2013)" }, "properties" : {  }, "schema" : "https://github.com/citation-style-language/schema/raw/master/csl-citation.json" }</w:instrText>
      </w:r>
      <w:r w:rsidR="00C36BE5" w:rsidRPr="008C2309">
        <w:rPr>
          <w:rFonts w:ascii="Times" w:hAnsi="Times"/>
        </w:rPr>
        <w:fldChar w:fldCharType="separate"/>
      </w:r>
      <w:r w:rsidR="00C36BE5" w:rsidRPr="008C2309">
        <w:rPr>
          <w:rFonts w:ascii="Times" w:hAnsi="Times"/>
          <w:noProof/>
        </w:rPr>
        <w:t>(O’Neill, 2013)</w:t>
      </w:r>
      <w:r w:rsidR="00C36BE5" w:rsidRPr="008C2309">
        <w:rPr>
          <w:rFonts w:ascii="Times" w:hAnsi="Times"/>
        </w:rPr>
        <w:fldChar w:fldCharType="end"/>
      </w:r>
      <w:r w:rsidR="00293057" w:rsidRPr="008C2309">
        <w:rPr>
          <w:rFonts w:ascii="Times" w:hAnsi="Times"/>
        </w:rPr>
        <w:t>.</w:t>
      </w:r>
      <w:r w:rsidR="00805FF3" w:rsidRPr="008C2309">
        <w:rPr>
          <w:rFonts w:ascii="Times" w:hAnsi="Times"/>
        </w:rPr>
        <w:t xml:space="preserve"> The maximum daily dose of </w:t>
      </w:r>
      <w:r w:rsidR="00490781" w:rsidRPr="008C2309">
        <w:rPr>
          <w:rFonts w:ascii="Times" w:hAnsi="Times"/>
        </w:rPr>
        <w:t>RAM</w:t>
      </w:r>
      <w:r w:rsidR="00805FF3" w:rsidRPr="008C2309">
        <w:rPr>
          <w:rFonts w:ascii="Times" w:hAnsi="Times"/>
        </w:rPr>
        <w:t xml:space="preserve"> is 10</w:t>
      </w:r>
      <w:r w:rsidR="006E4C9B" w:rsidRPr="008C2309">
        <w:rPr>
          <w:rFonts w:ascii="Times" w:hAnsi="Times"/>
        </w:rPr>
        <w:t xml:space="preserve"> </w:t>
      </w:r>
      <w:r w:rsidR="00805FF3" w:rsidRPr="008C2309">
        <w:rPr>
          <w:rFonts w:ascii="Times" w:hAnsi="Times"/>
        </w:rPr>
        <w:t>mg</w:t>
      </w:r>
      <w:r w:rsidR="00D932EC" w:rsidRPr="008C2309">
        <w:rPr>
          <w:rFonts w:ascii="Times" w:hAnsi="Times"/>
        </w:rPr>
        <w:t xml:space="preserve"> </w:t>
      </w:r>
      <w:r w:rsidR="004528D3" w:rsidRPr="008C2309">
        <w:rPr>
          <w:rFonts w:ascii="Times" w:hAnsi="Times"/>
        </w:rPr>
        <w:fldChar w:fldCharType="begin" w:fldLock="1"/>
      </w:r>
      <w:r w:rsidR="004528D3" w:rsidRPr="008C2309">
        <w:rPr>
          <w:rFonts w:ascii="Times" w:hAnsi="Times"/>
        </w:rPr>
        <w:instrText>ADDIN CSL_CITATION { "citationItems" : [ { "id" : "ITEM-1", "itemData" : { "ISBN" : "9780857111395", "edition" : "Thirty-eig", "editor" : [ { "dropping-particle" : "", "family" : "Brayfield", "given" : "Alison", "non-dropping-particle" : "", "parse-names" : false, "suffix" : "" } ], "id" : "ITEM-1", "issued" : { "date-parts" : [ [ "2014" ] ] }, "publisher" : "Pharmaceutical Press", "title" : "Martindale - The Complete Drug Reference", "type" : "book" }, "uris" : [ "http://www.mendeley.com/documents/?uuid=f27ea078-5921-46aa-a343-909c0eab247b" ] } ], "mendeley" : { "formattedCitation" : "(Brayfield, 2014)", "plainTextFormattedCitation" : "(Brayfield, 2014)", "previouslyFormattedCitation" : "(Brayfield, 2014)" }, "properties" : {  }, "schema" : "https://github.com/citation-style-language/schema/raw/master/csl-citation.json" }</w:instrText>
      </w:r>
      <w:r w:rsidR="004528D3" w:rsidRPr="008C2309">
        <w:rPr>
          <w:rFonts w:ascii="Times" w:hAnsi="Times"/>
        </w:rPr>
        <w:fldChar w:fldCharType="separate"/>
      </w:r>
      <w:r w:rsidR="004528D3" w:rsidRPr="008C2309">
        <w:rPr>
          <w:rFonts w:ascii="Times" w:hAnsi="Times"/>
          <w:noProof/>
        </w:rPr>
        <w:t>(Brayfield, 2014)</w:t>
      </w:r>
      <w:r w:rsidR="004528D3" w:rsidRPr="008C2309">
        <w:rPr>
          <w:rFonts w:ascii="Times" w:hAnsi="Times"/>
        </w:rPr>
        <w:fldChar w:fldCharType="end"/>
      </w:r>
      <w:r w:rsidR="00805FF3" w:rsidRPr="008C2309">
        <w:rPr>
          <w:rFonts w:ascii="Times" w:hAnsi="Times"/>
        </w:rPr>
        <w:t xml:space="preserve"> and</w:t>
      </w:r>
      <w:r w:rsidR="006E4C9B" w:rsidRPr="008C2309">
        <w:rPr>
          <w:rFonts w:ascii="Times" w:hAnsi="Times"/>
        </w:rPr>
        <w:t>,</w:t>
      </w:r>
      <w:r w:rsidR="00805FF3" w:rsidRPr="008C2309">
        <w:rPr>
          <w:rFonts w:ascii="Times" w:hAnsi="Times"/>
        </w:rPr>
        <w:t xml:space="preserve"> </w:t>
      </w:r>
      <w:r w:rsidR="00270427" w:rsidRPr="008C2309">
        <w:rPr>
          <w:rFonts w:ascii="Times" w:hAnsi="Times"/>
        </w:rPr>
        <w:t>with a</w:t>
      </w:r>
      <w:r w:rsidR="001F6C35" w:rsidRPr="008C2309">
        <w:rPr>
          <w:rFonts w:ascii="Times" w:hAnsi="Times"/>
        </w:rPr>
        <w:t xml:space="preserve"> </w:t>
      </w:r>
      <w:r w:rsidR="001F6C35" w:rsidRPr="008C2309">
        <w:rPr>
          <w:rFonts w:ascii="Times" w:hAnsi="Times"/>
        </w:rPr>
        <w:lastRenderedPageBreak/>
        <w:t>sparingly soluble</w:t>
      </w:r>
      <w:r w:rsidR="00D932EC" w:rsidRPr="008C2309">
        <w:rPr>
          <w:rFonts w:ascii="Times" w:hAnsi="Times"/>
        </w:rPr>
        <w:t xml:space="preserve"> </w:t>
      </w:r>
      <w:r w:rsidR="001F6C35" w:rsidRPr="008C2309">
        <w:rPr>
          <w:rFonts w:ascii="Times" w:hAnsi="Times"/>
        </w:rPr>
        <w:fldChar w:fldCharType="begin" w:fldLock="1"/>
      </w:r>
      <w:r w:rsidR="001F6C35" w:rsidRPr="008C2309">
        <w:rPr>
          <w:rFonts w:ascii="Times" w:hAnsi="Times"/>
        </w:rPr>
        <w:instrText>ADDIN CSL_CITATION { "citationItems" : [ { "id" : "ITEM-1", "itemData" : { "URL" : "https://www.pharmacopoeia.com/bp-2018/monographs/ramipril.html?date=2018-01-01&amp;text=Ramipril", "accessed" : { "date-parts" : [ [ "2018", "2", "19" ] ] }, "author" : [ { "dropping-particle" : "", "family" : "British Pharmacopoeia", "given" : "", "non-dropping-particle" : "", "parse-names" : false, "suffix" : "" } ], "container-title" : "British Pharmacopoeia", "id" : "ITEM-1", "issued" : { "date-parts" : [ [ "2018" ] ] }, "title" : "Ramipril Monograph", "type" : "webpage" }, "uris" : [ "http://www.mendeley.com/documents/?uuid=e4571907-1435-446e-bda8-8e7a17ec0c59" ] } ], "mendeley" : { "formattedCitation" : "(British Pharmacopoeia, 2018b)", "plainTextFormattedCitation" : "(British Pharmacopoeia, 2018b)", "previouslyFormattedCitation" : "(British Pharmacopoeia, 2018b)" }, "properties" : {  }, "schema" : "https://github.com/citation-style-language/schema/raw/master/csl-citation.json" }</w:instrText>
      </w:r>
      <w:r w:rsidR="001F6C35" w:rsidRPr="008C2309">
        <w:rPr>
          <w:rFonts w:ascii="Times" w:hAnsi="Times"/>
        </w:rPr>
        <w:fldChar w:fldCharType="separate"/>
      </w:r>
      <w:r w:rsidR="001F6C35" w:rsidRPr="008C2309">
        <w:rPr>
          <w:rFonts w:ascii="Times" w:hAnsi="Times"/>
          <w:noProof/>
        </w:rPr>
        <w:t>(British Pharmacopoeia, 2018b)</w:t>
      </w:r>
      <w:r w:rsidR="001F6C35" w:rsidRPr="008C2309">
        <w:rPr>
          <w:rFonts w:ascii="Times" w:hAnsi="Times"/>
        </w:rPr>
        <w:fldChar w:fldCharType="end"/>
      </w:r>
      <w:r w:rsidR="00270427" w:rsidRPr="008C2309">
        <w:rPr>
          <w:rFonts w:ascii="Times" w:hAnsi="Times"/>
        </w:rPr>
        <w:t xml:space="preserve"> </w:t>
      </w:r>
      <w:r w:rsidR="00805FF3" w:rsidRPr="008C2309">
        <w:rPr>
          <w:rFonts w:ascii="Times" w:hAnsi="Times"/>
        </w:rPr>
        <w:t>solubility in water</w:t>
      </w:r>
      <w:r w:rsidR="00270427" w:rsidRPr="008C2309">
        <w:rPr>
          <w:rFonts w:ascii="Times" w:hAnsi="Times"/>
        </w:rPr>
        <w:t>,</w:t>
      </w:r>
      <w:r w:rsidR="006E4C9B" w:rsidRPr="008C2309">
        <w:rPr>
          <w:rFonts w:ascii="Times" w:hAnsi="Times"/>
        </w:rPr>
        <w:t xml:space="preserve"> </w:t>
      </w:r>
      <w:r w:rsidR="00490781" w:rsidRPr="008C2309">
        <w:rPr>
          <w:rFonts w:ascii="Times" w:hAnsi="Times"/>
        </w:rPr>
        <w:t>RAM</w:t>
      </w:r>
      <w:r w:rsidR="00805FF3" w:rsidRPr="008C2309">
        <w:rPr>
          <w:rFonts w:ascii="Times" w:hAnsi="Times"/>
        </w:rPr>
        <w:t xml:space="preserve"> is </w:t>
      </w:r>
      <w:r w:rsidR="00270427" w:rsidRPr="008C2309">
        <w:rPr>
          <w:rFonts w:ascii="Times" w:hAnsi="Times"/>
        </w:rPr>
        <w:t xml:space="preserve">classified as </w:t>
      </w:r>
      <w:r w:rsidR="00186A9B" w:rsidRPr="008C2309">
        <w:rPr>
          <w:rFonts w:ascii="Times" w:hAnsi="Times"/>
        </w:rPr>
        <w:t xml:space="preserve">a </w:t>
      </w:r>
      <w:r w:rsidR="00805FF3" w:rsidRPr="008C2309">
        <w:rPr>
          <w:rFonts w:ascii="Times" w:hAnsi="Times"/>
        </w:rPr>
        <w:t xml:space="preserve">BCS class </w:t>
      </w:r>
      <w:r w:rsidR="000E32FB" w:rsidRPr="008C2309">
        <w:rPr>
          <w:rFonts w:ascii="Times" w:hAnsi="Times"/>
        </w:rPr>
        <w:t>I (high solub</w:t>
      </w:r>
      <w:r w:rsidR="00490781" w:rsidRPr="008C2309">
        <w:rPr>
          <w:rFonts w:ascii="Times" w:hAnsi="Times"/>
        </w:rPr>
        <w:t>i</w:t>
      </w:r>
      <w:r w:rsidR="000E32FB" w:rsidRPr="008C2309">
        <w:rPr>
          <w:rFonts w:ascii="Times" w:hAnsi="Times"/>
        </w:rPr>
        <w:t>l</w:t>
      </w:r>
      <w:r w:rsidR="00490781" w:rsidRPr="008C2309">
        <w:rPr>
          <w:rFonts w:ascii="Times" w:hAnsi="Times"/>
        </w:rPr>
        <w:t>ity</w:t>
      </w:r>
      <w:r w:rsidR="000E32FB" w:rsidRPr="008C2309">
        <w:rPr>
          <w:rFonts w:ascii="Times" w:hAnsi="Times"/>
        </w:rPr>
        <w:t>, high permeab</w:t>
      </w:r>
      <w:r w:rsidR="00490781" w:rsidRPr="008C2309">
        <w:rPr>
          <w:rFonts w:ascii="Times" w:hAnsi="Times"/>
        </w:rPr>
        <w:t>i</w:t>
      </w:r>
      <w:r w:rsidR="000E32FB" w:rsidRPr="008C2309">
        <w:rPr>
          <w:rFonts w:ascii="Times" w:hAnsi="Times"/>
        </w:rPr>
        <w:t>l</w:t>
      </w:r>
      <w:r w:rsidR="00490781" w:rsidRPr="008C2309">
        <w:rPr>
          <w:rFonts w:ascii="Times" w:hAnsi="Times"/>
        </w:rPr>
        <w:t>ity</w:t>
      </w:r>
      <w:r w:rsidR="000E32FB" w:rsidRPr="008C2309">
        <w:rPr>
          <w:rFonts w:ascii="Times" w:hAnsi="Times"/>
        </w:rPr>
        <w:t>)</w:t>
      </w:r>
      <w:r w:rsidR="00805FF3" w:rsidRPr="008C2309">
        <w:rPr>
          <w:rFonts w:ascii="Times" w:hAnsi="Times"/>
        </w:rPr>
        <w:t xml:space="preserve"> compound</w:t>
      </w:r>
      <w:r w:rsidR="00D932EC" w:rsidRPr="008C2309">
        <w:rPr>
          <w:rFonts w:ascii="Times" w:hAnsi="Times"/>
        </w:rPr>
        <w:t xml:space="preserve"> </w:t>
      </w:r>
      <w:r w:rsidR="00805FF3" w:rsidRPr="008C2309">
        <w:rPr>
          <w:rFonts w:ascii="Times" w:hAnsi="Times"/>
        </w:rPr>
        <w:fldChar w:fldCharType="begin" w:fldLock="1"/>
      </w:r>
      <w:r w:rsidR="00432184" w:rsidRPr="008C2309">
        <w:rPr>
          <w:rFonts w:ascii="Times" w:hAnsi="Times"/>
        </w:rPr>
        <w:instrText>ADDIN CSL_CITATION { "citationItems" : [ { "id" : "ITEM-1", "itemData" : { "DOI" : "10.1111/j.1365-2125.2010.03757.x", "ISSN" : "1365-2125 (Electronic)", "PMID" : "21039763", "abstract" : "AIM: The aim of this study was to evaluate the acceptability of 124 bioequivalence (BE) studies with 80 active substances categorized according to the Biopharmaceutics Classification System (BCS) in order to establish if there were different probabilities of proving BE between the different BCS classes. METHODS: We evaluated the differences between pharmaceutical products with active substances from different BCS classes in terms of acceptability, number of subjects in the study (n), the point estimates, and intra- and inter-subject coefficients of variation data from BE studies with generic products. RESULTS: Out of 124 BE studies 89 (71.77%) were performed with pharmaceutical products containing active substances classified by the BCS. In all BCS classes there were non-bioequivalent pharmaceutical products: 4 out of 26 (15.38%) in class 1, 14 out of 28 (50%) in class 2, 3 out of 22 (13.63%) in class 3 and 1 out of 13 (7.69%) in class 4. When we removed those pharmaceutical products in which intra-subject variability was higher than predicted (2 in class 1 active substances, 9 in class 2 and 2 in class 3) there were still non-BE pharmaceutical products in classes 1, 2 and 3. CONCLUSIONS: Comparisons between pharmaceutical products with active substances from the four BCS classes have not allowed us to define differential characteristics of each class in terms of n, inter and intra-subject variability for C(max) or AUC. Despite the usually employed test dissolution methodology proposed as quality control, pharmaceutical products with active substances from the four classes of BCS showed non-BE studies.", "author" : [ { "dropping-particle" : "", "family" : "Ramirez", "given" : "Elena", "non-dropping-particle" : "", "parse-names" : false, "suffix" : "" }, { "dropping-particle" : "", "family" : "Laosa", "given" : "Olga", "non-dropping-particle" : "", "parse-names" : false, "suffix" : "" }, { "dropping-particle" : "", "family" : "Guerra", "given" : "Pedro", "non-dropping-particle" : "", "parse-names" : false, "suffix" : "" }, { "dropping-particle" : "", "family" : "Duque", "given" : "Blanca", "non-dropping-particle" : "", "parse-names" : false, "suffix" : "" }, { "dropping-particle" : "", "family" : "Mosquera", "given" : "Beatriz", "non-dropping-particle" : "", "parse-names" : false, "suffix" : "" }, { "dropping-particle" : "", "family" : "Borobia", "given" : "Alberto M", "non-dropping-particle" : "", "parse-names" : false, "suffix" : "" }, { "dropping-particle" : "", "family" : "Lei", "given" : "Suhua H", "non-dropping-particle" : "", "parse-names" : false, "suffix" : "" }, { "dropping-particle" : "", "family" : "Carcas", "given" : "Antonio J", "non-dropping-particle" : "", "parse-names" : false, "suffix" : "" }, { "dropping-particle" : "", "family" : "Frias", "given" : "Jesus", "non-dropping-particle" : "", "parse-names" : false, "suffix" : "" } ], "container-title" : "British journal of clinical pharmacology", "id" : "ITEM-1", "issue" : "5", "issued" : { "date-parts" : [ [ "2010", "11" ] ] }, "language" : "eng", "page" : "694-702", "publisher-place" : "England", "title" : "Acceptability and characteristics of 124 human bioequivalence studies with active substances classified according to the Biopharmaceutic Classification System.", "type" : "article-journal", "volume" : "70" }, "uris" : [ "http://www.mendeley.com/documents/?uuid=02403eac-f79c-4e27-9be0-d7fbc107f7b8", "http://www.mendeley.com/documents/?uuid=c49373a7-147d-4458-ac2c-6bce3e2504d6" ] }, { "id" : "ITEM-2", "itemData" : { "DOI" : "10.1055/s-0042-111434", "ISSN" : "2194-9387 (Electronic)", "PMID" : "27463032", "abstract" : "Bioequivalence studies are expensive, time consuming and invasive to humans. Accordingly, an alternative in vitro study (biowaivers) has been introduced for drugs which belong to BCS class I and III and for other strengths of already approved higher drug strength. The main objective of this study was to prove the biowaiver eligibility of a lower strength Ramipril/Hydrochlorothiazide (2.5/12.5 mg) tablets. Visual and pharmacopoeial quality tests were performed on the higher and lower generic and on the reference listed drug to determine whether they are pharmaceutically equivalent. All products were investigated using the biowaiver criteria. Dissolution profiles were conducted at pH values 1.2, 4.5 and 6.8. Difference factor (f1) and similarity factor (f2) were calculated. The tested products were successfully complied with pharmacopeial requirements. f1 was below 15 and f2 was above 50 in all dissolution conditions. Precisely, Ramipril showed release higher than 85% within 15 min. f1 and f2 for Hydrochlorothiazide were 8 and 61 respectively at the recommended discriminative pH media.These results suggest that the current biowaiver criteria could be a sufficient guarantee of bioequivalence of the lower strength of Ramizide assuming that the product is manufactured at the same site and contains same quality and grade of excipients and in a proportional amounts.", "author" : [ { "dropping-particle" : "", "family" : "Zaid", "given" : "A N", "non-dropping-particle" : "", "parse-names" : false, "suffix" : "" }, { "dropping-particle" : "", "family" : "Ghanem", "given" : "M", "non-dropping-particle" : "", "parse-names" : false, "suffix" : "" }, { "dropping-particle" : "", "family" : "Maqboul", "given" : "L", "non-dropping-particle" : "", "parse-names" : false, "suffix" : "" }, { "dropping-particle" : "", "family" : "Zaid", "given" : "H", "non-dropping-particle" : "", "parse-names" : false, "suffix" : "" }, { "dropping-particle" : "", "family" : "Mahasne", "given" : "A", "non-dropping-particle" : "", "parse-names" : false, "suffix" : "" } ], "container-title" : "Drug research", "id" : "ITEM-2", "issue" : "10", "issued" : { "date-parts" : [ [ "2016", "10" ] ] }, "language" : "eng", "page" : "539-546", "publisher-place" : "Germany", "title" : "Biowaiver Eligibility of a Lower Strength Ramipril/Hydrochlorothiazide Immediate  Release Tablets Using a New Validated HPLC Analytical Method.", "type" : "article-journal", "volume" : "66" }, "uris" : [ "http://www.mendeley.com/documents/?uuid=5721d6b1-f0bb-4617-ac68-8ecd027a955a", "http://www.mendeley.com/documents/?uuid=ddbc59bf-bc4a-497d-b485-f0d00042f192" ] } ], "mendeley" : { "formattedCitation" : "(Ramirez et al., 2010; Zaid et al., 2016)", "plainTextFormattedCitation" : "(Ramirez et al., 2010; Zaid et al., 2016)", "previouslyFormattedCitation" : "(Ramirez et al., 2010; Zaid et al., 2016)" }, "properties" : {  }, "schema" : "https://github.com/citation-style-language/schema/raw/master/csl-citation.json" }</w:instrText>
      </w:r>
      <w:r w:rsidR="00805FF3" w:rsidRPr="008C2309">
        <w:rPr>
          <w:rFonts w:ascii="Times" w:hAnsi="Times"/>
        </w:rPr>
        <w:fldChar w:fldCharType="separate"/>
      </w:r>
      <w:r w:rsidR="00B33BE2" w:rsidRPr="008C2309">
        <w:rPr>
          <w:rFonts w:ascii="Times" w:hAnsi="Times"/>
          <w:noProof/>
        </w:rPr>
        <w:t>(Ramirez et al., 2010; Zaid et al., 2016)</w:t>
      </w:r>
      <w:r w:rsidR="00805FF3" w:rsidRPr="008C2309">
        <w:rPr>
          <w:rFonts w:ascii="Times" w:hAnsi="Times"/>
        </w:rPr>
        <w:fldChar w:fldCharType="end"/>
      </w:r>
      <w:r w:rsidR="00805FF3" w:rsidRPr="008C2309">
        <w:rPr>
          <w:rFonts w:ascii="Times" w:hAnsi="Times"/>
        </w:rPr>
        <w:t xml:space="preserve">. </w:t>
      </w:r>
      <w:r w:rsidR="00805FF3" w:rsidRPr="008C2309">
        <w:rPr>
          <w:rFonts w:ascii="Times" w:hAnsi="Times" w:cstheme="minorHAnsi"/>
          <w:color w:val="000000" w:themeColor="text1"/>
        </w:rPr>
        <w:t>SD</w:t>
      </w:r>
      <w:r w:rsidR="00D932EC" w:rsidRPr="008C2309">
        <w:rPr>
          <w:rFonts w:ascii="Times" w:hAnsi="Times" w:cstheme="minorHAnsi"/>
          <w:color w:val="000000" w:themeColor="text1"/>
        </w:rPr>
        <w:t xml:space="preserve"> </w:t>
      </w:r>
      <w:r w:rsidR="00805FF3"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"10.1016/j.ejps.2005.01.007", "ISSN" : "09280987", "PMID" : "15784345", "abstract" : "The aim of this study was to evaluate the possible interactions in the solid state between the thiazide diuretics: bendroflumethiazide (BFMT), hydroflumethiazide (HFMT) and hydrochlorothiazide (HCT) and polyvinylpyrrolidone (PVP) following processing. The glass transition temperatures (Tgs) of a range of binary co-spray-dried PVP-thiazide composites were determined and compared to the predictions of the Gordon-Taylor, Fox, Couchman-Karasz, Kwei and Schneider equations. The solid composites of the thiazide diuretics and PVP were prepared by a spray drying technique. Properties of composites were determined with the use of helium pycnometry and FTIR spectroscopy. For many systems studied the experimentally detected Tgs exhibited large positive deviations when compared with the values predicted by the Gordon-Taylor, Fox and Couchman-Karasz equations. The data was better fitted by the Schneider equation consistent with a drug-polymer interaction. FTIR analysis revealed that strong hydrogen bonding between the sulphonamide groups of the thiazide diuretics and the PVP molecule was responsible for the increase in the Tgs. Additionally, in the case of BFMT-PVP composites, an interaction between the phenyl group and polymer ring was apparent. Glass transition-composition behaviour for amorphous drug-PVP composites deviated from the predictions of the commonly used Gordon-Taylor equation. Deviations were consistent with interactions between the components in the amorphous mixtures. The Schneider equation may be successfully applied to fit the T g-composition profiles obtained, where other models fail to give good predictions. ?? 2005 Elsevier B.V. All rights reserved.", "author" : [ { "dropping-particle" : "", "family" : "Tajber", "given" : "Lidia", "non-dropping-particle" : "", "parse-names" : false, "suffix" : "" }, { "dropping-particle" : "", "family" : "Corrigan", "given" : "Owen I.", "non-dropping-particle" : "", "parse-names" : false, "suffix" : "" }, { "dropping-particle" : "", "family" : "Healy", "given" : "Anne Marie", "non-dropping-particle" : "", "parse-names" : false, "suffix" : "" } ], "container-title" : "European Journal of Pharmaceutical Sciences", "id" : "ITEM-1", "issue" : "5", "issued" : { "date-parts" : [ [ "2005" ] ] }, "page" : "553-563", "title" : "Physicochemical evaluation of PVP-thiazide diuretic interactions in co-spray-dried composites - Analysis of glass transition composition relationships", "type" : "article-journal", "volume" : "24" }, "uris" : [ "http://www.mendeley.com/documents/?uuid=a3078218-9685-467e-8ddf-a20fb10b980f", "http://www.mendeley.com/documents/?uuid=8369b000-3e36-4871-8e8a-4e74237d7d4a" ] } ], "mendeley" : { "formattedCitation" : "(Tajber et al., 2005)", "plainTextFormattedCitation" : "(Tajber et al., 2005)", "previouslyFormattedCitation" : "(Tajber et al., 2005)" }, "properties" : {  }, "schema" : "https://github.com/citation-style-language/schema/raw/master/csl-citation.json" }</w:instrText>
      </w:r>
      <w:r w:rsidR="00805FF3"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(Tajber et al., 2005)</w:t>
      </w:r>
      <w:r w:rsidR="00805FF3" w:rsidRPr="008C2309">
        <w:rPr>
          <w:rFonts w:ascii="Times" w:hAnsi="Times" w:cstheme="minorHAnsi"/>
          <w:color w:val="000000" w:themeColor="text1"/>
        </w:rPr>
        <w:fldChar w:fldCharType="end"/>
      </w:r>
      <w:r w:rsidR="00805FF3" w:rsidRPr="008C2309">
        <w:rPr>
          <w:rFonts w:ascii="Times" w:hAnsi="Times" w:cstheme="minorHAnsi"/>
          <w:color w:val="000000" w:themeColor="text1"/>
        </w:rPr>
        <w:t xml:space="preserve"> and HME</w:t>
      </w:r>
      <w:r w:rsidR="00D932EC" w:rsidRPr="008C2309">
        <w:rPr>
          <w:rFonts w:ascii="Times" w:hAnsi="Times" w:cstheme="minorHAnsi"/>
          <w:color w:val="000000" w:themeColor="text1"/>
        </w:rPr>
        <w:t xml:space="preserve"> </w:t>
      </w:r>
      <w:r w:rsidR="00BC6F33"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"10.1016/j.ejpb.2015.07.023", "ISSN" : "18733441", "PMID" : "26232550", "abstract" : "In this study calendering is used as a downstream technique to shape monolithic co-extruded fixed-dose combination products in a continuous way. Co-extrudates with a metoprolol tartrate-loaded sustained-release core and a hydrochlorothiazide-loaded immediate-release coat were produced and immediately shaped into a monolithic drug delivery system via calendering, using chilled rolls with tablet-shaped cavities. In vitro metoprolol tartrate release from the ethylcellulose core of the calendered tablets was prolonged in comparison with the sustained release of a multiparticulate dosage form, prepared manually by cutting co-extrudates into mini-matrices. Analysis of the dosage forms using X-ray micro-computed tomography only detected small differences between the pore structure of the core of the calendered tablet and the mini-matrices. Diffusion path length was shown to be the main mechanism behind the release kinetics. Terahertz pulsed imaging visualized that adhesion between the core and coat of the calendered tablet was not complete and a gradient in coat thickness (varying from 200 to 600 \u03bcm) was observed. Modulated differential scanning calorimetry and X-ray diffraction indicated that the solid-state properties of both drugs were not affected by the calendering procedure.", "author" : [ { "dropping-particle" : "", "family" : "Vynckier", "given" : "A. K.", "non-dropping-particle" : "", "parse-names" : false, "suffix" : "" }, { "dropping-particle" : "", "family" : "Lin", "given" : "H.", "non-dropping-particle" : "", "parse-names" : false, "suffix" : "" }, { "dropping-particle" : "", "family" : "Zeitler", "given" : "J. A.", "non-dropping-particle" : "", "parse-names" : false, "suffix" : "" }, { "dropping-particle" : "", "family" : "Willart", "given" : "J. F.", "non-dropping-particle" : "", "parse-names" : false, "suffix" : "" }, { "dropping-particle" : "", "family" : "Bongaers", "given" : "E.", "non-dropping-particle" : "", "parse-names" : false, "suffix" : "" }, { "dropping-particle" : "", "family" : "Voorspoels", "given" : "J.", "non-dropping-particle" : "", "parse-names" : false, "suffix" : "" }, { "dropping-particle" : "", "family" : "Remon", "given" : "J. P.", "non-dropping-particle" : "", "parse-names" : false, "suffix" : "" }, { "dropping-particle" : "", "family" : "Vervaet", "given" : "C.", "non-dropping-particle" : "", "parse-names" : false, "suffix" : "" } ], "container-title" : "European Journal of Pharmaceutics and Biopharmaceutics", "id" : "ITEM-1", "issued" : { "date-parts" : [ [ "2015" ] ] }, "page" : "125-131", "publisher" : "Elsevier B.V.", "title" : "Calendering as a direct shaping tool for the continuous production of fixed-dose combination products via co-extrusion", "type" : "article-journal", "volume" : "96" }, "uris" : [ "http://www.mendeley.com/documents/?uuid=648c4030-ce97-4553-bf1e-0fd1cf689bcd", "http://www.mendeley.com/documents/?uuid=79ee42ab-b857-4b35-adc0-b642ab04275d" ] }, { "id" : "ITEM-2", "itemData" : { "DOI" : "10.1016/j.ejpb.2012.03.018", "ISBN" : "1873-3441 (Electronic)\\r0939-6411 (Linking)", "ISSN" : "09396411", "PMID" : "22504402", "abstract" : "The aim of this study was to develop a multilayer (core/coat) dosage form via co-extrusion, the core providing sustained drug release and the coat immediate drug release. In this study polymers were selected which can be combined in a co-extruded dosage form. Several thermoplastic polymers were hot-melt extruded and evaluated for processability and macroscopic properties (surface smoothness, die swell). Metoprolol tartrate (MPT) and hydrochlorothiazide (HCT) were incorporated as sustained and immediate release model drugs, respectively. Based on the polymer screening experiments a combination of polycaprolactone (core) and polyethylene oxide (coat) was selected for co-extrusion trials, taking into account their drug release profiles and extrusion temperature (70??C). This combination (containing 10% HCT in the coat and 45% MPT in the core) was successfully co-extruded (diameter core: 3 mm/thickness coat: 0.5 mm). Adhesion between the two polymer layers was good. HCT release from the coat was complete within 30 min, while MPT release was sustained over 24 h (55%, 70%, 85% and 100% after 4, 8, 12 and 24 h, respectively). DSC, XRD and Raman spectroscopy revealed that MPT remained crystalline during extrusion, whereas HCT was dissolved in the polyethylene oxide matrix. The in vivo study revealed no significant differences between the experimental formulation and the reference formulation (Zok-Zid?? tablet). Fixed-dose combination mini-tablets with good in vitro and in vivo performance were successfully developed by means of co-extrusion, using a combination of polycaprolactone and polyethylene oxide. ?? 2012 Elsevier B.V. All rights reserved.", "author" : [ { "dropping-particle" : "", "family" : "Dierickx", "given" : "L.", "non-dropping-particle" : "", "parse-names" : false, "suffix" : "" }, { "dropping-particle" : "", "family" : "Saerens", "given" : "L.", "non-dropping-particle" : "", "parse-names" : false, "suffix" : "" }, { "dropping-particle" : "", "family" : "Almeida", "given" : "A.", "non-dropping-particle" : "", "parse-names" : false, "suffix" : "" }, { "dropping-particle" : "", "family" : "Beer", "given" : "T.", "non-dropping-particle" : "De", "parse-names" : false, "suffix" : "" }, { "dropping-particle" : "", "family" : "Remon", "given" : "J. P.", "non-dropping-particle" : "", "parse-names" : false, "suffix" : "" }, { "dropping-particle" : "", "family" : "Vervaet", "given" : "C.", "non-dropping-particle" : "", "parse-names" : false, "suffix" : "" } ], "container-title" : "European Journal of Pharmaceutics and Biopharmaceutics", "id" : "ITEM-2", "issue" : "3", "issued" : { "date-parts" : [ [ "2012" ] ] }, "page" : "683-689", "publisher" : "Elsevier B.V.", "title" : "Co-extrusion as manufacturing technique for fixed-dose combination mini-matrices", "type" : "article-journal", "volume" : "81" }, "uris" : [ "http://www.mendeley.com/documents/?uuid=37bc9581-599f-4475-81cf-3288d8b42abf", "http://www.mendeley.com/documents/?uuid=d117e359-a81e-463a-9c26-1a08b651cb93" ] }, { "id" : "ITEM-3", "itemData" : { "DOI" : "10.1016/j.ijpharm.2015.07.009", "ISBN" : "9788578110796", "ISSN" : "18733476", "PMID" : "25246403", "abstract" : "The primary purpose of this study was to process partially hydrolyzed PVOH grades (degree of hydroxylation (DH): 33-88%) via HME and to evaluate them as carrier for oral immediate release dosage forms in order to improve the release rate of poorly water soluble drugs (i.e., HCT and CEL) via the formulation of solid dispersions. PVOH grades (DH &gt;70%) were able to solubilize HCT and CEL up to 15%, but required higher extrusion temperature, due to the crystalline nature of PVOH. The highest drug release rate was observed from hot-melt extruded PVOH samples with a high DH. While drug release from extrudates consisting of PVOH with a low DH was affected by ionic strength, there was no influence of pH and ionic strength on HCT release from PVOH samples with a higher DH. However, PVOH (DH &gt;70%) required higher extrusion temperatures, which could hamper its application for thermosensitive drugs. Therefore, the secondary purpose was to investigate the effect of sorbitol, a water-soluble plasticizer, on the thermal properties of hot-melt extruded PVOH (DH &gt;70%). The melting of PVOH/sorbitol mixture was required to establish molecular interactions between PVOH and sorbitol. These molecular interactions were reflected in the HME behavior: whereas an extrusion temperature of 180 ??C was necessary to process physical mixtures of PVOH (DH &gt;70%) and sorbitol, only 140 ??C was necessary during re-extrusion (after quench cooling and cryomilling) of the PVOH/sorbitol mixture. In addition, the in vitro and in vivo dug release of plasticized PVOH was examined; whereas the CEL/PVO/sorbitol system was able to maintain supersaturation during in vitro dissolution (0.1 N HCl) compared to Celebrex??, the in vivo pharmacokinetic parameters (AUC0-24 h, Cmax and Tmax) were highly comparable.", "author" : [ { "dropping-particle" : "", "family" : "Jaeghere", "given" : "W.", "non-dropping-particle" : "De", "parse-names" : false, "suffix" : "" }, { "dropping-particle" : "", "family" : "Beer", "given" : "T.", "non-dropping-particle" : "De", "parse-names" : false, "suffix" : "" }, { "dropping-particle" : "", "family" : "Bocxlaer", "given" : "J.", "non-dropping-particle" : "Van", "parse-names" : false, "suffix" : "" }, { "dropping-particle" : "", "family" : "Remon", "given" : "J. P.", "non-dropping-particle" : "", "parse-names" : false, "suffix" : "" }, { "dropping-particle" : "", "family" : "Vervaet", "given" : "C.", "non-dropping-particle" : "", "parse-names" : false, "suffix" : "" } ], "container-title" : "International Journal of Pharmaceutics", "id" : "ITEM-3", "issue" : "1-2", "issued" : { "date-parts" : [ [ "2015" ] ] }, "page" : "1-9", "publisher" : "Elsevier B.V.", "title" : "Hot-melt extrusion of polyvinyl alcohol for oral immediate release applications", "type" : "article-journal", "volume" : "492" }, "uris" : [ "http://www.mendeley.com/documents/?uuid=4ac30b8e-d7ed-47cd-8f16-1715b4c2f4e4", "http://www.mendeley.com/documents/?uuid=94a09c86-bd54-48dd-a68e-c6bbe6af723b" ] }, { "id" : "ITEM-4", "itemData" : { "DOI" : "10.1016/j.ijpharm.2014.01.028", "ISBN" : "1873-3476 (Electronic)\\r0378-5173 (Linking)", "ISSN" : "03785173", "PMID" : "24486558", "abstract" : "In this study, hot-melt co-extrusion was evaluated as a technique for the production of fixed-dose combination products, using ethylcellulose as a core matrix former to control the release of metoprolol tartrate and a polyethylene oxide-based coat formulation to obtain immediate release of hydrochlorothiazide. By lowering the concentration of the hydrophilic additive polyethylene oxide in the plasticized ethylcellulose matrix or by lowering the drug load, the in vitro metoprolol tartrate release from the core was substantially sustained. The in vitro release of hydrochlorothiazide from the polyethylene oxide/polyethylene glycol coat was completed within 45 min for all formulations. Tensile testing of the core/coat mini-matrices revealed an adequate adhesion between the two layers. Raman mapping showed no migration of active substances. Solid state characterization indicated that the crystalline state of metoprolol tartrate was not affected by thermal processing via hot-melt extrusion, while hydrochlorothiazide was amorphous in the coat. These solid state characteristics were confirmed during the stability study. Considering the bioavailability of metoprolol tartrate after oral administration to dogs, the different co-extruded formulations offered a range of sustained release characteristics. Moreover, high metoprolol tartrate plasma concentrations were reached in dogs allowing the administered dose to be halved. ?? 2014 Elsevier B.V.", "author" : [ { "dropping-particle" : "", "family" : "Vynckier", "given" : "A. K.", "non-dropping-particle" : "", "parse-names" : false, "suffix" : "" }, { "dropping-particle" : "", "family" : "Dierickx", "given" : "L.", "non-dropping-particle" : "", "parse-names" : false, "suffix" : "" }, { "dropping-particle" : "", "family" : "Saerens", "given" : "L.", "non-dropping-particle" : "", "parse-names" : false, "suffix" : "" }, { "dropping-particle" : "", "family" : "Voorspoels", "given" : "J.", "non-dropping-particle" : "", "parse-names" : false, "suffix" : "" }, { "dropping-particle" : "", "family" : "Gonnissen", "given" : "Y.", "non-dropping-particle" : "", "parse-names" : false, "suffix" : "" }, { "dropping-particle" : "", "family" : "Beer", "given" : "T.", "non-dropping-particle" : "De", "parse-names" : false, "suffix" : "" }, { "dropping-particle" : "", "family" : "Vervaet", "given" : "C.", "non-dropping-particle" : "", "parse-names" : false, "suffix" : "" }, { "dropping-particle" : "", "family" : "Remon", "given" : "J. P.", "non-dropping-particle" : "", "parse-names" : false, "suffix" : "" } ], "container-title" : "International Journal of Pharmaceutics", "id" : "ITEM-4", "issue" : "1-2", "issued" : { "date-parts" : [ [ "2014" ] ] }, "page" : "65-74", "publisher" : "Elsevier B.V.", "title" : "Hot-melt co-extrusion for the production of fixed-dose combination products with a controlled release ethylcellulose matrix core", "type" : "article-journal", "volume" : "464" }, "uris" : [ "http://www.mendeley.com/documents/?uuid=aed5ccfe-917b-4b62-a6ba-2d49a011ebfb", "http://www.mendeley.com/documents/?uuid=3e7bc00e-59a9-47ac-89f8-acca2cca3f7b" ] } ], "mendeley" : { "formattedCitation" : "(De Jaeghere et al., 2015; Dierickx et al., 2012; Vynckier et al., 2015, 2014)", "plainTextFormattedCitation" : "(De Jaeghere et al., 2015; Dierickx et al., 2012; Vynckier et al., 2015, 2014)", "previouslyFormattedCitation" : "(De Jaeghere et al., 2015; Dierickx et al., 2012; Vynckier et al., 2015, 2014)" }, "properties" : {  }, "schema" : "https://github.com/citation-style-language/schema/raw/master/csl-citation.json" }</w:instrText>
      </w:r>
      <w:r w:rsidR="00BC6F33"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(De Jaeghere et al., 2015; Dierickx et al., 2012; Vynckier et al., 2015, 2014)</w:t>
      </w:r>
      <w:r w:rsidR="00BC6F33" w:rsidRPr="008C2309">
        <w:rPr>
          <w:rFonts w:ascii="Times" w:hAnsi="Times" w:cstheme="minorHAnsi"/>
          <w:color w:val="000000" w:themeColor="text1"/>
        </w:rPr>
        <w:fldChar w:fldCharType="end"/>
      </w:r>
      <w:r w:rsidR="00BC6F33" w:rsidRPr="008C2309">
        <w:rPr>
          <w:rFonts w:ascii="Times" w:hAnsi="Times" w:cstheme="minorHAnsi"/>
          <w:color w:val="000000" w:themeColor="text1"/>
        </w:rPr>
        <w:t xml:space="preserve"> </w:t>
      </w:r>
      <w:r w:rsidR="00805FF3" w:rsidRPr="008C2309">
        <w:rPr>
          <w:rFonts w:ascii="Times" w:hAnsi="Times" w:cstheme="minorHAnsi"/>
          <w:color w:val="000000" w:themeColor="text1"/>
        </w:rPr>
        <w:t>techniques have</w:t>
      </w:r>
      <w:r w:rsidR="00A5374A" w:rsidRPr="008C2309">
        <w:rPr>
          <w:rFonts w:ascii="Times" w:hAnsi="Times" w:cstheme="minorHAnsi"/>
          <w:color w:val="000000" w:themeColor="text1"/>
        </w:rPr>
        <w:t xml:space="preserve"> been</w:t>
      </w:r>
      <w:r w:rsidR="00E94508" w:rsidRPr="008C2309">
        <w:rPr>
          <w:rFonts w:ascii="Times" w:hAnsi="Times" w:cstheme="minorHAnsi"/>
          <w:color w:val="000000" w:themeColor="text1"/>
        </w:rPr>
        <w:t xml:space="preserve"> </w:t>
      </w:r>
      <w:r w:rsidR="00805FF3" w:rsidRPr="008C2309">
        <w:rPr>
          <w:rFonts w:ascii="Times" w:hAnsi="Times" w:cstheme="minorHAnsi"/>
          <w:color w:val="000000" w:themeColor="text1"/>
        </w:rPr>
        <w:t>previously</w:t>
      </w:r>
      <w:r w:rsidR="00A5374A" w:rsidRPr="008C2309">
        <w:rPr>
          <w:rFonts w:ascii="Times" w:hAnsi="Times" w:cstheme="minorHAnsi"/>
          <w:color w:val="000000" w:themeColor="text1"/>
        </w:rPr>
        <w:t xml:space="preserve"> </w:t>
      </w:r>
      <w:r w:rsidR="00A730DF" w:rsidRPr="008C2309">
        <w:rPr>
          <w:rFonts w:ascii="Times" w:hAnsi="Times" w:cstheme="minorHAnsi"/>
          <w:color w:val="000000" w:themeColor="text1"/>
        </w:rPr>
        <w:t xml:space="preserve">successfully </w:t>
      </w:r>
      <w:r w:rsidR="00A5374A" w:rsidRPr="008C2309">
        <w:rPr>
          <w:rFonts w:ascii="Times" w:hAnsi="Times" w:cstheme="minorHAnsi"/>
          <w:color w:val="000000" w:themeColor="text1"/>
        </w:rPr>
        <w:t>used to</w:t>
      </w:r>
      <w:r w:rsidR="00805FF3" w:rsidRPr="008C2309">
        <w:rPr>
          <w:rFonts w:ascii="Times" w:hAnsi="Times" w:cstheme="minorHAnsi"/>
          <w:color w:val="000000" w:themeColor="text1"/>
        </w:rPr>
        <w:t xml:space="preserve"> </w:t>
      </w:r>
      <w:r w:rsidR="006E4C9B" w:rsidRPr="008C2309">
        <w:rPr>
          <w:rFonts w:ascii="Times" w:hAnsi="Times" w:cstheme="minorHAnsi"/>
          <w:color w:val="000000" w:themeColor="text1"/>
        </w:rPr>
        <w:t xml:space="preserve">process </w:t>
      </w:r>
      <w:r w:rsidR="00805FF3" w:rsidRPr="008C2309">
        <w:rPr>
          <w:rFonts w:ascii="Times" w:hAnsi="Times" w:cstheme="minorHAnsi"/>
          <w:color w:val="000000" w:themeColor="text1"/>
        </w:rPr>
        <w:t xml:space="preserve">HCTZ </w:t>
      </w:r>
      <w:r w:rsidR="007A29D7" w:rsidRPr="008C2309">
        <w:rPr>
          <w:rFonts w:ascii="Times" w:hAnsi="Times" w:cstheme="minorHAnsi"/>
          <w:color w:val="000000" w:themeColor="text1"/>
        </w:rPr>
        <w:t>alone. RAM</w:t>
      </w:r>
      <w:r w:rsidR="00765DEC" w:rsidRPr="008C2309">
        <w:rPr>
          <w:rFonts w:ascii="Times" w:hAnsi="Times" w:cstheme="minorHAnsi"/>
          <w:color w:val="000000" w:themeColor="text1"/>
        </w:rPr>
        <w:t xml:space="preserve"> is thermally degraded at a relatively low temperature (upon melting, 1</w:t>
      </w:r>
      <w:r w:rsidR="0019441A" w:rsidRPr="008C2309">
        <w:rPr>
          <w:rFonts w:ascii="Times" w:hAnsi="Times" w:cstheme="minorHAnsi"/>
          <w:color w:val="000000" w:themeColor="text1"/>
        </w:rPr>
        <w:t>1</w:t>
      </w:r>
      <w:r w:rsidR="00723E26" w:rsidRPr="008C2309">
        <w:rPr>
          <w:rFonts w:ascii="Times" w:hAnsi="Times" w:cstheme="minorHAnsi"/>
          <w:color w:val="000000" w:themeColor="text1"/>
        </w:rPr>
        <w:t>7</w:t>
      </w:r>
      <w:r w:rsidR="00765DEC" w:rsidRPr="008C2309">
        <w:rPr>
          <w:rFonts w:ascii="Times" w:hAnsi="Times" w:cstheme="minorHAnsi"/>
          <w:color w:val="000000" w:themeColor="text1"/>
        </w:rPr>
        <w:t xml:space="preserve"> °C). This therefore becomes a formulation challenge due to the high temperatures typically used </w:t>
      </w:r>
      <w:r w:rsidR="00270427" w:rsidRPr="008C2309">
        <w:rPr>
          <w:rFonts w:ascii="Times" w:hAnsi="Times" w:cstheme="minorHAnsi"/>
          <w:color w:val="000000" w:themeColor="text1"/>
        </w:rPr>
        <w:t xml:space="preserve">in </w:t>
      </w:r>
      <w:r w:rsidR="00765DEC" w:rsidRPr="008C2309">
        <w:rPr>
          <w:rFonts w:ascii="Times" w:hAnsi="Times" w:cstheme="minorHAnsi"/>
          <w:color w:val="000000" w:themeColor="text1"/>
        </w:rPr>
        <w:t>HME.</w:t>
      </w:r>
    </w:p>
    <w:p w14:paraId="1482FF69" w14:textId="51A832F4" w:rsidR="004369A7" w:rsidRPr="008C2309" w:rsidRDefault="001C0266"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 xml:space="preserve">The literature contains many examples of </w:t>
      </w:r>
      <w:r w:rsidR="00CF27DA" w:rsidRPr="008C2309">
        <w:rPr>
          <w:rFonts w:ascii="Times" w:hAnsi="Times" w:cstheme="minorHAnsi"/>
          <w:color w:val="000000" w:themeColor="text1"/>
        </w:rPr>
        <w:t xml:space="preserve"> research</w:t>
      </w:r>
      <w:r w:rsidR="00805FF3" w:rsidRPr="008C2309">
        <w:rPr>
          <w:rFonts w:ascii="Times" w:hAnsi="Times" w:cstheme="minorHAnsi"/>
          <w:color w:val="000000" w:themeColor="text1"/>
        </w:rPr>
        <w:t xml:space="preserve"> conducted to </w:t>
      </w:r>
      <w:r w:rsidR="003755E4" w:rsidRPr="008C2309">
        <w:rPr>
          <w:rFonts w:ascii="Times" w:hAnsi="Times" w:cstheme="minorHAnsi"/>
          <w:color w:val="000000" w:themeColor="text1"/>
        </w:rPr>
        <w:t xml:space="preserve">gain an understanding of </w:t>
      </w:r>
      <w:r w:rsidR="00805FF3" w:rsidRPr="008C2309">
        <w:rPr>
          <w:rFonts w:ascii="Times" w:hAnsi="Times" w:cstheme="minorHAnsi"/>
          <w:color w:val="000000" w:themeColor="text1"/>
        </w:rPr>
        <w:t xml:space="preserve">the effect </w:t>
      </w:r>
      <w:r w:rsidR="003755E4" w:rsidRPr="008C2309">
        <w:rPr>
          <w:rFonts w:ascii="Times" w:hAnsi="Times" w:cstheme="minorHAnsi"/>
          <w:color w:val="000000" w:themeColor="text1"/>
        </w:rPr>
        <w:t xml:space="preserve">of the </w:t>
      </w:r>
      <w:r w:rsidR="00805FF3" w:rsidRPr="008C2309">
        <w:rPr>
          <w:rFonts w:ascii="Times" w:hAnsi="Times" w:cstheme="minorHAnsi"/>
          <w:color w:val="000000" w:themeColor="text1"/>
        </w:rPr>
        <w:t xml:space="preserve">manufacturing technique on the physicochemical properties of solid dispersions </w:t>
      </w:r>
      <w:r w:rsidR="003755E4" w:rsidRPr="008C2309">
        <w:rPr>
          <w:rFonts w:ascii="Times" w:hAnsi="Times" w:cstheme="minorHAnsi"/>
          <w:color w:val="000000" w:themeColor="text1"/>
        </w:rPr>
        <w:t xml:space="preserve">containing a </w:t>
      </w:r>
      <w:r w:rsidR="00805FF3" w:rsidRPr="008C2309">
        <w:rPr>
          <w:rFonts w:ascii="Times" w:hAnsi="Times" w:cstheme="minorHAnsi"/>
          <w:color w:val="000000" w:themeColor="text1"/>
        </w:rPr>
        <w:t xml:space="preserve">single API </w:t>
      </w:r>
      <w:r w:rsidR="00805FF3" w:rsidRPr="008C2309">
        <w:rPr>
          <w:rFonts w:ascii="Times" w:hAnsi="Times" w:cstheme="minorHAnsi"/>
          <w:color w:val="000000" w:themeColor="text1"/>
        </w:rPr>
        <w:fldChar w:fldCharType="begin" w:fldLock="1"/>
      </w:r>
      <w:r w:rsidR="0003749A" w:rsidRPr="008C2309">
        <w:rPr>
          <w:rFonts w:ascii="Times" w:hAnsi="Times" w:cstheme="minorHAnsi"/>
          <w:color w:val="000000" w:themeColor="text1"/>
        </w:rPr>
        <w:instrText>ADDIN CSL_CITATION { "citationItems" : [ { "id" : "ITEM-1", "itemData" : { "DOI" : "10.1016/j.ijpharm.2009.04.047", "ISBN" : "0378-5173", "ISSN" : "03785173", "PMID" : "19442711", "abstract" : "Oxeglitazar is a new orally administered poorly water soluble active substance used in the treatment of type II diabetes. The objective of this work was to improve its dissolution kinetics using supercritical antisolvent (SAS) and spray-freezing (SF) techniques. Oxeglitazar was formulated with various excipients, including: Poloxamer 188 and 407, polyethylene glycol (PEG) 8000 and polyvinilpyrrolidone (PVP) K17 in a 1:1 weight ratio. In the SAS technology, pharmaceutical ingredients were dissolved in an appropriate solvent, and the feed solution was dispersed through a capillary nozzle in supercritical CO2 (SC CO2). Dichloromethane (DCM), chloroform (CHCl3), and a binary co-solvent system of chloroform-ethanol (EtOH/CHCl3 50:50, v/v%) were tested. In the SF process, tert-butanol (tBuOH) was used as solvent. The feed solution was injected into liquid nitrogen through a capillary nozzle located above the surface of the boiling nitrogen. Frozen particles were collected and freeze-dried for 30 h. Formulations were compared in terms of particle morphology, particle size, flow properties, crystallinity, polymorphic purity, residual solvent content, precipitation yield, drug content, specific surface area and dissolution kinetics. SAS and SF processed formulations exhibited enhanced dissolution rates. Within 5 min, the amount of dissolved drug varied from 31.6 to 64.3% for SAS and from 77.9 to 96.9% for freeze-dried formulations while only 30.5% was dissolved from raw drug. Apart from oxeglitazar/PVP K17, SAS prepared solid dispersions were characterized by high crystallinity and acicular shape. Freeze-dried formulations consisted of porous spherical particles with high amorphous content (94.2-100%). ?? 2009 Elsevier B.V. All rights reserved.", "author" : [ { "dropping-particle" : "", "family" : "Badens", "given" : "Elisabeth", "non-dropping-particle" : "", "parse-names" : false, "suffix" : "" }, { "dropping-particle" : "", "family" : "Majerik", "given" : "Viktor", "non-dropping-particle" : "", "parse-names" : false, "suffix" : "" }, { "dropping-particle" : "", "family" : "Horvth", "given" : "G", "non-dropping-particle" : "", "parse-names" : false, "suffix" : "" }, { "dropping-particle" : "", "family" : "Szokonya", "given" : "L", "non-dropping-particle" : "", "parse-names" : false, "suffix" : "" }, { "dropping-particle" : "", "family" : "Bosc", "given" : "Nathalie", "non-dropping-particle" : "", "parse-names" : false, "suffix" : "" }, { "dropping-particle" : "", "family" : "Teillaud", "given" : "Eric", "non-dropping-particle" : "", "parse-names" : false, "suffix" : "" }, { "dropping-particle" : "", "family" : "Charbit", "given" : "G??rard", "non-dropping-particle" : "", "parse-names" : false, "suffix" : "" } ], "container-title" : "International Journal of Pharmaceutics", "id" : "ITEM-1", "issue" : "1-2", "issued" : { "date-parts" : [ [ "2009" ] ] }, "page" : "25-34", "title" : "Comparison of solid dispersions produced by supercritical antisolvent and spray-freezing technologies", "type" : "article-journal", "volume" : "377" }, "uris" : [ "http://www.mendeley.com/documents/?uuid=a739ccab-54d8-4f81-aea7-612273ffe42e", "http://www.mendeley.com/documents/?uuid=e121784d-9364-4a33-b4f6-ef073cbe65d5" ] }, { "id" : "ITEM-2", "itemData" : { "DOI" : "10.1007/s11095-010-0324-2", "ISBN" : "0724-8741", "ISSN" : "07248741", "PMID" : "21104299", "abstract" : "To investigate the effect of the manufacturing method (spray-drying or hot-melt extrusion) on the kinetic miscibility of miconazole and the graft copolymer poly(ethyleneglycol-g-vinylalcohol). The effect of heat pre-treatment of solutions used for spray-drying and the use of spray-dried copolymer as excipient for hot-melt extrusion was investigated.", "author" : [ { "dropping-particle" : "", "family" : "Guns", "given" : "Sandra", "non-dropping-particle" : "", "parse-names" : false, "suffix" : "" }, { "dropping-particle" : "", "family" : "Dereymaker", "given" : "Aswin", "non-dropping-particle" : "", "parse-names" : false, "suffix" : "" }, { "dropping-particle" : "", "family" : "Kayaert", "given" : "Pieterjan", "non-dropping-particle" : "", "parse-names" : false, "suffix" : "" }, { "dropping-particle" : "", "family" : "Mathot", "given" : "Vincent", "non-dropping-particle" : "", "parse-names" : false, "suffix" : "" }, { "dropping-particle" : "", "family" : "Martens", "given" : "Johan A.", "non-dropping-particle" : "", "parse-names" : false, "suffix" : "" }, { "dropping-particle" : "", "family" : "Mooter", "given" : "Guy", "non-dropping-particle" : "Van Den", "parse-names" : false, "suffix" : "" } ], "container-title" : "Pharmaceutical Research", "id" : "ITEM-2", "issue" : "3", "issued" : { "date-parts" : [ [ "2011" ] ] }, "page" : "673-682", "title" : "Comparison between hot-melt extrusion and spray-drying for manufacturing solid dispersions of the graft copolymer of ethylene glycol and vinylalcohol", "type" : "article-journal", "volume" : "28" }, "uris" : [ "http://www.mendeley.com/documents/?uuid=771cf35b-1945-47b4-ac01-74561d2445b9", "http://www.mendeley.com/documents/?uuid=c09a6923-a125-4783-9419-a8d0c0b7a26c" ] }, { "id" : "ITEM-3", "itemData" : { "DOI" : "10.1208/s12249-015-0425-7", "ISSN" : "1530-9932", "PMID" : "26729533", "abstract" : "The objective of the study was to develop an amorphous solid dispersion\\n(ASD) for an insoluble compound X by hot melt extrusion (HME) process.\\nThe focus was to identify material-sparing approaches to develop\\nbioavailable and stable ASD including scale up of HME process using\\nminimal drug. Mixtures of compound X and polymers with and without\\nsurfactants or pH modifiers were evaluated by hot stage microscopy\\n(HSM), polarized light microscopy (PLM), and modulated differential\\nscanning calorimetry (mDSC), which enabled systematic selection of ASD\\ncomponents. Formulation blends of compound X with PVP K12 and PVP VA64\\npolymers were extruded through a 9-mm twin screw mini-extruder. Physical\\ncharacterization of extrudates by PLM, XRPD, and mDSC indicated\\nformation of single-phase ASD's. Accelerated stability testing was\\nperformed that allowed rapid selection of stable ASD's and suitable\\npackaging configurations. Dissolution testing by a discriminating\\ntwo-step non-sink dissolution method showed 70-80% drug release from\\nprototype ASD's, which was around twofold higher compared to crystalline\\ntablet formulations. The in vivo pharmacokinetic study in dogs showed\\nthat bioavailability from ASD of compound X with PVP VA64 was four times\\nhigher compared to crystalline tablet formulations. The HME process was\\nscaled up from lab scale to clinical scale using volumetric scale up\\napproach and scale-independent-specific energy parameter. The present\\nstudy demonstrated systematic development of ASD dosage form and scale\\nup of HME process to clinical scale using minimal drug (similar to 500\\ng), which allowed successful clinical batch manufacture of enabled\\nformulation within 7 months.", "author" : [ { "dropping-particle" : "", "family" : "Agrawal", "given" : "Anjali M.", "non-dropping-particle" : "", "parse-names" : false, "suffix" : "" }, { "dropping-particle" : "", "family" : "Dudhedia", "given" : "Mayur S.", "non-dropping-particle" : "", "parse-names" : false, "suffix" : "" }, { "dropping-particle" : "", "family" : "Zimny", "given" : "Ewa", "non-dropping-particle" : "", "parse-names" : false, "suffix" : "" } ], "container-title" : "AAPS PharmSciTech", "id" : "ITEM-3", "issue" : "1", "issued" : { "date-parts" : [ [ "2016" ] ] }, "page" : "133-147", "title" : "Hot Melt Extrusion: Development of an Amorphous Solid Dispersion for an Insoluble Drug from Mini-scale to Clinical Scale", "type" : "article-journal", "volume" : "17" }, "uris" : [ "http://www.mendeley.com/documents/?uuid=d592eb4f-3815-474a-b903-5b2559947e49", "http://www.mendeley.com/documents/?uuid=17251368-41b8-4387-94cb-2790d4b0ee43" ] }, { "id" : "ITEM-4", "itemData" : { "DOI" : "10.1016/j.carbpol.2013.08.046", "ISBN" : "1879-1344 (Electronic)\\r0144-8617 (Linking)", "ISSN" : "01448617", "PMID" : "24274533", "abstract" : "The poor solubility of drugs remains one of the most challenging aspects of formulation development. Aiming at improving the biopharmaceutical limitations of the calcium channel blocker nimodipine, the development of solid dispersions is proposed herein. Three different proportions of nimodipine:HPMC were tested and all of them generated amorphous solid dispersions. Improvements of up 318% in the solubility and a 4-fold increase in the dissolution rate of nimodipine were achieved. Stability studies conducted over 90 days in a desiccator indicated that the initial characteristic of the formulations were maintained. However, at 40 C/75% RH recrystallization was observed for solid dispersions with 70 and 80% of HPMC, whilst the formulation composed of 90% of the carrier remained amorphous. The increase in the stability observed when the HPMC concentration was increased from 70 to 90% in the solid dispersions was attributed to the dilution mechanism. ?? 2013 Elsevier Ltd. All rights reserved.", "author" : [ { "dropping-particle" : "", "family" : "Riekes", "given" : "Manoela Kl??ppel", "non-dropping-particle" : "", "parse-names" : false, "suffix" : "" }, { "dropping-particle" : "", "family" : "Kuminek", "given" : "Gislaine", "non-dropping-particle" : "", "parse-names" : false, "suffix" : "" }, { "dropping-particle" : "", "family" : "Rauber", "given" : "Gabriela Schneider", "non-dropping-particle" : "", "parse-names" : false, "suffix" : "" }, { "dropping-particle" : "", "family" : "Campos", "given" : "Carlos Eduardo Maduro", "non-dropping-particle" : "De", "parse-names" : false, "suffix" : "" }, { "dropping-particle" : "", "family" : "Bortoluzzi", "given" : "Adailton Jo??o", "non-dropping-particle" : "", "parse-names" : false, "suffix" : "" }, { "dropping-particle" : "", "family" : "Stulzer", "given" : "Hellen Karine", "non-dropping-particle" : "", "parse-names" : false, "suffix" : "" } ], "container-title" : "Carbohydrate Polymers", "id" : "ITEM-4", "issued" : { "date-parts" : [ [ "2014" ] ] }, "page" : "474-482", "publisher" : "Elsevier Ltd.", "title" : "HPMC as a potential enhancer of nimodipine biopharmaceutical properties via ball-milled solid dispersions", "type" : "article-journal", "volume" : "99" }, "uris" : [ "http://www.mendeley.com/documents/?uuid=31186a66-b556-4adc-98ce-26dbcb6bb43e", "http://www.mendeley.com/documents/?uuid=e586b30c-0f3b-43ca-abcf-86c639911ba6", "http://www.mendeley.com/documents/?uuid=c42a5340-8ed8-4058-9cd3-317a8242cde0" ] }, { "id" : "ITEM-5", "itemData" : { "DOI" : "10.1016/j.ijpharm.2003.11.025", "ISBN" : "1718990502", "ISSN" : "03785173", "PMID" : "15019063", "abstract" : "This study compares the physicochemical properties of carbamazepine (CBZ) solid dispersions prepared by either a conventional solvent evaporation versus a supercritical fluid process. Solid dispersions of carbamazepine in polyvinylpyrrolidone (PVP) K30 with either Gelucire 44/14 or Vitamin E TPGS, NF (D-??-tocopheryl polyethylene glycol 1000 succinate) were prepared and characterized by intrinsic dissolution, differential scanning calorimetry, powder X-ray diffraction and Fourier transform infrared spectroscopy. CBZ/PVP K30 and CBZ/PVP K30/TPGS solid dispersions showed increased dissolution rate. The best intrinsic dissolution rate (IDR) was obtained for supercritically processed CBZ/PVP K30 that was four-fold higher than pure CBZ. Thermograms of various solid dispersions did not show the melting peak of CBZ, indicating that CBZ was in amorphous form inside the carrier system. This was further confirmed by X-ray diffraction studies. Infrared spectroscopic studies showed interaction between CBZ and PVP K30 in solid dispersions. The amorphous state of CBZ coupled with presence of interaction between drug and PVP K30 suggests fewer, if any, stability problems. Because the supercritical-based process produced solid dispersions with IDR better than conventional solid dispersions augmented with amphiphilic carriers, stability issues associated with lipid carriers do not apply, which, in turn, implies easier scale up under current Good Manufacturing Practice for this technique. ?? 2003 Elsevier B.V. All rights reserved.", "author" : [ { "dropping-particle" : "", "family" : "Sethia", "given" : "S.", "non-dropping-particle" : "", "parse-names" : false, "suffix" : "" }, { "dropping-particle" : "", "family" : "Squillante", "given" : "E.", "non-dropping-particle" : "", "parse-names" : false, "suffix" : "" } ], "container-title" : "International Journal of Pharmaceutics", "id" : "ITEM-5", "issue" : "1-2", "issued" : { "date-parts" : [ [ "2004" ] ] }, "page" : "1-10", "title" : "Solid dispersion of carbamazepine in PVP K30 by conventional solvent evaporation and supercritical methods", "type" : "article-journal", "volume" : "272" }, "uris" : [ "http://www.mendeley.com/documents/?uuid=c5246f61-8de3-46f0-90e3-288627da7ad8", "http://www.mendeley.com/documents/?uuid=3e9c9053-c408-463d-add6-8d8723876417", "http://www.mendeley.com/documents/?uuid=b976ea70-c080-40e4-a56b-db9c9aa23635" ] } ], "mendeley" : { "formattedCitation" : "(Agrawal et al., 2016; Badens et al., 2009; Guns et al., 2011; Riekes et al., 2014; Sethia and Squillante, 2004)", "plainTextFormattedCitation" : "(Agrawal et al., 2016; Badens et al., 2009; Guns et al., 2011; Riekes et al., 2014; Sethia and Squillante, 2004)", "previouslyFormattedCitation" : "(Agrawal et al., 2016; Badens et al., 2009; Guns et al., 2011; Riekes et al., 2014; Sethia and Squillante, 2004)" }, "properties" : {  }, "schema" : "https://github.com/citation-style-language/schema/raw/master/csl-citation.json" }</w:instrText>
      </w:r>
      <w:r w:rsidR="00805FF3"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(Agrawal et al., 2016; Badens et al., 2009; Guns et al., 2011; Riekes et al., 2014; Sethia and Squillante, 2004)</w:t>
      </w:r>
      <w:r w:rsidR="00805FF3" w:rsidRPr="008C2309">
        <w:rPr>
          <w:rFonts w:ascii="Times" w:hAnsi="Times" w:cstheme="minorHAnsi"/>
          <w:color w:val="000000" w:themeColor="text1"/>
        </w:rPr>
        <w:fldChar w:fldCharType="end"/>
      </w:r>
      <w:r w:rsidR="00805FF3" w:rsidRPr="008C2309">
        <w:rPr>
          <w:rFonts w:ascii="Times" w:hAnsi="Times" w:cstheme="minorHAnsi"/>
          <w:color w:val="000000" w:themeColor="text1"/>
        </w:rPr>
        <w:t xml:space="preserve">. </w:t>
      </w:r>
      <w:r w:rsidR="009178D4" w:rsidRPr="008C2309">
        <w:rPr>
          <w:rFonts w:ascii="Times" w:hAnsi="Times" w:cstheme="minorHAnsi"/>
          <w:color w:val="000000" w:themeColor="text1"/>
        </w:rPr>
        <w:t>There is, however, a lack of discussion in the literature of the influence of different continuous manufacturing processes</w:t>
      </w:r>
      <w:r w:rsidR="00A730DF" w:rsidRPr="008C2309">
        <w:rPr>
          <w:rFonts w:ascii="Times" w:hAnsi="Times" w:cstheme="minorHAnsi"/>
          <w:color w:val="000000" w:themeColor="text1"/>
        </w:rPr>
        <w:t xml:space="preserve"> (such as SD and HME)</w:t>
      </w:r>
      <w:r w:rsidR="009178D4" w:rsidRPr="008C2309">
        <w:rPr>
          <w:rFonts w:ascii="Times" w:hAnsi="Times" w:cstheme="minorHAnsi"/>
          <w:color w:val="000000" w:themeColor="text1"/>
        </w:rPr>
        <w:t xml:space="preserve"> on the solid state and performance characteristics of systems containing more than one API (i.e. FDCs).</w:t>
      </w:r>
    </w:p>
    <w:p w14:paraId="536A71CF" w14:textId="6408F6CA" w:rsidR="00403F97" w:rsidRPr="008C2309" w:rsidRDefault="003C0AC0"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The</w:t>
      </w:r>
      <w:r w:rsidR="00344C13" w:rsidRPr="008C2309">
        <w:rPr>
          <w:rFonts w:ascii="Times" w:hAnsi="Times" w:cstheme="minorHAnsi"/>
          <w:color w:val="000000" w:themeColor="text1"/>
        </w:rPr>
        <w:t xml:space="preserve"> main</w:t>
      </w:r>
      <w:r w:rsidRPr="008C2309">
        <w:rPr>
          <w:rFonts w:ascii="Times" w:hAnsi="Times" w:cstheme="minorHAnsi"/>
          <w:color w:val="000000" w:themeColor="text1"/>
        </w:rPr>
        <w:t xml:space="preserve"> objective of the current work is to produce </w:t>
      </w:r>
      <w:r w:rsidR="00344C13" w:rsidRPr="008C2309">
        <w:rPr>
          <w:rFonts w:ascii="Times" w:hAnsi="Times" w:cstheme="minorHAnsi"/>
          <w:color w:val="000000" w:themeColor="text1"/>
        </w:rPr>
        <w:t>FDCs for the treatment of HPT using continuous manufacturing techniques and to investigate how different manufacturing techniques affect physicochemical properties. We also aim to understand how these properties can affect manufacturability,</w:t>
      </w:r>
      <w:r w:rsidR="00344C13" w:rsidRPr="008C2309">
        <w:t xml:space="preserve"> </w:t>
      </w:r>
      <w:r w:rsidR="00344C13" w:rsidRPr="008C2309">
        <w:rPr>
          <w:rFonts w:ascii="Times" w:hAnsi="Times" w:cstheme="minorHAnsi"/>
          <w:color w:val="000000" w:themeColor="text1"/>
        </w:rPr>
        <w:t>product performance and physical stability.</w:t>
      </w:r>
      <w:r w:rsidR="00404A2A" w:rsidRPr="008C2309" w:rsidDel="00404A2A">
        <w:rPr>
          <w:rFonts w:ascii="Times" w:hAnsi="Times" w:cstheme="minorHAnsi"/>
          <w:color w:val="000000" w:themeColor="text1"/>
        </w:rPr>
        <w:t xml:space="preserve"> </w:t>
      </w:r>
      <w:r w:rsidR="00403F97" w:rsidRPr="008C2309">
        <w:rPr>
          <w:rFonts w:ascii="Times" w:hAnsi="Times" w:cstheme="minorHAnsi"/>
          <w:color w:val="000000" w:themeColor="text1"/>
        </w:rPr>
        <w:br w:type="page"/>
      </w:r>
    </w:p>
    <w:p w14:paraId="082BEE28" w14:textId="51D6ADD3" w:rsidR="00A87C18" w:rsidRPr="008C2309" w:rsidRDefault="00A87C18" w:rsidP="00E41DED">
      <w:pPr>
        <w:pStyle w:val="Heading1"/>
      </w:pPr>
      <w:r w:rsidRPr="008C2309">
        <w:lastRenderedPageBreak/>
        <w:t>Materials and Methods</w:t>
      </w:r>
    </w:p>
    <w:p w14:paraId="4C962D46" w14:textId="69014878" w:rsidR="00685BFA" w:rsidRPr="008C2309" w:rsidRDefault="0036535B" w:rsidP="00E41DED">
      <w:pPr>
        <w:spacing w:line="480" w:lineRule="auto"/>
        <w:jc w:val="both"/>
        <w:rPr>
          <w:rFonts w:ascii="Times" w:hAnsi="Times" w:cstheme="minorHAnsi"/>
          <w:i/>
          <w:color w:val="000000" w:themeColor="text1"/>
        </w:rPr>
      </w:pPr>
      <w:r w:rsidRPr="008C2309">
        <w:rPr>
          <w:rFonts w:ascii="Times" w:hAnsi="Times" w:cstheme="minorHAnsi"/>
          <w:i/>
          <w:color w:val="000000" w:themeColor="text1"/>
        </w:rPr>
        <w:t xml:space="preserve">2.1. </w:t>
      </w:r>
      <w:r w:rsidR="00685BFA" w:rsidRPr="008C2309">
        <w:rPr>
          <w:rFonts w:ascii="Times" w:hAnsi="Times" w:cstheme="minorHAnsi"/>
          <w:i/>
          <w:color w:val="000000" w:themeColor="text1"/>
        </w:rPr>
        <w:t>Materials</w:t>
      </w:r>
    </w:p>
    <w:p w14:paraId="7CD36DC0" w14:textId="1083D07E" w:rsidR="00355F15" w:rsidRPr="008C2309" w:rsidRDefault="00C963DE"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Ramipril</w:t>
      </w:r>
      <w:r w:rsidR="00F17BAF" w:rsidRPr="008C2309">
        <w:rPr>
          <w:rFonts w:ascii="Times" w:hAnsi="Times" w:cstheme="minorHAnsi"/>
          <w:color w:val="000000" w:themeColor="text1"/>
        </w:rPr>
        <w:t xml:space="preserve"> (</w:t>
      </w:r>
      <w:r w:rsidR="00CB754D" w:rsidRPr="008C2309">
        <w:rPr>
          <w:rFonts w:ascii="Times" w:hAnsi="Times" w:cstheme="minorHAnsi"/>
          <w:color w:val="000000" w:themeColor="text1"/>
        </w:rPr>
        <w:t>RAM</w:t>
      </w:r>
      <w:r w:rsidR="003755E4" w:rsidRPr="008C2309">
        <w:rPr>
          <w:rFonts w:ascii="Times" w:hAnsi="Times" w:cstheme="minorHAnsi"/>
          <w:color w:val="000000" w:themeColor="text1"/>
        </w:rPr>
        <w:t>) (</w:t>
      </w:r>
      <w:r w:rsidR="00F17BAF" w:rsidRPr="008C2309">
        <w:rPr>
          <w:rFonts w:ascii="Times" w:hAnsi="Times" w:cstheme="minorHAnsi"/>
          <w:color w:val="000000" w:themeColor="text1"/>
        </w:rPr>
        <w:t xml:space="preserve">Kemprotec, Carnforth, England) and </w:t>
      </w:r>
      <w:r w:rsidRPr="008C2309">
        <w:rPr>
          <w:rFonts w:ascii="Times" w:hAnsi="Times" w:cstheme="minorHAnsi"/>
          <w:color w:val="000000" w:themeColor="text1"/>
        </w:rPr>
        <w:t>hydrochlorothiazide</w:t>
      </w:r>
      <w:r w:rsidR="00F17BAF" w:rsidRPr="008C2309">
        <w:rPr>
          <w:rFonts w:ascii="Times" w:hAnsi="Times" w:cstheme="minorHAnsi"/>
          <w:color w:val="000000" w:themeColor="text1"/>
        </w:rPr>
        <w:t xml:space="preserve"> (</w:t>
      </w:r>
      <w:r w:rsidR="0076228E" w:rsidRPr="008C2309">
        <w:rPr>
          <w:rFonts w:ascii="Times" w:hAnsi="Times" w:cstheme="minorHAnsi"/>
          <w:color w:val="000000" w:themeColor="text1"/>
        </w:rPr>
        <w:t>HCTZ</w:t>
      </w:r>
      <w:r w:rsidR="003755E4" w:rsidRPr="008C2309">
        <w:rPr>
          <w:rFonts w:ascii="Times" w:hAnsi="Times" w:cstheme="minorHAnsi"/>
          <w:color w:val="000000" w:themeColor="text1"/>
        </w:rPr>
        <w:t>)</w:t>
      </w:r>
      <w:r w:rsidR="0076228E" w:rsidRPr="008C2309">
        <w:rPr>
          <w:rFonts w:ascii="Times" w:hAnsi="Times" w:cstheme="minorHAnsi"/>
          <w:color w:val="000000" w:themeColor="text1"/>
        </w:rPr>
        <w:t xml:space="preserve"> </w:t>
      </w:r>
      <w:r w:rsidR="003755E4" w:rsidRPr="008C2309">
        <w:rPr>
          <w:rFonts w:ascii="Times" w:hAnsi="Times" w:cstheme="minorHAnsi"/>
          <w:color w:val="000000" w:themeColor="text1"/>
        </w:rPr>
        <w:t>(</w:t>
      </w:r>
      <w:r w:rsidR="00F17BAF" w:rsidRPr="008C2309">
        <w:rPr>
          <w:rFonts w:ascii="Times" w:hAnsi="Times" w:cstheme="minorHAnsi"/>
          <w:color w:val="000000" w:themeColor="text1"/>
        </w:rPr>
        <w:t xml:space="preserve">Alfa Aesar, Heysham, England) were used as </w:t>
      </w:r>
      <w:r w:rsidR="000E035A" w:rsidRPr="008C2309">
        <w:rPr>
          <w:rFonts w:ascii="Times" w:hAnsi="Times" w:cstheme="minorHAnsi"/>
          <w:color w:val="000000" w:themeColor="text1"/>
        </w:rPr>
        <w:t>active pharmaceutical ingredients</w:t>
      </w:r>
      <w:r w:rsidR="00F17BAF" w:rsidRPr="008C2309">
        <w:rPr>
          <w:rFonts w:ascii="Times" w:hAnsi="Times" w:cstheme="minorHAnsi"/>
          <w:color w:val="000000" w:themeColor="text1"/>
        </w:rPr>
        <w:t xml:space="preserve"> throughout this study. </w:t>
      </w:r>
      <w:r w:rsidR="00765DEC" w:rsidRPr="008C2309">
        <w:rPr>
          <w:rFonts w:ascii="Times" w:hAnsi="Times" w:cstheme="minorHAnsi"/>
          <w:color w:val="000000" w:themeColor="text1"/>
        </w:rPr>
        <w:t>Vinylpyrrolidone-vinyl acetate co-polymer (</w:t>
      </w:r>
      <w:r w:rsidR="00F17BAF" w:rsidRPr="008C2309">
        <w:rPr>
          <w:rFonts w:ascii="Times" w:hAnsi="Times" w:cstheme="minorHAnsi"/>
          <w:color w:val="000000" w:themeColor="text1"/>
        </w:rPr>
        <w:t>Kollidon</w:t>
      </w:r>
      <w:bookmarkStart w:id="1" w:name="_Hlk500495745"/>
      <w:r w:rsidR="00F17BAF" w:rsidRPr="008C2309">
        <w:rPr>
          <w:rFonts w:ascii="Times" w:hAnsi="Times" w:cstheme="minorHAnsi"/>
          <w:color w:val="000000" w:themeColor="text1"/>
          <w:vertAlign w:val="superscript"/>
        </w:rPr>
        <w:t>®</w:t>
      </w:r>
      <w:bookmarkEnd w:id="1"/>
      <w:r w:rsidR="00F17BAF" w:rsidRPr="008C2309">
        <w:rPr>
          <w:rFonts w:ascii="Times" w:hAnsi="Times" w:cstheme="minorHAnsi"/>
          <w:color w:val="000000" w:themeColor="text1"/>
        </w:rPr>
        <w:t xml:space="preserve"> VA 64</w:t>
      </w:r>
      <w:r w:rsidR="00765DEC" w:rsidRPr="008C2309">
        <w:rPr>
          <w:rFonts w:ascii="Times" w:hAnsi="Times" w:cstheme="minorHAnsi"/>
          <w:color w:val="000000" w:themeColor="text1"/>
        </w:rPr>
        <w:t xml:space="preserve">, </w:t>
      </w:r>
      <w:r w:rsidR="00AD578C" w:rsidRPr="008C2309">
        <w:rPr>
          <w:rFonts w:ascii="Times" w:hAnsi="Times" w:cstheme="minorHAnsi"/>
          <w:color w:val="000000" w:themeColor="text1"/>
        </w:rPr>
        <w:t xml:space="preserve">BASF, Ludwigshafen, </w:t>
      </w:r>
      <w:r w:rsidR="00AA37AE" w:rsidRPr="008C2309">
        <w:rPr>
          <w:rFonts w:ascii="Times" w:hAnsi="Times" w:cstheme="minorHAnsi"/>
          <w:color w:val="000000" w:themeColor="text1"/>
        </w:rPr>
        <w:t>Germany) and</w:t>
      </w:r>
      <w:r w:rsidR="00F467B9" w:rsidRPr="008C2309">
        <w:rPr>
          <w:rFonts w:ascii="Times" w:hAnsi="Times" w:cstheme="minorHAnsi"/>
          <w:color w:val="000000" w:themeColor="text1"/>
        </w:rPr>
        <w:t xml:space="preserve"> polyvinylcaprolactam – polyvinyl acetate – polyethylene glycol graft copolymer (</w:t>
      </w:r>
      <w:r w:rsidR="00A40117" w:rsidRPr="008C2309">
        <w:rPr>
          <w:rFonts w:ascii="Times" w:hAnsi="Times" w:cstheme="minorHAnsi"/>
          <w:color w:val="000000" w:themeColor="text1"/>
        </w:rPr>
        <w:t>Soluplus</w:t>
      </w:r>
      <w:r w:rsidR="00F17BAF" w:rsidRPr="008C2309">
        <w:rPr>
          <w:rFonts w:ascii="Times" w:hAnsi="Times" w:cstheme="minorHAnsi"/>
          <w:color w:val="000000" w:themeColor="text1"/>
          <w:vertAlign w:val="superscript"/>
        </w:rPr>
        <w:t>®</w:t>
      </w:r>
      <w:r w:rsidR="00F467B9" w:rsidRPr="008C2309">
        <w:rPr>
          <w:rFonts w:ascii="Times" w:hAnsi="Times" w:cstheme="minorHAnsi"/>
          <w:color w:val="000000" w:themeColor="text1"/>
        </w:rPr>
        <w:t>,</w:t>
      </w:r>
      <w:r w:rsidR="00D07D6F" w:rsidRPr="008C2309">
        <w:rPr>
          <w:rFonts w:ascii="Times" w:hAnsi="Times" w:cstheme="minorHAnsi"/>
          <w:color w:val="000000" w:themeColor="text1"/>
        </w:rPr>
        <w:t xml:space="preserve"> </w:t>
      </w:r>
      <w:r w:rsidR="00F17BAF" w:rsidRPr="008C2309">
        <w:rPr>
          <w:rFonts w:ascii="Times" w:hAnsi="Times" w:cstheme="minorHAnsi"/>
          <w:color w:val="000000" w:themeColor="text1"/>
        </w:rPr>
        <w:t>ASF, Ludwigshafen, Germany) were studied as immediate-release polymers</w:t>
      </w:r>
      <w:r w:rsidR="009955C7" w:rsidRPr="008C2309">
        <w:rPr>
          <w:rFonts w:ascii="Times" w:hAnsi="Times" w:cstheme="minorHAnsi"/>
          <w:color w:val="000000" w:themeColor="text1"/>
        </w:rPr>
        <w:t xml:space="preserve"> throughout this investigation</w:t>
      </w:r>
      <w:r w:rsidR="00AD578C" w:rsidRPr="008C2309">
        <w:rPr>
          <w:rFonts w:ascii="Times" w:hAnsi="Times" w:cstheme="minorHAnsi"/>
          <w:color w:val="000000" w:themeColor="text1"/>
        </w:rPr>
        <w:t>.</w:t>
      </w:r>
      <w:r w:rsidR="00F17BAF" w:rsidRPr="008C2309">
        <w:rPr>
          <w:rFonts w:ascii="Times" w:hAnsi="Times" w:cstheme="minorHAnsi"/>
          <w:color w:val="000000" w:themeColor="text1"/>
        </w:rPr>
        <w:t xml:space="preserve"> </w:t>
      </w:r>
      <w:r w:rsidR="00AD578C" w:rsidRPr="008C2309">
        <w:rPr>
          <w:rFonts w:ascii="Times" w:hAnsi="Times" w:cstheme="minorHAnsi"/>
          <w:color w:val="000000" w:themeColor="text1"/>
        </w:rPr>
        <w:t>I</w:t>
      </w:r>
      <w:r w:rsidR="00F17BAF" w:rsidRPr="008C2309">
        <w:rPr>
          <w:rFonts w:ascii="Times" w:hAnsi="Times" w:cstheme="minorHAnsi"/>
          <w:color w:val="000000" w:themeColor="text1"/>
        </w:rPr>
        <w:t>n addition</w:t>
      </w:r>
      <w:r w:rsidR="00A973EE" w:rsidRPr="008C2309">
        <w:rPr>
          <w:rFonts w:ascii="Times" w:hAnsi="Times" w:cstheme="minorHAnsi"/>
          <w:color w:val="000000" w:themeColor="text1"/>
        </w:rPr>
        <w:t>,</w:t>
      </w:r>
      <w:r w:rsidR="00F17BAF" w:rsidRPr="008C2309">
        <w:rPr>
          <w:rFonts w:ascii="Times" w:hAnsi="Times" w:cstheme="minorHAnsi"/>
          <w:color w:val="000000" w:themeColor="text1"/>
        </w:rPr>
        <w:t xml:space="preserve"> polyethylene glycol (PEG 3350 g/mol., Fagron, Waregem, Belgium) was used as a plasticizer.</w:t>
      </w:r>
      <w:r w:rsidR="006F3F05" w:rsidRPr="008C2309">
        <w:t xml:space="preserve"> </w:t>
      </w:r>
      <w:r w:rsidR="006F3F05" w:rsidRPr="008C2309">
        <w:rPr>
          <w:rFonts w:ascii="Times" w:hAnsi="Times" w:cstheme="minorHAnsi"/>
          <w:color w:val="000000" w:themeColor="text1"/>
        </w:rPr>
        <w:t xml:space="preserve">Solvents used for dissolving the compounds for the spray drying process were ethanol 99.5% (v/v) </w:t>
      </w:r>
      <w:r w:rsidR="000D4F7A" w:rsidRPr="008C2309">
        <w:rPr>
          <w:rFonts w:ascii="Times" w:hAnsi="Times" w:cstheme="minorHAnsi"/>
          <w:color w:val="000000" w:themeColor="text1"/>
        </w:rPr>
        <w:t>(</w:t>
      </w:r>
      <w:r w:rsidR="006F3F05" w:rsidRPr="008C2309">
        <w:rPr>
          <w:rFonts w:ascii="Times" w:hAnsi="Times" w:cstheme="minorHAnsi"/>
          <w:color w:val="000000" w:themeColor="text1"/>
        </w:rPr>
        <w:t>Co</w:t>
      </w:r>
      <w:r w:rsidR="000D4F7A" w:rsidRPr="008C2309">
        <w:rPr>
          <w:rFonts w:ascii="Times" w:hAnsi="Times" w:cstheme="minorHAnsi"/>
          <w:color w:val="000000" w:themeColor="text1"/>
        </w:rPr>
        <w:t>rcoran Chemicals Ltd.,</w:t>
      </w:r>
      <w:r w:rsidR="006F3F05" w:rsidRPr="008C2309">
        <w:rPr>
          <w:rFonts w:ascii="Times" w:hAnsi="Times" w:cstheme="minorHAnsi"/>
          <w:color w:val="000000" w:themeColor="text1"/>
        </w:rPr>
        <w:t xml:space="preserve"> </w:t>
      </w:r>
      <w:r w:rsidR="000D4F7A" w:rsidRPr="008C2309">
        <w:rPr>
          <w:rFonts w:ascii="Times" w:hAnsi="Times" w:cstheme="minorHAnsi"/>
          <w:color w:val="000000" w:themeColor="text1"/>
        </w:rPr>
        <w:t xml:space="preserve">Dublin, </w:t>
      </w:r>
      <w:r w:rsidR="006F3F05" w:rsidRPr="008C2309">
        <w:rPr>
          <w:rFonts w:ascii="Times" w:hAnsi="Times" w:cstheme="minorHAnsi"/>
          <w:color w:val="000000" w:themeColor="text1"/>
        </w:rPr>
        <w:t>Ireland) and deionised water, which was obtained using</w:t>
      </w:r>
      <w:r w:rsidR="00B10F83" w:rsidRPr="008C2309">
        <w:rPr>
          <w:rFonts w:ascii="Times" w:hAnsi="Times" w:cstheme="minorHAnsi"/>
          <w:color w:val="000000" w:themeColor="text1"/>
        </w:rPr>
        <w:t xml:space="preserve"> an Elix 3 connected to a Synergy UV system (Millipore, UK).</w:t>
      </w:r>
      <w:r w:rsidR="00F17BAF" w:rsidRPr="008C2309">
        <w:rPr>
          <w:rFonts w:ascii="Times" w:hAnsi="Times" w:cstheme="minorHAnsi"/>
          <w:color w:val="000000" w:themeColor="text1"/>
        </w:rPr>
        <w:t xml:space="preserve"> All other chemicals were </w:t>
      </w:r>
      <w:r w:rsidR="00001CC6" w:rsidRPr="008C2309">
        <w:rPr>
          <w:rFonts w:ascii="Times" w:hAnsi="Times" w:cstheme="minorHAnsi"/>
          <w:color w:val="000000" w:themeColor="text1"/>
        </w:rPr>
        <w:t xml:space="preserve">obtained from Sigma-Aldrich </w:t>
      </w:r>
      <w:r w:rsidR="00D408E4" w:rsidRPr="008C2309">
        <w:rPr>
          <w:rFonts w:ascii="Times" w:hAnsi="Times" w:cstheme="minorHAnsi"/>
          <w:color w:val="000000" w:themeColor="text1"/>
        </w:rPr>
        <w:t>(Dorset, UK) and</w:t>
      </w:r>
      <w:r w:rsidR="0007672E" w:rsidRPr="008C2309">
        <w:rPr>
          <w:rFonts w:ascii="Times" w:hAnsi="Times" w:cstheme="minorHAnsi"/>
          <w:color w:val="000000" w:themeColor="text1"/>
        </w:rPr>
        <w:t xml:space="preserve"> were</w:t>
      </w:r>
      <w:r w:rsidR="00D408E4" w:rsidRPr="008C2309">
        <w:rPr>
          <w:rFonts w:ascii="Times" w:hAnsi="Times" w:cstheme="minorHAnsi"/>
          <w:color w:val="000000" w:themeColor="text1"/>
        </w:rPr>
        <w:t xml:space="preserve"> </w:t>
      </w:r>
      <w:r w:rsidR="00F17BAF" w:rsidRPr="008C2309">
        <w:rPr>
          <w:rFonts w:ascii="Times" w:hAnsi="Times" w:cstheme="minorHAnsi"/>
          <w:color w:val="000000" w:themeColor="text1"/>
        </w:rPr>
        <w:t>of analytical grade</w:t>
      </w:r>
      <w:r w:rsidR="00D408E4" w:rsidRPr="008C2309">
        <w:rPr>
          <w:rFonts w:ascii="Times" w:hAnsi="Times" w:cstheme="minorHAnsi"/>
          <w:color w:val="000000" w:themeColor="text1"/>
        </w:rPr>
        <w:t xml:space="preserve"> </w:t>
      </w:r>
      <w:r w:rsidR="0051444E" w:rsidRPr="008C2309">
        <w:rPr>
          <w:rFonts w:ascii="Times" w:hAnsi="Times" w:cstheme="minorHAnsi"/>
          <w:color w:val="000000" w:themeColor="text1"/>
        </w:rPr>
        <w:t xml:space="preserve">or equivalent </w:t>
      </w:r>
      <w:r w:rsidR="00D408E4" w:rsidRPr="008C2309">
        <w:rPr>
          <w:rFonts w:ascii="Times" w:hAnsi="Times" w:cstheme="minorHAnsi"/>
          <w:color w:val="000000" w:themeColor="text1"/>
        </w:rPr>
        <w:t>and were used without any further treatment</w:t>
      </w:r>
      <w:r w:rsidR="00F17BAF" w:rsidRPr="008C2309">
        <w:rPr>
          <w:rFonts w:ascii="Times" w:hAnsi="Times" w:cstheme="minorHAnsi"/>
          <w:color w:val="000000" w:themeColor="text1"/>
        </w:rPr>
        <w:t>.</w:t>
      </w:r>
    </w:p>
    <w:p w14:paraId="00E4F63F" w14:textId="77777777" w:rsidR="00D1090B" w:rsidRPr="008C2309" w:rsidRDefault="00D1090B" w:rsidP="00E41DED">
      <w:pPr>
        <w:spacing w:line="480" w:lineRule="auto"/>
        <w:jc w:val="both"/>
        <w:rPr>
          <w:rFonts w:ascii="Times" w:hAnsi="Times" w:cstheme="minorHAnsi"/>
          <w:color w:val="000000" w:themeColor="text1"/>
        </w:rPr>
      </w:pPr>
    </w:p>
    <w:p w14:paraId="28775112" w14:textId="3D46DF48" w:rsidR="00071909" w:rsidRPr="008C2309" w:rsidRDefault="0076228E" w:rsidP="00E41DED">
      <w:pPr>
        <w:pStyle w:val="ListParagraph"/>
        <w:numPr>
          <w:ilvl w:val="1"/>
          <w:numId w:val="28"/>
        </w:numPr>
        <w:rPr>
          <w:rFonts w:ascii="Times" w:hAnsi="Times" w:cstheme="minorHAnsi"/>
          <w:i/>
          <w:color w:val="000000" w:themeColor="text1"/>
        </w:rPr>
      </w:pPr>
      <w:r w:rsidRPr="008C2309">
        <w:rPr>
          <w:rFonts w:ascii="Times" w:hAnsi="Times" w:cstheme="minorHAnsi"/>
          <w:i/>
          <w:color w:val="000000" w:themeColor="text1"/>
        </w:rPr>
        <w:t>Methods</w:t>
      </w:r>
    </w:p>
    <w:p w14:paraId="51A7001E" w14:textId="4013FD0E" w:rsidR="0036535B" w:rsidRPr="008C2309" w:rsidRDefault="0036535B" w:rsidP="00E41DED">
      <w:pPr>
        <w:spacing w:line="480" w:lineRule="auto"/>
        <w:rPr>
          <w:rFonts w:ascii="Times" w:hAnsi="Times" w:cstheme="minorHAnsi"/>
          <w:i/>
          <w:color w:val="000000" w:themeColor="text1"/>
        </w:rPr>
      </w:pPr>
    </w:p>
    <w:p w14:paraId="551F8A92" w14:textId="482015AD" w:rsidR="00E952F2" w:rsidRPr="008C2309" w:rsidRDefault="0036535B" w:rsidP="00E41DED">
      <w:pPr>
        <w:spacing w:line="480" w:lineRule="auto"/>
        <w:jc w:val="both"/>
        <w:rPr>
          <w:rFonts w:ascii="Times" w:hAnsi="Times" w:cstheme="minorHAnsi"/>
          <w:i/>
          <w:color w:val="000000" w:themeColor="text1"/>
        </w:rPr>
      </w:pPr>
      <w:r w:rsidRPr="008C2309">
        <w:rPr>
          <w:rFonts w:ascii="Times" w:hAnsi="Times" w:cstheme="minorHAnsi"/>
          <w:i/>
          <w:color w:val="000000" w:themeColor="text1"/>
        </w:rPr>
        <w:t xml:space="preserve">2.2.1 </w:t>
      </w:r>
      <w:r w:rsidR="00D408E4" w:rsidRPr="008C2309">
        <w:rPr>
          <w:rFonts w:ascii="Times" w:hAnsi="Times" w:cstheme="minorHAnsi"/>
          <w:i/>
          <w:color w:val="000000" w:themeColor="text1"/>
        </w:rPr>
        <w:t xml:space="preserve">Manufacture </w:t>
      </w:r>
      <w:r w:rsidR="0093241C" w:rsidRPr="008C2309">
        <w:rPr>
          <w:rFonts w:ascii="Times" w:hAnsi="Times" w:cstheme="minorHAnsi"/>
          <w:i/>
          <w:color w:val="000000" w:themeColor="text1"/>
        </w:rPr>
        <w:t xml:space="preserve">of </w:t>
      </w:r>
      <w:r w:rsidR="00064C34" w:rsidRPr="008C2309">
        <w:rPr>
          <w:rFonts w:ascii="Times" w:hAnsi="Times" w:cstheme="minorHAnsi"/>
          <w:i/>
          <w:color w:val="000000" w:themeColor="text1"/>
        </w:rPr>
        <w:t>Extrudates</w:t>
      </w:r>
    </w:p>
    <w:p w14:paraId="65A4313A" w14:textId="37B501E2" w:rsidR="00D408E4" w:rsidRPr="008C2309" w:rsidRDefault="00064C34"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Polymer/ plasticizer and drug</w:t>
      </w:r>
      <w:r w:rsidR="00D408E4" w:rsidRPr="008C2309">
        <w:rPr>
          <w:rFonts w:ascii="Times" w:hAnsi="Times" w:cstheme="minorHAnsi"/>
          <w:color w:val="000000" w:themeColor="text1"/>
        </w:rPr>
        <w:t>s</w:t>
      </w:r>
      <w:r w:rsidRPr="008C2309">
        <w:rPr>
          <w:rFonts w:ascii="Times" w:hAnsi="Times" w:cstheme="minorHAnsi"/>
          <w:color w:val="000000" w:themeColor="text1"/>
        </w:rPr>
        <w:t xml:space="preserve"> were premixed usin</w:t>
      </w:r>
      <w:r w:rsidR="006026DA" w:rsidRPr="008C2309">
        <w:rPr>
          <w:rFonts w:ascii="Times" w:hAnsi="Times" w:cstheme="minorHAnsi"/>
          <w:color w:val="000000" w:themeColor="text1"/>
        </w:rPr>
        <w:t>g a mortar and pestle for 5 minutes</w:t>
      </w:r>
      <w:r w:rsidRPr="008C2309">
        <w:rPr>
          <w:rFonts w:ascii="Times" w:hAnsi="Times" w:cstheme="minorHAnsi"/>
          <w:color w:val="000000" w:themeColor="text1"/>
        </w:rPr>
        <w:t xml:space="preserve">. </w:t>
      </w:r>
      <w:r w:rsidR="003B7F72" w:rsidRPr="008C2309">
        <w:rPr>
          <w:rFonts w:ascii="Times" w:hAnsi="Times" w:cstheme="minorHAnsi"/>
          <w:color w:val="000000" w:themeColor="text1"/>
        </w:rPr>
        <w:t xml:space="preserve">HME </w:t>
      </w:r>
      <w:r w:rsidRPr="008C2309">
        <w:rPr>
          <w:rFonts w:ascii="Times" w:hAnsi="Times" w:cstheme="minorHAnsi"/>
          <w:color w:val="000000" w:themeColor="text1"/>
        </w:rPr>
        <w:t xml:space="preserve">was performed using a co-rotating, fully intermeshing twin-screw extruder (Microlab, Rondol Technology Ltd, France). The extruder die (Rondol Technology Ltd, France) was 2 mm in diameter, and was connected to </w:t>
      </w:r>
      <w:r w:rsidR="005E5D80" w:rsidRPr="008C2309">
        <w:rPr>
          <w:rFonts w:ascii="Times" w:hAnsi="Times" w:cstheme="minorHAnsi"/>
          <w:color w:val="000000" w:themeColor="text1"/>
        </w:rPr>
        <w:t xml:space="preserve">the </w:t>
      </w:r>
      <w:r w:rsidRPr="008C2309">
        <w:rPr>
          <w:rFonts w:ascii="Times" w:hAnsi="Times" w:cstheme="minorHAnsi"/>
          <w:color w:val="000000" w:themeColor="text1"/>
        </w:rPr>
        <w:t>end of the barrel. All heating zones were</w:t>
      </w:r>
      <w:r w:rsidR="0018671F" w:rsidRPr="008C2309">
        <w:rPr>
          <w:rFonts w:ascii="Times" w:hAnsi="Times" w:cstheme="minorHAnsi"/>
          <w:color w:val="000000" w:themeColor="text1"/>
        </w:rPr>
        <w:t xml:space="preserve"> varied </w:t>
      </w:r>
      <w:r w:rsidR="00C35D46" w:rsidRPr="008C2309">
        <w:rPr>
          <w:rFonts w:ascii="Times" w:hAnsi="Times" w:cstheme="minorHAnsi"/>
          <w:color w:val="000000" w:themeColor="text1"/>
        </w:rPr>
        <w:t>depending on the</w:t>
      </w:r>
      <w:r w:rsidR="0018671F" w:rsidRPr="008C2309">
        <w:rPr>
          <w:rFonts w:ascii="Times" w:hAnsi="Times" w:cstheme="minorHAnsi"/>
          <w:color w:val="000000" w:themeColor="text1"/>
        </w:rPr>
        <w:t xml:space="preserve"> f</w:t>
      </w:r>
      <w:r w:rsidR="00F73258" w:rsidRPr="008C2309">
        <w:rPr>
          <w:rFonts w:ascii="Times" w:hAnsi="Times" w:cstheme="minorHAnsi"/>
          <w:color w:val="000000" w:themeColor="text1"/>
        </w:rPr>
        <w:t>ormulation</w:t>
      </w:r>
      <w:r w:rsidR="00C243B2" w:rsidRPr="008C2309">
        <w:rPr>
          <w:rFonts w:ascii="Times" w:hAnsi="Times" w:cstheme="minorHAnsi"/>
          <w:color w:val="000000" w:themeColor="text1"/>
        </w:rPr>
        <w:t xml:space="preserve"> </w:t>
      </w:r>
      <w:r w:rsidR="005E6688" w:rsidRPr="008C2309">
        <w:rPr>
          <w:rFonts w:ascii="Times" w:hAnsi="Times" w:cstheme="minorHAnsi"/>
          <w:color w:val="000000" w:themeColor="text1"/>
        </w:rPr>
        <w:t>(</w:t>
      </w:r>
      <w:r w:rsidR="005B03D2" w:rsidRPr="008C2309">
        <w:rPr>
          <w:rFonts w:ascii="Times" w:hAnsi="Times" w:cstheme="minorHAnsi"/>
          <w:color w:val="000000" w:themeColor="text1"/>
        </w:rPr>
        <w:t>Table 3</w:t>
      </w:r>
      <w:r w:rsidR="00C243B2" w:rsidRPr="008C2309">
        <w:rPr>
          <w:rFonts w:ascii="Times" w:hAnsi="Times" w:cstheme="minorHAnsi"/>
          <w:color w:val="000000" w:themeColor="text1"/>
        </w:rPr>
        <w:t>)</w:t>
      </w:r>
      <w:r w:rsidR="0057591D" w:rsidRPr="008C2309">
        <w:rPr>
          <w:rFonts w:ascii="Times" w:hAnsi="Times" w:cstheme="minorHAnsi"/>
          <w:color w:val="000000" w:themeColor="text1"/>
        </w:rPr>
        <w:t>.</w:t>
      </w:r>
    </w:p>
    <w:p w14:paraId="046DF8A2" w14:textId="427C8734" w:rsidR="00071909" w:rsidRPr="008C2309" w:rsidRDefault="001D2916"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The premixes were fed</w:t>
      </w:r>
      <w:r w:rsidR="0027705C" w:rsidRPr="008C2309">
        <w:rPr>
          <w:rFonts w:ascii="Times" w:hAnsi="Times" w:cstheme="minorHAnsi"/>
          <w:color w:val="000000" w:themeColor="text1"/>
        </w:rPr>
        <w:t xml:space="preserve"> </w:t>
      </w:r>
      <w:r w:rsidRPr="008C2309">
        <w:rPr>
          <w:rFonts w:ascii="Times" w:hAnsi="Times" w:cstheme="minorHAnsi"/>
          <w:color w:val="000000" w:themeColor="text1"/>
        </w:rPr>
        <w:t>into the extruder using a twin-screw powder feeder (Rondol Te</w:t>
      </w:r>
      <w:r w:rsidR="00186A40" w:rsidRPr="008C2309">
        <w:rPr>
          <w:rFonts w:ascii="Times" w:hAnsi="Times" w:cstheme="minorHAnsi"/>
          <w:color w:val="000000" w:themeColor="text1"/>
        </w:rPr>
        <w:t>chnology Ltd, France)</w:t>
      </w:r>
      <w:r w:rsidR="00D408E4" w:rsidRPr="008C2309">
        <w:rPr>
          <w:rFonts w:ascii="Times" w:hAnsi="Times" w:cstheme="minorHAnsi"/>
          <w:color w:val="000000" w:themeColor="text1"/>
        </w:rPr>
        <w:t xml:space="preserve">. </w:t>
      </w:r>
      <w:r w:rsidRPr="008C2309">
        <w:rPr>
          <w:rFonts w:ascii="Times" w:hAnsi="Times" w:cstheme="minorHAnsi"/>
          <w:color w:val="000000" w:themeColor="text1"/>
        </w:rPr>
        <w:t>After c</w:t>
      </w:r>
      <w:r w:rsidR="00A80BCF" w:rsidRPr="008C2309">
        <w:rPr>
          <w:rFonts w:ascii="Times" w:hAnsi="Times" w:cstheme="minorHAnsi"/>
          <w:color w:val="000000" w:themeColor="text1"/>
        </w:rPr>
        <w:t>ooling, the cylindrical</w:t>
      </w:r>
      <w:r w:rsidRPr="008C2309">
        <w:rPr>
          <w:rFonts w:ascii="Times" w:hAnsi="Times" w:cstheme="minorHAnsi"/>
          <w:color w:val="000000" w:themeColor="text1"/>
        </w:rPr>
        <w:t xml:space="preserve"> extrudate</w:t>
      </w:r>
      <w:r w:rsidR="00D8513F" w:rsidRPr="008C2309">
        <w:rPr>
          <w:rFonts w:ascii="Times" w:hAnsi="Times" w:cstheme="minorHAnsi"/>
          <w:color w:val="000000" w:themeColor="text1"/>
        </w:rPr>
        <w:t>s</w:t>
      </w:r>
      <w:r w:rsidRPr="008C2309">
        <w:rPr>
          <w:rFonts w:ascii="Times" w:hAnsi="Times" w:cstheme="minorHAnsi"/>
          <w:color w:val="000000" w:themeColor="text1"/>
        </w:rPr>
        <w:t xml:space="preserve"> w</w:t>
      </w:r>
      <w:r w:rsidR="00D8513F" w:rsidRPr="008C2309">
        <w:rPr>
          <w:rFonts w:ascii="Times" w:hAnsi="Times" w:cstheme="minorHAnsi"/>
          <w:color w:val="000000" w:themeColor="text1"/>
        </w:rPr>
        <w:t>ere</w:t>
      </w:r>
      <w:r w:rsidRPr="008C2309">
        <w:rPr>
          <w:rFonts w:ascii="Times" w:hAnsi="Times" w:cstheme="minorHAnsi"/>
          <w:color w:val="000000" w:themeColor="text1"/>
        </w:rPr>
        <w:t xml:space="preserve"> manually cut using a sterile scalpel into</w:t>
      </w:r>
      <w:r w:rsidR="00D408E4" w:rsidRPr="008C2309">
        <w:rPr>
          <w:rFonts w:ascii="Times" w:hAnsi="Times" w:cstheme="minorHAnsi"/>
          <w:color w:val="000000" w:themeColor="text1"/>
        </w:rPr>
        <w:t xml:space="preserve"> pellets</w:t>
      </w:r>
      <w:r w:rsidR="001C2D5C" w:rsidRPr="008C2309">
        <w:rPr>
          <w:rFonts w:ascii="Times" w:hAnsi="Times" w:cstheme="minorHAnsi"/>
          <w:color w:val="000000" w:themeColor="text1"/>
        </w:rPr>
        <w:t xml:space="preserve"> so that they could fit into the grinding jar for milling.</w:t>
      </w:r>
      <w:r w:rsidR="007B268C" w:rsidRPr="008C2309">
        <w:rPr>
          <w:rFonts w:ascii="Times" w:hAnsi="Times" w:cstheme="minorHAnsi"/>
          <w:color w:val="000000" w:themeColor="text1"/>
        </w:rPr>
        <w:t xml:space="preserve"> HME samples </w:t>
      </w:r>
      <w:r w:rsidR="007B268C" w:rsidRPr="008C2309">
        <w:rPr>
          <w:rFonts w:ascii="Times" w:hAnsi="Times" w:cstheme="minorHAnsi"/>
          <w:color w:val="000000" w:themeColor="text1"/>
        </w:rPr>
        <w:lastRenderedPageBreak/>
        <w:t>were pulverised using a cryogenic ball-mill (Retsch Cryomill, Haan, Germany) for 3 cycles consisting of 5 minutes of grinding</w:t>
      </w:r>
      <w:r w:rsidR="001C2D5C" w:rsidRPr="008C2309">
        <w:rPr>
          <w:rFonts w:ascii="Times" w:hAnsi="Times" w:cstheme="minorHAnsi"/>
          <w:color w:val="000000" w:themeColor="text1"/>
        </w:rPr>
        <w:t xml:space="preserve"> </w:t>
      </w:r>
      <w:r w:rsidR="001C2D5C" w:rsidRPr="008C2309">
        <w:t>(30 Hz)</w:t>
      </w:r>
      <w:r w:rsidR="007B268C" w:rsidRPr="008C2309">
        <w:rPr>
          <w:rFonts w:ascii="Times" w:hAnsi="Times" w:cstheme="minorHAnsi"/>
          <w:color w:val="000000" w:themeColor="text1"/>
        </w:rPr>
        <w:t xml:space="preserve"> followed by a 2-minute break before being </w:t>
      </w:r>
      <w:r w:rsidR="00BB191A" w:rsidRPr="008C2309">
        <w:rPr>
          <w:rFonts w:ascii="Times" w:hAnsi="Times" w:cstheme="minorHAnsi"/>
          <w:color w:val="000000" w:themeColor="text1"/>
        </w:rPr>
        <w:t>physicochemically</w:t>
      </w:r>
      <w:r w:rsidR="007B268C" w:rsidRPr="008C2309">
        <w:rPr>
          <w:rFonts w:ascii="Times" w:hAnsi="Times" w:cstheme="minorHAnsi"/>
          <w:color w:val="000000" w:themeColor="text1"/>
        </w:rPr>
        <w:t xml:space="preserve"> analysed.</w:t>
      </w:r>
      <w:r w:rsidR="001C2D5C" w:rsidRPr="008C2309">
        <w:rPr>
          <w:rFonts w:ascii="Times" w:hAnsi="Times" w:cstheme="minorHAnsi"/>
          <w:color w:val="000000" w:themeColor="text1"/>
        </w:rPr>
        <w:t xml:space="preserve"> The milling was conducted </w:t>
      </w:r>
      <w:r w:rsidR="0003699F" w:rsidRPr="008C2309">
        <w:rPr>
          <w:rFonts w:ascii="Times" w:hAnsi="Times" w:cstheme="minorHAnsi"/>
          <w:color w:val="000000" w:themeColor="text1"/>
        </w:rPr>
        <w:t xml:space="preserve">under </w:t>
      </w:r>
      <w:r w:rsidR="001C2D5C" w:rsidRPr="008C2309">
        <w:rPr>
          <w:rFonts w:ascii="Times" w:hAnsi="Times" w:cstheme="minorHAnsi"/>
          <w:color w:val="000000" w:themeColor="text1"/>
        </w:rPr>
        <w:t>liquid nitrogen cooling conditions.</w:t>
      </w:r>
      <w:r w:rsidR="001C2D5C" w:rsidRPr="008C2309">
        <w:t xml:space="preserve"> The grinding jar material was composed of stainless steel and had a volume of 25</w:t>
      </w:r>
      <w:r w:rsidR="0003699F" w:rsidRPr="008C2309">
        <w:t xml:space="preserve"> </w:t>
      </w:r>
      <w:r w:rsidR="001C2D5C" w:rsidRPr="008C2309">
        <w:t>ml. Three stainless steel ball bearings with a diameter of 10</w:t>
      </w:r>
      <w:r w:rsidR="0003699F" w:rsidRPr="008C2309">
        <w:t xml:space="preserve"> </w:t>
      </w:r>
      <w:r w:rsidR="001C2D5C" w:rsidRPr="008C2309">
        <w:t>mm were used to pulverise the HME extrudates into a fine powder.</w:t>
      </w:r>
    </w:p>
    <w:p w14:paraId="42E1DC74" w14:textId="018C1721" w:rsidR="00501491" w:rsidRPr="008C2309" w:rsidRDefault="00501491" w:rsidP="00E41DED">
      <w:pPr>
        <w:spacing w:line="480" w:lineRule="auto"/>
        <w:jc w:val="both"/>
        <w:rPr>
          <w:rFonts w:ascii="Times" w:hAnsi="Times" w:cstheme="minorHAnsi"/>
          <w:color w:val="000000" w:themeColor="text1"/>
        </w:rPr>
      </w:pPr>
    </w:p>
    <w:p w14:paraId="18463549" w14:textId="517586AD" w:rsidR="005020C0" w:rsidRPr="008C2309" w:rsidRDefault="0036535B" w:rsidP="00E41DED">
      <w:pPr>
        <w:spacing w:line="480" w:lineRule="auto"/>
        <w:jc w:val="both"/>
        <w:rPr>
          <w:rFonts w:ascii="Times" w:hAnsi="Times" w:cstheme="minorHAnsi"/>
          <w:i/>
          <w:color w:val="000000" w:themeColor="text1"/>
        </w:rPr>
      </w:pPr>
      <w:r w:rsidRPr="008C2309">
        <w:rPr>
          <w:rFonts w:ascii="Times" w:hAnsi="Times" w:cstheme="minorHAnsi"/>
          <w:i/>
          <w:color w:val="000000" w:themeColor="text1"/>
        </w:rPr>
        <w:t xml:space="preserve">2.2.2 </w:t>
      </w:r>
      <w:r w:rsidR="005020C0" w:rsidRPr="008C2309">
        <w:rPr>
          <w:rFonts w:ascii="Times" w:hAnsi="Times" w:cstheme="minorHAnsi"/>
          <w:i/>
          <w:color w:val="000000" w:themeColor="text1"/>
        </w:rPr>
        <w:t>Prepara</w:t>
      </w:r>
      <w:r w:rsidR="00571F47" w:rsidRPr="008C2309">
        <w:rPr>
          <w:rFonts w:ascii="Times" w:hAnsi="Times" w:cstheme="minorHAnsi"/>
          <w:i/>
          <w:color w:val="000000" w:themeColor="text1"/>
        </w:rPr>
        <w:t>tion of the Spray-</w:t>
      </w:r>
      <w:r w:rsidR="00C35D46" w:rsidRPr="008C2309">
        <w:rPr>
          <w:rFonts w:ascii="Times" w:hAnsi="Times" w:cstheme="minorHAnsi"/>
          <w:i/>
          <w:color w:val="000000" w:themeColor="text1"/>
        </w:rPr>
        <w:t xml:space="preserve">Dried </w:t>
      </w:r>
      <w:r w:rsidR="003B7F72" w:rsidRPr="008C2309">
        <w:rPr>
          <w:rFonts w:ascii="Times" w:hAnsi="Times" w:cstheme="minorHAnsi"/>
          <w:i/>
          <w:color w:val="000000" w:themeColor="text1"/>
        </w:rPr>
        <w:t>(SD)</w:t>
      </w:r>
      <w:r w:rsidR="00571F47" w:rsidRPr="008C2309">
        <w:rPr>
          <w:rFonts w:ascii="Times" w:hAnsi="Times" w:cstheme="minorHAnsi"/>
          <w:i/>
          <w:color w:val="000000" w:themeColor="text1"/>
        </w:rPr>
        <w:t xml:space="preserve"> systems</w:t>
      </w:r>
    </w:p>
    <w:p w14:paraId="1CCAF944" w14:textId="14F4E285" w:rsidR="00355F15" w:rsidRPr="008C2309" w:rsidRDefault="005020C0"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 xml:space="preserve">Spray-dried systems were prepared using a Buchi B-290 Mini Spray Dryer (BÜCHI Labortechnik AG, </w:t>
      </w:r>
      <w:r w:rsidR="00A45AE3" w:rsidRPr="008C2309">
        <w:rPr>
          <w:rFonts w:ascii="Times" w:hAnsi="Times" w:cstheme="minorHAnsi"/>
          <w:color w:val="000000" w:themeColor="text1"/>
        </w:rPr>
        <w:t>Flawil, Switzerland</w:t>
      </w:r>
      <w:r w:rsidR="00A964FA" w:rsidRPr="008C2309">
        <w:rPr>
          <w:rFonts w:ascii="Times" w:hAnsi="Times" w:cstheme="minorHAnsi"/>
          <w:color w:val="000000" w:themeColor="text1"/>
        </w:rPr>
        <w:t>). A two</w:t>
      </w:r>
      <w:r w:rsidR="00867B0A" w:rsidRPr="008C2309">
        <w:rPr>
          <w:rFonts w:ascii="Times" w:hAnsi="Times" w:cstheme="minorHAnsi"/>
          <w:color w:val="000000" w:themeColor="text1"/>
        </w:rPr>
        <w:t>-</w:t>
      </w:r>
      <w:r w:rsidR="00A964FA" w:rsidRPr="008C2309">
        <w:rPr>
          <w:rFonts w:ascii="Times" w:hAnsi="Times" w:cstheme="minorHAnsi"/>
          <w:color w:val="000000" w:themeColor="text1"/>
        </w:rPr>
        <w:t>fluid atomizer</w:t>
      </w:r>
      <w:r w:rsidR="00702913" w:rsidRPr="008C2309">
        <w:rPr>
          <w:rFonts w:ascii="Times" w:hAnsi="Times" w:cstheme="minorHAnsi"/>
          <w:color w:val="000000" w:themeColor="text1"/>
        </w:rPr>
        <w:t xml:space="preserve"> with</w:t>
      </w:r>
      <w:r w:rsidR="00A964FA" w:rsidRPr="008C2309">
        <w:t xml:space="preserve"> </w:t>
      </w:r>
      <w:r w:rsidR="00702913" w:rsidRPr="008C2309">
        <w:rPr>
          <w:rFonts w:ascii="Times" w:hAnsi="Times" w:cstheme="minorHAnsi"/>
          <w:color w:val="000000" w:themeColor="text1"/>
        </w:rPr>
        <w:t>a</w:t>
      </w:r>
      <w:r w:rsidR="00A964FA" w:rsidRPr="008C2309">
        <w:rPr>
          <w:rFonts w:ascii="Times" w:hAnsi="Times" w:cstheme="minorHAnsi"/>
          <w:color w:val="000000" w:themeColor="text1"/>
        </w:rPr>
        <w:t xml:space="preserve"> 0.7 mm nozzle tip and a 1.5 mm diameter nozzle screw cap were used</w:t>
      </w:r>
      <w:r w:rsidR="00A45AE3" w:rsidRPr="008C2309">
        <w:rPr>
          <w:rFonts w:ascii="Times" w:hAnsi="Times" w:cstheme="minorHAnsi"/>
          <w:color w:val="000000" w:themeColor="text1"/>
        </w:rPr>
        <w:t>. Formulations of</w:t>
      </w:r>
      <w:r w:rsidRPr="008C2309">
        <w:rPr>
          <w:rFonts w:ascii="Times" w:hAnsi="Times" w:cstheme="minorHAnsi"/>
          <w:color w:val="000000" w:themeColor="text1"/>
        </w:rPr>
        <w:t xml:space="preserve"> drug and/or polymer/polymers were dissolved in </w:t>
      </w:r>
      <w:r w:rsidR="00E916F1" w:rsidRPr="008C2309">
        <w:rPr>
          <w:rFonts w:ascii="Times" w:hAnsi="Times" w:cstheme="minorHAnsi"/>
          <w:color w:val="000000" w:themeColor="text1"/>
        </w:rPr>
        <w:t>200 ml of</w:t>
      </w:r>
      <w:r w:rsidR="00D8513F" w:rsidRPr="008C2309">
        <w:rPr>
          <w:rFonts w:ascii="Times" w:hAnsi="Times" w:cstheme="minorHAnsi"/>
          <w:color w:val="000000" w:themeColor="text1"/>
        </w:rPr>
        <w:t xml:space="preserve"> premixed</w:t>
      </w:r>
      <w:r w:rsidRPr="008C2309">
        <w:rPr>
          <w:rFonts w:ascii="Times" w:hAnsi="Times" w:cstheme="minorHAnsi"/>
          <w:color w:val="000000" w:themeColor="text1"/>
        </w:rPr>
        <w:t xml:space="preserve"> solvent with a composition of 95% (v/v) ethanol, 5% (v/v) </w:t>
      </w:r>
      <w:r w:rsidR="000D4F7A" w:rsidRPr="008C2309">
        <w:rPr>
          <w:rFonts w:ascii="Times" w:hAnsi="Times" w:cstheme="minorHAnsi"/>
          <w:color w:val="000000" w:themeColor="text1"/>
        </w:rPr>
        <w:t xml:space="preserve">deionised </w:t>
      </w:r>
      <w:r w:rsidRPr="008C2309">
        <w:rPr>
          <w:rFonts w:ascii="Times" w:hAnsi="Times" w:cstheme="minorHAnsi"/>
          <w:color w:val="000000" w:themeColor="text1"/>
        </w:rPr>
        <w:t>water. The inlet temperature, airflow, aspirator and feed rates at which the spray dryer was operated were kept at 78</w:t>
      </w:r>
      <w:r w:rsidR="00E1397E" w:rsidRPr="008C2309">
        <w:rPr>
          <w:rFonts w:ascii="Times" w:hAnsi="Times" w:cstheme="minorHAnsi"/>
          <w:color w:val="000000" w:themeColor="text1"/>
        </w:rPr>
        <w:t xml:space="preserve"> </w:t>
      </w:r>
      <w:r w:rsidR="00D1090B" w:rsidRPr="008C2309">
        <w:rPr>
          <w:rFonts w:ascii="Times" w:hAnsi="Times"/>
          <w:color w:val="000000" w:themeColor="text1"/>
        </w:rPr>
        <w:t>°</w:t>
      </w:r>
      <w:r w:rsidRPr="008C2309">
        <w:rPr>
          <w:rFonts w:ascii="Times" w:hAnsi="Times" w:cstheme="minorHAnsi"/>
          <w:color w:val="000000" w:themeColor="text1"/>
        </w:rPr>
        <w:t>C, 6</w:t>
      </w:r>
      <w:r w:rsidR="007D61E4" w:rsidRPr="008C2309">
        <w:rPr>
          <w:rFonts w:ascii="Times" w:hAnsi="Times" w:cstheme="minorHAnsi"/>
          <w:color w:val="000000" w:themeColor="text1"/>
        </w:rPr>
        <w:t>6</w:t>
      </w:r>
      <w:r w:rsidRPr="008C2309">
        <w:rPr>
          <w:rFonts w:ascii="Times" w:hAnsi="Times" w:cstheme="minorHAnsi"/>
          <w:color w:val="000000" w:themeColor="text1"/>
        </w:rPr>
        <w:t>0</w:t>
      </w:r>
      <w:r w:rsidR="00C243B2" w:rsidRPr="008C2309">
        <w:rPr>
          <w:rFonts w:ascii="Times" w:hAnsi="Times" w:cstheme="minorHAnsi"/>
          <w:color w:val="000000" w:themeColor="text1"/>
        </w:rPr>
        <w:t xml:space="preserve"> </w:t>
      </w:r>
      <w:r w:rsidRPr="008C2309">
        <w:rPr>
          <w:rFonts w:ascii="Times" w:hAnsi="Times" w:cstheme="minorHAnsi"/>
          <w:color w:val="000000" w:themeColor="text1"/>
        </w:rPr>
        <w:t>Nl/h, 100</w:t>
      </w:r>
      <w:r w:rsidR="00CC1B41" w:rsidRPr="008C2309">
        <w:rPr>
          <w:rFonts w:ascii="Times" w:hAnsi="Times" w:cstheme="minorHAnsi"/>
          <w:color w:val="000000" w:themeColor="text1"/>
        </w:rPr>
        <w:t>%</w:t>
      </w:r>
      <w:r w:rsidRPr="008C2309">
        <w:rPr>
          <w:rFonts w:ascii="Times" w:hAnsi="Times" w:cstheme="minorHAnsi"/>
          <w:color w:val="000000" w:themeColor="text1"/>
        </w:rPr>
        <w:t xml:space="preserve"> and 20%, respectively.</w:t>
      </w:r>
      <w:r w:rsidR="00E916F1" w:rsidRPr="008C2309">
        <w:rPr>
          <w:rFonts w:ascii="Times" w:hAnsi="Times" w:cstheme="minorHAnsi"/>
          <w:color w:val="000000" w:themeColor="text1"/>
        </w:rPr>
        <w:t xml:space="preserve"> The outlet temperature remained between 45 </w:t>
      </w:r>
      <w:r w:rsidR="00E916F1" w:rsidRPr="008C2309">
        <w:rPr>
          <w:rFonts w:ascii="Times" w:hAnsi="Times"/>
          <w:color w:val="000000" w:themeColor="text1"/>
        </w:rPr>
        <w:t>°</w:t>
      </w:r>
      <w:r w:rsidR="00E916F1" w:rsidRPr="008C2309">
        <w:rPr>
          <w:rFonts w:ascii="Times" w:hAnsi="Times" w:cstheme="minorHAnsi"/>
          <w:color w:val="000000" w:themeColor="text1"/>
        </w:rPr>
        <w:t xml:space="preserve">C - 49 </w:t>
      </w:r>
      <w:r w:rsidR="00E916F1" w:rsidRPr="008C2309">
        <w:rPr>
          <w:rFonts w:ascii="Times" w:hAnsi="Times"/>
          <w:color w:val="000000" w:themeColor="text1"/>
        </w:rPr>
        <w:t>°</w:t>
      </w:r>
      <w:r w:rsidR="00E916F1" w:rsidRPr="008C2309">
        <w:rPr>
          <w:rFonts w:ascii="Times" w:hAnsi="Times" w:cstheme="minorHAnsi"/>
          <w:color w:val="000000" w:themeColor="text1"/>
        </w:rPr>
        <w:t>C.</w:t>
      </w:r>
      <w:r w:rsidRPr="008C2309">
        <w:rPr>
          <w:rFonts w:ascii="Times" w:hAnsi="Times" w:cstheme="minorHAnsi"/>
          <w:color w:val="000000" w:themeColor="text1"/>
        </w:rPr>
        <w:t xml:space="preserve"> The solution concentratio</w:t>
      </w:r>
      <w:r w:rsidR="00CC1B41" w:rsidRPr="008C2309">
        <w:rPr>
          <w:rFonts w:ascii="Times" w:hAnsi="Times" w:cstheme="minorHAnsi"/>
          <w:color w:val="000000" w:themeColor="text1"/>
        </w:rPr>
        <w:t>ns were kept constant at 5% (w/v</w:t>
      </w:r>
      <w:r w:rsidRPr="008C2309">
        <w:rPr>
          <w:rFonts w:ascii="Times" w:hAnsi="Times" w:cstheme="minorHAnsi"/>
          <w:color w:val="000000" w:themeColor="text1"/>
        </w:rPr>
        <w:t xml:space="preserve">) for </w:t>
      </w:r>
      <w:r w:rsidR="0003699F" w:rsidRPr="008C2309">
        <w:rPr>
          <w:rFonts w:ascii="Times" w:hAnsi="Times" w:cstheme="minorHAnsi"/>
          <w:color w:val="000000" w:themeColor="text1"/>
        </w:rPr>
        <w:t xml:space="preserve">all </w:t>
      </w:r>
      <w:r w:rsidRPr="008C2309">
        <w:rPr>
          <w:rFonts w:ascii="Times" w:hAnsi="Times" w:cstheme="minorHAnsi"/>
          <w:color w:val="000000" w:themeColor="text1"/>
        </w:rPr>
        <w:t xml:space="preserve">formulations. </w:t>
      </w:r>
    </w:p>
    <w:p w14:paraId="1CB23E44" w14:textId="05ED6605" w:rsidR="00D408E4" w:rsidRPr="008C2309" w:rsidRDefault="00D408E4" w:rsidP="00E41DED">
      <w:pPr>
        <w:tabs>
          <w:tab w:val="left" w:pos="3010"/>
        </w:tabs>
        <w:spacing w:line="480" w:lineRule="auto"/>
        <w:jc w:val="both"/>
        <w:rPr>
          <w:rFonts w:ascii="Times" w:hAnsi="Times" w:cstheme="minorHAnsi"/>
          <w:color w:val="000000" w:themeColor="text1"/>
        </w:rPr>
      </w:pPr>
    </w:p>
    <w:p w14:paraId="488C7AFD" w14:textId="7542DEE8" w:rsidR="00D408E4" w:rsidRPr="008C2309" w:rsidRDefault="0036535B" w:rsidP="00E41DED">
      <w:pPr>
        <w:spacing w:line="480" w:lineRule="auto"/>
        <w:jc w:val="both"/>
        <w:rPr>
          <w:rFonts w:ascii="Times" w:hAnsi="Times" w:cstheme="minorHAnsi"/>
          <w:i/>
          <w:color w:val="000000" w:themeColor="text1"/>
        </w:rPr>
      </w:pPr>
      <w:r w:rsidRPr="008C2309">
        <w:rPr>
          <w:rFonts w:ascii="Times" w:hAnsi="Times" w:cstheme="minorHAnsi"/>
          <w:i/>
          <w:color w:val="000000" w:themeColor="text1"/>
        </w:rPr>
        <w:t xml:space="preserve">2.2.3 </w:t>
      </w:r>
      <w:r w:rsidR="00D408E4" w:rsidRPr="008C2309">
        <w:rPr>
          <w:rFonts w:ascii="Times" w:hAnsi="Times" w:cstheme="minorHAnsi"/>
          <w:i/>
          <w:color w:val="000000" w:themeColor="text1"/>
        </w:rPr>
        <w:t>Thermogravimetric analysis (TGA)</w:t>
      </w:r>
    </w:p>
    <w:p w14:paraId="5057276E" w14:textId="17EED7E6" w:rsidR="00D408E4" w:rsidRPr="008C2309" w:rsidRDefault="00D408E4"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 xml:space="preserve">Thermogravimetric analysis studies were conducted using </w:t>
      </w:r>
      <w:r w:rsidR="00C243B2" w:rsidRPr="008C2309">
        <w:rPr>
          <w:rFonts w:ascii="Times" w:hAnsi="Times" w:cstheme="minorHAnsi"/>
          <w:color w:val="000000" w:themeColor="text1"/>
        </w:rPr>
        <w:t xml:space="preserve">a </w:t>
      </w:r>
      <w:r w:rsidR="00700188" w:rsidRPr="008C2309">
        <w:rPr>
          <w:rFonts w:ascii="Times" w:hAnsi="Times" w:cstheme="minorHAnsi"/>
          <w:color w:val="000000" w:themeColor="text1"/>
        </w:rPr>
        <w:t xml:space="preserve">TGA </w:t>
      </w:r>
      <w:r w:rsidRPr="008C2309">
        <w:rPr>
          <w:rFonts w:ascii="Times" w:hAnsi="Times" w:cstheme="minorHAnsi"/>
          <w:color w:val="000000" w:themeColor="text1"/>
        </w:rPr>
        <w:t>Q50 (TA Instruments, Leatherhead, UK) to evaluate the onset of degradation of each of the individual ingredients. Samples (5-10 mg) were analysed in open aluminium pan</w:t>
      </w:r>
      <w:r w:rsidR="00C243B2" w:rsidRPr="008C2309">
        <w:rPr>
          <w:rFonts w:ascii="Times" w:hAnsi="Times" w:cstheme="minorHAnsi"/>
          <w:color w:val="000000" w:themeColor="text1"/>
        </w:rPr>
        <w:t>s</w:t>
      </w:r>
      <w:r w:rsidRPr="008C2309">
        <w:rPr>
          <w:rFonts w:ascii="Times" w:hAnsi="Times" w:cstheme="minorHAnsi"/>
          <w:color w:val="000000" w:themeColor="text1"/>
        </w:rPr>
        <w:t xml:space="preserve"> (Perkin Elmer, Shelton, USA) using a linear heating rate of 10</w:t>
      </w:r>
      <w:r w:rsidR="00E1397E" w:rsidRPr="008C2309">
        <w:rPr>
          <w:rFonts w:ascii="Times" w:hAnsi="Times" w:cstheme="minorHAnsi"/>
          <w:color w:val="000000" w:themeColor="text1"/>
        </w:rPr>
        <w:t xml:space="preserve"> </w:t>
      </w:r>
      <w:r w:rsidR="00823AC7" w:rsidRPr="008C2309">
        <w:rPr>
          <w:rFonts w:ascii="Times" w:hAnsi="Times" w:cstheme="minorHAnsi"/>
          <w:color w:val="000000" w:themeColor="text1"/>
        </w:rPr>
        <w:t>°C/</w:t>
      </w:r>
      <w:r w:rsidRPr="008C2309">
        <w:rPr>
          <w:rFonts w:ascii="Times" w:hAnsi="Times" w:cstheme="minorHAnsi"/>
          <w:color w:val="000000" w:themeColor="text1"/>
        </w:rPr>
        <w:t>min from 0</w:t>
      </w:r>
      <w:r w:rsidR="00823AC7" w:rsidRPr="008C2309">
        <w:rPr>
          <w:rFonts w:ascii="Times" w:hAnsi="Times" w:cstheme="minorHAnsi"/>
          <w:color w:val="000000" w:themeColor="text1"/>
        </w:rPr>
        <w:t xml:space="preserve"> </w:t>
      </w:r>
      <w:r w:rsidRPr="008C2309">
        <w:rPr>
          <w:rFonts w:ascii="Times" w:hAnsi="Times" w:cstheme="minorHAnsi"/>
          <w:color w:val="000000" w:themeColor="text1"/>
        </w:rPr>
        <w:t>-</w:t>
      </w:r>
      <w:r w:rsidR="00823AC7" w:rsidRPr="008C2309">
        <w:rPr>
          <w:rFonts w:ascii="Times" w:hAnsi="Times" w:cstheme="minorHAnsi"/>
          <w:color w:val="000000" w:themeColor="text1"/>
        </w:rPr>
        <w:t xml:space="preserve"> </w:t>
      </w:r>
      <w:r w:rsidRPr="008C2309">
        <w:rPr>
          <w:rFonts w:ascii="Times" w:hAnsi="Times" w:cstheme="minorHAnsi"/>
          <w:color w:val="000000" w:themeColor="text1"/>
        </w:rPr>
        <w:t>300</w:t>
      </w:r>
      <w:r w:rsidR="001068A4" w:rsidRPr="008C2309">
        <w:rPr>
          <w:rFonts w:ascii="Times" w:hAnsi="Times" w:cstheme="minorHAnsi"/>
          <w:color w:val="000000" w:themeColor="text1"/>
        </w:rPr>
        <w:t xml:space="preserve"> </w:t>
      </w:r>
      <w:r w:rsidRPr="008C2309">
        <w:rPr>
          <w:rFonts w:ascii="Times" w:hAnsi="Times" w:cstheme="minorHAnsi"/>
          <w:color w:val="000000" w:themeColor="text1"/>
        </w:rPr>
        <w:t>°C. HME samples were pulverised using a cryogenic ball-mill before filling into the aluminium pans.</w:t>
      </w:r>
      <w:r w:rsidR="00F34B05" w:rsidRPr="008C2309">
        <w:rPr>
          <w:rFonts w:ascii="Times" w:hAnsi="Times" w:cstheme="minorHAnsi"/>
          <w:color w:val="000000" w:themeColor="text1"/>
        </w:rPr>
        <w:t xml:space="preserve"> The HME samples </w:t>
      </w:r>
      <w:r w:rsidR="00C35D46" w:rsidRPr="008C2309">
        <w:rPr>
          <w:rFonts w:ascii="Times" w:hAnsi="Times" w:cstheme="minorHAnsi"/>
          <w:color w:val="000000" w:themeColor="text1"/>
        </w:rPr>
        <w:t xml:space="preserve">were </w:t>
      </w:r>
      <w:r w:rsidR="00F34B05" w:rsidRPr="008C2309">
        <w:rPr>
          <w:rFonts w:ascii="Times" w:hAnsi="Times" w:cstheme="minorHAnsi"/>
          <w:color w:val="000000" w:themeColor="text1"/>
        </w:rPr>
        <w:t>pulverised into a pow</w:t>
      </w:r>
      <w:r w:rsidR="00C35D46" w:rsidRPr="008C2309">
        <w:rPr>
          <w:rFonts w:ascii="Times" w:hAnsi="Times" w:cstheme="minorHAnsi"/>
          <w:color w:val="000000" w:themeColor="text1"/>
        </w:rPr>
        <w:t>d</w:t>
      </w:r>
      <w:r w:rsidR="00F34B05" w:rsidRPr="008C2309">
        <w:rPr>
          <w:rFonts w:ascii="Times" w:hAnsi="Times" w:cstheme="minorHAnsi"/>
          <w:color w:val="000000" w:themeColor="text1"/>
        </w:rPr>
        <w:t xml:space="preserve">er to </w:t>
      </w:r>
      <w:r w:rsidR="00C35D46" w:rsidRPr="008C2309">
        <w:rPr>
          <w:rFonts w:ascii="Times" w:hAnsi="Times" w:cstheme="minorHAnsi"/>
          <w:color w:val="000000" w:themeColor="text1"/>
        </w:rPr>
        <w:t xml:space="preserve">enable </w:t>
      </w:r>
      <w:r w:rsidR="00F34B05" w:rsidRPr="008C2309">
        <w:rPr>
          <w:rFonts w:ascii="Times" w:hAnsi="Times" w:cstheme="minorHAnsi"/>
          <w:color w:val="000000" w:themeColor="text1"/>
        </w:rPr>
        <w:t>a direct comparison to the pow</w:t>
      </w:r>
      <w:r w:rsidR="00C35D46" w:rsidRPr="008C2309">
        <w:rPr>
          <w:rFonts w:ascii="Times" w:hAnsi="Times" w:cstheme="minorHAnsi"/>
          <w:color w:val="000000" w:themeColor="text1"/>
        </w:rPr>
        <w:t>d</w:t>
      </w:r>
      <w:r w:rsidR="00F34B05" w:rsidRPr="008C2309">
        <w:rPr>
          <w:rFonts w:ascii="Times" w:hAnsi="Times" w:cstheme="minorHAnsi"/>
          <w:color w:val="000000" w:themeColor="text1"/>
        </w:rPr>
        <w:t>er samples produced by SD.</w:t>
      </w:r>
      <w:r w:rsidRPr="008C2309">
        <w:rPr>
          <w:rFonts w:ascii="Times" w:hAnsi="Times" w:cstheme="minorHAnsi"/>
          <w:color w:val="000000" w:themeColor="text1"/>
        </w:rPr>
        <w:t xml:space="preserve"> TGA data </w:t>
      </w:r>
      <w:r w:rsidRPr="008C2309">
        <w:rPr>
          <w:rFonts w:ascii="Times" w:hAnsi="Times" w:cstheme="minorHAnsi"/>
          <w:color w:val="000000" w:themeColor="text1"/>
        </w:rPr>
        <w:lastRenderedPageBreak/>
        <w:t>was analysed using Universal Analysis software (TA Instruments</w:t>
      </w:r>
      <w:r w:rsidR="00C243B2" w:rsidRPr="008C2309">
        <w:rPr>
          <w:rFonts w:ascii="Times" w:hAnsi="Times" w:cstheme="minorHAnsi"/>
          <w:color w:val="000000" w:themeColor="text1"/>
        </w:rPr>
        <w:t>, Leatherhead, UK</w:t>
      </w:r>
      <w:r w:rsidRPr="008C2309">
        <w:rPr>
          <w:rFonts w:ascii="Times" w:hAnsi="Times" w:cstheme="minorHAnsi"/>
          <w:color w:val="000000" w:themeColor="text1"/>
        </w:rPr>
        <w:t xml:space="preserve">). </w:t>
      </w:r>
      <w:r w:rsidR="00BE64F7" w:rsidRPr="008C2309">
        <w:rPr>
          <w:rFonts w:ascii="Times" w:hAnsi="Times" w:cstheme="minorHAnsi"/>
          <w:color w:val="000000" w:themeColor="text1"/>
        </w:rPr>
        <w:t xml:space="preserve">Analysis was </w:t>
      </w:r>
      <w:r w:rsidRPr="008C2309">
        <w:rPr>
          <w:rFonts w:ascii="Times" w:hAnsi="Times" w:cstheme="minorHAnsi"/>
          <w:color w:val="000000" w:themeColor="text1"/>
        </w:rPr>
        <w:t>performed in triplicate.</w:t>
      </w:r>
    </w:p>
    <w:p w14:paraId="13DE4EAF" w14:textId="478CFC82" w:rsidR="00F8634F" w:rsidRPr="008C2309" w:rsidRDefault="00F8634F" w:rsidP="00E41DED">
      <w:pPr>
        <w:spacing w:line="480" w:lineRule="auto"/>
        <w:jc w:val="both"/>
        <w:rPr>
          <w:rFonts w:ascii="Times" w:hAnsi="Times" w:cstheme="minorHAnsi"/>
          <w:color w:val="000000" w:themeColor="text1"/>
        </w:rPr>
      </w:pPr>
    </w:p>
    <w:p w14:paraId="608E8044" w14:textId="116B1C78" w:rsidR="00AF043A" w:rsidRPr="008C2309" w:rsidRDefault="0036535B" w:rsidP="00E41DED">
      <w:pPr>
        <w:spacing w:line="480" w:lineRule="auto"/>
        <w:jc w:val="both"/>
        <w:rPr>
          <w:rFonts w:ascii="Times" w:hAnsi="Times" w:cstheme="minorHAnsi"/>
          <w:i/>
          <w:color w:val="000000" w:themeColor="text1"/>
        </w:rPr>
      </w:pPr>
      <w:r w:rsidRPr="008C2309">
        <w:rPr>
          <w:rFonts w:ascii="Times" w:hAnsi="Times" w:cstheme="minorHAnsi"/>
          <w:i/>
          <w:color w:val="000000" w:themeColor="text1"/>
        </w:rPr>
        <w:t xml:space="preserve">2.2.4 </w:t>
      </w:r>
      <w:r w:rsidR="00AF043A" w:rsidRPr="008C2309">
        <w:rPr>
          <w:rFonts w:ascii="Times" w:hAnsi="Times" w:cstheme="minorHAnsi"/>
          <w:i/>
          <w:color w:val="000000" w:themeColor="text1"/>
        </w:rPr>
        <w:t>Differential Scanning Calorimetry (DSC)</w:t>
      </w:r>
    </w:p>
    <w:p w14:paraId="5F0FB39D" w14:textId="77FCCFBD" w:rsidR="002E4EEA" w:rsidRPr="008C2309" w:rsidRDefault="002E4EEA"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The thermal behaviour of</w:t>
      </w:r>
      <w:r w:rsidR="00D74071" w:rsidRPr="008C2309">
        <w:rPr>
          <w:rFonts w:ascii="Times" w:hAnsi="Times" w:cstheme="minorHAnsi"/>
          <w:color w:val="000000" w:themeColor="text1"/>
        </w:rPr>
        <w:t xml:space="preserve"> material</w:t>
      </w:r>
      <w:r w:rsidR="001068A4" w:rsidRPr="008C2309">
        <w:rPr>
          <w:rFonts w:ascii="Times" w:hAnsi="Times" w:cstheme="minorHAnsi"/>
          <w:color w:val="000000" w:themeColor="text1"/>
        </w:rPr>
        <w:t>s</w:t>
      </w:r>
      <w:r w:rsidR="00F5062B" w:rsidRPr="008C2309">
        <w:rPr>
          <w:rFonts w:ascii="Times" w:hAnsi="Times" w:cstheme="minorHAnsi"/>
          <w:color w:val="000000" w:themeColor="text1"/>
        </w:rPr>
        <w:t xml:space="preserve"> </w:t>
      </w:r>
      <w:r w:rsidR="00D74071" w:rsidRPr="008C2309">
        <w:rPr>
          <w:rFonts w:ascii="Times" w:hAnsi="Times" w:cstheme="minorHAnsi"/>
          <w:color w:val="000000" w:themeColor="text1"/>
        </w:rPr>
        <w:t>was</w:t>
      </w:r>
      <w:r w:rsidR="001D4EAC" w:rsidRPr="008C2309">
        <w:rPr>
          <w:rFonts w:ascii="Times" w:hAnsi="Times" w:cstheme="minorHAnsi"/>
          <w:color w:val="000000" w:themeColor="text1"/>
        </w:rPr>
        <w:t xml:space="preserve"> analysed using a </w:t>
      </w:r>
      <w:r w:rsidR="00853B71" w:rsidRPr="008C2309">
        <w:rPr>
          <w:rFonts w:ascii="Times" w:hAnsi="Times" w:cstheme="minorHAnsi"/>
          <w:color w:val="000000" w:themeColor="text1"/>
        </w:rPr>
        <w:t>differential</w:t>
      </w:r>
      <w:r w:rsidR="001D4EAC" w:rsidRPr="008C2309">
        <w:rPr>
          <w:rFonts w:ascii="Times" w:hAnsi="Times" w:cstheme="minorHAnsi"/>
          <w:color w:val="000000" w:themeColor="text1"/>
        </w:rPr>
        <w:t xml:space="preserve"> scanning calorimeter </w:t>
      </w:r>
      <w:r w:rsidR="005E64A7" w:rsidRPr="008C2309">
        <w:rPr>
          <w:rFonts w:ascii="Times" w:hAnsi="Times" w:cstheme="minorHAnsi"/>
          <w:color w:val="000000" w:themeColor="text1"/>
        </w:rPr>
        <w:t>(</w:t>
      </w:r>
      <w:r w:rsidR="001D4EAC" w:rsidRPr="008C2309">
        <w:rPr>
          <w:rFonts w:ascii="Times" w:hAnsi="Times" w:cstheme="minorHAnsi"/>
          <w:color w:val="000000" w:themeColor="text1"/>
        </w:rPr>
        <w:t>Q20</w:t>
      </w:r>
      <w:r w:rsidR="005020C0" w:rsidRPr="008C2309">
        <w:rPr>
          <w:rFonts w:ascii="Times" w:hAnsi="Times" w:cstheme="minorHAnsi"/>
          <w:color w:val="000000" w:themeColor="text1"/>
        </w:rPr>
        <w:t>0</w:t>
      </w:r>
      <w:r w:rsidR="005E64A7" w:rsidRPr="008C2309">
        <w:rPr>
          <w:rFonts w:ascii="Times" w:hAnsi="Times" w:cstheme="minorHAnsi"/>
          <w:color w:val="000000" w:themeColor="text1"/>
        </w:rPr>
        <w:t xml:space="preserve">, </w:t>
      </w:r>
      <w:r w:rsidR="001D4EAC" w:rsidRPr="008C2309">
        <w:rPr>
          <w:rFonts w:ascii="Times" w:hAnsi="Times" w:cstheme="minorHAnsi"/>
          <w:color w:val="000000" w:themeColor="text1"/>
        </w:rPr>
        <w:t xml:space="preserve">TA </w:t>
      </w:r>
      <w:r w:rsidR="00853B71" w:rsidRPr="008C2309">
        <w:rPr>
          <w:rFonts w:ascii="Times" w:hAnsi="Times" w:cstheme="minorHAnsi"/>
          <w:color w:val="000000" w:themeColor="text1"/>
        </w:rPr>
        <w:t>Instruments</w:t>
      </w:r>
      <w:r w:rsidR="001D4EAC" w:rsidRPr="008C2309">
        <w:rPr>
          <w:rFonts w:ascii="Times" w:hAnsi="Times" w:cstheme="minorHAnsi"/>
          <w:color w:val="000000" w:themeColor="text1"/>
        </w:rPr>
        <w:t>,</w:t>
      </w:r>
      <w:r w:rsidR="00853B71" w:rsidRPr="008C2309">
        <w:rPr>
          <w:rFonts w:ascii="Times" w:hAnsi="Times" w:cstheme="minorHAnsi"/>
          <w:color w:val="000000" w:themeColor="text1"/>
        </w:rPr>
        <w:t xml:space="preserve"> Leatherhead, UK). Nitrogen was used a</w:t>
      </w:r>
      <w:r w:rsidR="00264890" w:rsidRPr="008C2309">
        <w:rPr>
          <w:rFonts w:ascii="Times" w:hAnsi="Times" w:cstheme="minorHAnsi"/>
          <w:color w:val="000000" w:themeColor="text1"/>
        </w:rPr>
        <w:t>s the</w:t>
      </w:r>
      <w:r w:rsidR="00853B71" w:rsidRPr="008C2309">
        <w:rPr>
          <w:rFonts w:ascii="Times" w:hAnsi="Times" w:cstheme="minorHAnsi"/>
          <w:color w:val="000000" w:themeColor="text1"/>
        </w:rPr>
        <w:t xml:space="preserve"> purge gas (60 ml/min). Calibration was performed with an indium standard. Samples (5-10 mg) were analysed in crimped</w:t>
      </w:r>
      <w:r w:rsidR="00F5062B" w:rsidRPr="008C2309">
        <w:rPr>
          <w:rFonts w:ascii="Times" w:hAnsi="Times" w:cstheme="minorHAnsi"/>
          <w:color w:val="000000" w:themeColor="text1"/>
        </w:rPr>
        <w:t xml:space="preserve"> standard</w:t>
      </w:r>
      <w:r w:rsidR="00853B71" w:rsidRPr="008C2309">
        <w:rPr>
          <w:rFonts w:ascii="Times" w:hAnsi="Times" w:cstheme="minorHAnsi"/>
          <w:color w:val="000000" w:themeColor="text1"/>
        </w:rPr>
        <w:t xml:space="preserve"> aluminium </w:t>
      </w:r>
      <w:r w:rsidR="005E64A7" w:rsidRPr="008C2309">
        <w:rPr>
          <w:rFonts w:ascii="Times" w:hAnsi="Times" w:cstheme="minorHAnsi"/>
          <w:color w:val="000000" w:themeColor="text1"/>
        </w:rPr>
        <w:t>pans</w:t>
      </w:r>
      <w:r w:rsidR="00A06E98" w:rsidRPr="008C2309">
        <w:rPr>
          <w:rFonts w:ascii="Times" w:hAnsi="Times" w:cstheme="minorHAnsi"/>
          <w:color w:val="000000" w:themeColor="text1"/>
        </w:rPr>
        <w:t xml:space="preserve"> with a heating rate of 10</w:t>
      </w:r>
      <w:r w:rsidR="001068A4" w:rsidRPr="008C2309">
        <w:rPr>
          <w:rFonts w:ascii="Times" w:hAnsi="Times" w:cstheme="minorHAnsi"/>
          <w:color w:val="000000" w:themeColor="text1"/>
        </w:rPr>
        <w:t xml:space="preserve"> </w:t>
      </w:r>
      <w:r w:rsidR="00853B71" w:rsidRPr="008C2309">
        <w:rPr>
          <w:rFonts w:ascii="Times" w:hAnsi="Times" w:cstheme="minorHAnsi"/>
          <w:color w:val="000000" w:themeColor="text1"/>
        </w:rPr>
        <w:t>°C/min. DSC data was analysed using Universal Analysis software (TA Instruments). Melting temperatures of drugs were determined an</w:t>
      </w:r>
      <w:r w:rsidR="00B774EE" w:rsidRPr="008C2309">
        <w:rPr>
          <w:rFonts w:ascii="Times" w:hAnsi="Times" w:cstheme="minorHAnsi"/>
          <w:color w:val="000000" w:themeColor="text1"/>
        </w:rPr>
        <w:t>d reported as peak temperature</w:t>
      </w:r>
      <w:r w:rsidR="001068A4" w:rsidRPr="008C2309">
        <w:rPr>
          <w:rFonts w:ascii="Times" w:hAnsi="Times" w:cstheme="minorHAnsi"/>
          <w:color w:val="000000" w:themeColor="text1"/>
        </w:rPr>
        <w:t>. T</w:t>
      </w:r>
      <w:r w:rsidR="00D4224E" w:rsidRPr="008C2309">
        <w:rPr>
          <w:rFonts w:ascii="Times" w:hAnsi="Times" w:cstheme="minorHAnsi"/>
          <w:color w:val="000000" w:themeColor="text1"/>
        </w:rPr>
        <w:t>he glass transition temperatures were defined as the midpoint of the transition</w:t>
      </w:r>
      <w:r w:rsidR="00C243B2" w:rsidRPr="008C2309">
        <w:rPr>
          <w:rFonts w:ascii="Times" w:hAnsi="Times" w:cstheme="minorHAnsi"/>
          <w:color w:val="000000" w:themeColor="text1"/>
        </w:rPr>
        <w:t xml:space="preserve">. Analysis </w:t>
      </w:r>
      <w:r w:rsidR="00BE64F7" w:rsidRPr="008C2309">
        <w:rPr>
          <w:rFonts w:ascii="Times" w:hAnsi="Times" w:cstheme="minorHAnsi"/>
          <w:color w:val="000000" w:themeColor="text1"/>
        </w:rPr>
        <w:t>was</w:t>
      </w:r>
      <w:r w:rsidR="00B774EE" w:rsidRPr="008C2309">
        <w:rPr>
          <w:rFonts w:ascii="Times" w:hAnsi="Times" w:cstheme="minorHAnsi"/>
          <w:color w:val="000000" w:themeColor="text1"/>
        </w:rPr>
        <w:t xml:space="preserve"> performed in triplicate.</w:t>
      </w:r>
    </w:p>
    <w:p w14:paraId="6999CDF7" w14:textId="77777777" w:rsidR="005E64A7" w:rsidRPr="008C2309" w:rsidRDefault="005E64A7" w:rsidP="00E41DED">
      <w:pPr>
        <w:spacing w:line="480" w:lineRule="auto"/>
        <w:jc w:val="both"/>
        <w:rPr>
          <w:rFonts w:ascii="Times" w:hAnsi="Times" w:cstheme="minorHAnsi"/>
          <w:color w:val="000000" w:themeColor="text1"/>
        </w:rPr>
      </w:pPr>
    </w:p>
    <w:p w14:paraId="4C7F5FA3" w14:textId="2B45A8A6" w:rsidR="005E64A7" w:rsidRPr="008C2309" w:rsidRDefault="0036535B" w:rsidP="00E41DED">
      <w:pPr>
        <w:spacing w:line="480" w:lineRule="auto"/>
        <w:jc w:val="both"/>
        <w:rPr>
          <w:rFonts w:ascii="Times" w:hAnsi="Times" w:cstheme="minorHAnsi"/>
          <w:i/>
          <w:color w:val="000000" w:themeColor="text1"/>
        </w:rPr>
      </w:pPr>
      <w:r w:rsidRPr="008C2309">
        <w:rPr>
          <w:rFonts w:ascii="Times" w:hAnsi="Times" w:cstheme="minorHAnsi"/>
          <w:i/>
          <w:color w:val="000000" w:themeColor="text1"/>
        </w:rPr>
        <w:t xml:space="preserve">2.2.5 </w:t>
      </w:r>
      <w:r w:rsidR="005E64A7" w:rsidRPr="008C2309">
        <w:rPr>
          <w:rFonts w:ascii="Times" w:hAnsi="Times" w:cstheme="minorHAnsi"/>
          <w:i/>
          <w:color w:val="000000" w:themeColor="text1"/>
        </w:rPr>
        <w:t>Modulated Differential Scanning Calorimetry (mDSC)</w:t>
      </w:r>
    </w:p>
    <w:p w14:paraId="741C6BF9" w14:textId="36EC1F9E" w:rsidR="0093249A" w:rsidRPr="008C2309" w:rsidRDefault="00051359"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S</w:t>
      </w:r>
      <w:r w:rsidR="00F5062B" w:rsidRPr="008C2309">
        <w:rPr>
          <w:rFonts w:ascii="Times" w:hAnsi="Times" w:cstheme="minorHAnsi"/>
          <w:color w:val="000000" w:themeColor="text1"/>
        </w:rPr>
        <w:t>amples were directly filled into standard aluminium pans</w:t>
      </w:r>
      <w:r w:rsidR="007B268C" w:rsidRPr="008C2309">
        <w:rPr>
          <w:rFonts w:ascii="Times" w:hAnsi="Times" w:cstheme="minorHAnsi"/>
          <w:color w:val="000000" w:themeColor="text1"/>
        </w:rPr>
        <w:t xml:space="preserve"> </w:t>
      </w:r>
      <w:r w:rsidR="005E64A7" w:rsidRPr="008C2309">
        <w:rPr>
          <w:rFonts w:ascii="Times" w:hAnsi="Times" w:cstheme="minorHAnsi"/>
          <w:color w:val="000000" w:themeColor="text1"/>
        </w:rPr>
        <w:t>(3-8</w:t>
      </w:r>
      <w:r w:rsidR="001068A4" w:rsidRPr="008C2309">
        <w:rPr>
          <w:rFonts w:ascii="Times" w:hAnsi="Times" w:cstheme="minorHAnsi"/>
          <w:color w:val="000000" w:themeColor="text1"/>
        </w:rPr>
        <w:t xml:space="preserve"> </w:t>
      </w:r>
      <w:r w:rsidR="005E64A7" w:rsidRPr="008C2309">
        <w:rPr>
          <w:rFonts w:ascii="Times" w:hAnsi="Times" w:cstheme="minorHAnsi"/>
          <w:color w:val="000000" w:themeColor="text1"/>
        </w:rPr>
        <w:t>mg)</w:t>
      </w:r>
      <w:r w:rsidR="007B268C" w:rsidRPr="008C2309">
        <w:rPr>
          <w:rFonts w:ascii="Times" w:hAnsi="Times" w:cstheme="minorHAnsi"/>
          <w:color w:val="000000" w:themeColor="text1"/>
        </w:rPr>
        <w:t xml:space="preserve"> </w:t>
      </w:r>
      <w:r w:rsidR="005E64A7" w:rsidRPr="008C2309">
        <w:rPr>
          <w:rFonts w:ascii="Times" w:hAnsi="Times" w:cstheme="minorHAnsi"/>
          <w:color w:val="000000" w:themeColor="text1"/>
        </w:rPr>
        <w:t>(TA Instruments, Leatherhead, UK) and analysed using mDSC (Q200, TA Instruments, Leatherhead, UK). Nitrogen was used a purge gas (60 ml/min). A hea</w:t>
      </w:r>
      <w:r w:rsidR="009F38DD" w:rsidRPr="008C2309">
        <w:rPr>
          <w:rFonts w:ascii="Times" w:hAnsi="Times" w:cstheme="minorHAnsi"/>
          <w:color w:val="000000" w:themeColor="text1"/>
        </w:rPr>
        <w:t>ting rate of</w:t>
      </w:r>
      <w:r w:rsidR="00071909" w:rsidRPr="008C2309">
        <w:rPr>
          <w:rFonts w:ascii="Times" w:hAnsi="Times" w:cstheme="minorHAnsi"/>
          <w:color w:val="000000" w:themeColor="text1"/>
          <w:lang w:val="en-IE"/>
        </w:rPr>
        <w:t xml:space="preserve"> 5 °C/min, a modulation amplitude of 0.53 °C and a period of 40 s</w:t>
      </w:r>
      <w:r w:rsidR="00897E33" w:rsidRPr="008C2309">
        <w:rPr>
          <w:rFonts w:ascii="Times" w:hAnsi="Times" w:cstheme="minorHAnsi"/>
          <w:color w:val="000000" w:themeColor="text1"/>
          <w:lang w:val="en-IE"/>
        </w:rPr>
        <w:t>econds</w:t>
      </w:r>
      <w:r w:rsidR="00071909" w:rsidRPr="008C2309">
        <w:rPr>
          <w:rFonts w:ascii="Times" w:hAnsi="Times" w:cstheme="minorHAnsi"/>
          <w:color w:val="000000" w:themeColor="text1"/>
          <w:lang w:val="en-IE"/>
        </w:rPr>
        <w:t xml:space="preserve"> were used.</w:t>
      </w:r>
      <w:r w:rsidR="00F5062B" w:rsidRPr="008C2309">
        <w:rPr>
          <w:rFonts w:ascii="Times" w:hAnsi="Times" w:cstheme="minorHAnsi"/>
          <w:color w:val="000000" w:themeColor="text1"/>
          <w:lang w:val="en-IE"/>
        </w:rPr>
        <w:t xml:space="preserve"> Runs were halted at 260</w:t>
      </w:r>
      <w:r w:rsidR="00E1397E" w:rsidRPr="008C2309">
        <w:rPr>
          <w:rFonts w:ascii="Times" w:hAnsi="Times" w:cstheme="minorHAnsi"/>
          <w:color w:val="000000" w:themeColor="text1"/>
          <w:lang w:val="en-IE"/>
        </w:rPr>
        <w:t xml:space="preserve"> </w:t>
      </w:r>
      <w:r w:rsidR="00F5062B" w:rsidRPr="008C2309">
        <w:rPr>
          <w:rFonts w:ascii="Times" w:hAnsi="Times" w:cstheme="minorHAnsi"/>
          <w:color w:val="000000" w:themeColor="text1"/>
          <w:lang w:val="en-IE"/>
        </w:rPr>
        <w:t>°C as products started to</w:t>
      </w:r>
      <w:r w:rsidR="000D602A" w:rsidRPr="008C2309">
        <w:rPr>
          <w:rFonts w:ascii="Times" w:hAnsi="Times" w:cstheme="minorHAnsi"/>
          <w:color w:val="000000" w:themeColor="text1"/>
          <w:lang w:val="en-IE"/>
        </w:rPr>
        <w:t xml:space="preserve"> completely</w:t>
      </w:r>
      <w:r w:rsidR="00F5062B" w:rsidRPr="008C2309">
        <w:rPr>
          <w:rFonts w:ascii="Times" w:hAnsi="Times" w:cstheme="minorHAnsi"/>
          <w:color w:val="000000" w:themeColor="text1"/>
          <w:lang w:val="en-IE"/>
        </w:rPr>
        <w:t xml:space="preserve"> degrade above this temperature.</w:t>
      </w:r>
      <w:r w:rsidR="00897E33" w:rsidRPr="008C2309">
        <w:rPr>
          <w:rFonts w:ascii="Times" w:hAnsi="Times" w:cstheme="minorHAnsi"/>
          <w:color w:val="000000" w:themeColor="text1"/>
          <w:lang w:val="en-IE"/>
        </w:rPr>
        <w:t xml:space="preserve"> </w:t>
      </w:r>
      <w:r w:rsidR="00BE64F7" w:rsidRPr="008C2309">
        <w:rPr>
          <w:rFonts w:ascii="Times" w:hAnsi="Times" w:cstheme="minorHAnsi"/>
          <w:color w:val="000000" w:themeColor="text1"/>
          <w:lang w:val="en-IE"/>
        </w:rPr>
        <w:t>Analysis was</w:t>
      </w:r>
      <w:r w:rsidR="00897E33" w:rsidRPr="008C2309">
        <w:rPr>
          <w:rFonts w:ascii="Times" w:hAnsi="Times" w:cstheme="minorHAnsi"/>
          <w:color w:val="000000" w:themeColor="text1"/>
          <w:lang w:val="en-IE"/>
        </w:rPr>
        <w:t xml:space="preserve"> performed in triplicate.</w:t>
      </w:r>
    </w:p>
    <w:p w14:paraId="0B5BB775" w14:textId="77777777" w:rsidR="00C24596" w:rsidRPr="008C2309" w:rsidRDefault="00C24596" w:rsidP="00E41DED">
      <w:pPr>
        <w:spacing w:line="480" w:lineRule="auto"/>
        <w:jc w:val="both"/>
        <w:rPr>
          <w:rFonts w:ascii="Times" w:hAnsi="Times" w:cstheme="minorHAnsi"/>
          <w:color w:val="000000" w:themeColor="text1"/>
        </w:rPr>
      </w:pPr>
    </w:p>
    <w:p w14:paraId="66EAF3CA" w14:textId="00EE612C" w:rsidR="00AF043A" w:rsidRPr="008C2309" w:rsidRDefault="0036535B" w:rsidP="00E41DED">
      <w:pPr>
        <w:spacing w:line="480" w:lineRule="auto"/>
        <w:jc w:val="both"/>
        <w:rPr>
          <w:rFonts w:ascii="Times" w:hAnsi="Times" w:cstheme="minorHAnsi"/>
          <w:i/>
          <w:color w:val="000000" w:themeColor="text1"/>
        </w:rPr>
      </w:pPr>
      <w:r w:rsidRPr="008C2309">
        <w:rPr>
          <w:rFonts w:ascii="Times" w:hAnsi="Times" w:cstheme="minorHAnsi"/>
          <w:i/>
          <w:color w:val="000000" w:themeColor="text1"/>
        </w:rPr>
        <w:t xml:space="preserve">2.2.6 </w:t>
      </w:r>
      <w:r w:rsidR="00AF043A" w:rsidRPr="008C2309">
        <w:rPr>
          <w:rFonts w:ascii="Times" w:hAnsi="Times" w:cstheme="minorHAnsi"/>
          <w:i/>
          <w:color w:val="000000" w:themeColor="text1"/>
        </w:rPr>
        <w:t>Powder X-Ray Diffraction (PXRD)</w:t>
      </w:r>
    </w:p>
    <w:p w14:paraId="5899C0CB" w14:textId="57C96FD0" w:rsidR="00C24596" w:rsidRPr="008C2309" w:rsidRDefault="00AF043A" w:rsidP="00E41DED">
      <w:pPr>
        <w:spacing w:line="480" w:lineRule="auto"/>
        <w:jc w:val="both"/>
        <w:rPr>
          <w:rFonts w:ascii="Times" w:eastAsia="Times New Roman" w:hAnsi="Times" w:cstheme="minorHAnsi"/>
          <w:color w:val="000000" w:themeColor="text1"/>
        </w:rPr>
      </w:pPr>
      <w:r w:rsidRPr="008C2309">
        <w:rPr>
          <w:rFonts w:ascii="Times" w:hAnsi="Times" w:cstheme="minorHAnsi"/>
          <w:color w:val="000000" w:themeColor="text1"/>
        </w:rPr>
        <w:t xml:space="preserve">The crystallinity of the drugs in physical mixtures, extrudates and </w:t>
      </w:r>
      <w:r w:rsidR="004B3AD4" w:rsidRPr="008C2309">
        <w:rPr>
          <w:rFonts w:ascii="Times" w:hAnsi="Times" w:cstheme="minorHAnsi"/>
          <w:color w:val="000000" w:themeColor="text1"/>
        </w:rPr>
        <w:t>SD</w:t>
      </w:r>
      <w:r w:rsidRPr="008C2309">
        <w:rPr>
          <w:rFonts w:ascii="Times" w:hAnsi="Times" w:cstheme="minorHAnsi"/>
          <w:color w:val="000000" w:themeColor="text1"/>
        </w:rPr>
        <w:t xml:space="preserve"> samples were analysed using </w:t>
      </w:r>
      <w:r w:rsidR="002B5380" w:rsidRPr="008C2309">
        <w:rPr>
          <w:rFonts w:ascii="Times" w:hAnsi="Times" w:cstheme="minorHAnsi"/>
          <w:color w:val="000000" w:themeColor="text1"/>
        </w:rPr>
        <w:t xml:space="preserve">(wide angle) </w:t>
      </w:r>
      <w:r w:rsidR="00DB1839" w:rsidRPr="008C2309">
        <w:rPr>
          <w:rFonts w:ascii="Times" w:hAnsi="Times" w:cstheme="minorHAnsi"/>
          <w:color w:val="000000" w:themeColor="text1"/>
        </w:rPr>
        <w:t>PXRD</w:t>
      </w:r>
      <w:r w:rsidRPr="008C2309">
        <w:rPr>
          <w:rFonts w:ascii="Times" w:hAnsi="Times" w:cstheme="minorHAnsi"/>
          <w:color w:val="000000" w:themeColor="text1"/>
        </w:rPr>
        <w:t>.</w:t>
      </w:r>
      <w:r w:rsidR="0024534F" w:rsidRPr="008C2309">
        <w:rPr>
          <w:rFonts w:ascii="Times" w:hAnsi="Times" w:cstheme="minorHAnsi"/>
          <w:color w:val="000000" w:themeColor="text1"/>
        </w:rPr>
        <w:t xml:space="preserve"> HME s</w:t>
      </w:r>
      <w:r w:rsidRPr="008C2309">
        <w:rPr>
          <w:rFonts w:ascii="Times" w:hAnsi="Times" w:cstheme="minorHAnsi"/>
          <w:color w:val="000000" w:themeColor="text1"/>
        </w:rPr>
        <w:t xml:space="preserve">amples were pulverised using a cryogenic ball-mill before analysis. </w:t>
      </w:r>
      <w:r w:rsidR="00DB1839" w:rsidRPr="008C2309">
        <w:rPr>
          <w:rFonts w:ascii="Times" w:hAnsi="Times" w:cstheme="minorHAnsi"/>
          <w:color w:val="000000" w:themeColor="text1"/>
        </w:rPr>
        <w:t>PXRD</w:t>
      </w:r>
      <w:r w:rsidR="00B90244" w:rsidRPr="008C2309">
        <w:rPr>
          <w:rFonts w:ascii="Times" w:hAnsi="Times" w:cstheme="minorHAnsi"/>
          <w:color w:val="000000" w:themeColor="text1"/>
        </w:rPr>
        <w:t xml:space="preserve"> was performed</w:t>
      </w:r>
      <w:r w:rsidR="00DF6CF3" w:rsidRPr="008C2309">
        <w:rPr>
          <w:rFonts w:ascii="Times" w:hAnsi="Times" w:cstheme="minorHAnsi"/>
          <w:color w:val="000000" w:themeColor="text1"/>
        </w:rPr>
        <w:t xml:space="preserve"> on a Mini-Flex II (Rigaku</w:t>
      </w:r>
      <w:r w:rsidR="00B774EE" w:rsidRPr="008C2309">
        <w:rPr>
          <w:rFonts w:ascii="Times" w:hAnsi="Times" w:cstheme="minorHAnsi"/>
          <w:color w:val="000000" w:themeColor="text1"/>
        </w:rPr>
        <w:t>™ Corporation, Japan)</w:t>
      </w:r>
      <w:r w:rsidR="00B90244" w:rsidRPr="008C2309">
        <w:rPr>
          <w:rFonts w:ascii="Times" w:hAnsi="Times" w:cstheme="minorHAnsi"/>
          <w:color w:val="000000" w:themeColor="text1"/>
        </w:rPr>
        <w:t xml:space="preserve"> with Cu K</w:t>
      </w:r>
      <w:r w:rsidR="00B90244" w:rsidRPr="008C2309">
        <w:rPr>
          <w:rFonts w:ascii="Times" w:eastAsia="Times New Roman" w:hAnsi="Times" w:cstheme="minorHAnsi"/>
          <w:color w:val="000000" w:themeColor="text1"/>
        </w:rPr>
        <w:t>α radiation</w:t>
      </w:r>
      <w:r w:rsidR="007007B7" w:rsidRPr="008C2309">
        <w:rPr>
          <w:rFonts w:ascii="Times" w:eastAsia="Times New Roman" w:hAnsi="Times" w:cstheme="minorHAnsi"/>
          <w:color w:val="000000" w:themeColor="text1"/>
        </w:rPr>
        <w:t xml:space="preserve"> (30kV)</w:t>
      </w:r>
      <w:r w:rsidR="00B90244" w:rsidRPr="008C2309">
        <w:rPr>
          <w:rFonts w:ascii="Times" w:eastAsia="Times New Roman" w:hAnsi="Times" w:cstheme="minorHAnsi"/>
          <w:color w:val="000000" w:themeColor="text1"/>
        </w:rPr>
        <w:t xml:space="preserve"> in the angular range (2θ) varying from 5-40</w:t>
      </w:r>
      <w:r w:rsidR="00E1397E" w:rsidRPr="008C2309">
        <w:rPr>
          <w:rFonts w:ascii="Times" w:eastAsia="Times New Roman" w:hAnsi="Times" w:cstheme="minorHAnsi"/>
          <w:color w:val="000000" w:themeColor="text1"/>
        </w:rPr>
        <w:t xml:space="preserve"> </w:t>
      </w:r>
      <w:r w:rsidR="00B90244" w:rsidRPr="008C2309">
        <w:rPr>
          <w:rFonts w:ascii="Times" w:eastAsia="Times New Roman" w:hAnsi="Times" w:cstheme="minorHAnsi"/>
          <w:color w:val="000000" w:themeColor="text1"/>
        </w:rPr>
        <w:t xml:space="preserve">° using a step scan mode with a </w:t>
      </w:r>
      <w:r w:rsidR="00B90244" w:rsidRPr="008C2309">
        <w:rPr>
          <w:rFonts w:ascii="Times" w:eastAsia="Times New Roman" w:hAnsi="Times" w:cstheme="minorHAnsi"/>
          <w:color w:val="000000" w:themeColor="text1"/>
        </w:rPr>
        <w:lastRenderedPageBreak/>
        <w:t>step width of 0.02</w:t>
      </w:r>
      <w:r w:rsidR="00E1397E" w:rsidRPr="008C2309">
        <w:rPr>
          <w:rFonts w:ascii="Times" w:eastAsia="Times New Roman" w:hAnsi="Times" w:cstheme="minorHAnsi"/>
          <w:color w:val="000000" w:themeColor="text1"/>
        </w:rPr>
        <w:t xml:space="preserve"> </w:t>
      </w:r>
      <w:r w:rsidR="00B90244" w:rsidRPr="008C2309">
        <w:rPr>
          <w:rFonts w:ascii="Times" w:eastAsia="Times New Roman" w:hAnsi="Times" w:cstheme="minorHAnsi"/>
          <w:color w:val="000000" w:themeColor="text1"/>
        </w:rPr>
        <w:t>° and a counting time of 2 s/step.</w:t>
      </w:r>
      <w:r w:rsidR="00D76D5E" w:rsidRPr="008C2309">
        <w:rPr>
          <w:rFonts w:ascii="Times" w:eastAsia="Times New Roman" w:hAnsi="Times" w:cstheme="minorHAnsi"/>
          <w:color w:val="000000" w:themeColor="text1"/>
        </w:rPr>
        <w:t xml:space="preserve"> Scans were performed </w:t>
      </w:r>
      <w:r w:rsidR="00422915" w:rsidRPr="008C2309">
        <w:rPr>
          <w:rFonts w:ascii="Times" w:eastAsia="Times New Roman" w:hAnsi="Times" w:cstheme="minorHAnsi"/>
          <w:color w:val="000000" w:themeColor="text1"/>
        </w:rPr>
        <w:t xml:space="preserve">in triplicate </w:t>
      </w:r>
      <w:r w:rsidR="00D76D5E" w:rsidRPr="008C2309">
        <w:rPr>
          <w:rFonts w:ascii="Times" w:eastAsia="Times New Roman" w:hAnsi="Times" w:cstheme="minorHAnsi"/>
          <w:color w:val="000000" w:themeColor="text1"/>
        </w:rPr>
        <w:t>at room temperature.</w:t>
      </w:r>
    </w:p>
    <w:p w14:paraId="6B5D2F0D" w14:textId="34300C2A" w:rsidR="00850893" w:rsidRPr="008C2309" w:rsidRDefault="00850893" w:rsidP="00E41DED">
      <w:pPr>
        <w:spacing w:line="480" w:lineRule="auto"/>
        <w:jc w:val="both"/>
        <w:rPr>
          <w:rFonts w:ascii="Times" w:eastAsia="Times New Roman" w:hAnsi="Times" w:cstheme="minorHAnsi"/>
          <w:color w:val="000000" w:themeColor="text1"/>
        </w:rPr>
      </w:pPr>
    </w:p>
    <w:p w14:paraId="474CD787" w14:textId="5973BEB3" w:rsidR="005856EB" w:rsidRPr="008C2309" w:rsidRDefault="00334289" w:rsidP="00BC7B0B">
      <w:pPr>
        <w:spacing w:line="480" w:lineRule="auto"/>
        <w:jc w:val="both"/>
        <w:rPr>
          <w:rFonts w:ascii="Times" w:eastAsia="Times New Roman" w:hAnsi="Times" w:cstheme="minorHAnsi"/>
          <w:i/>
          <w:color w:val="000000" w:themeColor="text1"/>
          <w:lang w:val="en-IE"/>
        </w:rPr>
      </w:pPr>
      <w:r w:rsidRPr="008C2309">
        <w:rPr>
          <w:rFonts w:ascii="Times" w:eastAsia="Times New Roman" w:hAnsi="Times" w:cstheme="minorHAnsi"/>
          <w:i/>
          <w:color w:val="000000" w:themeColor="text1"/>
          <w:lang w:val="en-IE"/>
        </w:rPr>
        <w:t xml:space="preserve">2.2.7 </w:t>
      </w:r>
      <w:r w:rsidR="005856EB" w:rsidRPr="008C2309">
        <w:rPr>
          <w:rFonts w:ascii="Times" w:eastAsia="Times New Roman" w:hAnsi="Times" w:cstheme="minorHAnsi"/>
          <w:i/>
          <w:color w:val="000000" w:themeColor="text1"/>
          <w:lang w:val="en-IE"/>
        </w:rPr>
        <w:t>Attenuated total reflectance Fourier transform infrared spectroscopy (ATR-FTIR)</w:t>
      </w:r>
    </w:p>
    <w:p w14:paraId="69F5441C" w14:textId="6CE9B903" w:rsidR="005856EB" w:rsidRPr="008C2309" w:rsidRDefault="005856EB" w:rsidP="00BC7B0B">
      <w:pPr>
        <w:spacing w:line="480" w:lineRule="auto"/>
        <w:jc w:val="both"/>
        <w:rPr>
          <w:rFonts w:ascii="Times" w:eastAsia="Times New Roman" w:hAnsi="Times" w:cstheme="minorHAnsi"/>
          <w:color w:val="000000" w:themeColor="text1"/>
          <w:lang w:val="en-IE"/>
        </w:rPr>
      </w:pPr>
      <w:r w:rsidRPr="008C2309">
        <w:rPr>
          <w:rFonts w:ascii="Times" w:eastAsia="Times New Roman" w:hAnsi="Times" w:cstheme="minorHAnsi"/>
          <w:color w:val="000000" w:themeColor="text1"/>
          <w:lang w:val="en-IE"/>
        </w:rPr>
        <w:t xml:space="preserve">Infrared spectra were recorded on a PerkinElmer Spectrum </w:t>
      </w:r>
      <w:r w:rsidRPr="008C2309">
        <w:rPr>
          <w:rFonts w:ascii="Times" w:eastAsia="Times New Roman" w:hAnsi="Times" w:cstheme="minorHAnsi"/>
          <w:lang w:val="en-IE"/>
        </w:rPr>
        <w:t>1 </w:t>
      </w:r>
      <w:hyperlink r:id="rId9" w:tooltip="Learn more about Fourier transform infrared spectroscopy" w:history="1">
        <w:r w:rsidRPr="008C2309">
          <w:rPr>
            <w:rStyle w:val="Hyperlink"/>
            <w:rFonts w:ascii="Times" w:eastAsia="Times New Roman" w:hAnsi="Times" w:cstheme="minorHAnsi"/>
            <w:color w:val="auto"/>
            <w:u w:val="none"/>
            <w:lang w:val="en-IE"/>
          </w:rPr>
          <w:t>FT-IR</w:t>
        </w:r>
      </w:hyperlink>
      <w:r w:rsidRPr="008C2309">
        <w:rPr>
          <w:rFonts w:ascii="Times" w:eastAsia="Times New Roman" w:hAnsi="Times" w:cstheme="minorHAnsi"/>
          <w:color w:val="000000" w:themeColor="text1"/>
          <w:lang w:val="en-IE"/>
        </w:rPr>
        <w:t> Spectrometer equipped with a UATR and a</w:t>
      </w:r>
      <w:r w:rsidR="00EB1963" w:rsidRPr="008C2309">
        <w:rPr>
          <w:rFonts w:ascii="Times" w:eastAsia="Times New Roman" w:hAnsi="Times" w:cstheme="minorHAnsi"/>
          <w:lang w:val="en-IE"/>
        </w:rPr>
        <w:t xml:space="preserve"> </w:t>
      </w:r>
      <w:hyperlink r:id="rId10" w:tooltip="Learn more about Zinc selenide" w:history="1">
        <w:r w:rsidRPr="008C2309">
          <w:rPr>
            <w:rStyle w:val="Hyperlink"/>
            <w:rFonts w:ascii="Times" w:eastAsia="Times New Roman" w:hAnsi="Times" w:cstheme="minorHAnsi"/>
            <w:color w:val="auto"/>
            <w:u w:val="none"/>
            <w:lang w:val="en-IE"/>
          </w:rPr>
          <w:t>ZnSe</w:t>
        </w:r>
      </w:hyperlink>
      <w:r w:rsidR="00EB1963" w:rsidRPr="008C2309">
        <w:rPr>
          <w:rFonts w:ascii="Times" w:eastAsia="Times New Roman" w:hAnsi="Times" w:cstheme="minorHAnsi"/>
          <w:color w:val="000000" w:themeColor="text1"/>
          <w:lang w:val="en-IE"/>
        </w:rPr>
        <w:t xml:space="preserve"> </w:t>
      </w:r>
      <w:r w:rsidRPr="008C2309">
        <w:rPr>
          <w:rFonts w:ascii="Times" w:eastAsia="Times New Roman" w:hAnsi="Times" w:cstheme="minorHAnsi"/>
          <w:color w:val="000000" w:themeColor="text1"/>
          <w:lang w:val="en-IE"/>
        </w:rPr>
        <w:t>crystal accessory. Each spectrum was scanned in the range of 650–4000 cm</w:t>
      </w:r>
      <w:r w:rsidRPr="008C2309">
        <w:rPr>
          <w:rFonts w:ascii="Times" w:eastAsia="Times New Roman" w:hAnsi="Times" w:cstheme="minorHAnsi"/>
          <w:color w:val="000000" w:themeColor="text1"/>
          <w:vertAlign w:val="superscript"/>
          <w:lang w:val="en-IE"/>
        </w:rPr>
        <w:t>−1</w:t>
      </w:r>
      <w:r w:rsidRPr="008C2309">
        <w:rPr>
          <w:rFonts w:ascii="Times" w:eastAsia="Times New Roman" w:hAnsi="Times" w:cstheme="minorHAnsi"/>
          <w:color w:val="000000" w:themeColor="text1"/>
          <w:lang w:val="en-IE"/>
        </w:rPr>
        <w:t> with a resolution of 4 cm</w:t>
      </w:r>
      <w:r w:rsidRPr="008C2309">
        <w:rPr>
          <w:rFonts w:ascii="Times" w:eastAsia="Times New Roman" w:hAnsi="Times" w:cstheme="minorHAnsi"/>
          <w:color w:val="000000" w:themeColor="text1"/>
          <w:vertAlign w:val="superscript"/>
          <w:lang w:val="en-IE"/>
        </w:rPr>
        <w:t>−1</w:t>
      </w:r>
      <w:r w:rsidRPr="008C2309">
        <w:rPr>
          <w:rFonts w:ascii="Times" w:eastAsia="Times New Roman" w:hAnsi="Times" w:cstheme="minorHAnsi"/>
          <w:color w:val="000000" w:themeColor="text1"/>
          <w:lang w:val="en-IE"/>
        </w:rPr>
        <w:t>. Data were evaluated using Spectrum v 5.0.1. software. Four scans of each sample were taken</w:t>
      </w:r>
      <w:r w:rsidR="003B4553" w:rsidRPr="008C2309">
        <w:rPr>
          <w:rFonts w:ascii="Times" w:eastAsia="Times New Roman" w:hAnsi="Times" w:cstheme="minorHAnsi"/>
          <w:color w:val="000000" w:themeColor="text1"/>
          <w:lang w:val="en-IE"/>
        </w:rPr>
        <w:t>.</w:t>
      </w:r>
      <w:r w:rsidR="0037589F" w:rsidRPr="008C2309">
        <w:rPr>
          <w:rFonts w:ascii="Times" w:eastAsia="Times New Roman" w:hAnsi="Times" w:cstheme="minorHAnsi"/>
          <w:color w:val="000000" w:themeColor="text1"/>
          <w:lang w:val="en-IE"/>
        </w:rPr>
        <w:t xml:space="preserve"> </w:t>
      </w:r>
      <w:r w:rsidR="00A01EE7" w:rsidRPr="008C2309">
        <w:rPr>
          <w:rFonts w:ascii="Times" w:eastAsia="Times New Roman" w:hAnsi="Times" w:cstheme="minorHAnsi"/>
          <w:color w:val="000000" w:themeColor="text1"/>
          <w:lang w:val="en-IE"/>
        </w:rPr>
        <w:t>The crystalline materials in the formulations were converted to their amorphous component counterparts by melt quenching</w:t>
      </w:r>
      <w:r w:rsidR="00F36BAA" w:rsidRPr="008C2309">
        <w:rPr>
          <w:rFonts w:ascii="Times" w:eastAsia="Times New Roman" w:hAnsi="Times" w:cstheme="minorHAnsi"/>
          <w:color w:val="000000" w:themeColor="text1"/>
          <w:lang w:val="en-IE"/>
        </w:rPr>
        <w:t xml:space="preserve"> (heating on a hotplate and subsequently dipping into liquid nitrogen)</w:t>
      </w:r>
      <w:r w:rsidR="00A01EE7" w:rsidRPr="008C2309">
        <w:rPr>
          <w:rFonts w:ascii="Times" w:eastAsia="Times New Roman" w:hAnsi="Times" w:cstheme="minorHAnsi"/>
          <w:color w:val="000000" w:themeColor="text1"/>
          <w:lang w:val="en-IE"/>
        </w:rPr>
        <w:t xml:space="preserve"> and these were mixed in the desired proportions using a pestle and mortar</w:t>
      </w:r>
      <w:r w:rsidR="000D6CAF" w:rsidRPr="008C2309">
        <w:rPr>
          <w:rFonts w:ascii="Times" w:eastAsia="Times New Roman" w:hAnsi="Times" w:cstheme="minorHAnsi"/>
          <w:color w:val="000000" w:themeColor="text1"/>
          <w:lang w:val="en-IE"/>
        </w:rPr>
        <w:t xml:space="preserve"> to obtain</w:t>
      </w:r>
      <w:r w:rsidR="00154F2F" w:rsidRPr="008C2309">
        <w:rPr>
          <w:rFonts w:ascii="Times" w:eastAsia="Times New Roman" w:hAnsi="Times" w:cstheme="minorHAnsi"/>
          <w:color w:val="000000" w:themeColor="text1"/>
          <w:lang w:val="en-IE"/>
        </w:rPr>
        <w:t xml:space="preserve"> amorphous</w:t>
      </w:r>
      <w:r w:rsidR="000D6CAF" w:rsidRPr="008C2309">
        <w:rPr>
          <w:rFonts w:ascii="Times" w:eastAsia="Times New Roman" w:hAnsi="Times" w:cstheme="minorHAnsi"/>
          <w:color w:val="000000" w:themeColor="text1"/>
          <w:lang w:val="en-IE"/>
        </w:rPr>
        <w:t xml:space="preserve"> physical mixtures</w:t>
      </w:r>
      <w:r w:rsidR="009A1A80" w:rsidRPr="008C2309">
        <w:rPr>
          <w:rFonts w:ascii="Times" w:eastAsia="Times New Roman" w:hAnsi="Times" w:cstheme="minorHAnsi"/>
          <w:color w:val="000000" w:themeColor="text1"/>
          <w:lang w:val="en-IE"/>
        </w:rPr>
        <w:t xml:space="preserve"> which were then subjected to FT-IR</w:t>
      </w:r>
      <w:r w:rsidR="00A01EE7" w:rsidRPr="008C2309">
        <w:rPr>
          <w:rFonts w:ascii="Times" w:eastAsia="Times New Roman" w:hAnsi="Times" w:cstheme="minorHAnsi"/>
          <w:color w:val="000000" w:themeColor="text1"/>
          <w:lang w:val="en-IE"/>
        </w:rPr>
        <w:t>.</w:t>
      </w:r>
    </w:p>
    <w:p w14:paraId="324F79D4" w14:textId="77777777" w:rsidR="00DE2627" w:rsidRPr="008C2309" w:rsidRDefault="00DE2627" w:rsidP="00E41DED">
      <w:pPr>
        <w:spacing w:line="480" w:lineRule="auto"/>
        <w:jc w:val="both"/>
        <w:rPr>
          <w:rFonts w:ascii="Times" w:eastAsia="Times New Roman" w:hAnsi="Times" w:cstheme="minorHAnsi"/>
          <w:color w:val="000000" w:themeColor="text1"/>
        </w:rPr>
      </w:pPr>
    </w:p>
    <w:p w14:paraId="2CCC4D8F" w14:textId="134A38E4" w:rsidR="00645323" w:rsidRPr="008C2309" w:rsidRDefault="0036535B" w:rsidP="00E41DED">
      <w:pPr>
        <w:spacing w:line="480" w:lineRule="auto"/>
        <w:jc w:val="both"/>
        <w:rPr>
          <w:rFonts w:ascii="Times" w:eastAsia="Times New Roman" w:hAnsi="Times" w:cstheme="minorHAnsi"/>
          <w:i/>
          <w:color w:val="000000" w:themeColor="text1"/>
        </w:rPr>
      </w:pPr>
      <w:r w:rsidRPr="008C2309">
        <w:rPr>
          <w:rFonts w:ascii="Times" w:eastAsia="Times New Roman" w:hAnsi="Times" w:cstheme="minorHAnsi"/>
          <w:i/>
          <w:color w:val="000000" w:themeColor="text1"/>
        </w:rPr>
        <w:t>2.2.</w:t>
      </w:r>
      <w:r w:rsidR="00334289" w:rsidRPr="008C2309">
        <w:rPr>
          <w:rFonts w:ascii="Times" w:eastAsia="Times New Roman" w:hAnsi="Times" w:cstheme="minorHAnsi"/>
          <w:i/>
          <w:color w:val="000000" w:themeColor="text1"/>
        </w:rPr>
        <w:t>8</w:t>
      </w:r>
      <w:r w:rsidRPr="008C2309">
        <w:rPr>
          <w:rFonts w:ascii="Times" w:eastAsia="Times New Roman" w:hAnsi="Times" w:cstheme="minorHAnsi"/>
          <w:i/>
          <w:color w:val="000000" w:themeColor="text1"/>
        </w:rPr>
        <w:t xml:space="preserve"> </w:t>
      </w:r>
      <w:r w:rsidR="00645323" w:rsidRPr="008C2309">
        <w:rPr>
          <w:rFonts w:ascii="Times" w:eastAsia="Times New Roman" w:hAnsi="Times" w:cstheme="minorHAnsi"/>
          <w:i/>
          <w:color w:val="000000" w:themeColor="text1"/>
        </w:rPr>
        <w:t>Scanning Electron Microscopy (SEM)</w:t>
      </w:r>
    </w:p>
    <w:p w14:paraId="34C841C3" w14:textId="6408A538" w:rsidR="00645323" w:rsidRPr="008C2309" w:rsidRDefault="0007672E"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 xml:space="preserve">SEM was conducted </w:t>
      </w:r>
      <w:r w:rsidR="00C243B2" w:rsidRPr="008C2309">
        <w:rPr>
          <w:rFonts w:ascii="Times" w:hAnsi="Times" w:cstheme="minorHAnsi"/>
          <w:color w:val="000000" w:themeColor="text1"/>
        </w:rPr>
        <w:t xml:space="preserve">on both particles and surfaces of compacts compressed </w:t>
      </w:r>
      <w:r w:rsidRPr="008C2309">
        <w:rPr>
          <w:rFonts w:ascii="Times" w:hAnsi="Times" w:cstheme="minorHAnsi"/>
          <w:color w:val="000000" w:themeColor="text1"/>
        </w:rPr>
        <w:t xml:space="preserve">in the </w:t>
      </w:r>
      <w:r w:rsidR="00E42E04" w:rsidRPr="008C2309">
        <w:rPr>
          <w:rFonts w:ascii="Times" w:hAnsi="Times" w:cstheme="minorHAnsi"/>
          <w:color w:val="000000" w:themeColor="text1"/>
        </w:rPr>
        <w:t>W</w:t>
      </w:r>
      <w:r w:rsidRPr="008C2309">
        <w:rPr>
          <w:rFonts w:ascii="Times" w:hAnsi="Times" w:cstheme="minorHAnsi"/>
          <w:color w:val="000000" w:themeColor="text1"/>
        </w:rPr>
        <w:t>ood</w:t>
      </w:r>
      <w:r w:rsidR="00E42E04" w:rsidRPr="008C2309">
        <w:rPr>
          <w:rFonts w:ascii="Times" w:hAnsi="Times" w:cstheme="minorHAnsi"/>
          <w:color w:val="000000" w:themeColor="text1"/>
        </w:rPr>
        <w:t>’</w:t>
      </w:r>
      <w:r w:rsidRPr="008C2309">
        <w:rPr>
          <w:rFonts w:ascii="Times" w:hAnsi="Times" w:cstheme="minorHAnsi"/>
          <w:color w:val="000000" w:themeColor="text1"/>
        </w:rPr>
        <w:t xml:space="preserve">s apparatus </w:t>
      </w:r>
      <w:r w:rsidR="00C243B2" w:rsidRPr="008C2309">
        <w:rPr>
          <w:rFonts w:ascii="Times" w:hAnsi="Times" w:cstheme="minorHAnsi"/>
          <w:color w:val="000000" w:themeColor="text1"/>
        </w:rPr>
        <w:t>(for dissolution testing)</w:t>
      </w:r>
      <w:r w:rsidRPr="008C2309">
        <w:rPr>
          <w:rFonts w:ascii="Times" w:hAnsi="Times" w:cstheme="minorHAnsi"/>
          <w:color w:val="000000" w:themeColor="text1"/>
        </w:rPr>
        <w:t xml:space="preserve">. </w:t>
      </w:r>
      <w:r w:rsidR="00645323" w:rsidRPr="008C2309">
        <w:rPr>
          <w:rFonts w:ascii="Times" w:hAnsi="Times" w:cstheme="minorHAnsi"/>
          <w:color w:val="000000" w:themeColor="text1"/>
        </w:rPr>
        <w:t xml:space="preserve">The surface images of the samples were captured at various magnifications by </w:t>
      </w:r>
      <w:r w:rsidR="00D531A0" w:rsidRPr="008C2309">
        <w:rPr>
          <w:rFonts w:ascii="Times" w:hAnsi="Times" w:cstheme="minorHAnsi"/>
          <w:color w:val="000000" w:themeColor="text1"/>
        </w:rPr>
        <w:t xml:space="preserve">SEM </w:t>
      </w:r>
      <w:r w:rsidR="00645323" w:rsidRPr="008C2309">
        <w:rPr>
          <w:rFonts w:ascii="Times" w:hAnsi="Times" w:cstheme="minorHAnsi"/>
          <w:color w:val="000000" w:themeColor="text1"/>
        </w:rPr>
        <w:t>using a Zeiss Supra Variable Pressure Field Emission Scanning Electron Microscope (Zeiss,</w:t>
      </w:r>
      <w:r w:rsidR="008A2DD6" w:rsidRPr="008C2309">
        <w:rPr>
          <w:rFonts w:ascii="Times" w:hAnsi="Times" w:cstheme="minorHAnsi"/>
          <w:color w:val="000000" w:themeColor="text1"/>
        </w:rPr>
        <w:t xml:space="preserve"> Oberkochen,</w:t>
      </w:r>
      <w:r w:rsidR="00645323" w:rsidRPr="008C2309">
        <w:rPr>
          <w:rFonts w:ascii="Times" w:hAnsi="Times" w:cstheme="minorHAnsi"/>
          <w:color w:val="000000" w:themeColor="text1"/>
        </w:rPr>
        <w:t xml:space="preserve"> Germany) equipped with a secondary electron detector at 5 kV. </w:t>
      </w:r>
      <w:r w:rsidR="00C243B2" w:rsidRPr="008C2309">
        <w:rPr>
          <w:rFonts w:ascii="Times" w:hAnsi="Times" w:cstheme="minorHAnsi"/>
          <w:color w:val="000000" w:themeColor="text1"/>
        </w:rPr>
        <w:t>Powder s</w:t>
      </w:r>
      <w:r w:rsidR="00645323" w:rsidRPr="008C2309">
        <w:rPr>
          <w:rFonts w:ascii="Times" w:hAnsi="Times" w:cstheme="minorHAnsi"/>
          <w:color w:val="000000" w:themeColor="text1"/>
        </w:rPr>
        <w:t>amples were glued onto carbon tabs mounted on to aluminium pin stubs and sputter-coated with gold under vacuum prior to analysis. Powder compacts were glued onto aluminium stubs using carbon cement and sputter-coated with gold under vacuum prior to analysis.</w:t>
      </w:r>
    </w:p>
    <w:p w14:paraId="1D861BEB" w14:textId="77777777" w:rsidR="00C24596" w:rsidRPr="008C2309" w:rsidRDefault="00C24596" w:rsidP="00E41DED">
      <w:pPr>
        <w:spacing w:line="480" w:lineRule="auto"/>
        <w:jc w:val="both"/>
        <w:rPr>
          <w:rFonts w:ascii="Times" w:hAnsi="Times" w:cstheme="minorHAnsi"/>
          <w:color w:val="000000" w:themeColor="text1"/>
        </w:rPr>
      </w:pPr>
    </w:p>
    <w:p w14:paraId="0A64652C" w14:textId="0DA45EB4" w:rsidR="000D6669" w:rsidRPr="008C2309" w:rsidRDefault="0036535B" w:rsidP="00E41DED">
      <w:pPr>
        <w:spacing w:line="480" w:lineRule="auto"/>
        <w:jc w:val="both"/>
        <w:rPr>
          <w:rFonts w:ascii="Times" w:hAnsi="Times" w:cstheme="minorHAnsi"/>
          <w:i/>
          <w:color w:val="000000" w:themeColor="text1"/>
        </w:rPr>
      </w:pPr>
      <w:r w:rsidRPr="008C2309">
        <w:rPr>
          <w:rFonts w:ascii="Times" w:hAnsi="Times" w:cstheme="minorHAnsi"/>
          <w:i/>
          <w:color w:val="000000" w:themeColor="text1"/>
        </w:rPr>
        <w:t>2.2.</w:t>
      </w:r>
      <w:r w:rsidR="00334289" w:rsidRPr="008C2309">
        <w:rPr>
          <w:rFonts w:ascii="Times" w:hAnsi="Times" w:cstheme="minorHAnsi"/>
          <w:i/>
          <w:color w:val="000000" w:themeColor="text1"/>
        </w:rPr>
        <w:t>9</w:t>
      </w:r>
      <w:r w:rsidRPr="008C2309">
        <w:rPr>
          <w:rFonts w:ascii="Times" w:hAnsi="Times" w:cstheme="minorHAnsi"/>
          <w:i/>
          <w:color w:val="000000" w:themeColor="text1"/>
        </w:rPr>
        <w:t xml:space="preserve"> </w:t>
      </w:r>
      <w:r w:rsidR="000D6669" w:rsidRPr="008C2309">
        <w:rPr>
          <w:rFonts w:ascii="Times" w:hAnsi="Times" w:cstheme="minorHAnsi"/>
          <w:i/>
          <w:color w:val="000000" w:themeColor="text1"/>
        </w:rPr>
        <w:t>Particle Size Analysis (PSA)</w:t>
      </w:r>
    </w:p>
    <w:p w14:paraId="488A00E1" w14:textId="1DB31E44" w:rsidR="000D6669" w:rsidRPr="008C2309" w:rsidRDefault="000D6669"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lastRenderedPageBreak/>
        <w:t xml:space="preserve">Particle size measurements were performed by laser diffraction using a Malvern Mastersizer 2000 particle sizer (Malvern Instruments Ltd, Worchester, UK) with Scirocco 2000 accessory. The dispersive air pressure used was 2.5 bar. Samples </w:t>
      </w:r>
      <w:r w:rsidR="001068A4" w:rsidRPr="008C2309">
        <w:rPr>
          <w:rFonts w:ascii="Times" w:hAnsi="Times" w:cstheme="minorHAnsi"/>
          <w:color w:val="000000" w:themeColor="text1"/>
        </w:rPr>
        <w:t xml:space="preserve">were </w:t>
      </w:r>
      <w:r w:rsidRPr="008C2309">
        <w:rPr>
          <w:rFonts w:ascii="Times" w:hAnsi="Times" w:cstheme="minorHAnsi"/>
          <w:color w:val="000000" w:themeColor="text1"/>
        </w:rPr>
        <w:t>run at a vibration feed rate of 50%. The particle size reported is the</w:t>
      </w:r>
      <w:r w:rsidR="004F7C3D" w:rsidRPr="008C2309">
        <w:rPr>
          <w:rFonts w:ascii="Times" w:hAnsi="Times" w:cstheme="minorHAnsi"/>
          <w:color w:val="000000" w:themeColor="text1"/>
        </w:rPr>
        <w:t xml:space="preserve"> median diameter</w:t>
      </w:r>
      <w:r w:rsidRPr="008C2309">
        <w:rPr>
          <w:rFonts w:ascii="Times" w:hAnsi="Times" w:cstheme="minorHAnsi"/>
          <w:color w:val="000000" w:themeColor="text1"/>
        </w:rPr>
        <w:t> d</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(0.5).</w:t>
      </w:r>
      <w:r w:rsidR="004F7C3D" w:rsidRPr="008C2309">
        <w:t xml:space="preserve"> The d (0.5) is the diameter where 50% of the </w:t>
      </w:r>
      <w:r w:rsidR="00C243B2" w:rsidRPr="008C2309">
        <w:t xml:space="preserve">cumulative </w:t>
      </w:r>
      <w:r w:rsidR="004F7C3D" w:rsidRPr="008C2309">
        <w:t>distribution is above and 50% is below</w:t>
      </w:r>
      <w:r w:rsidR="00C243B2" w:rsidRPr="008C2309">
        <w:t xml:space="preserve"> this size</w:t>
      </w:r>
      <w:r w:rsidR="004F7C3D" w:rsidRPr="008C2309">
        <w:t>.</w:t>
      </w:r>
      <w:r w:rsidRPr="008C2309">
        <w:rPr>
          <w:rFonts w:ascii="Times" w:hAnsi="Times" w:cstheme="minorHAnsi"/>
          <w:color w:val="000000" w:themeColor="text1"/>
        </w:rPr>
        <w:t xml:space="preserve"> The values presented are the average of at least three determinations. Mastersizer 2000 software (Version 5.61) was used for the analysis of the particle size. </w:t>
      </w:r>
    </w:p>
    <w:p w14:paraId="3CE9B6A0" w14:textId="77777777" w:rsidR="00C24596" w:rsidRPr="008C2309" w:rsidRDefault="00C24596" w:rsidP="00E41DED">
      <w:pPr>
        <w:spacing w:line="480" w:lineRule="auto"/>
        <w:jc w:val="both"/>
        <w:outlineLvl w:val="0"/>
        <w:rPr>
          <w:rFonts w:ascii="Times" w:eastAsia="Times New Roman" w:hAnsi="Times" w:cstheme="minorHAnsi"/>
          <w:color w:val="000000" w:themeColor="text1"/>
        </w:rPr>
      </w:pPr>
    </w:p>
    <w:p w14:paraId="58B1A7F0" w14:textId="4EB3DBA0" w:rsidR="00F64E94" w:rsidRPr="008C2309" w:rsidRDefault="0036535B" w:rsidP="00E41DED">
      <w:pPr>
        <w:spacing w:line="480" w:lineRule="auto"/>
        <w:jc w:val="both"/>
        <w:outlineLvl w:val="0"/>
        <w:rPr>
          <w:rFonts w:ascii="Times" w:eastAsia="Times New Roman" w:hAnsi="Times" w:cstheme="minorHAnsi"/>
          <w:i/>
          <w:color w:val="000000" w:themeColor="text1"/>
        </w:rPr>
      </w:pPr>
      <w:r w:rsidRPr="008C2309">
        <w:rPr>
          <w:rFonts w:ascii="Times" w:eastAsia="Times New Roman" w:hAnsi="Times" w:cstheme="minorHAnsi"/>
          <w:i/>
          <w:color w:val="000000" w:themeColor="text1"/>
        </w:rPr>
        <w:t>2.2.</w:t>
      </w:r>
      <w:r w:rsidR="00334289" w:rsidRPr="008C2309">
        <w:rPr>
          <w:rFonts w:ascii="Times" w:eastAsia="Times New Roman" w:hAnsi="Times" w:cstheme="minorHAnsi"/>
          <w:i/>
          <w:color w:val="000000" w:themeColor="text1"/>
        </w:rPr>
        <w:t>10</w:t>
      </w:r>
      <w:r w:rsidRPr="008C2309">
        <w:rPr>
          <w:rFonts w:ascii="Times" w:eastAsia="Times New Roman" w:hAnsi="Times" w:cstheme="minorHAnsi"/>
          <w:i/>
          <w:color w:val="000000" w:themeColor="text1"/>
        </w:rPr>
        <w:t xml:space="preserve"> </w:t>
      </w:r>
      <w:r w:rsidR="00C26415" w:rsidRPr="008C2309">
        <w:rPr>
          <w:rFonts w:ascii="Times" w:eastAsia="Times New Roman" w:hAnsi="Times" w:cstheme="minorHAnsi"/>
          <w:i/>
          <w:color w:val="000000" w:themeColor="text1"/>
        </w:rPr>
        <w:t>Intrinsic</w:t>
      </w:r>
      <w:r w:rsidR="00F64E94" w:rsidRPr="008C2309">
        <w:rPr>
          <w:rFonts w:ascii="Times" w:eastAsia="Times New Roman" w:hAnsi="Times" w:cstheme="minorHAnsi"/>
          <w:i/>
          <w:color w:val="000000" w:themeColor="text1"/>
        </w:rPr>
        <w:t xml:space="preserve"> drug</w:t>
      </w:r>
      <w:r w:rsidR="00C243B2" w:rsidRPr="008C2309">
        <w:rPr>
          <w:rFonts w:ascii="Times" w:eastAsia="Times New Roman" w:hAnsi="Times" w:cstheme="minorHAnsi"/>
          <w:i/>
          <w:color w:val="000000" w:themeColor="text1"/>
        </w:rPr>
        <w:t xml:space="preserve"> </w:t>
      </w:r>
      <w:r w:rsidR="00F64E94" w:rsidRPr="008C2309">
        <w:rPr>
          <w:rFonts w:ascii="Times" w:eastAsia="Times New Roman" w:hAnsi="Times" w:cstheme="minorHAnsi"/>
          <w:i/>
          <w:color w:val="000000" w:themeColor="text1"/>
        </w:rPr>
        <w:t xml:space="preserve">dissolution </w:t>
      </w:r>
    </w:p>
    <w:p w14:paraId="151CF67D" w14:textId="0165B5E7" w:rsidR="00046C00" w:rsidRPr="008C2309" w:rsidRDefault="00C26415" w:rsidP="00E41DED">
      <w:pPr>
        <w:spacing w:line="480" w:lineRule="auto"/>
        <w:jc w:val="both"/>
        <w:rPr>
          <w:rFonts w:ascii="Times" w:hAnsi="Times" w:cstheme="minorHAnsi"/>
          <w:color w:val="000000" w:themeColor="text1"/>
          <w:shd w:val="clear" w:color="auto" w:fill="FFFFFF"/>
        </w:rPr>
      </w:pPr>
      <w:r w:rsidRPr="008C2309">
        <w:rPr>
          <w:rFonts w:ascii="Times" w:hAnsi="Times" w:cstheme="minorHAnsi"/>
          <w:color w:val="000000" w:themeColor="text1"/>
          <w:shd w:val="clear" w:color="auto" w:fill="FFFFFF"/>
        </w:rPr>
        <w:t xml:space="preserve">The </w:t>
      </w:r>
      <w:r w:rsidR="009277D9" w:rsidRPr="008C2309">
        <w:rPr>
          <w:rFonts w:ascii="Times" w:hAnsi="Times" w:cstheme="minorHAnsi"/>
          <w:color w:val="000000" w:themeColor="text1"/>
          <w:shd w:val="clear" w:color="auto" w:fill="FFFFFF"/>
        </w:rPr>
        <w:t>intrinsic dissolution rate</w:t>
      </w:r>
      <w:r w:rsidRPr="008C2309">
        <w:rPr>
          <w:rFonts w:ascii="Times" w:hAnsi="Times" w:cstheme="minorHAnsi"/>
          <w:color w:val="000000" w:themeColor="text1"/>
          <w:shd w:val="clear" w:color="auto" w:fill="FFFFFF"/>
        </w:rPr>
        <w:t xml:space="preserve"> of</w:t>
      </w:r>
      <w:r w:rsidR="00EC3CC2" w:rsidRPr="008C2309">
        <w:rPr>
          <w:rFonts w:ascii="Times" w:hAnsi="Times" w:cstheme="minorHAnsi"/>
          <w:color w:val="000000" w:themeColor="text1"/>
          <w:shd w:val="clear" w:color="auto" w:fill="FFFFFF"/>
        </w:rPr>
        <w:t xml:space="preserve"> manufactured formulations</w:t>
      </w:r>
      <w:r w:rsidR="002A2548" w:rsidRPr="008C2309">
        <w:rPr>
          <w:rFonts w:ascii="Times" w:hAnsi="Times" w:cstheme="minorHAnsi"/>
          <w:color w:val="000000" w:themeColor="text1"/>
          <w:shd w:val="clear" w:color="auto" w:fill="FFFFFF"/>
        </w:rPr>
        <w:t xml:space="preserve"> </w:t>
      </w:r>
      <w:r w:rsidRPr="008C2309">
        <w:rPr>
          <w:rFonts w:ascii="Times" w:hAnsi="Times" w:cstheme="minorHAnsi"/>
          <w:color w:val="000000" w:themeColor="text1"/>
          <w:shd w:val="clear" w:color="auto" w:fill="FFFFFF"/>
        </w:rPr>
        <w:t xml:space="preserve">was determined using a </w:t>
      </w:r>
      <w:r w:rsidR="00E447AC" w:rsidRPr="008C2309">
        <w:rPr>
          <w:rFonts w:ascii="Times" w:hAnsi="Times" w:cstheme="minorHAnsi"/>
          <w:color w:val="000000" w:themeColor="text1"/>
          <w:shd w:val="clear" w:color="auto" w:fill="FFFFFF"/>
        </w:rPr>
        <w:t xml:space="preserve">Wood’s </w:t>
      </w:r>
      <w:r w:rsidRPr="008C2309">
        <w:rPr>
          <w:rFonts w:ascii="Times" w:hAnsi="Times" w:cstheme="minorHAnsi"/>
          <w:color w:val="000000" w:themeColor="text1"/>
          <w:shd w:val="clear" w:color="auto" w:fill="FFFFFF"/>
        </w:rPr>
        <w:t>apparatus</w:t>
      </w:r>
      <w:r w:rsidR="004F7C3D" w:rsidRPr="008C2309">
        <w:rPr>
          <w:rFonts w:ascii="Times" w:hAnsi="Times" w:cstheme="minorHAnsi"/>
          <w:color w:val="000000" w:themeColor="text1"/>
          <w:shd w:val="clear" w:color="auto" w:fill="FFFFFF"/>
        </w:rPr>
        <w:t xml:space="preserve"> (Quality Lab Accessories, Telford, PA, USA.)</w:t>
      </w:r>
      <w:r w:rsidRPr="008C2309">
        <w:rPr>
          <w:rFonts w:ascii="Times" w:hAnsi="Times" w:cstheme="minorHAnsi"/>
          <w:color w:val="000000" w:themeColor="text1"/>
          <w:shd w:val="clear" w:color="auto" w:fill="FFFFFF"/>
        </w:rPr>
        <w:t>. 200</w:t>
      </w:r>
      <w:r w:rsidR="00C243B2" w:rsidRPr="008C2309">
        <w:rPr>
          <w:rFonts w:ascii="Times" w:hAnsi="Times" w:cstheme="minorHAnsi"/>
          <w:color w:val="000000" w:themeColor="text1"/>
          <w:shd w:val="clear" w:color="auto" w:fill="FFFFFF"/>
        </w:rPr>
        <w:t xml:space="preserve"> </w:t>
      </w:r>
      <w:r w:rsidRPr="008C2309">
        <w:rPr>
          <w:rFonts w:ascii="Times" w:hAnsi="Times" w:cstheme="minorHAnsi"/>
          <w:color w:val="000000" w:themeColor="text1"/>
          <w:shd w:val="clear" w:color="auto" w:fill="FFFFFF"/>
        </w:rPr>
        <w:t xml:space="preserve">mg of each </w:t>
      </w:r>
      <w:r w:rsidR="00EC3CC2" w:rsidRPr="008C2309">
        <w:rPr>
          <w:rFonts w:ascii="Times" w:hAnsi="Times" w:cstheme="minorHAnsi"/>
          <w:color w:val="000000" w:themeColor="text1"/>
          <w:shd w:val="clear" w:color="auto" w:fill="FFFFFF"/>
        </w:rPr>
        <w:t>formulation</w:t>
      </w:r>
      <w:r w:rsidRPr="008C2309">
        <w:rPr>
          <w:rFonts w:ascii="Times" w:hAnsi="Times" w:cstheme="minorHAnsi"/>
          <w:color w:val="000000" w:themeColor="text1"/>
          <w:shd w:val="clear" w:color="auto" w:fill="FFFFFF"/>
        </w:rPr>
        <w:t xml:space="preserve"> </w:t>
      </w:r>
      <w:r w:rsidR="006B52FD" w:rsidRPr="008C2309">
        <w:rPr>
          <w:rFonts w:ascii="Times" w:hAnsi="Times" w:cstheme="minorHAnsi"/>
          <w:color w:val="000000" w:themeColor="text1"/>
          <w:shd w:val="clear" w:color="auto" w:fill="FFFFFF"/>
        </w:rPr>
        <w:t>(equivalent to 10</w:t>
      </w:r>
      <w:r w:rsidR="00C243B2" w:rsidRPr="008C2309">
        <w:rPr>
          <w:rFonts w:ascii="Times" w:hAnsi="Times" w:cstheme="minorHAnsi"/>
          <w:color w:val="000000" w:themeColor="text1"/>
          <w:shd w:val="clear" w:color="auto" w:fill="FFFFFF"/>
        </w:rPr>
        <w:t xml:space="preserve"> </w:t>
      </w:r>
      <w:r w:rsidR="006B52FD" w:rsidRPr="008C2309">
        <w:rPr>
          <w:rFonts w:ascii="Times" w:hAnsi="Times" w:cstheme="minorHAnsi"/>
          <w:color w:val="000000" w:themeColor="text1"/>
          <w:shd w:val="clear" w:color="auto" w:fill="FFFFFF"/>
        </w:rPr>
        <w:t>mg RAM and 25</w:t>
      </w:r>
      <w:r w:rsidR="00C243B2" w:rsidRPr="008C2309">
        <w:rPr>
          <w:rFonts w:ascii="Times" w:hAnsi="Times" w:cstheme="minorHAnsi"/>
          <w:color w:val="000000" w:themeColor="text1"/>
          <w:shd w:val="clear" w:color="auto" w:fill="FFFFFF"/>
        </w:rPr>
        <w:t xml:space="preserve"> </w:t>
      </w:r>
      <w:r w:rsidR="006B52FD" w:rsidRPr="008C2309">
        <w:rPr>
          <w:rFonts w:ascii="Times" w:hAnsi="Times" w:cstheme="minorHAnsi"/>
          <w:color w:val="000000" w:themeColor="text1"/>
          <w:shd w:val="clear" w:color="auto" w:fill="FFFFFF"/>
        </w:rPr>
        <w:t xml:space="preserve">mg HCTZ) </w:t>
      </w:r>
      <w:r w:rsidRPr="008C2309">
        <w:rPr>
          <w:rFonts w:ascii="Times" w:hAnsi="Times" w:cstheme="minorHAnsi"/>
          <w:color w:val="000000" w:themeColor="text1"/>
          <w:shd w:val="clear" w:color="auto" w:fill="FFFFFF"/>
        </w:rPr>
        <w:t>was weighed and compressed in the 8</w:t>
      </w:r>
      <w:r w:rsidR="00C243B2" w:rsidRPr="008C2309">
        <w:rPr>
          <w:rFonts w:ascii="Times" w:hAnsi="Times" w:cstheme="minorHAnsi"/>
          <w:color w:val="000000" w:themeColor="text1"/>
          <w:shd w:val="clear" w:color="auto" w:fill="FFFFFF"/>
        </w:rPr>
        <w:t xml:space="preserve"> </w:t>
      </w:r>
      <w:r w:rsidRPr="008C2309">
        <w:rPr>
          <w:rFonts w:ascii="Times" w:hAnsi="Times" w:cstheme="minorHAnsi"/>
          <w:color w:val="000000" w:themeColor="text1"/>
          <w:shd w:val="clear" w:color="auto" w:fill="FFFFFF"/>
        </w:rPr>
        <w:t xml:space="preserve">mm punch and die set of the </w:t>
      </w:r>
      <w:r w:rsidR="00E447AC" w:rsidRPr="008C2309">
        <w:rPr>
          <w:rFonts w:ascii="Times" w:hAnsi="Times" w:cstheme="minorHAnsi"/>
          <w:color w:val="000000" w:themeColor="text1"/>
          <w:shd w:val="clear" w:color="auto" w:fill="FFFFFF"/>
        </w:rPr>
        <w:t>W</w:t>
      </w:r>
      <w:r w:rsidRPr="008C2309">
        <w:rPr>
          <w:rFonts w:ascii="Times" w:hAnsi="Times" w:cstheme="minorHAnsi"/>
          <w:color w:val="000000" w:themeColor="text1"/>
          <w:shd w:val="clear" w:color="auto" w:fill="FFFFFF"/>
        </w:rPr>
        <w:t>ood</w:t>
      </w:r>
      <w:r w:rsidR="00E447AC" w:rsidRPr="008C2309">
        <w:rPr>
          <w:rFonts w:ascii="Times" w:hAnsi="Times" w:cstheme="minorHAnsi"/>
          <w:color w:val="000000" w:themeColor="text1"/>
          <w:shd w:val="clear" w:color="auto" w:fill="FFFFFF"/>
        </w:rPr>
        <w:t>’</w:t>
      </w:r>
      <w:r w:rsidRPr="008C2309">
        <w:rPr>
          <w:rFonts w:ascii="Times" w:hAnsi="Times" w:cstheme="minorHAnsi"/>
          <w:color w:val="000000" w:themeColor="text1"/>
          <w:shd w:val="clear" w:color="auto" w:fill="FFFFFF"/>
        </w:rPr>
        <w:t>s apparatus, at a pressure of 3 tonnes for 1 minute</w:t>
      </w:r>
      <w:r w:rsidRPr="008C2309">
        <w:rPr>
          <w:rFonts w:ascii="Times" w:hAnsi="Times" w:cstheme="minorHAnsi"/>
          <w:color w:val="000000" w:themeColor="text1"/>
        </w:rPr>
        <w:t xml:space="preserve"> </w:t>
      </w:r>
      <w:r w:rsidRPr="008C2309">
        <w:rPr>
          <w:rFonts w:ascii="Times" w:hAnsi="Times" w:cstheme="minorHAnsi"/>
          <w:color w:val="000000" w:themeColor="text1"/>
          <w:shd w:val="clear" w:color="auto" w:fill="FFFFFF"/>
        </w:rPr>
        <w:t>using a hydraulic press (</w:t>
      </w:r>
      <w:r w:rsidRPr="008C2309">
        <w:rPr>
          <w:rFonts w:ascii="Times" w:hAnsi="Times" w:cstheme="minorHAnsi"/>
          <w:color w:val="000000" w:themeColor="text1"/>
        </w:rPr>
        <w:t>Perkin Elmer, Shelton, USA)</w:t>
      </w:r>
      <w:r w:rsidRPr="008C2309">
        <w:rPr>
          <w:rFonts w:ascii="Times" w:hAnsi="Times" w:cstheme="minorHAnsi"/>
          <w:color w:val="000000" w:themeColor="text1"/>
          <w:shd w:val="clear" w:color="auto" w:fill="FFFFFF"/>
        </w:rPr>
        <w:t xml:space="preserve">. The </w:t>
      </w:r>
      <w:r w:rsidR="00E447AC" w:rsidRPr="008C2309">
        <w:rPr>
          <w:rFonts w:ascii="Times" w:hAnsi="Times" w:cstheme="minorHAnsi"/>
          <w:color w:val="000000" w:themeColor="text1"/>
          <w:shd w:val="clear" w:color="auto" w:fill="FFFFFF"/>
        </w:rPr>
        <w:t>W</w:t>
      </w:r>
      <w:r w:rsidRPr="008C2309">
        <w:rPr>
          <w:rFonts w:ascii="Times" w:hAnsi="Times" w:cstheme="minorHAnsi"/>
          <w:color w:val="000000" w:themeColor="text1"/>
          <w:shd w:val="clear" w:color="auto" w:fill="FFFFFF"/>
        </w:rPr>
        <w:t>ood</w:t>
      </w:r>
      <w:r w:rsidR="00E447AC" w:rsidRPr="008C2309">
        <w:rPr>
          <w:rFonts w:ascii="Times" w:hAnsi="Times" w:cstheme="minorHAnsi"/>
          <w:color w:val="000000" w:themeColor="text1"/>
          <w:shd w:val="clear" w:color="auto" w:fill="FFFFFF"/>
        </w:rPr>
        <w:t>’</w:t>
      </w:r>
      <w:r w:rsidRPr="008C2309">
        <w:rPr>
          <w:rFonts w:ascii="Times" w:hAnsi="Times" w:cstheme="minorHAnsi"/>
          <w:color w:val="000000" w:themeColor="text1"/>
          <w:shd w:val="clear" w:color="auto" w:fill="FFFFFF"/>
        </w:rPr>
        <w:t>s apparatus was then attached to a Sotax AT-7 dissolution bath (</w:t>
      </w:r>
      <w:r w:rsidR="00E25901" w:rsidRPr="008C2309">
        <w:rPr>
          <w:rFonts w:ascii="Times" w:hAnsi="Times" w:cstheme="minorHAnsi"/>
          <w:color w:val="000000" w:themeColor="text1"/>
          <w:shd w:val="clear" w:color="auto" w:fill="FFFFFF"/>
        </w:rPr>
        <w:t xml:space="preserve">Sotax, </w:t>
      </w:r>
      <w:r w:rsidRPr="008C2309">
        <w:rPr>
          <w:rFonts w:ascii="Times" w:hAnsi="Times" w:cstheme="minorHAnsi"/>
          <w:color w:val="000000" w:themeColor="text1"/>
          <w:shd w:val="clear" w:color="auto" w:fill="FFFFFF"/>
        </w:rPr>
        <w:t xml:space="preserve">Wallbrunnstraße, Germany). The dissolution study was carried out </w:t>
      </w:r>
      <w:r w:rsidR="001068A4" w:rsidRPr="008C2309">
        <w:rPr>
          <w:rFonts w:ascii="Times" w:hAnsi="Times" w:cstheme="minorHAnsi"/>
          <w:color w:val="000000" w:themeColor="text1"/>
          <w:shd w:val="clear" w:color="auto" w:fill="FFFFFF"/>
        </w:rPr>
        <w:t>using</w:t>
      </w:r>
      <w:r w:rsidRPr="008C2309">
        <w:rPr>
          <w:rFonts w:ascii="Times" w:hAnsi="Times" w:cstheme="minorHAnsi"/>
          <w:color w:val="000000" w:themeColor="text1"/>
          <w:shd w:val="clear" w:color="auto" w:fill="FFFFFF"/>
        </w:rPr>
        <w:t xml:space="preserve"> 0.1M HCl </w:t>
      </w:r>
      <w:r w:rsidR="001068A4" w:rsidRPr="008C2309">
        <w:rPr>
          <w:rFonts w:ascii="Times" w:hAnsi="Times" w:cstheme="minorHAnsi"/>
          <w:color w:val="000000" w:themeColor="text1"/>
          <w:shd w:val="clear" w:color="auto" w:fill="FFFFFF"/>
        </w:rPr>
        <w:t xml:space="preserve">as the dissolution medium </w:t>
      </w:r>
      <w:r w:rsidRPr="008C2309">
        <w:rPr>
          <w:rFonts w:ascii="Times" w:hAnsi="Times" w:cstheme="minorHAnsi"/>
          <w:color w:val="000000" w:themeColor="text1"/>
          <w:shd w:val="clear" w:color="auto" w:fill="FFFFFF"/>
        </w:rPr>
        <w:t xml:space="preserve">(volume: 500ml, temperature: 37˚C, pH: 1.2) </w:t>
      </w:r>
      <w:r w:rsidR="001068A4" w:rsidRPr="008C2309">
        <w:rPr>
          <w:rFonts w:ascii="Times" w:hAnsi="Times" w:cstheme="minorHAnsi"/>
          <w:color w:val="000000" w:themeColor="text1"/>
          <w:shd w:val="clear" w:color="auto" w:fill="FFFFFF"/>
        </w:rPr>
        <w:t xml:space="preserve">and </w:t>
      </w:r>
      <w:r w:rsidRPr="008C2309">
        <w:rPr>
          <w:rFonts w:ascii="Times" w:hAnsi="Times" w:cstheme="minorHAnsi"/>
          <w:color w:val="000000" w:themeColor="text1"/>
          <w:shd w:val="clear" w:color="auto" w:fill="FFFFFF"/>
        </w:rPr>
        <w:t>a rotational speed of 100</w:t>
      </w:r>
      <w:r w:rsidR="00C243B2" w:rsidRPr="008C2309">
        <w:rPr>
          <w:rFonts w:ascii="Times" w:hAnsi="Times" w:cstheme="minorHAnsi"/>
          <w:color w:val="000000" w:themeColor="text1"/>
          <w:shd w:val="clear" w:color="auto" w:fill="FFFFFF"/>
        </w:rPr>
        <w:t xml:space="preserve"> </w:t>
      </w:r>
      <w:r w:rsidRPr="008C2309">
        <w:rPr>
          <w:rFonts w:ascii="Times" w:hAnsi="Times" w:cstheme="minorHAnsi"/>
          <w:color w:val="000000" w:themeColor="text1"/>
          <w:shd w:val="clear" w:color="auto" w:fill="FFFFFF"/>
        </w:rPr>
        <w:t>rpm. 5</w:t>
      </w:r>
      <w:r w:rsidR="00C243B2" w:rsidRPr="008C2309">
        <w:rPr>
          <w:rFonts w:ascii="Times" w:hAnsi="Times" w:cstheme="minorHAnsi"/>
          <w:color w:val="000000" w:themeColor="text1"/>
          <w:shd w:val="clear" w:color="auto" w:fill="FFFFFF"/>
        </w:rPr>
        <w:t xml:space="preserve"> </w:t>
      </w:r>
      <w:r w:rsidRPr="008C2309">
        <w:rPr>
          <w:rFonts w:ascii="Times" w:hAnsi="Times" w:cstheme="minorHAnsi"/>
          <w:color w:val="000000" w:themeColor="text1"/>
          <w:shd w:val="clear" w:color="auto" w:fill="FFFFFF"/>
        </w:rPr>
        <w:t>m</w:t>
      </w:r>
      <w:r w:rsidR="00383E8A" w:rsidRPr="008C2309">
        <w:rPr>
          <w:rFonts w:ascii="Times" w:hAnsi="Times" w:cstheme="minorHAnsi"/>
          <w:color w:val="000000" w:themeColor="text1"/>
          <w:shd w:val="clear" w:color="auto" w:fill="FFFFFF"/>
        </w:rPr>
        <w:t>l aliquots were withdrawn and were replaced with fresh media</w:t>
      </w:r>
      <w:r w:rsidRPr="008C2309">
        <w:rPr>
          <w:rFonts w:ascii="Times" w:hAnsi="Times" w:cstheme="minorHAnsi"/>
          <w:color w:val="000000" w:themeColor="text1"/>
          <w:shd w:val="clear" w:color="auto" w:fill="FFFFFF"/>
        </w:rPr>
        <w:t xml:space="preserve"> at the </w:t>
      </w:r>
      <w:r w:rsidR="00383E8A" w:rsidRPr="008C2309">
        <w:rPr>
          <w:rFonts w:ascii="Times" w:hAnsi="Times" w:cstheme="minorHAnsi"/>
          <w:color w:val="000000" w:themeColor="text1"/>
          <w:shd w:val="clear" w:color="auto" w:fill="FFFFFF"/>
        </w:rPr>
        <w:t>pre-determined time intervals. Samples were</w:t>
      </w:r>
      <w:r w:rsidRPr="008C2309">
        <w:rPr>
          <w:rFonts w:ascii="Times" w:hAnsi="Times" w:cstheme="minorHAnsi"/>
          <w:color w:val="000000" w:themeColor="text1"/>
          <w:shd w:val="clear" w:color="auto" w:fill="FFFFFF"/>
        </w:rPr>
        <w:t xml:space="preserve"> filtered through</w:t>
      </w:r>
      <w:r w:rsidR="00E96A0B" w:rsidRPr="008C2309">
        <w:rPr>
          <w:rFonts w:ascii="Times" w:hAnsi="Times" w:cstheme="minorHAnsi"/>
          <w:color w:val="000000" w:themeColor="text1"/>
          <w:shd w:val="clear" w:color="auto" w:fill="FFFFFF"/>
        </w:rPr>
        <w:t xml:space="preserve"> PTFE hydrophilic</w:t>
      </w:r>
      <w:r w:rsidRPr="008C2309">
        <w:rPr>
          <w:rFonts w:ascii="Times" w:hAnsi="Times" w:cstheme="minorHAnsi"/>
          <w:color w:val="000000" w:themeColor="text1"/>
          <w:shd w:val="clear" w:color="auto" w:fill="FFFFFF"/>
        </w:rPr>
        <w:t xml:space="preserve"> 0.45</w:t>
      </w:r>
      <w:r w:rsidR="00C53875" w:rsidRPr="008C2309">
        <w:rPr>
          <w:rFonts w:ascii="Times" w:hAnsi="Times" w:cstheme="minorHAnsi"/>
          <w:color w:val="000000" w:themeColor="text1"/>
          <w:shd w:val="clear" w:color="auto" w:fill="FFFFFF"/>
        </w:rPr>
        <w:t xml:space="preserve"> </w:t>
      </w:r>
      <w:r w:rsidRPr="008C2309">
        <w:rPr>
          <w:rFonts w:ascii="Times" w:hAnsi="Times" w:cstheme="minorHAnsi"/>
          <w:color w:val="000000" w:themeColor="text1"/>
          <w:shd w:val="clear" w:color="auto" w:fill="FFFFFF"/>
        </w:rPr>
        <w:t>μm filters</w:t>
      </w:r>
      <w:r w:rsidR="00383E8A" w:rsidRPr="008C2309">
        <w:rPr>
          <w:rFonts w:ascii="Times" w:hAnsi="Times" w:cstheme="minorHAnsi"/>
          <w:color w:val="000000" w:themeColor="text1"/>
          <w:shd w:val="clear" w:color="auto" w:fill="FFFFFF"/>
        </w:rPr>
        <w:t xml:space="preserve"> </w:t>
      </w:r>
      <w:r w:rsidR="00E96A0B" w:rsidRPr="008C2309">
        <w:rPr>
          <w:rFonts w:ascii="Times" w:hAnsi="Times" w:cstheme="minorHAnsi"/>
          <w:color w:val="000000" w:themeColor="text1"/>
          <w:shd w:val="clear" w:color="auto" w:fill="FFFFFF"/>
        </w:rPr>
        <w:t>(Fisher Scientific Ireland Ltd., Dublin</w:t>
      </w:r>
      <w:r w:rsidR="00383E8A" w:rsidRPr="008C2309">
        <w:rPr>
          <w:rFonts w:ascii="Times" w:hAnsi="Times" w:cstheme="minorHAnsi"/>
          <w:color w:val="000000" w:themeColor="text1"/>
          <w:shd w:val="clear" w:color="auto" w:fill="FFFFFF"/>
        </w:rPr>
        <w:t>, Ireland)</w:t>
      </w:r>
      <w:r w:rsidRPr="008C2309">
        <w:rPr>
          <w:rFonts w:ascii="Times" w:hAnsi="Times" w:cstheme="minorHAnsi"/>
          <w:color w:val="000000" w:themeColor="text1"/>
          <w:shd w:val="clear" w:color="auto" w:fill="FFFFFF"/>
        </w:rPr>
        <w:t xml:space="preserve"> and </w:t>
      </w:r>
      <w:r w:rsidR="00C86558" w:rsidRPr="008C2309">
        <w:rPr>
          <w:rFonts w:ascii="Times" w:hAnsi="Times" w:cstheme="minorHAnsi"/>
          <w:color w:val="000000" w:themeColor="text1"/>
          <w:shd w:val="clear" w:color="auto" w:fill="FFFFFF"/>
        </w:rPr>
        <w:t xml:space="preserve">were </w:t>
      </w:r>
      <w:r w:rsidRPr="008C2309">
        <w:rPr>
          <w:rFonts w:ascii="Times" w:hAnsi="Times" w:cstheme="minorHAnsi"/>
          <w:color w:val="000000" w:themeColor="text1"/>
          <w:shd w:val="clear" w:color="auto" w:fill="FFFFFF"/>
        </w:rPr>
        <w:t xml:space="preserve">analysed for </w:t>
      </w:r>
      <w:r w:rsidR="00383E8A" w:rsidRPr="008C2309">
        <w:rPr>
          <w:rFonts w:ascii="Times" w:hAnsi="Times" w:cstheme="minorHAnsi"/>
          <w:color w:val="000000" w:themeColor="text1"/>
          <w:shd w:val="clear" w:color="auto" w:fill="FFFFFF"/>
        </w:rPr>
        <w:t>drug</w:t>
      </w:r>
      <w:r w:rsidRPr="008C2309">
        <w:rPr>
          <w:rFonts w:ascii="Times" w:hAnsi="Times" w:cstheme="minorHAnsi"/>
          <w:color w:val="000000" w:themeColor="text1"/>
          <w:shd w:val="clear" w:color="auto" w:fill="FFFFFF"/>
        </w:rPr>
        <w:t xml:space="preserve"> content by </w:t>
      </w:r>
      <w:r w:rsidR="00C86558" w:rsidRPr="008C2309">
        <w:rPr>
          <w:rFonts w:ascii="Times" w:hAnsi="Times" w:cstheme="minorHAnsi"/>
          <w:color w:val="000000" w:themeColor="text1"/>
          <w:shd w:val="clear" w:color="auto" w:fill="FFFFFF"/>
        </w:rPr>
        <w:t>HPLC (</w:t>
      </w:r>
      <w:r w:rsidR="00C86558" w:rsidRPr="008C2309">
        <w:rPr>
          <w:rFonts w:ascii="Times" w:eastAsia="Times New Roman" w:hAnsi="Times" w:cstheme="minorHAnsi"/>
          <w:color w:val="000000" w:themeColor="text1"/>
        </w:rPr>
        <w:t xml:space="preserve">Agilent 1200 Infinity Series, Agilent Technologies, Cheadle, UK) using </w:t>
      </w:r>
      <w:r w:rsidR="00074A89" w:rsidRPr="008C2309">
        <w:rPr>
          <w:rFonts w:ascii="Times" w:eastAsia="Times New Roman" w:hAnsi="Times" w:cstheme="minorHAnsi"/>
          <w:color w:val="000000" w:themeColor="text1"/>
        </w:rPr>
        <w:t xml:space="preserve">a </w:t>
      </w:r>
      <w:r w:rsidR="00074A89" w:rsidRPr="008C2309">
        <w:rPr>
          <w:rFonts w:ascii="Times" w:hAnsi="Times" w:cstheme="minorHAnsi"/>
          <w:color w:val="000000" w:themeColor="text1"/>
          <w:shd w:val="clear" w:color="auto" w:fill="FFFFFF"/>
        </w:rPr>
        <w:t>gradient</w:t>
      </w:r>
      <w:r w:rsidR="00672B17" w:rsidRPr="008C2309">
        <w:rPr>
          <w:rFonts w:ascii="Times" w:hAnsi="Times" w:cstheme="minorHAnsi"/>
          <w:color w:val="000000" w:themeColor="text1"/>
          <w:shd w:val="clear" w:color="auto" w:fill="FFFFFF"/>
        </w:rPr>
        <w:t xml:space="preserve"> </w:t>
      </w:r>
      <w:r w:rsidRPr="008C2309">
        <w:rPr>
          <w:rFonts w:ascii="Times" w:hAnsi="Times" w:cstheme="minorHAnsi"/>
          <w:color w:val="000000" w:themeColor="text1"/>
          <w:shd w:val="clear" w:color="auto" w:fill="FFFFFF"/>
        </w:rPr>
        <w:t>HPLC</w:t>
      </w:r>
      <w:r w:rsidR="00383E8A" w:rsidRPr="008C2309">
        <w:rPr>
          <w:rFonts w:ascii="Times" w:hAnsi="Times" w:cstheme="minorHAnsi"/>
          <w:color w:val="000000" w:themeColor="text1"/>
          <w:shd w:val="clear" w:color="auto" w:fill="FFFFFF"/>
        </w:rPr>
        <w:t xml:space="preserve"> method</w:t>
      </w:r>
      <w:r w:rsidR="00FD1E0E" w:rsidRPr="008C2309">
        <w:rPr>
          <w:rFonts w:ascii="Times" w:hAnsi="Times" w:cstheme="minorHAnsi"/>
          <w:color w:val="000000" w:themeColor="text1"/>
          <w:shd w:val="clear" w:color="auto" w:fill="FFFFFF"/>
        </w:rPr>
        <w:t>.</w:t>
      </w:r>
      <w:r w:rsidR="00B87548" w:rsidRPr="008C2309">
        <w:t xml:space="preserve"> </w:t>
      </w:r>
      <w:r w:rsidR="00B87548" w:rsidRPr="008C2309">
        <w:rPr>
          <w:rFonts w:ascii="Times" w:hAnsi="Times" w:cstheme="minorHAnsi"/>
          <w:color w:val="000000" w:themeColor="text1"/>
          <w:shd w:val="clear" w:color="auto" w:fill="FFFFFF"/>
        </w:rPr>
        <w:t>The linearity range was between 5 - 250 μg/ml for hydrochlorothiazide and 5 - 250 μg/ml for ramipril with regression coefficient (r</w:t>
      </w:r>
      <w:r w:rsidR="009F23DF" w:rsidRPr="008C2309">
        <w:rPr>
          <w:rFonts w:ascii="Times" w:hAnsi="Times" w:cstheme="minorHAnsi"/>
          <w:color w:val="000000" w:themeColor="text1"/>
          <w:shd w:val="clear" w:color="auto" w:fill="FFFFFF"/>
          <w:vertAlign w:val="superscript"/>
        </w:rPr>
        <w:t>2</w:t>
      </w:r>
      <w:r w:rsidR="00B87548" w:rsidRPr="008C2309">
        <w:rPr>
          <w:rFonts w:ascii="Times" w:hAnsi="Times" w:cstheme="minorHAnsi"/>
          <w:color w:val="000000" w:themeColor="text1"/>
          <w:shd w:val="clear" w:color="auto" w:fill="FFFFFF"/>
        </w:rPr>
        <w:t>) of 0.999 and 0.998 respectfully.</w:t>
      </w:r>
      <w:r w:rsidR="00FD1E0E" w:rsidRPr="008C2309">
        <w:rPr>
          <w:rFonts w:ascii="Times" w:hAnsi="Times" w:cstheme="minorHAnsi"/>
          <w:color w:val="000000" w:themeColor="text1"/>
          <w:shd w:val="clear" w:color="auto" w:fill="FFFFFF"/>
        </w:rPr>
        <w:t xml:space="preserve"> The HPLC</w:t>
      </w:r>
      <w:r w:rsidR="00CE5319" w:rsidRPr="008C2309">
        <w:rPr>
          <w:rFonts w:ascii="Times" w:hAnsi="Times" w:cstheme="minorHAnsi"/>
          <w:color w:val="000000" w:themeColor="text1"/>
          <w:shd w:val="clear" w:color="auto" w:fill="FFFFFF"/>
        </w:rPr>
        <w:t xml:space="preserve"> mobile phases consisted of a 0.1M </w:t>
      </w:r>
      <w:r w:rsidR="00343731" w:rsidRPr="008C2309">
        <w:rPr>
          <w:rFonts w:ascii="Times" w:hAnsi="Times" w:cstheme="minorHAnsi"/>
          <w:color w:val="000000" w:themeColor="text1"/>
          <w:shd w:val="clear" w:color="auto" w:fill="FFFFFF"/>
        </w:rPr>
        <w:t>s</w:t>
      </w:r>
      <w:r w:rsidR="00CE5319" w:rsidRPr="008C2309">
        <w:rPr>
          <w:rFonts w:ascii="Times" w:hAnsi="Times" w:cstheme="minorHAnsi"/>
          <w:color w:val="000000" w:themeColor="text1"/>
          <w:shd w:val="clear" w:color="auto" w:fill="FFFFFF"/>
        </w:rPr>
        <w:t>odium perchlorate solution adjusted to pH</w:t>
      </w:r>
      <w:r w:rsidR="00FD1E0E" w:rsidRPr="008C2309">
        <w:rPr>
          <w:rFonts w:ascii="Times" w:hAnsi="Times" w:cstheme="minorHAnsi"/>
          <w:color w:val="000000" w:themeColor="text1"/>
          <w:shd w:val="clear" w:color="auto" w:fill="FFFFFF"/>
        </w:rPr>
        <w:t xml:space="preserve"> </w:t>
      </w:r>
      <w:r w:rsidR="00CE5319" w:rsidRPr="008C2309">
        <w:rPr>
          <w:rFonts w:ascii="Times" w:hAnsi="Times" w:cstheme="minorHAnsi"/>
          <w:color w:val="000000" w:themeColor="text1"/>
          <w:shd w:val="clear" w:color="auto" w:fill="FFFFFF"/>
        </w:rPr>
        <w:t>2.5</w:t>
      </w:r>
      <w:r w:rsidR="00081C50" w:rsidRPr="008C2309">
        <w:rPr>
          <w:rFonts w:ascii="Times" w:hAnsi="Times" w:cstheme="minorHAnsi"/>
          <w:color w:val="000000" w:themeColor="text1"/>
          <w:shd w:val="clear" w:color="auto" w:fill="FFFFFF"/>
        </w:rPr>
        <w:t xml:space="preserve"> (mobile phase A)</w:t>
      </w:r>
      <w:r w:rsidR="00CE5319" w:rsidRPr="008C2309">
        <w:rPr>
          <w:rFonts w:ascii="Times" w:hAnsi="Times" w:cstheme="minorHAnsi"/>
          <w:color w:val="000000" w:themeColor="text1"/>
          <w:shd w:val="clear" w:color="auto" w:fill="FFFFFF"/>
        </w:rPr>
        <w:t xml:space="preserve"> and acetonitrile</w:t>
      </w:r>
      <w:r w:rsidR="00081C50" w:rsidRPr="008C2309">
        <w:rPr>
          <w:rFonts w:ascii="Times" w:hAnsi="Times" w:cstheme="minorHAnsi"/>
          <w:color w:val="000000" w:themeColor="text1"/>
          <w:shd w:val="clear" w:color="auto" w:fill="FFFFFF"/>
        </w:rPr>
        <w:t xml:space="preserve"> (mobile phase B)</w:t>
      </w:r>
      <w:r w:rsidR="00C53875" w:rsidRPr="008C2309">
        <w:rPr>
          <w:rFonts w:ascii="Times" w:hAnsi="Times" w:cstheme="minorHAnsi"/>
          <w:color w:val="000000" w:themeColor="text1"/>
          <w:shd w:val="clear" w:color="auto" w:fill="FFFFFF"/>
        </w:rPr>
        <w:t>.</w:t>
      </w:r>
      <w:r w:rsidR="007863AB" w:rsidRPr="008C2309">
        <w:rPr>
          <w:rFonts w:ascii="Times" w:hAnsi="Times" w:cstheme="minorHAnsi"/>
          <w:color w:val="000000" w:themeColor="text1"/>
          <w:shd w:val="clear" w:color="auto" w:fill="FFFFFF"/>
        </w:rPr>
        <w:t xml:space="preserve"> </w:t>
      </w:r>
      <w:r w:rsidR="00FD1E0E" w:rsidRPr="008C2309">
        <w:rPr>
          <w:rFonts w:ascii="Times" w:hAnsi="Times" w:cstheme="minorHAnsi"/>
          <w:color w:val="000000" w:themeColor="text1"/>
          <w:shd w:val="clear" w:color="auto" w:fill="FFFFFF"/>
        </w:rPr>
        <w:t xml:space="preserve">Details of the gradient elution </w:t>
      </w:r>
      <w:r w:rsidR="00CE5D25" w:rsidRPr="008C2309">
        <w:rPr>
          <w:rFonts w:ascii="Times" w:hAnsi="Times" w:cstheme="minorHAnsi"/>
          <w:color w:val="000000" w:themeColor="text1"/>
          <w:shd w:val="clear" w:color="auto" w:fill="FFFFFF"/>
        </w:rPr>
        <w:t>us</w:t>
      </w:r>
      <w:r w:rsidR="00FD1E0E" w:rsidRPr="008C2309">
        <w:rPr>
          <w:rFonts w:ascii="Times" w:hAnsi="Times" w:cstheme="minorHAnsi"/>
          <w:color w:val="000000" w:themeColor="text1"/>
          <w:shd w:val="clear" w:color="auto" w:fill="FFFFFF"/>
        </w:rPr>
        <w:t xml:space="preserve">ed are shown in </w:t>
      </w:r>
      <w:r w:rsidR="007863AB" w:rsidRPr="008C2309">
        <w:rPr>
          <w:rFonts w:ascii="Times" w:hAnsi="Times" w:cstheme="minorHAnsi"/>
          <w:color w:val="000000" w:themeColor="text1"/>
          <w:shd w:val="clear" w:color="auto" w:fill="FFFFFF"/>
        </w:rPr>
        <w:t>Table 1</w:t>
      </w:r>
      <w:r w:rsidR="00CE5319" w:rsidRPr="008C2309">
        <w:rPr>
          <w:rFonts w:ascii="Times" w:hAnsi="Times" w:cstheme="minorHAnsi"/>
          <w:color w:val="000000" w:themeColor="text1"/>
          <w:shd w:val="clear" w:color="auto" w:fill="FFFFFF"/>
        </w:rPr>
        <w:t>. Separation was performed on a Kinetex</w:t>
      </w:r>
      <w:r w:rsidR="00CE5319" w:rsidRPr="008C2309">
        <w:rPr>
          <w:rFonts w:ascii="Times" w:hAnsi="Times" w:cstheme="minorHAnsi"/>
          <w:color w:val="000000" w:themeColor="text1"/>
          <w:shd w:val="clear" w:color="auto" w:fill="FFFFFF"/>
          <w:vertAlign w:val="superscript"/>
        </w:rPr>
        <w:t>®</w:t>
      </w:r>
      <w:r w:rsidR="00383E8A" w:rsidRPr="008C2309">
        <w:rPr>
          <w:rFonts w:ascii="Times" w:hAnsi="Times" w:cstheme="minorHAnsi"/>
          <w:color w:val="000000" w:themeColor="text1"/>
          <w:shd w:val="clear" w:color="auto" w:fill="FFFFFF"/>
        </w:rPr>
        <w:t xml:space="preserve"> </w:t>
      </w:r>
      <w:r w:rsidR="009C4426" w:rsidRPr="008C2309">
        <w:rPr>
          <w:rFonts w:ascii="Times" w:eastAsiaTheme="minorEastAsia" w:hAnsi="Times" w:cstheme="minorHAnsi"/>
          <w:color w:val="000000" w:themeColor="text1"/>
          <w:lang w:eastAsia="ja-JP"/>
        </w:rPr>
        <w:t xml:space="preserve">C18 column (150 mm length, </w:t>
      </w:r>
      <w:r w:rsidR="009C4426" w:rsidRPr="008C2309">
        <w:rPr>
          <w:rFonts w:ascii="Times" w:eastAsiaTheme="minorEastAsia" w:hAnsi="Times" w:cstheme="minorHAnsi"/>
          <w:color w:val="000000" w:themeColor="text1"/>
          <w:lang w:eastAsia="ja-JP"/>
        </w:rPr>
        <w:lastRenderedPageBreak/>
        <w:t xml:space="preserve">diameter 4.6 mm, particle size 5 μm) </w:t>
      </w:r>
      <w:r w:rsidR="001068A4" w:rsidRPr="008C2309">
        <w:rPr>
          <w:rFonts w:ascii="Times" w:eastAsiaTheme="minorEastAsia" w:hAnsi="Times" w:cstheme="minorHAnsi"/>
          <w:color w:val="000000" w:themeColor="text1"/>
          <w:lang w:eastAsia="ja-JP"/>
        </w:rPr>
        <w:t xml:space="preserve">with </w:t>
      </w:r>
      <w:r w:rsidR="006F6B3F" w:rsidRPr="008C2309">
        <w:rPr>
          <w:rFonts w:ascii="Times" w:eastAsiaTheme="minorEastAsia" w:hAnsi="Times" w:cstheme="minorHAnsi"/>
          <w:color w:val="000000" w:themeColor="text1"/>
          <w:lang w:eastAsia="ja-JP"/>
        </w:rPr>
        <w:t xml:space="preserve">UV detection </w:t>
      </w:r>
      <w:r w:rsidR="001068A4" w:rsidRPr="008C2309">
        <w:rPr>
          <w:rFonts w:ascii="Times" w:eastAsiaTheme="minorEastAsia" w:hAnsi="Times" w:cstheme="minorHAnsi"/>
          <w:color w:val="000000" w:themeColor="text1"/>
          <w:lang w:eastAsia="ja-JP"/>
        </w:rPr>
        <w:t>at</w:t>
      </w:r>
      <w:r w:rsidR="006F6B3F" w:rsidRPr="008C2309">
        <w:rPr>
          <w:rFonts w:ascii="Times" w:eastAsiaTheme="minorEastAsia" w:hAnsi="Times" w:cstheme="minorHAnsi"/>
          <w:color w:val="000000" w:themeColor="text1"/>
          <w:lang w:eastAsia="ja-JP"/>
        </w:rPr>
        <w:t xml:space="preserve"> 210</w:t>
      </w:r>
      <w:r w:rsidR="00C53875" w:rsidRPr="008C2309">
        <w:rPr>
          <w:rFonts w:ascii="Times" w:eastAsiaTheme="minorEastAsia" w:hAnsi="Times" w:cstheme="minorHAnsi"/>
          <w:color w:val="000000" w:themeColor="text1"/>
          <w:lang w:eastAsia="ja-JP"/>
        </w:rPr>
        <w:t xml:space="preserve"> </w:t>
      </w:r>
      <w:r w:rsidR="006F6B3F" w:rsidRPr="008C2309">
        <w:rPr>
          <w:rFonts w:ascii="Times" w:eastAsiaTheme="minorEastAsia" w:hAnsi="Times" w:cstheme="minorHAnsi"/>
          <w:color w:val="000000" w:themeColor="text1"/>
          <w:lang w:eastAsia="ja-JP"/>
        </w:rPr>
        <w:t xml:space="preserve">nm. </w:t>
      </w:r>
      <w:r w:rsidRPr="008C2309">
        <w:rPr>
          <w:rFonts w:ascii="Times" w:hAnsi="Times" w:cstheme="minorHAnsi"/>
          <w:color w:val="000000" w:themeColor="text1"/>
          <w:shd w:val="clear" w:color="auto" w:fill="FFFFFF"/>
        </w:rPr>
        <w:t xml:space="preserve">The </w:t>
      </w:r>
      <w:r w:rsidR="001068A4" w:rsidRPr="008C2309">
        <w:rPr>
          <w:rFonts w:ascii="Times" w:hAnsi="Times" w:cstheme="minorHAnsi"/>
          <w:color w:val="000000" w:themeColor="text1"/>
          <w:shd w:val="clear" w:color="auto" w:fill="FFFFFF"/>
        </w:rPr>
        <w:t xml:space="preserve">dissolution </w:t>
      </w:r>
      <w:r w:rsidRPr="008C2309">
        <w:rPr>
          <w:rFonts w:ascii="Times" w:hAnsi="Times" w:cstheme="minorHAnsi"/>
          <w:color w:val="000000" w:themeColor="text1"/>
          <w:shd w:val="clear" w:color="auto" w:fill="FFFFFF"/>
        </w:rPr>
        <w:t>study</w:t>
      </w:r>
      <w:r w:rsidR="00383E8A" w:rsidRPr="008C2309">
        <w:rPr>
          <w:rFonts w:ascii="Times" w:hAnsi="Times" w:cstheme="minorHAnsi"/>
          <w:color w:val="000000" w:themeColor="text1"/>
          <w:shd w:val="clear" w:color="auto" w:fill="FFFFFF"/>
        </w:rPr>
        <w:t xml:space="preserve"> </w:t>
      </w:r>
      <w:r w:rsidRPr="008C2309">
        <w:rPr>
          <w:rFonts w:ascii="Times" w:hAnsi="Times" w:cstheme="minorHAnsi"/>
          <w:color w:val="000000" w:themeColor="text1"/>
          <w:shd w:val="clear" w:color="auto" w:fill="FFFFFF"/>
        </w:rPr>
        <w:t xml:space="preserve">was terminated after 120 min. The </w:t>
      </w:r>
      <w:r w:rsidR="009277D9" w:rsidRPr="008C2309">
        <w:rPr>
          <w:rFonts w:ascii="Times" w:hAnsi="Times" w:cstheme="minorHAnsi"/>
          <w:color w:val="000000" w:themeColor="text1"/>
          <w:shd w:val="clear" w:color="auto" w:fill="FFFFFF"/>
        </w:rPr>
        <w:t>intrinsic dissolution</w:t>
      </w:r>
      <w:r w:rsidR="00031A43" w:rsidRPr="008C2309">
        <w:rPr>
          <w:rFonts w:ascii="Times" w:hAnsi="Times" w:cstheme="minorHAnsi"/>
          <w:color w:val="000000" w:themeColor="text1"/>
          <w:shd w:val="clear" w:color="auto" w:fill="FFFFFF"/>
        </w:rPr>
        <w:t xml:space="preserve"> release</w:t>
      </w:r>
      <w:r w:rsidR="009277D9" w:rsidRPr="008C2309">
        <w:rPr>
          <w:rFonts w:ascii="Times" w:hAnsi="Times" w:cstheme="minorHAnsi"/>
          <w:color w:val="000000" w:themeColor="text1"/>
          <w:shd w:val="clear" w:color="auto" w:fill="FFFFFF"/>
        </w:rPr>
        <w:t xml:space="preserve"> rate </w:t>
      </w:r>
      <w:r w:rsidRPr="008C2309">
        <w:rPr>
          <w:rFonts w:ascii="Times" w:hAnsi="Times" w:cstheme="minorHAnsi"/>
          <w:color w:val="000000" w:themeColor="text1"/>
          <w:shd w:val="clear" w:color="auto" w:fill="FFFFFF"/>
        </w:rPr>
        <w:t>was determined from the slope of the dissolution time profiles</w:t>
      </w:r>
      <w:r w:rsidR="001068A4" w:rsidRPr="008C2309">
        <w:rPr>
          <w:rFonts w:ascii="Times" w:hAnsi="Times" w:cstheme="minorHAnsi"/>
          <w:color w:val="000000" w:themeColor="text1"/>
          <w:shd w:val="clear" w:color="auto" w:fill="FFFFFF"/>
        </w:rPr>
        <w:t xml:space="preserve"> over the first 30 minutes</w:t>
      </w:r>
      <w:r w:rsidRPr="008C2309">
        <w:rPr>
          <w:rFonts w:ascii="Times" w:hAnsi="Times" w:cstheme="minorHAnsi"/>
          <w:color w:val="000000" w:themeColor="text1"/>
          <w:shd w:val="clear" w:color="auto" w:fill="FFFFFF"/>
        </w:rPr>
        <w:t xml:space="preserve">. </w:t>
      </w:r>
      <w:bookmarkStart w:id="2" w:name="_Hlk506219215"/>
      <w:r w:rsidR="00BE64F7" w:rsidRPr="008C2309">
        <w:rPr>
          <w:rFonts w:ascii="Times" w:hAnsi="Times" w:cstheme="minorHAnsi"/>
          <w:color w:val="000000" w:themeColor="text1"/>
          <w:shd w:val="clear" w:color="auto" w:fill="FFFFFF"/>
        </w:rPr>
        <w:t>Analysis was</w:t>
      </w:r>
      <w:r w:rsidRPr="008C2309">
        <w:rPr>
          <w:rFonts w:ascii="Times" w:hAnsi="Times" w:cstheme="minorHAnsi"/>
          <w:color w:val="000000" w:themeColor="text1"/>
          <w:shd w:val="clear" w:color="auto" w:fill="FFFFFF"/>
        </w:rPr>
        <w:t xml:space="preserve"> performed in triplicate.</w:t>
      </w:r>
      <w:bookmarkEnd w:id="2"/>
    </w:p>
    <w:p w14:paraId="24FF6BB4" w14:textId="77777777" w:rsidR="00300F89" w:rsidRPr="008C2309" w:rsidRDefault="00300F89" w:rsidP="00E41DED">
      <w:pPr>
        <w:spacing w:line="480" w:lineRule="auto"/>
        <w:jc w:val="both"/>
        <w:rPr>
          <w:rFonts w:ascii="Times" w:hAnsi="Times" w:cstheme="minorHAnsi"/>
          <w:color w:val="000000" w:themeColor="text1"/>
          <w:shd w:val="clear" w:color="auto" w:fill="FFFFFF"/>
        </w:rPr>
      </w:pPr>
    </w:p>
    <w:p w14:paraId="5C24EB33" w14:textId="50A122A3" w:rsidR="005A40BE" w:rsidRPr="008C2309" w:rsidRDefault="0036535B" w:rsidP="00E41DED">
      <w:pPr>
        <w:spacing w:line="480" w:lineRule="auto"/>
        <w:jc w:val="both"/>
        <w:outlineLvl w:val="0"/>
        <w:rPr>
          <w:rFonts w:ascii="Times" w:hAnsi="Times" w:cstheme="minorHAnsi"/>
          <w:i/>
          <w:color w:val="000000" w:themeColor="text1"/>
          <w:shd w:val="clear" w:color="auto" w:fill="FFFFFF"/>
        </w:rPr>
      </w:pPr>
      <w:r w:rsidRPr="008C2309">
        <w:rPr>
          <w:rFonts w:ascii="Times" w:hAnsi="Times" w:cstheme="minorHAnsi"/>
          <w:i/>
          <w:color w:val="000000" w:themeColor="text1"/>
          <w:shd w:val="clear" w:color="auto" w:fill="FFFFFF"/>
        </w:rPr>
        <w:t>2.2.1</w:t>
      </w:r>
      <w:r w:rsidR="00334289" w:rsidRPr="008C2309">
        <w:rPr>
          <w:rFonts w:ascii="Times" w:hAnsi="Times" w:cstheme="minorHAnsi"/>
          <w:i/>
          <w:color w:val="000000" w:themeColor="text1"/>
          <w:shd w:val="clear" w:color="auto" w:fill="FFFFFF"/>
        </w:rPr>
        <w:t>1</w:t>
      </w:r>
      <w:r w:rsidRPr="008C2309">
        <w:rPr>
          <w:rFonts w:ascii="Times" w:hAnsi="Times" w:cstheme="minorHAnsi"/>
          <w:i/>
          <w:color w:val="000000" w:themeColor="text1"/>
          <w:shd w:val="clear" w:color="auto" w:fill="FFFFFF"/>
        </w:rPr>
        <w:t xml:space="preserve"> </w:t>
      </w:r>
      <w:r w:rsidR="005A40BE" w:rsidRPr="008C2309">
        <w:rPr>
          <w:rFonts w:ascii="Times" w:hAnsi="Times" w:cstheme="minorHAnsi"/>
          <w:i/>
          <w:color w:val="000000" w:themeColor="text1"/>
          <w:shd w:val="clear" w:color="auto" w:fill="FFFFFF"/>
        </w:rPr>
        <w:t xml:space="preserve">Surface topography </w:t>
      </w:r>
    </w:p>
    <w:p w14:paraId="2C87F9AD" w14:textId="69A59E30" w:rsidR="005C7E9A" w:rsidRPr="008C2309" w:rsidRDefault="005C7E9A" w:rsidP="00E41DED">
      <w:pPr>
        <w:spacing w:line="480" w:lineRule="auto"/>
        <w:jc w:val="both"/>
        <w:outlineLvl w:val="0"/>
        <w:rPr>
          <w:rFonts w:ascii="Times" w:hAnsi="Times" w:cstheme="minorHAnsi"/>
          <w:color w:val="000000" w:themeColor="text1"/>
          <w:shd w:val="clear" w:color="auto" w:fill="FFFFFF"/>
        </w:rPr>
      </w:pPr>
      <w:r w:rsidRPr="008C2309">
        <w:rPr>
          <w:rFonts w:ascii="Times" w:hAnsi="Times" w:cstheme="minorHAnsi"/>
          <w:color w:val="000000" w:themeColor="text1"/>
          <w:shd w:val="clear" w:color="auto" w:fill="FFFFFF"/>
        </w:rPr>
        <w:t xml:space="preserve">The </w:t>
      </w:r>
      <w:r w:rsidR="00C53875" w:rsidRPr="008C2309">
        <w:rPr>
          <w:rFonts w:ascii="Times" w:hAnsi="Times" w:cstheme="minorHAnsi"/>
          <w:color w:val="000000" w:themeColor="text1"/>
          <w:shd w:val="clear" w:color="auto" w:fill="FFFFFF"/>
        </w:rPr>
        <w:t xml:space="preserve">surface </w:t>
      </w:r>
      <w:r w:rsidRPr="008C2309">
        <w:rPr>
          <w:rFonts w:ascii="Times" w:hAnsi="Times" w:cstheme="minorHAnsi"/>
          <w:color w:val="000000" w:themeColor="text1"/>
          <w:shd w:val="clear" w:color="auto" w:fill="FFFFFF"/>
        </w:rPr>
        <w:t xml:space="preserve">topography of compressed discs was </w:t>
      </w:r>
      <w:r w:rsidR="00C53875" w:rsidRPr="008C2309">
        <w:rPr>
          <w:rFonts w:ascii="Times" w:hAnsi="Times" w:cstheme="minorHAnsi"/>
          <w:color w:val="000000" w:themeColor="text1"/>
          <w:shd w:val="clear" w:color="auto" w:fill="FFFFFF"/>
        </w:rPr>
        <w:t xml:space="preserve">assessed </w:t>
      </w:r>
      <w:r w:rsidRPr="008C2309">
        <w:rPr>
          <w:rFonts w:ascii="Times" w:hAnsi="Times" w:cstheme="minorHAnsi"/>
          <w:color w:val="000000" w:themeColor="text1"/>
          <w:shd w:val="clear" w:color="auto" w:fill="FFFFFF"/>
        </w:rPr>
        <w:t>using a Filmetrics Profilm3D profilometer (San Diego, USA). Calibration was performed by using a VLSI surface topography reference step height standard with a height of 1.8 µm. The profilometer achieves measurements using vertical scanning interferometry (VSI) combined with high-accuracy phase shifting interferometry (PSI) to provide access to surface topography from sub-</w:t>
      </w:r>
      <w:r w:rsidR="00190F66" w:rsidRPr="008C2309">
        <w:rPr>
          <w:rFonts w:ascii="Times" w:hAnsi="Times" w:cstheme="minorHAnsi"/>
          <w:color w:val="000000" w:themeColor="text1"/>
          <w:shd w:val="clear" w:color="auto" w:fill="FFFFFF"/>
        </w:rPr>
        <w:t>nanometre</w:t>
      </w:r>
      <w:r w:rsidRPr="008C2309">
        <w:rPr>
          <w:rFonts w:ascii="Times" w:hAnsi="Times" w:cstheme="minorHAnsi"/>
          <w:color w:val="000000" w:themeColor="text1"/>
          <w:shd w:val="clear" w:color="auto" w:fill="FFFFFF"/>
        </w:rPr>
        <w:t xml:space="preserve"> to </w:t>
      </w:r>
      <w:r w:rsidR="00190F66" w:rsidRPr="008C2309">
        <w:rPr>
          <w:rFonts w:ascii="Times" w:hAnsi="Times" w:cstheme="minorHAnsi"/>
          <w:color w:val="000000" w:themeColor="text1"/>
          <w:shd w:val="clear" w:color="auto" w:fill="FFFFFF"/>
        </w:rPr>
        <w:t>millimetre</w:t>
      </w:r>
      <w:r w:rsidRPr="008C2309">
        <w:rPr>
          <w:rFonts w:ascii="Times" w:hAnsi="Times" w:cstheme="minorHAnsi"/>
          <w:color w:val="000000" w:themeColor="text1"/>
          <w:shd w:val="clear" w:color="auto" w:fill="FFFFFF"/>
        </w:rPr>
        <w:t xml:space="preserve"> scale. The profilometer was used to measure the surface roughness of the compressed discs and calculate Ra</w:t>
      </w:r>
      <w:r w:rsidR="00C53875" w:rsidRPr="008C2309">
        <w:rPr>
          <w:rFonts w:ascii="Times" w:hAnsi="Times" w:cstheme="minorHAnsi"/>
          <w:color w:val="000000" w:themeColor="text1"/>
          <w:shd w:val="clear" w:color="auto" w:fill="FFFFFF"/>
        </w:rPr>
        <w:t>,</w:t>
      </w:r>
      <w:r w:rsidRPr="008C2309">
        <w:rPr>
          <w:rFonts w:ascii="Times" w:hAnsi="Times" w:cstheme="minorHAnsi"/>
          <w:color w:val="000000" w:themeColor="text1"/>
          <w:shd w:val="clear" w:color="auto" w:fill="FFFFFF"/>
        </w:rPr>
        <w:t xml:space="preserve"> the roughness average of a surface</w:t>
      </w:r>
      <w:r w:rsidR="00C53875" w:rsidRPr="008C2309">
        <w:rPr>
          <w:rFonts w:ascii="Times" w:hAnsi="Times" w:cstheme="minorHAnsi"/>
          <w:color w:val="000000" w:themeColor="text1"/>
          <w:shd w:val="clear" w:color="auto" w:fill="FFFFFF"/>
        </w:rPr>
        <w:t>’</w:t>
      </w:r>
      <w:r w:rsidRPr="008C2309">
        <w:rPr>
          <w:rFonts w:ascii="Times" w:hAnsi="Times" w:cstheme="minorHAnsi"/>
          <w:color w:val="000000" w:themeColor="text1"/>
          <w:shd w:val="clear" w:color="auto" w:fill="FFFFFF"/>
        </w:rPr>
        <w:t>s measured microscopic peaks and valleys.</w:t>
      </w:r>
      <w:r w:rsidR="00F86F34" w:rsidRPr="008C2309">
        <w:rPr>
          <w:rFonts w:ascii="Times" w:hAnsi="Times" w:cstheme="minorHAnsi"/>
          <w:color w:val="000000" w:themeColor="text1"/>
          <w:shd w:val="clear" w:color="auto" w:fill="FFFFFF"/>
        </w:rPr>
        <w:t xml:space="preserve"> Area scans of the disc surfaces were made.</w:t>
      </w:r>
      <w:r w:rsidR="00C6035E" w:rsidRPr="008C2309">
        <w:rPr>
          <w:rFonts w:ascii="Times" w:hAnsi="Times" w:cstheme="minorHAnsi"/>
          <w:color w:val="000000" w:themeColor="text1"/>
          <w:shd w:val="clear" w:color="auto" w:fill="FFFFFF"/>
        </w:rPr>
        <w:t xml:space="preserve"> </w:t>
      </w:r>
      <w:r w:rsidR="00F86F34" w:rsidRPr="008C2309">
        <w:rPr>
          <w:rFonts w:ascii="Times" w:hAnsi="Times" w:cstheme="minorHAnsi"/>
          <w:color w:val="000000" w:themeColor="text1"/>
          <w:shd w:val="clear" w:color="auto" w:fill="FFFFFF"/>
        </w:rPr>
        <w:t>The transverse lengths were 1.92 mm in the X direction and 1.68 mm in the Y direction.</w:t>
      </w:r>
      <w:r w:rsidR="007C693A" w:rsidRPr="008C2309">
        <w:rPr>
          <w:rFonts w:ascii="Times" w:hAnsi="Times" w:cstheme="minorHAnsi"/>
          <w:color w:val="000000" w:themeColor="text1"/>
          <w:shd w:val="clear" w:color="auto" w:fill="FFFFFF"/>
        </w:rPr>
        <w:t xml:space="preserve"> The profilometer </w:t>
      </w:r>
      <w:r w:rsidR="00324B81" w:rsidRPr="008C2309">
        <w:rPr>
          <w:rFonts w:ascii="Times" w:hAnsi="Times" w:cstheme="minorHAnsi"/>
          <w:color w:val="000000" w:themeColor="text1"/>
          <w:shd w:val="clear" w:color="auto" w:fill="FFFFFF"/>
        </w:rPr>
        <w:t xml:space="preserve">used </w:t>
      </w:r>
      <w:r w:rsidR="007C693A" w:rsidRPr="008C2309">
        <w:rPr>
          <w:rFonts w:ascii="Times" w:hAnsi="Times" w:cstheme="minorHAnsi"/>
          <w:color w:val="000000" w:themeColor="text1"/>
          <w:shd w:val="clear" w:color="auto" w:fill="FFFFFF"/>
        </w:rPr>
        <w:t xml:space="preserve">has a spot size diameter of 0.88 </w:t>
      </w:r>
      <w:r w:rsidR="007C693A" w:rsidRPr="008C2309">
        <w:rPr>
          <w:rFonts w:ascii="Times" w:hAnsi="Times" w:cs="Times"/>
          <w:color w:val="000000" w:themeColor="text1"/>
          <w:shd w:val="clear" w:color="auto" w:fill="FFFFFF"/>
        </w:rPr>
        <w:t>µ</w:t>
      </w:r>
      <w:r w:rsidR="007C693A" w:rsidRPr="008C2309">
        <w:rPr>
          <w:rFonts w:ascii="Times" w:hAnsi="Times" w:cstheme="minorHAnsi"/>
          <w:color w:val="000000" w:themeColor="text1"/>
          <w:shd w:val="clear" w:color="auto" w:fill="FFFFFF"/>
        </w:rPr>
        <w:t>m.</w:t>
      </w:r>
      <w:r w:rsidR="004001B7" w:rsidRPr="008C2309">
        <w:rPr>
          <w:rFonts w:ascii="Times" w:hAnsi="Times" w:cstheme="minorHAnsi"/>
          <w:color w:val="000000" w:themeColor="text1"/>
          <w:shd w:val="clear" w:color="auto" w:fill="FFFFFF"/>
        </w:rPr>
        <w:t xml:space="preserve"> Roughness data was calculated by SPIP V5.1.5.0 software.</w:t>
      </w:r>
      <w:r w:rsidRPr="008C2309">
        <w:rPr>
          <w:rFonts w:ascii="Times" w:hAnsi="Times" w:cstheme="minorHAnsi"/>
          <w:color w:val="000000" w:themeColor="text1"/>
          <w:shd w:val="clear" w:color="auto" w:fill="FFFFFF"/>
        </w:rPr>
        <w:t xml:space="preserve"> Samples were sputter-coated with gold under vacuum prior to analysis. Scans and analysis were performed in triplicate. Statistical analysis was conducted using Minitab® 16 software. A two-sample t-test was carried out comparing the </w:t>
      </w:r>
      <w:r w:rsidR="00C53875" w:rsidRPr="008C2309">
        <w:rPr>
          <w:rFonts w:ascii="Times" w:hAnsi="Times" w:cstheme="minorHAnsi"/>
          <w:color w:val="000000" w:themeColor="text1"/>
          <w:shd w:val="clear" w:color="auto" w:fill="FFFFFF"/>
        </w:rPr>
        <w:t xml:space="preserve">surface roughness of the </w:t>
      </w:r>
      <w:r w:rsidRPr="008C2309">
        <w:rPr>
          <w:rFonts w:ascii="Times" w:hAnsi="Times" w:cstheme="minorHAnsi"/>
          <w:color w:val="000000" w:themeColor="text1"/>
          <w:shd w:val="clear" w:color="auto" w:fill="FFFFFF"/>
        </w:rPr>
        <w:t xml:space="preserve">SD formulation compressed discs with </w:t>
      </w:r>
      <w:r w:rsidR="00C53875" w:rsidRPr="008C2309">
        <w:rPr>
          <w:rFonts w:ascii="Times" w:hAnsi="Times" w:cstheme="minorHAnsi"/>
          <w:color w:val="000000" w:themeColor="text1"/>
          <w:shd w:val="clear" w:color="auto" w:fill="FFFFFF"/>
        </w:rPr>
        <w:t xml:space="preserve">that of </w:t>
      </w:r>
      <w:r w:rsidRPr="008C2309">
        <w:rPr>
          <w:rFonts w:ascii="Times" w:hAnsi="Times" w:cstheme="minorHAnsi"/>
          <w:color w:val="000000" w:themeColor="text1"/>
          <w:shd w:val="clear" w:color="auto" w:fill="FFFFFF"/>
        </w:rPr>
        <w:t>the cryomilled HME formulation compressed discs.</w:t>
      </w:r>
    </w:p>
    <w:p w14:paraId="08D0CBE6" w14:textId="77777777" w:rsidR="00324B81" w:rsidRPr="008C2309" w:rsidRDefault="00324B81" w:rsidP="00E41DED">
      <w:pPr>
        <w:spacing w:line="480" w:lineRule="auto"/>
        <w:jc w:val="both"/>
        <w:outlineLvl w:val="0"/>
        <w:rPr>
          <w:rFonts w:ascii="Times" w:hAnsi="Times" w:cstheme="minorHAnsi"/>
          <w:i/>
          <w:color w:val="000000" w:themeColor="text1"/>
          <w:shd w:val="clear" w:color="auto" w:fill="FFFFFF"/>
        </w:rPr>
      </w:pPr>
    </w:p>
    <w:p w14:paraId="2EE434DB" w14:textId="0FC77A68" w:rsidR="005A40BE" w:rsidRPr="008C2309" w:rsidRDefault="0036535B" w:rsidP="00E41DED">
      <w:pPr>
        <w:spacing w:line="480" w:lineRule="auto"/>
        <w:jc w:val="both"/>
        <w:outlineLvl w:val="0"/>
        <w:rPr>
          <w:rFonts w:ascii="Times" w:hAnsi="Times" w:cstheme="minorHAnsi"/>
          <w:i/>
          <w:color w:val="000000" w:themeColor="text1"/>
          <w:shd w:val="clear" w:color="auto" w:fill="FFFFFF"/>
        </w:rPr>
      </w:pPr>
      <w:r w:rsidRPr="008C2309">
        <w:rPr>
          <w:rFonts w:ascii="Times" w:hAnsi="Times" w:cstheme="minorHAnsi"/>
          <w:i/>
          <w:color w:val="000000" w:themeColor="text1"/>
          <w:shd w:val="clear" w:color="auto" w:fill="FFFFFF"/>
        </w:rPr>
        <w:t>2.2.1</w:t>
      </w:r>
      <w:r w:rsidR="00334289" w:rsidRPr="008C2309">
        <w:rPr>
          <w:rFonts w:ascii="Times" w:hAnsi="Times" w:cstheme="minorHAnsi"/>
          <w:i/>
          <w:color w:val="000000" w:themeColor="text1"/>
          <w:shd w:val="clear" w:color="auto" w:fill="FFFFFF"/>
        </w:rPr>
        <w:t>2</w:t>
      </w:r>
      <w:r w:rsidRPr="008C2309">
        <w:rPr>
          <w:rFonts w:ascii="Times" w:hAnsi="Times" w:cstheme="minorHAnsi"/>
          <w:i/>
          <w:color w:val="000000" w:themeColor="text1"/>
          <w:shd w:val="clear" w:color="auto" w:fill="FFFFFF"/>
        </w:rPr>
        <w:t xml:space="preserve"> </w:t>
      </w:r>
      <w:r w:rsidR="00EF1497" w:rsidRPr="008C2309">
        <w:rPr>
          <w:rFonts w:ascii="Times" w:hAnsi="Times" w:cstheme="minorHAnsi"/>
          <w:i/>
          <w:color w:val="000000" w:themeColor="text1"/>
          <w:shd w:val="clear" w:color="auto" w:fill="FFFFFF"/>
        </w:rPr>
        <w:t>Stability Studies</w:t>
      </w:r>
    </w:p>
    <w:p w14:paraId="6B703A3D" w14:textId="3D37FE75" w:rsidR="00521541" w:rsidRPr="008C2309" w:rsidRDefault="00A07228" w:rsidP="00E41DED">
      <w:pPr>
        <w:spacing w:line="480" w:lineRule="auto"/>
        <w:jc w:val="both"/>
        <w:outlineLvl w:val="0"/>
        <w:rPr>
          <w:rFonts w:ascii="Times" w:hAnsi="Times" w:cstheme="minorHAnsi"/>
          <w:color w:val="000000" w:themeColor="text1"/>
          <w:shd w:val="clear" w:color="auto" w:fill="FFFFFF"/>
        </w:rPr>
      </w:pPr>
      <w:bookmarkStart w:id="3" w:name="_Hlk502681210"/>
      <w:r w:rsidRPr="008C2309">
        <w:rPr>
          <w:rFonts w:ascii="Times" w:hAnsi="Times" w:cstheme="minorHAnsi"/>
          <w:color w:val="000000" w:themeColor="text1"/>
          <w:shd w:val="clear" w:color="auto" w:fill="FFFFFF"/>
        </w:rPr>
        <w:t>Formulations</w:t>
      </w:r>
      <w:r w:rsidR="00B1218C" w:rsidRPr="008C2309">
        <w:rPr>
          <w:rFonts w:ascii="Times" w:hAnsi="Times" w:cstheme="minorHAnsi"/>
          <w:color w:val="000000" w:themeColor="text1"/>
          <w:shd w:val="clear" w:color="auto" w:fill="FFFFFF"/>
        </w:rPr>
        <w:t xml:space="preserve"> </w:t>
      </w:r>
      <w:r w:rsidR="00521541" w:rsidRPr="008C2309">
        <w:rPr>
          <w:rFonts w:ascii="Times" w:hAnsi="Times" w:cstheme="minorHAnsi"/>
          <w:color w:val="000000" w:themeColor="text1"/>
          <w:shd w:val="clear" w:color="auto" w:fill="FFFFFF"/>
        </w:rPr>
        <w:t xml:space="preserve">produced by SD and HME methods were placed on </w:t>
      </w:r>
      <w:r w:rsidR="00324B81" w:rsidRPr="008C2309">
        <w:rPr>
          <w:rFonts w:ascii="Times" w:hAnsi="Times" w:cstheme="minorHAnsi"/>
          <w:color w:val="000000" w:themeColor="text1"/>
          <w:shd w:val="clear" w:color="auto" w:fill="FFFFFF"/>
        </w:rPr>
        <w:t>short-term</w:t>
      </w:r>
      <w:r w:rsidR="00521541" w:rsidRPr="008C2309">
        <w:rPr>
          <w:rFonts w:ascii="Times" w:hAnsi="Times" w:cstheme="minorHAnsi"/>
          <w:color w:val="000000" w:themeColor="text1"/>
          <w:shd w:val="clear" w:color="auto" w:fill="FFFFFF"/>
        </w:rPr>
        <w:t xml:space="preserve"> stability</w:t>
      </w:r>
      <w:r w:rsidR="00110C79" w:rsidRPr="008C2309">
        <w:rPr>
          <w:rFonts w:ascii="Times" w:hAnsi="Times" w:cstheme="minorHAnsi"/>
          <w:color w:val="000000" w:themeColor="text1"/>
          <w:shd w:val="clear" w:color="auto" w:fill="FFFFFF"/>
        </w:rPr>
        <w:t xml:space="preserve"> at </w:t>
      </w:r>
      <w:r w:rsidR="00FD1E0E" w:rsidRPr="008C2309">
        <w:rPr>
          <w:rFonts w:ascii="Times" w:hAnsi="Times" w:cstheme="minorHAnsi"/>
          <w:color w:val="000000" w:themeColor="text1"/>
          <w:shd w:val="clear" w:color="auto" w:fill="FFFFFF"/>
        </w:rPr>
        <w:t xml:space="preserve">two </w:t>
      </w:r>
      <w:r w:rsidR="001D43B0" w:rsidRPr="008C2309">
        <w:rPr>
          <w:rFonts w:ascii="Times" w:hAnsi="Times" w:cstheme="minorHAnsi"/>
          <w:color w:val="000000" w:themeColor="text1"/>
          <w:shd w:val="clear" w:color="auto" w:fill="FFFFFF"/>
        </w:rPr>
        <w:t xml:space="preserve">relative </w:t>
      </w:r>
      <w:r w:rsidR="00FD1E0E" w:rsidRPr="008C2309">
        <w:rPr>
          <w:rFonts w:ascii="Times" w:hAnsi="Times" w:cstheme="minorHAnsi"/>
          <w:color w:val="000000" w:themeColor="text1"/>
          <w:shd w:val="clear" w:color="auto" w:fill="FFFFFF"/>
        </w:rPr>
        <w:t xml:space="preserve">humidity </w:t>
      </w:r>
      <w:r w:rsidR="001D43B0" w:rsidRPr="008C2309">
        <w:rPr>
          <w:rFonts w:ascii="Times" w:hAnsi="Times" w:cstheme="minorHAnsi"/>
          <w:color w:val="000000" w:themeColor="text1"/>
          <w:shd w:val="clear" w:color="auto" w:fill="FFFFFF"/>
        </w:rPr>
        <w:t>(RH)</w:t>
      </w:r>
      <w:r w:rsidR="00FD1E0E" w:rsidRPr="008C2309">
        <w:rPr>
          <w:rFonts w:ascii="Times" w:hAnsi="Times" w:cstheme="minorHAnsi"/>
          <w:color w:val="000000" w:themeColor="text1"/>
          <w:shd w:val="clear" w:color="auto" w:fill="FFFFFF"/>
        </w:rPr>
        <w:t xml:space="preserve"> conditions </w:t>
      </w:r>
      <w:r w:rsidR="001068A4" w:rsidRPr="008C2309">
        <w:rPr>
          <w:rFonts w:ascii="Times" w:hAnsi="Times" w:cstheme="minorHAnsi"/>
          <w:color w:val="000000" w:themeColor="text1"/>
        </w:rPr>
        <w:t>(25</w:t>
      </w:r>
      <w:r w:rsidR="00E1397E" w:rsidRPr="008C2309">
        <w:rPr>
          <w:rFonts w:ascii="Times" w:hAnsi="Times" w:cstheme="minorHAnsi"/>
          <w:color w:val="000000" w:themeColor="text1"/>
        </w:rPr>
        <w:t xml:space="preserve"> </w:t>
      </w:r>
      <w:r w:rsidR="001068A4" w:rsidRPr="008C2309">
        <w:rPr>
          <w:rFonts w:ascii="Times" w:hAnsi="Times" w:cstheme="minorHAnsi"/>
          <w:color w:val="000000" w:themeColor="text1"/>
        </w:rPr>
        <w:t>°C/</w:t>
      </w:r>
      <w:r w:rsidR="008C7D53" w:rsidRPr="008C2309">
        <w:rPr>
          <w:rFonts w:ascii="Times" w:hAnsi="Times" w:cstheme="minorHAnsi"/>
          <w:color w:val="000000" w:themeColor="text1"/>
        </w:rPr>
        <w:t>7</w:t>
      </w:r>
      <w:r w:rsidR="00110C79" w:rsidRPr="008C2309">
        <w:rPr>
          <w:rFonts w:ascii="Times" w:hAnsi="Times" w:cstheme="minorHAnsi"/>
          <w:color w:val="000000" w:themeColor="text1"/>
        </w:rPr>
        <w:t xml:space="preserve">5% RH, and </w:t>
      </w:r>
      <w:r w:rsidR="001068A4" w:rsidRPr="008C2309">
        <w:rPr>
          <w:rFonts w:ascii="Times" w:hAnsi="Times" w:cstheme="minorHAnsi"/>
          <w:color w:val="000000" w:themeColor="text1"/>
        </w:rPr>
        <w:t>25</w:t>
      </w:r>
      <w:r w:rsidR="00E1397E" w:rsidRPr="008C2309">
        <w:rPr>
          <w:rFonts w:ascii="Times" w:hAnsi="Times" w:cstheme="minorHAnsi"/>
          <w:color w:val="000000" w:themeColor="text1"/>
        </w:rPr>
        <w:t xml:space="preserve"> </w:t>
      </w:r>
      <w:r w:rsidR="001068A4" w:rsidRPr="008C2309">
        <w:rPr>
          <w:rFonts w:ascii="Times" w:hAnsi="Times" w:cstheme="minorHAnsi"/>
          <w:color w:val="000000" w:themeColor="text1"/>
        </w:rPr>
        <w:t>°C/</w:t>
      </w:r>
      <w:r w:rsidR="00110C79" w:rsidRPr="008C2309">
        <w:rPr>
          <w:rFonts w:ascii="Times" w:hAnsi="Times" w:cstheme="minorHAnsi"/>
          <w:color w:val="000000" w:themeColor="text1"/>
        </w:rPr>
        <w:t>&lt;10% RH)</w:t>
      </w:r>
      <w:r w:rsidR="008C7D53" w:rsidRPr="008C2309">
        <w:rPr>
          <w:rFonts w:ascii="Times" w:hAnsi="Times" w:cstheme="minorHAnsi"/>
          <w:color w:val="000000" w:themeColor="text1"/>
        </w:rPr>
        <w:t xml:space="preserve"> for 60 days</w:t>
      </w:r>
      <w:r w:rsidR="00110C79" w:rsidRPr="008C2309">
        <w:rPr>
          <w:rFonts w:ascii="Times" w:hAnsi="Times" w:cstheme="minorHAnsi"/>
          <w:color w:val="000000" w:themeColor="text1"/>
        </w:rPr>
        <w:t>.</w:t>
      </w:r>
      <w:r w:rsidR="003D1DFA" w:rsidRPr="008C2309">
        <w:rPr>
          <w:rFonts w:ascii="Times" w:hAnsi="Times" w:cstheme="minorHAnsi"/>
          <w:color w:val="000000" w:themeColor="text1"/>
          <w:shd w:val="clear" w:color="auto" w:fill="FFFFFF"/>
        </w:rPr>
        <w:t xml:space="preserve"> Sample storage conditions were monitored using the Amebis Stability Testing and Monitoring System (Amebis Ltd., Ireland). A suitable amount of test material was transferred to Amebis sample </w:t>
      </w:r>
      <w:r w:rsidR="003D1DFA" w:rsidRPr="008C2309">
        <w:rPr>
          <w:rFonts w:ascii="Times" w:hAnsi="Times" w:cstheme="minorHAnsi"/>
          <w:color w:val="000000" w:themeColor="text1"/>
          <w:shd w:val="clear" w:color="auto" w:fill="FFFFFF"/>
        </w:rPr>
        <w:lastRenderedPageBreak/>
        <w:t xml:space="preserve">chambers containing a pre-prepared saturated salt solution to regulate the relative humidity. The sample chamber containing the test material and saturated salt solution was subsequently transferred to a </w:t>
      </w:r>
      <w:r w:rsidR="009F23DF" w:rsidRPr="008C2309">
        <w:rPr>
          <w:rFonts w:ascii="Times" w:hAnsi="Times" w:cstheme="minorHAnsi"/>
          <w:color w:val="000000" w:themeColor="text1"/>
          <w:shd w:val="clear" w:color="auto" w:fill="FFFFFF"/>
        </w:rPr>
        <w:t>temperature-controlled</w:t>
      </w:r>
      <w:r w:rsidR="003D1DFA" w:rsidRPr="008C2309">
        <w:rPr>
          <w:rFonts w:ascii="Times" w:hAnsi="Times" w:cstheme="minorHAnsi"/>
          <w:color w:val="000000" w:themeColor="text1"/>
          <w:shd w:val="clear" w:color="auto" w:fill="FFFFFF"/>
        </w:rPr>
        <w:t xml:space="preserve"> cabinet at the specified temperature. The integrated temperature and humidity sensor within the Amebis system wirelessly transmitted and logged data regarding the environmental conditions within each test chamber to the Amebis Control Software (Amebis Ltd., Ireland) at </w:t>
      </w:r>
      <w:r w:rsidR="009F23DF" w:rsidRPr="008C2309">
        <w:rPr>
          <w:rFonts w:ascii="Times" w:hAnsi="Times" w:cstheme="minorHAnsi"/>
          <w:color w:val="000000" w:themeColor="text1"/>
          <w:shd w:val="clear" w:color="auto" w:fill="FFFFFF"/>
        </w:rPr>
        <w:t>30-minute</w:t>
      </w:r>
      <w:r w:rsidR="003D1DFA" w:rsidRPr="008C2309">
        <w:rPr>
          <w:rFonts w:ascii="Times" w:hAnsi="Times" w:cstheme="minorHAnsi"/>
          <w:color w:val="000000" w:themeColor="text1"/>
          <w:shd w:val="clear" w:color="auto" w:fill="FFFFFF"/>
        </w:rPr>
        <w:t xml:space="preserve"> intervals. The Amebis system allowed for remote monitoring of both temperature and relative humidity conditions without the need to remove the chamber for data retrieval/monitoring. Samples were taken and analysed periodically by PXRD, mDSC and HPLC over the course of 60 days to test for amorphous/crystalline nature and drug content</w:t>
      </w:r>
      <w:r w:rsidR="003A29F7" w:rsidRPr="008C2309">
        <w:rPr>
          <w:rFonts w:ascii="Times" w:hAnsi="Times" w:cstheme="minorHAnsi"/>
          <w:color w:val="000000" w:themeColor="text1"/>
          <w:shd w:val="clear" w:color="auto" w:fill="FFFFFF"/>
        </w:rPr>
        <w:t>.</w:t>
      </w:r>
    </w:p>
    <w:bookmarkEnd w:id="3"/>
    <w:p w14:paraId="67E4BB5C" w14:textId="77777777" w:rsidR="00E42726" w:rsidRPr="008C2309" w:rsidRDefault="00E42726" w:rsidP="00E41DED">
      <w:pPr>
        <w:spacing w:line="480" w:lineRule="auto"/>
        <w:jc w:val="both"/>
        <w:outlineLvl w:val="0"/>
        <w:rPr>
          <w:rFonts w:ascii="Times" w:hAnsi="Times" w:cstheme="minorHAnsi"/>
          <w:color w:val="000000" w:themeColor="text1"/>
          <w:shd w:val="clear" w:color="auto" w:fill="FFFFFF"/>
        </w:rPr>
      </w:pPr>
    </w:p>
    <w:p w14:paraId="07FE580B" w14:textId="15108636" w:rsidR="001068A4" w:rsidRPr="008C2309" w:rsidRDefault="0036535B" w:rsidP="00E41DED">
      <w:pPr>
        <w:spacing w:line="480" w:lineRule="auto"/>
        <w:jc w:val="both"/>
        <w:outlineLvl w:val="0"/>
        <w:rPr>
          <w:rFonts w:ascii="Times" w:hAnsi="Times" w:cstheme="minorHAnsi"/>
          <w:i/>
          <w:color w:val="000000" w:themeColor="text1"/>
          <w:shd w:val="clear" w:color="auto" w:fill="FFFFFF"/>
        </w:rPr>
      </w:pPr>
      <w:r w:rsidRPr="008C2309">
        <w:rPr>
          <w:rFonts w:ascii="Times" w:hAnsi="Times" w:cstheme="minorHAnsi"/>
          <w:i/>
          <w:color w:val="000000" w:themeColor="text1"/>
          <w:shd w:val="clear" w:color="auto" w:fill="FFFFFF"/>
        </w:rPr>
        <w:t>2.2.1</w:t>
      </w:r>
      <w:r w:rsidR="00334289" w:rsidRPr="008C2309">
        <w:rPr>
          <w:rFonts w:ascii="Times" w:hAnsi="Times" w:cstheme="minorHAnsi"/>
          <w:i/>
          <w:color w:val="000000" w:themeColor="text1"/>
          <w:shd w:val="clear" w:color="auto" w:fill="FFFFFF"/>
        </w:rPr>
        <w:t>3</w:t>
      </w:r>
      <w:r w:rsidRPr="008C2309">
        <w:rPr>
          <w:rFonts w:ascii="Times" w:hAnsi="Times" w:cstheme="minorHAnsi"/>
          <w:i/>
          <w:color w:val="000000" w:themeColor="text1"/>
          <w:shd w:val="clear" w:color="auto" w:fill="FFFFFF"/>
        </w:rPr>
        <w:t xml:space="preserve"> </w:t>
      </w:r>
      <w:r w:rsidR="008C7D53" w:rsidRPr="008C2309">
        <w:rPr>
          <w:rFonts w:ascii="Times" w:hAnsi="Times" w:cstheme="minorHAnsi"/>
          <w:i/>
          <w:color w:val="000000" w:themeColor="text1"/>
          <w:shd w:val="clear" w:color="auto" w:fill="FFFFFF"/>
        </w:rPr>
        <w:t xml:space="preserve">Assay </w:t>
      </w:r>
      <w:r w:rsidR="00A96314" w:rsidRPr="008C2309">
        <w:rPr>
          <w:rFonts w:ascii="Times" w:hAnsi="Times" w:cstheme="minorHAnsi"/>
          <w:i/>
          <w:color w:val="000000" w:themeColor="text1"/>
          <w:shd w:val="clear" w:color="auto" w:fill="FFFFFF"/>
        </w:rPr>
        <w:t>of Drug Content</w:t>
      </w:r>
    </w:p>
    <w:p w14:paraId="4384561E" w14:textId="23689908" w:rsidR="001068A4" w:rsidRPr="008C2309" w:rsidRDefault="00377093" w:rsidP="00E41DED">
      <w:pPr>
        <w:spacing w:line="480" w:lineRule="auto"/>
        <w:jc w:val="both"/>
        <w:outlineLvl w:val="0"/>
        <w:rPr>
          <w:rFonts w:ascii="Times" w:hAnsi="Times" w:cstheme="minorHAnsi"/>
          <w:color w:val="000000" w:themeColor="text1"/>
          <w:shd w:val="clear" w:color="auto" w:fill="FFFFFF"/>
        </w:rPr>
      </w:pPr>
      <w:r w:rsidRPr="008C2309">
        <w:rPr>
          <w:rFonts w:ascii="Times" w:hAnsi="Times" w:cstheme="minorHAnsi"/>
          <w:color w:val="000000" w:themeColor="text1"/>
          <w:shd w:val="clear" w:color="auto" w:fill="FFFFFF"/>
        </w:rPr>
        <w:t>50</w:t>
      </w:r>
      <w:r w:rsidR="00C71F2F" w:rsidRPr="008C2309">
        <w:rPr>
          <w:rFonts w:ascii="Times" w:hAnsi="Times" w:cstheme="minorHAnsi"/>
          <w:color w:val="000000" w:themeColor="text1"/>
          <w:shd w:val="clear" w:color="auto" w:fill="FFFFFF"/>
        </w:rPr>
        <w:t xml:space="preserve"> </w:t>
      </w:r>
      <w:r w:rsidRPr="008C2309">
        <w:rPr>
          <w:rFonts w:ascii="Times" w:hAnsi="Times" w:cstheme="minorHAnsi"/>
          <w:color w:val="000000" w:themeColor="text1"/>
          <w:shd w:val="clear" w:color="auto" w:fill="FFFFFF"/>
        </w:rPr>
        <w:t>mg of each formulation was accurately weighed using a microbalance</w:t>
      </w:r>
      <w:r w:rsidR="002667A7" w:rsidRPr="008C2309">
        <w:rPr>
          <w:rFonts w:ascii="Times" w:hAnsi="Times" w:cstheme="minorHAnsi"/>
          <w:color w:val="000000" w:themeColor="text1"/>
          <w:shd w:val="clear" w:color="auto" w:fill="FFFFFF"/>
        </w:rPr>
        <w:t xml:space="preserve"> (Mettler-Toledo, Leicester, UK),</w:t>
      </w:r>
      <w:r w:rsidRPr="008C2309">
        <w:rPr>
          <w:rFonts w:ascii="Times" w:hAnsi="Times" w:cstheme="minorHAnsi"/>
          <w:color w:val="000000" w:themeColor="text1"/>
          <w:shd w:val="clear" w:color="auto" w:fill="FFFFFF"/>
        </w:rPr>
        <w:t xml:space="preserve"> added to a 50</w:t>
      </w:r>
      <w:r w:rsidR="00C71F2F" w:rsidRPr="008C2309">
        <w:rPr>
          <w:rFonts w:ascii="Times" w:hAnsi="Times" w:cstheme="minorHAnsi"/>
          <w:color w:val="000000" w:themeColor="text1"/>
          <w:shd w:val="clear" w:color="auto" w:fill="FFFFFF"/>
        </w:rPr>
        <w:t xml:space="preserve"> </w:t>
      </w:r>
      <w:r w:rsidRPr="008C2309">
        <w:rPr>
          <w:rFonts w:ascii="Times" w:hAnsi="Times" w:cstheme="minorHAnsi"/>
          <w:color w:val="000000" w:themeColor="text1"/>
          <w:shd w:val="clear" w:color="auto" w:fill="FFFFFF"/>
        </w:rPr>
        <w:t>ml volumetric flask and made up to the mark with 0.1M HCl solution. The solution was sonicated for 10</w:t>
      </w:r>
      <w:r w:rsidR="00FD1E0E" w:rsidRPr="008C2309">
        <w:rPr>
          <w:rFonts w:ascii="Times" w:hAnsi="Times" w:cstheme="minorHAnsi"/>
          <w:color w:val="000000" w:themeColor="text1"/>
          <w:shd w:val="clear" w:color="auto" w:fill="FFFFFF"/>
        </w:rPr>
        <w:t xml:space="preserve"> </w:t>
      </w:r>
      <w:r w:rsidRPr="008C2309">
        <w:rPr>
          <w:rFonts w:ascii="Times" w:hAnsi="Times" w:cstheme="minorHAnsi"/>
          <w:color w:val="000000" w:themeColor="text1"/>
          <w:shd w:val="clear" w:color="auto" w:fill="FFFFFF"/>
        </w:rPr>
        <w:t xml:space="preserve">min to ensure the formulation was fully dissolved before being analysed </w:t>
      </w:r>
      <w:r w:rsidR="00324B81" w:rsidRPr="008C2309">
        <w:rPr>
          <w:rFonts w:ascii="Times" w:hAnsi="Times" w:cstheme="minorHAnsi"/>
          <w:color w:val="000000" w:themeColor="text1"/>
          <w:shd w:val="clear" w:color="auto" w:fill="FFFFFF"/>
        </w:rPr>
        <w:t xml:space="preserve">by </w:t>
      </w:r>
      <w:r w:rsidRPr="008C2309">
        <w:rPr>
          <w:rFonts w:ascii="Times" w:hAnsi="Times" w:cstheme="minorHAnsi"/>
          <w:color w:val="000000" w:themeColor="text1"/>
          <w:shd w:val="clear" w:color="auto" w:fill="FFFFFF"/>
        </w:rPr>
        <w:t>HPLC</w:t>
      </w:r>
      <w:r w:rsidR="00FD1E0E" w:rsidRPr="008C2309">
        <w:rPr>
          <w:rFonts w:ascii="Times" w:hAnsi="Times" w:cstheme="minorHAnsi"/>
          <w:color w:val="000000" w:themeColor="text1"/>
          <w:shd w:val="clear" w:color="auto" w:fill="FFFFFF"/>
        </w:rPr>
        <w:t xml:space="preserve"> (as described above)</w:t>
      </w:r>
      <w:r w:rsidRPr="008C2309">
        <w:rPr>
          <w:rFonts w:ascii="Times" w:hAnsi="Times" w:cstheme="minorHAnsi"/>
          <w:color w:val="000000" w:themeColor="text1"/>
          <w:shd w:val="clear" w:color="auto" w:fill="FFFFFF"/>
        </w:rPr>
        <w:t xml:space="preserve">. Drug content was calculated by determining the area under the curve and </w:t>
      </w:r>
      <w:r w:rsidR="00FD1E0E" w:rsidRPr="008C2309">
        <w:rPr>
          <w:rFonts w:ascii="Times" w:hAnsi="Times" w:cstheme="minorHAnsi"/>
          <w:color w:val="000000" w:themeColor="text1"/>
          <w:shd w:val="clear" w:color="auto" w:fill="FFFFFF"/>
        </w:rPr>
        <w:t xml:space="preserve">comparing </w:t>
      </w:r>
      <w:r w:rsidRPr="008C2309">
        <w:rPr>
          <w:rFonts w:ascii="Times" w:hAnsi="Times" w:cstheme="minorHAnsi"/>
          <w:color w:val="000000" w:themeColor="text1"/>
          <w:shd w:val="clear" w:color="auto" w:fill="FFFFFF"/>
        </w:rPr>
        <w:t xml:space="preserve">to area under the curve of </w:t>
      </w:r>
      <w:r w:rsidR="00C71F2F" w:rsidRPr="008C2309">
        <w:rPr>
          <w:rFonts w:ascii="Times" w:hAnsi="Times" w:cstheme="minorHAnsi"/>
          <w:color w:val="000000" w:themeColor="text1"/>
          <w:shd w:val="clear" w:color="auto" w:fill="FFFFFF"/>
        </w:rPr>
        <w:t xml:space="preserve">standards of </w:t>
      </w:r>
      <w:r w:rsidRPr="008C2309">
        <w:rPr>
          <w:rFonts w:ascii="Times" w:hAnsi="Times" w:cstheme="minorHAnsi"/>
          <w:color w:val="000000" w:themeColor="text1"/>
          <w:shd w:val="clear" w:color="auto" w:fill="FFFFFF"/>
        </w:rPr>
        <w:t>known concentration.</w:t>
      </w:r>
      <w:r w:rsidR="00BC2078" w:rsidRPr="008C2309">
        <w:rPr>
          <w:rFonts w:ascii="Times" w:hAnsi="Times" w:cstheme="minorHAnsi"/>
          <w:color w:val="000000" w:themeColor="text1"/>
          <w:shd w:val="clear" w:color="auto" w:fill="FFFFFF"/>
        </w:rPr>
        <w:t xml:space="preserve"> The range of the calibration curve for HCTZ was between 5 </w:t>
      </w:r>
      <w:r w:rsidR="00BC2078" w:rsidRPr="008C2309">
        <w:rPr>
          <w:rFonts w:ascii="Times" w:hAnsi="Times" w:cs="Times"/>
          <w:color w:val="000000" w:themeColor="text1"/>
          <w:shd w:val="clear" w:color="auto" w:fill="FFFFFF"/>
        </w:rPr>
        <w:t>µ</w:t>
      </w:r>
      <w:r w:rsidR="00BC2078" w:rsidRPr="008C2309">
        <w:rPr>
          <w:rFonts w:ascii="Times" w:hAnsi="Times" w:cstheme="minorHAnsi"/>
          <w:color w:val="000000" w:themeColor="text1"/>
          <w:shd w:val="clear" w:color="auto" w:fill="FFFFFF"/>
        </w:rPr>
        <w:t xml:space="preserve">g/ml and 250 </w:t>
      </w:r>
      <w:r w:rsidR="00BC2078" w:rsidRPr="008C2309">
        <w:rPr>
          <w:rFonts w:ascii="Times" w:hAnsi="Times" w:cs="Times"/>
          <w:color w:val="000000" w:themeColor="text1"/>
          <w:shd w:val="clear" w:color="auto" w:fill="FFFFFF"/>
        </w:rPr>
        <w:t>µ</w:t>
      </w:r>
      <w:r w:rsidR="00BC2078" w:rsidRPr="008C2309">
        <w:rPr>
          <w:rFonts w:ascii="Times" w:hAnsi="Times" w:cstheme="minorHAnsi"/>
          <w:color w:val="000000" w:themeColor="text1"/>
          <w:shd w:val="clear" w:color="auto" w:fill="FFFFFF"/>
        </w:rPr>
        <w:t xml:space="preserve">g/ml. The range of the calibration curve for RAM was between 5 </w:t>
      </w:r>
      <w:r w:rsidR="00BC2078" w:rsidRPr="008C2309">
        <w:rPr>
          <w:rFonts w:ascii="Times" w:hAnsi="Times" w:cs="Times"/>
          <w:color w:val="000000" w:themeColor="text1"/>
          <w:shd w:val="clear" w:color="auto" w:fill="FFFFFF"/>
        </w:rPr>
        <w:t>µ</w:t>
      </w:r>
      <w:r w:rsidR="00BC2078" w:rsidRPr="008C2309">
        <w:rPr>
          <w:rFonts w:ascii="Times" w:hAnsi="Times" w:cstheme="minorHAnsi"/>
          <w:color w:val="000000" w:themeColor="text1"/>
          <w:shd w:val="clear" w:color="auto" w:fill="FFFFFF"/>
        </w:rPr>
        <w:t xml:space="preserve">g/ml and 250 </w:t>
      </w:r>
      <w:r w:rsidR="00BC2078" w:rsidRPr="008C2309">
        <w:rPr>
          <w:rFonts w:ascii="Times" w:hAnsi="Times" w:cs="Times"/>
          <w:color w:val="000000" w:themeColor="text1"/>
          <w:shd w:val="clear" w:color="auto" w:fill="FFFFFF"/>
        </w:rPr>
        <w:t>µ</w:t>
      </w:r>
      <w:r w:rsidR="00BC2078" w:rsidRPr="008C2309">
        <w:rPr>
          <w:rFonts w:ascii="Times" w:hAnsi="Times" w:cstheme="minorHAnsi"/>
          <w:color w:val="000000" w:themeColor="text1"/>
          <w:shd w:val="clear" w:color="auto" w:fill="FFFFFF"/>
        </w:rPr>
        <w:t>g/ml.</w:t>
      </w:r>
      <w:r w:rsidR="00445D29" w:rsidRPr="008C2309">
        <w:t xml:space="preserve"> </w:t>
      </w:r>
      <w:r w:rsidR="00445D29" w:rsidRPr="008C2309">
        <w:rPr>
          <w:rFonts w:ascii="Times" w:hAnsi="Times" w:cstheme="minorHAnsi"/>
          <w:color w:val="000000" w:themeColor="text1"/>
          <w:shd w:val="clear" w:color="auto" w:fill="FFFFFF"/>
        </w:rPr>
        <w:t>Analysis was performed in triplicate.</w:t>
      </w:r>
    </w:p>
    <w:p w14:paraId="37AC4E9A" w14:textId="77777777" w:rsidR="00521541" w:rsidRPr="008C2309" w:rsidRDefault="00521541" w:rsidP="00E41DED">
      <w:pPr>
        <w:spacing w:line="480" w:lineRule="auto"/>
        <w:jc w:val="both"/>
        <w:outlineLvl w:val="0"/>
        <w:rPr>
          <w:rFonts w:ascii="Times" w:hAnsi="Times" w:cstheme="minorHAnsi"/>
          <w:color w:val="000000" w:themeColor="text1"/>
          <w:shd w:val="clear" w:color="auto" w:fill="FFFFFF"/>
        </w:rPr>
      </w:pPr>
    </w:p>
    <w:p w14:paraId="3A2D2136" w14:textId="31D0CF65" w:rsidR="006109C1" w:rsidRPr="008C2309" w:rsidRDefault="0036535B" w:rsidP="00E41DED">
      <w:pPr>
        <w:spacing w:line="480" w:lineRule="auto"/>
        <w:jc w:val="both"/>
        <w:outlineLvl w:val="0"/>
        <w:rPr>
          <w:rFonts w:ascii="Times" w:hAnsi="Times" w:cstheme="minorHAnsi"/>
          <w:i/>
          <w:color w:val="000000" w:themeColor="text1"/>
          <w:shd w:val="clear" w:color="auto" w:fill="FFFFFF"/>
        </w:rPr>
      </w:pPr>
      <w:r w:rsidRPr="008C2309">
        <w:rPr>
          <w:rFonts w:ascii="Times" w:hAnsi="Times" w:cstheme="minorHAnsi"/>
          <w:i/>
          <w:color w:val="000000" w:themeColor="text1"/>
          <w:shd w:val="clear" w:color="auto" w:fill="FFFFFF"/>
        </w:rPr>
        <w:t>2.2.1</w:t>
      </w:r>
      <w:r w:rsidR="00334289" w:rsidRPr="008C2309">
        <w:rPr>
          <w:rFonts w:ascii="Times" w:hAnsi="Times" w:cstheme="minorHAnsi"/>
          <w:i/>
          <w:color w:val="000000" w:themeColor="text1"/>
          <w:shd w:val="clear" w:color="auto" w:fill="FFFFFF"/>
        </w:rPr>
        <w:t>4</w:t>
      </w:r>
      <w:r w:rsidRPr="008C2309">
        <w:rPr>
          <w:rFonts w:ascii="Times" w:hAnsi="Times" w:cstheme="minorHAnsi"/>
          <w:i/>
          <w:color w:val="000000" w:themeColor="text1"/>
          <w:shd w:val="clear" w:color="auto" w:fill="FFFFFF"/>
        </w:rPr>
        <w:t xml:space="preserve"> </w:t>
      </w:r>
      <w:r w:rsidR="006109C1" w:rsidRPr="008C2309">
        <w:rPr>
          <w:rFonts w:ascii="Times" w:hAnsi="Times" w:cstheme="minorHAnsi"/>
          <w:i/>
          <w:color w:val="000000" w:themeColor="text1"/>
          <w:shd w:val="clear" w:color="auto" w:fill="FFFFFF"/>
        </w:rPr>
        <w:t>Statistical Studies</w:t>
      </w:r>
    </w:p>
    <w:p w14:paraId="705FD8A6" w14:textId="370F0952" w:rsidR="006109C1" w:rsidRPr="008C2309" w:rsidRDefault="006109C1" w:rsidP="00E41DED">
      <w:pPr>
        <w:spacing w:line="480" w:lineRule="auto"/>
        <w:jc w:val="both"/>
        <w:rPr>
          <w:rFonts w:ascii="Times" w:hAnsi="Times" w:cstheme="minorHAnsi"/>
          <w:color w:val="000000" w:themeColor="text1"/>
          <w:shd w:val="clear" w:color="auto" w:fill="FFFFFF"/>
        </w:rPr>
      </w:pPr>
      <w:r w:rsidRPr="008C2309">
        <w:rPr>
          <w:rFonts w:ascii="Times" w:hAnsi="Times" w:cstheme="minorHAnsi"/>
          <w:color w:val="000000" w:themeColor="text1"/>
          <w:shd w:val="clear" w:color="auto" w:fill="FFFFFF"/>
        </w:rPr>
        <w:t>Statistical analysis was conducted using Minitab</w:t>
      </w:r>
      <w:r w:rsidRPr="008C2309">
        <w:rPr>
          <w:rFonts w:ascii="Times" w:hAnsi="Times" w:cstheme="minorHAnsi"/>
          <w:color w:val="000000" w:themeColor="text1"/>
          <w:shd w:val="clear" w:color="auto" w:fill="FFFFFF"/>
          <w:vertAlign w:val="superscript"/>
        </w:rPr>
        <w:t>®</w:t>
      </w:r>
      <w:r w:rsidRPr="008C2309">
        <w:rPr>
          <w:rFonts w:ascii="Times" w:hAnsi="Times" w:cstheme="minorHAnsi"/>
          <w:color w:val="000000" w:themeColor="text1"/>
          <w:shd w:val="clear" w:color="auto" w:fill="FFFFFF"/>
        </w:rPr>
        <w:t xml:space="preserve"> 16 software. </w:t>
      </w:r>
      <w:r w:rsidRPr="008C2309">
        <w:rPr>
          <w:rFonts w:ascii="Times" w:hAnsi="Times" w:cstheme="minorHAnsi"/>
          <w:color w:val="000000" w:themeColor="text1"/>
        </w:rPr>
        <w:t xml:space="preserve">A two-sample t-test was carried out comparing the </w:t>
      </w:r>
      <w:r w:rsidR="00FD1E0E" w:rsidRPr="008C2309">
        <w:rPr>
          <w:rFonts w:ascii="Times" w:hAnsi="Times" w:cstheme="minorHAnsi"/>
          <w:color w:val="000000" w:themeColor="text1"/>
        </w:rPr>
        <w:t xml:space="preserve">particle size parameters for </w:t>
      </w:r>
      <w:r w:rsidRPr="008C2309">
        <w:rPr>
          <w:rFonts w:ascii="Times" w:hAnsi="Times" w:cstheme="minorHAnsi"/>
          <w:color w:val="000000" w:themeColor="text1"/>
        </w:rPr>
        <w:t xml:space="preserve">SD formulations </w:t>
      </w:r>
      <w:r w:rsidR="00FD1E0E" w:rsidRPr="008C2309">
        <w:rPr>
          <w:rFonts w:ascii="Times" w:hAnsi="Times" w:cstheme="minorHAnsi"/>
          <w:color w:val="000000" w:themeColor="text1"/>
        </w:rPr>
        <w:t>and</w:t>
      </w:r>
      <w:r w:rsidRPr="008C2309">
        <w:rPr>
          <w:rFonts w:ascii="Times" w:hAnsi="Times" w:cstheme="minorHAnsi"/>
          <w:color w:val="000000" w:themeColor="text1"/>
        </w:rPr>
        <w:t xml:space="preserve"> cryomilled HME formulations. A one-way analysis of variance (ANOVA) was carried out on the SD-F1, SD-F2 </w:t>
      </w:r>
      <w:r w:rsidRPr="008C2309">
        <w:rPr>
          <w:rFonts w:ascii="Times" w:hAnsi="Times" w:cstheme="minorHAnsi"/>
          <w:color w:val="000000" w:themeColor="text1"/>
        </w:rPr>
        <w:lastRenderedPageBreak/>
        <w:t>and SD-F3 formulations comparing particle size</w:t>
      </w:r>
      <w:r w:rsidR="00781730" w:rsidRPr="008C2309">
        <w:rPr>
          <w:rFonts w:ascii="Times" w:hAnsi="Times" w:cstheme="minorHAnsi"/>
          <w:color w:val="000000" w:themeColor="text1"/>
        </w:rPr>
        <w:t xml:space="preserve"> d (0.5)</w:t>
      </w:r>
      <w:r w:rsidRPr="008C2309">
        <w:rPr>
          <w:rFonts w:ascii="Times" w:hAnsi="Times" w:cstheme="minorHAnsi"/>
          <w:color w:val="000000" w:themeColor="text1"/>
        </w:rPr>
        <w:t>.</w:t>
      </w:r>
      <w:r w:rsidR="00C450E7" w:rsidRPr="008C2309">
        <w:rPr>
          <w:rFonts w:ascii="Times" w:hAnsi="Times" w:cstheme="minorHAnsi"/>
          <w:color w:val="000000" w:themeColor="text1"/>
        </w:rPr>
        <w:t xml:space="preserve"> </w:t>
      </w:r>
      <w:r w:rsidRPr="008C2309">
        <w:rPr>
          <w:rFonts w:ascii="Times" w:hAnsi="Times" w:cstheme="minorHAnsi"/>
          <w:color w:val="000000" w:themeColor="text1"/>
        </w:rPr>
        <w:t xml:space="preserve">A one-way ANOVA was </w:t>
      </w:r>
      <w:r w:rsidR="00C71F2F" w:rsidRPr="008C2309">
        <w:rPr>
          <w:rFonts w:ascii="Times" w:hAnsi="Times" w:cstheme="minorHAnsi"/>
          <w:color w:val="000000" w:themeColor="text1"/>
        </w:rPr>
        <w:t xml:space="preserve">also </w:t>
      </w:r>
      <w:r w:rsidRPr="008C2309">
        <w:rPr>
          <w:rFonts w:ascii="Times" w:hAnsi="Times" w:cstheme="minorHAnsi"/>
          <w:color w:val="000000" w:themeColor="text1"/>
        </w:rPr>
        <w:t xml:space="preserve">carried out on the HME-F1, HME-F2 and HME-F3 formulations comparing particle size following cryomilling. The drug release profiles of manufactured formulations were compared using a one-way ANOVA at each individual time point with a two-sample t-test being used to compare the release rates of both active ingredients from the slope of the line for the first 30 minutes of each formulation. In all statistical </w:t>
      </w:r>
      <w:r w:rsidR="00C71F2F" w:rsidRPr="008C2309">
        <w:rPr>
          <w:rFonts w:ascii="Times" w:hAnsi="Times" w:cstheme="minorHAnsi"/>
          <w:color w:val="000000" w:themeColor="text1"/>
        </w:rPr>
        <w:t>analyses</w:t>
      </w:r>
      <w:r w:rsidRPr="008C2309">
        <w:rPr>
          <w:rFonts w:ascii="Times" w:hAnsi="Times" w:cstheme="minorHAnsi"/>
          <w:color w:val="000000" w:themeColor="text1"/>
        </w:rPr>
        <w:t>, p&lt;0.05 denoted significance.</w:t>
      </w:r>
    </w:p>
    <w:p w14:paraId="7106138E" w14:textId="21612CF8" w:rsidR="00B16DE5" w:rsidRPr="008C2309" w:rsidRDefault="00B16DE5" w:rsidP="00E41DED">
      <w:pPr>
        <w:spacing w:line="480" w:lineRule="auto"/>
        <w:jc w:val="both"/>
        <w:outlineLvl w:val="0"/>
        <w:rPr>
          <w:rFonts w:ascii="Times" w:hAnsi="Times" w:cstheme="minorHAnsi"/>
          <w:color w:val="000000" w:themeColor="text1"/>
        </w:rPr>
        <w:sectPr w:rsidR="00B16DE5" w:rsidRPr="008C2309" w:rsidSect="001D75E9">
          <w:footerReference w:type="default" r:id="rId11"/>
          <w:pgSz w:w="11900" w:h="16840"/>
          <w:pgMar w:top="1440" w:right="1440" w:bottom="1440" w:left="1440" w:header="720" w:footer="720" w:gutter="0"/>
          <w:lnNumType w:countBy="1" w:restart="continuous"/>
          <w:cols w:space="720"/>
          <w:docGrid w:linePitch="360"/>
        </w:sectPr>
      </w:pPr>
    </w:p>
    <w:p w14:paraId="05DEBE4A" w14:textId="070F12C2" w:rsidR="00DD6EE5" w:rsidRPr="008C2309" w:rsidRDefault="00DD140E" w:rsidP="00E41DED">
      <w:pPr>
        <w:pStyle w:val="ListParagraph"/>
        <w:numPr>
          <w:ilvl w:val="0"/>
          <w:numId w:val="28"/>
        </w:numPr>
        <w:outlineLvl w:val="0"/>
        <w:rPr>
          <w:rFonts w:ascii="Times" w:hAnsi="Times" w:cstheme="minorHAnsi"/>
          <w:b/>
          <w:color w:val="000000" w:themeColor="text1"/>
        </w:rPr>
      </w:pPr>
      <w:r w:rsidRPr="008C2309">
        <w:rPr>
          <w:rFonts w:ascii="Times" w:hAnsi="Times" w:cstheme="minorHAnsi"/>
          <w:b/>
          <w:color w:val="000000" w:themeColor="text1"/>
        </w:rPr>
        <w:lastRenderedPageBreak/>
        <w:t>Results</w:t>
      </w:r>
      <w:r w:rsidR="00AA20C8" w:rsidRPr="008C2309">
        <w:rPr>
          <w:rFonts w:ascii="Times" w:hAnsi="Times" w:cstheme="minorHAnsi"/>
          <w:b/>
          <w:color w:val="000000" w:themeColor="text1"/>
        </w:rPr>
        <w:t xml:space="preserve"> and </w:t>
      </w:r>
      <w:r w:rsidR="00083FCB" w:rsidRPr="008C2309">
        <w:rPr>
          <w:rFonts w:ascii="Times" w:hAnsi="Times" w:cstheme="minorHAnsi"/>
          <w:b/>
          <w:color w:val="000000" w:themeColor="text1"/>
        </w:rPr>
        <w:t>Discussion</w:t>
      </w:r>
    </w:p>
    <w:p w14:paraId="69052353" w14:textId="20C86A02" w:rsidR="00274F24" w:rsidRPr="008C2309" w:rsidRDefault="00274F24" w:rsidP="00E41DED">
      <w:pPr>
        <w:spacing w:line="480" w:lineRule="auto"/>
        <w:jc w:val="both"/>
        <w:outlineLvl w:val="0"/>
        <w:rPr>
          <w:rFonts w:ascii="Times" w:hAnsi="Times" w:cstheme="minorHAnsi"/>
          <w:color w:val="000000" w:themeColor="text1"/>
          <w:lang w:eastAsia="en-US"/>
        </w:rPr>
      </w:pPr>
    </w:p>
    <w:p w14:paraId="43979263" w14:textId="42C5E1A4" w:rsidR="00274F24" w:rsidRPr="008C2309" w:rsidRDefault="0036535B" w:rsidP="00E41DED">
      <w:pPr>
        <w:spacing w:line="480" w:lineRule="auto"/>
        <w:jc w:val="both"/>
        <w:outlineLvl w:val="0"/>
        <w:rPr>
          <w:rFonts w:ascii="Times" w:hAnsi="Times" w:cstheme="minorHAnsi"/>
          <w:i/>
          <w:color w:val="000000" w:themeColor="text1"/>
          <w:lang w:eastAsia="en-US"/>
        </w:rPr>
      </w:pPr>
      <w:r w:rsidRPr="008C2309">
        <w:rPr>
          <w:rFonts w:ascii="Times" w:hAnsi="Times" w:cstheme="minorHAnsi"/>
          <w:i/>
          <w:color w:val="000000" w:themeColor="text1"/>
          <w:lang w:eastAsia="en-US"/>
        </w:rPr>
        <w:t xml:space="preserve">3.1 </w:t>
      </w:r>
      <w:r w:rsidR="0052606A" w:rsidRPr="008C2309">
        <w:rPr>
          <w:rFonts w:ascii="Times" w:hAnsi="Times" w:cstheme="minorHAnsi"/>
          <w:i/>
          <w:color w:val="000000" w:themeColor="text1"/>
          <w:lang w:eastAsia="en-US"/>
        </w:rPr>
        <w:t xml:space="preserve">Physiochemical </w:t>
      </w:r>
      <w:r w:rsidR="00274F24" w:rsidRPr="008C2309">
        <w:rPr>
          <w:rFonts w:ascii="Times" w:hAnsi="Times" w:cstheme="minorHAnsi"/>
          <w:i/>
          <w:color w:val="000000" w:themeColor="text1"/>
          <w:lang w:eastAsia="en-US"/>
        </w:rPr>
        <w:t>characterization</w:t>
      </w:r>
    </w:p>
    <w:p w14:paraId="4013FBF2" w14:textId="2B379BB8" w:rsidR="00C64C2D" w:rsidRPr="008C2309" w:rsidRDefault="00EB4E92" w:rsidP="00E41DED">
      <w:pPr>
        <w:spacing w:line="480" w:lineRule="auto"/>
        <w:jc w:val="both"/>
        <w:rPr>
          <w:rFonts w:ascii="Times" w:hAnsi="Times"/>
          <w:lang w:eastAsia="en-US"/>
        </w:rPr>
      </w:pPr>
      <w:r w:rsidRPr="008C2309">
        <w:rPr>
          <w:rFonts w:ascii="Times" w:hAnsi="Times" w:cstheme="minorHAnsi"/>
          <w:color w:val="000000" w:themeColor="text1"/>
        </w:rPr>
        <w:t>Both Kollidon</w:t>
      </w:r>
      <w:r w:rsidRPr="008C2309">
        <w:rPr>
          <w:rFonts w:ascii="Times" w:hAnsi="Times" w:cstheme="minorHAnsi"/>
          <w:color w:val="000000" w:themeColor="text1"/>
          <w:vertAlign w:val="superscript"/>
        </w:rPr>
        <w:t>®</w:t>
      </w:r>
      <w:r w:rsidRPr="008C2309">
        <w:rPr>
          <w:rFonts w:ascii="Times" w:hAnsi="Times" w:cstheme="minorHAnsi"/>
          <w:color w:val="000000" w:themeColor="text1"/>
        </w:rPr>
        <w:t xml:space="preserve"> VA 64 and Soluplus</w:t>
      </w:r>
      <w:r w:rsidRPr="008C2309">
        <w:rPr>
          <w:rFonts w:ascii="Times" w:hAnsi="Times" w:cstheme="minorHAnsi"/>
          <w:color w:val="000000" w:themeColor="text1"/>
          <w:vertAlign w:val="superscript"/>
        </w:rPr>
        <w:t xml:space="preserve">® </w:t>
      </w:r>
      <w:r w:rsidRPr="008C2309">
        <w:rPr>
          <w:rFonts w:ascii="Times" w:hAnsi="Times" w:cstheme="minorHAnsi"/>
          <w:color w:val="000000" w:themeColor="text1"/>
        </w:rPr>
        <w:t>were evaluated</w:t>
      </w:r>
      <w:r w:rsidR="00B926CC" w:rsidRPr="008C2309">
        <w:rPr>
          <w:rFonts w:ascii="Times" w:hAnsi="Times" w:cstheme="minorHAnsi"/>
          <w:color w:val="000000" w:themeColor="text1"/>
        </w:rPr>
        <w:t xml:space="preserve"> in this investigation</w:t>
      </w:r>
      <w:r w:rsidRPr="008C2309">
        <w:rPr>
          <w:rFonts w:ascii="Times" w:hAnsi="Times" w:cstheme="minorHAnsi"/>
          <w:color w:val="000000" w:themeColor="text1"/>
        </w:rPr>
        <w:t xml:space="preserve"> as carriers for oral immediate release </w:t>
      </w:r>
      <w:r w:rsidR="003C098F" w:rsidRPr="008C2309">
        <w:rPr>
          <w:rFonts w:ascii="Times" w:hAnsi="Times" w:cstheme="minorHAnsi"/>
          <w:color w:val="000000" w:themeColor="text1"/>
        </w:rPr>
        <w:t>formulations</w:t>
      </w:r>
      <w:r w:rsidRPr="008C2309">
        <w:rPr>
          <w:rFonts w:ascii="Times" w:hAnsi="Times" w:cstheme="minorHAnsi"/>
          <w:color w:val="000000" w:themeColor="text1"/>
        </w:rPr>
        <w:t xml:space="preserve">. </w:t>
      </w:r>
      <w:r w:rsidR="00A235DC" w:rsidRPr="008C2309">
        <w:rPr>
          <w:rFonts w:ascii="Times" w:hAnsi="Times" w:cstheme="minorHAnsi"/>
          <w:color w:val="000000" w:themeColor="text1"/>
        </w:rPr>
        <w:t xml:space="preserve">When incorporated into </w:t>
      </w:r>
      <w:r w:rsidR="00E72138" w:rsidRPr="008C2309">
        <w:rPr>
          <w:rFonts w:ascii="Times" w:hAnsi="Times" w:cstheme="minorHAnsi"/>
          <w:color w:val="000000" w:themeColor="text1"/>
        </w:rPr>
        <w:t xml:space="preserve">other </w:t>
      </w:r>
      <w:r w:rsidR="00A235DC" w:rsidRPr="008C2309">
        <w:rPr>
          <w:rFonts w:ascii="Times" w:hAnsi="Times" w:cstheme="minorHAnsi"/>
          <w:color w:val="000000" w:themeColor="text1"/>
        </w:rPr>
        <w:t>formulations, these polymers have been shown to significantly increase the drug dissolution rate</w:t>
      </w:r>
      <w:r w:rsidR="00823AC7" w:rsidRPr="008C2309">
        <w:rPr>
          <w:rFonts w:ascii="Times" w:hAnsi="Times" w:cstheme="minorHAnsi"/>
          <w:color w:val="000000" w:themeColor="text1"/>
        </w:rPr>
        <w:t xml:space="preserve"> </w:t>
      </w:r>
      <w:r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"10.1002/jps.23538", "ISBN" : "9131852955", "ISSN" : "00223549", "PMID" : "20737629", "abstract" : "This study assesses the feasibility of an intraperitoneal (IP) implantable closed-loop insulin delivery device in rats, that delivers insulin via a glucose-sensitive material such that blood glucose (BG) levels are adjusted automatically to within normal tolerances. A gateway layer of this gel governs the output of insulin from an insulin reservoir device for IP implant. The performance of the system was compared over time in diabetic rats with a control system using oral glucose challenges and daily assessments of BG and body weight. The automated response of the active system was quantified using IP multiple dose injection (MDI) results in the same rat model. Successful control was found for the device containing active gel when assessed daily and when challenged with large glucose doses. This was not found when comparing an inactive gel analog as a control. The regimen was quantified by comparison with the informative MDI study. The device was well tolerated and might operate to further advantage when vascular omentum grows into the perforated front of the device. The successful device must have been outputting approximately 0.5 U/kg/h basal with 2 U/kg boosts in order to match the demand of the challenges. However, the device eventually exhausts and a refill mechanism needs to be devised in future models.", "author" : [ { "dropping-particle" : "", "family" : "Song", "given" : "Yuejun", "non-dropping-particle" : "", "parse-names" : false, "suffix" : "" }, { "dropping-particle" : "", "family" : "Wang", "given" : "Lianyan", "non-dropping-particle" : "", "parse-names" : false, "suffix" : "" }, { "dropping-particle" : "", "family" : "Yang", "given" : "Ping", "non-dropping-particle" : "", "parse-names" : false, "suffix" : "" }, { "dropping-particle" : "", "family" : "Wenslow", "given" : "Robert M.", "non-dropping-particle" : "", "parse-names" : false, "suffix" : "" }, { "dropping-particle" : "", "family" : "Tan", "given" : "Bo", "non-dropping-particle" : "", "parse-names" : false, "suffix" : "" }, { "dropping-particle" : "", "family" : "Zhang", "given" : "Hailu", "non-dropping-particle" : "", "parse-names" : false, "suffix" : "" }, { "dropping-particle" : "", "family" : "Deng", "given" : "Zongwu", "non-dropping-particle" : "", "parse-names" : false, "suffix" : "" } ], "container-title" : "Journal of Pharmaceutical Sciences", "id" : "ITEM-1", "issue" : "6", "issued" : { "date-parts" : [ [ "2013" ] ] }, "page" : "1915-1923", "publisher" : "Elsevier Masson SAS", "title" : "Physicochemical characterization of felodipine-kollidon VA64 amorphous solid dispersions prepared by hot-melt extrusion", "type" : "article-journal", "volume" : "102" }, "uris" : [ "http://www.mendeley.com/documents/?uuid=a644fe11-96d5-4955-bec2-32d461de024f", "http://www.mendeley.com/documents/?uuid=4be14ba6-96b2-4f36-bb6c-f660e4fec60e" ] }, { "id" : "ITEM-2", "itemData" : { "DOI" : "10.1016/j.powtec.2012.12.038", "ISSN" : "0032-5910", "author" : [ { "dropping-particle" : "", "family" : "Shamma", "given" : "Rehab N", "non-dropping-particle" : "", "parse-names" : false, "suffix" : "" }, { "dropping-particle" : "", "family" : "Basha", "given" : "Mona", "non-dropping-particle" : "", "parse-names" : false, "suffix" : "" } ], "container-title" : "Powder Technology", "id" : "ITEM-2", "issued" : { "date-parts" : [ [ "2013" ] ] }, "page" : "406-414", "publisher" : "Elsevier B.V.", "title" : "Soluplus \u00ae : A novel polymeric solubilizer for optimization of Carvedilol solid dispersions : Formulation design and effect of method of preparation", "type" : "article-journal", "volume" : "237" }, "uris" : [ "http://www.mendeley.com/documents/?uuid=daa49370-8a63-40ee-a4fe-e5ba06b10353", "http://www.mendeley.com/documents/?uuid=d2e9f80a-b7ec-4906-bb95-b8ff527e3d82" ] }, { "id" : "ITEM-3", "itemData" : { "DOI" : "10.1016/j.ijpharm.2015.12.062", "ISSN" : "18733476", "abstract" : "The objective of this study was to develop solid solution (SSL) using hot-melt extrusion as a continuous manufacturing method. Powder blends of artesunate (ARS) a water insoluble drug with either Soluplus (SOL) or Kollidon VA64 (VA64) and additives in the form of surfactants or plasticizers were extruded to manufacture extrudes. The incorporation of surfactant or plasticizers facilitates smooth extrusion processing of the drug-excipient blend which directly reduced the residence time to form extrudes and works as parameter to control flow of the drug-excipients melt inside the extruder barrel. Differential scanning calorimetry (DSC) and X-ray diffraction (TXRD) analysis revealed the existence of the drug within the extrudes in amorphous state. Scanning electron microscopy (SEM), Raman spectroscopy (RS), Raman imaging (RI) and Atomic force microscopy (AFM) analytical characterization were carry out on the SSL formulations showed a homogeneous drug distribution within the extrudes. 2D NMR and 1H NMR studies were undertaken to reveal the possible drug-excipient interactions. The SSL produced via continuous HME processing showed significantly faster release of ARS compared to the pure drug substance. It is observed that F1 SSL (soluplus based) have 66.44 times higher AUC(0-72) and 16.60 times higher Cmax than pure ARS. Also K1 SSL (Kollidon VA64 based) have 62.20 times higher AUC(0-72) and 13.40 times higher Cmax than pure ARS.", "author" : [ { "dropping-particle" : "", "family" : "Fule", "given" : "Ritesh", "non-dropping-particle" : "", "parse-names" : false, "suffix" : "" }, { "dropping-particle" : "", "family" : "Paithankar", "given" : "Vivek", "non-dropping-particle" : "", "parse-names" : false, "suffix" : "" }, { "dropping-particle" : "", "family" : "Amin", "given" : "Purnima", "non-dropping-particle" : "", "parse-names" : false, "suffix" : "" } ], "container-title" : "International Journal of Pharmaceutics", "id" : "ITEM-3", "issue" : "1-2", "issued" : { "date-parts" : [ [ "2016" ] ] }, "page" : "280-294", "publisher" : "Elsevier B.V.", "title" : "Hot melt extrusion based solid solution approach: Exploring polymer comparison, physicochemical characterization and in-vivo evaluation", "type" : "article-journal", "volume" : "499" }, "uris" : [ "http://www.mendeley.com/documents/?uuid=42680f7f-c5c3-4ec8-afce-b39db606623e", "http://www.mendeley.com/documents/?uuid=d6646936-d849-4214-a891-d3f5f4400777" ] } ], "mendeley" : { "formattedCitation" : "(Fule et al., 2016; Shamma and Basha, 2013; Song et al., 2013)", "plainTextFormattedCitation" : "(Fule et al., 2016; Shamma and Basha, 2013; Song et al., 2013)", "previouslyFormattedCitation" : "(Fule et al., 2016; Shamma and Basha, 2013; Song et al., 2013)" }, "properties" : {  }, "schema" : "https://github.com/citation-style-language/schema/raw/master/csl-citation.json" }</w:instrText>
      </w:r>
      <w:r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(Fule et al., 2016; Shamma and Basha, 2013; Song et al., 2013)</w:t>
      </w:r>
      <w:r w:rsidRPr="008C2309">
        <w:rPr>
          <w:rFonts w:ascii="Times" w:hAnsi="Times" w:cstheme="minorHAnsi"/>
          <w:color w:val="000000" w:themeColor="text1"/>
        </w:rPr>
        <w:fldChar w:fldCharType="end"/>
      </w:r>
      <w:r w:rsidRPr="008C2309">
        <w:rPr>
          <w:rFonts w:ascii="Times" w:hAnsi="Times" w:cstheme="minorHAnsi"/>
          <w:color w:val="000000" w:themeColor="text1"/>
        </w:rPr>
        <w:t xml:space="preserve">. </w:t>
      </w:r>
      <w:r w:rsidR="007E20F6" w:rsidRPr="008C2309">
        <w:rPr>
          <w:rFonts w:ascii="Times" w:hAnsi="Times" w:cstheme="minorHAnsi"/>
          <w:color w:val="000000" w:themeColor="text1"/>
        </w:rPr>
        <w:t xml:space="preserve">Table </w:t>
      </w:r>
      <w:r w:rsidR="00E42726" w:rsidRPr="008C2309">
        <w:rPr>
          <w:rFonts w:ascii="Times" w:hAnsi="Times" w:cstheme="minorHAnsi"/>
          <w:color w:val="000000" w:themeColor="text1"/>
        </w:rPr>
        <w:t>2</w:t>
      </w:r>
      <w:r w:rsidR="007E20F6" w:rsidRPr="008C2309">
        <w:rPr>
          <w:rFonts w:ascii="Times" w:hAnsi="Times" w:cstheme="minorHAnsi"/>
          <w:color w:val="000000" w:themeColor="text1"/>
        </w:rPr>
        <w:t xml:space="preserve"> shows the composition of each formulation</w:t>
      </w:r>
      <w:r w:rsidR="00CE707A" w:rsidRPr="008C2309">
        <w:rPr>
          <w:rFonts w:ascii="Times" w:hAnsi="Times" w:cstheme="minorHAnsi"/>
          <w:color w:val="000000" w:themeColor="text1"/>
        </w:rPr>
        <w:t xml:space="preserve"> </w:t>
      </w:r>
      <w:r w:rsidR="00E72138" w:rsidRPr="008C2309">
        <w:rPr>
          <w:rFonts w:ascii="Times" w:hAnsi="Times" w:cstheme="minorHAnsi"/>
          <w:color w:val="000000" w:themeColor="text1"/>
        </w:rPr>
        <w:t xml:space="preserve">in the current study </w:t>
      </w:r>
      <w:r w:rsidR="00CE707A" w:rsidRPr="008C2309">
        <w:rPr>
          <w:rFonts w:ascii="Times" w:hAnsi="Times" w:cstheme="minorHAnsi"/>
          <w:color w:val="000000" w:themeColor="text1"/>
        </w:rPr>
        <w:t>processed by SD and HME</w:t>
      </w:r>
      <w:r w:rsidR="007E20F6" w:rsidRPr="008C2309">
        <w:rPr>
          <w:rFonts w:ascii="Times" w:hAnsi="Times" w:cstheme="minorHAnsi"/>
          <w:color w:val="000000" w:themeColor="text1"/>
        </w:rPr>
        <w:t xml:space="preserve">, with </w:t>
      </w:r>
      <w:r w:rsidR="002B3B2F" w:rsidRPr="008C2309">
        <w:rPr>
          <w:rFonts w:ascii="Times" w:hAnsi="Times" w:cstheme="minorHAnsi"/>
          <w:color w:val="000000" w:themeColor="text1"/>
        </w:rPr>
        <w:t>Table</w:t>
      </w:r>
      <w:r w:rsidR="00274F24" w:rsidRPr="008C2309">
        <w:rPr>
          <w:rFonts w:ascii="Times" w:hAnsi="Times" w:cstheme="minorHAnsi"/>
          <w:color w:val="000000" w:themeColor="text1"/>
        </w:rPr>
        <w:t xml:space="preserve"> </w:t>
      </w:r>
      <w:r w:rsidR="00E42726" w:rsidRPr="008C2309">
        <w:rPr>
          <w:rFonts w:ascii="Times" w:hAnsi="Times" w:cstheme="minorHAnsi"/>
          <w:color w:val="000000" w:themeColor="text1"/>
        </w:rPr>
        <w:t>3</w:t>
      </w:r>
      <w:r w:rsidR="007E20F6" w:rsidRPr="008C2309">
        <w:rPr>
          <w:rFonts w:ascii="Times" w:hAnsi="Times" w:cstheme="minorHAnsi"/>
          <w:color w:val="000000" w:themeColor="text1"/>
        </w:rPr>
        <w:t xml:space="preserve"> showing the conditions used in the hot melt extruder at the various zones.</w:t>
      </w:r>
      <w:r w:rsidR="00E42726" w:rsidRPr="008C2309">
        <w:rPr>
          <w:rFonts w:ascii="Times" w:hAnsi="Times" w:cstheme="minorHAnsi"/>
          <w:color w:val="000000" w:themeColor="text1"/>
        </w:rPr>
        <w:t xml:space="preserve"> The lowest possible extrusion temperature was used to produce an extrudate </w:t>
      </w:r>
      <w:r w:rsidR="00BE0680" w:rsidRPr="008C2309">
        <w:rPr>
          <w:rFonts w:ascii="Times" w:hAnsi="Times" w:cstheme="minorHAnsi"/>
          <w:color w:val="000000" w:themeColor="text1"/>
        </w:rPr>
        <w:t xml:space="preserve">of </w:t>
      </w:r>
      <w:r w:rsidR="00E42726" w:rsidRPr="008C2309">
        <w:rPr>
          <w:rFonts w:ascii="Times" w:hAnsi="Times" w:cstheme="minorHAnsi"/>
          <w:color w:val="000000" w:themeColor="text1"/>
        </w:rPr>
        <w:t>the formulations outlined.</w:t>
      </w:r>
      <w:r w:rsidR="008D59EF" w:rsidRPr="008C2309">
        <w:rPr>
          <w:rFonts w:ascii="Times" w:hAnsi="Times" w:cstheme="minorHAnsi"/>
          <w:color w:val="000000" w:themeColor="text1"/>
        </w:rPr>
        <w:t xml:space="preserve"> PEG 3350 was included as a plasticiser for HME </w:t>
      </w:r>
      <w:r w:rsidR="00781730" w:rsidRPr="008C2309">
        <w:rPr>
          <w:rFonts w:ascii="Times" w:hAnsi="Times" w:cstheme="minorHAnsi"/>
          <w:color w:val="000000" w:themeColor="text1"/>
        </w:rPr>
        <w:t>experiments</w:t>
      </w:r>
      <w:r w:rsidR="00CE707A" w:rsidRPr="008C2309">
        <w:rPr>
          <w:rFonts w:ascii="Times" w:hAnsi="Times" w:cstheme="minorHAnsi"/>
          <w:color w:val="000000" w:themeColor="text1"/>
        </w:rPr>
        <w:t xml:space="preserve"> (and the same formulation was then also processed by SD for comparison purposes)</w:t>
      </w:r>
      <w:r w:rsidR="008D59EF" w:rsidRPr="008C2309">
        <w:rPr>
          <w:rFonts w:ascii="Times" w:hAnsi="Times" w:cstheme="minorHAnsi"/>
          <w:color w:val="000000" w:themeColor="text1"/>
        </w:rPr>
        <w:t>. Low molecular weight PEGs have been reportedly used to improve handling and processing</w:t>
      </w:r>
      <w:r w:rsidR="00823AC7" w:rsidRPr="008C2309">
        <w:rPr>
          <w:rFonts w:ascii="Times" w:hAnsi="Times" w:cstheme="minorHAnsi"/>
          <w:color w:val="000000" w:themeColor="text1"/>
        </w:rPr>
        <w:t xml:space="preserve"> </w:t>
      </w:r>
      <w:r w:rsidR="008D59EF"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"10.1007/BF02830564", "ISBN" : "1530-9932", "ISSN" : "1530-9932", "PMID" : "14727861", "abstract" : "The purpose of this study was to investigate the physicochemical properties of nonpareil beads coated with Eudragit RS 30 D containing ibuprofen as a multifunctional agent. The influence of the concentration of ibuprofen in the film coating and the effect of the coating level on drug release from coated beads was determined in pH 7.2 phosphate buffer solution. The influence of storage time at 23 degrees C and 60 degrees C on the release of ibuprofen from coated beads was also investigated. The thermal properties of the films were determined using a differential scanning calorimeter. Scanning electron microscopy was employed to image the surface morphology of the coated beads. Infrared spectroscopy was used to study the interaction of Eudragit RS 30 D and ibuprofen. Results from the dissolution studies demonstrated that increasing the amount of ibuprofen in the polymeric film reduced the rate of drug release, mainly because of a more complete coalescence of the polymeric particles of the latex dispersion. The glass transition temperature (Tg) of Eudragit RS 30 D films decreased and the surface of the coated beads became smoother as the concentration of ibuprofen was increased. Hydrogen bonding between the polymer and ibuprofen was demonstrated by Fourier transform infrared spectroscopy. No significant differences were found in drug dissolution between the coated beads stored at 23 degrees C for 12 months and those stored at 60 degrees C for 12 hours. The results of this study demonstrated that the ibuprofen plasticized the Eudragit RS 30 D. Furthermore, the dissolution rate of ibuprofen can be controlled and changes in the drug release rate can be minimized by using the drug-induced plasticization technique with this polymer.", "author" : [ { "dropping-particle" : "", "family" : "Wu", "given" : "C", "non-dropping-particle" : "", "parse-names" : false, "suffix" : "" }, { "dropping-particle" : "", "family" : "McGinity", "given" : "J W", "non-dropping-particle" : "", "parse-names" : false, "suffix" : "" } ], "container-title" : "AAPS PharmSciTech", "id" : "ITEM-1", "issue" : "4", "issued" : { "date-parts" : [ [ "2001" ] ] }, "page" : "1-9", "title" : "Influence of ibuprofen as a solid-state plasticizer in Eudragit RS 30 D on the physicochemical properties of coated beads.", "type" : "article-journal", "volume" : "2" }, "uris" : [ "http://www.mendeley.com/documents/?uuid=d718c6f8-31fe-45a5-9e9a-736b7181acd8", "http://www.mendeley.com/documents/?uuid=3a94f4e0-b0bc-46d2-ba9a-ff4252f9c2d7" ] }, { "id" : "ITEM-2", "itemData" : { "DOI" : "10.3109/02652048.2010.484105", "ISSN" : "0265-2048", "PMID" : "20575612", "abstract" : "Matrix-type pellets with controlled-release properties may be prepared by hot-melt extrusion applying a single-step, continuous process. However, the manufacture of gastric-resistant pellets is challenging due to the high glass transition temperature of most enteric polymers and an unacceptably high, diffusion-controlled drug release from the matrix during the acidic phase. The objective was to investigate the influence of three plasticizers (triethyl citrate, methylparaben and polyethylene glycol 8000) at two levels (10% or 20%) on the properties of hot-melt extruded Eudragit \u00d5 S100 matrix pellets. Extrusion experiments showed that all plasticizers produced similar reductions in polymer melt viscosity. Differential scanning calorimetry and powder X-ray diffraction demonstrated that the solid state plasticizers were present in the amorphous state. The drug release in acidic medium was influenced by the aqueous solubility of the plasticizer. Less than 10% drug was released after 2 h at pH 1.2 when triethyl citrate or methylparaben was used, independent of the plasticizer level. Drug release at pH 7.4 resulted from polymer dissolution and was not influenced by low levels of plasticizer, but increased significantly at the 20% level. Mechanical testing by diametral compression demonstrated the high tensile strength of the hot-melt extruded pellets that decreased when plasticizers were present.", "author" : [ { "dropping-particle" : "", "family" : "Schilling", "given" : "Sandra U", "non-dropping-particle" : "", "parse-names" : false, "suffix" : "" }, { "dropping-particle" : "", "family" : "Lirola", "given" : "H\u00e9l\u00e8ne L", "non-dropping-particle" : "", "parse-names" : false, "suffix" : "" }, { "dropping-particle" : "", "family" : "Shah", "given" : "Navnit H", "non-dropping-particle" : "", "parse-names" : false, "suffix" : "" }, { "dropping-particle" : "", "family" : "Malick", "given" : "A Waseem", "non-dropping-particle" : "", "parse-names" : false, "suffix" : "" }, { "dropping-particle" : "", "family" : "Mcginity", "given" : "James W", "non-dropping-particle" : "", "parse-names" : false, "suffix" : "" } ], "container-title" : "Journal of Microencapsulation", "id" : "ITEM-2", "issue" : "6", "issued" : { "date-parts" : [ [ "2010" ] ] }, "page" : "521-532", "title" : "Influence of plasticizer type and level on the properties of Eudragit S100 matrix pellets prepared by hot-melt extrusion", "type" : "article-journal", "volume" : "27" }, "uris" : [ "http://www.mendeley.com/documents/?uuid=0c889bf1-eca7-4ecd-bf39-da2caad588a7", "http://www.mendeley.com/documents/?uuid=d5944847-1e3f-42c1-8ccb-62b54d5deae3" ] }, { "id" : "ITEM-3", "itemData" : { "DOI" : "10.1211/jpp.59.11.0005", "ISBN" : "0022-3573", "ISSN" : "0022-3573 (Print) 0022-3573 (Linking)", "PMID" : "17976259", "abstract" : "The use of solid-state plasticizers for the hot-melt extrusion of pharmaceutical dosage forms has been shown to be beneficial compared with liquid plasticizers. The purpose of this study was to determine the suitability of citric acid (CA) as a solid plasticizer for the preparation of Eudragit RS PO extended-release matrix systems by a melt extrusion technique. The influence of increasing levels of CA monohydrate (CA MH) or anhydrous CA in the powder blend on the extrusion process parameters (screw speed and motor load) was determined as a function of temperature. The solubility of CA MH in extruded tablets was studied by means of modulated differential scanning calorimetry (MDSC) and powder X-ray diffraction (PXRD). Films were cast from organic solutions to demonstrate the plasticizing effect of CA MH as a change in physico-mechanical properties (tensile strength, elastic modulus and elongation). The CA release from extruded tablets was studied over 12 h. The monohydrate form was found to distinctly facilitate the extrusion of Eudragit RS PO, whereas the addition of anhydrous CA to the polymer powder was less effective. This divergent behaviour in plasticization of Eudragit RS PO was attributed to the higher solubility of the monohydrate in the acrylic polymer. The plasticizing effect of the CA MH reached a plateau at 25% during hot-melt extrusion, which coincided with the solubility limit of the organic acid in the polymer as shown by MDSC and PXRD results. The CA MH increased the flexibility of Eudragit RS PO films, as demonstrated by a decrease in tensile strength and elastic modulus and an increase in elongation as a function of CA MH concentration. The dissolution of CA from the matrix tablets followed an extended-release profile, with CA MH exhibiting a faster dissolution rate than the anhydrous form. In conclusion, CA MH was found to be an effective plasticizer for Eudragit RS PO that facilitates the production of controlled-release matrix systems by hot-melt extrusion.", "author" : [ { "dropping-particle" : "", "family" : "Schilling", "given" : "Sandra U", "non-dropping-particle" : "", "parse-names" : false, "suffix" : "" }, { "dropping-particle" : "", "family" : "Shah", "given" : "Navnit H", "non-dropping-particle" : "", "parse-names" : false, "suffix" : "" }, { "dropping-particle" : "", "family" : "Malick", "given" : "a Waseem", "non-dropping-particle" : "", "parse-names" : false, "suffix" : "" }, { "dropping-particle" : "", "family" : "Infeld", "given" : "Martin H", "non-dropping-particle" : "", "parse-names" : false, "suffix" : "" }, { "dropping-particle" : "", "family" : "McGinity", "given" : "James W", "non-dropping-particle" : "", "parse-names" : false, "suffix" : "" } ], "container-title" : "The Journal of pharmacy and pharmacology", "id" : "ITEM-3", "issue" : "11", "issued" : { "date-parts" : [ [ "2007" ] ] }, "page" : "1493-1500", "title" : "Citric acid as a solid-state plasticizer for Eudragit RS PO.", "type" : "article-journal", "volume" : "59" }, "uris" : [ "http://www.mendeley.com/documents/?uuid=5b30221d-e7d7-465c-ad66-e2335f8fd34c", "http://www.mendeley.com/documents/?uuid=b8733237-0c32-4576-be9b-42c2d01e212e" ] }, { "id" : "ITEM-4", "itemData" : { "DOI" : "10.1081/DDC-100102218", "ISBN" : "03639045 (ISSN)", "ISSN" : "0363-9045 (Print) 0363-9045 (Linking)", "PMID" : "10219532", "abstract" : "Hydroxypropylcellulose (HPC) films containing drugs or hydrophilic or hydrophobic plasticizers were prepared by a hot melt extrusion process. Polyethylene glycol 8000 (PEG 8000) 2%, triethyl citrate (TEC) 2%, acetyltributyl citrate (ATBC) 2%, and polyethylene glycol 400 (PEG 400) 1% were the plasticizing agents studied. In addition, either hydrocortisone (HC) 1% or chlorpheniramine maleate (CPM) 1% was incorporated into the films as a model drug. The physical-mechanical properties of the films that were investigated included tensile strength (TS), percentage elongation (%E), and Young's modulus (YM). Differential scanning calorimetry (DSC) was utilized to determine glass transition temperatures (Tg's). These parameters were studied as a function of time and temperature. The glass transition temperatures initially decreased with the inclusion of the drugs and plasticizers. However, after 6 months aging, films containing PEG 400 and HC showed a marked increase in Tg. The films containing PEG 400 showed physical-mechanical instability in all parameters studied. All extruded films exhibited a marked decrease in TS in contrast to a large increase in %E when testing was performed perpendicular to flow versus in the direction of flow. In addition, a consistent film of HPC in the absence of drugs or plasticizers could not be extruded due to the excessive stress on the equipment. Although the theoretical percentage of CPM on aging remained fairly constant over the processing temperature ranges in this study, the HC levels remaining in the extruded films during storage were a function of time and temperature.", "author" : [ { "dropping-particle" : "", "family" : "Repka", "given" : "M a", "non-dropping-particle" : "", "parse-names" : false, "suffix" : "" }, { "dropping-particle" : "", "family" : "Gerding", "given" : "T G", "non-dropping-particle" : "", "parse-names" : false, "suffix" : "" }, { "dropping-particle" : "", "family" : "Repka", "given" : "S L", "non-dropping-particle" : "", "parse-names" : false, "suffix" : "" }, { "dropping-particle" : "", "family" : "McGinity", "given" : "J W", "non-dropping-particle" : "", "parse-names" : false, "suffix" : "" } ], "container-title" : "Drug development and industrial pharmacy", "id" : "ITEM-4", "issue" : "5", "issued" : { "date-parts" : [ [ "1999" ] ] }, "page" : "625-633", "title" : "Influence of plasticizers and drugs on the physical-mechanical properties of hydroxypropylcellulose films prepared by hot melt extrusion.", "type" : "article-journal", "volume" : "25" }, "uris" : [ "http://www.mendeley.com/documents/?uuid=27f8a224-edee-4322-97f7-8a6148f2eb83", "http://www.mendeley.com/documents/?uuid=6a7280a8-888e-443d-86d9-a22fe1b0410e" ] } ], "mendeley" : { "formattedCitation" : "(Repka et al., 1999; Schilling et al., 2010, 2007; Wu and McGinity, 2001)", "plainTextFormattedCitation" : "(Repka et al., 1999; Schilling et al., 2010, 2007; Wu and McGinity, 2001)", "previouslyFormattedCitation" : "(Repka et al., 1999; Schilling et al., 2010, 2007; Wu and McGinity, 2001)" }, "properties" : {  }, "schema" : "https://github.com/citation-style-language/schema/raw/master/csl-citation.json" }</w:instrText>
      </w:r>
      <w:r w:rsidR="008D59EF"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(Repka et al., 1999; Schilling et al., 2010, 2007; Wu and McGinity, 2001)</w:t>
      </w:r>
      <w:r w:rsidR="008D59EF" w:rsidRPr="008C2309">
        <w:rPr>
          <w:rFonts w:ascii="Times" w:hAnsi="Times" w:cstheme="minorHAnsi"/>
          <w:color w:val="000000" w:themeColor="text1"/>
        </w:rPr>
        <w:fldChar w:fldCharType="end"/>
      </w:r>
      <w:r w:rsidR="008D59EF" w:rsidRPr="008C2309">
        <w:rPr>
          <w:rFonts w:ascii="Times" w:hAnsi="Times" w:cstheme="minorHAnsi"/>
          <w:color w:val="000000" w:themeColor="text1"/>
        </w:rPr>
        <w:t>. The inclusion of PEG 3350 decreased the Tg of the system, and therefore allowed Kollidon</w:t>
      </w:r>
      <w:r w:rsidR="00CB454D" w:rsidRPr="008C2309">
        <w:rPr>
          <w:rFonts w:ascii="Times" w:hAnsi="Times" w:cs="Calibri"/>
          <w:color w:val="000000" w:themeColor="text1"/>
          <w:vertAlign w:val="superscript"/>
        </w:rPr>
        <w:t>®</w:t>
      </w:r>
      <w:r w:rsidR="008D59EF" w:rsidRPr="008C2309">
        <w:rPr>
          <w:rFonts w:ascii="Times" w:hAnsi="Times" w:cstheme="minorHAnsi"/>
          <w:color w:val="000000" w:themeColor="text1"/>
        </w:rPr>
        <w:t xml:space="preserve"> VA 64 to be processed at a lower temperature, below the thermal degradation of RAM.</w:t>
      </w:r>
      <w:r w:rsidR="00BE0680" w:rsidRPr="008C2309">
        <w:rPr>
          <w:rFonts w:ascii="Times" w:hAnsi="Times" w:cstheme="minorHAnsi"/>
          <w:color w:val="000000" w:themeColor="text1"/>
        </w:rPr>
        <w:t xml:space="preserve"> </w:t>
      </w:r>
      <w:r w:rsidR="00C64C2D" w:rsidRPr="008C2309">
        <w:rPr>
          <w:rFonts w:ascii="Times" w:hAnsi="Times" w:cstheme="minorHAnsi"/>
          <w:color w:val="000000" w:themeColor="text1"/>
        </w:rPr>
        <w:t xml:space="preserve">Thermal analysis (DSC and TGA) provides information about </w:t>
      </w:r>
      <w:r w:rsidR="00654E39" w:rsidRPr="008C2309">
        <w:rPr>
          <w:rFonts w:ascii="Times" w:hAnsi="Times" w:cstheme="minorHAnsi"/>
          <w:color w:val="000000" w:themeColor="text1"/>
        </w:rPr>
        <w:t>glass transition</w:t>
      </w:r>
      <w:r w:rsidR="00C64C2D" w:rsidRPr="008C2309">
        <w:rPr>
          <w:rFonts w:ascii="Times" w:hAnsi="Times" w:cstheme="minorHAnsi"/>
          <w:color w:val="000000" w:themeColor="text1"/>
        </w:rPr>
        <w:t>, melting and degradation temperatures</w:t>
      </w:r>
      <w:r w:rsidR="00823AC7" w:rsidRPr="008C2309">
        <w:rPr>
          <w:rFonts w:ascii="Times" w:hAnsi="Times" w:cstheme="minorHAnsi"/>
          <w:color w:val="000000" w:themeColor="text1"/>
        </w:rPr>
        <w:t xml:space="preserve"> </w:t>
      </w:r>
      <w:r w:rsidR="00C64C2D"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"10.1111/jphp.12099", "ISBN" : "2042-7158 (Electronic)\\r0022-3573 (Linking)", "ISSN" : "00223573", "PMID" : "24433426", "abstract" : "OBJECTIVES: To compare the properties of solid dispersions of felodipine for oral bioavailability enhancement using two different polymers, polyvinylpyrrolidone (PVP) and hydroxypropyl methylcellulose acetate succinate (HPMCAS), by hot-melt extrusion (HME) and spray drying.\\n\\nMETHODS: Felodipine solid dispersions were prepared by HME and spray drying techniques. PVP and HPMCAS were used as polymer matrices at different drug\u2009:\u2009polymer ratios (1\u2009:\u20091, 1\u2009:\u20092 and 1\u2009:\u20093). Detailed characterization was performed using differential scanning calorimetry, powder X-ray diffractometry, scanning electron microscopy and in-vitro dissolution testing. Dissolution profiles were evaluated in the presence of sodium dodecyl sulphate. Stability of different solid dispersions was studied under accelerated conditions (40\u00b0C/75% RH) over 8 weeks.\\n\\nKEY FINDINGS: Spray-dried formulations were found to release felodipine faster than melt extruded formulations for both polymer matrices. Solid dispersions containing HMPCAS exhibited higher drug release rates and better wettability than those produced with a PVP matrix. No significant differences in stability were observed except with HPMCAS at a 1\u2009:\u20091 ratio, where crystallization was detected in spray-dried formulations.\\n\\nCONCLUSIONS: Solid dispersions of felodipine produced by spray drying exhibited more rapid drug release than corresponding melt extruded formulations, although in some cases improved stability was observed for melt extruded formulations.", "author" : [ { "dropping-particle" : "", "family" : "Mahmah", "given" : "Osama", "non-dropping-particle" : "", "parse-names" : false, "suffix" : "" }, { "dropping-particle" : "", "family" : "Tabbakh", "given" : "Rami", "non-dropping-particle" : "", "parse-names" : false, "suffix" : "" }, { "dropping-particle" : "", "family" : "Kelly", "given" : "Adrian", "non-dropping-particle" : "", "parse-names" : false, "suffix" : "" }, { "dropping-particle" : "", "family" : "Paradkar", "given" : "Anant", "non-dropping-particle" : "", "parse-names" : false, "suffix" : "" } ], "container-title" : "Journal of Pharmacy and Pharmacology", "id" : "ITEM-1", "issue" : "2", "issued" : { "date-parts" : [ [ "2014" ] ] }, "page" : "275-284", "title" : "A comparative study of the effect of spray drying and hot-melt extrusion on the properties of amorphous solid dispersions containing felodipine", "type" : "article-journal", "volume" : "66" }, "uris" : [ "http://www.mendeley.com/documents/?uuid=401a27d4-fe26-4d94-86aa-2ba887934209", "http://www.mendeley.com/documents/?uuid=53f45768-ecad-4cd7-869d-2508fe06f207" ] } ], "mendeley" : { "formattedCitation" : "(Mahmah et al., 2014)", "plainTextFormattedCitation" : "(Mahmah et al., 2014)", "previouslyFormattedCitation" : "(Mahmah et al., 2014)" }, "properties" : {  }, "schema" : "https://github.com/citation-style-language/schema/raw/master/csl-citation.json" }</w:instrText>
      </w:r>
      <w:r w:rsidR="00C64C2D"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(Mahmah et al., 2014)</w:t>
      </w:r>
      <w:r w:rsidR="00C64C2D" w:rsidRPr="008C2309">
        <w:rPr>
          <w:rFonts w:ascii="Times" w:hAnsi="Times" w:cstheme="minorHAnsi"/>
          <w:color w:val="000000" w:themeColor="text1"/>
        </w:rPr>
        <w:fldChar w:fldCharType="end"/>
      </w:r>
      <w:r w:rsidR="00C64C2D" w:rsidRPr="008C2309">
        <w:rPr>
          <w:rFonts w:ascii="Times" w:hAnsi="Times" w:cstheme="minorHAnsi"/>
          <w:color w:val="000000" w:themeColor="text1"/>
        </w:rPr>
        <w:t xml:space="preserve">. TGA was used to analyse the thermal degradation temperature of both polymers and APIs. HCTZ, </w:t>
      </w:r>
      <w:r w:rsidR="00654E39" w:rsidRPr="008C2309">
        <w:rPr>
          <w:rFonts w:ascii="Times" w:hAnsi="Times" w:cstheme="minorHAnsi"/>
          <w:color w:val="000000" w:themeColor="text1"/>
        </w:rPr>
        <w:t>was</w:t>
      </w:r>
      <w:r w:rsidR="00C64C2D" w:rsidRPr="008C2309">
        <w:rPr>
          <w:rFonts w:ascii="Times" w:hAnsi="Times" w:cstheme="minorHAnsi"/>
          <w:color w:val="000000" w:themeColor="text1"/>
        </w:rPr>
        <w:t xml:space="preserve"> previously reported </w:t>
      </w:r>
      <w:r w:rsidR="00654E39" w:rsidRPr="008C2309">
        <w:rPr>
          <w:rFonts w:ascii="Times" w:hAnsi="Times" w:cstheme="minorHAnsi"/>
          <w:color w:val="000000" w:themeColor="text1"/>
        </w:rPr>
        <w:t>to be</w:t>
      </w:r>
      <w:r w:rsidR="00C64C2D" w:rsidRPr="008C2309">
        <w:rPr>
          <w:rFonts w:ascii="Times" w:hAnsi="Times" w:cstheme="minorHAnsi"/>
          <w:color w:val="000000" w:themeColor="text1"/>
        </w:rPr>
        <w:t xml:space="preserve"> thermally stable over a wide range of temperatures</w:t>
      </w:r>
      <w:r w:rsidR="00823AC7" w:rsidRPr="008C2309">
        <w:rPr>
          <w:rFonts w:ascii="Times" w:hAnsi="Times" w:cstheme="minorHAnsi"/>
          <w:color w:val="000000" w:themeColor="text1"/>
        </w:rPr>
        <w:t xml:space="preserve"> </w:t>
      </w:r>
      <w:r w:rsidR="00C64C2D"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"10.1007/BF01979243", "ISSN" : "1572-8943", "abstract" : "Thermogravimetry-derivativc thermogravimetry and differential scanning calorimetry were used to study the thermal behaviour of furosemide, hydrochlorothiazide, spironolactone, and amiloride hydrochloride. The results revealed the extents of their thermal stability and also permitted interpretations concerning their thermal decompositions.", "author" : [ { "dropping-particle" : "", "family" : "Valladao", "given" : "D M S", "non-dropping-particle" : "", "parse-names" : false, "suffix" : "" }, { "dropping-particle" : "", "family" : "Oliveira", "given" : "L C S", "non-dropping-particle" : "De", "parse-names" : false, "suffix" : "" }, { "dropping-particle" : "", "family" : "Netto", "given" : "J Zuanon", "non-dropping-particle" : "", "parse-names" : false, "suffix" : "" }, { "dropping-particle" : "", "family" : "Ionashiro", "given" : "M", "non-dropping-particle" : "", "parse-names" : false, "suffix" : "" } ], "container-title" : "Journal of thermal analysis", "id" : "ITEM-1", "issue" : "5", "issued" : { "date-parts" : [ [ "1996", "5" ] ] }, "page" : "1291-1299", "title" : "Thermal decomposition of some diuretic agents", "type" : "article-journal", "volume" : "46" }, "uris" : [ "http://www.mendeley.com/documents/?uuid=d5fc4988-5b6f-4810-abef-6d6046e09b7a", "http://www.mendeley.com/documents/?uuid=c7f99db3-7c31-420d-8a59-2420ddbb505f" ] } ], "mendeley" : { "formattedCitation" : "(Valladao et al., 1996)", "plainTextFormattedCitation" : "(Valladao et al., 1996)", "previouslyFormattedCitation" : "(Valladao et al., 1996)" }, "properties" : {  }, "schema" : "https://github.com/citation-style-language/schema/raw/master/csl-citation.json" }</w:instrText>
      </w:r>
      <w:r w:rsidR="00C64C2D"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(Valladao et al., 1996)</w:t>
      </w:r>
      <w:r w:rsidR="00C64C2D" w:rsidRPr="008C2309">
        <w:rPr>
          <w:rFonts w:ascii="Times" w:hAnsi="Times" w:cstheme="minorHAnsi"/>
          <w:color w:val="000000" w:themeColor="text1"/>
        </w:rPr>
        <w:fldChar w:fldCharType="end"/>
      </w:r>
      <w:r w:rsidR="00C64C2D" w:rsidRPr="008C2309">
        <w:rPr>
          <w:rFonts w:ascii="Times" w:hAnsi="Times" w:cstheme="minorHAnsi"/>
          <w:color w:val="000000" w:themeColor="text1"/>
        </w:rPr>
        <w:t xml:space="preserve"> (stable </w:t>
      </w:r>
      <w:r w:rsidR="00654E39" w:rsidRPr="008C2309">
        <w:rPr>
          <w:rFonts w:ascii="Times" w:hAnsi="Times" w:cstheme="minorHAnsi"/>
          <w:color w:val="000000" w:themeColor="text1"/>
        </w:rPr>
        <w:t xml:space="preserve">up to </w:t>
      </w:r>
      <w:r w:rsidR="00C64C2D" w:rsidRPr="008C2309">
        <w:rPr>
          <w:rFonts w:ascii="Times" w:hAnsi="Times" w:cstheme="minorHAnsi"/>
          <w:color w:val="000000" w:themeColor="text1"/>
        </w:rPr>
        <w:t xml:space="preserve">at least </w:t>
      </w:r>
      <w:r w:rsidR="00274F24" w:rsidRPr="008C2309">
        <w:rPr>
          <w:rFonts w:ascii="Times" w:hAnsi="Times" w:cstheme="minorHAnsi"/>
          <w:color w:val="000000" w:themeColor="text1"/>
        </w:rPr>
        <w:t>30</w:t>
      </w:r>
      <w:r w:rsidR="00C64C2D" w:rsidRPr="008C2309">
        <w:rPr>
          <w:rFonts w:ascii="Times" w:hAnsi="Times" w:cstheme="minorHAnsi"/>
          <w:color w:val="000000" w:themeColor="text1"/>
        </w:rPr>
        <w:t>1 °C</w:t>
      </w:r>
      <w:r w:rsidR="00654E39" w:rsidRPr="008C2309">
        <w:rPr>
          <w:rFonts w:ascii="Times" w:hAnsi="Times" w:cstheme="minorHAnsi"/>
          <w:color w:val="000000" w:themeColor="text1"/>
        </w:rPr>
        <w:t xml:space="preserve">). This was verified </w:t>
      </w:r>
      <w:r w:rsidR="00C64C2D" w:rsidRPr="008C2309">
        <w:rPr>
          <w:rFonts w:ascii="Times" w:hAnsi="Times" w:cstheme="minorHAnsi"/>
          <w:color w:val="000000" w:themeColor="text1"/>
        </w:rPr>
        <w:t xml:space="preserve">in our </w:t>
      </w:r>
      <w:r w:rsidR="00E72138" w:rsidRPr="008C2309">
        <w:rPr>
          <w:rFonts w:ascii="Times" w:hAnsi="Times" w:cstheme="minorHAnsi"/>
          <w:color w:val="000000" w:themeColor="text1"/>
        </w:rPr>
        <w:t>studies</w:t>
      </w:r>
      <w:r w:rsidR="00654E39" w:rsidRPr="008C2309">
        <w:rPr>
          <w:rFonts w:ascii="Times" w:hAnsi="Times" w:cstheme="minorHAnsi"/>
          <w:color w:val="000000" w:themeColor="text1"/>
        </w:rPr>
        <w:t xml:space="preserve">, </w:t>
      </w:r>
      <w:r w:rsidR="00E72138" w:rsidRPr="008C2309">
        <w:rPr>
          <w:rFonts w:ascii="Times" w:hAnsi="Times" w:cstheme="minorHAnsi"/>
          <w:color w:val="000000" w:themeColor="text1"/>
        </w:rPr>
        <w:t xml:space="preserve">while </w:t>
      </w:r>
      <w:r w:rsidR="00C64C2D" w:rsidRPr="008C2309">
        <w:rPr>
          <w:rFonts w:ascii="Times" w:hAnsi="Times" w:cstheme="minorHAnsi"/>
          <w:color w:val="000000" w:themeColor="text1"/>
        </w:rPr>
        <w:t xml:space="preserve">RAM was shown to </w:t>
      </w:r>
      <w:r w:rsidR="00654E39" w:rsidRPr="008C2309">
        <w:rPr>
          <w:rFonts w:ascii="Times" w:hAnsi="Times" w:cstheme="minorHAnsi"/>
          <w:color w:val="000000" w:themeColor="text1"/>
        </w:rPr>
        <w:t xml:space="preserve">thermally degrade </w:t>
      </w:r>
      <w:r w:rsidR="00D20875" w:rsidRPr="008C2309">
        <w:rPr>
          <w:rFonts w:ascii="Times" w:hAnsi="Times" w:cstheme="minorHAnsi"/>
          <w:color w:val="000000" w:themeColor="text1"/>
        </w:rPr>
        <w:t>just above its</w:t>
      </w:r>
      <w:r w:rsidR="00C64C2D" w:rsidRPr="008C2309">
        <w:rPr>
          <w:rFonts w:ascii="Times" w:hAnsi="Times" w:cstheme="minorHAnsi"/>
          <w:color w:val="000000" w:themeColor="text1"/>
        </w:rPr>
        <w:t xml:space="preserve"> melting</w:t>
      </w:r>
      <w:r w:rsidR="00654E39" w:rsidRPr="008C2309">
        <w:rPr>
          <w:rFonts w:ascii="Times" w:hAnsi="Times" w:cstheme="minorHAnsi"/>
          <w:color w:val="000000" w:themeColor="text1"/>
        </w:rPr>
        <w:t xml:space="preserve"> point</w:t>
      </w:r>
      <w:r w:rsidR="00C64C2D" w:rsidRPr="008C2309">
        <w:rPr>
          <w:rFonts w:ascii="Times" w:hAnsi="Times" w:cstheme="minorHAnsi"/>
          <w:color w:val="000000" w:themeColor="text1"/>
        </w:rPr>
        <w:t xml:space="preserve"> (</w:t>
      </w:r>
      <w:r w:rsidR="005D53E0" w:rsidRPr="008C2309">
        <w:rPr>
          <w:rFonts w:ascii="Times" w:hAnsi="Times" w:cstheme="minorHAnsi"/>
          <w:color w:val="000000" w:themeColor="text1"/>
        </w:rPr>
        <w:t xml:space="preserve">at </w:t>
      </w:r>
      <w:r w:rsidR="00C64C2D" w:rsidRPr="008C2309">
        <w:rPr>
          <w:rFonts w:ascii="Times" w:hAnsi="Times" w:cstheme="minorHAnsi"/>
          <w:color w:val="000000" w:themeColor="text1"/>
        </w:rPr>
        <w:t>1</w:t>
      </w:r>
      <w:r w:rsidR="00D20875" w:rsidRPr="008C2309">
        <w:rPr>
          <w:rFonts w:ascii="Times" w:hAnsi="Times" w:cstheme="minorHAnsi"/>
          <w:color w:val="000000" w:themeColor="text1"/>
        </w:rPr>
        <w:t>23</w:t>
      </w:r>
      <w:r w:rsidR="00C64C2D" w:rsidRPr="008C2309">
        <w:rPr>
          <w:rFonts w:ascii="Times" w:hAnsi="Times" w:cstheme="minorHAnsi"/>
          <w:color w:val="000000" w:themeColor="text1"/>
        </w:rPr>
        <w:t xml:space="preserve"> °C)</w:t>
      </w:r>
      <w:r w:rsidR="00792A33" w:rsidRPr="008C2309">
        <w:rPr>
          <w:rFonts w:ascii="Times" w:hAnsi="Times" w:cstheme="minorHAnsi"/>
          <w:color w:val="000000" w:themeColor="text1"/>
        </w:rPr>
        <w:t xml:space="preserve"> (</w:t>
      </w:r>
      <w:r w:rsidR="00BD13FA" w:rsidRPr="008C2309">
        <w:rPr>
          <w:rFonts w:ascii="Times" w:hAnsi="Times" w:cstheme="minorHAnsi"/>
          <w:color w:val="000000" w:themeColor="text1"/>
        </w:rPr>
        <w:t xml:space="preserve">Supplemental </w:t>
      </w:r>
      <w:r w:rsidR="00792A33" w:rsidRPr="008C2309">
        <w:rPr>
          <w:rFonts w:ascii="Times" w:hAnsi="Times" w:cstheme="minorHAnsi"/>
          <w:color w:val="000000" w:themeColor="text1"/>
        </w:rPr>
        <w:t xml:space="preserve">Figure </w:t>
      </w:r>
      <w:r w:rsidR="00BD13FA" w:rsidRPr="008C2309">
        <w:rPr>
          <w:rFonts w:ascii="Times" w:hAnsi="Times" w:cstheme="minorHAnsi"/>
          <w:color w:val="000000" w:themeColor="text1"/>
        </w:rPr>
        <w:t xml:space="preserve">S </w:t>
      </w:r>
      <w:r w:rsidR="00792A33" w:rsidRPr="008C2309">
        <w:rPr>
          <w:rFonts w:ascii="Times" w:hAnsi="Times" w:cstheme="minorHAnsi"/>
          <w:color w:val="000000" w:themeColor="text1"/>
        </w:rPr>
        <w:t>1)</w:t>
      </w:r>
      <w:r w:rsidR="00C64C2D" w:rsidRPr="008C2309">
        <w:rPr>
          <w:rFonts w:ascii="Times" w:hAnsi="Times" w:cstheme="minorHAnsi"/>
          <w:color w:val="000000" w:themeColor="text1"/>
        </w:rPr>
        <w:t xml:space="preserve">. </w:t>
      </w:r>
    </w:p>
    <w:p w14:paraId="7AFF05FA" w14:textId="77777777" w:rsidR="00EB1963" w:rsidRPr="008C2309" w:rsidRDefault="00622C64"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 xml:space="preserve">As shown in </w:t>
      </w:r>
      <w:r w:rsidR="00C64C2D" w:rsidRPr="008C2309">
        <w:rPr>
          <w:rFonts w:ascii="Times" w:hAnsi="Times" w:cstheme="minorHAnsi"/>
          <w:color w:val="000000" w:themeColor="text1"/>
        </w:rPr>
        <w:t xml:space="preserve">Figure </w:t>
      </w:r>
      <w:r w:rsidR="00E137C6" w:rsidRPr="008C2309">
        <w:rPr>
          <w:rFonts w:ascii="Times" w:hAnsi="Times" w:cstheme="minorHAnsi"/>
          <w:color w:val="000000" w:themeColor="text1"/>
        </w:rPr>
        <w:t>1</w:t>
      </w:r>
      <w:r w:rsidR="00612313" w:rsidRPr="008C2309">
        <w:rPr>
          <w:rFonts w:ascii="Times" w:hAnsi="Times" w:cstheme="minorHAnsi"/>
          <w:color w:val="000000" w:themeColor="text1"/>
        </w:rPr>
        <w:t>,</w:t>
      </w:r>
      <w:r w:rsidRPr="008C2309">
        <w:rPr>
          <w:rFonts w:ascii="Times" w:hAnsi="Times" w:cstheme="minorHAnsi"/>
          <w:color w:val="000000" w:themeColor="text1"/>
        </w:rPr>
        <w:t xml:space="preserve"> both HCTZ and RAM </w:t>
      </w:r>
      <w:r w:rsidR="00AA20C8" w:rsidRPr="008C2309">
        <w:rPr>
          <w:rFonts w:ascii="Times" w:hAnsi="Times" w:cstheme="minorHAnsi"/>
          <w:color w:val="000000" w:themeColor="text1"/>
        </w:rPr>
        <w:t xml:space="preserve">displayed </w:t>
      </w:r>
      <w:r w:rsidRPr="008C2309">
        <w:rPr>
          <w:rFonts w:ascii="Times" w:hAnsi="Times" w:cstheme="minorHAnsi"/>
          <w:color w:val="000000" w:themeColor="text1"/>
        </w:rPr>
        <w:t xml:space="preserve">sharp melting endotherms at </w:t>
      </w:r>
      <w:r w:rsidR="00E137C6" w:rsidRPr="008C2309">
        <w:rPr>
          <w:rFonts w:ascii="Times" w:hAnsi="Times" w:cstheme="minorHAnsi"/>
          <w:color w:val="000000" w:themeColor="text1"/>
        </w:rPr>
        <w:t>272</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 xml:space="preserve">°C and </w:t>
      </w:r>
      <w:r w:rsidR="00E137C6" w:rsidRPr="008C2309">
        <w:rPr>
          <w:rFonts w:ascii="Times" w:hAnsi="Times" w:cstheme="minorHAnsi"/>
          <w:color w:val="000000" w:themeColor="text1"/>
        </w:rPr>
        <w:t>117</w:t>
      </w:r>
      <w:r w:rsidRPr="008C2309">
        <w:rPr>
          <w:rFonts w:ascii="Times" w:hAnsi="Times" w:cstheme="minorHAnsi"/>
          <w:color w:val="000000" w:themeColor="text1"/>
        </w:rPr>
        <w:t>°C, respectively</w:t>
      </w:r>
      <w:r w:rsidR="00AA20C8" w:rsidRPr="008C2309">
        <w:rPr>
          <w:rFonts w:ascii="Times" w:hAnsi="Times" w:cstheme="minorHAnsi"/>
          <w:color w:val="000000" w:themeColor="text1"/>
        </w:rPr>
        <w:t>, w</w:t>
      </w:r>
      <w:r w:rsidRPr="008C2309">
        <w:rPr>
          <w:rFonts w:ascii="Times" w:hAnsi="Times" w:cstheme="minorHAnsi"/>
          <w:color w:val="000000" w:themeColor="text1"/>
        </w:rPr>
        <w:t xml:space="preserve">hile Kollidon </w:t>
      </w:r>
      <w:r w:rsidRPr="008C2309">
        <w:rPr>
          <w:rFonts w:ascii="Times" w:hAnsi="Times" w:cstheme="minorHAnsi"/>
          <w:color w:val="000000" w:themeColor="text1"/>
          <w:vertAlign w:val="superscript"/>
        </w:rPr>
        <w:t>®</w:t>
      </w:r>
      <w:r w:rsidRPr="008C2309">
        <w:rPr>
          <w:rFonts w:ascii="Times" w:hAnsi="Times" w:cstheme="minorHAnsi"/>
          <w:color w:val="000000" w:themeColor="text1"/>
        </w:rPr>
        <w:t xml:space="preserve"> VA 64 exhibited a glass transition temperature</w:t>
      </w:r>
      <w:r w:rsidR="005D53E0" w:rsidRPr="008C2309">
        <w:rPr>
          <w:rFonts w:ascii="Times" w:hAnsi="Times" w:cstheme="minorHAnsi"/>
          <w:color w:val="000000" w:themeColor="text1"/>
        </w:rPr>
        <w:t xml:space="preserve"> (Tg)</w:t>
      </w:r>
      <w:r w:rsidRPr="008C2309">
        <w:rPr>
          <w:rFonts w:ascii="Times" w:hAnsi="Times" w:cstheme="minorHAnsi"/>
          <w:color w:val="000000" w:themeColor="text1"/>
        </w:rPr>
        <w:t xml:space="preserve"> at </w:t>
      </w:r>
      <w:r w:rsidR="00533CFA" w:rsidRPr="008C2309">
        <w:rPr>
          <w:rFonts w:ascii="Times" w:hAnsi="Times" w:cstheme="minorHAnsi"/>
          <w:color w:val="000000" w:themeColor="text1"/>
        </w:rPr>
        <w:t>10</w:t>
      </w:r>
      <w:r w:rsidR="00E137C6" w:rsidRPr="008C2309">
        <w:rPr>
          <w:rFonts w:ascii="Times" w:hAnsi="Times" w:cstheme="minorHAnsi"/>
          <w:color w:val="000000" w:themeColor="text1"/>
        </w:rPr>
        <w:t>8</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°C and Soluplus</w:t>
      </w:r>
      <w:r w:rsidRPr="008C2309">
        <w:rPr>
          <w:rFonts w:ascii="Times" w:hAnsi="Times" w:cstheme="minorHAnsi"/>
          <w:color w:val="000000" w:themeColor="text1"/>
          <w:vertAlign w:val="superscript"/>
        </w:rPr>
        <w:t>®</w:t>
      </w:r>
      <w:r w:rsidRPr="008C2309">
        <w:rPr>
          <w:rFonts w:ascii="Times" w:hAnsi="Times" w:cstheme="minorHAnsi"/>
          <w:color w:val="000000" w:themeColor="text1"/>
        </w:rPr>
        <w:t xml:space="preserve"> </w:t>
      </w:r>
      <w:r w:rsidR="005D53E0" w:rsidRPr="008C2309">
        <w:rPr>
          <w:rFonts w:ascii="Times" w:hAnsi="Times" w:cstheme="minorHAnsi"/>
          <w:color w:val="000000" w:themeColor="text1"/>
        </w:rPr>
        <w:t xml:space="preserve">had a Tg </w:t>
      </w:r>
      <w:r w:rsidRPr="008C2309">
        <w:rPr>
          <w:rFonts w:ascii="Times" w:hAnsi="Times" w:cstheme="minorHAnsi"/>
          <w:color w:val="000000" w:themeColor="text1"/>
        </w:rPr>
        <w:t xml:space="preserve">at </w:t>
      </w:r>
      <w:r w:rsidR="00E137C6" w:rsidRPr="008C2309">
        <w:rPr>
          <w:rFonts w:ascii="Times" w:hAnsi="Times" w:cstheme="minorHAnsi"/>
          <w:color w:val="000000" w:themeColor="text1"/>
        </w:rPr>
        <w:t>77</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°C</w:t>
      </w:r>
      <w:r w:rsidR="0017639E" w:rsidRPr="008C2309">
        <w:rPr>
          <w:rFonts w:ascii="Times" w:hAnsi="Times" w:cstheme="minorHAnsi"/>
          <w:color w:val="000000" w:themeColor="text1"/>
        </w:rPr>
        <w:t xml:space="preserve"> (</w:t>
      </w:r>
      <w:r w:rsidR="00E137C6" w:rsidRPr="008C2309">
        <w:rPr>
          <w:rFonts w:ascii="Times" w:hAnsi="Times" w:cstheme="minorHAnsi"/>
          <w:color w:val="000000" w:themeColor="text1"/>
        </w:rPr>
        <w:t xml:space="preserve">Supplemental </w:t>
      </w:r>
      <w:r w:rsidR="0017639E" w:rsidRPr="008C2309">
        <w:rPr>
          <w:rFonts w:ascii="Times" w:hAnsi="Times" w:cstheme="minorHAnsi"/>
          <w:color w:val="000000" w:themeColor="text1"/>
        </w:rPr>
        <w:t>Figure</w:t>
      </w:r>
      <w:r w:rsidR="00E137C6" w:rsidRPr="008C2309">
        <w:rPr>
          <w:rFonts w:ascii="Times" w:hAnsi="Times" w:cstheme="minorHAnsi"/>
          <w:color w:val="000000" w:themeColor="text1"/>
        </w:rPr>
        <w:t xml:space="preserve"> S</w:t>
      </w:r>
      <w:r w:rsidR="00E8797F" w:rsidRPr="008C2309">
        <w:rPr>
          <w:rFonts w:ascii="Times" w:hAnsi="Times" w:cstheme="minorHAnsi"/>
          <w:color w:val="000000" w:themeColor="text1"/>
        </w:rPr>
        <w:t xml:space="preserve"> </w:t>
      </w:r>
      <w:r w:rsidR="00E137C6" w:rsidRPr="008C2309">
        <w:rPr>
          <w:rFonts w:ascii="Times" w:hAnsi="Times" w:cstheme="minorHAnsi"/>
          <w:color w:val="000000" w:themeColor="text1"/>
        </w:rPr>
        <w:t>2</w:t>
      </w:r>
      <w:r w:rsidR="003E7ED2" w:rsidRPr="008C2309">
        <w:rPr>
          <w:rFonts w:ascii="Times" w:hAnsi="Times" w:cstheme="minorHAnsi"/>
          <w:color w:val="000000" w:themeColor="text1"/>
        </w:rPr>
        <w:t>)</w:t>
      </w:r>
      <w:r w:rsidRPr="008C2309">
        <w:rPr>
          <w:rFonts w:ascii="Times" w:hAnsi="Times" w:cstheme="minorHAnsi"/>
          <w:color w:val="000000" w:themeColor="text1"/>
        </w:rPr>
        <w:t xml:space="preserve">. PEG 3350 is a semi-crystalline plasticizer </w:t>
      </w:r>
      <w:r w:rsidR="00AA20C8" w:rsidRPr="008C2309">
        <w:rPr>
          <w:rFonts w:ascii="Times" w:hAnsi="Times" w:cstheme="minorHAnsi"/>
          <w:color w:val="000000" w:themeColor="text1"/>
        </w:rPr>
        <w:t>that exhibits</w:t>
      </w:r>
      <w:r w:rsidR="00051637" w:rsidRPr="008C2309">
        <w:rPr>
          <w:rFonts w:ascii="Times" w:hAnsi="Times" w:cstheme="minorHAnsi"/>
          <w:color w:val="000000" w:themeColor="text1"/>
        </w:rPr>
        <w:t xml:space="preserve"> a melting</w:t>
      </w:r>
      <w:r w:rsidRPr="008C2309">
        <w:rPr>
          <w:rFonts w:ascii="Times" w:hAnsi="Times" w:cstheme="minorHAnsi"/>
          <w:color w:val="000000" w:themeColor="text1"/>
        </w:rPr>
        <w:t xml:space="preserve"> endotherm at </w:t>
      </w:r>
      <w:r w:rsidR="00E137C6" w:rsidRPr="008C2309">
        <w:rPr>
          <w:rFonts w:ascii="Times" w:hAnsi="Times" w:cstheme="minorHAnsi"/>
          <w:color w:val="000000" w:themeColor="text1"/>
        </w:rPr>
        <w:t>60</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 xml:space="preserve">°C </w:t>
      </w:r>
      <w:r w:rsidR="0017639E" w:rsidRPr="008C2309">
        <w:rPr>
          <w:rFonts w:ascii="Times" w:hAnsi="Times" w:cstheme="minorHAnsi"/>
          <w:color w:val="000000" w:themeColor="text1"/>
        </w:rPr>
        <w:t>(</w:t>
      </w:r>
      <w:r w:rsidR="00E137C6" w:rsidRPr="008C2309">
        <w:rPr>
          <w:rFonts w:ascii="Times" w:hAnsi="Times" w:cstheme="minorHAnsi"/>
          <w:color w:val="000000" w:themeColor="text1"/>
        </w:rPr>
        <w:t xml:space="preserve">Supplemental </w:t>
      </w:r>
      <w:r w:rsidR="0017639E" w:rsidRPr="008C2309">
        <w:rPr>
          <w:rFonts w:ascii="Times" w:hAnsi="Times" w:cstheme="minorHAnsi"/>
          <w:color w:val="000000" w:themeColor="text1"/>
        </w:rPr>
        <w:t xml:space="preserve">Figure </w:t>
      </w:r>
      <w:r w:rsidR="00E137C6" w:rsidRPr="008C2309">
        <w:rPr>
          <w:rFonts w:ascii="Times" w:hAnsi="Times" w:cstheme="minorHAnsi"/>
          <w:color w:val="000000" w:themeColor="text1"/>
        </w:rPr>
        <w:t>S 2</w:t>
      </w:r>
      <w:r w:rsidR="003E7ED2" w:rsidRPr="008C2309">
        <w:rPr>
          <w:rFonts w:ascii="Times" w:hAnsi="Times" w:cstheme="minorHAnsi"/>
          <w:color w:val="000000" w:themeColor="text1"/>
        </w:rPr>
        <w:t>)</w:t>
      </w:r>
      <w:r w:rsidRPr="008C2309">
        <w:rPr>
          <w:rFonts w:ascii="Times" w:hAnsi="Times" w:cstheme="minorHAnsi"/>
          <w:color w:val="000000" w:themeColor="text1"/>
        </w:rPr>
        <w:t xml:space="preserve">. </w:t>
      </w:r>
      <w:r w:rsidRPr="008C2309">
        <w:rPr>
          <w:rFonts w:ascii="Times" w:hAnsi="Times" w:cstheme="minorHAnsi"/>
          <w:color w:val="000000" w:themeColor="text1"/>
        </w:rPr>
        <w:lastRenderedPageBreak/>
        <w:t>Polymers</w:t>
      </w:r>
      <w:r w:rsidR="00612313" w:rsidRPr="008C2309">
        <w:rPr>
          <w:rFonts w:ascii="Times" w:hAnsi="Times" w:cstheme="minorHAnsi"/>
          <w:color w:val="000000" w:themeColor="text1"/>
        </w:rPr>
        <w:t xml:space="preserve"> used in the study</w:t>
      </w:r>
      <w:r w:rsidRPr="008C2309">
        <w:rPr>
          <w:rFonts w:ascii="Times" w:hAnsi="Times" w:cstheme="minorHAnsi"/>
          <w:color w:val="000000" w:themeColor="text1"/>
        </w:rPr>
        <w:t xml:space="preserve"> </w:t>
      </w:r>
      <w:r w:rsidR="005B03D2" w:rsidRPr="008C2309">
        <w:rPr>
          <w:rFonts w:ascii="Times" w:hAnsi="Times" w:cstheme="minorHAnsi"/>
          <w:color w:val="000000" w:themeColor="text1"/>
        </w:rPr>
        <w:t>are</w:t>
      </w:r>
      <w:r w:rsidRPr="008C2309">
        <w:rPr>
          <w:rFonts w:ascii="Times" w:hAnsi="Times" w:cstheme="minorHAnsi"/>
          <w:color w:val="000000" w:themeColor="text1"/>
        </w:rPr>
        <w:t xml:space="preserve"> </w:t>
      </w:r>
      <w:r w:rsidR="00612313" w:rsidRPr="008C2309">
        <w:rPr>
          <w:rFonts w:ascii="Times" w:hAnsi="Times" w:cstheme="minorHAnsi"/>
          <w:color w:val="000000" w:themeColor="text1"/>
        </w:rPr>
        <w:t xml:space="preserve">thermally </w:t>
      </w:r>
      <w:r w:rsidRPr="008C2309">
        <w:rPr>
          <w:rFonts w:ascii="Times" w:hAnsi="Times" w:cstheme="minorHAnsi"/>
          <w:color w:val="000000" w:themeColor="text1"/>
        </w:rPr>
        <w:t>stable under the process conditions used in this study</w:t>
      </w:r>
      <w:r w:rsidR="005D53E0" w:rsidRPr="008C2309">
        <w:rPr>
          <w:rFonts w:ascii="Times" w:hAnsi="Times" w:cstheme="minorHAnsi"/>
          <w:color w:val="000000" w:themeColor="text1"/>
        </w:rPr>
        <w:t xml:space="preserve"> - </w:t>
      </w:r>
      <w:r w:rsidR="00AD7BBF" w:rsidRPr="008C2309">
        <w:rPr>
          <w:rFonts w:ascii="Times" w:hAnsi="Times" w:cstheme="minorHAnsi"/>
          <w:color w:val="000000" w:themeColor="text1"/>
        </w:rPr>
        <w:t>PEG 3350</w:t>
      </w:r>
      <w:r w:rsidR="00D05421" w:rsidRPr="008C2309">
        <w:rPr>
          <w:rFonts w:ascii="Times" w:hAnsi="Times" w:cstheme="minorHAnsi"/>
          <w:color w:val="000000" w:themeColor="text1"/>
        </w:rPr>
        <w:t xml:space="preserve"> </w:t>
      </w:r>
      <w:r w:rsidR="00E53317" w:rsidRPr="008C2309">
        <w:rPr>
          <w:rFonts w:ascii="Times" w:hAnsi="Times" w:cstheme="minorHAnsi"/>
          <w:color w:val="000000" w:themeColor="text1"/>
        </w:rPr>
        <w:t>exhibits</w:t>
      </w:r>
      <w:r w:rsidR="00351A46" w:rsidRPr="008C2309">
        <w:rPr>
          <w:rFonts w:ascii="Times" w:hAnsi="Times" w:cstheme="minorHAnsi"/>
          <w:color w:val="000000" w:themeColor="text1"/>
        </w:rPr>
        <w:t xml:space="preserve"> </w:t>
      </w:r>
      <w:r w:rsidR="005D53E0" w:rsidRPr="008C2309">
        <w:rPr>
          <w:rFonts w:ascii="Times" w:hAnsi="Times" w:cstheme="minorHAnsi"/>
          <w:color w:val="000000" w:themeColor="text1"/>
        </w:rPr>
        <w:t xml:space="preserve">less than </w:t>
      </w:r>
      <w:r w:rsidR="00351A46" w:rsidRPr="008C2309">
        <w:rPr>
          <w:rFonts w:ascii="Times" w:hAnsi="Times" w:cstheme="minorHAnsi"/>
          <w:color w:val="000000" w:themeColor="text1"/>
        </w:rPr>
        <w:t>1%</w:t>
      </w:r>
      <w:r w:rsidR="00D05421" w:rsidRPr="008C2309">
        <w:rPr>
          <w:rFonts w:ascii="Times" w:hAnsi="Times" w:cstheme="minorHAnsi"/>
          <w:color w:val="000000" w:themeColor="text1"/>
        </w:rPr>
        <w:t xml:space="preserve"> weight loss </w:t>
      </w:r>
      <w:r w:rsidR="00C3040E" w:rsidRPr="008C2309">
        <w:rPr>
          <w:rFonts w:ascii="Times" w:hAnsi="Times" w:cstheme="minorHAnsi"/>
          <w:color w:val="000000" w:themeColor="text1"/>
        </w:rPr>
        <w:t xml:space="preserve">up to </w:t>
      </w:r>
      <w:r w:rsidR="00D05421" w:rsidRPr="008C2309">
        <w:rPr>
          <w:rFonts w:ascii="Times" w:hAnsi="Times" w:cstheme="minorHAnsi"/>
          <w:color w:val="000000" w:themeColor="text1"/>
        </w:rPr>
        <w:t>300 °C</w:t>
      </w:r>
      <w:r w:rsidR="00AD7BBF" w:rsidRPr="008C2309">
        <w:rPr>
          <w:rFonts w:ascii="Times" w:hAnsi="Times" w:cstheme="minorHAnsi"/>
          <w:color w:val="000000" w:themeColor="text1"/>
        </w:rPr>
        <w:t>,</w:t>
      </w:r>
      <w:r w:rsidR="00E92CE1" w:rsidRPr="008C2309">
        <w:rPr>
          <w:rFonts w:ascii="Times" w:hAnsi="Times" w:cstheme="minorHAnsi"/>
          <w:color w:val="000000" w:themeColor="text1"/>
        </w:rPr>
        <w:t xml:space="preserve"> while</w:t>
      </w:r>
      <w:r w:rsidR="00AD7BBF" w:rsidRPr="008C2309">
        <w:rPr>
          <w:rFonts w:ascii="Times" w:hAnsi="Times" w:cstheme="minorHAnsi"/>
          <w:color w:val="000000" w:themeColor="text1"/>
        </w:rPr>
        <w:t xml:space="preserve"> </w:t>
      </w:r>
      <w:bookmarkStart w:id="4" w:name="_Hlk511920844"/>
      <w:r w:rsidR="00AD7BBF" w:rsidRPr="008C2309">
        <w:rPr>
          <w:rFonts w:ascii="Times" w:hAnsi="Times" w:cstheme="minorHAnsi"/>
          <w:color w:val="000000" w:themeColor="text1"/>
        </w:rPr>
        <w:t>Soluplus</w:t>
      </w:r>
      <w:r w:rsidR="00AD7BBF" w:rsidRPr="008C2309">
        <w:rPr>
          <w:rFonts w:ascii="Times" w:hAnsi="Times" w:cstheme="minorHAnsi"/>
          <w:color w:val="000000" w:themeColor="text1"/>
          <w:vertAlign w:val="superscript"/>
        </w:rPr>
        <w:t xml:space="preserve">® </w:t>
      </w:r>
      <w:r w:rsidR="00AD7BBF" w:rsidRPr="008C2309">
        <w:rPr>
          <w:rFonts w:ascii="Times" w:hAnsi="Times" w:cstheme="minorHAnsi"/>
          <w:color w:val="000000" w:themeColor="text1"/>
        </w:rPr>
        <w:t xml:space="preserve">and Kollidon </w:t>
      </w:r>
      <w:r w:rsidR="00AD7BBF" w:rsidRPr="008C2309">
        <w:rPr>
          <w:rFonts w:ascii="Times" w:hAnsi="Times" w:cstheme="minorHAnsi"/>
          <w:color w:val="000000" w:themeColor="text1"/>
          <w:vertAlign w:val="superscript"/>
        </w:rPr>
        <w:t>®</w:t>
      </w:r>
      <w:r w:rsidR="00AD7BBF" w:rsidRPr="008C2309">
        <w:rPr>
          <w:rFonts w:ascii="Times" w:hAnsi="Times" w:cstheme="minorHAnsi"/>
          <w:color w:val="000000" w:themeColor="text1"/>
        </w:rPr>
        <w:t xml:space="preserve"> VA 64</w:t>
      </w:r>
      <w:r w:rsidR="003E7ED2" w:rsidRPr="008C2309">
        <w:rPr>
          <w:rFonts w:ascii="Times" w:hAnsi="Times" w:cstheme="minorHAnsi"/>
          <w:color w:val="000000" w:themeColor="text1"/>
        </w:rPr>
        <w:t xml:space="preserve"> </w:t>
      </w:r>
      <w:bookmarkEnd w:id="4"/>
      <w:r w:rsidR="003E7ED2" w:rsidRPr="008C2309">
        <w:rPr>
          <w:rFonts w:ascii="Times" w:hAnsi="Times" w:cstheme="minorHAnsi"/>
          <w:color w:val="000000" w:themeColor="text1"/>
        </w:rPr>
        <w:t>start to</w:t>
      </w:r>
      <w:r w:rsidR="00AD7BBF" w:rsidRPr="008C2309">
        <w:rPr>
          <w:rFonts w:ascii="Times" w:hAnsi="Times" w:cstheme="minorHAnsi"/>
          <w:color w:val="000000" w:themeColor="text1"/>
        </w:rPr>
        <w:t xml:space="preserve"> </w:t>
      </w:r>
      <w:r w:rsidR="00E92CE1" w:rsidRPr="008C2309">
        <w:rPr>
          <w:rFonts w:ascii="Times" w:hAnsi="Times" w:cstheme="minorHAnsi"/>
          <w:color w:val="000000" w:themeColor="text1"/>
        </w:rPr>
        <w:t>degrade</w:t>
      </w:r>
      <w:r w:rsidR="00E53317" w:rsidRPr="008C2309">
        <w:rPr>
          <w:rFonts w:ascii="Times" w:hAnsi="Times" w:cstheme="minorHAnsi"/>
          <w:color w:val="000000" w:themeColor="text1"/>
        </w:rPr>
        <w:t xml:space="preserve"> just</w:t>
      </w:r>
      <w:r w:rsidR="003E7ED2" w:rsidRPr="008C2309">
        <w:rPr>
          <w:rFonts w:ascii="Times" w:hAnsi="Times" w:cstheme="minorHAnsi"/>
          <w:color w:val="000000" w:themeColor="text1"/>
        </w:rPr>
        <w:t xml:space="preserve"> over </w:t>
      </w:r>
      <w:r w:rsidR="00E53317" w:rsidRPr="008C2309">
        <w:rPr>
          <w:rFonts w:ascii="Times" w:hAnsi="Times" w:cstheme="minorHAnsi"/>
          <w:color w:val="000000" w:themeColor="text1"/>
        </w:rPr>
        <w:t>280</w:t>
      </w:r>
      <w:r w:rsidR="003E7ED2" w:rsidRPr="008C2309">
        <w:rPr>
          <w:rFonts w:ascii="Times" w:hAnsi="Times" w:cstheme="minorHAnsi"/>
          <w:color w:val="000000" w:themeColor="text1"/>
        </w:rPr>
        <w:t xml:space="preserve"> °C</w:t>
      </w:r>
      <w:r w:rsidR="003E7ED2" w:rsidRPr="008C2309" w:rsidDel="003E7ED2">
        <w:rPr>
          <w:rFonts w:ascii="Times" w:hAnsi="Times" w:cstheme="minorHAnsi"/>
          <w:color w:val="000000" w:themeColor="text1"/>
        </w:rPr>
        <w:t xml:space="preserve"> </w:t>
      </w:r>
      <w:r w:rsidR="00792A33" w:rsidRPr="008C2309">
        <w:rPr>
          <w:rFonts w:ascii="Times" w:hAnsi="Times" w:cstheme="minorHAnsi"/>
          <w:color w:val="000000" w:themeColor="text1"/>
        </w:rPr>
        <w:t>(</w:t>
      </w:r>
      <w:r w:rsidR="00E137C6" w:rsidRPr="008C2309">
        <w:rPr>
          <w:rFonts w:ascii="Times" w:hAnsi="Times" w:cstheme="minorHAnsi"/>
          <w:color w:val="000000" w:themeColor="text1"/>
        </w:rPr>
        <w:t>Supplem</w:t>
      </w:r>
      <w:r w:rsidR="00A92258" w:rsidRPr="008C2309">
        <w:rPr>
          <w:rFonts w:ascii="Times" w:hAnsi="Times" w:cstheme="minorHAnsi"/>
          <w:color w:val="000000" w:themeColor="text1"/>
        </w:rPr>
        <w:t>e</w:t>
      </w:r>
      <w:r w:rsidR="00E137C6" w:rsidRPr="008C2309">
        <w:rPr>
          <w:rFonts w:ascii="Times" w:hAnsi="Times" w:cstheme="minorHAnsi"/>
          <w:color w:val="000000" w:themeColor="text1"/>
        </w:rPr>
        <w:t xml:space="preserve">ntal </w:t>
      </w:r>
      <w:r w:rsidR="00792A33" w:rsidRPr="008C2309">
        <w:rPr>
          <w:rFonts w:ascii="Times" w:hAnsi="Times" w:cstheme="minorHAnsi"/>
          <w:color w:val="000000" w:themeColor="text1"/>
        </w:rPr>
        <w:t xml:space="preserve">Figure </w:t>
      </w:r>
      <w:r w:rsidR="00E137C6" w:rsidRPr="008C2309">
        <w:rPr>
          <w:rFonts w:ascii="Times" w:hAnsi="Times" w:cstheme="minorHAnsi"/>
          <w:color w:val="000000" w:themeColor="text1"/>
        </w:rPr>
        <w:t>S 3</w:t>
      </w:r>
      <w:r w:rsidR="003E7ED2" w:rsidRPr="008C2309">
        <w:rPr>
          <w:rFonts w:ascii="Times" w:hAnsi="Times" w:cstheme="minorHAnsi"/>
          <w:color w:val="000000" w:themeColor="text1"/>
        </w:rPr>
        <w:t>)</w:t>
      </w:r>
      <w:r w:rsidR="00E92CE1" w:rsidRPr="008C2309">
        <w:rPr>
          <w:rFonts w:ascii="Times" w:hAnsi="Times" w:cstheme="minorHAnsi"/>
          <w:color w:val="000000" w:themeColor="text1"/>
        </w:rPr>
        <w:t xml:space="preserve">. </w:t>
      </w:r>
      <w:r w:rsidR="00AD7BBF" w:rsidRPr="008C2309">
        <w:rPr>
          <w:rFonts w:ascii="Times" w:hAnsi="Times" w:cstheme="minorHAnsi"/>
          <w:color w:val="000000" w:themeColor="text1"/>
        </w:rPr>
        <w:t>A</w:t>
      </w:r>
      <w:r w:rsidRPr="008C2309">
        <w:rPr>
          <w:rFonts w:ascii="Times" w:hAnsi="Times" w:cstheme="minorHAnsi"/>
          <w:color w:val="000000" w:themeColor="text1"/>
        </w:rPr>
        <w:t xml:space="preserve"> maximum processing temperature of 140</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°C was us</w:t>
      </w:r>
      <w:r w:rsidR="00AD7BBF" w:rsidRPr="008C2309">
        <w:rPr>
          <w:rFonts w:ascii="Times" w:hAnsi="Times" w:cstheme="minorHAnsi"/>
          <w:color w:val="000000" w:themeColor="text1"/>
        </w:rPr>
        <w:t>ed to produce HME-F1</w:t>
      </w:r>
      <w:r w:rsidR="004A7A68" w:rsidRPr="008C2309">
        <w:rPr>
          <w:rFonts w:ascii="Times" w:hAnsi="Times" w:cstheme="minorHAnsi"/>
          <w:color w:val="000000" w:themeColor="text1"/>
        </w:rPr>
        <w:t xml:space="preserve"> (i.e. formulation 1 processed by HME)</w:t>
      </w:r>
      <w:r w:rsidR="00AD7BBF" w:rsidRPr="008C2309">
        <w:rPr>
          <w:rFonts w:ascii="Times" w:hAnsi="Times" w:cstheme="minorHAnsi"/>
          <w:color w:val="000000" w:themeColor="text1"/>
        </w:rPr>
        <w:t xml:space="preserve"> and HME-F3.</w:t>
      </w:r>
      <w:r w:rsidR="007068CA" w:rsidRPr="008C2309">
        <w:rPr>
          <w:rFonts w:ascii="Times" w:hAnsi="Times" w:cstheme="minorHAnsi"/>
          <w:color w:val="000000" w:themeColor="text1"/>
        </w:rPr>
        <w:t xml:space="preserve"> </w:t>
      </w:r>
      <w:r w:rsidRPr="008C2309">
        <w:rPr>
          <w:rFonts w:ascii="Times" w:hAnsi="Times" w:cstheme="minorHAnsi"/>
          <w:color w:val="000000" w:themeColor="text1"/>
        </w:rPr>
        <w:t>The extrusion temperature required is usually set to 15-60</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°C above the glass transition of the system</w:t>
      </w:r>
      <w:r w:rsidR="00823AC7" w:rsidRPr="008C2309">
        <w:rPr>
          <w:rFonts w:ascii="Times" w:hAnsi="Times" w:cstheme="minorHAnsi"/>
          <w:color w:val="000000" w:themeColor="text1"/>
        </w:rPr>
        <w:t xml:space="preserve"> </w:t>
      </w:r>
      <w:r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"10.1080/03639040701498759", "ISSN" : "0363-9045", "PMID" : "17891577", "author" : [ { "dropping-particle" : "", "family" : "Crowley, Michael M.", "given" : "Zhang Feng", "non-dropping-particle" : "", "parse-names" : false, "suffix" : "" } ], "container-title" : "Drug Development and Industrial Pharmacy", "id" : "ITEM-1", "issue" : "August 2016", "issued" : { "date-parts" : [ [ "2007" ] ] }, "page" : "909-926", "title" : "Pharmaceutical Applications of Hot-Melt Extrusion: Part I Review Article", "type" : "article-journal", "volume" : "33" }, "uris" : [ "http://www.mendeley.com/documents/?uuid=0159c342-05cd-4eb0-a4a1-64808ab5d252", "http://www.mendeley.com/documents/?uuid=96f76db5-b634-416e-9351-8aa1d3cfff07" ] } ], "mendeley" : { "formattedCitation" : "(Crowley, Michael M., 2007)", "plainTextFormattedCitation" : "(Crowley, Michael M., 2007)", "previouslyFormattedCitation" : "(Crowley, Michael M., 2007)" }, "properties" : {  }, "schema" : "https://github.com/citation-style-language/schema/raw/master/csl-citation.json" }</w:instrText>
      </w:r>
      <w:r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(Crowley, Michael M., 2007)</w:t>
      </w:r>
      <w:r w:rsidRPr="008C2309">
        <w:rPr>
          <w:rFonts w:ascii="Times" w:hAnsi="Times" w:cstheme="minorHAnsi"/>
          <w:color w:val="000000" w:themeColor="text1"/>
        </w:rPr>
        <w:fldChar w:fldCharType="end"/>
      </w:r>
      <w:r w:rsidRPr="008C2309">
        <w:rPr>
          <w:rFonts w:ascii="Times" w:hAnsi="Times" w:cstheme="minorHAnsi"/>
          <w:color w:val="000000" w:themeColor="text1"/>
        </w:rPr>
        <w:t>.</w:t>
      </w:r>
      <w:r w:rsidR="009A4295" w:rsidRPr="008C2309">
        <w:rPr>
          <w:rFonts w:ascii="Times" w:hAnsi="Times" w:cstheme="minorHAnsi"/>
          <w:color w:val="000000" w:themeColor="text1"/>
        </w:rPr>
        <w:t xml:space="preserve"> The </w:t>
      </w:r>
      <w:r w:rsidR="004A7A68" w:rsidRPr="008C2309">
        <w:rPr>
          <w:rFonts w:ascii="Times" w:hAnsi="Times" w:cstheme="minorHAnsi"/>
          <w:color w:val="000000" w:themeColor="text1"/>
        </w:rPr>
        <w:t xml:space="preserve">Tgs of </w:t>
      </w:r>
      <w:r w:rsidR="009A4295" w:rsidRPr="008C2309">
        <w:rPr>
          <w:rFonts w:ascii="Times" w:hAnsi="Times" w:cstheme="minorHAnsi"/>
          <w:color w:val="000000" w:themeColor="text1"/>
        </w:rPr>
        <w:t xml:space="preserve">HCTZ and RAM </w:t>
      </w:r>
      <w:r w:rsidR="004A7A68" w:rsidRPr="008C2309">
        <w:rPr>
          <w:rFonts w:ascii="Times" w:hAnsi="Times" w:cstheme="minorHAnsi"/>
          <w:color w:val="000000" w:themeColor="text1"/>
        </w:rPr>
        <w:t>were determined for melt quenched materials and</w:t>
      </w:r>
      <w:r w:rsidR="009A4295" w:rsidRPr="008C2309">
        <w:rPr>
          <w:rFonts w:ascii="Times" w:hAnsi="Times" w:cstheme="minorHAnsi"/>
          <w:color w:val="000000" w:themeColor="text1"/>
        </w:rPr>
        <w:t xml:space="preserve"> w</w:t>
      </w:r>
      <w:r w:rsidR="00461B3B" w:rsidRPr="008C2309">
        <w:rPr>
          <w:rFonts w:ascii="Times" w:hAnsi="Times" w:cstheme="minorHAnsi"/>
          <w:color w:val="000000" w:themeColor="text1"/>
        </w:rPr>
        <w:t>ere</w:t>
      </w:r>
      <w:r w:rsidR="009A4295" w:rsidRPr="008C2309">
        <w:rPr>
          <w:rFonts w:ascii="Times" w:hAnsi="Times" w:cstheme="minorHAnsi"/>
          <w:color w:val="000000" w:themeColor="text1"/>
        </w:rPr>
        <w:t xml:space="preserve"> </w:t>
      </w:r>
      <w:r w:rsidR="004A7A68" w:rsidRPr="008C2309">
        <w:rPr>
          <w:rFonts w:ascii="Times" w:hAnsi="Times" w:cstheme="minorHAnsi"/>
          <w:color w:val="000000" w:themeColor="text1"/>
        </w:rPr>
        <w:t xml:space="preserve">found </w:t>
      </w:r>
      <w:r w:rsidR="00461B3B" w:rsidRPr="008C2309">
        <w:rPr>
          <w:rFonts w:ascii="Times" w:hAnsi="Times" w:cstheme="minorHAnsi"/>
          <w:color w:val="000000" w:themeColor="text1"/>
        </w:rPr>
        <w:t>to be</w:t>
      </w:r>
      <w:r w:rsidR="009A4295" w:rsidRPr="008C2309">
        <w:rPr>
          <w:rFonts w:ascii="Times" w:hAnsi="Times" w:cstheme="minorHAnsi"/>
          <w:color w:val="000000" w:themeColor="text1"/>
        </w:rPr>
        <w:t xml:space="preserve"> </w:t>
      </w:r>
      <w:r w:rsidR="00DE1523" w:rsidRPr="008C2309">
        <w:t>11</w:t>
      </w:r>
      <w:r w:rsidR="00A92258" w:rsidRPr="008C2309">
        <w:t>2</w:t>
      </w:r>
      <w:r w:rsidR="00DE1523" w:rsidRPr="008C2309">
        <w:t xml:space="preserve"> °C</w:t>
      </w:r>
      <w:r w:rsidR="00DE1523" w:rsidRPr="008C2309">
        <w:rPr>
          <w:rFonts w:ascii="Times" w:hAnsi="Times" w:cstheme="minorHAnsi"/>
          <w:color w:val="000000" w:themeColor="text1"/>
        </w:rPr>
        <w:t xml:space="preserve"> and </w:t>
      </w:r>
      <w:r w:rsidR="00A92258" w:rsidRPr="008C2309">
        <w:t>2</w:t>
      </w:r>
      <w:r w:rsidR="00DE1523" w:rsidRPr="008C2309">
        <w:t xml:space="preserve"> </w:t>
      </w:r>
      <w:r w:rsidR="00DE1523" w:rsidRPr="008C2309">
        <w:rPr>
          <w:rFonts w:cstheme="minorHAnsi"/>
        </w:rPr>
        <w:t>°</w:t>
      </w:r>
      <w:r w:rsidR="00DE1523" w:rsidRPr="008C2309">
        <w:t>C</w:t>
      </w:r>
      <w:r w:rsidR="009A4295" w:rsidRPr="008C2309">
        <w:rPr>
          <w:rFonts w:ascii="Times" w:hAnsi="Times" w:cstheme="minorHAnsi"/>
          <w:color w:val="000000" w:themeColor="text1"/>
        </w:rPr>
        <w:t xml:space="preserve"> </w:t>
      </w:r>
      <w:r w:rsidR="004A7A68" w:rsidRPr="008C2309">
        <w:rPr>
          <w:rFonts w:ascii="Times" w:hAnsi="Times" w:cstheme="minorHAnsi"/>
          <w:color w:val="000000" w:themeColor="text1"/>
        </w:rPr>
        <w:t>respectively</w:t>
      </w:r>
      <w:r w:rsidR="009A4295" w:rsidRPr="008C2309">
        <w:rPr>
          <w:rFonts w:ascii="Times" w:hAnsi="Times" w:cstheme="minorHAnsi"/>
          <w:color w:val="000000" w:themeColor="text1"/>
        </w:rPr>
        <w:t xml:space="preserve"> (</w:t>
      </w:r>
      <w:r w:rsidR="00A92258" w:rsidRPr="008C2309">
        <w:rPr>
          <w:rFonts w:ascii="Times" w:hAnsi="Times" w:cstheme="minorHAnsi"/>
          <w:color w:val="000000" w:themeColor="text1"/>
        </w:rPr>
        <w:t>Supplemental F</w:t>
      </w:r>
      <w:r w:rsidR="00461B3B" w:rsidRPr="008C2309">
        <w:rPr>
          <w:rFonts w:ascii="Times" w:hAnsi="Times" w:cstheme="minorHAnsi"/>
          <w:color w:val="000000" w:themeColor="text1"/>
        </w:rPr>
        <w:t>igure</w:t>
      </w:r>
      <w:r w:rsidR="00A92258" w:rsidRPr="008C2309">
        <w:rPr>
          <w:rFonts w:ascii="Times" w:hAnsi="Times" w:cstheme="minorHAnsi"/>
          <w:color w:val="000000" w:themeColor="text1"/>
        </w:rPr>
        <w:t xml:space="preserve"> S</w:t>
      </w:r>
      <w:r w:rsidR="00461B3B" w:rsidRPr="008C2309">
        <w:rPr>
          <w:rFonts w:ascii="Times" w:hAnsi="Times" w:cstheme="minorHAnsi"/>
          <w:color w:val="000000" w:themeColor="text1"/>
        </w:rPr>
        <w:t xml:space="preserve"> 4 and</w:t>
      </w:r>
      <w:r w:rsidR="00A92258" w:rsidRPr="008C2309">
        <w:rPr>
          <w:rFonts w:ascii="Times" w:hAnsi="Times" w:cstheme="minorHAnsi"/>
          <w:color w:val="000000" w:themeColor="text1"/>
        </w:rPr>
        <w:t xml:space="preserve"> Supplemental</w:t>
      </w:r>
      <w:r w:rsidR="00461B3B" w:rsidRPr="008C2309">
        <w:rPr>
          <w:rFonts w:ascii="Times" w:hAnsi="Times" w:cstheme="minorHAnsi"/>
          <w:color w:val="000000" w:themeColor="text1"/>
        </w:rPr>
        <w:t xml:space="preserve"> </w:t>
      </w:r>
      <w:r w:rsidR="00A92258" w:rsidRPr="008C2309">
        <w:rPr>
          <w:rFonts w:ascii="Times" w:hAnsi="Times" w:cstheme="minorHAnsi"/>
          <w:color w:val="000000" w:themeColor="text1"/>
        </w:rPr>
        <w:t>F</w:t>
      </w:r>
      <w:r w:rsidR="00461B3B" w:rsidRPr="008C2309">
        <w:rPr>
          <w:rFonts w:ascii="Times" w:hAnsi="Times" w:cstheme="minorHAnsi"/>
          <w:color w:val="000000" w:themeColor="text1"/>
        </w:rPr>
        <w:t>igure</w:t>
      </w:r>
      <w:r w:rsidR="00A92258" w:rsidRPr="008C2309">
        <w:rPr>
          <w:rFonts w:ascii="Times" w:hAnsi="Times" w:cstheme="minorHAnsi"/>
          <w:color w:val="000000" w:themeColor="text1"/>
        </w:rPr>
        <w:t xml:space="preserve"> S</w:t>
      </w:r>
      <w:r w:rsidR="00461B3B" w:rsidRPr="008C2309">
        <w:rPr>
          <w:rFonts w:ascii="Times" w:hAnsi="Times" w:cstheme="minorHAnsi"/>
          <w:color w:val="000000" w:themeColor="text1"/>
        </w:rPr>
        <w:t xml:space="preserve"> 5</w:t>
      </w:r>
      <w:r w:rsidR="009A4295" w:rsidRPr="008C2309">
        <w:rPr>
          <w:rFonts w:ascii="Times" w:hAnsi="Times" w:cstheme="minorHAnsi"/>
          <w:color w:val="000000" w:themeColor="text1"/>
        </w:rPr>
        <w:t>)</w:t>
      </w:r>
      <w:r w:rsidR="00E41DED" w:rsidRPr="008C2309">
        <w:rPr>
          <w:rFonts w:ascii="Times" w:hAnsi="Times" w:cstheme="minorHAnsi"/>
          <w:color w:val="000000" w:themeColor="text1"/>
        </w:rPr>
        <w:t>.</w:t>
      </w:r>
    </w:p>
    <w:p w14:paraId="682BD177" w14:textId="77777777" w:rsidR="00EB1963" w:rsidRPr="008C2309" w:rsidRDefault="00EB1963" w:rsidP="00E41DED">
      <w:pPr>
        <w:spacing w:line="480" w:lineRule="auto"/>
        <w:jc w:val="both"/>
        <w:rPr>
          <w:rFonts w:ascii="Times" w:hAnsi="Times" w:cstheme="minorHAnsi"/>
          <w:color w:val="000000" w:themeColor="text1"/>
        </w:rPr>
      </w:pPr>
    </w:p>
    <w:p w14:paraId="18EDB989" w14:textId="08D17958" w:rsidR="00906E54" w:rsidRPr="008C2309" w:rsidRDefault="0017639E" w:rsidP="00E41DED">
      <w:pPr>
        <w:spacing w:line="480" w:lineRule="auto"/>
        <w:jc w:val="both"/>
        <w:rPr>
          <w:rFonts w:ascii="Times" w:hAnsi="Times" w:cstheme="minorHAnsi"/>
          <w:color w:val="000000" w:themeColor="text1"/>
          <w:lang w:val="en-IE"/>
        </w:rPr>
      </w:pPr>
      <w:r w:rsidRPr="008C2309">
        <w:rPr>
          <w:rFonts w:ascii="Times" w:hAnsi="Times" w:cstheme="minorHAnsi"/>
          <w:color w:val="000000" w:themeColor="text1"/>
        </w:rPr>
        <w:t xml:space="preserve">PXRD </w:t>
      </w:r>
      <w:r w:rsidR="00FA7312" w:rsidRPr="008C2309">
        <w:rPr>
          <w:rFonts w:ascii="Times" w:hAnsi="Times" w:cstheme="minorHAnsi"/>
          <w:color w:val="000000" w:themeColor="text1"/>
        </w:rPr>
        <w:t xml:space="preserve">diffractograms for all raw materials </w:t>
      </w:r>
      <w:r w:rsidRPr="008C2309">
        <w:rPr>
          <w:rFonts w:ascii="Times" w:hAnsi="Times" w:cstheme="minorHAnsi"/>
          <w:color w:val="000000" w:themeColor="text1"/>
        </w:rPr>
        <w:t>are</w:t>
      </w:r>
      <w:r w:rsidR="006122DF" w:rsidRPr="008C2309">
        <w:rPr>
          <w:rFonts w:ascii="Times" w:hAnsi="Times" w:cstheme="minorHAnsi"/>
          <w:color w:val="000000" w:themeColor="text1"/>
        </w:rPr>
        <w:t xml:space="preserve"> shown in </w:t>
      </w:r>
      <w:r w:rsidRPr="008C2309">
        <w:rPr>
          <w:rFonts w:ascii="Times" w:hAnsi="Times" w:cstheme="minorHAnsi"/>
          <w:color w:val="000000" w:themeColor="text1"/>
        </w:rPr>
        <w:t xml:space="preserve">Figure </w:t>
      </w:r>
      <w:r w:rsidR="00B5313E" w:rsidRPr="008C2309">
        <w:rPr>
          <w:rFonts w:ascii="Times" w:hAnsi="Times" w:cstheme="minorHAnsi"/>
          <w:color w:val="000000" w:themeColor="text1"/>
        </w:rPr>
        <w:t>2</w:t>
      </w:r>
      <w:r w:rsidR="004D5F36" w:rsidRPr="008C2309">
        <w:rPr>
          <w:rFonts w:ascii="Times" w:hAnsi="Times" w:cstheme="minorHAnsi"/>
          <w:color w:val="000000" w:themeColor="text1"/>
        </w:rPr>
        <w:t xml:space="preserve">. </w:t>
      </w:r>
      <w:r w:rsidR="00EB088F" w:rsidRPr="008C2309">
        <w:rPr>
          <w:rFonts w:ascii="Times" w:hAnsi="Times" w:cstheme="minorHAnsi"/>
          <w:color w:val="000000" w:themeColor="text1"/>
        </w:rPr>
        <w:t>Both Kollidon</w:t>
      </w:r>
      <w:r w:rsidR="00CB454D" w:rsidRPr="008C2309">
        <w:rPr>
          <w:rFonts w:ascii="Times" w:hAnsi="Times" w:cs="Calibri"/>
          <w:color w:val="000000" w:themeColor="text1"/>
          <w:vertAlign w:val="superscript"/>
        </w:rPr>
        <w:t>®</w:t>
      </w:r>
      <w:r w:rsidR="00EB088F" w:rsidRPr="008C2309">
        <w:rPr>
          <w:rFonts w:ascii="Times" w:hAnsi="Times" w:cstheme="minorHAnsi"/>
          <w:color w:val="000000" w:themeColor="text1"/>
        </w:rPr>
        <w:t xml:space="preserve"> VA 64 and Soluplus</w:t>
      </w:r>
      <w:r w:rsidR="00BC7B0B" w:rsidRPr="008C2309">
        <w:rPr>
          <w:rFonts w:ascii="Times" w:hAnsi="Times" w:cs="Calibri"/>
          <w:color w:val="000000" w:themeColor="text1"/>
          <w:vertAlign w:val="superscript"/>
        </w:rPr>
        <w:t>®</w:t>
      </w:r>
      <w:r w:rsidR="00BC7B0B" w:rsidRPr="008C2309">
        <w:rPr>
          <w:rFonts w:ascii="Times" w:hAnsi="Times" w:cs="Calibri"/>
          <w:color w:val="000000" w:themeColor="text1"/>
        </w:rPr>
        <w:t xml:space="preserve"> </w:t>
      </w:r>
      <w:r w:rsidR="00BC7B0B" w:rsidRPr="008C2309">
        <w:rPr>
          <w:rFonts w:ascii="Times" w:hAnsi="Times" w:cstheme="minorHAnsi"/>
          <w:color w:val="000000" w:themeColor="text1"/>
        </w:rPr>
        <w:t>are</w:t>
      </w:r>
      <w:r w:rsidR="00EB088F" w:rsidRPr="008C2309">
        <w:rPr>
          <w:rFonts w:ascii="Times" w:hAnsi="Times" w:cstheme="minorHAnsi"/>
          <w:color w:val="000000" w:themeColor="text1"/>
        </w:rPr>
        <w:t xml:space="preserve"> amorphous polymers, and lack crystalline peaks</w:t>
      </w:r>
      <w:r w:rsidR="0064265B" w:rsidRPr="008C2309">
        <w:rPr>
          <w:rFonts w:ascii="Times" w:hAnsi="Times" w:cstheme="minorHAnsi"/>
          <w:color w:val="000000" w:themeColor="text1"/>
        </w:rPr>
        <w:t>,</w:t>
      </w:r>
      <w:r w:rsidR="00EB088F" w:rsidRPr="008C2309">
        <w:rPr>
          <w:rFonts w:ascii="Times" w:hAnsi="Times" w:cstheme="minorHAnsi"/>
          <w:color w:val="000000" w:themeColor="text1"/>
        </w:rPr>
        <w:t xml:space="preserve"> instead </w:t>
      </w:r>
      <w:r w:rsidR="0064265B" w:rsidRPr="008C2309">
        <w:rPr>
          <w:rFonts w:ascii="Times" w:hAnsi="Times" w:cstheme="minorHAnsi"/>
          <w:color w:val="000000" w:themeColor="text1"/>
        </w:rPr>
        <w:t xml:space="preserve">showing </w:t>
      </w:r>
      <w:r w:rsidR="00EB088F" w:rsidRPr="008C2309">
        <w:rPr>
          <w:rFonts w:ascii="Times" w:hAnsi="Times" w:cstheme="minorHAnsi"/>
          <w:color w:val="000000" w:themeColor="text1"/>
        </w:rPr>
        <w:t>a smooth halo. As</w:t>
      </w:r>
      <w:r w:rsidR="00461B3B" w:rsidRPr="008C2309">
        <w:rPr>
          <w:rFonts w:ascii="Times" w:hAnsi="Times" w:cstheme="minorHAnsi"/>
          <w:color w:val="000000" w:themeColor="text1"/>
        </w:rPr>
        <w:t xml:space="preserve"> it</w:t>
      </w:r>
      <w:r w:rsidR="00EB088F" w:rsidRPr="008C2309">
        <w:rPr>
          <w:rFonts w:ascii="Times" w:hAnsi="Times" w:cstheme="minorHAnsi"/>
          <w:color w:val="000000" w:themeColor="text1"/>
        </w:rPr>
        <w:t xml:space="preserve"> is crystalline in nature</w:t>
      </w:r>
      <w:r w:rsidR="00461B3B" w:rsidRPr="008C2309">
        <w:rPr>
          <w:rFonts w:ascii="Times" w:hAnsi="Times" w:cstheme="minorHAnsi"/>
          <w:color w:val="000000" w:themeColor="text1"/>
        </w:rPr>
        <w:t>,</w:t>
      </w:r>
      <w:r w:rsidR="00EB088F" w:rsidRPr="008C2309">
        <w:rPr>
          <w:rFonts w:ascii="Times" w:hAnsi="Times" w:cstheme="minorHAnsi"/>
          <w:color w:val="000000" w:themeColor="text1"/>
        </w:rPr>
        <w:t xml:space="preserve"> </w:t>
      </w:r>
      <w:r w:rsidR="006122DF" w:rsidRPr="008C2309">
        <w:rPr>
          <w:rFonts w:ascii="Times" w:hAnsi="Times" w:cstheme="minorHAnsi"/>
          <w:color w:val="000000" w:themeColor="text1"/>
        </w:rPr>
        <w:t>HCTZ show</w:t>
      </w:r>
      <w:r w:rsidR="0064265B" w:rsidRPr="008C2309">
        <w:rPr>
          <w:rFonts w:ascii="Times" w:hAnsi="Times" w:cstheme="minorHAnsi"/>
          <w:color w:val="000000" w:themeColor="text1"/>
        </w:rPr>
        <w:t>s</w:t>
      </w:r>
      <w:r w:rsidR="006122DF" w:rsidRPr="008C2309">
        <w:rPr>
          <w:rFonts w:ascii="Times" w:hAnsi="Times" w:cstheme="minorHAnsi"/>
          <w:color w:val="000000" w:themeColor="text1"/>
        </w:rPr>
        <w:t xml:space="preserve"> characteristic diffraction peak</w:t>
      </w:r>
      <w:r w:rsidR="00B5313E" w:rsidRPr="008C2309">
        <w:rPr>
          <w:rFonts w:ascii="Times" w:hAnsi="Times" w:cstheme="minorHAnsi"/>
          <w:color w:val="000000" w:themeColor="text1"/>
        </w:rPr>
        <w:t>s</w:t>
      </w:r>
      <w:r w:rsidR="006122DF" w:rsidRPr="008C2309">
        <w:rPr>
          <w:rFonts w:ascii="Times" w:hAnsi="Times" w:cstheme="minorHAnsi"/>
          <w:color w:val="000000" w:themeColor="text1"/>
        </w:rPr>
        <w:t xml:space="preserve"> at</w:t>
      </w:r>
      <w:r w:rsidR="0080694C" w:rsidRPr="008C2309">
        <w:rPr>
          <w:rFonts w:ascii="Times" w:hAnsi="Times" w:cstheme="minorHAnsi"/>
          <w:color w:val="000000" w:themeColor="text1"/>
        </w:rPr>
        <w:t xml:space="preserve"> </w:t>
      </w:r>
      <w:bookmarkStart w:id="5" w:name="_Hlk506288311"/>
      <w:r w:rsidR="0080694C" w:rsidRPr="008C2309">
        <w:rPr>
          <w:rFonts w:ascii="Times" w:hAnsi="Times" w:cstheme="minorHAnsi"/>
          <w:color w:val="000000" w:themeColor="text1"/>
          <w:lang w:val="en-IE"/>
        </w:rPr>
        <w:t>16.65°(2θ</w:t>
      </w:r>
      <w:r w:rsidR="0046063A" w:rsidRPr="008C2309">
        <w:rPr>
          <w:rFonts w:ascii="Times" w:hAnsi="Times" w:cstheme="minorHAnsi"/>
          <w:color w:val="000000" w:themeColor="text1"/>
          <w:lang w:val="en-IE"/>
        </w:rPr>
        <w:t>), 18</w:t>
      </w:r>
      <w:r w:rsidR="0080694C" w:rsidRPr="008C2309">
        <w:rPr>
          <w:rFonts w:ascii="Times" w:hAnsi="Times" w:cstheme="minorHAnsi"/>
          <w:color w:val="000000" w:themeColor="text1"/>
          <w:lang w:val="en-IE"/>
        </w:rPr>
        <w:t>.75</w:t>
      </w:r>
      <w:bookmarkStart w:id="6" w:name="_Hlk506287301"/>
      <w:r w:rsidR="0080694C" w:rsidRPr="008C2309">
        <w:rPr>
          <w:rFonts w:ascii="Times" w:hAnsi="Times" w:cstheme="minorHAnsi"/>
          <w:color w:val="000000" w:themeColor="text1"/>
          <w:lang w:val="en-IE"/>
        </w:rPr>
        <w:t>°(2θ)</w:t>
      </w:r>
      <w:bookmarkEnd w:id="6"/>
      <w:r w:rsidR="0080694C" w:rsidRPr="008C2309">
        <w:rPr>
          <w:rFonts w:ascii="Times" w:hAnsi="Times" w:cstheme="minorHAnsi"/>
          <w:color w:val="000000" w:themeColor="text1"/>
          <w:lang w:val="en-IE"/>
        </w:rPr>
        <w:t>, 21.40°(2θ) and 24.65°(2θ)</w:t>
      </w:r>
      <w:bookmarkEnd w:id="5"/>
      <w:r w:rsidR="00BE0680" w:rsidRPr="008C2309">
        <w:rPr>
          <w:rFonts w:ascii="Times" w:hAnsi="Times" w:cstheme="minorHAnsi"/>
          <w:color w:val="000000" w:themeColor="text1"/>
          <w:lang w:val="en-IE"/>
        </w:rPr>
        <w:t>,</w:t>
      </w:r>
      <w:r w:rsidR="0080694C" w:rsidRPr="008C2309">
        <w:rPr>
          <w:rFonts w:ascii="Times" w:hAnsi="Times" w:cstheme="minorHAnsi"/>
          <w:color w:val="000000" w:themeColor="text1"/>
          <w:lang w:val="en-IE"/>
        </w:rPr>
        <w:t xml:space="preserve"> </w:t>
      </w:r>
      <w:r w:rsidR="006122DF" w:rsidRPr="008C2309">
        <w:rPr>
          <w:rFonts w:ascii="Times" w:eastAsia="Times New Roman" w:hAnsi="Times" w:cstheme="minorHAnsi"/>
          <w:color w:val="000000" w:themeColor="text1"/>
        </w:rPr>
        <w:t>which is consistent with the published literature</w:t>
      </w:r>
      <w:r w:rsidR="0046063A" w:rsidRPr="008C2309">
        <w:rPr>
          <w:rFonts w:ascii="Times" w:eastAsia="Times New Roman" w:hAnsi="Times" w:cstheme="minorHAnsi"/>
          <w:color w:val="000000" w:themeColor="text1"/>
        </w:rPr>
        <w:t xml:space="preserve"> </w:t>
      </w:r>
      <w:r w:rsidR="0080694C" w:rsidRPr="008C2309">
        <w:rPr>
          <w:rFonts w:ascii="Times" w:eastAsia="Times New Roman" w:hAnsi="Times" w:cstheme="minorHAnsi"/>
          <w:color w:val="000000" w:themeColor="text1"/>
        </w:rPr>
        <w:fldChar w:fldCharType="begin" w:fldLock="1"/>
      </w:r>
      <w:r w:rsidR="00CA007C" w:rsidRPr="008C2309">
        <w:rPr>
          <w:rFonts w:ascii="Times" w:eastAsia="Times New Roman" w:hAnsi="Times" w:cstheme="minorHAnsi"/>
          <w:color w:val="000000" w:themeColor="text1"/>
        </w:rPr>
        <w:instrText>ADDIN CSL_CITATION { "citationItems" : [ { "id" : "ITEM-1", "itemData" : { "DOI" : "10.1016/j.ijpharm.2015.07.009", "ISBN" : "9788578110796", "ISSN" : "18733476", "PMID" : "25246403", "abstract" : "The primary purpose of this study was to process partially hydrolyzed PVOH grades (degree of hydroxylation (DH): 33-88%) via HME and to evaluate them as carrier for oral immediate release dosage forms in order to improve the release rate of poorly water soluble drugs (i.e., HCT and CEL) via the formulation of solid dispersions. PVOH grades (DH &gt;70%) were able to solubilize HCT and CEL up to 15%, but required higher extrusion temperature, due to the crystalline nature of PVOH. The highest drug release rate was observed from hot-melt extruded PVOH samples with a high DH. While drug release from extrudates consisting of PVOH with a low DH was affected by ionic strength, there was no influence of pH and ionic strength on HCT release from PVOH samples with a higher DH. However, PVOH (DH &gt;70%) required higher extrusion temperatures, which could hamper its application for thermosensitive drugs. Therefore, the secondary purpose was to investigate the effect of sorbitol, a water-soluble plasticizer, on the thermal properties of hot-melt extruded PVOH (DH &gt;70%). The melting of PVOH/sorbitol mixture was required to establish molecular interactions between PVOH and sorbitol. These molecular interactions were reflected in the HME behavior: whereas an extrusion temperature of 180 ??C was necessary to process physical mixtures of PVOH (DH &gt;70%) and sorbitol, only 140 ??C was necessary during re-extrusion (after quench cooling and cryomilling) of the PVOH/sorbitol mixture. In addition, the in vitro and in vivo dug release of plasticized PVOH was examined; whereas the CEL/PVO/sorbitol system was able to maintain supersaturation during in vitro dissolution (0.1 N HCl) compared to Celebrex??, the in vivo pharmacokinetic parameters (AUC0-24 h, Cmax and Tmax) were highly comparable.", "author" : [ { "dropping-particle" : "", "family" : "Jaeghere", "given" : "W.", "non-dropping-particle" : "De", "parse-names" : false, "suffix" : "" }, { "dropping-particle" : "", "family" : "Beer", "given" : "T.", "non-dropping-particle" : "De", "parse-names" : false, "suffix" : "" }, { "dropping-particle" : "", "family" : "Bocxlaer", "given" : "J.", "non-dropping-particle" : "Van", "parse-names" : false, "suffix" : "" }, { "dropping-particle" : "", "family" : "Remon", "given" : "J. P.", "non-dropping-particle" : "", "parse-names" : false, "suffix" : "" }, { "dropping-particle" : "", "family" : "Vervaet", "given" : "C.", "non-dropping-particle" : "", "parse-names" : false, "suffix" : "" } ], "container-title" : "International Journal of Pharmaceutics", "id" : "ITEM-1", "issue" : "1-2", "issued" : { "date-parts" : [ [ "2015" ] ] }, "page" : "1-9", "publisher" : "Elsevier B.V.", "title" : "Hot-melt extrusion of polyvinyl alcohol for oral immediate release applications", "type" : "article-journal", "volume" : "492" }, "uris" : [ "http://www.mendeley.com/documents/?uuid=94a09c86-bd54-48dd-a68e-c6bbe6af723b" ] }, { "id" : "ITEM-2", "itemData" : { "ISSN" : "0975-6299", "abstract" : "To investigate the effect of a novel drug-drug solid dispersion approach on the dissolution of hydrochlorothiazide in a fixed dose combination with Losartan potassium. Solid dispersion of hydrochlorothiazide and losartan potassium (12.5mg: 50mg) was prepared by co-precipitation method. Solid dispersions were characterized by differential scanning calorimetry, x-ray diffractometry and dissolution tests and the results were compared with that of pure drugs and physical mixtures. Solid dispersion as well as physical mixture were then compressed into tablets and evaluated for physicochemical, stability and dissolution characteristics and the results compared with commercial tablets. Both solid dispersion and solid dispersion tablets of hydrochlorothiazide and losartan potassium showed an enhanced dissolution of hdrochlorothiazide compared with pure hydrochlorothiazide, physical mixture, and commercial tablets. The solubility of hydrochlorothiazide increased with increase in concentration of losartan potassium as observed from the phase solubility study. Stability study on the tablets showed no changes either in the drug content or in the dissolution profile. The results of present study suggest that the novel drug-drug solid dispersion approach is promising for improving dissolution of poorly soluble drugs presented in a fixed dose combination with soluble drugs.", "author" : [ { "dropping-particle" : "", "family" : "Panneerselvam", "given" : "M", "non-dropping-particle" : "", "parse-names" : false, "suffix" : "" }, { "dropping-particle" : "", "family" : "Natrajan", "given" : "R", "non-dropping-particle" : "", "parse-names" : false, "suffix" : "" }, { "dropping-particle" : "", "family" : "Selvaraj", "given" : "S", "non-dropping-particle" : "", "parse-names" : false, "suffix" : "" }, { "dropping-particle" : "", "family" : "Rajendran", "given" : "N N", "non-dropping-particle" : "", "parse-names" : false, "suffix" : "" } ], "container-title" : "International Jounal of Pharma and Biosciences", "id" : "ITEM-2", "issue" : "4", "issued" : { "date-parts" : [ [ "2010" ] ] }, "page" : "68-80", "title" : "A novel drug-drug solid dispersion of hydrochlorothiazide - losartan potassium", "type" : "article-journal", "volume" : "1" }, "uris" : [ "http://www.mendeley.com/documents/?uuid=dd9c6823-322a-3c34-a620-378ea8590c73" ] } ], "mendeley" : { "formattedCitation" : "(De Jaeghere et al., 2015; Panneerselvam et al., 2010)", "plainTextFormattedCitation" : "(De Jaeghere et al., 2015; Panneerselvam et al., 2010)", "previouslyFormattedCitation" : "(De Jaeghere et al., 2015; Panneerselvam et al., 2010)" }, "properties" : {  }, "schema" : "https://github.com/citation-style-language/schema/raw/master/csl-citation.json" }</w:instrText>
      </w:r>
      <w:r w:rsidR="0080694C" w:rsidRPr="008C2309">
        <w:rPr>
          <w:rFonts w:ascii="Times" w:eastAsia="Times New Roman" w:hAnsi="Times" w:cstheme="minorHAnsi"/>
          <w:color w:val="000000" w:themeColor="text1"/>
        </w:rPr>
        <w:fldChar w:fldCharType="separate"/>
      </w:r>
      <w:r w:rsidR="007C6142" w:rsidRPr="008C2309">
        <w:rPr>
          <w:rFonts w:ascii="Times" w:eastAsia="Times New Roman" w:hAnsi="Times" w:cstheme="minorHAnsi"/>
          <w:noProof/>
          <w:color w:val="000000" w:themeColor="text1"/>
        </w:rPr>
        <w:t>(De Jaeghere et al., 2015; Panneerselvam et al., 2010)</w:t>
      </w:r>
      <w:r w:rsidR="0080694C" w:rsidRPr="008C2309">
        <w:rPr>
          <w:rFonts w:ascii="Times" w:eastAsia="Times New Roman" w:hAnsi="Times" w:cstheme="minorHAnsi"/>
          <w:color w:val="000000" w:themeColor="text1"/>
        </w:rPr>
        <w:fldChar w:fldCharType="end"/>
      </w:r>
      <w:r w:rsidR="006122DF" w:rsidRPr="008C2309">
        <w:rPr>
          <w:rFonts w:ascii="Times" w:eastAsia="Times New Roman" w:hAnsi="Times" w:cstheme="minorHAnsi"/>
          <w:color w:val="000000" w:themeColor="text1"/>
        </w:rPr>
        <w:t>.</w:t>
      </w:r>
      <w:r w:rsidR="00701993" w:rsidRPr="008C2309">
        <w:rPr>
          <w:rFonts w:ascii="Times" w:eastAsia="Times New Roman" w:hAnsi="Times" w:cstheme="minorHAnsi"/>
          <w:color w:val="000000" w:themeColor="text1"/>
        </w:rPr>
        <w:t xml:space="preserve"> RAM also </w:t>
      </w:r>
      <w:r w:rsidR="0064265B" w:rsidRPr="008C2309">
        <w:rPr>
          <w:rFonts w:ascii="Times" w:eastAsia="Times New Roman" w:hAnsi="Times" w:cstheme="minorHAnsi"/>
          <w:color w:val="000000" w:themeColor="text1"/>
        </w:rPr>
        <w:t>shows</w:t>
      </w:r>
      <w:r w:rsidR="00701993" w:rsidRPr="008C2309">
        <w:rPr>
          <w:rFonts w:ascii="Times" w:eastAsia="Times New Roman" w:hAnsi="Times" w:cstheme="minorHAnsi"/>
          <w:color w:val="000000" w:themeColor="text1"/>
        </w:rPr>
        <w:t xml:space="preserve"> characteristic diffraction peak</w:t>
      </w:r>
      <w:r w:rsidR="00F87602" w:rsidRPr="008C2309">
        <w:rPr>
          <w:rFonts w:ascii="Times" w:eastAsia="Times New Roman" w:hAnsi="Times" w:cstheme="minorHAnsi"/>
          <w:color w:val="000000" w:themeColor="text1"/>
        </w:rPr>
        <w:t>s</w:t>
      </w:r>
      <w:r w:rsidR="00701993" w:rsidRPr="008C2309">
        <w:rPr>
          <w:rFonts w:ascii="Times" w:eastAsia="Times New Roman" w:hAnsi="Times" w:cstheme="minorHAnsi"/>
          <w:color w:val="000000" w:themeColor="text1"/>
        </w:rPr>
        <w:t xml:space="preserve"> at </w:t>
      </w:r>
      <w:r w:rsidR="00240184" w:rsidRPr="008C2309">
        <w:rPr>
          <w:rFonts w:ascii="Times" w:hAnsi="Times" w:cstheme="minorHAnsi"/>
          <w:color w:val="000000" w:themeColor="text1"/>
          <w:lang w:val="en-IE"/>
        </w:rPr>
        <w:t>7.60°(2θ), 8.05°(2θ), 19.30°(2θ) and 21.25°(2θ)</w:t>
      </w:r>
      <w:r w:rsidR="00BE0680" w:rsidRPr="008C2309">
        <w:rPr>
          <w:rFonts w:ascii="Times" w:hAnsi="Times" w:cstheme="minorHAnsi"/>
          <w:color w:val="000000" w:themeColor="text1"/>
          <w:lang w:val="en-IE"/>
        </w:rPr>
        <w:t xml:space="preserve">, </w:t>
      </w:r>
      <w:r w:rsidR="00701993" w:rsidRPr="008C2309">
        <w:rPr>
          <w:rFonts w:ascii="Times" w:eastAsia="Times New Roman" w:hAnsi="Times" w:cstheme="minorHAnsi"/>
          <w:color w:val="000000" w:themeColor="text1"/>
        </w:rPr>
        <w:t xml:space="preserve">consistent with </w:t>
      </w:r>
      <w:r w:rsidR="00BE0680" w:rsidRPr="008C2309">
        <w:rPr>
          <w:rFonts w:ascii="Times" w:eastAsia="Times New Roman" w:hAnsi="Times" w:cstheme="minorHAnsi"/>
          <w:color w:val="000000" w:themeColor="text1"/>
        </w:rPr>
        <w:t xml:space="preserve">the </w:t>
      </w:r>
      <w:r w:rsidR="00701993" w:rsidRPr="008C2309">
        <w:rPr>
          <w:rFonts w:ascii="Times" w:eastAsia="Times New Roman" w:hAnsi="Times" w:cstheme="minorHAnsi"/>
          <w:color w:val="000000" w:themeColor="text1"/>
        </w:rPr>
        <w:t>published literature</w:t>
      </w:r>
      <w:r w:rsidR="0046063A" w:rsidRPr="008C2309">
        <w:rPr>
          <w:rFonts w:ascii="Times" w:eastAsia="Times New Roman" w:hAnsi="Times" w:cstheme="minorHAnsi"/>
          <w:color w:val="000000" w:themeColor="text1"/>
        </w:rPr>
        <w:t xml:space="preserve"> </w:t>
      </w:r>
      <w:r w:rsidR="007C6142" w:rsidRPr="008C2309">
        <w:rPr>
          <w:rFonts w:ascii="Times" w:eastAsia="Times New Roman" w:hAnsi="Times" w:cstheme="minorHAnsi"/>
          <w:color w:val="000000" w:themeColor="text1"/>
        </w:rPr>
        <w:fldChar w:fldCharType="begin" w:fldLock="1"/>
      </w:r>
      <w:r w:rsidR="007C6142" w:rsidRPr="008C2309">
        <w:rPr>
          <w:rFonts w:ascii="Times" w:eastAsia="Times New Roman" w:hAnsi="Times" w:cstheme="minorHAnsi"/>
          <w:color w:val="000000" w:themeColor="text1"/>
        </w:rPr>
        <w:instrText>ADDIN CSL_CITATION { "citationItems" : [ { "id" : "ITEM-1", "itemData" : { "ISSN" : "09742441", "abstract" : "Ramipril is an ACE inhibitor used for management of hypertension and myocardial infarction. It exhibits poor bioavailability of 28% which is due to its poor solubility and high first pass metabolism. The present work was aimed at overcoming these two limitations. Drug-\u03b2-cyclodextrin and Hydroxy propyl \u03b2-cyclodextrin complexes were prepared and characterized by Fourier Transformation Infrared spectroscopy, Differential Scanning Calorimetry and powder X-Ray Diffractometry studies. In vitro studies showed that the solubility and dissolution rate of Ramipril were significantly improved by complexation with \u03b2-cyclodextrin and Hydroxy propyl \u03b2-cyclodextrin with respect to drug alone. The kneaded complex showed higher dissolution rate than other complex and it was incorporated into buccal Patches. The patches were prepared by solvent casting method using hydroxyl propyl methyl cellulose (HPMC K15) and Poloxomer WSR205NF. The patches were found to be smooth in appearance, uniform in thickness, weight uniformity, drug content, swelling index, folding endurance, surface pH and in vitro diffusion study using Keshery chien diffusion cell. The Patch of 0.5% HPMC K15 exhibit in vitro release of 81.16% through cellophane membrane and 75.72% release through egg membrane and the Patch of 0.5% Poloxomer WSR205 NF exhibit in vitro release of 77.24% through cellophane membrane and 71.08% release through egg membrane in 8 hrs showing good mucoadhesive strength and mucoadhesive time. The Optimized patch was subjected to ex vivo studies through goat buccal mucosa showed 63.49% release in 8 hrs.", "author" : [ { "dropping-particle" : "", "family" : "Jagdale", "given" : "Swati C.", "non-dropping-particle" : "", "parse-names" : false, "suffix" : "" }, { "dropping-particle" : "", "family" : "Dangat", "given" : "Yashwant T.", "non-dropping-particle" : "", "parse-names" : false, "suffix" : "" }, { "dropping-particle" : "", "family" : "Kuchekar", "given" : "Bhanudas S.", "non-dropping-particle" : "", "parse-names" : false, "suffix" : "" } ], "container-title" : "Asian Journal of Pharmaceutical and Clinical Research", "id" : "ITEM-1", "issue" : "2", "issued" : { "date-parts" : [ [ "2013" ] ] }, "page" : "83-90", "title" : "Solubility enhancement and formulation of buccal patches of Ramipril cyclodextrin complex", "type" : "article-journal", "volume" : "6" }, "uris" : [ "http://www.mendeley.com/documents/?uuid=3aa40e2d-49f9-478b-8b97-991d0271c940" ] }, { "id" : "ITEM-2", "itemData" : { "author" : [ { "dropping-particle" : "", "family" : "Madhavi", "given" : "K", "non-dropping-particle" : "", "parse-names" : false, "suffix" : "" }, { "dropping-particle" : "", "family" : "Shikha", "given" : "A", "non-dropping-particle" : "", "parse-names" : false, "suffix" : "" }, { "dropping-particle" : "", "family" : "Suresh", "given" : "B", "non-dropping-particle" : "", "parse-names" : false, "suffix" : "" } ], "container-title" : "International Journal of Current Pharmaceutical Research", "id" : "ITEM-2", "issue" : "1", "issued" : { "date-parts" : [ [ "2016" ] ] }, "page" : "40-45", "title" : "Formulation and in vitro characterization solid self emulsifying drug delivery system of ramipril prepared by adsorption technique", "type" : "article-journal", "volume" : "8" }, "uris" : [ "http://www.mendeley.com/documents/?uuid=56824a9d-a358-4473-85d8-353f1000d937" ] } ], "mendeley" : { "formattedCitation" : "(Jagdale et al., 2013; Madhavi et al., 2016)", "plainTextFormattedCitation" : "(Jagdale et al., 2013; Madhavi et al., 2016)", "previouslyFormattedCitation" : "(Jagdale et al., 2013; Madhavi et al., 2016)" }, "properties" : {  }, "schema" : "https://github.com/citation-style-language/schema/raw/master/csl-citation.json" }</w:instrText>
      </w:r>
      <w:r w:rsidR="007C6142" w:rsidRPr="008C2309">
        <w:rPr>
          <w:rFonts w:ascii="Times" w:eastAsia="Times New Roman" w:hAnsi="Times" w:cstheme="minorHAnsi"/>
          <w:color w:val="000000" w:themeColor="text1"/>
        </w:rPr>
        <w:fldChar w:fldCharType="separate"/>
      </w:r>
      <w:r w:rsidR="007C6142" w:rsidRPr="008C2309">
        <w:rPr>
          <w:rFonts w:ascii="Times" w:eastAsia="Times New Roman" w:hAnsi="Times" w:cstheme="minorHAnsi"/>
          <w:noProof/>
          <w:color w:val="000000" w:themeColor="text1"/>
        </w:rPr>
        <w:t>(Jagdale et al., 2013; Madhavi et al., 2016)</w:t>
      </w:r>
      <w:r w:rsidR="007C6142" w:rsidRPr="008C2309">
        <w:rPr>
          <w:rFonts w:ascii="Times" w:eastAsia="Times New Roman" w:hAnsi="Times" w:cstheme="minorHAnsi"/>
          <w:color w:val="000000" w:themeColor="text1"/>
        </w:rPr>
        <w:fldChar w:fldCharType="end"/>
      </w:r>
      <w:r w:rsidR="00701993" w:rsidRPr="008C2309">
        <w:rPr>
          <w:rFonts w:ascii="Times" w:eastAsia="Times New Roman" w:hAnsi="Times" w:cstheme="minorHAnsi"/>
          <w:color w:val="000000" w:themeColor="text1"/>
        </w:rPr>
        <w:t>.</w:t>
      </w:r>
      <w:r w:rsidR="006122DF" w:rsidRPr="008C2309">
        <w:rPr>
          <w:rFonts w:ascii="Times" w:eastAsia="Times New Roman" w:hAnsi="Times" w:cstheme="minorHAnsi"/>
          <w:color w:val="000000" w:themeColor="text1"/>
        </w:rPr>
        <w:t xml:space="preserve"> </w:t>
      </w:r>
      <w:r w:rsidR="006122DF" w:rsidRPr="008C2309">
        <w:rPr>
          <w:rFonts w:ascii="Times" w:hAnsi="Times" w:cstheme="minorHAnsi"/>
          <w:color w:val="000000" w:themeColor="text1"/>
          <w:lang w:val="en-IE"/>
        </w:rPr>
        <w:t>Unique characteristic peaks for HCTZ, RAM and PEG</w:t>
      </w:r>
      <w:r w:rsidR="0010166E" w:rsidRPr="008C2309">
        <w:rPr>
          <w:rFonts w:ascii="Times" w:hAnsi="Times" w:cstheme="minorHAnsi"/>
          <w:color w:val="000000" w:themeColor="text1"/>
          <w:lang w:val="en-IE"/>
        </w:rPr>
        <w:t xml:space="preserve"> </w:t>
      </w:r>
      <w:r w:rsidR="006122DF" w:rsidRPr="008C2309">
        <w:rPr>
          <w:rFonts w:ascii="Times" w:hAnsi="Times" w:cstheme="minorHAnsi"/>
          <w:color w:val="000000" w:themeColor="text1"/>
          <w:lang w:val="en-IE"/>
        </w:rPr>
        <w:t>3350 (semi-crystalline</w:t>
      </w:r>
      <w:r w:rsidR="00AE3362" w:rsidRPr="008C2309">
        <w:rPr>
          <w:rFonts w:ascii="Times" w:hAnsi="Times" w:cstheme="minorHAnsi"/>
          <w:color w:val="000000" w:themeColor="text1"/>
          <w:lang w:val="en-IE"/>
        </w:rPr>
        <w:t>)</w:t>
      </w:r>
      <w:r w:rsidR="006122DF" w:rsidRPr="008C2309">
        <w:rPr>
          <w:rFonts w:ascii="Times" w:hAnsi="Times" w:cstheme="minorHAnsi"/>
          <w:color w:val="000000" w:themeColor="text1"/>
          <w:lang w:val="en-IE"/>
        </w:rPr>
        <w:t xml:space="preserve"> can be seen in the </w:t>
      </w:r>
      <w:r w:rsidR="0064265B" w:rsidRPr="008C2309">
        <w:rPr>
          <w:rFonts w:ascii="Times" w:hAnsi="Times" w:cstheme="minorHAnsi"/>
          <w:color w:val="000000" w:themeColor="text1"/>
          <w:lang w:val="en-IE"/>
        </w:rPr>
        <w:t xml:space="preserve">PXRDs of </w:t>
      </w:r>
      <w:r w:rsidR="006122DF" w:rsidRPr="008C2309">
        <w:rPr>
          <w:rFonts w:ascii="Times" w:hAnsi="Times" w:cstheme="minorHAnsi"/>
          <w:color w:val="000000" w:themeColor="text1"/>
          <w:lang w:val="en-IE"/>
        </w:rPr>
        <w:t xml:space="preserve">physical mixtures of each of the formulations </w:t>
      </w:r>
      <w:r w:rsidR="0064265B" w:rsidRPr="008C2309">
        <w:rPr>
          <w:rFonts w:ascii="Times" w:hAnsi="Times" w:cstheme="minorHAnsi"/>
          <w:color w:val="000000" w:themeColor="text1"/>
          <w:lang w:val="en-IE"/>
        </w:rPr>
        <w:t>(</w:t>
      </w:r>
      <w:r w:rsidRPr="008C2309">
        <w:rPr>
          <w:rFonts w:ascii="Times" w:hAnsi="Times" w:cstheme="minorHAnsi"/>
          <w:color w:val="000000" w:themeColor="text1"/>
          <w:lang w:val="en-IE"/>
        </w:rPr>
        <w:t xml:space="preserve">Figure </w:t>
      </w:r>
      <w:r w:rsidR="00B5313E" w:rsidRPr="008C2309">
        <w:rPr>
          <w:rFonts w:ascii="Times" w:hAnsi="Times" w:cstheme="minorHAnsi"/>
          <w:color w:val="000000" w:themeColor="text1"/>
          <w:lang w:val="en-IE"/>
        </w:rPr>
        <w:t>3</w:t>
      </w:r>
      <w:r w:rsidR="0064265B" w:rsidRPr="008C2309">
        <w:rPr>
          <w:rFonts w:ascii="Times" w:hAnsi="Times" w:cstheme="minorHAnsi"/>
          <w:color w:val="000000" w:themeColor="text1"/>
          <w:lang w:val="en-IE"/>
        </w:rPr>
        <w:t>)</w:t>
      </w:r>
      <w:r w:rsidR="006122DF" w:rsidRPr="008C2309">
        <w:rPr>
          <w:rFonts w:ascii="Times" w:hAnsi="Times" w:cstheme="minorHAnsi"/>
          <w:color w:val="000000" w:themeColor="text1"/>
          <w:lang w:val="en-IE"/>
        </w:rPr>
        <w:t xml:space="preserve">. For HCTZ, unique characteristic peaks are seen at </w:t>
      </w:r>
      <w:bookmarkStart w:id="7" w:name="_Hlk506287216"/>
      <w:r w:rsidR="006122DF" w:rsidRPr="008C2309">
        <w:rPr>
          <w:rFonts w:ascii="Times" w:hAnsi="Times" w:cstheme="minorHAnsi"/>
          <w:color w:val="000000" w:themeColor="text1"/>
          <w:lang w:val="en-IE"/>
        </w:rPr>
        <w:t>16.6</w:t>
      </w:r>
      <w:r w:rsidR="00F87602" w:rsidRPr="008C2309">
        <w:rPr>
          <w:rFonts w:ascii="Times" w:hAnsi="Times" w:cstheme="minorHAnsi"/>
          <w:color w:val="000000" w:themeColor="text1"/>
          <w:lang w:val="en-IE"/>
        </w:rPr>
        <w:t>5</w:t>
      </w:r>
      <w:r w:rsidR="006122DF" w:rsidRPr="008C2309">
        <w:rPr>
          <w:rFonts w:ascii="Times" w:hAnsi="Times" w:cstheme="minorHAnsi"/>
          <w:color w:val="000000" w:themeColor="text1"/>
          <w:lang w:val="en-IE"/>
        </w:rPr>
        <w:t>°(2θ), 20.9°(2θ) and 24.6</w:t>
      </w:r>
      <w:r w:rsidR="00F87602" w:rsidRPr="008C2309">
        <w:rPr>
          <w:rFonts w:ascii="Times" w:hAnsi="Times" w:cstheme="minorHAnsi"/>
          <w:color w:val="000000" w:themeColor="text1"/>
          <w:lang w:val="en-IE"/>
        </w:rPr>
        <w:t>5</w:t>
      </w:r>
      <w:r w:rsidR="006122DF" w:rsidRPr="008C2309">
        <w:rPr>
          <w:rFonts w:ascii="Times" w:hAnsi="Times" w:cstheme="minorHAnsi"/>
          <w:color w:val="000000" w:themeColor="text1"/>
          <w:lang w:val="en-IE"/>
        </w:rPr>
        <w:t xml:space="preserve">°(2θ) </w:t>
      </w:r>
      <w:bookmarkEnd w:id="7"/>
      <w:r w:rsidR="006122DF" w:rsidRPr="008C2309">
        <w:rPr>
          <w:rFonts w:ascii="Times" w:hAnsi="Times" w:cstheme="minorHAnsi"/>
          <w:color w:val="000000" w:themeColor="text1"/>
          <w:lang w:val="en-IE"/>
        </w:rPr>
        <w:t>in F1, F2 and F3. For RAM, unique characteristic peaks are seen at 7.6</w:t>
      </w:r>
      <w:r w:rsidR="00D16E12" w:rsidRPr="008C2309">
        <w:rPr>
          <w:rFonts w:ascii="Times" w:hAnsi="Times" w:cstheme="minorHAnsi"/>
          <w:color w:val="000000" w:themeColor="text1"/>
          <w:lang w:val="en-IE"/>
        </w:rPr>
        <w:t>0</w:t>
      </w:r>
      <w:r w:rsidR="006122DF" w:rsidRPr="008C2309">
        <w:rPr>
          <w:rFonts w:ascii="Times" w:hAnsi="Times" w:cstheme="minorHAnsi"/>
          <w:color w:val="000000" w:themeColor="text1"/>
          <w:lang w:val="en-IE"/>
        </w:rPr>
        <w:t>°(2θ) in F1, F2 and F3. For PEG</w:t>
      </w:r>
      <w:r w:rsidR="00FA7312" w:rsidRPr="008C2309">
        <w:rPr>
          <w:rFonts w:ascii="Times" w:hAnsi="Times" w:cstheme="minorHAnsi"/>
          <w:color w:val="000000" w:themeColor="text1"/>
          <w:lang w:val="en-IE"/>
        </w:rPr>
        <w:t xml:space="preserve"> </w:t>
      </w:r>
      <w:r w:rsidR="006122DF" w:rsidRPr="008C2309">
        <w:rPr>
          <w:rFonts w:ascii="Times" w:hAnsi="Times" w:cstheme="minorHAnsi"/>
          <w:color w:val="000000" w:themeColor="text1"/>
          <w:lang w:val="en-IE"/>
        </w:rPr>
        <w:t xml:space="preserve">3350 a unique characteristic peak can be seen at 23.35°(2θ) in F2 (which is the only formulation that contains </w:t>
      </w:r>
      <w:r w:rsidR="00FA7312" w:rsidRPr="008C2309">
        <w:rPr>
          <w:rFonts w:ascii="Times" w:hAnsi="Times" w:cstheme="minorHAnsi"/>
          <w:color w:val="000000" w:themeColor="text1"/>
          <w:lang w:val="en-IE"/>
        </w:rPr>
        <w:t>the plasticiser</w:t>
      </w:r>
      <w:r w:rsidR="006122DF" w:rsidRPr="008C2309">
        <w:rPr>
          <w:rFonts w:ascii="Times" w:hAnsi="Times" w:cstheme="minorHAnsi"/>
          <w:color w:val="000000" w:themeColor="text1"/>
          <w:lang w:val="en-IE"/>
        </w:rPr>
        <w:t xml:space="preserve">). </w:t>
      </w:r>
      <w:r w:rsidR="0064265B" w:rsidRPr="008C2309">
        <w:rPr>
          <w:rFonts w:ascii="Times" w:hAnsi="Times" w:cstheme="minorHAnsi"/>
          <w:color w:val="000000" w:themeColor="text1"/>
          <w:lang w:val="en-IE"/>
        </w:rPr>
        <w:t>F</w:t>
      </w:r>
      <w:r w:rsidR="006122DF" w:rsidRPr="008C2309">
        <w:rPr>
          <w:rFonts w:ascii="Times" w:hAnsi="Times" w:cstheme="minorHAnsi"/>
          <w:color w:val="000000" w:themeColor="text1"/>
          <w:lang w:val="en-IE"/>
        </w:rPr>
        <w:t>ormulation</w:t>
      </w:r>
      <w:r w:rsidR="0064265B" w:rsidRPr="008C2309">
        <w:rPr>
          <w:rFonts w:ascii="Times" w:hAnsi="Times" w:cstheme="minorHAnsi"/>
          <w:color w:val="000000" w:themeColor="text1"/>
          <w:lang w:val="en-IE"/>
        </w:rPr>
        <w:t>s</w:t>
      </w:r>
      <w:r w:rsidR="006122DF" w:rsidRPr="008C2309">
        <w:rPr>
          <w:rFonts w:ascii="Times" w:hAnsi="Times" w:cstheme="minorHAnsi"/>
          <w:color w:val="000000" w:themeColor="text1"/>
          <w:lang w:val="en-IE"/>
        </w:rPr>
        <w:t xml:space="preserve"> </w:t>
      </w:r>
      <w:r w:rsidR="0064265B" w:rsidRPr="008C2309">
        <w:rPr>
          <w:rFonts w:ascii="Times" w:hAnsi="Times" w:cstheme="minorHAnsi"/>
          <w:color w:val="000000" w:themeColor="text1"/>
          <w:lang w:val="en-IE"/>
        </w:rPr>
        <w:t xml:space="preserve">processed by SD </w:t>
      </w:r>
      <w:r w:rsidR="006122DF" w:rsidRPr="008C2309">
        <w:rPr>
          <w:rFonts w:ascii="Times" w:hAnsi="Times" w:cstheme="minorHAnsi"/>
          <w:color w:val="000000" w:themeColor="text1"/>
          <w:lang w:val="en-IE"/>
        </w:rPr>
        <w:t xml:space="preserve">show no characteristic peaks </w:t>
      </w:r>
      <w:r w:rsidR="0064265B" w:rsidRPr="008C2309">
        <w:rPr>
          <w:rFonts w:ascii="Times" w:hAnsi="Times" w:cstheme="minorHAnsi"/>
          <w:color w:val="000000" w:themeColor="text1"/>
          <w:lang w:val="en-IE"/>
        </w:rPr>
        <w:t xml:space="preserve">in the diffractograms (Figure </w:t>
      </w:r>
      <w:r w:rsidR="00D16E12" w:rsidRPr="008C2309">
        <w:rPr>
          <w:rFonts w:ascii="Times" w:hAnsi="Times" w:cstheme="minorHAnsi"/>
          <w:color w:val="000000" w:themeColor="text1"/>
          <w:lang w:val="en-IE"/>
        </w:rPr>
        <w:t>3</w:t>
      </w:r>
      <w:r w:rsidR="0064265B" w:rsidRPr="008C2309">
        <w:rPr>
          <w:rFonts w:ascii="Times" w:hAnsi="Times" w:cstheme="minorHAnsi"/>
          <w:color w:val="000000" w:themeColor="text1"/>
          <w:lang w:val="en-IE"/>
        </w:rPr>
        <w:t>),</w:t>
      </w:r>
      <w:r w:rsidR="00FB6A60" w:rsidRPr="008C2309">
        <w:rPr>
          <w:rFonts w:ascii="Times" w:hAnsi="Times" w:cstheme="minorHAnsi"/>
          <w:color w:val="000000" w:themeColor="text1"/>
          <w:lang w:val="en-IE"/>
        </w:rPr>
        <w:t xml:space="preserve"> </w:t>
      </w:r>
      <w:r w:rsidR="00AA20C8" w:rsidRPr="008C2309">
        <w:rPr>
          <w:rFonts w:ascii="Times" w:hAnsi="Times" w:cstheme="minorHAnsi"/>
          <w:color w:val="000000" w:themeColor="text1"/>
          <w:lang w:val="en-IE"/>
        </w:rPr>
        <w:t>indicat</w:t>
      </w:r>
      <w:r w:rsidR="0064265B" w:rsidRPr="008C2309">
        <w:rPr>
          <w:rFonts w:ascii="Times" w:hAnsi="Times" w:cstheme="minorHAnsi"/>
          <w:color w:val="000000" w:themeColor="text1"/>
          <w:lang w:val="en-IE"/>
        </w:rPr>
        <w:t>ing</w:t>
      </w:r>
      <w:r w:rsidR="006122DF" w:rsidRPr="008C2309">
        <w:rPr>
          <w:rFonts w:ascii="Times" w:hAnsi="Times" w:cstheme="minorHAnsi"/>
          <w:color w:val="000000" w:themeColor="text1"/>
          <w:lang w:val="en-IE"/>
        </w:rPr>
        <w:t xml:space="preserve"> that these formulations are completely PXRD amorphous. </w:t>
      </w:r>
      <w:r w:rsidR="0064265B" w:rsidRPr="008C2309">
        <w:rPr>
          <w:rFonts w:ascii="Times" w:hAnsi="Times" w:cstheme="minorHAnsi"/>
          <w:color w:val="000000" w:themeColor="text1"/>
          <w:lang w:val="en-IE"/>
        </w:rPr>
        <w:t>Formulations processed by HME</w:t>
      </w:r>
      <w:r w:rsidR="001020D7" w:rsidRPr="008C2309">
        <w:rPr>
          <w:rFonts w:ascii="Times" w:hAnsi="Times" w:cstheme="minorHAnsi"/>
          <w:color w:val="000000" w:themeColor="text1"/>
          <w:lang w:val="en-IE"/>
        </w:rPr>
        <w:t xml:space="preserve"> on the other hand show characteristic peaks for HCTZ</w:t>
      </w:r>
      <w:r w:rsidR="00BE0680" w:rsidRPr="008C2309">
        <w:rPr>
          <w:rFonts w:ascii="Times" w:hAnsi="Times" w:cstheme="minorHAnsi"/>
          <w:color w:val="000000" w:themeColor="text1"/>
          <w:lang w:val="en-IE"/>
        </w:rPr>
        <w:t>,</w:t>
      </w:r>
      <w:r w:rsidR="001020D7" w:rsidRPr="008C2309">
        <w:rPr>
          <w:rFonts w:ascii="Times" w:hAnsi="Times" w:cstheme="minorHAnsi"/>
          <w:color w:val="000000" w:themeColor="text1"/>
          <w:lang w:val="en-IE"/>
        </w:rPr>
        <w:t xml:space="preserve"> and</w:t>
      </w:r>
      <w:r w:rsidR="005B0940" w:rsidRPr="008C2309">
        <w:rPr>
          <w:rFonts w:ascii="Times" w:hAnsi="Times" w:cstheme="minorHAnsi"/>
          <w:color w:val="000000" w:themeColor="text1"/>
          <w:lang w:val="en-IE"/>
        </w:rPr>
        <w:t xml:space="preserve"> thus</w:t>
      </w:r>
      <w:r w:rsidR="001020D7" w:rsidRPr="008C2309">
        <w:rPr>
          <w:rFonts w:ascii="Times" w:hAnsi="Times" w:cstheme="minorHAnsi"/>
          <w:color w:val="000000" w:themeColor="text1"/>
          <w:lang w:val="en-IE"/>
        </w:rPr>
        <w:t xml:space="preserve"> are partially crystalline.</w:t>
      </w:r>
    </w:p>
    <w:p w14:paraId="6728E735" w14:textId="6B9A880F" w:rsidR="00C51319" w:rsidRPr="008C2309" w:rsidRDefault="00C51319" w:rsidP="00E41DED">
      <w:pPr>
        <w:spacing w:line="480" w:lineRule="auto"/>
        <w:jc w:val="both"/>
        <w:rPr>
          <w:rFonts w:ascii="Times" w:hAnsi="Times" w:cstheme="minorHAnsi"/>
          <w:color w:val="000000" w:themeColor="text1"/>
          <w:lang w:val="en-IE"/>
        </w:rPr>
      </w:pPr>
    </w:p>
    <w:p w14:paraId="44333120" w14:textId="6EF49D49" w:rsidR="00752BA2" w:rsidRPr="008C2309" w:rsidRDefault="001F52E5" w:rsidP="00E41DED">
      <w:pPr>
        <w:spacing w:line="480" w:lineRule="auto"/>
        <w:jc w:val="both"/>
        <w:rPr>
          <w:rFonts w:ascii="Times" w:hAnsi="Times"/>
        </w:rPr>
      </w:pPr>
      <w:r w:rsidRPr="008C2309">
        <w:rPr>
          <w:rFonts w:ascii="Times" w:hAnsi="Times"/>
          <w:lang w:val="en-IE"/>
        </w:rPr>
        <w:lastRenderedPageBreak/>
        <w:t xml:space="preserve">Modulated </w:t>
      </w:r>
      <w:r w:rsidR="00FC7AB8" w:rsidRPr="008C2309">
        <w:rPr>
          <w:rFonts w:ascii="Times" w:hAnsi="Times"/>
          <w:lang w:val="en-IE"/>
        </w:rPr>
        <w:t>DSC</w:t>
      </w:r>
      <w:r w:rsidRPr="008C2309">
        <w:rPr>
          <w:rFonts w:ascii="Times" w:hAnsi="Times"/>
          <w:lang w:val="en-IE"/>
        </w:rPr>
        <w:t xml:space="preserve"> (mDSC)</w:t>
      </w:r>
      <w:r w:rsidR="00440D4D" w:rsidRPr="008C2309">
        <w:rPr>
          <w:rFonts w:ascii="Times" w:hAnsi="Times"/>
          <w:lang w:val="en-IE"/>
        </w:rPr>
        <w:t>,</w:t>
      </w:r>
      <w:r w:rsidR="00FC7AB8" w:rsidRPr="008C2309">
        <w:rPr>
          <w:rFonts w:ascii="Times" w:hAnsi="Times"/>
          <w:lang w:val="en-IE"/>
        </w:rPr>
        <w:t xml:space="preserve"> which is known to be a more sensitive technique than standard DSC for measuring glass </w:t>
      </w:r>
      <w:r w:rsidR="004A17CA" w:rsidRPr="008C2309">
        <w:rPr>
          <w:rFonts w:ascii="Times" w:hAnsi="Times"/>
          <w:lang w:val="en-IE"/>
        </w:rPr>
        <w:t xml:space="preserve">transition temperature </w:t>
      </w:r>
      <w:r w:rsidR="00FC7AB8" w:rsidRPr="008C2309">
        <w:rPr>
          <w:rFonts w:ascii="Times" w:hAnsi="Times"/>
          <w:lang w:val="en-IE"/>
        </w:rPr>
        <w:t>(Tg)</w:t>
      </w:r>
      <w:r w:rsidR="0046063A" w:rsidRPr="008C2309">
        <w:rPr>
          <w:rFonts w:ascii="Times" w:hAnsi="Times"/>
          <w:lang w:val="en-IE"/>
        </w:rPr>
        <w:t xml:space="preserve"> </w:t>
      </w:r>
      <w:r w:rsidR="00FC7AB8" w:rsidRPr="008C2309">
        <w:rPr>
          <w:rFonts w:ascii="Times" w:hAnsi="Times"/>
          <w:lang w:val="en-IE"/>
        </w:rPr>
        <w:fldChar w:fldCharType="begin" w:fldLock="1"/>
      </w:r>
      <w:r w:rsidR="00432184" w:rsidRPr="008C2309">
        <w:rPr>
          <w:rFonts w:ascii="Times" w:hAnsi="Times"/>
          <w:lang w:val="en-IE"/>
        </w:rPr>
        <w:instrText>ADDIN CSL_CITATION { "citationItems" : [ { "id" : "ITEM-1", "itemData" : { "DOI" : "10.1016/0040-6031(94)01886-L", "ISBN" : "0040-6031", "ISSN" : "00406031", "abstract" : "The uses, properties and structure of polyethylene glycols are discussed, with particular emphasis on pharmaceutical considerations. The applications of thermal techniques in the characterisation of these materials in the solid or molten states and in aqueous solution are described. More specifically, the uses of differential scanning calorimetry, solution calorimetry, modulated differential scanning calorimetry, dynamic mechanical analysis and dielectric spectroscopy are outlined and the relative merits of the techniques discussed. \u00a9 1995.", "author" : [ { "dropping-particle" : "", "family" : "Craig", "given" : "Duncan Q.M.", "non-dropping-particle" : "", "parse-names" : false, "suffix" : "" } ], "container-title" : "Thermochimica Acta", "id" : "ITEM-1", "issue" : "C", "issued" : { "date-parts" : [ [ "1995" ] ] }, "page" : "189-203", "title" : "A review of thermal methods used for the analysis of the crystal form, solution thermodynamics and glass transition behaviour of polyethylene glycols", "type" : "article-journal", "volume" : "248" }, "uris" : [ "http://www.mendeley.com/documents/?uuid=8170935e-7a14-4ba0-a33a-06c1c236638f", "http://www.mendeley.com/documents/?uuid=b9f3de74-f443-488b-be35-c7e832bd4b80" ] } ], "mendeley" : { "formattedCitation" : "(Craig, 1995)", "plainTextFormattedCitation" : "(Craig, 1995)", "previouslyFormattedCitation" : "(Craig, 1995)" }, "properties" : {  }, "schema" : "https://github.com/citation-style-language/schema/raw/master/csl-citation.json" }</w:instrText>
      </w:r>
      <w:r w:rsidR="00FC7AB8" w:rsidRPr="008C2309">
        <w:rPr>
          <w:rFonts w:ascii="Times" w:hAnsi="Times"/>
          <w:lang w:val="en-IE"/>
        </w:rPr>
        <w:fldChar w:fldCharType="separate"/>
      </w:r>
      <w:r w:rsidR="00B33BE2" w:rsidRPr="008C2309">
        <w:rPr>
          <w:rFonts w:ascii="Times" w:hAnsi="Times"/>
          <w:noProof/>
          <w:lang w:val="en-IE"/>
        </w:rPr>
        <w:t>(Craig, 1995)</w:t>
      </w:r>
      <w:r w:rsidR="00FC7AB8" w:rsidRPr="008C2309">
        <w:rPr>
          <w:rFonts w:ascii="Times" w:hAnsi="Times"/>
          <w:lang w:val="en-IE"/>
        </w:rPr>
        <w:fldChar w:fldCharType="end"/>
      </w:r>
      <w:r w:rsidR="00440D4D" w:rsidRPr="008C2309">
        <w:rPr>
          <w:rFonts w:ascii="Times" w:hAnsi="Times"/>
          <w:lang w:val="en-IE"/>
        </w:rPr>
        <w:t>,</w:t>
      </w:r>
      <w:r w:rsidR="00FC7AB8" w:rsidRPr="008C2309">
        <w:rPr>
          <w:rFonts w:ascii="Times" w:hAnsi="Times"/>
          <w:lang w:val="en-IE"/>
        </w:rPr>
        <w:t xml:space="preserve"> was performed on all </w:t>
      </w:r>
      <w:r w:rsidRPr="008C2309">
        <w:rPr>
          <w:rFonts w:ascii="Times" w:hAnsi="Times"/>
          <w:lang w:val="en-IE"/>
        </w:rPr>
        <w:t xml:space="preserve">formulated </w:t>
      </w:r>
      <w:r w:rsidR="00FC7AB8" w:rsidRPr="008C2309">
        <w:rPr>
          <w:rFonts w:ascii="Times" w:hAnsi="Times"/>
          <w:lang w:val="en-IE"/>
        </w:rPr>
        <w:t>products</w:t>
      </w:r>
      <w:r w:rsidR="005B0940" w:rsidRPr="008C2309">
        <w:rPr>
          <w:rFonts w:ascii="Times" w:hAnsi="Times"/>
          <w:lang w:val="en-IE"/>
        </w:rPr>
        <w:t xml:space="preserve"> (</w:t>
      </w:r>
      <w:r w:rsidR="00440D4D" w:rsidRPr="008C2309">
        <w:rPr>
          <w:rFonts w:ascii="Times" w:hAnsi="Times"/>
          <w:lang w:val="en-IE"/>
        </w:rPr>
        <w:t xml:space="preserve">Figure </w:t>
      </w:r>
      <w:r w:rsidR="00053C77" w:rsidRPr="008C2309">
        <w:rPr>
          <w:rFonts w:ascii="Times" w:hAnsi="Times"/>
          <w:lang w:val="en-IE"/>
        </w:rPr>
        <w:t>4</w:t>
      </w:r>
      <w:r w:rsidR="00440D4D" w:rsidRPr="008C2309">
        <w:rPr>
          <w:rFonts w:ascii="Times" w:hAnsi="Times"/>
          <w:lang w:val="en-IE"/>
        </w:rPr>
        <w:t xml:space="preserve"> and</w:t>
      </w:r>
      <w:r w:rsidR="004A03F8" w:rsidRPr="008C2309">
        <w:rPr>
          <w:rFonts w:ascii="Times" w:hAnsi="Times"/>
          <w:lang w:val="en-IE"/>
        </w:rPr>
        <w:t xml:space="preserve"> Figure</w:t>
      </w:r>
      <w:r w:rsidR="00440D4D" w:rsidRPr="008C2309">
        <w:rPr>
          <w:rFonts w:ascii="Times" w:hAnsi="Times"/>
          <w:lang w:val="en-IE"/>
        </w:rPr>
        <w:t xml:space="preserve"> </w:t>
      </w:r>
      <w:r w:rsidR="00053C77" w:rsidRPr="008C2309">
        <w:rPr>
          <w:rFonts w:ascii="Times" w:hAnsi="Times"/>
          <w:lang w:val="en-IE"/>
        </w:rPr>
        <w:t>5</w:t>
      </w:r>
      <w:r w:rsidR="005B0940" w:rsidRPr="008C2309">
        <w:rPr>
          <w:rFonts w:ascii="Times" w:hAnsi="Times"/>
          <w:lang w:val="en-IE"/>
        </w:rPr>
        <w:t>)</w:t>
      </w:r>
      <w:r w:rsidR="00440D4D" w:rsidRPr="008C2309">
        <w:rPr>
          <w:rFonts w:ascii="Times" w:hAnsi="Times"/>
          <w:lang w:val="en-IE"/>
        </w:rPr>
        <w:t>.</w:t>
      </w:r>
      <w:r w:rsidR="00DF4703" w:rsidRPr="008C2309">
        <w:rPr>
          <w:rFonts w:ascii="Times" w:hAnsi="Times"/>
          <w:lang w:val="en-IE"/>
        </w:rPr>
        <w:t xml:space="preserve"> </w:t>
      </w:r>
      <w:r w:rsidR="00E906D9" w:rsidRPr="008C2309">
        <w:t xml:space="preserve">Figure </w:t>
      </w:r>
      <w:r w:rsidR="00053C77" w:rsidRPr="008C2309">
        <w:t>4</w:t>
      </w:r>
      <w:r w:rsidR="00FA7312" w:rsidRPr="008C2309">
        <w:t xml:space="preserve"> </w:t>
      </w:r>
      <w:r w:rsidR="00FC7AB8" w:rsidRPr="008C2309">
        <w:rPr>
          <w:rFonts w:ascii="Times" w:hAnsi="Times"/>
          <w:lang w:val="en-IE"/>
        </w:rPr>
        <w:t>shows the reverse heat flow recorded for SD-F1</w:t>
      </w:r>
      <w:r w:rsidR="005B0940" w:rsidRPr="008C2309">
        <w:rPr>
          <w:rFonts w:ascii="Times" w:hAnsi="Times"/>
          <w:lang w:val="en-IE"/>
        </w:rPr>
        <w:t xml:space="preserve"> </w:t>
      </w:r>
      <w:r w:rsidR="005B0940" w:rsidRPr="008C2309">
        <w:rPr>
          <w:rFonts w:ascii="Times" w:hAnsi="Times" w:cstheme="minorHAnsi"/>
          <w:color w:val="000000" w:themeColor="text1"/>
        </w:rPr>
        <w:t>(i.e. formulation 1 processed by SD)</w:t>
      </w:r>
      <w:r w:rsidR="00FC7AB8" w:rsidRPr="008C2309">
        <w:rPr>
          <w:rFonts w:ascii="Times" w:hAnsi="Times"/>
          <w:lang w:val="en-IE"/>
        </w:rPr>
        <w:t>, SD-F2 and SD-F3. SD-F1 (</w:t>
      </w:r>
      <w:r w:rsidR="00E906D9" w:rsidRPr="008C2309">
        <w:rPr>
          <w:rFonts w:ascii="Times" w:hAnsi="Times"/>
          <w:lang w:val="en-IE"/>
        </w:rPr>
        <w:t xml:space="preserve">Figure </w:t>
      </w:r>
      <w:r w:rsidR="00053C77" w:rsidRPr="008C2309">
        <w:rPr>
          <w:rFonts w:ascii="Times" w:hAnsi="Times"/>
          <w:lang w:val="en-IE"/>
        </w:rPr>
        <w:t>4</w:t>
      </w:r>
      <w:r w:rsidR="004A03F8" w:rsidRPr="008C2309">
        <w:rPr>
          <w:rFonts w:ascii="Times" w:hAnsi="Times"/>
          <w:lang w:val="en-IE"/>
        </w:rPr>
        <w:t xml:space="preserve"> (a)</w:t>
      </w:r>
      <w:r w:rsidR="00FC7AB8" w:rsidRPr="008C2309">
        <w:rPr>
          <w:rFonts w:ascii="Times" w:hAnsi="Times"/>
          <w:lang w:val="en-IE"/>
        </w:rPr>
        <w:t>) has a clear si</w:t>
      </w:r>
      <w:r w:rsidR="00E1397E" w:rsidRPr="008C2309">
        <w:rPr>
          <w:rFonts w:ascii="Times" w:hAnsi="Times"/>
          <w:lang w:val="en-IE"/>
        </w:rPr>
        <w:t xml:space="preserve">ngle glass transition at 114 </w:t>
      </w:r>
      <w:r w:rsidR="00FC7AB8" w:rsidRPr="008C2309">
        <w:rPr>
          <w:rFonts w:ascii="Times" w:hAnsi="Times"/>
        </w:rPr>
        <w:t>°C</w:t>
      </w:r>
      <w:r w:rsidR="004A17CA" w:rsidRPr="008C2309">
        <w:rPr>
          <w:rFonts w:ascii="Times" w:hAnsi="Times"/>
        </w:rPr>
        <w:t>,</w:t>
      </w:r>
      <w:r w:rsidR="00FC7AB8" w:rsidRPr="008C2309">
        <w:rPr>
          <w:rFonts w:ascii="Times" w:hAnsi="Times"/>
        </w:rPr>
        <w:t xml:space="preserve"> which indicates a homogenous molecular mix of all the formulation components in the amorphous system. SD-F2 and SD-F3 </w:t>
      </w:r>
      <w:r w:rsidR="004A03F8" w:rsidRPr="008C2309">
        <w:rPr>
          <w:rFonts w:ascii="Times" w:hAnsi="Times"/>
        </w:rPr>
        <w:t>(</w:t>
      </w:r>
      <w:r w:rsidR="00E906D9" w:rsidRPr="008C2309">
        <w:rPr>
          <w:rFonts w:ascii="Times" w:hAnsi="Times"/>
        </w:rPr>
        <w:t xml:space="preserve">Figure </w:t>
      </w:r>
      <w:r w:rsidR="00053C77" w:rsidRPr="008C2309">
        <w:rPr>
          <w:rFonts w:ascii="Times" w:hAnsi="Times"/>
        </w:rPr>
        <w:t>4</w:t>
      </w:r>
      <w:r w:rsidR="00F83F98" w:rsidRPr="008C2309">
        <w:rPr>
          <w:rFonts w:ascii="Times" w:hAnsi="Times"/>
        </w:rPr>
        <w:t xml:space="preserve"> </w:t>
      </w:r>
      <w:r w:rsidR="004A03F8" w:rsidRPr="008C2309">
        <w:rPr>
          <w:rFonts w:ascii="Times" w:hAnsi="Times"/>
        </w:rPr>
        <w:t>(b) and (c)</w:t>
      </w:r>
      <w:r w:rsidR="00FC7AB8" w:rsidRPr="008C2309">
        <w:rPr>
          <w:rFonts w:ascii="Times" w:hAnsi="Times"/>
        </w:rPr>
        <w:t>), which are also shown to be PXRD amorphous</w:t>
      </w:r>
      <w:r w:rsidR="005B0940" w:rsidRPr="008C2309">
        <w:rPr>
          <w:rFonts w:ascii="Times" w:hAnsi="Times"/>
        </w:rPr>
        <w:t>,</w:t>
      </w:r>
      <w:r w:rsidR="00FC7AB8" w:rsidRPr="008C2309">
        <w:rPr>
          <w:rFonts w:ascii="Times" w:hAnsi="Times"/>
        </w:rPr>
        <w:t xml:space="preserve"> show two clear glass transition temperatures in the reverse heat flow. This </w:t>
      </w:r>
      <w:r w:rsidRPr="008C2309">
        <w:rPr>
          <w:rFonts w:ascii="Times" w:hAnsi="Times"/>
        </w:rPr>
        <w:t>suggests</w:t>
      </w:r>
      <w:r w:rsidR="00FC7AB8" w:rsidRPr="008C2309">
        <w:rPr>
          <w:rFonts w:ascii="Times" w:hAnsi="Times"/>
        </w:rPr>
        <w:t xml:space="preserve"> </w:t>
      </w:r>
      <w:r w:rsidR="00660C44" w:rsidRPr="008C2309">
        <w:rPr>
          <w:rFonts w:ascii="Times" w:hAnsi="Times"/>
        </w:rPr>
        <w:t xml:space="preserve">a </w:t>
      </w:r>
      <w:r w:rsidR="00FC7AB8" w:rsidRPr="008C2309">
        <w:rPr>
          <w:rFonts w:ascii="Times" w:hAnsi="Times"/>
        </w:rPr>
        <w:t>phase separation of the formulation components. Similarly, to the SD formulations, HME-F1 (</w:t>
      </w:r>
      <w:r w:rsidR="00DF4703" w:rsidRPr="008C2309">
        <w:rPr>
          <w:rFonts w:ascii="Times" w:hAnsi="Times"/>
        </w:rPr>
        <w:t xml:space="preserve">Figure </w:t>
      </w:r>
      <w:r w:rsidR="00053C77" w:rsidRPr="008C2309">
        <w:rPr>
          <w:rFonts w:ascii="Times" w:hAnsi="Times"/>
        </w:rPr>
        <w:t>5</w:t>
      </w:r>
      <w:r w:rsidR="006B5C5D" w:rsidRPr="008C2309">
        <w:rPr>
          <w:rFonts w:ascii="Times" w:hAnsi="Times"/>
        </w:rPr>
        <w:t xml:space="preserve"> </w:t>
      </w:r>
      <w:r w:rsidR="004A03F8" w:rsidRPr="008C2309">
        <w:rPr>
          <w:rFonts w:ascii="Times" w:hAnsi="Times"/>
        </w:rPr>
        <w:t>(a)</w:t>
      </w:r>
      <w:r w:rsidR="00FC7AB8" w:rsidRPr="008C2309">
        <w:rPr>
          <w:rFonts w:ascii="Times" w:hAnsi="Times"/>
        </w:rPr>
        <w:t xml:space="preserve">) </w:t>
      </w:r>
      <w:r w:rsidR="004A17CA" w:rsidRPr="008C2309">
        <w:rPr>
          <w:rFonts w:ascii="Times" w:hAnsi="Times"/>
        </w:rPr>
        <w:t xml:space="preserve">shows </w:t>
      </w:r>
      <w:r w:rsidR="00FC7AB8" w:rsidRPr="008C2309">
        <w:rPr>
          <w:rFonts w:ascii="Times" w:hAnsi="Times"/>
        </w:rPr>
        <w:t>one clear Tg at 104</w:t>
      </w:r>
      <w:r w:rsidR="00E1397E" w:rsidRPr="008C2309">
        <w:rPr>
          <w:rFonts w:ascii="Times" w:hAnsi="Times"/>
        </w:rPr>
        <w:t xml:space="preserve"> </w:t>
      </w:r>
      <w:r w:rsidR="00FC7AB8" w:rsidRPr="008C2309">
        <w:rPr>
          <w:rFonts w:ascii="Times" w:hAnsi="Times"/>
        </w:rPr>
        <w:t>°C, with HME-F2 and HME-F3 (</w:t>
      </w:r>
      <w:r w:rsidR="00E906D9" w:rsidRPr="008C2309">
        <w:rPr>
          <w:rFonts w:ascii="Times" w:hAnsi="Times"/>
        </w:rPr>
        <w:t xml:space="preserve">Figure </w:t>
      </w:r>
      <w:r w:rsidR="00053C77" w:rsidRPr="008C2309">
        <w:rPr>
          <w:rFonts w:ascii="Times" w:hAnsi="Times"/>
        </w:rPr>
        <w:t xml:space="preserve">5 </w:t>
      </w:r>
      <w:r w:rsidR="004A03F8" w:rsidRPr="008C2309">
        <w:rPr>
          <w:rFonts w:ascii="Times" w:hAnsi="Times"/>
        </w:rPr>
        <w:t>(</w:t>
      </w:r>
      <w:r w:rsidR="006B5C5D" w:rsidRPr="008C2309">
        <w:rPr>
          <w:rFonts w:ascii="Times" w:hAnsi="Times"/>
        </w:rPr>
        <w:t>b</w:t>
      </w:r>
      <w:r w:rsidR="004A03F8" w:rsidRPr="008C2309">
        <w:rPr>
          <w:rFonts w:ascii="Times" w:hAnsi="Times"/>
        </w:rPr>
        <w:t>) and (</w:t>
      </w:r>
      <w:r w:rsidR="006B5C5D" w:rsidRPr="008C2309">
        <w:rPr>
          <w:rFonts w:ascii="Times" w:hAnsi="Times"/>
        </w:rPr>
        <w:t>c</w:t>
      </w:r>
      <w:r w:rsidR="004A03F8" w:rsidRPr="008C2309">
        <w:rPr>
          <w:rFonts w:ascii="Times" w:hAnsi="Times"/>
        </w:rPr>
        <w:t>)</w:t>
      </w:r>
      <w:r w:rsidR="00FC7AB8" w:rsidRPr="008C2309">
        <w:rPr>
          <w:rFonts w:ascii="Times" w:hAnsi="Times"/>
        </w:rPr>
        <w:t xml:space="preserve">) showing two </w:t>
      </w:r>
      <w:r w:rsidR="00937387" w:rsidRPr="008C2309">
        <w:rPr>
          <w:rFonts w:ascii="Times" w:hAnsi="Times"/>
        </w:rPr>
        <w:t>separate glass transition events</w:t>
      </w:r>
      <w:r w:rsidR="004A17CA" w:rsidRPr="008C2309">
        <w:rPr>
          <w:rFonts w:ascii="Times" w:hAnsi="Times"/>
        </w:rPr>
        <w:t>,</w:t>
      </w:r>
      <w:r w:rsidR="00FC7AB8" w:rsidRPr="008C2309">
        <w:rPr>
          <w:rFonts w:ascii="Times" w:hAnsi="Times"/>
        </w:rPr>
        <w:t xml:space="preserve"> which</w:t>
      </w:r>
      <w:r w:rsidR="00660C44" w:rsidRPr="008C2309">
        <w:rPr>
          <w:rFonts w:ascii="Times" w:hAnsi="Times"/>
        </w:rPr>
        <w:t xml:space="preserve"> again suggest</w:t>
      </w:r>
      <w:r w:rsidRPr="008C2309">
        <w:rPr>
          <w:rFonts w:ascii="Times" w:hAnsi="Times"/>
        </w:rPr>
        <w:t>s</w:t>
      </w:r>
      <w:r w:rsidR="00FC7AB8" w:rsidRPr="008C2309">
        <w:rPr>
          <w:rFonts w:ascii="Times" w:hAnsi="Times"/>
        </w:rPr>
        <w:t xml:space="preserve"> a phase separation. Formulations which undergo phase separation, show </w:t>
      </w:r>
      <w:r w:rsidR="00D14BA3" w:rsidRPr="008C2309">
        <w:rPr>
          <w:rFonts w:ascii="Times" w:hAnsi="Times"/>
        </w:rPr>
        <w:t>more than one</w:t>
      </w:r>
      <w:r w:rsidR="00FC7AB8" w:rsidRPr="008C2309">
        <w:rPr>
          <w:rFonts w:ascii="Times" w:hAnsi="Times"/>
        </w:rPr>
        <w:t xml:space="preserve"> Tg</w:t>
      </w:r>
      <w:r w:rsidR="0046063A" w:rsidRPr="008C2309">
        <w:rPr>
          <w:rFonts w:ascii="Times" w:hAnsi="Times"/>
        </w:rPr>
        <w:t xml:space="preserve"> </w:t>
      </w:r>
      <w:r w:rsidR="00FC7AB8" w:rsidRPr="008C2309">
        <w:rPr>
          <w:rFonts w:ascii="Times" w:hAnsi="Times"/>
        </w:rPr>
        <w:fldChar w:fldCharType="begin" w:fldLock="1"/>
      </w:r>
      <w:r w:rsidR="00432184" w:rsidRPr="008C2309">
        <w:rPr>
          <w:rFonts w:ascii="Times" w:hAnsi="Times"/>
        </w:rPr>
        <w:instrText>ADDIN CSL_CITATION { "citationItems" : [ { "id" : "ITEM-1", "itemData" : { "DOI" : "http://dx.doi.org/10.1016/j.ijpharm.2010.08.013", "ISSN" : "0378-5173", "abstract" : "The aim of this work was to develop a method which uses experimentally obtainable data to predict the complete phase diagram of drug\u2013polymer solid dispersion systems, for the first time in literature. Felodipine\u2013poly(acrylic acid) (PAA) solid dispersion was used as an example to illustrate the application of this method. Samples were prepared with different drug loading and analyzed using differential scanning calorimetry (DSC). Values of the drug\u2013polymer interaction parameter \u03c7(Tm) were calculated from the drug crystal melting point depression data. Since \u03c7 is a function of temperature (\u03c7\u223c1/T) according to the Flory\u2013Huggins theory, the obtained \u03c7\u2013T relationship thus enabled calculation of the complete temperature-composition phase diagram of a drug\u2013polymer solid dispersion system. In experiments, felodipine was shown to be immiscible with PAA in almost the whole range of drug content at room temperature. Two glass transition temperatures were observed, corresponding to almost pure felodipine and pure PAA, respectively, in consistent with the predicted phase behavior.", "author" : [ { "dropping-particle" : "", "family" : "Lin", "given" : "Dexi", "non-dropping-particle" : "", "parse-names" : false, "suffix" : "" }, { "dropping-particle" : "", "family" : "Huang", "given" : "Yanbin", "non-dropping-particle" : "", "parse-names" : false, "suffix" : "" } ], "container-title" : "International Journal of Pharmaceutics", "id" : "ITEM-1", "issue" : "1", "issued" : { "date-parts" : [ [ "2010" ] ] }, "page" : "109-115", "title" : "A thermal analysis method to predict the complete phase diagram of drug\u2013polymer solid dispersions", "type" : "article-journal", "volume" : "399" }, "uris" : [ "http://www.mendeley.com/documents/?uuid=84fd6cc8-6743-4d6b-ab7a-fdfb44c69543", "http://www.mendeley.com/documents/?uuid=e02caa47-b5da-495a-adf6-898951439ff3" ] } ], "mendeley" : { "formattedCitation" : "(Lin and Huang, 2010)", "plainTextFormattedCitation" : "(Lin and Huang, 2010)", "previouslyFormattedCitation" : "(Lin and Huang, 2010)" }, "properties" : {  }, "schema" : "https://github.com/citation-style-language/schema/raw/master/csl-citation.json" }</w:instrText>
      </w:r>
      <w:r w:rsidR="00FC7AB8" w:rsidRPr="008C2309">
        <w:rPr>
          <w:rFonts w:ascii="Times" w:hAnsi="Times"/>
        </w:rPr>
        <w:fldChar w:fldCharType="separate"/>
      </w:r>
      <w:r w:rsidR="00B33BE2" w:rsidRPr="008C2309">
        <w:rPr>
          <w:rFonts w:ascii="Times" w:hAnsi="Times"/>
          <w:noProof/>
        </w:rPr>
        <w:t>(Lin and Huang, 2010)</w:t>
      </w:r>
      <w:r w:rsidR="00FC7AB8" w:rsidRPr="008C2309">
        <w:rPr>
          <w:rFonts w:ascii="Times" w:hAnsi="Times"/>
        </w:rPr>
        <w:fldChar w:fldCharType="end"/>
      </w:r>
      <w:r w:rsidR="00FC7AB8" w:rsidRPr="008C2309">
        <w:rPr>
          <w:rFonts w:ascii="Times" w:hAnsi="Times"/>
        </w:rPr>
        <w:t xml:space="preserve">, in our case </w:t>
      </w:r>
      <w:r w:rsidR="00D14BA3" w:rsidRPr="008C2309">
        <w:rPr>
          <w:rFonts w:ascii="Times" w:hAnsi="Times"/>
        </w:rPr>
        <w:t xml:space="preserve">the two distinguishable Tgs are </w:t>
      </w:r>
      <w:r w:rsidR="004A17CA" w:rsidRPr="008C2309">
        <w:rPr>
          <w:rFonts w:ascii="Times" w:hAnsi="Times"/>
        </w:rPr>
        <w:t xml:space="preserve">presumed to be </w:t>
      </w:r>
      <w:r w:rsidR="00D14BA3" w:rsidRPr="008C2309">
        <w:rPr>
          <w:rFonts w:ascii="Times" w:hAnsi="Times"/>
        </w:rPr>
        <w:t xml:space="preserve">due to </w:t>
      </w:r>
      <w:r w:rsidR="00FC7AB8" w:rsidRPr="008C2309">
        <w:rPr>
          <w:rFonts w:ascii="Times" w:hAnsi="Times"/>
        </w:rPr>
        <w:t>a RAM/polymer rich zone and a HCTZ/polymer rich zone</w:t>
      </w:r>
      <w:r w:rsidRPr="008C2309">
        <w:rPr>
          <w:rFonts w:ascii="Times" w:hAnsi="Times"/>
        </w:rPr>
        <w:t>. The</w:t>
      </w:r>
      <w:r w:rsidR="002908AD" w:rsidRPr="008C2309">
        <w:rPr>
          <w:rFonts w:ascii="Times" w:hAnsi="Times"/>
        </w:rPr>
        <w:t xml:space="preserve"> higher Tg </w:t>
      </w:r>
      <w:r w:rsidRPr="008C2309">
        <w:rPr>
          <w:rFonts w:ascii="Times" w:hAnsi="Times"/>
        </w:rPr>
        <w:t>is</w:t>
      </w:r>
      <w:r w:rsidR="002908AD" w:rsidRPr="008C2309">
        <w:rPr>
          <w:rFonts w:ascii="Times" w:hAnsi="Times"/>
        </w:rPr>
        <w:t xml:space="preserve"> related to HCTZ</w:t>
      </w:r>
      <w:r w:rsidR="0040155E" w:rsidRPr="008C2309">
        <w:rPr>
          <w:rFonts w:ascii="Times" w:hAnsi="Times"/>
        </w:rPr>
        <w:t xml:space="preserve"> (~11</w:t>
      </w:r>
      <w:r w:rsidR="00053C77" w:rsidRPr="008C2309">
        <w:rPr>
          <w:rFonts w:ascii="Times" w:hAnsi="Times"/>
        </w:rPr>
        <w:t>2</w:t>
      </w:r>
      <w:r w:rsidR="00452B68" w:rsidRPr="008C2309">
        <w:rPr>
          <w:rFonts w:ascii="Times" w:hAnsi="Times"/>
        </w:rPr>
        <w:t xml:space="preserve"> °C)</w:t>
      </w:r>
      <w:r w:rsidR="002908AD" w:rsidRPr="008C2309">
        <w:rPr>
          <w:rFonts w:ascii="Times" w:hAnsi="Times"/>
        </w:rPr>
        <w:t xml:space="preserve"> as it has a higher Tg </w:t>
      </w:r>
      <w:r w:rsidRPr="008C2309">
        <w:rPr>
          <w:rFonts w:ascii="Times" w:hAnsi="Times"/>
        </w:rPr>
        <w:t xml:space="preserve">than </w:t>
      </w:r>
      <w:r w:rsidR="002908AD" w:rsidRPr="008C2309">
        <w:rPr>
          <w:rFonts w:ascii="Times" w:hAnsi="Times"/>
        </w:rPr>
        <w:t>RAM</w:t>
      </w:r>
      <w:r w:rsidR="0040155E" w:rsidRPr="008C2309">
        <w:rPr>
          <w:rFonts w:ascii="Times" w:hAnsi="Times"/>
        </w:rPr>
        <w:t xml:space="preserve"> (~2</w:t>
      </w:r>
      <w:r w:rsidR="00452B68" w:rsidRPr="008C2309">
        <w:rPr>
          <w:rFonts w:ascii="Times" w:hAnsi="Times"/>
        </w:rPr>
        <w:t xml:space="preserve"> °C)</w:t>
      </w:r>
      <w:r w:rsidR="00FC7AB8" w:rsidRPr="008C2309">
        <w:rPr>
          <w:rFonts w:ascii="Times" w:hAnsi="Times"/>
        </w:rPr>
        <w:t xml:space="preserve">. It was not possible to detect </w:t>
      </w:r>
      <w:r w:rsidRPr="008C2309">
        <w:rPr>
          <w:rFonts w:ascii="Times" w:hAnsi="Times"/>
        </w:rPr>
        <w:t>any</w:t>
      </w:r>
      <w:r w:rsidR="00FC7AB8" w:rsidRPr="008C2309">
        <w:rPr>
          <w:rFonts w:ascii="Times" w:hAnsi="Times"/>
        </w:rPr>
        <w:t xml:space="preserve"> endothermic peak for HCTZ at 27</w:t>
      </w:r>
      <w:r w:rsidR="00053C77" w:rsidRPr="008C2309">
        <w:rPr>
          <w:rFonts w:ascii="Times" w:hAnsi="Times"/>
        </w:rPr>
        <w:t>2</w:t>
      </w:r>
      <w:r w:rsidR="00E1397E" w:rsidRPr="008C2309">
        <w:rPr>
          <w:rFonts w:ascii="Times" w:hAnsi="Times"/>
        </w:rPr>
        <w:t xml:space="preserve"> </w:t>
      </w:r>
      <w:r w:rsidR="00FC7AB8" w:rsidRPr="008C2309">
        <w:rPr>
          <w:rFonts w:ascii="Times" w:hAnsi="Times"/>
        </w:rPr>
        <w:t>°C as</w:t>
      </w:r>
      <w:r w:rsidR="00E906D9" w:rsidRPr="008C2309">
        <w:rPr>
          <w:rFonts w:ascii="Times" w:hAnsi="Times"/>
        </w:rPr>
        <w:t xml:space="preserve"> the formulations start</w:t>
      </w:r>
      <w:r w:rsidR="004823EC" w:rsidRPr="008C2309">
        <w:rPr>
          <w:rFonts w:ascii="Times" w:hAnsi="Times"/>
        </w:rPr>
        <w:t>ed</w:t>
      </w:r>
      <w:r w:rsidR="00E906D9" w:rsidRPr="008C2309">
        <w:rPr>
          <w:rFonts w:ascii="Times" w:hAnsi="Times"/>
        </w:rPr>
        <w:t xml:space="preserve"> to thermally degrade before this temperature and</w:t>
      </w:r>
      <w:r w:rsidR="004A17CA" w:rsidRPr="008C2309">
        <w:rPr>
          <w:rFonts w:ascii="Times" w:hAnsi="Times"/>
        </w:rPr>
        <w:t>,</w:t>
      </w:r>
      <w:r w:rsidR="00E906D9" w:rsidRPr="008C2309">
        <w:rPr>
          <w:rFonts w:ascii="Times" w:hAnsi="Times"/>
        </w:rPr>
        <w:t xml:space="preserve"> as a result</w:t>
      </w:r>
      <w:r w:rsidR="004A17CA" w:rsidRPr="008C2309">
        <w:rPr>
          <w:rFonts w:ascii="Times" w:hAnsi="Times"/>
        </w:rPr>
        <w:t>,</w:t>
      </w:r>
      <w:r w:rsidR="00E906D9" w:rsidRPr="008C2309">
        <w:rPr>
          <w:rFonts w:ascii="Times" w:hAnsi="Times"/>
        </w:rPr>
        <w:t xml:space="preserve"> distort</w:t>
      </w:r>
      <w:r w:rsidR="006911D0" w:rsidRPr="008C2309">
        <w:rPr>
          <w:rFonts w:ascii="Times" w:hAnsi="Times"/>
        </w:rPr>
        <w:t>ed</w:t>
      </w:r>
      <w:r w:rsidR="00E906D9" w:rsidRPr="008C2309">
        <w:rPr>
          <w:rFonts w:ascii="Times" w:hAnsi="Times"/>
        </w:rPr>
        <w:t xml:space="preserve"> the heat flow signal.</w:t>
      </w:r>
      <w:r w:rsidR="00752BA2" w:rsidRPr="008C2309">
        <w:rPr>
          <w:rFonts w:ascii="Times" w:hAnsi="Times"/>
        </w:rPr>
        <w:t xml:space="preserve">  </w:t>
      </w:r>
      <w:r w:rsidR="00872857" w:rsidRPr="008C2309">
        <w:rPr>
          <w:rFonts w:ascii="Times" w:hAnsi="Times"/>
        </w:rPr>
        <w:t xml:space="preserve">As </w:t>
      </w:r>
      <w:r w:rsidR="00E906D9" w:rsidRPr="008C2309">
        <w:rPr>
          <w:rFonts w:ascii="Times" w:hAnsi="Times"/>
        </w:rPr>
        <w:t>can be seen in F</w:t>
      </w:r>
      <w:r w:rsidR="00872857" w:rsidRPr="008C2309">
        <w:rPr>
          <w:rFonts w:ascii="Times" w:hAnsi="Times"/>
        </w:rPr>
        <w:t xml:space="preserve">igure </w:t>
      </w:r>
      <w:r w:rsidR="000A160D" w:rsidRPr="008C2309">
        <w:rPr>
          <w:rFonts w:ascii="Times" w:hAnsi="Times"/>
        </w:rPr>
        <w:t>5</w:t>
      </w:r>
      <w:r w:rsidR="00872857" w:rsidRPr="008C2309">
        <w:rPr>
          <w:rFonts w:ascii="Times" w:hAnsi="Times"/>
        </w:rPr>
        <w:t xml:space="preserve">, the Tgs </w:t>
      </w:r>
      <w:r w:rsidR="004A17CA" w:rsidRPr="008C2309">
        <w:rPr>
          <w:rFonts w:ascii="Times" w:hAnsi="Times"/>
        </w:rPr>
        <w:t xml:space="preserve">determined </w:t>
      </w:r>
      <w:r w:rsidR="00872857" w:rsidRPr="008C2309">
        <w:rPr>
          <w:rFonts w:ascii="Times" w:hAnsi="Times"/>
        </w:rPr>
        <w:t xml:space="preserve">for all three formulations produced by HME are lower than those </w:t>
      </w:r>
      <w:r w:rsidR="00101293" w:rsidRPr="008C2309">
        <w:rPr>
          <w:rFonts w:ascii="Times" w:hAnsi="Times"/>
        </w:rPr>
        <w:t xml:space="preserve">observed </w:t>
      </w:r>
      <w:r w:rsidR="00872857" w:rsidRPr="008C2309">
        <w:rPr>
          <w:rFonts w:ascii="Times" w:hAnsi="Times"/>
        </w:rPr>
        <w:t>for identical formulations produced by SD</w:t>
      </w:r>
      <w:r w:rsidR="004A17CA" w:rsidRPr="008C2309">
        <w:rPr>
          <w:rFonts w:ascii="Times" w:hAnsi="Times"/>
        </w:rPr>
        <w:t xml:space="preserve"> (shown</w:t>
      </w:r>
      <w:r w:rsidR="00E906D9" w:rsidRPr="008C2309">
        <w:rPr>
          <w:rFonts w:ascii="Times" w:hAnsi="Times"/>
        </w:rPr>
        <w:t xml:space="preserve"> in F</w:t>
      </w:r>
      <w:r w:rsidR="005951D9" w:rsidRPr="008C2309">
        <w:rPr>
          <w:rFonts w:ascii="Times" w:hAnsi="Times"/>
        </w:rPr>
        <w:t xml:space="preserve">igure </w:t>
      </w:r>
      <w:r w:rsidR="000A160D" w:rsidRPr="008C2309">
        <w:rPr>
          <w:rFonts w:ascii="Times" w:hAnsi="Times"/>
        </w:rPr>
        <w:t>4</w:t>
      </w:r>
      <w:r w:rsidR="004A17CA" w:rsidRPr="008C2309">
        <w:rPr>
          <w:rFonts w:ascii="Times" w:hAnsi="Times"/>
        </w:rPr>
        <w:t>)</w:t>
      </w:r>
      <w:r w:rsidR="00872857" w:rsidRPr="008C2309">
        <w:rPr>
          <w:rFonts w:ascii="Times" w:hAnsi="Times"/>
        </w:rPr>
        <w:t>.</w:t>
      </w:r>
      <w:r w:rsidR="005951D9" w:rsidRPr="008C2309">
        <w:rPr>
          <w:rFonts w:ascii="Times" w:hAnsi="Times"/>
        </w:rPr>
        <w:t xml:space="preserve"> This is due to the increased crystalline</w:t>
      </w:r>
      <w:r w:rsidR="00311B6A" w:rsidRPr="008C2309">
        <w:rPr>
          <w:rFonts w:ascii="Times" w:hAnsi="Times"/>
        </w:rPr>
        <w:t xml:space="preserve"> HCTZ</w:t>
      </w:r>
      <w:r w:rsidR="005951D9" w:rsidRPr="008C2309">
        <w:rPr>
          <w:rFonts w:ascii="Times" w:hAnsi="Times"/>
        </w:rPr>
        <w:t xml:space="preserve"> content in the HME formulations when compared to the fully </w:t>
      </w:r>
      <w:r w:rsidR="00101293" w:rsidRPr="008C2309">
        <w:rPr>
          <w:rFonts w:ascii="Times" w:hAnsi="Times"/>
        </w:rPr>
        <w:t xml:space="preserve">PXRD </w:t>
      </w:r>
      <w:r w:rsidR="005951D9" w:rsidRPr="008C2309">
        <w:rPr>
          <w:rFonts w:ascii="Times" w:hAnsi="Times"/>
        </w:rPr>
        <w:t xml:space="preserve">amorphous systems produced by SD. </w:t>
      </w:r>
      <w:r w:rsidR="00872857" w:rsidRPr="008C2309">
        <w:rPr>
          <w:rFonts w:ascii="Times" w:hAnsi="Times"/>
        </w:rPr>
        <w:t xml:space="preserve"> </w:t>
      </w:r>
      <w:r w:rsidR="00311B6A" w:rsidRPr="008C2309">
        <w:rPr>
          <w:rFonts w:ascii="Times" w:hAnsi="Times"/>
        </w:rPr>
        <w:t>According to the Gordon-Taylor equation</w:t>
      </w:r>
      <w:r w:rsidR="0046063A" w:rsidRPr="008C2309">
        <w:rPr>
          <w:rFonts w:ascii="Times" w:hAnsi="Times"/>
        </w:rPr>
        <w:t xml:space="preserve"> </w:t>
      </w:r>
      <w:r w:rsidR="00EB6FD8" w:rsidRPr="008C2309">
        <w:rPr>
          <w:rFonts w:ascii="Times" w:hAnsi="Times"/>
        </w:rPr>
        <w:fldChar w:fldCharType="begin" w:fldLock="1"/>
      </w:r>
      <w:r w:rsidR="00432184" w:rsidRPr="008C2309">
        <w:rPr>
          <w:rFonts w:ascii="Times" w:hAnsi="Times"/>
        </w:rPr>
        <w:instrText>ADDIN CSL_CITATION { "citationItems" : [ { "id" : "ITEM-1", "itemData" : { "DOI" : "10.1002/jctb.5010020901", "ISSN" : "1934-998X", "author" : [ { "dropping-particle" : "", "family" : "Gordon", "given" : "Manfred", "non-dropping-particle" : "", "parse-names" : false, "suffix" : "" }, { "dropping-particle" : "", "family" : "Taylor", "given" : "James S", "non-dropping-particle" : "", "parse-names" : false, "suffix" : "" } ], "container-title" : "Journal of Applied Chemistry", "id" : "ITEM-1", "issue" : "9", "issued" : { "date-parts" : [ [ "1952" ] ] }, "page" : "493-500", "publisher" : "John Wiley &amp; Sons, Ltd", "title" : "Ideal copolymers and the second-order transitions of synthetic rubbers. i. non-crystalline copolymers", "type" : "article-journal", "volume" : "2" }, "uris" : [ "http://www.mendeley.com/documents/?uuid=6905ccc5-fbf5-4236-9eb2-c4f92d9833d3", "http://www.mendeley.com/documents/?uuid=5f7d7548-7a02-4c59-96ec-b5b5954c7927" ] } ], "mendeley" : { "formattedCitation" : "(Gordon and Taylor, 1952)", "plainTextFormattedCitation" : "(Gordon and Taylor, 1952)", "previouslyFormattedCitation" : "(Gordon and Taylor, 1952)" }, "properties" : {  }, "schema" : "https://github.com/citation-style-language/schema/raw/master/csl-citation.json" }</w:instrText>
      </w:r>
      <w:r w:rsidR="00EB6FD8" w:rsidRPr="008C2309">
        <w:rPr>
          <w:rFonts w:ascii="Times" w:hAnsi="Times"/>
        </w:rPr>
        <w:fldChar w:fldCharType="separate"/>
      </w:r>
      <w:r w:rsidR="00B33BE2" w:rsidRPr="008C2309">
        <w:rPr>
          <w:rFonts w:ascii="Times" w:hAnsi="Times"/>
          <w:noProof/>
        </w:rPr>
        <w:t>(Gordon and Taylor, 1952)</w:t>
      </w:r>
      <w:r w:rsidR="00EB6FD8" w:rsidRPr="008C2309">
        <w:rPr>
          <w:rFonts w:ascii="Times" w:hAnsi="Times"/>
        </w:rPr>
        <w:fldChar w:fldCharType="end"/>
      </w:r>
      <w:r w:rsidR="00311B6A" w:rsidRPr="008C2309">
        <w:rPr>
          <w:rFonts w:ascii="Times" w:hAnsi="Times"/>
        </w:rPr>
        <w:t>,</w:t>
      </w:r>
      <w:r w:rsidR="00AA0CCA" w:rsidRPr="008C2309">
        <w:rPr>
          <w:rFonts w:ascii="Times" w:hAnsi="Times"/>
        </w:rPr>
        <w:t xml:space="preserve"> </w:t>
      </w:r>
      <w:r w:rsidR="002D1C49" w:rsidRPr="008C2309">
        <w:rPr>
          <w:rFonts w:ascii="Times" w:hAnsi="Times"/>
        </w:rPr>
        <w:t>t</w:t>
      </w:r>
      <w:r w:rsidR="00311B6A" w:rsidRPr="008C2309">
        <w:rPr>
          <w:rFonts w:ascii="Times" w:hAnsi="Times"/>
        </w:rPr>
        <w:t>he weight fraction</w:t>
      </w:r>
      <w:r w:rsidR="00AA0CCA" w:rsidRPr="008C2309">
        <w:rPr>
          <w:rFonts w:ascii="Times" w:hAnsi="Times"/>
        </w:rPr>
        <w:t xml:space="preserve"> and density</w:t>
      </w:r>
      <w:r w:rsidR="00311B6A" w:rsidRPr="008C2309">
        <w:rPr>
          <w:rFonts w:ascii="Times" w:hAnsi="Times"/>
        </w:rPr>
        <w:t xml:space="preserve"> of individual amorphous components plays a critical role in the overall Tg of compatible amorphous blends.</w:t>
      </w:r>
      <w:r w:rsidR="002D1C49" w:rsidRPr="008C2309">
        <w:rPr>
          <w:rFonts w:ascii="Times" w:hAnsi="Times"/>
        </w:rPr>
        <w:t xml:space="preserve"> As HCTZ remains partially crystalline in the HME formulations, the weight fraction of RAM (which has a Tg of 2</w:t>
      </w:r>
      <w:bookmarkStart w:id="8" w:name="_Hlk506369559"/>
      <w:r w:rsidR="002D1C49" w:rsidRPr="008C2309">
        <w:rPr>
          <w:rFonts w:ascii="Times" w:hAnsi="Times"/>
        </w:rPr>
        <w:t>°C</w:t>
      </w:r>
      <w:bookmarkEnd w:id="8"/>
      <w:r w:rsidR="002D1C49" w:rsidRPr="008C2309">
        <w:rPr>
          <w:rFonts w:ascii="Times" w:hAnsi="Times"/>
        </w:rPr>
        <w:t>)</w:t>
      </w:r>
      <w:r w:rsidR="00700043" w:rsidRPr="008C2309">
        <w:rPr>
          <w:rFonts w:ascii="Times" w:hAnsi="Times"/>
        </w:rPr>
        <w:t xml:space="preserve"> and the polymer carriers (</w:t>
      </w:r>
      <w:bookmarkStart w:id="9" w:name="_Hlk500853372"/>
      <w:r w:rsidR="00101293" w:rsidRPr="008C2309">
        <w:rPr>
          <w:rFonts w:ascii="Times" w:hAnsi="Times"/>
        </w:rPr>
        <w:t>both of</w:t>
      </w:r>
      <w:r w:rsidR="006B5C5D" w:rsidRPr="008C2309">
        <w:rPr>
          <w:rFonts w:ascii="Times" w:hAnsi="Times" w:cstheme="minorHAnsi"/>
          <w:color w:val="000000" w:themeColor="text1"/>
        </w:rPr>
        <w:t xml:space="preserve"> </w:t>
      </w:r>
      <w:bookmarkEnd w:id="9"/>
      <w:r w:rsidR="00700043" w:rsidRPr="008C2309">
        <w:rPr>
          <w:rFonts w:ascii="Times" w:hAnsi="Times"/>
        </w:rPr>
        <w:t>which have lower Tg</w:t>
      </w:r>
      <w:r w:rsidR="00EB0DFB" w:rsidRPr="008C2309">
        <w:rPr>
          <w:rFonts w:ascii="Times" w:hAnsi="Times"/>
        </w:rPr>
        <w:t xml:space="preserve"> values </w:t>
      </w:r>
      <w:r w:rsidR="00700043" w:rsidRPr="008C2309">
        <w:rPr>
          <w:rFonts w:ascii="Times" w:hAnsi="Times"/>
        </w:rPr>
        <w:t>th</w:t>
      </w:r>
      <w:r w:rsidR="006B5C5D" w:rsidRPr="008C2309">
        <w:rPr>
          <w:rFonts w:ascii="Times" w:hAnsi="Times"/>
        </w:rPr>
        <w:t>a</w:t>
      </w:r>
      <w:r w:rsidR="00700043" w:rsidRPr="008C2309">
        <w:rPr>
          <w:rFonts w:ascii="Times" w:hAnsi="Times"/>
        </w:rPr>
        <w:t xml:space="preserve">n HCTZ) </w:t>
      </w:r>
      <w:r w:rsidR="002D1C49" w:rsidRPr="008C2309">
        <w:rPr>
          <w:rFonts w:ascii="Times" w:hAnsi="Times"/>
        </w:rPr>
        <w:t xml:space="preserve">in the amorphous </w:t>
      </w:r>
      <w:r w:rsidR="002D1C49" w:rsidRPr="008C2309">
        <w:rPr>
          <w:rFonts w:ascii="Times" w:hAnsi="Times"/>
        </w:rPr>
        <w:lastRenderedPageBreak/>
        <w:t xml:space="preserve">complex </w:t>
      </w:r>
      <w:r w:rsidR="000A160D" w:rsidRPr="008C2309">
        <w:rPr>
          <w:rFonts w:ascii="Times" w:hAnsi="Times"/>
        </w:rPr>
        <w:t>increase and</w:t>
      </w:r>
      <w:r w:rsidR="002D1C49" w:rsidRPr="008C2309">
        <w:rPr>
          <w:rFonts w:ascii="Times" w:hAnsi="Times"/>
        </w:rPr>
        <w:t xml:space="preserve"> </w:t>
      </w:r>
      <w:r w:rsidR="00101293" w:rsidRPr="008C2309">
        <w:rPr>
          <w:rFonts w:ascii="Times" w:hAnsi="Times"/>
        </w:rPr>
        <w:t xml:space="preserve">have </w:t>
      </w:r>
      <w:r w:rsidR="002D1C49" w:rsidRPr="008C2309">
        <w:rPr>
          <w:rFonts w:ascii="Times" w:hAnsi="Times"/>
        </w:rPr>
        <w:t>a greater influence over the overall Tg</w:t>
      </w:r>
      <w:r w:rsidR="00F41903" w:rsidRPr="008C2309">
        <w:rPr>
          <w:rFonts w:ascii="Times" w:hAnsi="Times"/>
        </w:rPr>
        <w:t>/Tgs</w:t>
      </w:r>
      <w:r w:rsidR="006B5C5D" w:rsidRPr="008C2309">
        <w:rPr>
          <w:rFonts w:ascii="Times" w:hAnsi="Times"/>
        </w:rPr>
        <w:t>,</w:t>
      </w:r>
      <w:r w:rsidR="002D1C49" w:rsidRPr="008C2309">
        <w:rPr>
          <w:rFonts w:ascii="Times" w:hAnsi="Times"/>
        </w:rPr>
        <w:t xml:space="preserve"> thus </w:t>
      </w:r>
      <w:r w:rsidR="00F41903" w:rsidRPr="008C2309">
        <w:rPr>
          <w:rFonts w:ascii="Times" w:hAnsi="Times"/>
        </w:rPr>
        <w:t xml:space="preserve">causing </w:t>
      </w:r>
      <w:r w:rsidR="00101293" w:rsidRPr="008C2309">
        <w:rPr>
          <w:rFonts w:ascii="Times" w:hAnsi="Times"/>
        </w:rPr>
        <w:t>a Tg reduction relative</w:t>
      </w:r>
      <w:r w:rsidR="002D1C49" w:rsidRPr="008C2309">
        <w:rPr>
          <w:rFonts w:ascii="Times" w:hAnsi="Times"/>
        </w:rPr>
        <w:t xml:space="preserve"> to </w:t>
      </w:r>
      <w:r w:rsidR="00101293" w:rsidRPr="008C2309">
        <w:rPr>
          <w:rFonts w:ascii="Times" w:hAnsi="Times"/>
        </w:rPr>
        <w:t xml:space="preserve">equivalent </w:t>
      </w:r>
      <w:r w:rsidR="002D1C49" w:rsidRPr="008C2309">
        <w:rPr>
          <w:rFonts w:ascii="Times" w:hAnsi="Times"/>
        </w:rPr>
        <w:t xml:space="preserve">SD </w:t>
      </w:r>
      <w:r w:rsidR="00101293" w:rsidRPr="008C2309">
        <w:rPr>
          <w:rFonts w:ascii="Times" w:hAnsi="Times"/>
        </w:rPr>
        <w:t xml:space="preserve">systems </w:t>
      </w:r>
      <w:r w:rsidR="00F41903" w:rsidRPr="008C2309">
        <w:rPr>
          <w:rFonts w:ascii="Times" w:hAnsi="Times"/>
        </w:rPr>
        <w:t>which have fully amorphous components</w:t>
      </w:r>
      <w:r w:rsidR="002D1C49" w:rsidRPr="008C2309">
        <w:rPr>
          <w:rFonts w:ascii="Times" w:hAnsi="Times"/>
        </w:rPr>
        <w:t>.</w:t>
      </w:r>
      <w:r w:rsidR="00F41903" w:rsidRPr="008C2309">
        <w:rPr>
          <w:rFonts w:ascii="Times" w:hAnsi="Times"/>
        </w:rPr>
        <w:t xml:space="preserve"> </w:t>
      </w:r>
    </w:p>
    <w:p w14:paraId="3942DDA0" w14:textId="77777777" w:rsidR="00C51319" w:rsidRPr="008C2309" w:rsidRDefault="00C51319" w:rsidP="00E41DED">
      <w:pPr>
        <w:spacing w:line="480" w:lineRule="auto"/>
        <w:jc w:val="both"/>
        <w:rPr>
          <w:rFonts w:ascii="Times" w:hAnsi="Times"/>
        </w:rPr>
      </w:pPr>
    </w:p>
    <w:p w14:paraId="399A90CC" w14:textId="26FBA03D" w:rsidR="00721D9E" w:rsidRPr="008C2309" w:rsidRDefault="00050E0F" w:rsidP="00721D9E">
      <w:pPr>
        <w:spacing w:line="480" w:lineRule="auto"/>
        <w:jc w:val="both"/>
      </w:pPr>
      <w:r w:rsidRPr="008C2309">
        <w:rPr>
          <w:rFonts w:ascii="Times" w:hAnsi="Times" w:cstheme="minorHAnsi"/>
          <w:color w:val="000000" w:themeColor="text1"/>
        </w:rPr>
        <w:t>With respect to</w:t>
      </w:r>
      <w:r w:rsidR="00AA7D12" w:rsidRPr="008C2309">
        <w:rPr>
          <w:rFonts w:ascii="Times" w:hAnsi="Times" w:cstheme="minorHAnsi"/>
          <w:color w:val="000000" w:themeColor="text1"/>
        </w:rPr>
        <w:t xml:space="preserve"> </w:t>
      </w:r>
      <w:r w:rsidR="00D14BA3" w:rsidRPr="008C2309">
        <w:rPr>
          <w:rFonts w:ascii="Times" w:hAnsi="Times" w:cstheme="minorHAnsi"/>
          <w:color w:val="000000" w:themeColor="text1"/>
        </w:rPr>
        <w:t xml:space="preserve">the production of </w:t>
      </w:r>
      <w:r w:rsidRPr="008C2309">
        <w:rPr>
          <w:rFonts w:ascii="Times" w:hAnsi="Times" w:cstheme="minorHAnsi"/>
          <w:color w:val="000000" w:themeColor="text1"/>
        </w:rPr>
        <w:t>amorphous solid dispersions (ASD)</w:t>
      </w:r>
      <w:r w:rsidR="009301CA" w:rsidRPr="008C2309">
        <w:rPr>
          <w:rFonts w:ascii="Times" w:hAnsi="Times" w:cstheme="minorHAnsi"/>
          <w:color w:val="000000" w:themeColor="text1"/>
        </w:rPr>
        <w:t xml:space="preserve"> through the different</w:t>
      </w:r>
      <w:r w:rsidRPr="008C2309">
        <w:rPr>
          <w:rFonts w:ascii="Times" w:hAnsi="Times" w:cstheme="minorHAnsi"/>
          <w:color w:val="000000" w:themeColor="text1"/>
        </w:rPr>
        <w:t xml:space="preserve"> </w:t>
      </w:r>
      <w:r w:rsidR="00D14BA3" w:rsidRPr="008C2309">
        <w:rPr>
          <w:rFonts w:ascii="Times" w:hAnsi="Times" w:cstheme="minorHAnsi"/>
          <w:color w:val="000000" w:themeColor="text1"/>
        </w:rPr>
        <w:t xml:space="preserve">manufacturing </w:t>
      </w:r>
      <w:r w:rsidR="009301CA" w:rsidRPr="008C2309">
        <w:rPr>
          <w:rFonts w:ascii="Times" w:hAnsi="Times" w:cstheme="minorHAnsi"/>
          <w:color w:val="000000" w:themeColor="text1"/>
        </w:rPr>
        <w:t>processes</w:t>
      </w:r>
      <w:r w:rsidR="002613CB" w:rsidRPr="008C2309">
        <w:rPr>
          <w:rFonts w:ascii="Times" w:hAnsi="Times" w:cstheme="minorHAnsi"/>
          <w:color w:val="000000" w:themeColor="text1"/>
        </w:rPr>
        <w:t>, the most important factor</w:t>
      </w:r>
      <w:r w:rsidR="00D14BA3" w:rsidRPr="008C2309">
        <w:rPr>
          <w:rFonts w:ascii="Times" w:hAnsi="Times" w:cstheme="minorHAnsi"/>
          <w:color w:val="000000" w:themeColor="text1"/>
        </w:rPr>
        <w:t>s</w:t>
      </w:r>
      <w:r w:rsidR="002613CB" w:rsidRPr="008C2309">
        <w:rPr>
          <w:rFonts w:ascii="Times" w:hAnsi="Times" w:cstheme="minorHAnsi"/>
          <w:color w:val="000000" w:themeColor="text1"/>
        </w:rPr>
        <w:t xml:space="preserve"> </w:t>
      </w:r>
      <w:r w:rsidR="00D14BA3" w:rsidRPr="008C2309">
        <w:rPr>
          <w:rFonts w:ascii="Times" w:hAnsi="Times" w:cstheme="minorHAnsi"/>
          <w:color w:val="000000" w:themeColor="text1"/>
        </w:rPr>
        <w:t xml:space="preserve">are </w:t>
      </w:r>
      <w:r w:rsidR="002613CB" w:rsidRPr="008C2309">
        <w:rPr>
          <w:rFonts w:ascii="Times" w:hAnsi="Times" w:cstheme="minorHAnsi"/>
          <w:color w:val="000000" w:themeColor="text1"/>
        </w:rPr>
        <w:t>the solid state of the drug and its miscibility in the carrier system</w:t>
      </w:r>
      <w:r w:rsidR="0046063A" w:rsidRPr="008C2309">
        <w:rPr>
          <w:rFonts w:ascii="Times" w:hAnsi="Times" w:cstheme="minorHAnsi"/>
          <w:color w:val="000000" w:themeColor="text1"/>
        </w:rPr>
        <w:t xml:space="preserve"> </w:t>
      </w:r>
      <w:r w:rsidR="002613CB"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"10.1016/J.ADDR.2015.12.010", "ISSN" : "0169-409X", "abstract" : "Spray drying is a well-established manufacturing technique which can be used to formulate amorphous solid dispersions (ASDs) which is an effective strategy to deliver poorly water soluble drugs (PWSDs). However, the inherently complex nature of the spray drying process coupled with specific characteristics of ASDs makes it an interesting area to explore. Numerous diverse factors interact in an inter-dependent manner to determine the final product properties. This review discusses the basic background of ASDs, various formulation and process variables influencing the critical quality attributes (CQAs) of the ASDs and aspects of downstream processing. Also various aspects of spray drying such as instrumentation, thermodynamics, drying kinetics, particle formation process and scale-up challenges are included. Recent advances in the spray-based drying techniques are mentioned along with some future avenues where major research thrust is needed.", "author" : [ { "dropping-particle" : "", "family" : "Singh", "given" : "Abhishek", "non-dropping-particle" : "", "parse-names" : false, "suffix" : "" }, { "dropping-particle" : "", "family" : "Mooter", "given" : "Guy", "non-dropping-particle" : "Van den", "parse-names" : false, "suffix" : "" } ], "container-title" : "Advanced Drug Delivery Reviews", "id" : "ITEM-1", "issued" : { "date-parts" : [ [ "2016", "5", "1" ] ] }, "page" : "27-50", "publisher" : "Elsevier", "title" : "Spray drying formulation of amorphous solid dispersions", "type" : "article-journal", "volume" : "100" }, "uris" : [ "http://www.mendeley.com/documents/?uuid=93ec5d2d-462e-376c-b9e5-ed851ef73b0e" ] } ], "mendeley" : { "formattedCitation" : "(Singh and Van den Mooter, 2016)", "plainTextFormattedCitation" : "(Singh and Van den Mooter, 2016)", "previouslyFormattedCitation" : "(Singh and Van den Mooter, 2016)" }, "properties" : {  }, "schema" : "https://github.com/citation-style-language/schema/raw/master/csl-citation.json" }</w:instrText>
      </w:r>
      <w:r w:rsidR="002613CB"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(Singh and Van den Mooter, 2016)</w:t>
      </w:r>
      <w:r w:rsidR="002613CB" w:rsidRPr="008C2309">
        <w:rPr>
          <w:rFonts w:ascii="Times" w:hAnsi="Times" w:cstheme="minorHAnsi"/>
          <w:color w:val="000000" w:themeColor="text1"/>
        </w:rPr>
        <w:fldChar w:fldCharType="end"/>
      </w:r>
      <w:r w:rsidR="002613CB" w:rsidRPr="008C2309">
        <w:rPr>
          <w:rFonts w:ascii="Times" w:hAnsi="Times" w:cstheme="minorHAnsi"/>
          <w:color w:val="000000" w:themeColor="text1"/>
        </w:rPr>
        <w:t>.</w:t>
      </w:r>
      <w:r w:rsidR="0003749A" w:rsidRPr="008C2309">
        <w:t xml:space="preserve"> All three spray dried formulations were amorphous, indicating sufficient component miscibility and intermolecular interactions to ensure molecular level mixing and ASD production</w:t>
      </w:r>
      <w:r w:rsidR="00057D59" w:rsidRPr="008C2309">
        <w:t>.</w:t>
      </w:r>
      <w:r w:rsidR="004B388B" w:rsidRPr="008C2309">
        <w:t xml:space="preserve"> </w:t>
      </w:r>
      <w:r w:rsidR="00721D9E" w:rsidRPr="008C2309">
        <w:t xml:space="preserve">However, since all HME formulations were processed below the melting point of HCTZ (272 °C), the formation of ASDs relies on the solubilization of the API components in the other formulation excipients </w:t>
      </w:r>
      <w:r w:rsidR="00721D9E" w:rsidRPr="008C2309">
        <w:fldChar w:fldCharType="begin" w:fldLock="1"/>
      </w:r>
      <w:r w:rsidR="00721D9E" w:rsidRPr="008C2309">
        <w:instrText>ADDIN CSL_CITATION { "citationItems" : [ { "id" : "ITEM-1", "itemData" : { "DOI" : "10.1016/J.EJPB.2009.09.007", "ISSN" : "0939-6411", "abstract" : "Many techniques for the production of solid dispersions rely on elevated temperatures and prolonged material residence times, which can result in decomposition of temperature-sensitive components. In this study, hydrocortisone was used as a model temperature-sensitive active ingredient to study the effect of formulation and processing techniques as well as to characterize the benefits of KinetiSol\u00ae Dispersing for the production of solid dispersions. Preformulation studies were conducted using differential scanning calorimetry and hot stage microscopy to identify optimum carriers for the production of amorphous solid dispersions. After identification, solid dispersions were prepared by hot melt extrusion and KinetiSol\u00ae Dispersing, with material characterized by X-ray diffraction, dissolution and potency testing to evaluate physicochemical properties. Results from the preformulation studies showed that vinylacetate:vinylpyrrolidone (PVPVA) copolymer allowed for hydrocortisone dissolution within the carrier at temperatures as low as 160\u00b0C, while hydroxypropyl methylcellulose required temperatures upward of 180\u00b0C to facilitate solubilization. Low substituted hydroxypropyl cellulose, a high glass transition temperature control, showed that the material was unable to solubilize hydrocortisone. Manufacturing process control studies using hot melt extruded compositions of hydrocortisone and PVPVA showed that increased temperatures and residence times negatively impacted product potency due to decomposition. Using KinetiSol\u00ae Dispersing to reduce residence time and to facilitate lower temperature processing, it was possible to produce solid dispersions with improved product potency. This study clearly demonstrated the importance of carrier selection to facilitate lower temperature processing, as well as the effect of residence time on product potency. Furthermore, KinetiSol\u00ae Dispersing provided significant advantages over hot melt extrusion due to the reduced residence times and lower required processing temperatures. This allowed for the production of solid dispersions with enhanced product potency.", "author" : [ { "dropping-particle" : "", "family" : "DiNunzio", "given" : "James C.", "non-dropping-particle" : "", "parse-names" : false, "suffix" : "" }, { "dropping-particle" : "", "family" : "Brough", "given" : "Chris", "non-dropping-particle" : "", "parse-names" : false, "suffix" : "" }, { "dropping-particle" : "", "family" : "Hughey", "given" : "Justin R.", "non-dropping-particle" : "", "parse-names" : false, "suffix" : "" }, { "dropping-particle" : "", "family" : "Miller", "given" : "Dave A.", "non-dropping-particle" : "", "parse-names" : false, "suffix" : "" }, { "dropping-particle" : "", "family" : "Williams", "given" : "Robert O.", "non-dropping-particle" : "", "parse-names" : false, "suffix" : "" }, { "dropping-particle" : "", "family" : "McGinity", "given" : "James W.", "non-dropping-particle" : "", "parse-names" : false, "suffix" : "" } ], "container-title" : "European Journal of Pharmaceutics and Biopharmaceutics", "id" : "ITEM-1", "issue" : "2", "issued" : { "date-parts" : [ [ "2010", "2", "1" ] ] }, "page" : "340-351", "publisher" : "Elsevier", "title" : "Fusion production of solid dispersions containing a heat-sensitive active ingredient by hot melt extrusion and Kinetisol\u00ae dispersing", "type" : "article-journal", "volume" : "74" }, "uris" : [ "http://www.mendeley.com/documents/?uuid=6e92a23a-656d-35d4-953d-f4976f9f8deb" ] } ], "mendeley" : { "formattedCitation" : "(DiNunzio et al., 2010)", "plainTextFormattedCitation" : "(DiNunzio et al., 2010)", "previouslyFormattedCitation" : "(DiNunzio et al., 2010)" }, "properties" : {  }, "schema" : "https://github.com/citation-style-language/schema/raw/master/csl-citation.json" }</w:instrText>
      </w:r>
      <w:r w:rsidR="00721D9E" w:rsidRPr="008C2309">
        <w:fldChar w:fldCharType="separate"/>
      </w:r>
      <w:r w:rsidR="00721D9E" w:rsidRPr="008C2309">
        <w:rPr>
          <w:noProof/>
        </w:rPr>
        <w:t>(DiNunzio et al., 2010)</w:t>
      </w:r>
      <w:r w:rsidR="00721D9E" w:rsidRPr="008C2309">
        <w:fldChar w:fldCharType="end"/>
      </w:r>
      <w:r w:rsidR="00721D9E" w:rsidRPr="008C2309">
        <w:t>. As we are limited in our HME manufacturing process temperature due to the degradation of RAM above its melting point, the incomplete solubilization of HCTZ results in partially crystalline products.</w:t>
      </w:r>
    </w:p>
    <w:p w14:paraId="1E3F14C9" w14:textId="77777777" w:rsidR="00C51319" w:rsidRPr="008C2309" w:rsidRDefault="00C51319" w:rsidP="00721D9E">
      <w:pPr>
        <w:spacing w:line="480" w:lineRule="auto"/>
        <w:jc w:val="both"/>
      </w:pPr>
    </w:p>
    <w:p w14:paraId="3B516512" w14:textId="518745E9" w:rsidR="00EB1963" w:rsidRPr="008C2309" w:rsidRDefault="00C51319" w:rsidP="00C51319">
      <w:pPr>
        <w:spacing w:line="480" w:lineRule="auto"/>
        <w:jc w:val="both"/>
        <w:rPr>
          <w:rFonts w:ascii="Times" w:hAnsi="Times" w:cstheme="minorHAnsi"/>
          <w:lang w:eastAsia="en-US"/>
        </w:rPr>
      </w:pPr>
      <w:r w:rsidRPr="008C2309">
        <w:rPr>
          <w:rFonts w:ascii="Times" w:hAnsi="Times" w:cstheme="minorHAnsi"/>
          <w:lang w:eastAsia="en-US"/>
        </w:rPr>
        <w:t xml:space="preserve">When comparing the SD formulations to the HME formulations (post milling), there were significantly smaller particles for each spray dried formulation. As is to be expected with SD, the particles were in the micrometre size range. Once the extrudates for HME were pulverised into a powder, the milling process was stopped to minimise the impact it would have on the solid-state properties of the formulation. Particle size can decrease exponentially with time when milled </w:t>
      </w:r>
      <w:r w:rsidRPr="008C2309">
        <w:rPr>
          <w:rFonts w:ascii="Times" w:hAnsi="Times" w:cstheme="minorHAnsi"/>
          <w:lang w:eastAsia="en-US"/>
        </w:rPr>
        <w:fldChar w:fldCharType="begin" w:fldLock="1"/>
      </w:r>
      <w:r w:rsidRPr="008C2309">
        <w:rPr>
          <w:rFonts w:ascii="Times" w:hAnsi="Times" w:cstheme="minorHAnsi"/>
          <w:lang w:eastAsia="en-US"/>
        </w:rPr>
        <w:instrText>ADDIN CSL_CITATION { "citationItems" : [ { "id" : "ITEM-1", "itemData" : { "DOI" : "http://dx.doi.org/10.1016/S0079-6425(99)00010-9", "ISSN" : "0079-6425", "author" : [ { "dropping-particle" : "", "family" : "Suryanarayana", "given" : "C", "non-dropping-particle" : "", "parse-names" : false, "suffix" : "" } ], "container-title" : "Progress in Materials Science", "id" : "ITEM-1", "issue" : "1", "issued" : { "date-parts" : [ [ "2001" ] ] }, "page" : "1-184", "title" : "Mechanical alloying and milling", "type" : "article-journal", "volume" : "46" }, "uris" : [ "http://www.mendeley.com/documents/?uuid=a9fb2221-6f15-45ee-a7a3-1a983c7d8a92", "http://www.mendeley.com/documents/?uuid=698bd778-593c-4154-a80a-38dbb0548d43" ] } ], "mendeley" : { "formattedCitation" : "(Suryanarayana, 2001)", "plainTextFormattedCitation" : "(Suryanarayana, 2001)", "previouslyFormattedCitation" : "(Suryanarayana, 2001)" }, "properties" : {  }, "schema" : "https://github.com/citation-style-language/schema/raw/master/csl-citation.json" }</w:instrText>
      </w:r>
      <w:r w:rsidRPr="008C2309">
        <w:rPr>
          <w:rFonts w:ascii="Times" w:hAnsi="Times" w:cstheme="minorHAnsi"/>
          <w:lang w:eastAsia="en-US"/>
        </w:rPr>
        <w:fldChar w:fldCharType="separate"/>
      </w:r>
      <w:r w:rsidRPr="008C2309">
        <w:rPr>
          <w:rFonts w:ascii="Times" w:hAnsi="Times" w:cstheme="minorHAnsi"/>
          <w:noProof/>
          <w:lang w:eastAsia="en-US"/>
        </w:rPr>
        <w:t>(Suryanarayana, 2001)</w:t>
      </w:r>
      <w:r w:rsidRPr="008C2309">
        <w:rPr>
          <w:rFonts w:ascii="Times" w:hAnsi="Times" w:cstheme="minorHAnsi"/>
          <w:lang w:eastAsia="en-US"/>
        </w:rPr>
        <w:fldChar w:fldCharType="end"/>
      </w:r>
      <w:r w:rsidRPr="008C2309">
        <w:rPr>
          <w:rFonts w:ascii="Times" w:hAnsi="Times" w:cstheme="minorHAnsi"/>
          <w:lang w:eastAsia="en-US"/>
        </w:rPr>
        <w:t xml:space="preserve"> but this also increases the chances of milling changing the physical and solid state characteristics such as amorphous content of the HME formulation. While milling was undertaken at cryogenic temperatures to maintain amorphous content, local “hot spots” can develop due to the violent impact of balls during the milling process </w:t>
      </w:r>
      <w:r w:rsidRPr="008C2309">
        <w:rPr>
          <w:rFonts w:ascii="Times" w:hAnsi="Times" w:cstheme="minorHAnsi"/>
          <w:lang w:eastAsia="en-US"/>
        </w:rPr>
        <w:fldChar w:fldCharType="begin" w:fldLock="1"/>
      </w:r>
      <w:r w:rsidRPr="008C2309">
        <w:rPr>
          <w:rFonts w:ascii="Times" w:hAnsi="Times" w:cstheme="minorHAnsi"/>
          <w:lang w:eastAsia="en-US"/>
        </w:rPr>
        <w:instrText>ADDIN CSL_CITATION { "citationItems" : [ { "id" : "ITEM-1", "itemData" : { "ISBN" : "9781483257365", "abstract" : "Includes index.", "author" : [ { "dropping-particle" : "", "family" : "Casale", "given" : "Antonio.", "non-dropping-particle" : "", "parse-names" : false, "suffix" : "" }, { "dropping-particle" : "", "family" : "Porter", "given" : "Roger S. (Roger Stephen)", "non-dropping-particle" : "", "parse-names" : false, "suffix" : "" } ], "id" : "ITEM-1", "issued" : { "date-parts" : [ [ "1979" ] ] }, "number-of-pages" : "387-388", "publisher" : "Academic Press", "title" : "Polymer stress reactions, Volume 2", "type" : "book" }, "uris" : [ "http://www.mendeley.com/documents/?uuid=2ce7c900-6615-3d5d-bb6f-d8f9756a1324" ] } ], "mendeley" : { "formattedCitation" : "(Casale and Porter, 1979)", "plainTextFormattedCitation" : "(Casale and Porter, 1979)", "previouslyFormattedCitation" : "(Casale and Porter, 1979)" }, "properties" : {  }, "schema" : "https://github.com/citation-style-language/schema/raw/master/csl-citation.json" }</w:instrText>
      </w:r>
      <w:r w:rsidRPr="008C2309">
        <w:rPr>
          <w:rFonts w:ascii="Times" w:hAnsi="Times" w:cstheme="minorHAnsi"/>
          <w:lang w:eastAsia="en-US"/>
        </w:rPr>
        <w:fldChar w:fldCharType="separate"/>
      </w:r>
      <w:r w:rsidRPr="008C2309">
        <w:rPr>
          <w:rFonts w:ascii="Times" w:hAnsi="Times" w:cstheme="minorHAnsi"/>
          <w:noProof/>
          <w:lang w:eastAsia="en-US"/>
        </w:rPr>
        <w:t>(Casale and Porter, 1979)</w:t>
      </w:r>
      <w:r w:rsidRPr="008C2309">
        <w:rPr>
          <w:rFonts w:ascii="Times" w:hAnsi="Times" w:cstheme="minorHAnsi"/>
          <w:lang w:eastAsia="en-US"/>
        </w:rPr>
        <w:fldChar w:fldCharType="end"/>
      </w:r>
      <w:r w:rsidRPr="008C2309">
        <w:rPr>
          <w:rFonts w:ascii="Times" w:hAnsi="Times" w:cstheme="minorHAnsi"/>
          <w:lang w:eastAsia="en-US"/>
        </w:rPr>
        <w:t xml:space="preserve"> which can promote crystallisation. For this reason, the milling process was conducted using the shortest timeframe possible.</w:t>
      </w:r>
    </w:p>
    <w:p w14:paraId="4D91EBBD" w14:textId="77777777" w:rsidR="00C51319" w:rsidRPr="008C2309" w:rsidRDefault="00C51319" w:rsidP="00C51319">
      <w:pPr>
        <w:spacing w:line="480" w:lineRule="auto"/>
        <w:jc w:val="both"/>
      </w:pPr>
    </w:p>
    <w:p w14:paraId="07CC559F" w14:textId="6C4DAAF6" w:rsidR="009E4354" w:rsidRPr="008C2309" w:rsidRDefault="009E4354" w:rsidP="009E4354">
      <w:pPr>
        <w:spacing w:line="480" w:lineRule="auto"/>
        <w:jc w:val="both"/>
        <w:rPr>
          <w:bCs/>
          <w:lang w:val="en-IE"/>
        </w:rPr>
      </w:pPr>
      <w:r w:rsidRPr="008C2309">
        <w:rPr>
          <w:bCs/>
          <w:lang w:val="en-IE"/>
        </w:rPr>
        <w:t xml:space="preserve">Fourier transform infrared spectroscopy (FT-IR) is one of the most widely used methods to detect the intermolecular interactions in ASDs, such as hydrogen bonds between API and polymer excipients </w:t>
      </w:r>
      <w:r w:rsidRPr="008C2309">
        <w:rPr>
          <w:bCs/>
          <w:lang w:val="en-IE"/>
        </w:rPr>
        <w:fldChar w:fldCharType="begin" w:fldLock="1"/>
      </w:r>
      <w:r w:rsidRPr="008C2309">
        <w:rPr>
          <w:bCs/>
          <w:lang w:val="en-IE"/>
        </w:rPr>
        <w:instrText>ADDIN CSL_CITATION { "citationItems" : [ { "id" : "ITEM-1", "itemData" : { "DOI" : "10.1016/J.IJPHARM.2010.12.011", "ISSN" : "0378-5173", "abstract" : "In this article, the use of mid-IR in pharmaceutical settings is reviewed. An overview of mid-IR instrumentation and sampling techniques is provided. Subsequently, different pharmaceutical applications of the technique are described, including structure elucidation and identification, characterization of crystalline (polymorphs, hydrates, salts and co-crystals) and amorphous forms, as well as quantitative and remote sensing applications. Finally, an overview of current trends in FTIR-based imaging applications is provided, with special attention paid to currently emerging FTIR\u2013AFM coupled techniques which have high spatial resolution.", "author" : [ { "dropping-particle" : "", "family" : "Eerdenbrugh", "given" : "Bernard", "non-dropping-particle" : "Van", "parse-names" : false, "suffix" : "" }, { "dropping-particle" : "", "family" : "Taylor", "given" : "Lynne S.", "non-dropping-particle" : "", "parse-names" : false, "suffix" : "" } ], "container-title" : "International Journal of Pharmaceutics", "id" : "ITEM-1", "issue" : "1-2", "issued" : { "date-parts" : [ [ "2011", "9", "30" ] ] }, "page" : "3-16", "publisher" : "Elsevier", "title" : "Application of mid-IR spectroscopy for the characterization of pharmaceutical systems", "type" : "article-journal", "volume" : "417" }, "uris" : [ "http://www.mendeley.com/documents/?uuid=536d8dd0-fc2a-3b71-91ed-de9795548ec1" ] } ], "mendeley" : { "formattedCitation" : "(Van Eerdenbrugh and Taylor, 2011)", "plainTextFormattedCitation" : "(Van Eerdenbrugh and Taylor, 2011)", "previouslyFormattedCitation" : "(Van Eerdenbrugh and Taylor, 2011)" }, "properties" : {  }, "schema" : "https://github.com/citation-style-language/schema/raw/master/csl-citation.json" }</w:instrText>
      </w:r>
      <w:r w:rsidRPr="008C2309">
        <w:rPr>
          <w:bCs/>
          <w:lang w:val="en-IE"/>
        </w:rPr>
        <w:fldChar w:fldCharType="separate"/>
      </w:r>
      <w:r w:rsidRPr="008C2309">
        <w:rPr>
          <w:bCs/>
          <w:noProof/>
          <w:lang w:val="en-IE"/>
        </w:rPr>
        <w:t>(Van Eerdenbrugh and Taylor, 2011)</w:t>
      </w:r>
      <w:r w:rsidRPr="008C2309">
        <w:rPr>
          <w:bCs/>
          <w:lang w:val="en-IE"/>
        </w:rPr>
        <w:fldChar w:fldCharType="end"/>
      </w:r>
      <w:r w:rsidRPr="008C2309">
        <w:rPr>
          <w:bCs/>
          <w:lang w:val="en-IE"/>
        </w:rPr>
        <w:t xml:space="preserve">. For this reason, it was used to probe the presence of hydrogen bonding in the SD formulations. </w:t>
      </w:r>
    </w:p>
    <w:p w14:paraId="44FD7C65" w14:textId="506DAB9B" w:rsidR="009E4354" w:rsidRPr="008C2309" w:rsidRDefault="009E4354" w:rsidP="009E4354">
      <w:pPr>
        <w:spacing w:line="480" w:lineRule="auto"/>
        <w:jc w:val="both"/>
        <w:rPr>
          <w:bCs/>
          <w:lang w:val="en-IE"/>
        </w:rPr>
      </w:pPr>
      <w:r w:rsidRPr="008C2309">
        <w:rPr>
          <w:bCs/>
          <w:lang w:val="en-IE"/>
        </w:rPr>
        <w:t>In the HCTZ molecules, the N–H and N-H</w:t>
      </w:r>
      <w:r w:rsidRPr="008C2309">
        <w:rPr>
          <w:bCs/>
          <w:vertAlign w:val="subscript"/>
          <w:lang w:val="en-IE"/>
        </w:rPr>
        <w:t>2</w:t>
      </w:r>
      <w:r w:rsidRPr="008C2309">
        <w:rPr>
          <w:bCs/>
          <w:lang w:val="en-IE"/>
        </w:rPr>
        <w:t xml:space="preserve"> groups may act as hydrogen donors which can form hydrogen bonds with appropriate acceptor groups, such as a carbonyl (C=O) groups. For the RAM molecule, the N-H group and O-H group are potential hydrogen donors. Kollidon</w:t>
      </w:r>
      <w:r w:rsidRPr="008C2309">
        <w:rPr>
          <w:bCs/>
          <w:vertAlign w:val="superscript"/>
        </w:rPr>
        <w:t>®</w:t>
      </w:r>
      <w:r w:rsidRPr="008C2309">
        <w:rPr>
          <w:bCs/>
        </w:rPr>
        <w:t xml:space="preserve"> </w:t>
      </w:r>
      <w:r w:rsidRPr="008C2309">
        <w:rPr>
          <w:bCs/>
          <w:lang w:val="en-IE"/>
        </w:rPr>
        <w:t xml:space="preserve">VA 64 contains two hydrogen acceptors, which are derived from the C=O groups of the pyrrolidone ring and the acetate structure. Hydrogen bonding of the API donor groups should </w:t>
      </w:r>
      <w:r w:rsidR="000607CE" w:rsidRPr="008C2309">
        <w:rPr>
          <w:bCs/>
          <w:lang w:val="en-IE"/>
        </w:rPr>
        <w:t>preferentially involve</w:t>
      </w:r>
      <w:r w:rsidRPr="008C2309">
        <w:rPr>
          <w:bCs/>
          <w:lang w:val="en-IE"/>
        </w:rPr>
        <w:t xml:space="preserve"> the C=O group of the pyrrolidone group, because this group is a stronger hydrogen bond acceptor than the acetate group </w:t>
      </w:r>
      <w:r w:rsidRPr="008C2309">
        <w:rPr>
          <w:bCs/>
          <w:lang w:val="en-IE"/>
        </w:rPr>
        <w:fldChar w:fldCharType="begin" w:fldLock="1"/>
      </w:r>
      <w:r w:rsidRPr="008C2309">
        <w:rPr>
          <w:bCs/>
          <w:lang w:val="en-IE"/>
        </w:rPr>
        <w:instrText>ADDIN CSL_CITATION { "citationItems" : [ { "id" : "ITEM-1", "itemData" : { "DOI" : "10.1039/c001905d", "ISSN" : "1466-8033", "author" : [ { "dropping-particle" : "", "family" : "Kestur", "given" : "Umesh S.", "non-dropping-particle" : "", "parse-names" : false, "suffix" : "" }, { "dropping-particle" : "", "family" : "Taylor", "given" : "Lynne S.", "non-dropping-particle" : "", "parse-names" : false, "suffix" : "" } ], "container-title" : "CrystEngComm", "id" : "ITEM-1", "issue" : "8", "issued" : { "date-parts" : [ [ "2010", "7", "21" ] ] }, "page" : "2390", "publisher" : "Royal Society of Chemistry", "title" : "Role of polymer chemistry in influencing crystal growth rates from amorphous felodipine", "type" : "article-journal", "volume" : "12" }, "uris" : [ "http://www.mendeley.com/documents/?uuid=dc92215c-8f1e-3114-94a2-049c7746a4e1" ] }, { "id" : "ITEM-2", "itemData" : { "DOI" : "10.1002/jps.1041", "ISSN" : "00223549", "abstract" : "&lt;h2&gt;Abstract&lt;/h2&gt;&lt;p&gt;Water associated with amorphous polymers is known to affect their chemical and physical properties. The purpose of this study was to investigate the nature of water\u2013polymer interactions for some polymers of pharmaceutical interest. Using Raman spectroscopy, polymer\u2013water hydrogen bond interactions were probed for two molecular weight grades of poly(vinylpyrrolidone), namely PVP K90 and PVP K12, and also for poly(vinylacetate) and poly(vinyl pyrrolidone\u2010&lt;i&gt;co&lt;/i&gt;\u2010vinyl acetate). Water vapor absorption isotherms were obtained for the polymers, and the effect of the absorbed water on the glass transition temperature was determined. A knowledge of the water content and physical state of the polymer was used to aid interpretation of Raman spectral changes. The strength of the hydrogen bond formed with water was found to depend on the chemistry of the polymer, with the pyrrolidone group interacting more strongly than the acetate group. However, minor differences were also observed between the degree of interaction of water and polymer for PVP K12 and PVP K90 at some water contents. This result is attributed to differences in the structural relaxation changes accompanying plasticization by water for the two molecular weight grades. Using principal components analysis of the spectral data, it was also possible to differentiate between samples in the rubbery state and samples in the glassy state. In conclusion, water sorbed into polymers causes changes in the polymer Raman spectra not only because of hydrogen bonding, but also as a result of the plasticizing effect of water on polymer mobility. \u00a9 2001 Wiley\u2010Liss, Inc. and the American Pharmaceutical Association J Pharm Sci 90:888\u2013901, 2001&lt;/p&gt;", "author" : [ { "dropping-particle" : "", "family" : "Taylor", "given" : "Lynne S.", "non-dropping-particle" : "", "parse-names" : false, "suffix" : "" }, { "dropping-particle" : "", "family" : "Langkilde", "given" : "Frans W.", "non-dropping-particle" : "", "parse-names" : false, "suffix" : "" }, { "dropping-particle" : "", "family" : "Zografi", "given" : "George", "non-dropping-particle" : "", "parse-names" : false, "suffix" : "" } ], "container-title" : "Journal of Pharmaceutical Sciences", "id" : "ITEM-2", "issue" : "7", "issued" : { "date-parts" : [ [ "2001", "7", "1" ] ] }, "page" : "888-901", "publisher" : "Elsevier", "title" : "Fourier transform Raman spectroscopic study of the interaction of water vapor with amorphous polymers", "type" : "article-journal", "volume" : "90" }, "uris" : [ "http://www.mendeley.com/documents/?uuid=f9e5970d-94c2-3bb3-a220-8b77ab922490" ] } ], "mendeley" : { "formattedCitation" : "(Kestur and Taylor, 2010; Taylor et al., 2001)", "plainTextFormattedCitation" : "(Kestur and Taylor, 2010; Taylor et al., 2001)", "previouslyFormattedCitation" : "(Kestur and Taylor, 2010; Taylor et al., 2001)" }, "properties" : {  }, "schema" : "https://github.com/citation-style-language/schema/raw/master/csl-citation.json" }</w:instrText>
      </w:r>
      <w:r w:rsidRPr="008C2309">
        <w:rPr>
          <w:bCs/>
          <w:lang w:val="en-IE"/>
        </w:rPr>
        <w:fldChar w:fldCharType="separate"/>
      </w:r>
      <w:r w:rsidRPr="008C2309">
        <w:rPr>
          <w:bCs/>
          <w:noProof/>
          <w:lang w:val="en-IE"/>
        </w:rPr>
        <w:t>(Kestur and Taylor, 2010; Taylor et al., 2001)</w:t>
      </w:r>
      <w:r w:rsidRPr="008C2309">
        <w:rPr>
          <w:bCs/>
          <w:lang w:val="en-IE"/>
        </w:rPr>
        <w:fldChar w:fldCharType="end"/>
      </w:r>
      <w:r w:rsidRPr="008C2309">
        <w:rPr>
          <w:bCs/>
          <w:lang w:val="en-IE"/>
        </w:rPr>
        <w:t>. For Soluplus</w:t>
      </w:r>
      <w:r w:rsidRPr="008C2309">
        <w:rPr>
          <w:bCs/>
          <w:vertAlign w:val="superscript"/>
        </w:rPr>
        <w:t>®</w:t>
      </w:r>
      <w:r w:rsidRPr="008C2309">
        <w:rPr>
          <w:bCs/>
          <w:lang w:val="en-IE"/>
        </w:rPr>
        <w:t xml:space="preserve">, the C=O groups of the caprolactam and acetate groups can act as hydrogen acceptors, with the O-H groups acting as potential hydrogen donors. </w:t>
      </w:r>
    </w:p>
    <w:p w14:paraId="4B99FB0B" w14:textId="49952165" w:rsidR="009E4354" w:rsidRPr="008C2309" w:rsidRDefault="009E4354" w:rsidP="009E4354">
      <w:pPr>
        <w:spacing w:line="480" w:lineRule="auto"/>
        <w:jc w:val="both"/>
        <w:rPr>
          <w:bCs/>
          <w:lang w:val="en-IE"/>
        </w:rPr>
      </w:pPr>
      <w:r w:rsidRPr="008C2309">
        <w:rPr>
          <w:bCs/>
          <w:lang w:val="en-IE"/>
        </w:rPr>
        <w:t>The amorphous form of a given drug may give rise to a different IR spectr</w:t>
      </w:r>
      <w:r w:rsidR="000607CE" w:rsidRPr="008C2309">
        <w:rPr>
          <w:bCs/>
          <w:lang w:val="en-IE"/>
        </w:rPr>
        <w:t xml:space="preserve">um </w:t>
      </w:r>
      <w:r w:rsidRPr="008C2309">
        <w:rPr>
          <w:bCs/>
          <w:lang w:val="en-IE"/>
        </w:rPr>
        <w:t xml:space="preserve">than that obtained from the crystalline counterpart </w:t>
      </w:r>
      <w:r w:rsidRPr="008C2309">
        <w:rPr>
          <w:bCs/>
          <w:lang w:val="en-IE"/>
        </w:rPr>
        <w:fldChar w:fldCharType="begin" w:fldLock="1"/>
      </w:r>
      <w:r w:rsidRPr="008C2309">
        <w:rPr>
          <w:bCs/>
          <w:lang w:val="en-IE"/>
        </w:rPr>
        <w:instrText>ADDIN CSL_CITATION { "citationItems" : [ { "id" : "ITEM-1", "itemData" : { "DOI" : "10.1016/J.IJPHARM.2010.12.011", "ISSN" : "0378-5173", "abstract" : "In this article, the use of mid-IR in pharmaceutical settings is reviewed. An overview of mid-IR instrumentation and sampling techniques is provided. Subsequently, different pharmaceutical applications of the technique are described, including structure elucidation and identification, characterization of crystalline (polymorphs, hydrates, salts and co-crystals) and amorphous forms, as well as quantitative and remote sensing applications. Finally, an overview of current trends in FTIR-based imaging applications is provided, with special attention paid to currently emerging FTIR\u2013AFM coupled techniques which have high spatial resolution.", "author" : [ { "dropping-particle" : "", "family" : "Eerdenbrugh", "given" : "Bernard", "non-dropping-particle" : "Van", "parse-names" : false, "suffix" : "" }, { "dropping-particle" : "", "family" : "Taylor", "given" : "Lynne S.", "non-dropping-particle" : "", "parse-names" : false, "suffix" : "" } ], "container-title" : "International Journal of Pharmaceutics", "id" : "ITEM-1", "issue" : "1-2", "issued" : { "date-parts" : [ [ "2011", "9", "30" ] ] }, "page" : "3-16", "publisher" : "Elsevier", "title" : "Application of mid-IR spectroscopy for the characterization of pharmaceutical systems", "type" : "article-journal", "volume" : "417" }, "uris" : [ "http://www.mendeley.com/documents/?uuid=536d8dd0-fc2a-3b71-91ed-de9795548ec1" ] } ], "mendeley" : { "formattedCitation" : "(Van Eerdenbrugh and Taylor, 2011)", "plainTextFormattedCitation" : "(Van Eerdenbrugh and Taylor, 2011)", "previouslyFormattedCitation" : "(Van Eerdenbrugh and Taylor, 2011)" }, "properties" : {  }, "schema" : "https://github.com/citation-style-language/schema/raw/master/csl-citation.json" }</w:instrText>
      </w:r>
      <w:r w:rsidRPr="008C2309">
        <w:rPr>
          <w:bCs/>
          <w:lang w:val="en-IE"/>
        </w:rPr>
        <w:fldChar w:fldCharType="separate"/>
      </w:r>
      <w:r w:rsidRPr="008C2309">
        <w:rPr>
          <w:bCs/>
          <w:noProof/>
          <w:lang w:val="en-IE"/>
        </w:rPr>
        <w:t>(Van Eerdenbrugh and Taylor, 2011)</w:t>
      </w:r>
      <w:r w:rsidRPr="008C2309">
        <w:rPr>
          <w:bCs/>
          <w:lang w:val="en-IE"/>
        </w:rPr>
        <w:fldChar w:fldCharType="end"/>
      </w:r>
      <w:r w:rsidRPr="008C2309">
        <w:rPr>
          <w:bCs/>
          <w:lang w:val="en-IE"/>
        </w:rPr>
        <w:t>.</w:t>
      </w:r>
      <w:r w:rsidR="00EB1963" w:rsidRPr="008C2309">
        <w:rPr>
          <w:bCs/>
          <w:lang w:val="en-IE"/>
        </w:rPr>
        <w:t xml:space="preserve"> </w:t>
      </w:r>
      <w:r w:rsidRPr="008C2309">
        <w:rPr>
          <w:bCs/>
          <w:lang w:val="en-IE"/>
        </w:rPr>
        <w:t>The crystalline form of HCTZ has clear peaks for its N-H group stretching at 3165 cm</w:t>
      </w:r>
      <w:r w:rsidRPr="008C2309">
        <w:rPr>
          <w:bCs/>
          <w:vertAlign w:val="superscript"/>
          <w:lang w:val="en-IE"/>
        </w:rPr>
        <w:t>-1</w:t>
      </w:r>
      <w:r w:rsidRPr="008C2309">
        <w:rPr>
          <w:bCs/>
          <w:lang w:val="en-IE"/>
        </w:rPr>
        <w:t>, 3264 cm</w:t>
      </w:r>
      <w:r w:rsidRPr="008C2309">
        <w:rPr>
          <w:bCs/>
          <w:vertAlign w:val="superscript"/>
          <w:lang w:val="en-IE"/>
        </w:rPr>
        <w:t>-1</w:t>
      </w:r>
      <w:r w:rsidRPr="008C2309">
        <w:rPr>
          <w:bCs/>
          <w:lang w:val="en-IE"/>
        </w:rPr>
        <w:t xml:space="preserve"> and 3360 cm</w:t>
      </w:r>
      <w:r w:rsidRPr="008C2309">
        <w:rPr>
          <w:bCs/>
          <w:vertAlign w:val="superscript"/>
          <w:lang w:val="en-IE"/>
        </w:rPr>
        <w:t xml:space="preserve">-1 </w:t>
      </w:r>
      <w:r w:rsidRPr="008C2309">
        <w:rPr>
          <w:bCs/>
          <w:lang w:val="en-IE"/>
        </w:rPr>
        <w:t>(Supplementary Figure S 6). In the amorphous form, we can see a downward shift in these bands with peak broadening. With crystalline RAM, O-H and N-H group stretching can be attributed to the peak seen at 3280 cm</w:t>
      </w:r>
      <w:r w:rsidRPr="008C2309">
        <w:rPr>
          <w:bCs/>
          <w:vertAlign w:val="superscript"/>
          <w:lang w:val="en-IE"/>
        </w:rPr>
        <w:t>-1</w:t>
      </w:r>
      <w:r w:rsidRPr="008C2309">
        <w:rPr>
          <w:bCs/>
          <w:lang w:val="en-IE"/>
        </w:rPr>
        <w:t>; however, this peak is shifted to 3027 cm</w:t>
      </w:r>
      <w:r w:rsidRPr="008C2309">
        <w:rPr>
          <w:bCs/>
          <w:vertAlign w:val="superscript"/>
          <w:lang w:val="en-IE"/>
        </w:rPr>
        <w:t xml:space="preserve">-1 </w:t>
      </w:r>
      <w:r w:rsidRPr="008C2309">
        <w:rPr>
          <w:bCs/>
          <w:lang w:val="en-IE"/>
        </w:rPr>
        <w:t>in the amorphous form. Similarly, the C=O stretch peaks in the amorphous form of RAM shift downwards to 1643 cm</w:t>
      </w:r>
      <w:r w:rsidRPr="008C2309">
        <w:rPr>
          <w:bCs/>
          <w:vertAlign w:val="superscript"/>
          <w:lang w:val="en-IE"/>
        </w:rPr>
        <w:t>-1</w:t>
      </w:r>
      <w:r w:rsidRPr="008C2309">
        <w:rPr>
          <w:bCs/>
          <w:lang w:val="en-IE"/>
        </w:rPr>
        <w:t xml:space="preserve"> and 1734 cm</w:t>
      </w:r>
      <w:r w:rsidRPr="008C2309">
        <w:rPr>
          <w:bCs/>
          <w:vertAlign w:val="superscript"/>
          <w:lang w:val="en-IE"/>
        </w:rPr>
        <w:t>-1</w:t>
      </w:r>
      <w:r w:rsidRPr="008C2309">
        <w:rPr>
          <w:bCs/>
          <w:lang w:val="en-IE"/>
        </w:rPr>
        <w:t xml:space="preserve"> and broaden compared to the crystalline RAM peaks at 1651 cm</w:t>
      </w:r>
      <w:r w:rsidRPr="008C2309">
        <w:rPr>
          <w:bCs/>
          <w:vertAlign w:val="superscript"/>
          <w:lang w:val="en-IE"/>
        </w:rPr>
        <w:t>-1</w:t>
      </w:r>
      <w:r w:rsidRPr="008C2309">
        <w:rPr>
          <w:bCs/>
          <w:lang w:val="en-IE"/>
        </w:rPr>
        <w:t xml:space="preserve"> and 1742 cm</w:t>
      </w:r>
      <w:r w:rsidRPr="008C2309">
        <w:rPr>
          <w:bCs/>
          <w:vertAlign w:val="superscript"/>
          <w:lang w:val="en-IE"/>
        </w:rPr>
        <w:t>-1</w:t>
      </w:r>
      <w:r w:rsidRPr="008C2309">
        <w:rPr>
          <w:bCs/>
          <w:lang w:val="en-IE"/>
        </w:rPr>
        <w:t xml:space="preserve">. The reason for these differences between crystalline and amorphous API relate to both the wider range of conformations typically present in an amorphous solid and differences in intermolecular interactions </w:t>
      </w:r>
      <w:r w:rsidRPr="008C2309">
        <w:rPr>
          <w:bCs/>
          <w:lang w:val="en-IE"/>
        </w:rPr>
        <w:fldChar w:fldCharType="begin" w:fldLock="1"/>
      </w:r>
      <w:r w:rsidRPr="008C2309">
        <w:rPr>
          <w:bCs/>
          <w:lang w:val="en-IE"/>
        </w:rPr>
        <w:instrText>ADDIN CSL_CITATION { "citationItems" : [ { "id" : "ITEM-1", "itemData" : { "DOI" : "10.1016/J.IJPHARM.2010.12.011", "ISSN" : "0378-5173", "abstract" : "In this article, the use of mid-IR in pharmaceutical settings is reviewed. An overview of mid-IR instrumentation and sampling techniques is provided. Subsequently, different pharmaceutical applications of the technique are described, including structure elucidation and identification, characterization of crystalline (polymorphs, hydrates, salts and co-crystals) and amorphous forms, as well as quantitative and remote sensing applications. Finally, an overview of current trends in FTIR-based imaging applications is provided, with special attention paid to currently emerging FTIR\u2013AFM coupled techniques which have high spatial resolution.", "author" : [ { "dropping-particle" : "", "family" : "Eerdenbrugh", "given" : "Bernard", "non-dropping-particle" : "Van", "parse-names" : false, "suffix" : "" }, { "dropping-particle" : "", "family" : "Taylor", "given" : "Lynne S.", "non-dropping-particle" : "", "parse-names" : false, "suffix" : "" } ], "container-title" : "International Journal of Pharmaceutics", "id" : "ITEM-1", "issue" : "1-2", "issued" : { "date-parts" : [ [ "2011", "9", "30" ] ] }, "page" : "3-16", "publisher" : "Elsevier", "title" : "Application of mid-IR spectroscopy for the characterization of pharmaceutical systems", "type" : "article-journal", "volume" : "417" }, "uris" : [ "http://www.mendeley.com/documents/?uuid=536d8dd0-fc2a-3b71-91ed-de9795548ec1" ] } ], "mendeley" : { "formattedCitation" : "(Van Eerdenbrugh and Taylor, 2011)", "plainTextFormattedCitation" : "(Van Eerdenbrugh and Taylor, 2011)", "previouslyFormattedCitation" : "(Van Eerdenbrugh and Taylor, 2011)" }, "properties" : {  }, "schema" : "https://github.com/citation-style-language/schema/raw/master/csl-citation.json" }</w:instrText>
      </w:r>
      <w:r w:rsidRPr="008C2309">
        <w:rPr>
          <w:bCs/>
          <w:lang w:val="en-IE"/>
        </w:rPr>
        <w:fldChar w:fldCharType="separate"/>
      </w:r>
      <w:r w:rsidRPr="008C2309">
        <w:rPr>
          <w:bCs/>
          <w:noProof/>
          <w:lang w:val="en-IE"/>
        </w:rPr>
        <w:t xml:space="preserve">(Van Eerdenbrugh and Taylor, </w:t>
      </w:r>
      <w:r w:rsidRPr="008C2309">
        <w:rPr>
          <w:bCs/>
          <w:noProof/>
          <w:lang w:val="en-IE"/>
        </w:rPr>
        <w:lastRenderedPageBreak/>
        <w:t>2011)</w:t>
      </w:r>
      <w:r w:rsidRPr="008C2309">
        <w:rPr>
          <w:bCs/>
          <w:lang w:val="en-IE"/>
        </w:rPr>
        <w:fldChar w:fldCharType="end"/>
      </w:r>
      <w:r w:rsidRPr="008C2309">
        <w:rPr>
          <w:bCs/>
          <w:lang w:val="en-IE"/>
        </w:rPr>
        <w:t xml:space="preserve">. Hence, when comparing physical mixtures to SD formulations, it is important that the physical mixtures contain amorphous excipients and amorphous APIs, rather than crystalline API raw materials. This has been shown previously by Taylor and Zografi </w:t>
      </w:r>
      <w:r w:rsidRPr="008C2309">
        <w:rPr>
          <w:bCs/>
          <w:lang w:val="en-IE"/>
        </w:rPr>
        <w:fldChar w:fldCharType="begin" w:fldLock="1"/>
      </w:r>
      <w:r w:rsidRPr="008C2309">
        <w:rPr>
          <w:bCs/>
          <w:lang w:val="en-IE"/>
        </w:rPr>
        <w:instrText>ADDIN CSL_CITATION { "citationItems" : [ { "id" : "ITEM-1", "itemData" : { "ISSN" : "0724-8741", "PMID" : "9453055", "abstract" : "PURPOSE To study the molecular structure of indomethacin-PVP amorphous solid dispersions and identify any specific interactions between the components using vibrational spectroscopy. METHODS Solid dispersions of PVP and indomethacin were prepared using a solvent evaporation technique and IR and FT-Raman spectra were obtained. RESULTS A comparison of the carbonyl stretching region of gamma indomethacin, known to form carboxylic acid dimers, with that of amorphous indomethacin indicated that the amorphous phase exists predominantly as dimers. The hydrogen bonding of alpha indomethacin is not as dimers. Addition of PVP to amorphous indomethacin increased the intensity of the infrared band assigned to non-hydrogen bonded carbonyl. Concomitantly, the PVP carbonyl stretch appeared at a lower wavenumber indicating hydrogen bonding. Model solvent systems aided spectral interpretation. The magnitude of the spectral changes were comparable for an indomethacin-PVP solid dispersion and a solution of indomethacin in methylpyrrolidone at the same weight percent. CONCLUSIONS Indomethacin interacts with PVP in solid dispersions through hydrogen bonds formed between the drug hydroxyl and polymer carbonyl resulting in disruption of indomethacin dimers. PVP may influence the crystallisation kinetics by preventing the self association of indomethacin molecules. The similarity of results for solid dispersions and solutions emphasises the \"solution\" nature of this binary amorphous state.", "author" : [ { "dropping-particle" : "", "family" : "Taylor", "given" : "L S", "non-dropping-particle" : "", "parse-names" : false, "suffix" : "" }, { "dropping-particle" : "", "family" : "Zografi", "given" : "G", "non-dropping-particle" : "", "parse-names" : false, "suffix" : "" } ], "container-title" : "Pharmaceutical research", "id" : "ITEM-1", "issue" : "12", "issued" : { "date-parts" : [ [ "1997", "12" ] ] }, "page" : "1691-8", "title" : "Spectroscopic characterization of interactions between PVP and indomethacin in amorphous molecular dispersions.", "type" : "article-journal", "volume" : "14" }, "uris" : [ "http://www.mendeley.com/documents/?uuid=e465a96f-84ef-3bfb-8586-89c2ff7f90e9" ] } ], "mendeley" : { "formattedCitation" : "(Taylor and Zografi, 1997)", "plainTextFormattedCitation" : "(Taylor and Zografi, 1997)", "previouslyFormattedCitation" : "(Taylor and Zografi, 1997)" }, "properties" : {  }, "schema" : "https://github.com/citation-style-language/schema/raw/master/csl-citation.json" }</w:instrText>
      </w:r>
      <w:r w:rsidRPr="008C2309">
        <w:rPr>
          <w:bCs/>
          <w:lang w:val="en-IE"/>
        </w:rPr>
        <w:fldChar w:fldCharType="separate"/>
      </w:r>
      <w:r w:rsidRPr="008C2309">
        <w:rPr>
          <w:bCs/>
          <w:noProof/>
          <w:lang w:val="en-IE"/>
        </w:rPr>
        <w:t>(Taylor and Zografi, 1997)</w:t>
      </w:r>
      <w:r w:rsidRPr="008C2309">
        <w:rPr>
          <w:bCs/>
          <w:lang w:val="en-IE"/>
        </w:rPr>
        <w:fldChar w:fldCharType="end"/>
      </w:r>
      <w:r w:rsidRPr="008C2309">
        <w:rPr>
          <w:bCs/>
          <w:lang w:val="en-IE"/>
        </w:rPr>
        <w:t xml:space="preserve"> who demonstrated that for amorphous systems that contain more than one compound, the spectra of both the pure amorphous drugs and the amorphous excipients are needed in order to conclude the presence or absence of drug-polymer hydrogen bonds. </w:t>
      </w:r>
    </w:p>
    <w:p w14:paraId="6D40B25B" w14:textId="3B0102FF" w:rsidR="009E4354" w:rsidRPr="008C2309" w:rsidRDefault="009E4354" w:rsidP="009E4354">
      <w:pPr>
        <w:spacing w:line="480" w:lineRule="auto"/>
        <w:jc w:val="both"/>
        <w:rPr>
          <w:bCs/>
          <w:lang w:val="en-IE"/>
        </w:rPr>
      </w:pPr>
      <w:r w:rsidRPr="008C2309">
        <w:rPr>
          <w:bCs/>
          <w:lang w:val="en-IE"/>
        </w:rPr>
        <w:t>For F1 and F2, the N-H stretching of HCTZ at peaks 3165 cm</w:t>
      </w:r>
      <w:r w:rsidRPr="008C2309">
        <w:rPr>
          <w:bCs/>
          <w:vertAlign w:val="superscript"/>
          <w:lang w:val="en-IE"/>
        </w:rPr>
        <w:t>-1</w:t>
      </w:r>
      <w:r w:rsidRPr="008C2309">
        <w:rPr>
          <w:bCs/>
          <w:lang w:val="en-IE"/>
        </w:rPr>
        <w:t>, 3264 cm</w:t>
      </w:r>
      <w:r w:rsidRPr="008C2309">
        <w:rPr>
          <w:bCs/>
          <w:vertAlign w:val="superscript"/>
          <w:lang w:val="en-IE"/>
        </w:rPr>
        <w:t>-1</w:t>
      </w:r>
      <w:r w:rsidRPr="008C2309">
        <w:rPr>
          <w:bCs/>
          <w:lang w:val="en-IE"/>
        </w:rPr>
        <w:t xml:space="preserve"> and 3360 cm</w:t>
      </w:r>
      <w:r w:rsidRPr="008C2309">
        <w:rPr>
          <w:bCs/>
          <w:vertAlign w:val="superscript"/>
          <w:lang w:val="en-IE"/>
        </w:rPr>
        <w:t>-1</w:t>
      </w:r>
      <w:r w:rsidRPr="008C2309">
        <w:rPr>
          <w:bCs/>
          <w:lang w:val="en-IE"/>
        </w:rPr>
        <w:t>, which are seen in the amorphous HCTZ, are not detected in the IR spectra for either the PM of amorphous components or the SD formulations (Supplementary Figure S 7). N-H stretching may downshift due to hydrogen bonding between drug and polymer components and be hidden by the C-H stretching peaks, which are seen between 2860 cm</w:t>
      </w:r>
      <w:r w:rsidRPr="008C2309">
        <w:rPr>
          <w:bCs/>
          <w:vertAlign w:val="superscript"/>
          <w:lang w:val="en-IE"/>
        </w:rPr>
        <w:t>-1</w:t>
      </w:r>
      <w:r w:rsidRPr="008C2309">
        <w:rPr>
          <w:bCs/>
          <w:lang w:val="en-IE"/>
        </w:rPr>
        <w:t xml:space="preserve"> and 2970 cm</w:t>
      </w:r>
      <w:r w:rsidRPr="008C2309">
        <w:rPr>
          <w:bCs/>
          <w:vertAlign w:val="superscript"/>
          <w:lang w:val="en-IE"/>
        </w:rPr>
        <w:t>-1</w:t>
      </w:r>
      <w:r w:rsidRPr="008C2309">
        <w:rPr>
          <w:bCs/>
          <w:lang w:val="en-IE"/>
        </w:rPr>
        <w:t xml:space="preserve"> for both the PM and SD systems. Another possible explanation for the absence of the peak attributable to N-H stretching of HCTZ in F1 and F2 PM and SD systems, may be that</w:t>
      </w:r>
      <w:r w:rsidR="00EB1963" w:rsidRPr="008C2309">
        <w:rPr>
          <w:bCs/>
          <w:lang w:val="en-IE"/>
        </w:rPr>
        <w:t>,</w:t>
      </w:r>
      <w:r w:rsidRPr="008C2309">
        <w:rPr>
          <w:bCs/>
          <w:lang w:val="en-IE"/>
        </w:rPr>
        <w:t xml:space="preserve"> due to the large polymer content</w:t>
      </w:r>
      <w:r w:rsidR="00EB1963" w:rsidRPr="008C2309">
        <w:rPr>
          <w:bCs/>
          <w:lang w:val="en-IE"/>
        </w:rPr>
        <w:t>,</w:t>
      </w:r>
      <w:r w:rsidRPr="008C2309">
        <w:rPr>
          <w:bCs/>
          <w:lang w:val="en-IE"/>
        </w:rPr>
        <w:t xml:space="preserve"> the signal is too weak to be detected. For the F1 and F2 formulations, peaks relating to the carbonyl groups of the pyrrolidone and acetate structures are at the same wavenumbers, i.e. 1662 cm</w:t>
      </w:r>
      <w:r w:rsidRPr="008C2309">
        <w:rPr>
          <w:bCs/>
          <w:vertAlign w:val="superscript"/>
          <w:lang w:val="en-IE"/>
        </w:rPr>
        <w:t>-1</w:t>
      </w:r>
      <w:r w:rsidRPr="008C2309">
        <w:rPr>
          <w:bCs/>
          <w:lang w:val="en-IE"/>
        </w:rPr>
        <w:t xml:space="preserve"> and 1732 cm</w:t>
      </w:r>
      <w:r w:rsidRPr="008C2309">
        <w:rPr>
          <w:bCs/>
          <w:vertAlign w:val="superscript"/>
          <w:lang w:val="en-IE"/>
        </w:rPr>
        <w:t>-1</w:t>
      </w:r>
      <w:r w:rsidRPr="008C2309">
        <w:rPr>
          <w:bCs/>
          <w:lang w:val="en-IE"/>
        </w:rPr>
        <w:t xml:space="preserve"> respectively, for both SD and PM systems. However, in the case of the SD formulation peaks are broader and of a higher intensity than their corresponding PM, which indicates the presence of hydrogen bonding with the API’s hydrogen donors. Interestingly, for both SD-F1 and SD-F2 an additional peak is seen at 1599 cm</w:t>
      </w:r>
      <w:r w:rsidRPr="008C2309">
        <w:rPr>
          <w:bCs/>
          <w:vertAlign w:val="superscript"/>
          <w:lang w:val="en-IE"/>
        </w:rPr>
        <w:t>-1</w:t>
      </w:r>
      <w:r w:rsidRPr="008C2309">
        <w:rPr>
          <w:bCs/>
          <w:lang w:val="en-IE"/>
        </w:rPr>
        <w:t>, which is not present in the corresponding PM systems, and this is thought to correspond to an aromatic C=C stretch or N-H bending, which suggests a strong interaction taking place between the aromatic ring structures of both HCTZ and RAM. For F3, N-H stretching seen in the amorphous HCTZ can be detected in the PM but, like SD F1 and SD F2, this is not detectable in the SD F3 system. Again, as with SD F1 and SD F2, the C-H stretching peaks seen between 2860 cm</w:t>
      </w:r>
      <w:r w:rsidRPr="008C2309">
        <w:rPr>
          <w:bCs/>
          <w:vertAlign w:val="superscript"/>
          <w:lang w:val="en-IE"/>
        </w:rPr>
        <w:t>-1</w:t>
      </w:r>
      <w:r w:rsidRPr="008C2309">
        <w:rPr>
          <w:bCs/>
          <w:lang w:val="en-IE"/>
        </w:rPr>
        <w:t xml:space="preserve"> and 2925 </w:t>
      </w:r>
      <w:r w:rsidRPr="008C2309">
        <w:rPr>
          <w:bCs/>
          <w:lang w:val="en-IE"/>
        </w:rPr>
        <w:lastRenderedPageBreak/>
        <w:t>cm</w:t>
      </w:r>
      <w:r w:rsidRPr="008C2309">
        <w:rPr>
          <w:bCs/>
          <w:vertAlign w:val="superscript"/>
          <w:lang w:val="en-IE"/>
        </w:rPr>
        <w:t>-1</w:t>
      </w:r>
      <w:r w:rsidRPr="008C2309">
        <w:rPr>
          <w:bCs/>
          <w:lang w:val="en-IE"/>
        </w:rPr>
        <w:t xml:space="preserve"> are broader and more intense than for the PM, which may be due to an overlap with N-H stretching which may downshift due to hydrogen bonding. </w:t>
      </w:r>
    </w:p>
    <w:p w14:paraId="072B574E" w14:textId="793DF834" w:rsidR="009E4354" w:rsidRPr="008C2309" w:rsidRDefault="009E4354" w:rsidP="009E4354">
      <w:pPr>
        <w:spacing w:line="480" w:lineRule="auto"/>
        <w:jc w:val="both"/>
        <w:rPr>
          <w:bCs/>
          <w:lang w:val="en-IE"/>
        </w:rPr>
      </w:pPr>
      <w:r w:rsidRPr="008C2309">
        <w:rPr>
          <w:bCs/>
          <w:lang w:val="en-IE"/>
        </w:rPr>
        <w:t>The carbonyl group (C=O) peaks seen at 1631 cm</w:t>
      </w:r>
      <w:r w:rsidRPr="008C2309">
        <w:rPr>
          <w:bCs/>
          <w:vertAlign w:val="superscript"/>
          <w:lang w:val="en-IE"/>
        </w:rPr>
        <w:t>-1</w:t>
      </w:r>
      <w:r w:rsidRPr="008C2309">
        <w:rPr>
          <w:bCs/>
          <w:lang w:val="en-IE"/>
        </w:rPr>
        <w:t xml:space="preserve"> and 1734 cm</w:t>
      </w:r>
      <w:r w:rsidRPr="008C2309">
        <w:rPr>
          <w:bCs/>
          <w:vertAlign w:val="superscript"/>
          <w:lang w:val="en-IE"/>
        </w:rPr>
        <w:t>-1</w:t>
      </w:r>
      <w:r w:rsidRPr="008C2309">
        <w:rPr>
          <w:bCs/>
          <w:lang w:val="en-IE"/>
        </w:rPr>
        <w:t xml:space="preserve"> in the SD F3 spectrum are broader than the corresponding peaks in the PM equivalent system. The broadened peak at 1631 cm</w:t>
      </w:r>
      <w:r w:rsidRPr="008C2309">
        <w:rPr>
          <w:bCs/>
          <w:vertAlign w:val="superscript"/>
          <w:lang w:val="en-IE"/>
        </w:rPr>
        <w:t>-1</w:t>
      </w:r>
      <w:r w:rsidRPr="008C2309">
        <w:rPr>
          <w:bCs/>
          <w:lang w:val="en-IE"/>
        </w:rPr>
        <w:t xml:space="preserve"> is also split, indicating hydrogen bonding interaction between the carbonyl groups and the hydrogen donor groups in the APIs. As Soluplus</w:t>
      </w:r>
      <w:r w:rsidRPr="008C2309">
        <w:rPr>
          <w:bCs/>
          <w:vertAlign w:val="superscript"/>
        </w:rPr>
        <w:t>®</w:t>
      </w:r>
      <w:r w:rsidRPr="008C2309">
        <w:rPr>
          <w:bCs/>
          <w:lang w:val="en-IE"/>
        </w:rPr>
        <w:t xml:space="preserve"> also contains hydrogen donors in its structure we can clearly see evidence of an interaction between the sulfonyl groups (O=S=O) in HCTZ and the alcohol donor groups in Soluplus</w:t>
      </w:r>
      <w:r w:rsidRPr="008C2309">
        <w:rPr>
          <w:bCs/>
          <w:vertAlign w:val="superscript"/>
        </w:rPr>
        <w:t>®</w:t>
      </w:r>
      <w:r w:rsidRPr="008C2309">
        <w:rPr>
          <w:bCs/>
          <w:lang w:val="en-IE"/>
        </w:rPr>
        <w:t>, with a downshift peak movement in the SD formulation compared to the PM (Supplementary Figure S 7).</w:t>
      </w:r>
    </w:p>
    <w:p w14:paraId="5967D275" w14:textId="77777777" w:rsidR="00EB1963" w:rsidRPr="008C2309" w:rsidRDefault="00EB1963" w:rsidP="009E4354">
      <w:pPr>
        <w:spacing w:line="480" w:lineRule="auto"/>
        <w:jc w:val="both"/>
        <w:rPr>
          <w:bCs/>
          <w:lang w:val="en-IE"/>
        </w:rPr>
      </w:pPr>
    </w:p>
    <w:p w14:paraId="424C485E" w14:textId="3F4D1DE2" w:rsidR="00D33BB5" w:rsidRPr="008C2309" w:rsidRDefault="00C322DD" w:rsidP="00E41DED">
      <w:pPr>
        <w:spacing w:line="480" w:lineRule="auto"/>
        <w:jc w:val="both"/>
        <w:rPr>
          <w:rFonts w:ascii="Times" w:eastAsia="Times New Roman" w:hAnsi="Times" w:cstheme="minorHAnsi"/>
          <w:i/>
          <w:color w:val="000000" w:themeColor="text1"/>
        </w:rPr>
      </w:pPr>
      <w:r w:rsidRPr="008C2309">
        <w:rPr>
          <w:rFonts w:ascii="Times" w:eastAsia="Times New Roman" w:hAnsi="Times" w:cstheme="minorHAnsi"/>
          <w:i/>
          <w:color w:val="000000" w:themeColor="text1"/>
        </w:rPr>
        <w:t xml:space="preserve">3.2 </w:t>
      </w:r>
      <w:r w:rsidR="00D33BB5" w:rsidRPr="008C2309">
        <w:rPr>
          <w:rFonts w:ascii="Times" w:eastAsia="Times New Roman" w:hAnsi="Times" w:cstheme="minorHAnsi"/>
          <w:i/>
          <w:color w:val="000000" w:themeColor="text1"/>
        </w:rPr>
        <w:t xml:space="preserve">Scanning Electron Microscopy </w:t>
      </w:r>
    </w:p>
    <w:p w14:paraId="40BB2B2F" w14:textId="53D8090C" w:rsidR="002E29BA" w:rsidRPr="008C2309" w:rsidRDefault="00D44761" w:rsidP="00E41DED">
      <w:pPr>
        <w:spacing w:line="480" w:lineRule="auto"/>
        <w:jc w:val="both"/>
        <w:rPr>
          <w:rFonts w:ascii="Times" w:hAnsi="Times" w:cstheme="minorHAnsi"/>
          <w:color w:val="000000" w:themeColor="text1"/>
          <w:lang w:val="en-IE"/>
        </w:rPr>
      </w:pPr>
      <w:bookmarkStart w:id="10" w:name="_Hlk502682610"/>
      <w:r w:rsidRPr="008C2309">
        <w:t>The SEM images of HCTZ</w:t>
      </w:r>
      <w:r w:rsidR="004A17CA" w:rsidRPr="008C2309">
        <w:t xml:space="preserve"> raw material</w:t>
      </w:r>
      <w:r w:rsidRPr="008C2309">
        <w:t xml:space="preserve"> exhibit particles with irregular shapes with clearly defined edges</w:t>
      </w:r>
      <w:r w:rsidR="00F85660" w:rsidRPr="008C2309">
        <w:rPr>
          <w:rFonts w:ascii="Times" w:hAnsi="Times" w:cstheme="minorHAnsi"/>
          <w:color w:val="000000" w:themeColor="text1"/>
          <w:lang w:val="en-IE"/>
        </w:rPr>
        <w:t xml:space="preserve"> (Figure</w:t>
      </w:r>
      <w:r w:rsidR="00E906D9" w:rsidRPr="008C2309">
        <w:rPr>
          <w:rFonts w:ascii="Times" w:hAnsi="Times" w:cstheme="minorHAnsi"/>
          <w:color w:val="000000" w:themeColor="text1"/>
          <w:lang w:val="en-IE"/>
        </w:rPr>
        <w:t xml:space="preserve"> </w:t>
      </w:r>
      <w:r w:rsidR="000A160D" w:rsidRPr="008C2309">
        <w:rPr>
          <w:rFonts w:ascii="Times" w:hAnsi="Times" w:cstheme="minorHAnsi"/>
          <w:color w:val="000000" w:themeColor="text1"/>
          <w:lang w:val="en-IE"/>
        </w:rPr>
        <w:t>6</w:t>
      </w:r>
      <w:r w:rsidR="00F85660" w:rsidRPr="008C2309">
        <w:rPr>
          <w:rFonts w:ascii="Times" w:hAnsi="Times" w:cstheme="minorHAnsi"/>
          <w:color w:val="000000" w:themeColor="text1"/>
          <w:lang w:val="en-IE"/>
        </w:rPr>
        <w:t xml:space="preserve"> </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A</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 xml:space="preserve">). </w:t>
      </w:r>
      <w:r w:rsidRPr="008C2309">
        <w:t xml:space="preserve">The SEM images of RAM </w:t>
      </w:r>
      <w:r w:rsidR="004A17CA" w:rsidRPr="008C2309">
        <w:t xml:space="preserve">raw material </w:t>
      </w:r>
      <w:r w:rsidRPr="008C2309">
        <w:t xml:space="preserve">display flat broken needles of varying sizes </w:t>
      </w:r>
      <w:r w:rsidR="00F85660" w:rsidRPr="008C2309">
        <w:rPr>
          <w:rFonts w:ascii="Times" w:hAnsi="Times" w:cstheme="minorHAnsi"/>
          <w:color w:val="000000" w:themeColor="text1"/>
          <w:lang w:val="en-IE"/>
        </w:rPr>
        <w:t xml:space="preserve">(Figure </w:t>
      </w:r>
      <w:r w:rsidR="000A160D" w:rsidRPr="008C2309">
        <w:rPr>
          <w:rFonts w:ascii="Times" w:hAnsi="Times" w:cstheme="minorHAnsi"/>
          <w:color w:val="000000" w:themeColor="text1"/>
          <w:lang w:val="en-IE"/>
        </w:rPr>
        <w:t>6</w:t>
      </w:r>
      <w:r w:rsidR="00F85660" w:rsidRPr="008C2309">
        <w:rPr>
          <w:rFonts w:ascii="Times" w:hAnsi="Times" w:cstheme="minorHAnsi"/>
          <w:color w:val="000000" w:themeColor="text1"/>
          <w:lang w:val="en-IE"/>
        </w:rPr>
        <w:t xml:space="preserve"> </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B</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 xml:space="preserve">). SD-F1, SD-F2 and SD-F3 show </w:t>
      </w:r>
      <w:r w:rsidR="00700043" w:rsidRPr="008C2309">
        <w:rPr>
          <w:rFonts w:ascii="Times" w:hAnsi="Times" w:cstheme="minorHAnsi"/>
          <w:color w:val="000000" w:themeColor="text1"/>
          <w:lang w:val="en-IE"/>
        </w:rPr>
        <w:t xml:space="preserve">partially </w:t>
      </w:r>
      <w:r w:rsidR="00F85660" w:rsidRPr="008C2309">
        <w:rPr>
          <w:rFonts w:ascii="Times" w:hAnsi="Times" w:cstheme="minorHAnsi"/>
          <w:color w:val="000000" w:themeColor="text1"/>
          <w:lang w:val="en-IE"/>
        </w:rPr>
        <w:t xml:space="preserve">spherical particles where the sphere surface was smooth with concave depressions (Figure </w:t>
      </w:r>
      <w:r w:rsidR="000A160D" w:rsidRPr="008C2309">
        <w:rPr>
          <w:rFonts w:ascii="Times" w:hAnsi="Times" w:cstheme="minorHAnsi"/>
          <w:color w:val="000000" w:themeColor="text1"/>
          <w:lang w:val="en-IE"/>
        </w:rPr>
        <w:t>7</w:t>
      </w:r>
      <w:r w:rsidR="00F85660" w:rsidRPr="008C2309">
        <w:rPr>
          <w:rFonts w:ascii="Times" w:hAnsi="Times" w:cstheme="minorHAnsi"/>
          <w:color w:val="000000" w:themeColor="text1"/>
          <w:lang w:val="en-IE"/>
        </w:rPr>
        <w:t xml:space="preserve"> </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A</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C</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w:t>
      </w:r>
      <w:r w:rsidR="00101293" w:rsidRPr="008C2309">
        <w:rPr>
          <w:rFonts w:ascii="Times" w:hAnsi="Times" w:cstheme="minorHAnsi"/>
          <w:color w:val="000000" w:themeColor="text1"/>
          <w:lang w:val="en-IE"/>
        </w:rPr>
        <w:t xml:space="preserve"> of the type</w:t>
      </w:r>
      <w:r w:rsidR="00C83EEC" w:rsidRPr="008C2309">
        <w:t xml:space="preserve"> previously seen when PVP</w:t>
      </w:r>
      <w:r w:rsidR="00FA691A" w:rsidRPr="008C2309">
        <w:t xml:space="preserve"> </w:t>
      </w:r>
      <w:r w:rsidR="00FA691A" w:rsidRPr="008C2309">
        <w:fldChar w:fldCharType="begin" w:fldLock="1"/>
      </w:r>
      <w:r w:rsidR="00432184" w:rsidRPr="008C2309">
        <w:instrText>ADDIN CSL_CITATION { "citationItems" : [ { "id" : "ITEM-1", "itemData" : { "DOI" : "10.1016/j.ijpharm.2003.11.014", "ISBN" : "0378-5173", "ISSN" : "03785173", "PMID" : "15129995", "abstract" : "Curcumin, a naturally occurring highly lipophilic molecule has wide range of pharmacological activities. However, its limited aqueous solubility and degradation at alkaline pH restricts its bioavailability. Solid dispersions of curcumin in different ratios with PVP were prepared by spray drying. Physical characterization by SEM, IR, DSC, and XRPD studies, in comparison with corresponding physical mixtures revealed the changes in solid state during the formation of dispersion and justified the formation of high-energy amorphous phase. Dissolution studies of curcumin and its physical mixtures in 0.1N HCl showed negligible release even after 90min. Whereas, solid dispersions showed complete dissolution within 30min. This may aid in improving bioavailability and dose reduction of the drug. \u00a9 2003 Elsevier B.V. All rights reserved.", "author" : [ { "dropping-particle" : "", "family" : "Paradkar", "given" : "Anant", "non-dropping-particle" : "", "parse-names" : false, "suffix" : "" }, { "dropping-particle" : "", "family" : "Ambike", "given" : "Anshuman A.", "non-dropping-particle" : "", "parse-names" : false, "suffix" : "" }, { "dropping-particle" : "", "family" : "Jadhav", "given" : "Bhimrao K.", "non-dropping-particle" : "", "parse-names" : false, "suffix" : "" }, { "dropping-particle" : "", "family" : "Mahadik", "given" : "K. R.", "non-dropping-particle" : "", "parse-names" : false, "suffix" : "" } ], "container-title" : "International Journal of Pharmaceutics", "id" : "ITEM-1", "issue" : "1-2", "issued" : { "date-parts" : [ [ "2004" ] ] }, "page" : "281-286", "title" : "Characterization of curcumin-PVP solid dispersion obtained by spray drying", "type" : "article-journal", "volume" : "271" }, "uris" : [ "http://www.mendeley.com/documents/?uuid=0e24582c-5591-403a-8543-bb446822b4ae", "http://www.mendeley.com/documents/?uuid=731bc95c-3cf4-4e30-8526-457788b74112" ] } ], "mendeley" : { "formattedCitation" : "(Paradkar et al., 2004)", "plainTextFormattedCitation" : "(Paradkar et al., 2004)", "previouslyFormattedCitation" : "(Paradkar et al., 2004)" }, "properties" : {  }, "schema" : "https://github.com/citation-style-language/schema/raw/master/csl-citation.json" }</w:instrText>
      </w:r>
      <w:r w:rsidR="00FA691A" w:rsidRPr="008C2309">
        <w:fldChar w:fldCharType="separate"/>
      </w:r>
      <w:r w:rsidR="00B33BE2" w:rsidRPr="008C2309">
        <w:rPr>
          <w:noProof/>
        </w:rPr>
        <w:t>(Paradkar et al., 2004)</w:t>
      </w:r>
      <w:r w:rsidR="00FA691A" w:rsidRPr="008C2309">
        <w:fldChar w:fldCharType="end"/>
      </w:r>
      <w:r w:rsidR="00C83EEC" w:rsidRPr="008C2309">
        <w:t xml:space="preserve"> and Soluplus</w:t>
      </w:r>
      <w:r w:rsidR="00CB454D" w:rsidRPr="008C2309">
        <w:rPr>
          <w:rFonts w:ascii="Times" w:hAnsi="Times" w:cs="Calibri"/>
          <w:color w:val="000000" w:themeColor="text1"/>
          <w:vertAlign w:val="superscript"/>
        </w:rPr>
        <w:t>®</w:t>
      </w:r>
      <w:r w:rsidR="00FA691A" w:rsidRPr="008C2309">
        <w:t xml:space="preserve"> </w:t>
      </w:r>
      <w:r w:rsidR="00FA691A" w:rsidRPr="008C2309">
        <w:fldChar w:fldCharType="begin" w:fldLock="1"/>
      </w:r>
      <w:r w:rsidR="00432184" w:rsidRPr="008C2309">
        <w:instrText>ADDIN CSL_CITATION { "citationItems" : [ { "id" : "ITEM-1", "itemData" : { "ISSN" : "1735-0328 (Print)", "PMID" : "25561910", "abstract" : "The present study deals with characterization of dispersions of a poorly water-soluble drug, celecoxib (CLX) in polyvinyl caprolactame-polyvinyl acetate-polyethylene glycol graft copolymer (Soluplus((R)) (SOL)) prepared by different techniques. Dispersions of CLX in SOL at different ratios (2:1, 1:1, 1:2, 1:4 and 1:6) were prepared by spray drying, conventional solvent evaporation and melting methods. The solid states of samples were characterized using particle size measurements, optical and scanning electron microscopy, XRPD, DSC and FT-IR. The Gordon-Taylor equation was used to predict the Tg of samples and the possibility of interaction between CLX and SOL. The solubility and dissolution rate of all samples were determined. Stability of samples was studied at ambient conditions for a period of 12 months. DSC and XRPD analyses confirmed amorphous state of drug in samples. Surprisingly dispersions of CLX:SOL with the ratio of 2:1 and 1:1 showed slower dissolution rate than CLX while other samples showed higher dissolution rate. At 1:2 ratio the spray dried samples exhibited higher dissolution rate than corresponding samples prepared by other methods. However at higher SOL content (1:4 and 1:6), samples prepared by different methods showed similar dissolution profiles. The stability studies showed that there were no remarkable changes in the dissolution profiles and solid state of the drug after 12 months storage at ambient conditions. It was concluded that SOL was a proper carrier to enhance the dissolution rate of CLX. At high SOL ratios the method of preparation of dispersed samples had no effect on dissolution rate, whilst at low SOL content spray drying was more efficient method.", "author" : [ { "dropping-particle" : "", "family" : "Homayouni", "given" : "Alireza", "non-dropping-particle" : "", "parse-names" : false, "suffix" : "" }, { "dropping-particle" : "", "family" : "Sadeghi", "given" : "Fatemeh", "non-dropping-particle" : "", "parse-names" : false, "suffix" : "" }, { "dropping-particle" : "", "family" : "Nokhodchi", "given" : "Ali", "non-dropping-particle" : "", "parse-names" : false, "suffix" : "" }, { "dropping-particle" : "", "family" : "Varshosaz", "given" : "Jaleh", "non-dropping-particle" : "", "parse-names" : false, "suffix" : "" }, { "dropping-particle" : "", "family" : "Afrasiabi Garekani", "given" : "Hadi", "non-dropping-particle" : "", "parse-names" : false, "suffix" : "" } ], "container-title" : "Iranian journal of pharmaceutical research : IJPR", "id" : "ITEM-1", "issue" : "1", "issued" : { "date-parts" : [ [ "2015" ] ] }, "language" : "eng", "page" : "35-50", "publisher-place" : "Iran", "title" : "Preparation and characterization of celecoxib dispersions in soluplus((R)): comparison of spray drying and conventional methods.", "type" : "article-journal", "volume" : "14" }, "uris" : [ "http://www.mendeley.com/documents/?uuid=852b87dc-3a3d-485c-81ee-340106b768c6", "http://www.mendeley.com/documents/?uuid=60ee4e69-a4d0-4f42-b863-8ade3ab2571e" ] } ], "mendeley" : { "formattedCitation" : "(Homayouni et al., 2015)", "plainTextFormattedCitation" : "(Homayouni et al., 2015)", "previouslyFormattedCitation" : "(Homayouni et al., 2015)" }, "properties" : {  }, "schema" : "https://github.com/citation-style-language/schema/raw/master/csl-citation.json" }</w:instrText>
      </w:r>
      <w:r w:rsidR="00FA691A" w:rsidRPr="008C2309">
        <w:fldChar w:fldCharType="separate"/>
      </w:r>
      <w:r w:rsidR="00B33BE2" w:rsidRPr="008C2309">
        <w:rPr>
          <w:noProof/>
        </w:rPr>
        <w:t>(Homayouni et al., 2015)</w:t>
      </w:r>
      <w:r w:rsidR="00FA691A" w:rsidRPr="008C2309">
        <w:fldChar w:fldCharType="end"/>
      </w:r>
      <w:r w:rsidR="00862D49" w:rsidRPr="008C2309">
        <w:t xml:space="preserve"> were spray dried</w:t>
      </w:r>
      <w:r w:rsidRPr="008C2309">
        <w:t>.</w:t>
      </w:r>
      <w:r w:rsidR="00F85660" w:rsidRPr="008C2309">
        <w:rPr>
          <w:rFonts w:ascii="Times" w:hAnsi="Times" w:cstheme="minorHAnsi"/>
          <w:color w:val="000000" w:themeColor="text1"/>
          <w:lang w:val="en-IE"/>
        </w:rPr>
        <w:t xml:space="preserve"> Once compressed into a disc for intrinsic dissolution studies, SD-F1 and SD-F2 (Figure </w:t>
      </w:r>
      <w:r w:rsidR="000A160D" w:rsidRPr="008C2309">
        <w:rPr>
          <w:rFonts w:ascii="Times" w:hAnsi="Times" w:cstheme="minorHAnsi"/>
          <w:color w:val="000000" w:themeColor="text1"/>
          <w:lang w:val="en-IE"/>
        </w:rPr>
        <w:t>7</w:t>
      </w:r>
      <w:r w:rsidR="00F85660" w:rsidRPr="008C2309">
        <w:rPr>
          <w:rFonts w:ascii="Times" w:hAnsi="Times" w:cstheme="minorHAnsi"/>
          <w:color w:val="000000" w:themeColor="text1"/>
          <w:lang w:val="en-IE"/>
        </w:rPr>
        <w:t xml:space="preserve"> </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D</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 xml:space="preserve"> &amp; </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E</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 xml:space="preserve">) </w:t>
      </w:r>
      <w:r w:rsidR="004145EA" w:rsidRPr="008C2309">
        <w:t xml:space="preserve">display a surface with more crevices/voids than SD-F3 </w:t>
      </w:r>
      <w:r w:rsidR="00F85660" w:rsidRPr="008C2309">
        <w:rPr>
          <w:rFonts w:ascii="Times" w:hAnsi="Times" w:cstheme="minorHAnsi"/>
          <w:color w:val="000000" w:themeColor="text1"/>
          <w:lang w:val="en-IE"/>
        </w:rPr>
        <w:t xml:space="preserve">(Figure </w:t>
      </w:r>
      <w:r w:rsidR="000A160D" w:rsidRPr="008C2309">
        <w:rPr>
          <w:rFonts w:ascii="Times" w:hAnsi="Times" w:cstheme="minorHAnsi"/>
          <w:color w:val="000000" w:themeColor="text1"/>
          <w:lang w:val="en-IE"/>
        </w:rPr>
        <w:t>7</w:t>
      </w:r>
      <w:r w:rsidR="00F85660" w:rsidRPr="008C2309">
        <w:rPr>
          <w:rFonts w:ascii="Times" w:hAnsi="Times" w:cstheme="minorHAnsi"/>
          <w:color w:val="000000" w:themeColor="text1"/>
          <w:lang w:val="en-IE"/>
        </w:rPr>
        <w:t xml:space="preserve"> </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F</w:t>
      </w:r>
      <w:r w:rsidR="004A03F8" w:rsidRPr="008C2309">
        <w:rPr>
          <w:rFonts w:ascii="Times" w:hAnsi="Times" w:cstheme="minorHAnsi"/>
          <w:color w:val="000000" w:themeColor="text1"/>
          <w:lang w:val="en-IE"/>
        </w:rPr>
        <w:t>)</w:t>
      </w:r>
      <w:r w:rsidR="00F85660" w:rsidRPr="008C2309">
        <w:rPr>
          <w:rFonts w:ascii="Times" w:hAnsi="Times" w:cstheme="minorHAnsi"/>
          <w:color w:val="000000" w:themeColor="text1"/>
          <w:lang w:val="en-IE"/>
        </w:rPr>
        <w:t>)</w:t>
      </w:r>
      <w:r w:rsidR="00101293" w:rsidRPr="008C2309">
        <w:rPr>
          <w:rFonts w:ascii="Times" w:hAnsi="Times" w:cstheme="minorHAnsi"/>
          <w:color w:val="000000" w:themeColor="text1"/>
          <w:lang w:val="en-IE"/>
        </w:rPr>
        <w:t>,</w:t>
      </w:r>
      <w:r w:rsidR="00C83EEC" w:rsidRPr="008C2309">
        <w:rPr>
          <w:rFonts w:ascii="Times" w:hAnsi="Times" w:cstheme="minorHAnsi"/>
          <w:color w:val="000000" w:themeColor="text1"/>
          <w:lang w:val="en-IE"/>
        </w:rPr>
        <w:t xml:space="preserve"> most probably due to the different polymer </w:t>
      </w:r>
      <w:r w:rsidR="003E3813" w:rsidRPr="008C2309">
        <w:rPr>
          <w:rFonts w:ascii="Times" w:hAnsi="Times" w:cstheme="minorHAnsi"/>
          <w:color w:val="000000" w:themeColor="text1"/>
          <w:lang w:val="en-IE"/>
        </w:rPr>
        <w:t>viscoelastic properties</w:t>
      </w:r>
      <w:r w:rsidR="00320E7E" w:rsidRPr="008C2309">
        <w:rPr>
          <w:rFonts w:ascii="Times" w:hAnsi="Times" w:cstheme="minorHAnsi"/>
          <w:color w:val="000000" w:themeColor="text1"/>
          <w:lang w:val="en-IE"/>
        </w:rPr>
        <w:t>.</w:t>
      </w:r>
      <w:r w:rsidR="008024BC" w:rsidRPr="008C2309">
        <w:rPr>
          <w:rFonts w:ascii="Times" w:hAnsi="Times" w:cstheme="minorHAnsi"/>
          <w:color w:val="000000" w:themeColor="text1"/>
          <w:lang w:val="en-IE"/>
        </w:rPr>
        <w:t xml:space="preserve"> Polymers</w:t>
      </w:r>
      <w:r w:rsidR="00E2775C" w:rsidRPr="008C2309">
        <w:rPr>
          <w:rFonts w:ascii="Times" w:hAnsi="Times" w:cstheme="minorHAnsi"/>
          <w:color w:val="000000" w:themeColor="text1"/>
          <w:lang w:val="en-IE"/>
        </w:rPr>
        <w:t>,</w:t>
      </w:r>
      <w:r w:rsidR="008024BC" w:rsidRPr="008C2309">
        <w:rPr>
          <w:rFonts w:ascii="Times" w:hAnsi="Times" w:cstheme="minorHAnsi"/>
          <w:color w:val="000000" w:themeColor="text1"/>
          <w:lang w:val="en-IE"/>
        </w:rPr>
        <w:t xml:space="preserve"> in general</w:t>
      </w:r>
      <w:r w:rsidR="00E2775C" w:rsidRPr="008C2309">
        <w:rPr>
          <w:rFonts w:ascii="Times" w:hAnsi="Times" w:cstheme="minorHAnsi"/>
          <w:color w:val="000000" w:themeColor="text1"/>
          <w:lang w:val="en-IE"/>
        </w:rPr>
        <w:t>,</w:t>
      </w:r>
      <w:r w:rsidR="008024BC" w:rsidRPr="008C2309">
        <w:rPr>
          <w:rFonts w:ascii="Times" w:hAnsi="Times" w:cstheme="minorHAnsi"/>
          <w:color w:val="000000" w:themeColor="text1"/>
          <w:lang w:val="en-IE"/>
        </w:rPr>
        <w:t xml:space="preserve"> are viscoelastic materials</w:t>
      </w:r>
      <w:r w:rsidR="00E2775C" w:rsidRPr="008C2309">
        <w:rPr>
          <w:rFonts w:ascii="Times" w:hAnsi="Times" w:cstheme="minorHAnsi"/>
          <w:color w:val="000000" w:themeColor="text1"/>
          <w:lang w:val="en-IE"/>
        </w:rPr>
        <w:t xml:space="preserve"> and</w:t>
      </w:r>
      <w:r w:rsidR="00556CD6" w:rsidRPr="008C2309">
        <w:rPr>
          <w:rFonts w:ascii="Times" w:hAnsi="Times" w:cstheme="minorHAnsi"/>
          <w:color w:val="000000" w:themeColor="text1"/>
          <w:lang w:val="en-IE"/>
        </w:rPr>
        <w:t xml:space="preserve"> usually</w:t>
      </w:r>
      <w:r w:rsidR="00E2775C" w:rsidRPr="008C2309">
        <w:rPr>
          <w:rFonts w:ascii="Times" w:hAnsi="Times" w:cstheme="minorHAnsi"/>
          <w:color w:val="000000" w:themeColor="text1"/>
          <w:lang w:val="en-IE"/>
        </w:rPr>
        <w:t xml:space="preserve"> deform once</w:t>
      </w:r>
      <w:r w:rsidR="007B498A" w:rsidRPr="008C2309">
        <w:rPr>
          <w:rFonts w:ascii="Times" w:hAnsi="Times" w:cstheme="minorHAnsi"/>
          <w:color w:val="000000" w:themeColor="text1"/>
          <w:lang w:val="en-IE"/>
        </w:rPr>
        <w:t xml:space="preserve"> sufficient</w:t>
      </w:r>
      <w:r w:rsidR="00E2775C" w:rsidRPr="008C2309">
        <w:rPr>
          <w:rFonts w:ascii="Times" w:hAnsi="Times" w:cstheme="minorHAnsi"/>
          <w:color w:val="000000" w:themeColor="text1"/>
          <w:lang w:val="en-IE"/>
        </w:rPr>
        <w:t xml:space="preserve"> pressure is applied.</w:t>
      </w:r>
      <w:r w:rsidR="007B498A" w:rsidRPr="008C2309">
        <w:rPr>
          <w:rFonts w:ascii="Times" w:hAnsi="Times" w:cstheme="minorHAnsi"/>
          <w:color w:val="000000" w:themeColor="text1"/>
          <w:lang w:val="en-IE"/>
        </w:rPr>
        <w:t xml:space="preserve"> </w:t>
      </w:r>
      <w:bookmarkStart w:id="11" w:name="_Hlk500855505"/>
      <w:bookmarkStart w:id="12" w:name="_Hlk500864333"/>
      <w:r w:rsidR="007B498A" w:rsidRPr="008C2309">
        <w:rPr>
          <w:rFonts w:ascii="Times" w:hAnsi="Times"/>
        </w:rPr>
        <w:t>Kollidon</w:t>
      </w:r>
      <w:bookmarkStart w:id="13" w:name="_Hlk500858006"/>
      <w:r w:rsidR="007B498A" w:rsidRPr="008C2309">
        <w:rPr>
          <w:rFonts w:ascii="Times" w:hAnsi="Times" w:cstheme="minorHAnsi"/>
          <w:color w:val="000000" w:themeColor="text1"/>
          <w:vertAlign w:val="superscript"/>
        </w:rPr>
        <w:t>®</w:t>
      </w:r>
      <w:r w:rsidR="007B498A" w:rsidRPr="008C2309">
        <w:rPr>
          <w:rFonts w:ascii="Times" w:hAnsi="Times"/>
        </w:rPr>
        <w:t xml:space="preserve"> VA 64</w:t>
      </w:r>
      <w:r w:rsidR="0046063A" w:rsidRPr="008C2309">
        <w:rPr>
          <w:rFonts w:ascii="Times" w:hAnsi="Times"/>
        </w:rPr>
        <w:t xml:space="preserve"> </w:t>
      </w:r>
      <w:r w:rsidR="004B46EF" w:rsidRPr="008C2309">
        <w:rPr>
          <w:rFonts w:ascii="Times" w:hAnsi="Times"/>
        </w:rPr>
        <w:fldChar w:fldCharType="begin" w:fldLock="1"/>
      </w:r>
      <w:r w:rsidR="004B46EF" w:rsidRPr="008C2309">
        <w:rPr>
          <w:rFonts w:ascii="Times" w:hAnsi="Times"/>
        </w:rPr>
        <w:instrText>ADDIN CSL_CITATION { "citationItems" : [ { "id" : "ITEM-1", "itemData" : { "DOI" : "10.1016/j.ijpharm.2004.03.019", "ISSN" : "0378-5173 (Print)", "PMID" : "15234790", "abstract" : "Pellets coated with a new aqueous polyvinyl acetate dispersion, Kollicoat SR 30 D, could be compressed into tablets without rupture of the coating providing unchanged release profiles. In contrast, the compression of pellets coated with the ethylcellulose dispersion, Aquacoat ECD 30, resulted in rupture of the coating and an increase in drug release. Plasticizer-free Kollicoat SR coatings were too brittle and ruptured during compression. The addition of only 10% w/w triethyl citrate as plasticizer improved the flexibility of the films significantly and allowed compaction of the pellets. The drug release was almost independent of the compression force and the pellet content of the tablets. The inclusion of various tabletting excipients slightly affected the drug release, primarily because of a different disintegration rate of the tablets. The core size of the starting pellets had no influence on the drug release. Pellets coated with the enteric polymer dispersion Kollicoat 30 D MAE 30 DP [poly(methacrylic acid, ethyl acrylate) 1:1] lost their enteric properties after compression because of the brittle properties of this enteric polymer. Coating of pellets with a mixture of Kollicoat MAE 30 DP and Kollicoat EMM 30 D [poly(ethyl acrylate, methyl methacrylate) 2:1] at a ratio of 70/30 and compaction of the pellets resulted in sufficient enteric properties.", "author" : [ { "dropping-particle" : "", "family" : "Dashevsky", "given" : "A", "non-dropping-particle" : "", "parse-names" : false, "suffix" : "" }, { "dropping-particle" : "", "family" : "Kolter", "given" : "K", "non-dropping-particle" : "", "parse-names" : false, "suffix" : "" }, { "dropping-particle" : "", "family" : "Bodmeier", "given" : "R", "non-dropping-particle" : "", "parse-names" : false, "suffix" : "" } ], "container-title" : "International journal of pharmaceutics", "id" : "ITEM-1", "issue" : "1-2", "issued" : { "date-parts" : [ [ "2004", "7" ] ] }, "language" : "eng", "page" : "19-26", "publisher-place" : "Netherlands", "title" : "Compression of pellets coated with various aqueous polymer dispersions.", "type" : "article-journal", "volume" : "279" }, "uris" : [ "http://www.mendeley.com/documents/?uuid=2d626258-d48c-492a-885b-2e521c98ca2e" ] }, { "id" : "ITEM-2", "itemData" : { "DOI" : "10.1081/DDC-100100987", "ISSN" : "03639045", "PMID" : "11068689", "abstract" : "The dry binding activity of copolyvidone (Kollidon \u00ae VA 64), povidone (Kollidon \u00ae 30), microcrystalline cellulose (Avicel \u00ae PH-101), hydroxypropylmethylcellulose (HPMC) 2910 (Pharmacoat \u00ae 606), and maltodextrin (Maldex \u00ae 18) was investigated using a variety of formulations and methods. The effect of the dry binders in direct tableting and compaction was studied using a dicalcium phosphate formulation (wa-ter-insoluble ingredients) and a vitamin C formulation (water-soluble ingredients) applying three compression forces. The binder content was varied between 5% and 15% in both formulations, and the tablet properties were determined. All the tablets showed an improvement in mechanical properties (hardness, friability) with increas-ing dry binder concentration, with Kollidon VA 64 showing by far the greatest bind-ing efficacy. A significant influence (prolongation) on drug release was observed only with HPMC 2910. The drying binding properties were analyzed for correlations with various powder and material properties. Especially, particle size, surface/sur-face structure, and plasticity were found to influence binding activity. The ideal dry binder should have small particles, high plasticity, and a large surface area.", "author" : [ { "dropping-particle" : "", "family" : "Kolter", "given" : "K.", "non-dropping-particle" : "", "parse-names" : false, "suffix" : "" }, { "dropping-particle" : "", "family" : "Flick", "given" : "D.", "non-dropping-particle" : "", "parse-names" : false, "suffix" : "" } ], "container-title" : "Drug Development and Industrial Pharmacy", "id" : "ITEM-2", "issue" : "11", "issued" : { "date-parts" : [ [ "2000" ] ] }, "page" : "1159-1165", "title" : "Structure and dry binding activity of different polymers, including Kollidon\u00ae VA 64", "type" : "article-journal", "volume" : "26" }, "uris" : [ "http://www.mendeley.com/documents/?uuid=f6439308-3049-44cb-b055-70791139b8a1" ] } ], "mendeley" : { "formattedCitation" : "(Dashevsky et al., 2004; Kolter and Flick, 2000)", "plainTextFormattedCitation" : "(Dashevsky et al., 2004; Kolter and Flick, 2000)", "previouslyFormattedCitation" : "(Dashevsky et al., 2004; Kolter and Flick, 2000)" }, "properties" : {  }, "schema" : "https://github.com/citation-style-language/schema/raw/master/csl-citation.json" }</w:instrText>
      </w:r>
      <w:r w:rsidR="004B46EF" w:rsidRPr="008C2309">
        <w:rPr>
          <w:rFonts w:ascii="Times" w:hAnsi="Times"/>
        </w:rPr>
        <w:fldChar w:fldCharType="separate"/>
      </w:r>
      <w:r w:rsidR="004B46EF" w:rsidRPr="008C2309">
        <w:rPr>
          <w:rFonts w:ascii="Times" w:hAnsi="Times"/>
          <w:noProof/>
        </w:rPr>
        <w:t>(Dashevsky et al., 2004; Kolter and Flick, 2000)</w:t>
      </w:r>
      <w:r w:rsidR="004B46EF" w:rsidRPr="008C2309">
        <w:rPr>
          <w:rFonts w:ascii="Times" w:hAnsi="Times"/>
        </w:rPr>
        <w:fldChar w:fldCharType="end"/>
      </w:r>
      <w:r w:rsidR="007B498A" w:rsidRPr="008C2309">
        <w:rPr>
          <w:rFonts w:ascii="Times" w:hAnsi="Times"/>
        </w:rPr>
        <w:t xml:space="preserve"> </w:t>
      </w:r>
      <w:bookmarkEnd w:id="11"/>
      <w:bookmarkEnd w:id="13"/>
      <w:r w:rsidR="007B498A" w:rsidRPr="008C2309">
        <w:rPr>
          <w:rFonts w:ascii="Times" w:hAnsi="Times"/>
        </w:rPr>
        <w:t>and Soluplus</w:t>
      </w:r>
      <w:r w:rsidR="007B498A" w:rsidRPr="008C2309">
        <w:rPr>
          <w:rFonts w:ascii="Times" w:hAnsi="Times" w:cstheme="minorHAnsi"/>
          <w:color w:val="000000" w:themeColor="text1"/>
          <w:vertAlign w:val="superscript"/>
        </w:rPr>
        <w:t>®</w:t>
      </w:r>
      <w:bookmarkEnd w:id="12"/>
      <w:r w:rsidR="0046063A" w:rsidRPr="008C2309">
        <w:rPr>
          <w:rFonts w:ascii="Times" w:hAnsi="Times" w:cstheme="minorHAnsi"/>
          <w:color w:val="000000" w:themeColor="text1"/>
          <w:vertAlign w:val="superscript"/>
        </w:rPr>
        <w:t xml:space="preserve"> </w:t>
      </w:r>
      <w:r w:rsidR="0025118E" w:rsidRPr="008C2309">
        <w:rPr>
          <w:rFonts w:ascii="Times" w:hAnsi="Times" w:cstheme="minorHAnsi"/>
          <w:color w:val="000000" w:themeColor="text1"/>
          <w:vertAlign w:val="superscript"/>
        </w:rPr>
        <w:fldChar w:fldCharType="begin" w:fldLock="1"/>
      </w:r>
      <w:r w:rsidR="00432184" w:rsidRPr="008C2309">
        <w:rPr>
          <w:rFonts w:ascii="Times" w:hAnsi="Times" w:cstheme="minorHAnsi"/>
          <w:color w:val="000000" w:themeColor="text1"/>
          <w:vertAlign w:val="superscript"/>
        </w:rPr>
        <w:instrText>ADDIN CSL_CITATION { "citationItems" : [ { "id" : "ITEM-1", "itemData" : { "DOI" : "10.1016/j.ajps.2015.07.001", "ISSN" : "2221285X", "abstract" : "To investigate the effect of supersaturation induced by micelle formation during dissolution on the bioavailability of itraconazole (ITZ)/Soluplus\u00ae solid dispersion. Solid dispersions prepared by hot melt extrusion (HME) were compressed into tablets directly with other excipients. Dissolution behavior of ITZ tablets was studied by dissolution testing and the morphology of micelles in dissolution media was studied using transmission electron microscopy (TEM). Drug transferring from stomach into intestine was simulated to obtain a supersaturated drug solution. Bioavailability studies were performed on the ITZ tablets and Sporanox\u00ae in beagle dogs. The morphology of micelles in the dissolution media was observed to be spherical in shape, with an average size smaller than 100 nm. The supersaturated solutions formed by Soluplus\u00ae micelles were stable and no precipitation took place over a period of 180 min. Compared with Sporanox\u00ae, ITZ tablets exhibited a 2.50-fold increase in the AUC(0-96)of ITZ and a 1.95-fold increase in its active metabolite hydroxyitraconazole (OH-ITZ) in the plasma of beagle dogs. The results obtained provided clear evidence that not only the increase in the dissolution rate in the stomach, but also the supersaturation produced by micelles in the small intestine may be of great assistance in the successful development of poorly water-soluble drugs. The micelles formed by Soluplus\u00ae enwrapped the molecular ITZ inside the core which promoted the amount of free drug in the intestinal cavity and carried ITZ through the aqueous boundary layer (ABL), resulting in high absorption by passive transportation across biological membranes. The uptake of intact micelles through pinocytosis together with the inhibition of P-glycoprotein-mediated drug efflux in intestinal epithelia contributed to the absorption of ITZ in the gastrointestinal tract. These results indicate that HME with Soluplus\u00ae, which can induce supersaturation by micelle formation, may be of great assistance to the successful development of poorly water-soluble drugs.", "author" : [ { "dropping-particle" : "", "family" : "Zhong", "given" : "Yue", "non-dropping-particle" : "", "parse-names" : false, "suffix" : "" }, { "dropping-particle" : "", "family" : "Jing", "given" : "Guanghui", "non-dropping-particle" : "", "parse-names" : false, "suffix" : "" }, { "dropping-particle" : "", "family" : "Tian", "given" : "Bin", "non-dropping-particle" : "", "parse-names" : false, "suffix" : "" }, { "dropping-particle" : "", "family" : "Huang", "given" : "Hao", "non-dropping-particle" : "", "parse-names" : false, "suffix" : "" }, { "dropping-particle" : "", "family" : "Zhang", "given" : "Yuanyuan", "non-dropping-particle" : "", "parse-names" : false, "suffix" : "" }, { "dropping-particle" : "", "family" : "Gou", "given" : "Jingxin", "non-dropping-particle" : "", "parse-names" : false, "suffix" : "" }, { "dropping-particle" : "", "family" : "Tang", "given" : "Xing", "non-dropping-particle" : "", "parse-names" : false, "suffix" : "" }, { "dropping-particle" : "", "family" : "He", "given" : "Haibing", "non-dropping-particle" : "", "parse-names" : false, "suffix" : "" }, { "dropping-particle" : "", "family" : "Wang", "given" : "Yanjiao", "non-dropping-particle" : "", "parse-names" : false, "suffix" : "" } ], "container-title" : "Asian Journal of Pharmaceutical Sciences", "id" : "ITEM-1", "issue" : "2", "issued" : { "date-parts" : [ [ "2016" ] ] }, "page" : "255-264", "publisher" : "Elsevier B.V.", "title" : "Supersaturation induced by Itraconazole/Soluplus\u00ae micelles provided high GI absorption in vivo", "type" : "article-journal", "volume" : "11" }, "uris" : [ "http://www.mendeley.com/documents/?uuid=bce58db8-db3e-4bd9-86d9-0add848f8350" ] }, { "id" : "ITEM-2", "itemData" : { "DOI" : "10.1016/j.ejps.2013.01.004", "ISSN" : "1879-0720 (Electronic)", "PMID" : "23348153", "abstract" : "The dissolution enhancement advantages inherent to amorphous solid dispersions systems are often not fully realized once they are formulated into a solid dosage form. The objective of this study was to investigate the ability of inorganic salts to improve the dissolution rate of carbamazepine (CBZ) from tablets containing a high loading of a Soluplus(R)-based solid dispersion. Cloud point and viscometric studies were conducted on Soluplus(R) solutions to understand the effect of temperature, salt type and salt concentration on the aqueous solubility and gelling tendencies of Soluplus(R), properties that can significantly impact dissolution performance. Studies indicated that Soluplus(R) exhibited a cloud point that was strongly dependent on the salt type and salt concentration present in the dissolving medium. The presence of kosmotropic salts dehydrated the polymer, effectively lowering the cloud point and facilitating formation of a thermoreversible hydrogel. The ability of ions to impact the cloud point and gel strength generally followed the rank order of the Hofmeister series. Solid dispersions of CBZ and Soluplus(R) were prepared by KinetiSol(R) Dispersing, characterized to confirm an amorphous composition was formed and incorporated into tablets at very high levels (70% w/w). Dissolution studies demonstrated the utility of including salts in tablets to improve dissolution properties. Tablets that did not contain a salt or those that included a chaotropic salt hydrated at the tablet surface and did not allow for sufficient moisture ingress into the tablet. Conversely, the inclusion of kosmotropic salts allowed for rapid hydration of the entire tablet and the formation of a gel structure with strength dependent on the type of salt utilized. Studies also showed that, in addition to allowing tablet hydration, potassium bicarbonate and potassium carbonate provided effervescence which effectively destroyed the gel network and allowed for rapid dissolution of CBZ. Subsequent dissolution studies in 0.1 N HCl showed that potassium bicarbonate was an effective tablet disintegrant at levels as low as 1% and provided for tablets that rapidly disintegrated over a wide range of applied compression forces, presumably due to synergy between the ability to form a weak hydrogel structure and carbon dioxide liberation. Similar dissolution performance was measured in pH 4.5 acetate buffer, despite reduced polymer solubility caused by kosmotropic salts in solution, d\u2026", "author" : [ { "dropping-particle" : "", "family" : "Hughey", "given" : "Justin R", "non-dropping-particle" : "", "parse-names" : false, "suffix" : "" }, { "dropping-particle" : "", "family" : "Keen", "given" : "Justin M", "non-dropping-particle" : "", "parse-names" : false, "suffix" : "" }, { "dropping-particle" : "", "family" : "Miller", "given" : "Dave A", "non-dropping-particle" : "", "parse-names" : false, "suffix" : "" }, { "dropping-particle" : "", "family" : "Kolter", "given" : "Karl", "non-dropping-particle" : "", "parse-names" : false, "suffix" : "" }, { "dropping-particle" : "", "family" : "Langley", "given" : "Nigel", "non-dropping-particle" : "", "parse-names" : false, "suffix" : "" }, { "dropping-particle" : "", "family" : "McGinity", "given" : "James W", "non-dropping-particle" : "", "parse-names" : false, "suffix" : "" } ], "container-title" : "European journal of pharmaceutical sciences : official journal of the European Federation for Pharmaceutical Sciences", "id" : "ITEM-2", "issue" : "4-5", "issued" : { "date-parts" : [ [ "2013", "3" ] ] }, "language" : "eng", "page" : "758-766", "publisher-place" : "Netherlands", "title" : "The use of inorganic salts to improve the dissolution characteristics of tablets  containing Soluplus(R)-based solid dispersions.", "type" : "article-journal", "volume" : "48" }, "uris" : [ "http://www.mendeley.com/documents/?uuid=7146af57-a5f9-4e08-8e6b-03cb181d3104" ] } ], "mendeley" : { "formattedCitation" : "(Hughey et al., 2013; Zhong et al., 2016)", "plainTextFormattedCitation" : "(Hughey et al., 2013; Zhong et al., 2016)", "previouslyFormattedCitation" : "(Hughey et al., 2013; Zhong et al., 2016)" }, "properties" : {  }, "schema" : "https://github.com/citation-style-language/schema/raw/master/csl-citation.json" }</w:instrText>
      </w:r>
      <w:r w:rsidR="0025118E" w:rsidRPr="008C2309">
        <w:rPr>
          <w:rFonts w:ascii="Times" w:hAnsi="Times" w:cstheme="minorHAnsi"/>
          <w:color w:val="000000" w:themeColor="text1"/>
          <w:vertAlign w:val="superscript"/>
        </w:rPr>
        <w:fldChar w:fldCharType="separate"/>
      </w:r>
      <w:r w:rsidR="00B33BE2" w:rsidRPr="008C2309">
        <w:rPr>
          <w:rFonts w:ascii="Times" w:hAnsi="Times" w:cstheme="minorHAnsi"/>
          <w:noProof/>
          <w:color w:val="000000" w:themeColor="text1"/>
        </w:rPr>
        <w:t>(Hughey et al., 2013; Zhong et al., 2016)</w:t>
      </w:r>
      <w:r w:rsidR="0025118E" w:rsidRPr="008C2309">
        <w:rPr>
          <w:rFonts w:ascii="Times" w:hAnsi="Times" w:cstheme="minorHAnsi"/>
          <w:color w:val="000000" w:themeColor="text1"/>
          <w:vertAlign w:val="superscript"/>
        </w:rPr>
        <w:fldChar w:fldCharType="end"/>
      </w:r>
      <w:r w:rsidR="0008796E" w:rsidRPr="008C2309">
        <w:rPr>
          <w:rFonts w:ascii="Times" w:hAnsi="Times" w:cstheme="minorHAnsi"/>
          <w:color w:val="000000" w:themeColor="text1"/>
          <w:vertAlign w:val="superscript"/>
        </w:rPr>
        <w:t xml:space="preserve"> </w:t>
      </w:r>
      <w:r w:rsidR="007F2B34" w:rsidRPr="008C2309">
        <w:rPr>
          <w:rFonts w:ascii="Times" w:hAnsi="Times" w:cstheme="minorHAnsi"/>
          <w:color w:val="000000" w:themeColor="text1"/>
          <w:lang w:val="en-IE"/>
        </w:rPr>
        <w:t>polymers have been shown to be compressible</w:t>
      </w:r>
      <w:r w:rsidR="00BE5680" w:rsidRPr="008C2309">
        <w:rPr>
          <w:rFonts w:ascii="Times" w:hAnsi="Times" w:cstheme="minorHAnsi"/>
          <w:color w:val="000000" w:themeColor="text1"/>
          <w:lang w:val="en-IE"/>
        </w:rPr>
        <w:t xml:space="preserve"> into tablet formulations</w:t>
      </w:r>
      <w:r w:rsidR="00B67474" w:rsidRPr="008C2309">
        <w:rPr>
          <w:rFonts w:ascii="Times" w:hAnsi="Times" w:cstheme="minorHAnsi"/>
          <w:color w:val="000000" w:themeColor="text1"/>
          <w:lang w:val="en-IE"/>
        </w:rPr>
        <w:t>,</w:t>
      </w:r>
      <w:r w:rsidR="000F4446" w:rsidRPr="008C2309">
        <w:rPr>
          <w:rFonts w:ascii="Times" w:hAnsi="Times" w:cstheme="minorHAnsi"/>
          <w:color w:val="000000" w:themeColor="text1"/>
          <w:lang w:val="en-IE"/>
        </w:rPr>
        <w:t xml:space="preserve"> which in turn </w:t>
      </w:r>
      <w:r w:rsidR="00B67474" w:rsidRPr="008C2309">
        <w:rPr>
          <w:rFonts w:ascii="Times" w:hAnsi="Times" w:cstheme="minorHAnsi"/>
          <w:color w:val="000000" w:themeColor="text1"/>
          <w:lang w:val="en-IE"/>
        </w:rPr>
        <w:t xml:space="preserve">enables discs to be </w:t>
      </w:r>
      <w:r w:rsidR="000F4446" w:rsidRPr="008C2309">
        <w:rPr>
          <w:rFonts w:ascii="Times" w:hAnsi="Times" w:cstheme="minorHAnsi"/>
          <w:color w:val="000000" w:themeColor="text1"/>
          <w:lang w:val="en-IE"/>
        </w:rPr>
        <w:t xml:space="preserve">successfully </w:t>
      </w:r>
      <w:r w:rsidR="00B67474" w:rsidRPr="008C2309">
        <w:rPr>
          <w:rFonts w:ascii="Times" w:hAnsi="Times" w:cstheme="minorHAnsi"/>
          <w:color w:val="000000" w:themeColor="text1"/>
          <w:lang w:val="en-IE"/>
        </w:rPr>
        <w:t>prepared in</w:t>
      </w:r>
      <w:r w:rsidR="000F4446" w:rsidRPr="008C2309">
        <w:rPr>
          <w:rFonts w:ascii="Times" w:hAnsi="Times" w:cstheme="minorHAnsi"/>
          <w:color w:val="000000" w:themeColor="text1"/>
          <w:lang w:val="en-IE"/>
        </w:rPr>
        <w:t xml:space="preserve"> the </w:t>
      </w:r>
      <w:r w:rsidR="00101293" w:rsidRPr="008C2309">
        <w:rPr>
          <w:rFonts w:ascii="Times" w:hAnsi="Times" w:cstheme="minorHAnsi"/>
          <w:color w:val="000000" w:themeColor="text1"/>
          <w:lang w:val="en-IE"/>
        </w:rPr>
        <w:t xml:space="preserve">Wood’s </w:t>
      </w:r>
      <w:r w:rsidR="000F4446" w:rsidRPr="008C2309">
        <w:rPr>
          <w:rFonts w:ascii="Times" w:hAnsi="Times" w:cstheme="minorHAnsi"/>
          <w:color w:val="000000" w:themeColor="text1"/>
          <w:lang w:val="en-IE"/>
        </w:rPr>
        <w:t>apparatus for intrinsic dissolution</w:t>
      </w:r>
      <w:r w:rsidR="00101293" w:rsidRPr="008C2309">
        <w:rPr>
          <w:rFonts w:ascii="Times" w:hAnsi="Times" w:cstheme="minorHAnsi"/>
          <w:color w:val="000000" w:themeColor="text1"/>
          <w:lang w:val="en-IE"/>
        </w:rPr>
        <w:t xml:space="preserve"> studies</w:t>
      </w:r>
      <w:r w:rsidR="00BE5680" w:rsidRPr="008C2309">
        <w:rPr>
          <w:rFonts w:ascii="Times" w:hAnsi="Times" w:cstheme="minorHAnsi"/>
          <w:color w:val="000000" w:themeColor="text1"/>
          <w:lang w:val="en-IE"/>
        </w:rPr>
        <w:t>.</w:t>
      </w:r>
      <w:r w:rsidR="007F2B34" w:rsidRPr="008C2309">
        <w:rPr>
          <w:rFonts w:ascii="Times" w:hAnsi="Times" w:cstheme="minorHAnsi"/>
          <w:color w:val="000000" w:themeColor="text1"/>
          <w:lang w:val="en-IE"/>
        </w:rPr>
        <w:t xml:space="preserve"> </w:t>
      </w:r>
      <w:bookmarkStart w:id="14" w:name="_Hlk500861304"/>
      <w:r w:rsidR="000F4446" w:rsidRPr="008C2309">
        <w:rPr>
          <w:rFonts w:ascii="Times" w:hAnsi="Times" w:cstheme="minorHAnsi"/>
          <w:color w:val="000000" w:themeColor="text1"/>
          <w:lang w:val="en-IE"/>
        </w:rPr>
        <w:t>Kollidon</w:t>
      </w:r>
      <w:bookmarkStart w:id="15" w:name="_Hlk500858486"/>
      <w:r w:rsidR="000F4446" w:rsidRPr="008C2309">
        <w:rPr>
          <w:rFonts w:ascii="Times" w:hAnsi="Times" w:cstheme="minorHAnsi"/>
          <w:color w:val="000000" w:themeColor="text1"/>
          <w:vertAlign w:val="superscript"/>
        </w:rPr>
        <w:t>®</w:t>
      </w:r>
      <w:bookmarkEnd w:id="15"/>
      <w:r w:rsidR="000F4446" w:rsidRPr="008C2309">
        <w:rPr>
          <w:rFonts w:ascii="Times" w:hAnsi="Times"/>
        </w:rPr>
        <w:t xml:space="preserve"> VA 64</w:t>
      </w:r>
      <w:r w:rsidR="000F4446" w:rsidRPr="008C2309">
        <w:rPr>
          <w:rStyle w:val="CommentReference"/>
          <w:rFonts w:ascii="Arial" w:hAnsi="Arial" w:cstheme="minorBidi"/>
          <w:lang w:eastAsia="en-US"/>
        </w:rPr>
        <w:t xml:space="preserve"> </w:t>
      </w:r>
      <w:bookmarkEnd w:id="14"/>
      <w:r w:rsidR="007F2B34" w:rsidRPr="008C2309">
        <w:rPr>
          <w:rFonts w:ascii="Times" w:hAnsi="Times" w:cstheme="minorHAnsi"/>
          <w:color w:val="000000" w:themeColor="text1"/>
          <w:lang w:val="en-IE"/>
        </w:rPr>
        <w:t>display</w:t>
      </w:r>
      <w:r w:rsidR="000F4446" w:rsidRPr="008C2309">
        <w:rPr>
          <w:rFonts w:ascii="Times" w:hAnsi="Times" w:cstheme="minorHAnsi"/>
          <w:color w:val="000000" w:themeColor="text1"/>
          <w:lang w:val="en-IE"/>
        </w:rPr>
        <w:t>s very good</w:t>
      </w:r>
      <w:r w:rsidR="007F2B34" w:rsidRPr="008C2309">
        <w:rPr>
          <w:rFonts w:ascii="Times" w:hAnsi="Times" w:cstheme="minorHAnsi"/>
          <w:color w:val="000000" w:themeColor="text1"/>
          <w:lang w:val="en-IE"/>
        </w:rPr>
        <w:t xml:space="preserve"> </w:t>
      </w:r>
      <w:r w:rsidR="000F4446" w:rsidRPr="008C2309">
        <w:rPr>
          <w:rFonts w:ascii="Times" w:hAnsi="Times" w:cstheme="minorHAnsi"/>
          <w:color w:val="000000" w:themeColor="text1"/>
          <w:lang w:val="en-IE"/>
        </w:rPr>
        <w:t>p</w:t>
      </w:r>
      <w:r w:rsidR="007F2B34" w:rsidRPr="008C2309">
        <w:rPr>
          <w:rFonts w:ascii="Times" w:hAnsi="Times" w:cstheme="minorHAnsi"/>
          <w:color w:val="000000" w:themeColor="text1"/>
          <w:lang w:val="en-IE"/>
        </w:rPr>
        <w:t>lastic properties</w:t>
      </w:r>
      <w:r w:rsidR="000F4446" w:rsidRPr="008C2309">
        <w:rPr>
          <w:rFonts w:ascii="Times" w:hAnsi="Times" w:cstheme="minorHAnsi"/>
          <w:color w:val="000000" w:themeColor="text1"/>
          <w:lang w:val="en-IE"/>
        </w:rPr>
        <w:t xml:space="preserve"> and for this reason it is often used as a binder in direct compression. Soluplus</w:t>
      </w:r>
      <w:r w:rsidR="000F4446" w:rsidRPr="008C2309">
        <w:rPr>
          <w:rFonts w:ascii="Times" w:hAnsi="Times" w:cstheme="minorHAnsi"/>
          <w:color w:val="000000" w:themeColor="text1"/>
          <w:vertAlign w:val="superscript"/>
        </w:rPr>
        <w:t>®</w:t>
      </w:r>
      <w:r w:rsidR="000F4446" w:rsidRPr="008C2309">
        <w:rPr>
          <w:rFonts w:ascii="Times" w:hAnsi="Times" w:cstheme="minorHAnsi"/>
          <w:color w:val="000000" w:themeColor="text1"/>
          <w:lang w:val="en-IE"/>
        </w:rPr>
        <w:t xml:space="preserve"> on the other hand</w:t>
      </w:r>
      <w:r w:rsidR="007E58F8" w:rsidRPr="008C2309">
        <w:rPr>
          <w:rFonts w:ascii="Times" w:hAnsi="Times" w:cstheme="minorHAnsi"/>
          <w:color w:val="000000" w:themeColor="text1"/>
          <w:lang w:val="en-IE"/>
        </w:rPr>
        <w:t xml:space="preserve">, has more elastic behaviour </w:t>
      </w:r>
      <w:r w:rsidR="0046063A" w:rsidRPr="008C2309">
        <w:rPr>
          <w:rFonts w:ascii="Times" w:hAnsi="Times" w:cstheme="minorHAnsi"/>
          <w:color w:val="000000" w:themeColor="text1"/>
          <w:lang w:val="en-IE"/>
        </w:rPr>
        <w:t xml:space="preserve"> </w:t>
      </w:r>
      <w:r w:rsidR="00DF3E85" w:rsidRPr="008C2309">
        <w:rPr>
          <w:rFonts w:ascii="Times" w:hAnsi="Times" w:cstheme="minorHAnsi"/>
          <w:color w:val="000000" w:themeColor="text1"/>
          <w:lang w:val="en-IE"/>
        </w:rPr>
        <w:lastRenderedPageBreak/>
        <w:fldChar w:fldCharType="begin" w:fldLock="1"/>
      </w:r>
      <w:r w:rsidR="00432184" w:rsidRPr="008C2309">
        <w:rPr>
          <w:rFonts w:ascii="Times" w:hAnsi="Times" w:cstheme="minorHAnsi"/>
          <w:color w:val="000000" w:themeColor="text1"/>
          <w:lang w:val="en-IE"/>
        </w:rPr>
        <w:instrText>ADDIN CSL_CITATION { "citationItems" : [ { "id" : "ITEM-1", "itemData" : { "DOI" : "10.1016/j.ijpharm.2014.11.025", "ISSN" : "1873-3476 (Electronic)", "PMID" : "25448585", "abstract" : "The purpose of this study was to apply viscoelastic properties of polymer and drug-polymer mixtures to determine processing conditions for the preparation of amorphous solid dispersion by melt extrusion. A poorly water-soluble drug, carbamazepine (CBZ), was mixed with Soluplus((R)) as the carrier. Torque analysis using a melt extruder was performed at 10, 20 and 30% w/w drug concentrations and the effect of barrel temperature was studied. Viscosity of the mixtures either at fixed temperatures with different angular frequencies or as a function of temperature with the same frequency was studied using a rheometer. The viscosity of Soluplus((R)) and the torque exerted on the twin screws decreased with the increase in CBZ concentration. The viscosity versus temperature plots for different CBZ concentrations were parallel to each other, without the drug melting transition, indicating complete drug-polymer miscibility. Thus, the drug-polymer mixtures could be extruded at temperature as low as 140 degrees C with 10% w/w drug load, 135 degrees C with 20% w/w drug and 125 degrees C with 30% w/w drug, which were, respectively, approximately 50 degrees C, 55 degrees C and 65 degrees C below the melting point of 191 degrees C for CBZ. The differential scanning calorimetry (DSC) and powder X-ray diffraction (XRD) analyses of the binary mixtures extruded at 125-150 degrees C showed absence of crystalline drug. A systematic study of miscibility and extrudability of drug-polymer mixtures by rheological and torque analysis as a function of temperature will help formulators select optimal melt extrusion processing conditions to develop solid dispersions.", "author" : [ { "dropping-particle" : "", "family" : "Gupta", "given" : "Simerdeep Singh", "non-dropping-particle" : "", "parse-names" : false, "suffix" : "" }, { "dropping-particle" : "", "family" : "Parikh", "given" : "Tapan", "non-dropping-particle" : "", "parse-names" : false, "suffix" : "" }, { "dropping-particle" : "", "family" : "Meena", "given" : "Anuprabha K", "non-dropping-particle" : "", "parse-names" : false, "suffix" : "" }, { "dropping-particle" : "", "family" : "Mahajan", "given" : "Nidhi", "non-dropping-particle" : "", "parse-names" : false, "suffix" : "" }, { "dropping-particle" : "", "family" : "Vitez", "given" : "Imre", "non-dropping-particle" : "", "parse-names" : false, "suffix" : "" }, { "dropping-particle" : "", "family" : "Serajuddin", "given" : "Abu T M", "non-dropping-particle" : "", "parse-names" : false, "suffix" : "" } ], "container-title" : "International journal of pharmaceutics", "id" : "ITEM-1", "issue" : "1", "issued" : { "date-parts" : [ [ "2015", "1" ] ] }, "language" : "eng", "page" : "232-239", "publisher-place" : "Netherlands", "title" : "Effect of carbamazepine on viscoelastic properties and hot melt extrudability of  Soluplus (R).", "type" : "article-journal", "volume" : "478" }, "uris" : [ "http://www.mendeley.com/documents/?uuid=fec9132d-5a18-4eb4-acf1-d331e414bc37" ] } ], "mendeley" : { "formattedCitation" : "(Gupta et al., 2015)", "plainTextFormattedCitation" : "(Gupta et al., 2015)", "previouslyFormattedCitation" : "(Gupta et al., 2015)" }, "properties" : {  }, "schema" : "https://github.com/citation-style-language/schema/raw/master/csl-citation.json" }</w:instrText>
      </w:r>
      <w:r w:rsidR="00DF3E85" w:rsidRPr="008C2309">
        <w:rPr>
          <w:rFonts w:ascii="Times" w:hAnsi="Times" w:cstheme="minorHAnsi"/>
          <w:color w:val="000000" w:themeColor="text1"/>
          <w:lang w:val="en-IE"/>
        </w:rPr>
        <w:fldChar w:fldCharType="separate"/>
      </w:r>
      <w:r w:rsidR="00B33BE2" w:rsidRPr="008C2309">
        <w:rPr>
          <w:rFonts w:ascii="Times" w:hAnsi="Times" w:cstheme="minorHAnsi"/>
          <w:noProof/>
          <w:color w:val="000000" w:themeColor="text1"/>
          <w:lang w:val="en-IE"/>
        </w:rPr>
        <w:t>(Gupta et al., 2015)</w:t>
      </w:r>
      <w:r w:rsidR="00DF3E85" w:rsidRPr="008C2309">
        <w:rPr>
          <w:rFonts w:ascii="Times" w:hAnsi="Times" w:cstheme="minorHAnsi"/>
          <w:color w:val="000000" w:themeColor="text1"/>
          <w:lang w:val="en-IE"/>
        </w:rPr>
        <w:fldChar w:fldCharType="end"/>
      </w:r>
      <w:r w:rsidR="007E58F8" w:rsidRPr="008C2309">
        <w:rPr>
          <w:rFonts w:ascii="Times" w:hAnsi="Times" w:cstheme="minorHAnsi"/>
          <w:color w:val="000000" w:themeColor="text1"/>
          <w:lang w:val="en-IE"/>
        </w:rPr>
        <w:t xml:space="preserve"> due to the storage modulus being greater than the loss modulus at temperatures below and close to its Tg</w:t>
      </w:r>
      <w:r w:rsidR="0046063A" w:rsidRPr="008C2309">
        <w:rPr>
          <w:rFonts w:ascii="Times" w:hAnsi="Times" w:cstheme="minorHAnsi"/>
          <w:color w:val="000000" w:themeColor="text1"/>
          <w:lang w:val="en-IE"/>
        </w:rPr>
        <w:t xml:space="preserve"> </w:t>
      </w:r>
      <w:r w:rsidR="00DF3E85" w:rsidRPr="008C2309">
        <w:rPr>
          <w:rFonts w:ascii="Times" w:hAnsi="Times" w:cstheme="minorHAnsi"/>
          <w:color w:val="000000" w:themeColor="text1"/>
          <w:lang w:val="en-IE"/>
        </w:rPr>
        <w:fldChar w:fldCharType="begin" w:fldLock="1"/>
      </w:r>
      <w:r w:rsidR="00432184" w:rsidRPr="008C2309">
        <w:rPr>
          <w:rFonts w:ascii="Times" w:hAnsi="Times" w:cstheme="minorHAnsi"/>
          <w:color w:val="000000" w:themeColor="text1"/>
          <w:lang w:val="en-IE"/>
        </w:rPr>
        <w:instrText>ADDIN CSL_CITATION { "citationItems" : [ { "id" : "ITEM-1", "itemData" : { "DOI" : "10.1208/s12249-015-0426-6", "ISSN" : "1530-9932", "abstract" : "Most cellulosic polymers cannot be used as carriers for preparing solid dispersion of drugs by hot melt extrusion (HME) due to their high melt viscosity and thermal degradation at high processing temperatures. Three HME-grade hydroxypropyl methylcelluloses, namely Affinisol\u2122 HPMC HME 15\u00a0cP, Affinisol\u2122 HPMC HME 100\u00a0cP, and Affinisol\u2122 HPMC HME 4\u00a0M, have recently been introduced by The Dow Chemical Co. to enable the preparation of solid dispersion at lower and more acceptable processing temperatures. In the present investigation, physicochemical properties of the new polymers relevant to HME were determined and compared with that of Kollidon\u00ae VA 64. Powder X-ray diffraction (PXRD), modulated differential scanning calorimetry (mDSC), thermogravimetric analysis (TGA), moisture sorption, rheology, and torque analysis by melt extrusion were applied. PXRD and mDSC showed that the Affinisol\u2122 polymers were amorphous in nature. According to TGA, the onset of degradation for all polymers was &amp;gt;220\u00b0C. The Affinisol\u2122 polymers exhibited less hygroscopicity than Kollidon\u00ae VA 64 and another HPMC polymer, Methocel\u2122 K100LV. The complex viscosity profiles of the Affinisol\u2122 polymers as a function of temperature were similar. The viscosity of the Affinisol\u2122 polymers was highly sensitive to the shear rate applied, and unlike Kollidon\u00ae VA 64, the viscosity decreased drastically when the angular frequency was increased. Because of the very high shear rate encountered during melt extrusion, Affinisol\u2122 polymers showed capability of being extruded at larger windows of processing temperatures as compared to that of Kollidon\u00ae VA 64. \u00a9 2015, American Association of Pharmaceutical Scientists.", "author" : [ { "dropping-particle" : "", "family" : "Gupta", "given" : "Simerdeep Singh", "non-dropping-particle" : "", "parse-names" : false, "suffix" : "" }, { "dropping-particle" : "", "family" : "Solanki", "given" : "Nayan", "non-dropping-particle" : "", "parse-names" : false, "suffix" : "" }, { "dropping-particle" : "", "family" : "Serajuddin", "given" : "Abu T. M.", "non-dropping-particle" : "", "parse-names" : false, "suffix" : "" } ], "container-title" : "AAPS PharmSciTech", "id" : "ITEM-1", "issue" : "1", "issued" : { "date-parts" : [ [ "2016" ] ] }, "page" : "148-157", "title" : "Investigation of Thermal and Viscoelastic Properties of Polymers Relevant to Hot Melt Extrusion, IV: Affinisol\u2122 HPMC HME Polymers", "type" : "article-journal", "volume" : "17" }, "uris" : [ "http://www.mendeley.com/documents/?uuid=9c8d99f0-cc69-40e0-8e22-5aae9a2ebe3d" ] } ], "mendeley" : { "formattedCitation" : "(Gupta et al., 2016)", "plainTextFormattedCitation" : "(Gupta et al., 2016)", "previouslyFormattedCitation" : "(Gupta et al., 2016)" }, "properties" : {  }, "schema" : "https://github.com/citation-style-language/schema/raw/master/csl-citation.json" }</w:instrText>
      </w:r>
      <w:r w:rsidR="00DF3E85" w:rsidRPr="008C2309">
        <w:rPr>
          <w:rFonts w:ascii="Times" w:hAnsi="Times" w:cstheme="minorHAnsi"/>
          <w:color w:val="000000" w:themeColor="text1"/>
          <w:lang w:val="en-IE"/>
        </w:rPr>
        <w:fldChar w:fldCharType="separate"/>
      </w:r>
      <w:r w:rsidR="00B33BE2" w:rsidRPr="008C2309">
        <w:rPr>
          <w:rFonts w:ascii="Times" w:hAnsi="Times" w:cstheme="minorHAnsi"/>
          <w:noProof/>
          <w:color w:val="000000" w:themeColor="text1"/>
          <w:lang w:val="en-IE"/>
        </w:rPr>
        <w:t>(Gupta et al., 2016)</w:t>
      </w:r>
      <w:r w:rsidR="00DF3E85" w:rsidRPr="008C2309">
        <w:rPr>
          <w:rFonts w:ascii="Times" w:hAnsi="Times" w:cstheme="minorHAnsi"/>
          <w:color w:val="000000" w:themeColor="text1"/>
          <w:lang w:val="en-IE"/>
        </w:rPr>
        <w:fldChar w:fldCharType="end"/>
      </w:r>
      <w:r w:rsidR="007E58F8" w:rsidRPr="008C2309">
        <w:rPr>
          <w:rFonts w:ascii="Times" w:hAnsi="Times" w:cstheme="minorHAnsi"/>
          <w:color w:val="000000" w:themeColor="text1"/>
          <w:lang w:val="en-IE"/>
        </w:rPr>
        <w:t xml:space="preserve">. </w:t>
      </w:r>
      <w:r w:rsidR="00332170" w:rsidRPr="008C2309">
        <w:rPr>
          <w:rFonts w:ascii="Times" w:hAnsi="Times" w:cstheme="minorHAnsi"/>
          <w:color w:val="000000" w:themeColor="text1"/>
          <w:lang w:val="en-IE"/>
        </w:rPr>
        <w:t xml:space="preserve">The </w:t>
      </w:r>
      <w:r w:rsidR="002E29BA" w:rsidRPr="008C2309">
        <w:rPr>
          <w:rFonts w:ascii="Times" w:hAnsi="Times" w:cstheme="minorHAnsi"/>
          <w:color w:val="000000" w:themeColor="text1"/>
          <w:lang w:val="en-IE"/>
        </w:rPr>
        <w:t>plastic properties of the Kollidon</w:t>
      </w:r>
      <w:r w:rsidR="002E29BA" w:rsidRPr="008C2309">
        <w:rPr>
          <w:rFonts w:ascii="Times" w:hAnsi="Times" w:cstheme="minorHAnsi"/>
          <w:color w:val="000000" w:themeColor="text1"/>
          <w:vertAlign w:val="superscript"/>
        </w:rPr>
        <w:t>®</w:t>
      </w:r>
      <w:r w:rsidR="002E29BA" w:rsidRPr="008C2309">
        <w:rPr>
          <w:rFonts w:ascii="Times" w:hAnsi="Times"/>
        </w:rPr>
        <w:t xml:space="preserve"> VA 64 account for the cracks/voids form</w:t>
      </w:r>
      <w:r w:rsidR="00B67474" w:rsidRPr="008C2309">
        <w:rPr>
          <w:rFonts w:ascii="Times" w:hAnsi="Times"/>
        </w:rPr>
        <w:t>ing</w:t>
      </w:r>
      <w:r w:rsidR="004A164B" w:rsidRPr="008C2309">
        <w:rPr>
          <w:rFonts w:ascii="Times" w:hAnsi="Times"/>
        </w:rPr>
        <w:t>,</w:t>
      </w:r>
      <w:r w:rsidR="002E29BA" w:rsidRPr="008C2309">
        <w:rPr>
          <w:rFonts w:ascii="Times" w:hAnsi="Times"/>
        </w:rPr>
        <w:t xml:space="preserve"> as the material will remain deformed</w:t>
      </w:r>
      <w:r w:rsidR="00A44182" w:rsidRPr="008C2309">
        <w:rPr>
          <w:rFonts w:ascii="Times" w:hAnsi="Times"/>
        </w:rPr>
        <w:t>, differing</w:t>
      </w:r>
      <w:r w:rsidR="002E29BA" w:rsidRPr="008C2309">
        <w:rPr>
          <w:rFonts w:ascii="Times" w:hAnsi="Times"/>
        </w:rPr>
        <w:t xml:space="preserve"> from its original configuration </w:t>
      </w:r>
      <w:r w:rsidR="00A44182" w:rsidRPr="008C2309">
        <w:rPr>
          <w:rFonts w:ascii="Times" w:hAnsi="Times"/>
        </w:rPr>
        <w:t>after</w:t>
      </w:r>
      <w:r w:rsidR="002E29BA" w:rsidRPr="008C2309">
        <w:rPr>
          <w:rFonts w:ascii="Times" w:hAnsi="Times"/>
        </w:rPr>
        <w:t xml:space="preserve"> compression force is applied. However, the elastic properties of the Soluplus</w:t>
      </w:r>
      <w:r w:rsidR="002E29BA" w:rsidRPr="008C2309">
        <w:rPr>
          <w:rFonts w:ascii="Times" w:hAnsi="Times" w:cstheme="minorHAnsi"/>
          <w:color w:val="000000" w:themeColor="text1"/>
          <w:vertAlign w:val="superscript"/>
        </w:rPr>
        <w:t>®</w:t>
      </w:r>
      <w:r w:rsidR="0046063A" w:rsidRPr="008C2309">
        <w:rPr>
          <w:rFonts w:ascii="Times" w:hAnsi="Times" w:cstheme="minorHAnsi"/>
          <w:color w:val="000000" w:themeColor="text1"/>
          <w:vertAlign w:val="superscript"/>
        </w:rPr>
        <w:t xml:space="preserve"> </w:t>
      </w:r>
      <w:r w:rsidR="00DF3E85" w:rsidRPr="008C2309">
        <w:rPr>
          <w:rFonts w:ascii="Times" w:hAnsi="Times" w:cstheme="minorHAnsi"/>
          <w:color w:val="000000" w:themeColor="text1"/>
          <w:vertAlign w:val="superscript"/>
        </w:rPr>
        <w:fldChar w:fldCharType="begin" w:fldLock="1"/>
      </w:r>
      <w:r w:rsidR="00432184" w:rsidRPr="008C2309">
        <w:rPr>
          <w:rFonts w:ascii="Times" w:hAnsi="Times" w:cstheme="minorHAnsi"/>
          <w:color w:val="000000" w:themeColor="text1"/>
          <w:vertAlign w:val="superscript"/>
        </w:rPr>
        <w:instrText>ADDIN CSL_CITATION { "citationItems" : [ { "id" : "ITEM-1", "itemData" : { "DOI" : "10.1016/j.ajps.2015.07.001", "ISSN" : "2221285X", "abstract" : "To investigate the effect of supersaturation induced by micelle formation during dissolution on the bioavailability of itraconazole (ITZ)/Soluplus\u00ae solid dispersion. Solid dispersions prepared by hot melt extrusion (HME) were compressed into tablets directly with other excipients. Dissolution behavior of ITZ tablets was studied by dissolution testing and the morphology of micelles in dissolution media was studied using transmission electron microscopy (TEM). Drug transferring from stomach into intestine was simulated to obtain a supersaturated drug solution. Bioavailability studies were performed on the ITZ tablets and Sporanox\u00ae in beagle dogs. The morphology of micelles in the dissolution media was observed to be spherical in shape, with an average size smaller than 100 nm. The supersaturated solutions formed by Soluplus\u00ae micelles were stable and no precipitation took place over a period of 180 min. Compared with Sporanox\u00ae, ITZ tablets exhibited a 2.50-fold increase in the AUC(0-96)of ITZ and a 1.95-fold increase in its active metabolite hydroxyitraconazole (OH-ITZ) in the plasma of beagle dogs. The results obtained provided clear evidence that not only the increase in the dissolution rate in the stomach, but also the supersaturation produced by micelles in the small intestine may be of great assistance in the successful development of poorly water-soluble drugs. The micelles formed by Soluplus\u00ae enwrapped the molecular ITZ inside the core which promoted the amount of free drug in the intestinal cavity and carried ITZ through the aqueous boundary layer (ABL), resulting in high absorption by passive transportation across biological membranes. The uptake of intact micelles through pinocytosis together with the inhibition of P-glycoprotein-mediated drug efflux in intestinal epithelia contributed to the absorption of ITZ in the gastrointestinal tract. These results indicate that HME with Soluplus\u00ae, which can induce supersaturation by micelle formation, may be of great assistance to the successful development of poorly water-soluble drugs.", "author" : [ { "dropping-particle" : "", "family" : "Zhong", "given" : "Yue", "non-dropping-particle" : "", "parse-names" : false, "suffix" : "" }, { "dropping-particle" : "", "family" : "Jing", "given" : "Guanghui", "non-dropping-particle" : "", "parse-names" : false, "suffix" : "" }, { "dropping-particle" : "", "family" : "Tian", "given" : "Bin", "non-dropping-particle" : "", "parse-names" : false, "suffix" : "" }, { "dropping-particle" : "", "family" : "Huang", "given" : "Hao", "non-dropping-particle" : "", "parse-names" : false, "suffix" : "" }, { "dropping-particle" : "", "family" : "Zhang", "given" : "Yuanyuan", "non-dropping-particle" : "", "parse-names" : false, "suffix" : "" }, { "dropping-particle" : "", "family" : "Gou", "given" : "Jingxin", "non-dropping-particle" : "", "parse-names" : false, "suffix" : "" }, { "dropping-particle" : "", "family" : "Tang", "given" : "Xing", "non-dropping-particle" : "", "parse-names" : false, "suffix" : "" }, { "dropping-particle" : "", "family" : "He", "given" : "Haibing", "non-dropping-particle" : "", "parse-names" : false, "suffix" : "" }, { "dropping-particle" : "", "family" : "Wang", "given" : "Yanjiao", "non-dropping-particle" : "", "parse-names" : false, "suffix" : "" } ], "container-title" : "Asian Journal of Pharmaceutical Sciences", "id" : "ITEM-1", "issue" : "2", "issued" : { "date-parts" : [ [ "2016" ] ] }, "page" : "255-264", "publisher" : "Elsevier B.V.", "title" : "Supersaturation induced by Itraconazole/Soluplus\u00ae micelles provided high GI absorption in vivo", "type" : "article-journal", "volume" : "11" }, "uris" : [ "http://www.mendeley.com/documents/?uuid=bce58db8-db3e-4bd9-86d9-0add848f8350" ] }, { "id" : "ITEM-2", "itemData" : { "DOI" : "10.1016/j.ejps.2013.01.004", "ISSN" : "1879-0720 (Electronic)", "PMID" : "23348153", "abstract" : "The dissolution enhancement advantages inherent to amorphous solid dispersions systems are often not fully realized once they are formulated into a solid dosage form. The objective of this study was to investigate the ability of inorganic salts to improve the dissolution rate of carbamazepine (CBZ) from tablets containing a high loading of a Soluplus(R)-based solid dispersion. Cloud point and viscometric studies were conducted on Soluplus(R) solutions to understand the effect of temperature, salt type and salt concentration on the aqueous solubility and gelling tendencies of Soluplus(R), properties that can significantly impact dissolution performance. Studies indicated that Soluplus(R) exhibited a cloud point that was strongly dependent on the salt type and salt concentration present in the dissolving medium. The presence of kosmotropic salts dehydrated the polymer, effectively lowering the cloud point and facilitating formation of a thermoreversible hydrogel. The ability of ions to impact the cloud point and gel strength generally followed the rank order of the Hofmeister series. Solid dispersions of CBZ and Soluplus(R) were prepared by KinetiSol(R) Dispersing, characterized to confirm an amorphous composition was formed and incorporated into tablets at very high levels (70% w/w). Dissolution studies demonstrated the utility of including salts in tablets to improve dissolution properties. Tablets that did not contain a salt or those that included a chaotropic salt hydrated at the tablet surface and did not allow for sufficient moisture ingress into the tablet. Conversely, the inclusion of kosmotropic salts allowed for rapid hydration of the entire tablet and the formation of a gel structure with strength dependent on the type of salt utilized. Studies also showed that, in addition to allowing tablet hydration, potassium bicarbonate and potassium carbonate provided effervescence which effectively destroyed the gel network and allowed for rapid dissolution of CBZ. Subsequent dissolution studies in 0.1 N HCl showed that potassium bicarbonate was an effective tablet disintegrant at levels as low as 1% and provided for tablets that rapidly disintegrated over a wide range of applied compression forces, presumably due to synergy between the ability to form a weak hydrogel structure and carbon dioxide liberation. Similar dissolution performance was measured in pH 4.5 acetate buffer, despite reduced polymer solubility caused by kosmotropic salts in solution, d\u2026", "author" : [ { "dropping-particle" : "", "family" : "Hughey", "given" : "Justin R", "non-dropping-particle" : "", "parse-names" : false, "suffix" : "" }, { "dropping-particle" : "", "family" : "Keen", "given" : "Justin M", "non-dropping-particle" : "", "parse-names" : false, "suffix" : "" }, { "dropping-particle" : "", "family" : "Miller", "given" : "Dave A", "non-dropping-particle" : "", "parse-names" : false, "suffix" : "" }, { "dropping-particle" : "", "family" : "Kolter", "given" : "Karl", "non-dropping-particle" : "", "parse-names" : false, "suffix" : "" }, { "dropping-particle" : "", "family" : "Langley", "given" : "Nigel", "non-dropping-particle" : "", "parse-names" : false, "suffix" : "" }, { "dropping-particle" : "", "family" : "McGinity", "given" : "James W", "non-dropping-particle" : "", "parse-names" : false, "suffix" : "" } ], "container-title" : "European journal of pharmaceutical sciences : official journal of the European Federation for Pharmaceutical Sciences", "id" : "ITEM-2", "issue" : "4-5", "issued" : { "date-parts" : [ [ "2013", "3" ] ] }, "language" : "eng", "page" : "758-766", "publisher-place" : "Netherlands", "title" : "The use of inorganic salts to improve the dissolution characteristics of tablets  containing Soluplus(R)-based solid dispersions.", "type" : "article-journal", "volume" : "48" }, "uris" : [ "http://www.mendeley.com/documents/?uuid=7146af57-a5f9-4e08-8e6b-03cb181d3104" ] } ], "mendeley" : { "formattedCitation" : "(Hughey et al., 2013; Zhong et al., 2016)", "plainTextFormattedCitation" : "(Hughey et al., 2013; Zhong et al., 2016)", "previouslyFormattedCitation" : "(Hughey et al., 2013; Zhong et al., 2016)" }, "properties" : {  }, "schema" : "https://github.com/citation-style-language/schema/raw/master/csl-citation.json" }</w:instrText>
      </w:r>
      <w:r w:rsidR="00DF3E85" w:rsidRPr="008C2309">
        <w:rPr>
          <w:rFonts w:ascii="Times" w:hAnsi="Times" w:cstheme="minorHAnsi"/>
          <w:color w:val="000000" w:themeColor="text1"/>
          <w:vertAlign w:val="superscript"/>
        </w:rPr>
        <w:fldChar w:fldCharType="separate"/>
      </w:r>
      <w:r w:rsidR="00B33BE2" w:rsidRPr="008C2309">
        <w:rPr>
          <w:rFonts w:ascii="Times" w:hAnsi="Times" w:cstheme="minorHAnsi"/>
          <w:noProof/>
          <w:color w:val="000000" w:themeColor="text1"/>
        </w:rPr>
        <w:t>(Hughey et al., 2013; Zhong et al., 2016)</w:t>
      </w:r>
      <w:r w:rsidR="00DF3E85" w:rsidRPr="008C2309">
        <w:rPr>
          <w:rFonts w:ascii="Times" w:hAnsi="Times" w:cstheme="minorHAnsi"/>
          <w:color w:val="000000" w:themeColor="text1"/>
          <w:vertAlign w:val="superscript"/>
        </w:rPr>
        <w:fldChar w:fldCharType="end"/>
      </w:r>
      <w:r w:rsidR="002E29BA" w:rsidRPr="008C2309">
        <w:rPr>
          <w:rFonts w:ascii="Times" w:hAnsi="Times" w:cstheme="minorHAnsi"/>
          <w:color w:val="000000" w:themeColor="text1"/>
          <w:lang w:val="en-IE"/>
        </w:rPr>
        <w:t xml:space="preserve"> account for fewer cracks/voids as the material tries to revert to its original configuration.</w:t>
      </w:r>
    </w:p>
    <w:p w14:paraId="5DCE4926" w14:textId="4B73F976" w:rsidR="00F85660" w:rsidRPr="008C2309" w:rsidRDefault="00F85660" w:rsidP="00E41DED">
      <w:pPr>
        <w:spacing w:line="480" w:lineRule="auto"/>
        <w:jc w:val="both"/>
        <w:rPr>
          <w:rFonts w:ascii="Times" w:hAnsi="Times" w:cstheme="minorHAnsi"/>
          <w:color w:val="000000" w:themeColor="text1"/>
          <w:lang w:val="en-IE"/>
        </w:rPr>
      </w:pPr>
      <w:bookmarkStart w:id="16" w:name="_Hlk502684444"/>
      <w:bookmarkEnd w:id="10"/>
      <w:r w:rsidRPr="008C2309">
        <w:rPr>
          <w:rFonts w:ascii="Times" w:hAnsi="Times" w:cstheme="minorHAnsi"/>
          <w:color w:val="000000" w:themeColor="text1"/>
          <w:lang w:val="en-IE"/>
        </w:rPr>
        <w:t xml:space="preserve">HME-F1, HME-F2 and HME-F3 post milling show particles with asymmetrical shapes (Figure </w:t>
      </w:r>
      <w:r w:rsidR="000A160D" w:rsidRPr="008C2309">
        <w:rPr>
          <w:rFonts w:ascii="Times" w:hAnsi="Times" w:cstheme="minorHAnsi"/>
          <w:color w:val="000000" w:themeColor="text1"/>
          <w:lang w:val="en-IE"/>
        </w:rPr>
        <w:t>8</w:t>
      </w:r>
      <w:r w:rsidRPr="008C2309">
        <w:rPr>
          <w:rFonts w:ascii="Times" w:hAnsi="Times" w:cstheme="minorHAnsi"/>
          <w:color w:val="000000" w:themeColor="text1"/>
          <w:lang w:val="en-IE"/>
        </w:rPr>
        <w:t xml:space="preserve"> </w:t>
      </w:r>
      <w:r w:rsidR="004A03F8" w:rsidRPr="008C2309">
        <w:rPr>
          <w:rFonts w:ascii="Times" w:hAnsi="Times" w:cstheme="minorHAnsi"/>
          <w:color w:val="000000" w:themeColor="text1"/>
          <w:lang w:val="en-IE"/>
        </w:rPr>
        <w:t>(</w:t>
      </w:r>
      <w:r w:rsidRPr="008C2309">
        <w:rPr>
          <w:rFonts w:ascii="Times" w:hAnsi="Times" w:cstheme="minorHAnsi"/>
          <w:color w:val="000000" w:themeColor="text1"/>
          <w:lang w:val="en-IE"/>
        </w:rPr>
        <w:t>A</w:t>
      </w:r>
      <w:r w:rsidR="004A03F8" w:rsidRPr="008C2309">
        <w:rPr>
          <w:rFonts w:ascii="Times" w:hAnsi="Times" w:cstheme="minorHAnsi"/>
          <w:color w:val="000000" w:themeColor="text1"/>
          <w:lang w:val="en-IE"/>
        </w:rPr>
        <w:t>)-(</w:t>
      </w:r>
      <w:r w:rsidRPr="008C2309">
        <w:rPr>
          <w:rFonts w:ascii="Times" w:hAnsi="Times" w:cstheme="minorHAnsi"/>
          <w:color w:val="000000" w:themeColor="text1"/>
          <w:lang w:val="en-IE"/>
        </w:rPr>
        <w:t>C</w:t>
      </w:r>
      <w:r w:rsidR="004A03F8" w:rsidRPr="008C2309">
        <w:rPr>
          <w:rFonts w:ascii="Times" w:hAnsi="Times" w:cstheme="minorHAnsi"/>
          <w:color w:val="000000" w:themeColor="text1"/>
          <w:lang w:val="en-IE"/>
        </w:rPr>
        <w:t>)</w:t>
      </w:r>
      <w:r w:rsidRPr="008C2309">
        <w:rPr>
          <w:rFonts w:ascii="Times" w:hAnsi="Times" w:cstheme="minorHAnsi"/>
          <w:color w:val="000000" w:themeColor="text1"/>
          <w:lang w:val="en-IE"/>
        </w:rPr>
        <w:t>).</w:t>
      </w:r>
      <w:r w:rsidR="004145EA" w:rsidRPr="008C2309">
        <w:t xml:space="preserve"> As one of our objectives was a direct comparison between products, it was decided that the extrudates would be </w:t>
      </w:r>
      <w:r w:rsidR="00320E7E" w:rsidRPr="008C2309">
        <w:t>cryo</w:t>
      </w:r>
      <w:r w:rsidR="004145EA" w:rsidRPr="008C2309">
        <w:t>milled for the shortest amount of time that completely pulverise</w:t>
      </w:r>
      <w:r w:rsidR="00862D49" w:rsidRPr="008C2309">
        <w:t>d</w:t>
      </w:r>
      <w:r w:rsidR="004145EA" w:rsidRPr="008C2309">
        <w:t xml:space="preserve"> the extrudates to a powder using the cryomill</w:t>
      </w:r>
      <w:r w:rsidR="002E29BA" w:rsidRPr="008C2309">
        <w:t>. PXRD and mDSC analysis was conducted on HME formulation material</w:t>
      </w:r>
      <w:r w:rsidR="004145EA" w:rsidRPr="008C2309">
        <w:t xml:space="preserve"> </w:t>
      </w:r>
      <w:r w:rsidR="002E29BA" w:rsidRPr="008C2309">
        <w:t xml:space="preserve">to test for any potential physiochemical changes that may occur during the milling process. Cryomilling </w:t>
      </w:r>
      <w:r w:rsidR="001126DF" w:rsidRPr="008C2309">
        <w:t xml:space="preserve">was chosen </w:t>
      </w:r>
      <w:r w:rsidR="00B67474" w:rsidRPr="008C2309">
        <w:t>as p</w:t>
      </w:r>
      <w:r w:rsidR="001126DF" w:rsidRPr="008C2309">
        <w:t xml:space="preserve">revious studies have shown </w:t>
      </w:r>
      <w:r w:rsidR="00B67474" w:rsidRPr="008C2309">
        <w:t xml:space="preserve">that, </w:t>
      </w:r>
      <w:r w:rsidR="001126DF" w:rsidRPr="008C2309">
        <w:t xml:space="preserve">by milling at temperatures below the </w:t>
      </w:r>
      <w:r w:rsidR="00B67474" w:rsidRPr="008C2309">
        <w:t xml:space="preserve">Tg, </w:t>
      </w:r>
      <w:r w:rsidR="001126DF" w:rsidRPr="008C2309">
        <w:t>amorphous components of formulations retain their amorphous content</w:t>
      </w:r>
      <w:r w:rsidR="0046063A" w:rsidRPr="008C2309">
        <w:t xml:space="preserve"> </w:t>
      </w:r>
      <w:r w:rsidR="00DF3E85" w:rsidRPr="008C2309">
        <w:fldChar w:fldCharType="begin" w:fldLock="1"/>
      </w:r>
      <w:r w:rsidR="00432184" w:rsidRPr="008C2309">
        <w:instrText>ADDIN CSL_CITATION { "citationItems" : [ { "id" : "ITEM-1", "itemData" : { "DOI" : "10.1002/jps.20939", "ISBN" : "1520-6017", "ISSN" : "15206017", "PMID" : "17455353", "abstract" : "Milling is a usual process used in the course of drug formulation, which however may change the physical nature of the end product. The diversity of the transformations of organic compounds upon milling has been widely demonstrated in the pharmaceutical literature. However, no effort has still been devoted to study the correlation between the nature of the transformation and the milling conditions. Results clarifying such transformations are shortly reviewed with speical attention paid to the temperature of milling. The importance of the position of the glass transition temperature compared with that of milling is demonstrated. It is shown that decreasing the milling temperature leads to an increase of the amorphization tendency whereas milling above Tg can produced a crystal-to-crystal transformation between polymorphic varieties. These observations contradict the usual suggestion that milling transforms the physical state only by a heating effect which induces a local mleting. Equilibrium thermodynamics does not seem appropriate for describing the process. The driven alloys concept offers a more rational framework to interpret the effect of the milling temperature. Other results are also presented, which demonstrate the possibility for milling to form low temperature solid-state alloys that offer new promising ways to stabilize amorphous molecular solids.", "author" : [ { "dropping-particle" : "", "family" : "Descamps", "given" : "M.", "non-dropping-particle" : "", "parse-names" : false, "suffix" : "" }, { "dropping-particle" : "", "family" : "Willart", "given" : "J. F.", "non-dropping-particle" : "", "parse-names" : false, "suffix" : "" }, { "dropping-particle" : "", "family" : "Dudognon", "given" : "E.", "non-dropping-particle" : "", "parse-names" : false, "suffix" : "" }, { "dropping-particle" : "", "family" : "Caron", "given" : "V.", "non-dropping-particle" : "", "parse-names" : false, "suffix" : "" } ], "container-title" : "Journal of Pharmaceutical Sciences", "id" : "ITEM-1", "issue" : "5", "issued" : { "date-parts" : [ [ "2007" ] ] }, "page" : "1398-1407", "publisher" : "Elsevier Masson SAS", "title" : "Transformation of pharmaceutical compounds upon milling and comilling: The role of Tg", "type" : "article-journal", "volume" : "96" }, "uris" : [ "http://www.mendeley.com/documents/?uuid=b9fb0e92-ba7a-40c2-897b-205185b76d87" ] } ], "mendeley" : { "formattedCitation" : "(Descamps et al., 2007)", "plainTextFormattedCitation" : "(Descamps et al., 2007)", "previouslyFormattedCitation" : "(Descamps et al., 2007)" }, "properties" : {  }, "schema" : "https://github.com/citation-style-language/schema/raw/master/csl-citation.json" }</w:instrText>
      </w:r>
      <w:r w:rsidR="00DF3E85" w:rsidRPr="008C2309">
        <w:fldChar w:fldCharType="separate"/>
      </w:r>
      <w:r w:rsidR="00B33BE2" w:rsidRPr="008C2309">
        <w:rPr>
          <w:noProof/>
        </w:rPr>
        <w:t>(Descamps et al., 2007)</w:t>
      </w:r>
      <w:r w:rsidR="00DF3E85" w:rsidRPr="008C2309">
        <w:fldChar w:fldCharType="end"/>
      </w:r>
      <w:r w:rsidR="001126DF" w:rsidRPr="008C2309">
        <w:t>. Post milling, PXRD and mDSC showed no statistical difference in peak intensity of crystalline components or change in Tgs present (data not shown).</w:t>
      </w:r>
      <w:r w:rsidR="00934345" w:rsidRPr="008C2309">
        <w:t xml:space="preserve"> </w:t>
      </w:r>
      <w:r w:rsidRPr="008C2309">
        <w:rPr>
          <w:rFonts w:ascii="Times" w:hAnsi="Times" w:cstheme="minorHAnsi"/>
          <w:color w:val="000000" w:themeColor="text1"/>
          <w:lang w:val="en-IE"/>
        </w:rPr>
        <w:t xml:space="preserve">Once compressed into a disc for intrinsic dissolution studies, HME-F1 and HME-F2 (Figure </w:t>
      </w:r>
      <w:r w:rsidR="000A160D" w:rsidRPr="008C2309">
        <w:rPr>
          <w:rFonts w:ascii="Times" w:hAnsi="Times" w:cstheme="minorHAnsi"/>
          <w:color w:val="000000" w:themeColor="text1"/>
          <w:lang w:val="en-IE"/>
        </w:rPr>
        <w:t>8</w:t>
      </w:r>
      <w:r w:rsidRPr="008C2309">
        <w:rPr>
          <w:rFonts w:ascii="Times" w:hAnsi="Times" w:cstheme="minorHAnsi"/>
          <w:color w:val="000000" w:themeColor="text1"/>
          <w:lang w:val="en-IE"/>
        </w:rPr>
        <w:t xml:space="preserve"> </w:t>
      </w:r>
      <w:r w:rsidR="004A03F8" w:rsidRPr="008C2309">
        <w:rPr>
          <w:rFonts w:ascii="Times" w:hAnsi="Times" w:cstheme="minorHAnsi"/>
          <w:color w:val="000000" w:themeColor="text1"/>
          <w:lang w:val="en-IE"/>
        </w:rPr>
        <w:t>(</w:t>
      </w:r>
      <w:r w:rsidRPr="008C2309">
        <w:rPr>
          <w:rFonts w:ascii="Times" w:hAnsi="Times" w:cstheme="minorHAnsi"/>
          <w:color w:val="000000" w:themeColor="text1"/>
          <w:lang w:val="en-IE"/>
        </w:rPr>
        <w:t>D</w:t>
      </w:r>
      <w:r w:rsidR="004A03F8" w:rsidRPr="008C2309">
        <w:rPr>
          <w:rFonts w:ascii="Times" w:hAnsi="Times" w:cstheme="minorHAnsi"/>
          <w:color w:val="000000" w:themeColor="text1"/>
          <w:lang w:val="en-IE"/>
        </w:rPr>
        <w:t>)</w:t>
      </w:r>
      <w:r w:rsidRPr="008C2309">
        <w:rPr>
          <w:rFonts w:ascii="Times" w:hAnsi="Times" w:cstheme="minorHAnsi"/>
          <w:color w:val="000000" w:themeColor="text1"/>
          <w:lang w:val="en-IE"/>
        </w:rPr>
        <w:t xml:space="preserve"> and </w:t>
      </w:r>
      <w:r w:rsidR="004A03F8" w:rsidRPr="008C2309">
        <w:rPr>
          <w:rFonts w:ascii="Times" w:hAnsi="Times" w:cstheme="minorHAnsi"/>
          <w:color w:val="000000" w:themeColor="text1"/>
          <w:lang w:val="en-IE"/>
        </w:rPr>
        <w:t>(</w:t>
      </w:r>
      <w:r w:rsidRPr="008C2309">
        <w:rPr>
          <w:rFonts w:ascii="Times" w:hAnsi="Times" w:cstheme="minorHAnsi"/>
          <w:color w:val="000000" w:themeColor="text1"/>
          <w:lang w:val="en-IE"/>
        </w:rPr>
        <w:t>E</w:t>
      </w:r>
      <w:r w:rsidR="004A03F8" w:rsidRPr="008C2309">
        <w:rPr>
          <w:rFonts w:ascii="Times" w:hAnsi="Times" w:cstheme="minorHAnsi"/>
          <w:color w:val="000000" w:themeColor="text1"/>
          <w:lang w:val="en-IE"/>
        </w:rPr>
        <w:t>)</w:t>
      </w:r>
      <w:r w:rsidRPr="008C2309">
        <w:rPr>
          <w:rFonts w:ascii="Times" w:hAnsi="Times" w:cstheme="minorHAnsi"/>
          <w:color w:val="000000" w:themeColor="text1"/>
          <w:lang w:val="en-IE"/>
        </w:rPr>
        <w:t xml:space="preserve">) </w:t>
      </w:r>
      <w:r w:rsidR="004145EA" w:rsidRPr="008C2309">
        <w:t xml:space="preserve">exhibit a surface with more crevices/voids than HME-F3 </w:t>
      </w:r>
      <w:r w:rsidRPr="008C2309">
        <w:rPr>
          <w:rFonts w:ascii="Times" w:hAnsi="Times" w:cstheme="minorHAnsi"/>
          <w:color w:val="000000" w:themeColor="text1"/>
          <w:lang w:val="en-IE"/>
        </w:rPr>
        <w:t xml:space="preserve">(Figure </w:t>
      </w:r>
      <w:r w:rsidR="000A160D" w:rsidRPr="008C2309">
        <w:rPr>
          <w:rFonts w:ascii="Times" w:hAnsi="Times" w:cstheme="minorHAnsi"/>
          <w:color w:val="000000" w:themeColor="text1"/>
          <w:lang w:val="en-IE"/>
        </w:rPr>
        <w:t>8</w:t>
      </w:r>
      <w:r w:rsidRPr="008C2309">
        <w:rPr>
          <w:rFonts w:ascii="Times" w:hAnsi="Times" w:cstheme="minorHAnsi"/>
          <w:color w:val="000000" w:themeColor="text1"/>
          <w:lang w:val="en-IE"/>
        </w:rPr>
        <w:t xml:space="preserve"> </w:t>
      </w:r>
      <w:r w:rsidR="004A03F8" w:rsidRPr="008C2309">
        <w:rPr>
          <w:rFonts w:ascii="Times" w:hAnsi="Times" w:cstheme="minorHAnsi"/>
          <w:color w:val="000000" w:themeColor="text1"/>
          <w:lang w:val="en-IE"/>
        </w:rPr>
        <w:t>(</w:t>
      </w:r>
      <w:r w:rsidRPr="008C2309">
        <w:rPr>
          <w:rFonts w:ascii="Times" w:hAnsi="Times" w:cstheme="minorHAnsi"/>
          <w:color w:val="000000" w:themeColor="text1"/>
          <w:lang w:val="en-IE"/>
        </w:rPr>
        <w:t>F</w:t>
      </w:r>
      <w:r w:rsidR="004A03F8" w:rsidRPr="008C2309">
        <w:rPr>
          <w:rFonts w:ascii="Times" w:hAnsi="Times" w:cstheme="minorHAnsi"/>
          <w:color w:val="000000" w:themeColor="text1"/>
          <w:lang w:val="en-IE"/>
        </w:rPr>
        <w:t>)</w:t>
      </w:r>
      <w:r w:rsidRPr="008C2309">
        <w:rPr>
          <w:rFonts w:ascii="Times" w:hAnsi="Times" w:cstheme="minorHAnsi"/>
          <w:color w:val="000000" w:themeColor="text1"/>
          <w:lang w:val="en-IE"/>
        </w:rPr>
        <w:t>)</w:t>
      </w:r>
      <w:r w:rsidR="00E0636E" w:rsidRPr="008C2309">
        <w:rPr>
          <w:rFonts w:ascii="Times" w:hAnsi="Times" w:cstheme="minorHAnsi"/>
          <w:color w:val="000000" w:themeColor="text1"/>
          <w:lang w:val="en-IE"/>
        </w:rPr>
        <w:t xml:space="preserve"> on the scale displayed</w:t>
      </w:r>
      <w:r w:rsidR="00132640" w:rsidRPr="008C2309">
        <w:rPr>
          <w:rFonts w:ascii="Times" w:hAnsi="Times" w:cstheme="minorHAnsi"/>
          <w:color w:val="000000" w:themeColor="text1"/>
          <w:lang w:val="en-IE"/>
        </w:rPr>
        <w:t>.</w:t>
      </w:r>
      <w:r w:rsidR="00C83EEC" w:rsidRPr="008C2309">
        <w:rPr>
          <w:rFonts w:ascii="Times" w:hAnsi="Times" w:cstheme="minorHAnsi"/>
          <w:color w:val="000000" w:themeColor="text1"/>
          <w:lang w:val="en-IE"/>
        </w:rPr>
        <w:t xml:space="preserve"> </w:t>
      </w:r>
      <w:r w:rsidR="00132640" w:rsidRPr="008C2309">
        <w:rPr>
          <w:rFonts w:ascii="Times" w:hAnsi="Times" w:cstheme="minorHAnsi"/>
          <w:color w:val="000000" w:themeColor="text1"/>
          <w:lang w:val="en-IE"/>
        </w:rPr>
        <w:t xml:space="preserve">As with the SD formulations, the visual differences can most probably be attributed to the different viscoelastic properties of the polymers used in the formulations. </w:t>
      </w:r>
      <w:bookmarkEnd w:id="16"/>
    </w:p>
    <w:p w14:paraId="7B707993" w14:textId="77777777" w:rsidR="002E17EA" w:rsidRPr="008C2309" w:rsidRDefault="002E17EA" w:rsidP="00E41DED">
      <w:pPr>
        <w:spacing w:line="480" w:lineRule="auto"/>
        <w:jc w:val="both"/>
        <w:rPr>
          <w:rFonts w:ascii="Times" w:hAnsi="Times" w:cstheme="minorHAnsi"/>
          <w:i/>
          <w:lang w:eastAsia="en-US"/>
        </w:rPr>
      </w:pPr>
    </w:p>
    <w:p w14:paraId="0A97A444" w14:textId="36A88E86" w:rsidR="00230AD9" w:rsidRPr="008C2309" w:rsidRDefault="00C322DD" w:rsidP="00E41DED">
      <w:pPr>
        <w:spacing w:line="480" w:lineRule="auto"/>
        <w:jc w:val="both"/>
        <w:rPr>
          <w:rFonts w:ascii="Times" w:hAnsi="Times" w:cstheme="minorHAnsi"/>
          <w:i/>
          <w:lang w:eastAsia="en-US"/>
        </w:rPr>
      </w:pPr>
      <w:r w:rsidRPr="008C2309">
        <w:rPr>
          <w:rFonts w:ascii="Times" w:hAnsi="Times" w:cstheme="minorHAnsi"/>
          <w:i/>
          <w:lang w:eastAsia="en-US"/>
        </w:rPr>
        <w:t xml:space="preserve">3.3 </w:t>
      </w:r>
      <w:r w:rsidR="00230AD9" w:rsidRPr="008C2309">
        <w:rPr>
          <w:rFonts w:ascii="Times" w:hAnsi="Times" w:cstheme="minorHAnsi"/>
          <w:i/>
          <w:lang w:eastAsia="en-US"/>
        </w:rPr>
        <w:t xml:space="preserve">Particle Size Analysis </w:t>
      </w:r>
    </w:p>
    <w:p w14:paraId="56452246" w14:textId="7806A554" w:rsidR="00E2376E" w:rsidRPr="008C2309" w:rsidRDefault="004145EA" w:rsidP="00E41DED">
      <w:pPr>
        <w:spacing w:line="480" w:lineRule="auto"/>
        <w:jc w:val="both"/>
        <w:rPr>
          <w:rFonts w:ascii="Times" w:hAnsi="Times" w:cstheme="minorHAnsi"/>
          <w:color w:val="000000" w:themeColor="text1"/>
          <w:lang w:eastAsia="en-US"/>
        </w:rPr>
      </w:pPr>
      <w:r w:rsidRPr="008C2309">
        <w:rPr>
          <w:rFonts w:ascii="Times" w:hAnsi="Times" w:cstheme="minorHAnsi"/>
          <w:color w:val="000000" w:themeColor="text1"/>
          <w:lang w:eastAsia="en-US"/>
        </w:rPr>
        <w:t xml:space="preserve">Particle size analysis (PSA) </w:t>
      </w:r>
      <w:r w:rsidR="00BB571A" w:rsidRPr="008C2309">
        <w:rPr>
          <w:rFonts w:ascii="Times" w:hAnsi="Times" w:cstheme="minorHAnsi"/>
          <w:color w:val="000000" w:themeColor="text1"/>
          <w:lang w:eastAsia="en-US"/>
        </w:rPr>
        <w:t>results for</w:t>
      </w:r>
      <w:r w:rsidRPr="008C2309">
        <w:rPr>
          <w:rFonts w:ascii="Times" w:hAnsi="Times" w:cstheme="minorHAnsi"/>
          <w:color w:val="000000" w:themeColor="text1"/>
          <w:lang w:eastAsia="en-US"/>
        </w:rPr>
        <w:t xml:space="preserve"> SD-F1, SD-F2 and SD-F3 were compared to the </w:t>
      </w:r>
      <w:r w:rsidR="00BB571A" w:rsidRPr="008C2309">
        <w:rPr>
          <w:rFonts w:ascii="Times" w:hAnsi="Times" w:cstheme="minorHAnsi"/>
          <w:color w:val="000000" w:themeColor="text1"/>
          <w:lang w:eastAsia="en-US"/>
        </w:rPr>
        <w:t xml:space="preserve">results of </w:t>
      </w:r>
      <w:r w:rsidRPr="008C2309">
        <w:rPr>
          <w:rFonts w:ascii="Times" w:hAnsi="Times" w:cstheme="minorHAnsi"/>
          <w:color w:val="000000" w:themeColor="text1"/>
          <w:lang w:eastAsia="en-US"/>
        </w:rPr>
        <w:t xml:space="preserve">PSA </w:t>
      </w:r>
      <w:r w:rsidR="00BB571A" w:rsidRPr="008C2309">
        <w:rPr>
          <w:rFonts w:ascii="Times" w:hAnsi="Times" w:cstheme="minorHAnsi"/>
          <w:color w:val="000000" w:themeColor="text1"/>
          <w:lang w:eastAsia="en-US"/>
        </w:rPr>
        <w:t xml:space="preserve">for </w:t>
      </w:r>
      <w:r w:rsidRPr="008C2309">
        <w:rPr>
          <w:rFonts w:ascii="Times" w:hAnsi="Times" w:cstheme="minorHAnsi"/>
          <w:color w:val="000000" w:themeColor="text1"/>
          <w:lang w:eastAsia="en-US"/>
        </w:rPr>
        <w:t xml:space="preserve">HME-F1, HME-F2 and HME-F3 </w:t>
      </w:r>
      <w:r w:rsidR="00B67474" w:rsidRPr="008C2309">
        <w:rPr>
          <w:rFonts w:ascii="Times" w:hAnsi="Times" w:cstheme="minorHAnsi"/>
          <w:color w:val="000000" w:themeColor="text1"/>
          <w:lang w:eastAsia="en-US"/>
        </w:rPr>
        <w:t>systems post</w:t>
      </w:r>
      <w:r w:rsidRPr="008C2309">
        <w:rPr>
          <w:rFonts w:ascii="Times" w:hAnsi="Times" w:cstheme="minorHAnsi"/>
          <w:color w:val="000000" w:themeColor="text1"/>
          <w:lang w:eastAsia="en-US"/>
        </w:rPr>
        <w:t xml:space="preserve"> cryo</w:t>
      </w:r>
      <w:r w:rsidR="006E387E" w:rsidRPr="008C2309">
        <w:rPr>
          <w:rFonts w:ascii="Times" w:hAnsi="Times" w:cstheme="minorHAnsi"/>
          <w:color w:val="000000" w:themeColor="text1"/>
          <w:lang w:eastAsia="en-US"/>
        </w:rPr>
        <w:t>-</w:t>
      </w:r>
      <w:r w:rsidRPr="008C2309">
        <w:rPr>
          <w:rFonts w:ascii="Times" w:hAnsi="Times" w:cstheme="minorHAnsi"/>
          <w:color w:val="000000" w:themeColor="text1"/>
          <w:lang w:eastAsia="en-US"/>
        </w:rPr>
        <w:t xml:space="preserve">milling (Table </w:t>
      </w:r>
      <w:r w:rsidR="00E17BCC" w:rsidRPr="008C2309">
        <w:rPr>
          <w:rFonts w:ascii="Times" w:hAnsi="Times" w:cstheme="minorHAnsi"/>
          <w:color w:val="000000" w:themeColor="text1"/>
          <w:lang w:eastAsia="en-US"/>
        </w:rPr>
        <w:t>4</w:t>
      </w:r>
      <w:r w:rsidRPr="008C2309">
        <w:rPr>
          <w:rFonts w:ascii="Times" w:hAnsi="Times" w:cstheme="minorHAnsi"/>
          <w:color w:val="000000" w:themeColor="text1"/>
          <w:lang w:eastAsia="en-US"/>
        </w:rPr>
        <w:t>). The SD-F1, SD-F2 and SD-F3 particle size are statistically different from one another (95%CI, P&lt;0.05, F-</w:t>
      </w:r>
      <w:r w:rsidRPr="008C2309">
        <w:rPr>
          <w:rFonts w:ascii="Times" w:hAnsi="Times" w:cstheme="minorHAnsi"/>
          <w:color w:val="000000" w:themeColor="text1"/>
          <w:lang w:eastAsia="en-US"/>
        </w:rPr>
        <w:lastRenderedPageBreak/>
        <w:t>value 181.37)</w:t>
      </w:r>
      <w:r w:rsidR="00B67474" w:rsidRPr="008C2309">
        <w:rPr>
          <w:rFonts w:ascii="Times" w:hAnsi="Times" w:cstheme="minorHAnsi"/>
          <w:color w:val="000000" w:themeColor="text1"/>
          <w:lang w:eastAsia="en-US"/>
        </w:rPr>
        <w:t xml:space="preserve">, which may be attributed to </w:t>
      </w:r>
      <w:r w:rsidRPr="008C2309">
        <w:rPr>
          <w:rFonts w:ascii="Times" w:hAnsi="Times" w:cstheme="minorHAnsi"/>
          <w:color w:val="000000" w:themeColor="text1"/>
          <w:lang w:eastAsia="en-US"/>
        </w:rPr>
        <w:t>the different polymers and polymer compositions used.</w:t>
      </w:r>
      <w:r w:rsidR="00E076FA" w:rsidRPr="008C2309">
        <w:rPr>
          <w:rFonts w:ascii="Times" w:hAnsi="Times" w:cstheme="minorHAnsi"/>
          <w:color w:val="000000" w:themeColor="text1"/>
          <w:lang w:eastAsia="en-US"/>
        </w:rPr>
        <w:t xml:space="preserve"> </w:t>
      </w:r>
      <w:r w:rsidRPr="008C2309">
        <w:rPr>
          <w:rFonts w:ascii="Times" w:hAnsi="Times" w:cstheme="minorHAnsi"/>
          <w:color w:val="000000" w:themeColor="text1"/>
          <w:lang w:eastAsia="en-US"/>
        </w:rPr>
        <w:t xml:space="preserve"> While SD parameters and solution concentrations remained constant, the only variable for SD formulations w</w:t>
      </w:r>
      <w:r w:rsidR="007074B1" w:rsidRPr="008C2309">
        <w:rPr>
          <w:rFonts w:ascii="Times" w:hAnsi="Times" w:cstheme="minorHAnsi"/>
          <w:color w:val="000000" w:themeColor="text1"/>
          <w:lang w:eastAsia="en-US"/>
        </w:rPr>
        <w:t>as</w:t>
      </w:r>
      <w:r w:rsidRPr="008C2309">
        <w:rPr>
          <w:rFonts w:ascii="Times" w:hAnsi="Times" w:cstheme="minorHAnsi"/>
          <w:color w:val="000000" w:themeColor="text1"/>
          <w:lang w:eastAsia="en-US"/>
        </w:rPr>
        <w:t xml:space="preserve"> th</w:t>
      </w:r>
      <w:r w:rsidR="000A160D" w:rsidRPr="008C2309">
        <w:rPr>
          <w:rFonts w:ascii="Times" w:hAnsi="Times" w:cstheme="minorHAnsi"/>
          <w:color w:val="000000" w:themeColor="text1"/>
          <w:lang w:eastAsia="en-US"/>
        </w:rPr>
        <w:t xml:space="preserve">e </w:t>
      </w:r>
      <w:r w:rsidRPr="008C2309">
        <w:rPr>
          <w:rFonts w:ascii="Times" w:hAnsi="Times" w:cstheme="minorHAnsi"/>
          <w:color w:val="000000" w:themeColor="text1"/>
          <w:lang w:eastAsia="en-US"/>
        </w:rPr>
        <w:t>composition. It has been previously shown</w:t>
      </w:r>
      <w:r w:rsidR="004A164B" w:rsidRPr="008C2309">
        <w:rPr>
          <w:rFonts w:ascii="Times" w:hAnsi="Times" w:cstheme="minorHAnsi"/>
          <w:color w:val="000000" w:themeColor="text1"/>
          <w:lang w:eastAsia="en-US"/>
        </w:rPr>
        <w:t xml:space="preserve"> that </w:t>
      </w:r>
      <w:r w:rsidRPr="008C2309">
        <w:rPr>
          <w:rFonts w:ascii="Times" w:hAnsi="Times" w:cstheme="minorHAnsi"/>
          <w:color w:val="000000" w:themeColor="text1"/>
          <w:lang w:eastAsia="en-US"/>
        </w:rPr>
        <w:t>formulation composition can result in varying particle size distribution when other conditions remain constant</w:t>
      </w:r>
      <w:r w:rsidR="009528CA" w:rsidRPr="008C2309">
        <w:rPr>
          <w:rFonts w:ascii="Times" w:hAnsi="Times" w:cstheme="minorHAnsi"/>
          <w:color w:val="000000" w:themeColor="text1"/>
          <w:lang w:eastAsia="en-US"/>
        </w:rPr>
        <w:t xml:space="preserve"> </w:t>
      </w:r>
      <w:r w:rsidR="00DD06E2" w:rsidRPr="008C2309">
        <w:rPr>
          <w:rFonts w:ascii="Times" w:hAnsi="Times" w:cstheme="minorHAnsi"/>
          <w:color w:val="000000" w:themeColor="text1"/>
          <w:lang w:eastAsia="en-US"/>
        </w:rPr>
        <w:fldChar w:fldCharType="begin" w:fldLock="1"/>
      </w:r>
      <w:r w:rsidR="00432184" w:rsidRPr="008C2309">
        <w:rPr>
          <w:rFonts w:ascii="Times" w:hAnsi="Times" w:cstheme="minorHAnsi"/>
          <w:color w:val="000000" w:themeColor="text1"/>
          <w:lang w:eastAsia="en-US"/>
        </w:rPr>
        <w:instrText>ADDIN CSL_CITATION { "citationItems" : [ { "id" : "ITEM-1", "itemData" : { "DOI" : "https://doi.org/10.1016/S0032-5910(02)00239-5", "ISSN" : "0032-5910", "abstract" : "Abstract In the present work, the spray drying technique was used in formulating calcium microparticles from aqueous systems: dispersions of calcium citrate and solutions of calcium lactate were incorporated with polymers and dispersed into a hot air stream as small droplets, leading to the formation of solid microparticles. Different kinds of polymers (cellulose derivatives and polymethacrylic acid) were studied to evaluate their spray-coating properties and the release profiles. In addition, some physical properties of the microparticles were also determined. The results showed that the calcium release from the microparticles containing both organic calcium salts into a simulated gastrointestinal medium, as well as the microparticles size and morphology can be modified by varying the proportion and the type of the polymer used as encapsulating agent.R\u00e9sum\u00e9 Dans cette \u00e9tude, la technique de l'atomisation a \u00e9t\u00e9 utilis\u00e9e pour formuler des microparticules de calcium \u00e0 partir de syst\u00e8mes aqueux: des dispersions de citrate de calcium et des solutions de lactate de calcium ont \u00e9t\u00e9 incorpor\u00e9es avec des polym\u00e8res et dispers\u00e9es dans un courant d'air chaud sous forme de goutelettes, conduisant \u00e0 la formation de microparticules solides. Diff\u00e9rents types de polym\u00e8res (d\u00e9riv\u00e9s de cellulose et acide polym\u00e9thacrylique) ont \u00e9t\u00e9 \u00e9tudi\u00e9s, pour \u00e9valuer leurs propri\u00e9t\u00e9s d'enrobage par spray et leurs profils de dissolution. De plus, quelques propri\u00e9t\u00e9s physiques des microparticules ont \u00e9galement \u00e9t\u00e9 d\u00e9termin\u00e9es. Les r\u00e9sultats montrent que le r\u00e9largage du calcium \u00e0 partir des microparticules contenant les deux sels organiques de calcium, ainsi que la taille des microparticules et leur morphologie, peuvent \u00eatre modifi\u00e9es en faisant varier la proportion et le type du polym\u00e8re utilis\u00e9 comme agent d'encapsulation.", "author" : [ { "dropping-particle" : "", "family" : "Oneda", "given" : "F", "non-dropping-particle" : "", "parse-names" : false, "suffix" : "" }, { "dropping-particle" : "", "family" : "R\u00e9", "given" : "M I", "non-dropping-particle" : "", "parse-names" : false, "suffix" : "" } ], "container-title" : "Powder Technology", "id" : "ITEM-1", "issue" : "1", "issued" : { "date-parts" : [ [ "2003" ] ] }, "page" : "377-384", "title" : "The effect of formulation variables on the dissolution and physical properties of spray-dried microspheres containing organic salts", "type" : "article-journal", "volume" : "130" }, "uris" : [ "http://www.mendeley.com/documents/?uuid=f1984638-89d6-4184-9170-9d55f7f83f78", "http://www.mendeley.com/documents/?uuid=5a404b59-7a81-4cf6-99c2-1cd3cf051bcb" ] }, { "id" : "ITEM-2", "itemData" : { "ISSN" : "0022-3549 (Print)", "PMID" : "11835198", "abstract" : "Spray freeze drying produces protein particles suitable for microencapsulation into polymeric microspheres intended for sustained release. Accessibility of encapsulated protein particles to the microsphere surface increases as the protein particle size is increased. Thus, it is desirable that the encapsulated protein particle size be minimized to limit initial release. We have investigated the effect of formulation on spray freeze-dried bovine serum albumin (BSA) as a model protein. Atomization conditions were fixed such that in the absence of excipient, the particle size of the sonicated powder was submicron, and there was substantial protein degradation (loss of monomer). Addition of low concentrations of surfactants (up to the CMC) or mannitol (up to the point where it tended to crystallize upon dehydration) resulted in partial stabilization without impacting particle size. Trehalose was successful in stabilizing the protein; however, there was a marked increase in particle size at the highest levels tested. Ammonium sulfate provided partial stabilization, but also tended to form crystals and increase particle size. FTIR measurements showed a loss of native secondary structure upon spray freeze drying that was ameliorated by addition of trehalose. Other excipients did not prevent structural perturbations. In general, stabilization of spray freeze-dried BSA was related to lowering of the specific surface area in the powder. A balance must be achieved when spray freeze drying proteins intended for encapsulation in sustained-release systems.", "author" : [ { "dropping-particle" : "", "family" : "Costantino", "given" : "Henry R", "non-dropping-particle" : "", "parse-names" : false, "suffix" : "" }, { "dropping-particle" : "", "family" : "Firouzabadian", "given" : "Laleh", "non-dropping-particle" : "", "parse-names" : false, "suffix" : "" }, { "dropping-particle" : "", "family" : "Wu", "given" : "Chichih", "non-dropping-particle" : "", "parse-names" : false, "suffix" : "" }, { "dropping-particle" : "", "family" : "Carrasquillo", "given" : "Karen G", "non-dropping-particle" : "", "parse-names" : false, "suffix" : "" }, { "dropping-particle" : "", "family" : "Griebenow", "given" : "Kai", "non-dropping-particle" : "", "parse-names" : false, "suffix" : "" }, { "dropping-particle" : "", "family" : "Zale", "given" : "Stephen E", "non-dropping-particle" : "", "parse-names" : false, "suffix" : "" }, { "dropping-particle" : "", "family" : "Tracy", "given" : "Mark A", "non-dropping-particle" : "", "parse-names" : false, "suffix" : "" } ], "container-title" : "Journal of pharmaceutical sciences", "id" : "ITEM-2", "issue" : "2", "issued" : { "date-parts" : [ [ "2002", "2" ] ] }, "language" : "eng", "page" : "388-395", "publisher-place" : "United States", "title" : "Protein spray freeze drying. 2. Effect of formulation variables on particle size  and stability.", "type" : "article-journal", "volume" : "91" }, "uris" : [ "http://www.mendeley.com/documents/?uuid=29df525a-eb62-40c7-828d-434d8bce0ab1", "http://www.mendeley.com/documents/?uuid=b3208eb6-f33d-42d2-8963-f79a99ef37a5" ] } ], "mendeley" : { "formattedCitation" : "(Costantino et al., 2002; Oneda and R\u00e9, 2003)", "plainTextFormattedCitation" : "(Costantino et al., 2002; Oneda and R\u00e9, 2003)", "previouslyFormattedCitation" : "(Costantino et al., 2002; Oneda and R\u00e9, 2003)" }, "properties" : {  }, "schema" : "https://github.com/citation-style-language/schema/raw/master/csl-citation.json" }</w:instrText>
      </w:r>
      <w:r w:rsidR="00DD06E2" w:rsidRPr="008C2309">
        <w:rPr>
          <w:rFonts w:ascii="Times" w:hAnsi="Times" w:cstheme="minorHAnsi"/>
          <w:color w:val="000000" w:themeColor="text1"/>
          <w:lang w:eastAsia="en-US"/>
        </w:rPr>
        <w:fldChar w:fldCharType="separate"/>
      </w:r>
      <w:r w:rsidR="00B33BE2" w:rsidRPr="008C2309">
        <w:rPr>
          <w:rFonts w:ascii="Times" w:hAnsi="Times" w:cstheme="minorHAnsi"/>
          <w:noProof/>
          <w:color w:val="000000" w:themeColor="text1"/>
          <w:lang w:eastAsia="en-US"/>
        </w:rPr>
        <w:t>(Costantino et al., 2002; Oneda and Ré, 2003)</w:t>
      </w:r>
      <w:r w:rsidR="00DD06E2" w:rsidRPr="008C2309">
        <w:rPr>
          <w:rFonts w:ascii="Times" w:hAnsi="Times" w:cstheme="minorHAnsi"/>
          <w:color w:val="000000" w:themeColor="text1"/>
          <w:lang w:eastAsia="en-US"/>
        </w:rPr>
        <w:fldChar w:fldCharType="end"/>
      </w:r>
      <w:r w:rsidRPr="008C2309">
        <w:rPr>
          <w:rFonts w:ascii="Times" w:hAnsi="Times" w:cstheme="minorHAnsi"/>
          <w:color w:val="000000" w:themeColor="text1"/>
          <w:lang w:eastAsia="en-US"/>
        </w:rPr>
        <w:t xml:space="preserve">. </w:t>
      </w:r>
      <w:bookmarkStart w:id="17" w:name="_Hlk502685239"/>
      <w:r w:rsidR="00575CEB" w:rsidRPr="008C2309">
        <w:rPr>
          <w:rFonts w:ascii="Times" w:hAnsi="Times" w:cstheme="minorHAnsi"/>
          <w:color w:val="000000" w:themeColor="text1"/>
          <w:lang w:eastAsia="en-US"/>
        </w:rPr>
        <w:t xml:space="preserve">The molecular weight of </w:t>
      </w:r>
      <w:bookmarkStart w:id="18" w:name="_Hlk500865466"/>
      <w:r w:rsidR="00575CEB" w:rsidRPr="008C2309">
        <w:rPr>
          <w:rFonts w:ascii="Times" w:hAnsi="Times"/>
        </w:rPr>
        <w:t>Kollidon</w:t>
      </w:r>
      <w:r w:rsidR="00575CEB" w:rsidRPr="008C2309">
        <w:rPr>
          <w:rFonts w:ascii="Times" w:hAnsi="Times" w:cstheme="minorHAnsi"/>
          <w:color w:val="000000" w:themeColor="text1"/>
          <w:vertAlign w:val="superscript"/>
        </w:rPr>
        <w:t>®</w:t>
      </w:r>
      <w:r w:rsidR="00575CEB" w:rsidRPr="008C2309">
        <w:rPr>
          <w:rFonts w:ascii="Times" w:hAnsi="Times"/>
        </w:rPr>
        <w:t xml:space="preserve"> VA 64 </w:t>
      </w:r>
      <w:bookmarkEnd w:id="18"/>
      <w:r w:rsidR="005C22FD" w:rsidRPr="008C2309">
        <w:rPr>
          <w:rFonts w:ascii="Times" w:hAnsi="Times"/>
        </w:rPr>
        <w:t>is between 45,000 - 70,000 g/mol</w:t>
      </w:r>
      <w:r w:rsidR="009528CA" w:rsidRPr="008C2309">
        <w:rPr>
          <w:rFonts w:ascii="Times" w:hAnsi="Times"/>
        </w:rPr>
        <w:t xml:space="preserve"> </w:t>
      </w:r>
      <w:r w:rsidR="003A720B" w:rsidRPr="008C2309">
        <w:rPr>
          <w:rFonts w:ascii="Times" w:hAnsi="Times"/>
        </w:rPr>
        <w:fldChar w:fldCharType="begin" w:fldLock="1"/>
      </w:r>
      <w:r w:rsidR="00280AEC" w:rsidRPr="008C2309">
        <w:rPr>
          <w:rFonts w:ascii="Times" w:hAnsi="Times"/>
        </w:rPr>
        <w:instrText>ADDIN CSL_CITATION { "citationItems" : [ { "id" : "ITEM-1", "itemData" : { "ISSN" : "1041-1135", "URL" : "https://industries.basf.com/bin/bws/documentDownload.en.8805243988437", "author" : [ { "dropping-particle" : "", "family" : "BASF", "given" : "", "non-dropping-particle" : "", "parse-names" : false, "suffix" : "" } ], "container-title" : "BASF SE Care Chemicals Division Pharma Ingredients &amp; Services", "id" : "ITEM-1", "issue" : "September 2007", "issued" : { "date-parts" : [ [ "2008" ] ] }, "page" : "1-12", "title" : "Technical Information Kollidon\u00aeVA64", "type" : "webpage" }, "uris" : [ "http://www.mendeley.com/documents/?uuid=5ce2bba7-ef83-405e-9705-23c36b5a33a8" ] } ], "mendeley" : { "formattedCitation" : "(BASF, 2008)", "plainTextFormattedCitation" : "(BASF, 2008)", "previouslyFormattedCitation" : "(BASF, 2008)" }, "properties" : {  }, "schema" : "https://github.com/citation-style-language/schema/raw/master/csl-citation.json" }</w:instrText>
      </w:r>
      <w:r w:rsidR="003A720B" w:rsidRPr="008C2309">
        <w:rPr>
          <w:rFonts w:ascii="Times" w:hAnsi="Times"/>
        </w:rPr>
        <w:fldChar w:fldCharType="separate"/>
      </w:r>
      <w:r w:rsidR="00A466E2" w:rsidRPr="008C2309">
        <w:rPr>
          <w:rFonts w:ascii="Times" w:hAnsi="Times"/>
          <w:noProof/>
        </w:rPr>
        <w:t>(BASF, 2008)</w:t>
      </w:r>
      <w:r w:rsidR="003A720B" w:rsidRPr="008C2309">
        <w:rPr>
          <w:rFonts w:ascii="Times" w:hAnsi="Times"/>
        </w:rPr>
        <w:fldChar w:fldCharType="end"/>
      </w:r>
      <w:r w:rsidR="005C22FD" w:rsidRPr="008C2309">
        <w:rPr>
          <w:rFonts w:ascii="Times" w:hAnsi="Times"/>
        </w:rPr>
        <w:t xml:space="preserve"> on</w:t>
      </w:r>
      <w:r w:rsidR="00575CEB" w:rsidRPr="008C2309">
        <w:rPr>
          <w:rFonts w:ascii="Times" w:hAnsi="Times"/>
        </w:rPr>
        <w:t xml:space="preserve"> average </w:t>
      </w:r>
      <w:r w:rsidR="005C22FD" w:rsidRPr="008C2309">
        <w:rPr>
          <w:rFonts w:ascii="Times" w:hAnsi="Times"/>
        </w:rPr>
        <w:t>whereas the average molecular weight for</w:t>
      </w:r>
      <w:r w:rsidR="00575CEB" w:rsidRPr="008C2309">
        <w:rPr>
          <w:rFonts w:ascii="Times" w:hAnsi="Times"/>
        </w:rPr>
        <w:t xml:space="preserve"> Soluplus</w:t>
      </w:r>
      <w:r w:rsidR="00575CEB" w:rsidRPr="008C2309">
        <w:rPr>
          <w:rFonts w:ascii="Times" w:hAnsi="Times" w:cstheme="minorHAnsi"/>
          <w:color w:val="000000" w:themeColor="text1"/>
          <w:vertAlign w:val="superscript"/>
        </w:rPr>
        <w:t>®</w:t>
      </w:r>
      <w:r w:rsidR="00575CEB" w:rsidRPr="008C2309">
        <w:rPr>
          <w:rFonts w:ascii="Times" w:hAnsi="Times" w:cstheme="minorHAnsi"/>
          <w:color w:val="000000" w:themeColor="text1"/>
          <w:lang w:eastAsia="en-US"/>
        </w:rPr>
        <w:t xml:space="preserve"> </w:t>
      </w:r>
      <w:r w:rsidR="005C22FD" w:rsidRPr="008C2309">
        <w:rPr>
          <w:rFonts w:ascii="Times" w:hAnsi="Times" w:cstheme="minorHAnsi"/>
          <w:color w:val="000000" w:themeColor="text1"/>
          <w:lang w:eastAsia="en-US"/>
        </w:rPr>
        <w:t xml:space="preserve">is between 90,000 </w:t>
      </w:r>
      <w:r w:rsidR="00190F66" w:rsidRPr="008C2309">
        <w:rPr>
          <w:rFonts w:ascii="Times" w:hAnsi="Times" w:cstheme="minorHAnsi"/>
          <w:color w:val="000000" w:themeColor="text1"/>
          <w:lang w:eastAsia="en-US"/>
        </w:rPr>
        <w:t>-</w:t>
      </w:r>
      <w:r w:rsidR="005C22FD" w:rsidRPr="008C2309">
        <w:rPr>
          <w:rFonts w:ascii="Times" w:hAnsi="Times" w:cstheme="minorHAnsi"/>
          <w:color w:val="000000" w:themeColor="text1"/>
          <w:lang w:eastAsia="en-US"/>
        </w:rPr>
        <w:t xml:space="preserve"> 140,000 g/mol</w:t>
      </w:r>
      <w:r w:rsidR="009528CA" w:rsidRPr="008C2309">
        <w:rPr>
          <w:rFonts w:ascii="Times" w:hAnsi="Times" w:cstheme="minorHAnsi"/>
          <w:color w:val="000000" w:themeColor="text1"/>
          <w:lang w:eastAsia="en-US"/>
        </w:rPr>
        <w:t xml:space="preserve"> </w:t>
      </w:r>
      <w:r w:rsidR="003A720B" w:rsidRPr="008C2309">
        <w:rPr>
          <w:rFonts w:ascii="Times" w:hAnsi="Times" w:cstheme="minorHAnsi"/>
          <w:color w:val="000000" w:themeColor="text1"/>
          <w:lang w:eastAsia="en-US"/>
        </w:rPr>
        <w:fldChar w:fldCharType="begin" w:fldLock="1"/>
      </w:r>
      <w:r w:rsidR="007265E7" w:rsidRPr="008C2309">
        <w:rPr>
          <w:rFonts w:ascii="Times" w:hAnsi="Times" w:cstheme="minorHAnsi"/>
          <w:color w:val="000000" w:themeColor="text1"/>
          <w:lang w:eastAsia="en-US"/>
        </w:rPr>
        <w:instrText>ADDIN CSL_CITATION { "citationItems" : [ { "id" : "ITEM-1", "itemData" : { "URL" : "https://pharmaceutical.basf.com/en/Drug-Formulation/Soluplus.html", "author" : [ { "dropping-particle" : "", "family" : "BASF", "given" : "", "non-dropping-particle" : "", "parse-names" : false, "suffix" : "" } ], "container-title" : "BASF, Pharma Ingredients &amp; Services", "id" : "ITEM-1", "issue" : "July", "issued" : { "date-parts" : [ [ "2010" ] ] }, "page" : "1-8", "title" : "Technical Information Soluplus", "type" : "webpage" }, "uris" : [ "http://www.mendeley.com/documents/?uuid=b405a6bc-6295-4936-9c9e-fd8b50439856" ] } ], "mendeley" : { "formattedCitation" : "(BASF, 2010)", "plainTextFormattedCitation" : "(BASF, 2010)", "previouslyFormattedCitation" : "(BASF, 2010)" }, "properties" : {  }, "schema" : "https://github.com/citation-style-language/schema/raw/master/csl-citation.json" }</w:instrText>
      </w:r>
      <w:r w:rsidR="003A720B" w:rsidRPr="008C2309">
        <w:rPr>
          <w:rFonts w:ascii="Times" w:hAnsi="Times" w:cstheme="minorHAnsi"/>
          <w:color w:val="000000" w:themeColor="text1"/>
          <w:lang w:eastAsia="en-US"/>
        </w:rPr>
        <w:fldChar w:fldCharType="separate"/>
      </w:r>
      <w:r w:rsidR="00280AEC" w:rsidRPr="008C2309">
        <w:rPr>
          <w:rFonts w:ascii="Times" w:hAnsi="Times" w:cstheme="minorHAnsi"/>
          <w:noProof/>
          <w:color w:val="000000" w:themeColor="text1"/>
          <w:lang w:eastAsia="en-US"/>
        </w:rPr>
        <w:t>(BASF, 2010)</w:t>
      </w:r>
      <w:r w:rsidR="003A720B" w:rsidRPr="008C2309">
        <w:rPr>
          <w:rFonts w:ascii="Times" w:hAnsi="Times" w:cstheme="minorHAnsi"/>
          <w:color w:val="000000" w:themeColor="text1"/>
          <w:lang w:eastAsia="en-US"/>
        </w:rPr>
        <w:fldChar w:fldCharType="end"/>
      </w:r>
      <w:r w:rsidR="005C22FD" w:rsidRPr="008C2309">
        <w:rPr>
          <w:rFonts w:ascii="Times" w:hAnsi="Times" w:cstheme="minorHAnsi"/>
          <w:color w:val="000000" w:themeColor="text1"/>
          <w:lang w:eastAsia="en-US"/>
        </w:rPr>
        <w:t>. PEG 3350 has an average molecular weight of 3350 g/mol. The greater the molecular weight, the longer the chain length resulting in more stiffness in the polymer structure</w:t>
      </w:r>
      <w:r w:rsidR="00B67474" w:rsidRPr="008C2309">
        <w:rPr>
          <w:rFonts w:ascii="Times" w:hAnsi="Times" w:cstheme="minorHAnsi"/>
          <w:color w:val="000000" w:themeColor="text1"/>
          <w:lang w:eastAsia="en-US"/>
        </w:rPr>
        <w:t>,</w:t>
      </w:r>
      <w:r w:rsidR="00F32A9E" w:rsidRPr="008C2309">
        <w:rPr>
          <w:rFonts w:ascii="Times" w:hAnsi="Times" w:cstheme="minorHAnsi"/>
          <w:color w:val="000000" w:themeColor="text1"/>
          <w:lang w:eastAsia="en-US"/>
        </w:rPr>
        <w:t xml:space="preserve"> leading to larger particle size post SD processing</w:t>
      </w:r>
      <w:r w:rsidR="009528CA" w:rsidRPr="008C2309">
        <w:rPr>
          <w:rFonts w:ascii="Times" w:hAnsi="Times" w:cstheme="minorHAnsi"/>
          <w:color w:val="000000" w:themeColor="text1"/>
          <w:lang w:eastAsia="en-US"/>
        </w:rPr>
        <w:t xml:space="preserve"> </w:t>
      </w:r>
      <w:r w:rsidR="002D087B" w:rsidRPr="008C2309">
        <w:rPr>
          <w:rFonts w:ascii="Times" w:hAnsi="Times" w:cstheme="minorHAnsi"/>
          <w:color w:val="000000" w:themeColor="text1"/>
          <w:lang w:eastAsia="en-US"/>
        </w:rPr>
        <w:fldChar w:fldCharType="begin" w:fldLock="1"/>
      </w:r>
      <w:r w:rsidR="00432184" w:rsidRPr="008C2309">
        <w:rPr>
          <w:rFonts w:ascii="Times" w:hAnsi="Times" w:cstheme="minorHAnsi"/>
          <w:color w:val="000000" w:themeColor="text1"/>
          <w:lang w:eastAsia="en-US"/>
        </w:rPr>
        <w:instrText>ADDIN CSL_CITATION { "citationItems" : [ { "id" : "ITEM-1", "itemData" : { "DOI" : "10.1208/s12249-015-0426-6", "ISSN" : "1530-9932", "abstract" : "Most cellulosic polymers cannot be used as carriers for preparing solid dispersion of drugs by hot melt extrusion (HME) due to their high melt viscosity and thermal degradation at high processing temperatures. Three HME-grade hydroxypropyl methylcelluloses, namely Affinisol\u2122 HPMC HME 15\u00a0cP, Affinisol\u2122 HPMC HME 100\u00a0cP, and Affinisol\u2122 HPMC HME 4\u00a0M, have recently been introduced by The Dow Chemical Co. to enable the preparation of solid dispersion at lower and more acceptable processing temperatures. In the present investigation, physicochemical properties of the new polymers relevant to HME were determined and compared with that of Kollidon\u00ae VA 64. Powder X-ray diffraction (PXRD), modulated differential scanning calorimetry (mDSC), thermogravimetric analysis (TGA), moisture sorption, rheology, and torque analysis by melt extrusion were applied. PXRD and mDSC showed that the Affinisol\u2122 polymers were amorphous in nature. According to TGA, the onset of degradation for all polymers was &amp;gt;220\u00b0C. The Affinisol\u2122 polymers exhibited less hygroscopicity than Kollidon\u00ae VA 64 and another HPMC polymer, Methocel\u2122 K100LV. The complex viscosity profiles of the Affinisol\u2122 polymers as a function of temperature were similar. The viscosity of the Affinisol\u2122 polymers was highly sensitive to the shear rate applied, and unlike Kollidon\u00ae VA 64, the viscosity decreased drastically when the angular frequency was increased. Because of the very high shear rate encountered during melt extrusion, Affinisol\u2122 polymers showed capability of being extruded at larger windows of processing temperatures as compared to that of Kollidon\u00ae VA 64. \u00a9 2015, American Association of Pharmaceutical Scientists.", "author" : [ { "dropping-particle" : "", "family" : "Gupta", "given" : "Simerdeep Singh", "non-dropping-particle" : "", "parse-names" : false, "suffix" : "" }, { "dropping-particle" : "", "family" : "Solanki", "given" : "Nayan", "non-dropping-particle" : "", "parse-names" : false, "suffix" : "" }, { "dropping-particle" : "", "family" : "Serajuddin", "given" : "Abu T. M.", "non-dropping-particle" : "", "parse-names" : false, "suffix" : "" } ], "container-title" : "AAPS PharmSciTech", "id" : "ITEM-1", "issue" : "1", "issued" : { "date-parts" : [ [ "2016" ] ] }, "page" : "148-157", "title" : "Investigation of Thermal and Viscoelastic Properties of Polymers Relevant to Hot Melt Extrusion, IV: Affinisol\u2122 HPMC HME Polymers", "type" : "article-journal", "volume" : "17" }, "uris" : [ "http://www.mendeley.com/documents/?uuid=9c8d99f0-cc69-40e0-8e22-5aae9a2ebe3d" ] } ], "mendeley" : { "formattedCitation" : "(Gupta et al., 2016)", "plainTextFormattedCitation" : "(Gupta et al., 2016)", "previouslyFormattedCitation" : "(Gupta et al., 2016)" }, "properties" : {  }, "schema" : "https://github.com/citation-style-language/schema/raw/master/csl-citation.json" }</w:instrText>
      </w:r>
      <w:r w:rsidR="002D087B" w:rsidRPr="008C2309">
        <w:rPr>
          <w:rFonts w:ascii="Times" w:hAnsi="Times" w:cstheme="minorHAnsi"/>
          <w:color w:val="000000" w:themeColor="text1"/>
          <w:lang w:eastAsia="en-US"/>
        </w:rPr>
        <w:fldChar w:fldCharType="separate"/>
      </w:r>
      <w:r w:rsidR="00B33BE2" w:rsidRPr="008C2309">
        <w:rPr>
          <w:rFonts w:ascii="Times" w:hAnsi="Times" w:cstheme="minorHAnsi"/>
          <w:noProof/>
          <w:color w:val="000000" w:themeColor="text1"/>
          <w:lang w:eastAsia="en-US"/>
        </w:rPr>
        <w:t>(Gupta et al., 2016)</w:t>
      </w:r>
      <w:r w:rsidR="002D087B" w:rsidRPr="008C2309">
        <w:rPr>
          <w:rFonts w:ascii="Times" w:hAnsi="Times" w:cstheme="minorHAnsi"/>
          <w:color w:val="000000" w:themeColor="text1"/>
          <w:lang w:eastAsia="en-US"/>
        </w:rPr>
        <w:fldChar w:fldCharType="end"/>
      </w:r>
      <w:r w:rsidR="00F32A9E" w:rsidRPr="008C2309">
        <w:rPr>
          <w:rFonts w:ascii="Times" w:hAnsi="Times" w:cstheme="minorHAnsi"/>
          <w:color w:val="000000" w:themeColor="text1"/>
          <w:lang w:eastAsia="en-US"/>
        </w:rPr>
        <w:t xml:space="preserve">. The results in table </w:t>
      </w:r>
      <w:r w:rsidR="00E17BCC" w:rsidRPr="008C2309">
        <w:rPr>
          <w:rFonts w:ascii="Times" w:hAnsi="Times" w:cstheme="minorHAnsi"/>
          <w:color w:val="000000" w:themeColor="text1"/>
          <w:lang w:eastAsia="en-US"/>
        </w:rPr>
        <w:t>4</w:t>
      </w:r>
      <w:r w:rsidR="00F32A9E" w:rsidRPr="008C2309">
        <w:rPr>
          <w:rFonts w:ascii="Times" w:hAnsi="Times" w:cstheme="minorHAnsi"/>
          <w:color w:val="000000" w:themeColor="text1"/>
          <w:lang w:eastAsia="en-US"/>
        </w:rPr>
        <w:t>, show the formulation with the largest molecular weight polymer (SD-F3) produced the largest particle size.</w:t>
      </w:r>
      <w:bookmarkEnd w:id="17"/>
      <w:r w:rsidR="00F32A9E" w:rsidRPr="008C2309">
        <w:rPr>
          <w:rFonts w:ascii="Times" w:hAnsi="Times" w:cstheme="minorHAnsi"/>
          <w:color w:val="000000" w:themeColor="text1"/>
          <w:lang w:eastAsia="en-US"/>
        </w:rPr>
        <w:t xml:space="preserve"> </w:t>
      </w:r>
    </w:p>
    <w:p w14:paraId="7428F1CF" w14:textId="3898BADA" w:rsidR="00575CEB" w:rsidRPr="008C2309" w:rsidRDefault="00F32A9E" w:rsidP="00E41DED">
      <w:pPr>
        <w:spacing w:line="480" w:lineRule="auto"/>
        <w:jc w:val="both"/>
        <w:rPr>
          <w:rFonts w:ascii="Times" w:hAnsi="Times" w:cstheme="minorHAnsi"/>
          <w:color w:val="000000" w:themeColor="text1"/>
          <w:lang w:eastAsia="en-US"/>
        </w:rPr>
      </w:pPr>
      <w:r w:rsidRPr="008C2309">
        <w:rPr>
          <w:rFonts w:ascii="Times" w:hAnsi="Times" w:cstheme="minorHAnsi"/>
          <w:color w:val="000000" w:themeColor="text1"/>
          <w:lang w:eastAsia="en-US"/>
        </w:rPr>
        <w:t xml:space="preserve"> </w:t>
      </w:r>
    </w:p>
    <w:p w14:paraId="4AD2DB53" w14:textId="3D2F720D" w:rsidR="00767F93" w:rsidRPr="008C2309" w:rsidRDefault="004145EA" w:rsidP="00E41DED">
      <w:pPr>
        <w:spacing w:line="480" w:lineRule="auto"/>
        <w:jc w:val="both"/>
        <w:rPr>
          <w:rFonts w:ascii="Times" w:hAnsi="Times" w:cstheme="minorHAnsi"/>
          <w:color w:val="000000" w:themeColor="text1"/>
          <w:lang w:eastAsia="en-US"/>
        </w:rPr>
      </w:pPr>
      <w:r w:rsidRPr="008C2309">
        <w:rPr>
          <w:rFonts w:ascii="Times" w:hAnsi="Times" w:cstheme="minorHAnsi"/>
          <w:color w:val="000000" w:themeColor="text1"/>
          <w:lang w:eastAsia="en-US"/>
        </w:rPr>
        <w:t xml:space="preserve">HME-F1 and HME-F2 were not statistically different from one another post-milling. However, HME-F3 was statistically different from HME-F1 and HME-F2 (95%CI, P&lt;0.05, F-value 25.05). </w:t>
      </w:r>
      <w:r w:rsidR="00B67474" w:rsidRPr="008C2309">
        <w:rPr>
          <w:rFonts w:ascii="Times" w:hAnsi="Times" w:cstheme="minorHAnsi"/>
          <w:color w:val="000000" w:themeColor="text1"/>
          <w:lang w:eastAsia="en-US"/>
        </w:rPr>
        <w:t>I</w:t>
      </w:r>
      <w:r w:rsidRPr="008C2309">
        <w:rPr>
          <w:rFonts w:ascii="Times" w:hAnsi="Times" w:cstheme="minorHAnsi"/>
          <w:color w:val="000000" w:themeColor="text1"/>
          <w:lang w:eastAsia="en-US"/>
        </w:rPr>
        <w:t xml:space="preserve">t is thought that the reason HME-F1 and HME-F2 are different to HME-F3 is due to </w:t>
      </w:r>
      <w:r w:rsidR="004A164B" w:rsidRPr="008C2309">
        <w:rPr>
          <w:rFonts w:ascii="Times" w:hAnsi="Times" w:cstheme="minorHAnsi"/>
          <w:color w:val="000000" w:themeColor="text1"/>
          <w:lang w:eastAsia="en-US"/>
        </w:rPr>
        <w:t xml:space="preserve">the </w:t>
      </w:r>
      <w:r w:rsidRPr="008C2309">
        <w:rPr>
          <w:rFonts w:ascii="Times" w:hAnsi="Times" w:cstheme="minorHAnsi"/>
          <w:color w:val="000000" w:themeColor="text1"/>
          <w:lang w:eastAsia="en-US"/>
        </w:rPr>
        <w:t>formulation composition</w:t>
      </w:r>
      <w:r w:rsidR="00E17BCC" w:rsidRPr="008C2309">
        <w:rPr>
          <w:rFonts w:ascii="Times" w:hAnsi="Times" w:cstheme="minorHAnsi"/>
          <w:color w:val="000000" w:themeColor="text1"/>
          <w:lang w:eastAsia="en-US"/>
        </w:rPr>
        <w:t>, as described above for SD formulations</w:t>
      </w:r>
      <w:r w:rsidRPr="008C2309">
        <w:rPr>
          <w:rFonts w:ascii="Times" w:hAnsi="Times" w:cstheme="minorHAnsi"/>
          <w:color w:val="000000" w:themeColor="text1"/>
          <w:lang w:eastAsia="en-US"/>
        </w:rPr>
        <w:t>. HME-F1 and HME-F2 contain Kollidon</w:t>
      </w:r>
      <w:r w:rsidR="00E17BCC" w:rsidRPr="008C2309">
        <w:rPr>
          <w:vertAlign w:val="superscript"/>
        </w:rPr>
        <w:t>®</w:t>
      </w:r>
      <w:r w:rsidRPr="008C2309">
        <w:rPr>
          <w:rFonts w:ascii="Times" w:hAnsi="Times" w:cstheme="minorHAnsi"/>
          <w:color w:val="000000" w:themeColor="text1"/>
          <w:lang w:eastAsia="en-US"/>
        </w:rPr>
        <w:t xml:space="preserve"> VA64 in both formulations with the addition of PEG 3350 in F2 not affecting the overall particle size post milling at its formulation concentration of 8.25%. As HME-F3 contains a different polymer, </w:t>
      </w:r>
      <w:r w:rsidR="007074B1" w:rsidRPr="008C2309">
        <w:rPr>
          <w:rFonts w:ascii="Times" w:hAnsi="Times" w:cstheme="minorHAnsi"/>
          <w:color w:val="000000" w:themeColor="text1"/>
          <w:lang w:eastAsia="en-US"/>
        </w:rPr>
        <w:t xml:space="preserve">namely </w:t>
      </w:r>
      <w:r w:rsidRPr="008C2309">
        <w:rPr>
          <w:rFonts w:ascii="Times" w:hAnsi="Times" w:cstheme="minorHAnsi"/>
          <w:color w:val="000000" w:themeColor="text1"/>
          <w:lang w:eastAsia="en-US"/>
        </w:rPr>
        <w:t>Soluplus</w:t>
      </w:r>
      <w:bookmarkStart w:id="19" w:name="_Hlk504492844"/>
      <w:r w:rsidR="000133A3" w:rsidRPr="008C2309">
        <w:rPr>
          <w:vertAlign w:val="superscript"/>
        </w:rPr>
        <w:t>®</w:t>
      </w:r>
      <w:bookmarkEnd w:id="19"/>
      <w:r w:rsidRPr="008C2309">
        <w:rPr>
          <w:rFonts w:ascii="Times" w:hAnsi="Times" w:cstheme="minorHAnsi"/>
          <w:color w:val="000000" w:themeColor="text1"/>
          <w:lang w:eastAsia="en-US"/>
        </w:rPr>
        <w:t>, it is thought</w:t>
      </w:r>
      <w:r w:rsidR="006B5C5D" w:rsidRPr="008C2309">
        <w:rPr>
          <w:rFonts w:ascii="Times" w:hAnsi="Times" w:cstheme="minorHAnsi"/>
          <w:color w:val="000000" w:themeColor="text1"/>
          <w:lang w:eastAsia="en-US"/>
        </w:rPr>
        <w:t xml:space="preserve"> that</w:t>
      </w:r>
      <w:r w:rsidRPr="008C2309">
        <w:rPr>
          <w:rFonts w:ascii="Times" w:hAnsi="Times" w:cstheme="minorHAnsi"/>
          <w:color w:val="000000" w:themeColor="text1"/>
          <w:lang w:eastAsia="en-US"/>
        </w:rPr>
        <w:t xml:space="preserve"> it behaves differently </w:t>
      </w:r>
      <w:r w:rsidR="00C11D11" w:rsidRPr="008C2309">
        <w:rPr>
          <w:rFonts w:ascii="Times" w:hAnsi="Times" w:cstheme="minorHAnsi"/>
          <w:color w:val="000000" w:themeColor="text1"/>
          <w:lang w:eastAsia="en-US"/>
        </w:rPr>
        <w:t>(</w:t>
      </w:r>
      <w:r w:rsidR="00E17BCC" w:rsidRPr="008C2309">
        <w:rPr>
          <w:rFonts w:ascii="Times" w:hAnsi="Times" w:cstheme="minorHAnsi"/>
          <w:color w:val="000000" w:themeColor="text1"/>
          <w:lang w:eastAsia="en-US"/>
        </w:rPr>
        <w:t>due to its more elastic properties when compared to Kollidon</w:t>
      </w:r>
      <w:r w:rsidR="00E17BCC" w:rsidRPr="008C2309">
        <w:rPr>
          <w:vertAlign w:val="superscript"/>
        </w:rPr>
        <w:t>®</w:t>
      </w:r>
      <w:r w:rsidR="00E17BCC" w:rsidRPr="008C2309">
        <w:rPr>
          <w:rFonts w:ascii="Times" w:hAnsi="Times" w:cstheme="minorHAnsi"/>
          <w:color w:val="000000" w:themeColor="text1"/>
          <w:lang w:eastAsia="en-US"/>
        </w:rPr>
        <w:t xml:space="preserve"> VA 64</w:t>
      </w:r>
      <w:r w:rsidR="00C11D11" w:rsidRPr="008C2309">
        <w:rPr>
          <w:rFonts w:ascii="Times" w:hAnsi="Times" w:cstheme="minorHAnsi"/>
          <w:color w:val="000000" w:themeColor="text1"/>
          <w:lang w:eastAsia="en-US"/>
        </w:rPr>
        <w:t>)</w:t>
      </w:r>
      <w:r w:rsidR="00E17BCC" w:rsidRPr="008C2309">
        <w:rPr>
          <w:rFonts w:ascii="Times" w:hAnsi="Times" w:cstheme="minorHAnsi"/>
          <w:color w:val="000000" w:themeColor="text1"/>
          <w:lang w:eastAsia="en-US"/>
        </w:rPr>
        <w:t xml:space="preserve"> </w:t>
      </w:r>
      <w:r w:rsidRPr="008C2309">
        <w:rPr>
          <w:rFonts w:ascii="Times" w:hAnsi="Times" w:cstheme="minorHAnsi"/>
          <w:color w:val="000000" w:themeColor="text1"/>
          <w:lang w:eastAsia="en-US"/>
        </w:rPr>
        <w:t>in the cryo</w:t>
      </w:r>
      <w:r w:rsidR="00C62553" w:rsidRPr="008C2309">
        <w:rPr>
          <w:rFonts w:ascii="Times" w:hAnsi="Times" w:cstheme="minorHAnsi"/>
          <w:color w:val="000000" w:themeColor="text1"/>
          <w:lang w:eastAsia="en-US"/>
        </w:rPr>
        <w:t>-</w:t>
      </w:r>
      <w:r w:rsidRPr="008C2309">
        <w:rPr>
          <w:rFonts w:ascii="Times" w:hAnsi="Times" w:cstheme="minorHAnsi"/>
          <w:color w:val="000000" w:themeColor="text1"/>
          <w:lang w:eastAsia="en-US"/>
        </w:rPr>
        <w:t>mill</w:t>
      </w:r>
      <w:r w:rsidR="00B67474" w:rsidRPr="008C2309">
        <w:rPr>
          <w:rFonts w:ascii="Times" w:hAnsi="Times" w:cstheme="minorHAnsi"/>
          <w:color w:val="000000" w:themeColor="text1"/>
          <w:lang w:eastAsia="en-US"/>
        </w:rPr>
        <w:t>,</w:t>
      </w:r>
      <w:r w:rsidRPr="008C2309">
        <w:rPr>
          <w:rFonts w:ascii="Times" w:hAnsi="Times" w:cstheme="minorHAnsi"/>
          <w:color w:val="000000" w:themeColor="text1"/>
          <w:lang w:eastAsia="en-US"/>
        </w:rPr>
        <w:t xml:space="preserve"> resulting in a different particle size distribution.</w:t>
      </w:r>
    </w:p>
    <w:p w14:paraId="36FBA3C8" w14:textId="4BB282D2" w:rsidR="000B16D4" w:rsidRPr="008C2309" w:rsidRDefault="000B16D4" w:rsidP="00E41DED">
      <w:pPr>
        <w:spacing w:line="480" w:lineRule="auto"/>
        <w:jc w:val="both"/>
        <w:rPr>
          <w:rFonts w:ascii="Times" w:hAnsi="Times" w:cstheme="minorHAnsi"/>
          <w:lang w:eastAsia="en-US"/>
        </w:rPr>
      </w:pPr>
    </w:p>
    <w:p w14:paraId="337C5C65" w14:textId="1E3B0B9F" w:rsidR="000B16D4" w:rsidRPr="008C2309" w:rsidRDefault="00C322DD" w:rsidP="00E41DED">
      <w:pPr>
        <w:spacing w:line="480" w:lineRule="auto"/>
        <w:jc w:val="both"/>
        <w:rPr>
          <w:rFonts w:ascii="Times" w:hAnsi="Times" w:cstheme="minorHAnsi"/>
          <w:i/>
          <w:lang w:eastAsia="en-US"/>
        </w:rPr>
      </w:pPr>
      <w:r w:rsidRPr="008C2309">
        <w:rPr>
          <w:rFonts w:ascii="Times" w:hAnsi="Times" w:cstheme="minorHAnsi"/>
          <w:i/>
          <w:lang w:eastAsia="en-US"/>
        </w:rPr>
        <w:t xml:space="preserve">3.4 </w:t>
      </w:r>
      <w:r w:rsidR="000B16D4" w:rsidRPr="008C2309">
        <w:rPr>
          <w:rFonts w:ascii="Times" w:hAnsi="Times" w:cstheme="minorHAnsi"/>
          <w:i/>
          <w:lang w:eastAsia="en-US"/>
        </w:rPr>
        <w:t>Drug Assay</w:t>
      </w:r>
    </w:p>
    <w:p w14:paraId="4F9CAAE3" w14:textId="29F8B85C" w:rsidR="000B16D4" w:rsidRPr="008C2309" w:rsidRDefault="000B16D4" w:rsidP="00E41DED">
      <w:pPr>
        <w:spacing w:line="480" w:lineRule="auto"/>
        <w:rPr>
          <w:rFonts w:ascii="Times" w:hAnsi="Times"/>
          <w:lang w:eastAsia="en-US"/>
        </w:rPr>
      </w:pPr>
      <w:r w:rsidRPr="008C2309">
        <w:rPr>
          <w:rFonts w:ascii="Times" w:hAnsi="Times"/>
          <w:lang w:eastAsia="en-US"/>
        </w:rPr>
        <w:t xml:space="preserve">Drug assays of pharmaceutical formulations are of great importance, as actual drug content must fall within specific limits of the manufacturer’s label claims. Specific individual </w:t>
      </w:r>
      <w:r w:rsidRPr="008C2309">
        <w:rPr>
          <w:rFonts w:ascii="Times" w:hAnsi="Times"/>
          <w:lang w:eastAsia="en-US"/>
        </w:rPr>
        <w:lastRenderedPageBreak/>
        <w:t>monographs exist in the British Pharmacopeia (BP) for both HCTZ and RAM in relation to acceptable limits for tablet drug content, although a monograph for a combination of the two APIs in a single oral tablet does not exist in the BP. HCTZ content is considered acceptable if the drug content is found to be between 92.5 to 107.5% of the stated amount</w:t>
      </w:r>
      <w:r w:rsidR="009528CA" w:rsidRPr="008C2309">
        <w:rPr>
          <w:rFonts w:ascii="Times" w:hAnsi="Times"/>
          <w:lang w:eastAsia="en-US"/>
        </w:rPr>
        <w:t xml:space="preserve"> </w:t>
      </w:r>
      <w:r w:rsidR="000A7F29" w:rsidRPr="008C2309">
        <w:rPr>
          <w:rFonts w:ascii="Times" w:hAnsi="Times"/>
          <w:lang w:eastAsia="en-US"/>
        </w:rPr>
        <w:fldChar w:fldCharType="begin" w:fldLock="1"/>
      </w:r>
      <w:r w:rsidR="000A7F29" w:rsidRPr="008C2309">
        <w:rPr>
          <w:rFonts w:ascii="Times" w:hAnsi="Times"/>
          <w:lang w:eastAsia="en-US"/>
        </w:rPr>
        <w:instrText>ADDIN CSL_CITATION { "citationItems" : [ { "id" : "ITEM-1", "itemData" : { "URL" : "https://www.pharmacopoeia.com/bp-2018/formulated-specific/hydrochlorothiazide-tablets.html?date=2018-01-01&amp;text=hydrochlorothiazide", "author" : [ { "dropping-particle" : "", "family" : "British Pharmacopoeia", "given" : "", "non-dropping-particle" : "", "parse-names" : false, "suffix" : "" } ], "container-title" : "British Pharmacopoeia", "id" : "ITEM-1", "issued" : { "date-parts" : [ [ "2018" ] ] }, "title" : "Hydrochlorothiazide Tablets Monograph", "type" : "webpage" }, "uris" : [ "http://www.mendeley.com/documents/?uuid=2fe8aa1b-da13-4489-af2d-c22c460311a0" ] } ], "mendeley" : { "formattedCitation" : "(British Pharmacopoeia, 2018c)", "plainTextFormattedCitation" : "(British Pharmacopoeia, 2018c)", "previouslyFormattedCitation" : "(British Pharmacopoeia, 2018c)" }, "properties" : {  }, "schema" : "https://github.com/citation-style-language/schema/raw/master/csl-citation.json" }</w:instrText>
      </w:r>
      <w:r w:rsidR="000A7F29" w:rsidRPr="008C2309">
        <w:rPr>
          <w:rFonts w:ascii="Times" w:hAnsi="Times"/>
          <w:lang w:eastAsia="en-US"/>
        </w:rPr>
        <w:fldChar w:fldCharType="separate"/>
      </w:r>
      <w:r w:rsidR="000A7F29" w:rsidRPr="008C2309">
        <w:rPr>
          <w:rFonts w:ascii="Times" w:hAnsi="Times"/>
          <w:noProof/>
          <w:lang w:eastAsia="en-US"/>
        </w:rPr>
        <w:t>(British Pharmacopoeia, 2018c)</w:t>
      </w:r>
      <w:r w:rsidR="000A7F29" w:rsidRPr="008C2309">
        <w:rPr>
          <w:rFonts w:ascii="Times" w:hAnsi="Times"/>
          <w:lang w:eastAsia="en-US"/>
        </w:rPr>
        <w:fldChar w:fldCharType="end"/>
      </w:r>
      <w:r w:rsidRPr="008C2309">
        <w:rPr>
          <w:rFonts w:ascii="Times" w:hAnsi="Times"/>
          <w:lang w:eastAsia="en-US"/>
        </w:rPr>
        <w:t>. RAM content is considered acceptable if the drug content is found to be between 90.0 to 105.0% of the stated amount</w:t>
      </w:r>
      <w:r w:rsidR="009528CA" w:rsidRPr="008C2309">
        <w:rPr>
          <w:rFonts w:ascii="Times" w:hAnsi="Times"/>
          <w:lang w:eastAsia="en-US"/>
        </w:rPr>
        <w:t xml:space="preserve"> </w:t>
      </w:r>
      <w:r w:rsidR="00530BA7" w:rsidRPr="008C2309">
        <w:rPr>
          <w:rFonts w:ascii="Times" w:hAnsi="Times"/>
          <w:lang w:eastAsia="en-US"/>
        </w:rPr>
        <w:fldChar w:fldCharType="begin" w:fldLock="1"/>
      </w:r>
      <w:r w:rsidR="00530BA7" w:rsidRPr="008C2309">
        <w:rPr>
          <w:rFonts w:ascii="Times" w:hAnsi="Times"/>
          <w:lang w:eastAsia="en-US"/>
        </w:rPr>
        <w:instrText>ADDIN CSL_CITATION { "citationItems" : [ { "id" : "ITEM-1", "itemData" : { "URL" : "https://www.pharmacopoeia.com/bp-2018/formulated-specific/ramipril-tablets.html?date=2018-01-01&amp;text=ramipril", "accessed" : { "date-parts" : [ [ "2018", "2", "19" ] ] }, "author" : [ { "dropping-particle" : "", "family" : "British Pharmacopoeia", "given" : "", "non-dropping-particle" : "", "parse-names" : false, "suffix" : "" } ], "container-title" : "British Pharmacopoeia", "id" : "ITEM-1", "issued" : { "date-parts" : [ [ "2018" ] ] }, "title" : "Ramipril Tablets Monograph", "type" : "webpage" }, "uris" : [ "http://www.mendeley.com/documents/?uuid=1e11247d-b1e4-42b5-a331-d12034693303" ] } ], "mendeley" : { "formattedCitation" : "(British Pharmacopoeia, 2018d)", "plainTextFormattedCitation" : "(British Pharmacopoeia, 2018d)", "previouslyFormattedCitation" : "(British Pharmacopoeia, 2018d)" }, "properties" : {  }, "schema" : "https://github.com/citation-style-language/schema/raw/master/csl-citation.json" }</w:instrText>
      </w:r>
      <w:r w:rsidR="00530BA7" w:rsidRPr="008C2309">
        <w:rPr>
          <w:rFonts w:ascii="Times" w:hAnsi="Times"/>
          <w:lang w:eastAsia="en-US"/>
        </w:rPr>
        <w:fldChar w:fldCharType="separate"/>
      </w:r>
      <w:r w:rsidR="00530BA7" w:rsidRPr="008C2309">
        <w:rPr>
          <w:rFonts w:ascii="Times" w:hAnsi="Times"/>
          <w:noProof/>
          <w:lang w:eastAsia="en-US"/>
        </w:rPr>
        <w:t>(British Pharmacopoeia, 2018d)</w:t>
      </w:r>
      <w:r w:rsidR="00530BA7" w:rsidRPr="008C2309">
        <w:rPr>
          <w:rFonts w:ascii="Times" w:hAnsi="Times"/>
          <w:lang w:eastAsia="en-US"/>
        </w:rPr>
        <w:fldChar w:fldCharType="end"/>
      </w:r>
      <w:r w:rsidRPr="008C2309">
        <w:rPr>
          <w:rFonts w:ascii="Times" w:hAnsi="Times"/>
          <w:lang w:eastAsia="en-US"/>
        </w:rPr>
        <w:t xml:space="preserve">. It was decided that these drug content ranges would be acceptable </w:t>
      </w:r>
      <w:r w:rsidR="00595108" w:rsidRPr="008C2309">
        <w:rPr>
          <w:rFonts w:ascii="Times" w:hAnsi="Times"/>
          <w:lang w:eastAsia="en-US"/>
        </w:rPr>
        <w:t xml:space="preserve">for </w:t>
      </w:r>
      <w:r w:rsidRPr="008C2309">
        <w:rPr>
          <w:rFonts w:ascii="Times" w:hAnsi="Times"/>
          <w:lang w:eastAsia="en-US"/>
        </w:rPr>
        <w:t xml:space="preserve">our formulations as ultimately, our final dosage form will be an oral tablet. It can be seen from the assay (table 5) that both HCTZ and RAM content fall within the desired ranges for each of the SD formulations. HCTZ content also falls within the desired range for each of the HME formulations, however RAM content does not. Due to the processing temperatures required for HME-F1 and HME-F3, RAM starts to degrade during the manufacturing process. There is a significant reduction in the RAM content for both HME-F1 and HME-F3. To overcome this problem, PEG 3350 was added to act as a plasticizer and allow us to process at a lower temperature for HME-F2. The reduction in the processing temperature resulted in the preservation of RAM content and brings the final drug content to acceptable levels. </w:t>
      </w:r>
    </w:p>
    <w:p w14:paraId="6C6EEC16" w14:textId="77777777" w:rsidR="00E41DED" w:rsidRPr="008C2309" w:rsidRDefault="00E41DED" w:rsidP="00E41DED">
      <w:pPr>
        <w:spacing w:line="480" w:lineRule="auto"/>
        <w:rPr>
          <w:rFonts w:ascii="Times" w:hAnsi="Times"/>
          <w:lang w:eastAsia="en-US"/>
        </w:rPr>
      </w:pPr>
    </w:p>
    <w:p w14:paraId="7FE10455" w14:textId="540D5798" w:rsidR="00230AD9" w:rsidRPr="008C2309" w:rsidRDefault="00C322DD" w:rsidP="00E41DED">
      <w:pPr>
        <w:spacing w:line="480" w:lineRule="auto"/>
        <w:jc w:val="both"/>
        <w:rPr>
          <w:rFonts w:ascii="Times" w:hAnsi="Times" w:cstheme="minorHAnsi"/>
          <w:i/>
          <w:lang w:eastAsia="en-US"/>
        </w:rPr>
      </w:pPr>
      <w:r w:rsidRPr="008C2309">
        <w:rPr>
          <w:rFonts w:ascii="Times" w:hAnsi="Times" w:cstheme="minorHAnsi"/>
          <w:i/>
          <w:lang w:eastAsia="en-US"/>
        </w:rPr>
        <w:t xml:space="preserve">3.5 </w:t>
      </w:r>
      <w:r w:rsidR="00230AD9" w:rsidRPr="008C2309">
        <w:rPr>
          <w:rFonts w:ascii="Times" w:hAnsi="Times" w:cstheme="minorHAnsi"/>
          <w:i/>
          <w:lang w:eastAsia="en-US"/>
        </w:rPr>
        <w:t xml:space="preserve">Dissolution </w:t>
      </w:r>
      <w:r w:rsidR="00960CDB" w:rsidRPr="008C2309">
        <w:rPr>
          <w:rFonts w:ascii="Times" w:hAnsi="Times" w:cstheme="minorHAnsi"/>
          <w:i/>
          <w:lang w:eastAsia="en-US"/>
        </w:rPr>
        <w:t>Testing</w:t>
      </w:r>
    </w:p>
    <w:p w14:paraId="28B36B4C" w14:textId="0C8865F8" w:rsidR="00D57B84" w:rsidRPr="008C2309" w:rsidRDefault="00EC19AE" w:rsidP="00E41DED">
      <w:pPr>
        <w:spacing w:line="480" w:lineRule="auto"/>
        <w:jc w:val="both"/>
        <w:rPr>
          <w:rFonts w:ascii="Times" w:hAnsi="Times" w:cstheme="minorHAnsi"/>
          <w:color w:val="000000" w:themeColor="text1"/>
          <w:lang w:val="en-IE"/>
        </w:rPr>
      </w:pPr>
      <w:r w:rsidRPr="008C2309">
        <w:rPr>
          <w:rFonts w:ascii="Times" w:hAnsi="Times" w:cstheme="minorHAnsi"/>
          <w:color w:val="000000" w:themeColor="text1"/>
          <w:lang w:val="en-IE"/>
        </w:rPr>
        <w:t>Intrinsic dissolution is described as particle size independent</w:t>
      </w:r>
      <w:r w:rsidR="009528CA" w:rsidRPr="008C2309">
        <w:rPr>
          <w:rFonts w:ascii="Times" w:hAnsi="Times" w:cstheme="minorHAnsi"/>
          <w:color w:val="000000" w:themeColor="text1"/>
          <w:lang w:val="en-IE"/>
        </w:rPr>
        <w:t xml:space="preserve"> </w:t>
      </w:r>
      <w:r w:rsidRPr="008C2309">
        <w:rPr>
          <w:rFonts w:ascii="Times" w:hAnsi="Times" w:cstheme="minorHAnsi"/>
          <w:color w:val="000000" w:themeColor="text1"/>
          <w:lang w:val="en-IE"/>
        </w:rPr>
        <w:fldChar w:fldCharType="begin" w:fldLock="1"/>
      </w:r>
      <w:r w:rsidR="00432184" w:rsidRPr="008C2309">
        <w:rPr>
          <w:rFonts w:ascii="Times" w:hAnsi="Times" w:cstheme="minorHAnsi"/>
          <w:color w:val="000000" w:themeColor="text1"/>
          <w:lang w:val="en-IE"/>
        </w:rPr>
        <w:instrText>ADDIN CSL_CITATION { "citationItems" : [ { "id" : "ITEM-1", "itemData" : { "DOI" : "http://dx.doi.org/10.1016/0378-5173(91)90251-I", "ISSN" : "0378-5173", "author" : [ { "dropping-particle" : "", "family" : "Hendriksen", "given" : "B A", "non-dropping-particle" : "", "parse-names" : false, "suffix" : "" } ], "container-title" : "International Journal of Pharmaceutics", "id" : "ITEM-1", "issue" : "1", "issued" : { "date-parts" : [ [ "1991" ] ] }, "page" : "63-72", "title" : "Characterization of calcium fenoprofen: 3. Mechanism of dissolution from rotating discs", "type" : "article-journal", "volume" : "75" }, "uris" : [ "http://www.mendeley.com/documents/?uuid=273f6849-dea4-4022-806b-49fe1d980a37", "http://www.mendeley.com/documents/?uuid=11f08a0a-d18c-4a98-8a96-bfc650241b5a" ] }, { "id" : "ITEM-2", "itemData" : { "DOI" : "10.1002/jps.2600540730", "ISSN" : "1520-6017", "author" : [ { "dropping-particle" : "", "family" : "Wood", "given" : "John H", "non-dropping-particle" : "", "parse-names" : false, "suffix" : "" }, { "dropping-particle" : "", "family" : "Syarto", "given" : "John E", "non-dropping-particle" : "", "parse-names" : false, "suffix" : "" }, { "dropping-particle" : "", "family" : "Letterman", "given" : "Herbert", "non-dropping-particle" : "", "parse-names" : false, "suffix" : "" } ], "container-title" : "Journal of Pharmaceutical Sciences", "id" : "ITEM-2", "issue" : "7", "issued" : { "date-parts" : [ [ "1965", "7" ] ] }, "page" : "1068", "publisher" : "Wiley Subscription Services, Inc., A Wiley Company", "title" : "Improved holder for intrinsic dissolution rate studies", "type" : "article-journal", "volume" : "54" }, "uris" : [ "http://www.mendeley.com/documents/?uuid=39e7a274-bf85-4a43-987a-acafba84d87a", "http://www.mendeley.com/documents/?uuid=7f21ddb5-90ca-4d02-9fc5-919ff4eed20c" ] } ], "mendeley" : { "formattedCitation" : "(Hendriksen, 1991; Wood et al., 1965)", "plainTextFormattedCitation" : "(Hendriksen, 1991; Wood et al., 1965)", "previouslyFormattedCitation" : "(Hendriksen, 1991; Wood et al., 1965)" }, "properties" : {  }, "schema" : "https://github.com/citation-style-language/schema/raw/master/csl-citation.json" }</w:instrText>
      </w:r>
      <w:r w:rsidRPr="008C2309">
        <w:rPr>
          <w:rFonts w:ascii="Times" w:hAnsi="Times" w:cstheme="minorHAnsi"/>
          <w:color w:val="000000" w:themeColor="text1"/>
          <w:lang w:val="en-IE"/>
        </w:rPr>
        <w:fldChar w:fldCharType="separate"/>
      </w:r>
      <w:r w:rsidR="00B33BE2" w:rsidRPr="008C2309">
        <w:rPr>
          <w:rFonts w:ascii="Times" w:hAnsi="Times" w:cstheme="minorHAnsi"/>
          <w:noProof/>
          <w:color w:val="000000" w:themeColor="text1"/>
          <w:lang w:val="en-IE"/>
        </w:rPr>
        <w:t>(Hendriksen, 1991; Wood et al., 1965)</w:t>
      </w:r>
      <w:r w:rsidRPr="008C2309">
        <w:rPr>
          <w:rFonts w:ascii="Times" w:hAnsi="Times" w:cstheme="minorHAnsi"/>
          <w:color w:val="000000" w:themeColor="text1"/>
          <w:lang w:val="en-IE"/>
        </w:rPr>
        <w:fldChar w:fldCharType="end"/>
      </w:r>
      <w:r w:rsidRPr="008C2309">
        <w:rPr>
          <w:rFonts w:ascii="Times" w:hAnsi="Times" w:cstheme="minorHAnsi"/>
          <w:color w:val="000000" w:themeColor="text1"/>
          <w:lang w:val="en-IE"/>
        </w:rPr>
        <w:t xml:space="preserve"> and is based on measurements taken from compacted powder discs of known surface area under controlled hydrodynamic conditions</w:t>
      </w:r>
      <w:r w:rsidR="009528CA" w:rsidRPr="008C2309">
        <w:rPr>
          <w:rFonts w:ascii="Times" w:hAnsi="Times" w:cstheme="minorHAnsi"/>
          <w:color w:val="000000" w:themeColor="text1"/>
          <w:lang w:val="en-IE"/>
        </w:rPr>
        <w:t xml:space="preserve"> </w:t>
      </w:r>
      <w:r w:rsidRPr="008C2309">
        <w:rPr>
          <w:rFonts w:ascii="Times" w:hAnsi="Times" w:cstheme="minorHAnsi"/>
          <w:color w:val="000000" w:themeColor="text1"/>
          <w:lang w:val="en-IE"/>
        </w:rPr>
        <w:fldChar w:fldCharType="begin" w:fldLock="1"/>
      </w:r>
      <w:r w:rsidR="00F0638A" w:rsidRPr="008C2309">
        <w:rPr>
          <w:rFonts w:ascii="Times" w:hAnsi="Times" w:cstheme="minorHAnsi"/>
          <w:color w:val="000000" w:themeColor="text1"/>
          <w:lang w:val="en-IE"/>
        </w:rPr>
        <w:instrText>ADDIN CSL_CITATION { "citationItems" : [ { "id" : "ITEM-1", "itemData" : { "DOI" : "10.1211/0022357021778529", "ISSN" : "0022-3573", "PMID" : "11902812", "abstract" : "The aim of the present study was to determine the apparent diffusion boundary layer and dissolution rate constant for various surfaces of compacts and at various locations in the USP paddle dissolution apparatus. Benzoic acid compacts were coated with paraffin wax leaving only the surface under investigation free for dissolution. The dissolution rates for various surfaces at varying locations in the paddle dissolution vessel were determined from the slope of the dissolution profile (amount dissolved (mg) versus time (min)). The apparent diffusion boundary layer and dissolution rate constant were calculated and were found to vary depending on the surface of the compact from which dissolution took place and also on the location and size of the compact. It may be concluded that, in developing models to describe the dissolution from solid dosage forms, it is not accurate to assume constant hydrodynamics and mass transfer rates at all surfaces of the system, or in different locations within the test device. A more exact description of the hydrodynamics would be necessary in order to precisely model drug dissolution in the paddle dissolution apparatus.", "author" : [ { "dropping-particle" : "", "family" : "Healy", "given" : "Anne Marie", "non-dropping-particle" : "", "parse-names" : false, "suffix" : "" }, { "dropping-particle" : "", "family" : "McCarthy", "given" : "L G", "non-dropping-particle" : "", "parse-names" : false, "suffix" : "" }, { "dropping-particle" : "", "family" : "Gallagher", "given" : "K M", "non-dropping-particle" : "", "parse-names" : false, "suffix" : "" }, { "dropping-particle" : "", "family" : "Corrigan", "given" : "O I", "non-dropping-particle" : "", "parse-names" : false, "suffix" : "" } ], "container-title" : "The Journal of pharmacy and pharmacology", "id" : "ITEM-1", "issue" : "3", "issued" : { "date-parts" : [ [ "2002" ] ] }, "page" : "441-4", "title" : "Sensitivity of dissolution rate to location in the paddle dissolution apparatus.", "type" : "article-journal", "volume" : "54" }, "uris" : [ "http://www.mendeley.com/documents/?uuid=3aecd9d1-2e9c-4376-ab2b-e239fa21657a", "http://www.mendeley.com/documents/?uuid=0db788b9-67a1-4513-af05-01b49d5d89f0" ] } ], "mendeley" : { "formattedCitation" : "(Healy et al., 2002)", "plainTextFormattedCitation" : "(Healy et al., 2002)", "previouslyFormattedCitation" : "(Healy et al., 2002)" }, "properties" : {  }, "schema" : "https://github.com/citation-style-language/schema/raw/master/csl-citation.json" }</w:instrText>
      </w:r>
      <w:r w:rsidRPr="008C2309">
        <w:rPr>
          <w:rFonts w:ascii="Times" w:hAnsi="Times" w:cstheme="minorHAnsi"/>
          <w:color w:val="000000" w:themeColor="text1"/>
          <w:lang w:val="en-IE"/>
        </w:rPr>
        <w:fldChar w:fldCharType="separate"/>
      </w:r>
      <w:r w:rsidR="00B33BE2" w:rsidRPr="008C2309">
        <w:rPr>
          <w:rFonts w:ascii="Times" w:hAnsi="Times" w:cstheme="minorHAnsi"/>
          <w:noProof/>
          <w:color w:val="000000" w:themeColor="text1"/>
          <w:lang w:val="en-IE"/>
        </w:rPr>
        <w:t>(Healy et al., 2002)</w:t>
      </w:r>
      <w:r w:rsidRPr="008C2309">
        <w:rPr>
          <w:rFonts w:ascii="Times" w:hAnsi="Times" w:cstheme="minorHAnsi"/>
          <w:color w:val="000000" w:themeColor="text1"/>
          <w:lang w:val="en-IE"/>
        </w:rPr>
        <w:fldChar w:fldCharType="end"/>
      </w:r>
      <w:r w:rsidRPr="008C2309">
        <w:rPr>
          <w:rFonts w:ascii="Times" w:hAnsi="Times" w:cstheme="minorHAnsi"/>
          <w:color w:val="000000" w:themeColor="text1"/>
          <w:lang w:val="en-IE"/>
        </w:rPr>
        <w:t>. The area exposed to the dissolution media remains constant over time. Therefore, the intrinsic dissolution rate depends on the solubility of the powder compact, the hydrodynamics of the system and the diffusion coefficient</w:t>
      </w:r>
      <w:r w:rsidR="00FC0998" w:rsidRPr="008C2309">
        <w:rPr>
          <w:rFonts w:ascii="Times" w:hAnsi="Times" w:cstheme="minorHAnsi"/>
          <w:color w:val="000000" w:themeColor="text1"/>
          <w:lang w:val="en-IE"/>
        </w:rPr>
        <w:t xml:space="preserve"> of the </w:t>
      </w:r>
      <w:r w:rsidR="00D414C3" w:rsidRPr="008C2309">
        <w:rPr>
          <w:rFonts w:ascii="Times" w:hAnsi="Times" w:cstheme="minorHAnsi"/>
          <w:color w:val="000000" w:themeColor="text1"/>
          <w:lang w:val="en-IE"/>
        </w:rPr>
        <w:t xml:space="preserve">dissolving substance </w:t>
      </w:r>
      <w:r w:rsidRPr="008C2309">
        <w:rPr>
          <w:rFonts w:ascii="Times" w:hAnsi="Times" w:cstheme="minorHAnsi"/>
          <w:color w:val="000000" w:themeColor="text1"/>
          <w:lang w:val="en-IE"/>
        </w:rPr>
        <w:t xml:space="preserve">in the dissolution </w:t>
      </w:r>
      <w:r w:rsidR="00D414C3" w:rsidRPr="008C2309">
        <w:rPr>
          <w:rFonts w:ascii="Times" w:hAnsi="Times" w:cstheme="minorHAnsi"/>
          <w:color w:val="000000" w:themeColor="text1"/>
          <w:lang w:val="en-IE"/>
        </w:rPr>
        <w:t>medium</w:t>
      </w:r>
      <w:r w:rsidR="009528CA" w:rsidRPr="008C2309">
        <w:rPr>
          <w:rFonts w:ascii="Times" w:hAnsi="Times" w:cstheme="minorHAnsi"/>
          <w:color w:val="000000" w:themeColor="text1"/>
          <w:lang w:val="en-IE"/>
        </w:rPr>
        <w:t xml:space="preserve"> </w:t>
      </w:r>
      <w:r w:rsidR="00D414C3" w:rsidRPr="008C2309">
        <w:rPr>
          <w:rFonts w:ascii="Times" w:hAnsi="Times" w:cstheme="minorHAnsi"/>
          <w:color w:val="000000" w:themeColor="text1"/>
          <w:lang w:val="en-IE"/>
        </w:rPr>
        <w:fldChar w:fldCharType="begin" w:fldLock="1"/>
      </w:r>
      <w:r w:rsidR="00432184" w:rsidRPr="008C2309">
        <w:rPr>
          <w:rFonts w:ascii="Times" w:hAnsi="Times" w:cstheme="minorHAnsi"/>
          <w:color w:val="000000" w:themeColor="text1"/>
          <w:lang w:val="en-IE"/>
        </w:rPr>
        <w:instrText>ADDIN CSL_CITATION { "citationItems" : [ { "id" : "ITEM-1", "itemData" : { "DOI" : "http://dx.doi.org/10.1016/0378-5173(91)90251-I", "ISSN" : "0378-5173", "author" : [ { "dropping-particle" : "", "family" : "Hendriksen", "given" : "B A", "non-dropping-particle" : "", "parse-names" : false, "suffix" : "" } ], "container-title" : "International Journal of Pharmaceutics", "id" : "ITEM-1", "issue" : "1", "issued" : { "date-parts" : [ [ "1991" ] ] }, "page" : "63-72", "title" : "Characterization of calcium fenoprofen: 3. Mechanism of dissolution from rotating discs", "type" : "article-journal", "volume" : "75" }, "uris" : [ "http://www.mendeley.com/documents/?uuid=11f08a0a-d18c-4a98-8a96-bfc650241b5a", "http://www.mendeley.com/documents/?uuid=273f6849-dea4-4022-806b-49fe1d980a37" ] }, { "id" : "ITEM-2", "itemData" : { "DOI" : "10.1002/jps.2600540730", "ISSN" : "1520-6017", "author" : [ { "dropping-particle" : "", "family" : "Wood", "given" : "John H", "non-dropping-particle" : "", "parse-names" : false, "suffix" : "" }, { "dropping-particle" : "", "family" : "Syarto", "given" : "John E", "non-dropping-particle" : "", "parse-names" : false, "suffix" : "" }, { "dropping-particle" : "", "family" : "Letterman", "given" : "Herbert", "non-dropping-particle" : "", "parse-names" : false, "suffix" : "" } ], "container-title" : "Journal of Pharmaceutical Sciences", "id" : "ITEM-2", "issue" : "7", "issued" : { "date-parts" : [ [ "1965", "7" ] ] }, "page" : "1068", "publisher" : "Wiley Subscription Services, Inc., A Wiley Company", "title" : "Improved holder for intrinsic dissolution rate studies", "type" : "article-journal", "volume" : "54" }, "uris" : [ "http://www.mendeley.com/documents/?uuid=7f21ddb5-90ca-4d02-9fc5-919ff4eed20c", "http://www.mendeley.com/documents/?uuid=39e7a274-bf85-4a43-987a-acafba84d87a", "http://www.mendeley.com/documents/?uuid=a1aafa10-34ba-45db-a20f-8c9abd9c4a83" ] } ], "mendeley" : { "formattedCitation" : "(Hendriksen, 1991; Wood et al., 1965)", "plainTextFormattedCitation" : "(Hendriksen, 1991; Wood et al., 1965)", "previouslyFormattedCitation" : "(Hendriksen, 1991; Wood et al., 1965)" }, "properties" : {  }, "schema" : "https://github.com/citation-style-language/schema/raw/master/csl-citation.json" }</w:instrText>
      </w:r>
      <w:r w:rsidR="00D414C3" w:rsidRPr="008C2309">
        <w:rPr>
          <w:rFonts w:ascii="Times" w:hAnsi="Times" w:cstheme="minorHAnsi"/>
          <w:color w:val="000000" w:themeColor="text1"/>
          <w:lang w:val="en-IE"/>
        </w:rPr>
        <w:fldChar w:fldCharType="separate"/>
      </w:r>
      <w:r w:rsidR="00B33BE2" w:rsidRPr="008C2309">
        <w:rPr>
          <w:rFonts w:ascii="Times" w:hAnsi="Times" w:cstheme="minorHAnsi"/>
          <w:noProof/>
          <w:color w:val="000000" w:themeColor="text1"/>
          <w:lang w:val="en-IE"/>
        </w:rPr>
        <w:t>(Hendriksen, 1991; Wood et al., 1965)</w:t>
      </w:r>
      <w:r w:rsidR="00D414C3" w:rsidRPr="008C2309">
        <w:rPr>
          <w:rFonts w:ascii="Times" w:hAnsi="Times" w:cstheme="minorHAnsi"/>
          <w:color w:val="000000" w:themeColor="text1"/>
          <w:lang w:val="en-IE"/>
        </w:rPr>
        <w:fldChar w:fldCharType="end"/>
      </w:r>
      <w:r w:rsidRPr="008C2309">
        <w:rPr>
          <w:rFonts w:ascii="Times" w:hAnsi="Times" w:cstheme="minorHAnsi"/>
          <w:color w:val="000000" w:themeColor="text1"/>
          <w:lang w:val="en-IE"/>
        </w:rPr>
        <w:t xml:space="preserve">. </w:t>
      </w:r>
    </w:p>
    <w:p w14:paraId="40AFAD12" w14:textId="4ED3D5DF" w:rsidR="00CA740E" w:rsidRPr="008C2309" w:rsidRDefault="00D57B84" w:rsidP="00CA740E">
      <w:pPr>
        <w:spacing w:line="480" w:lineRule="auto"/>
        <w:jc w:val="both"/>
        <w:rPr>
          <w:rFonts w:ascii="Times" w:hAnsi="Times" w:cstheme="minorHAnsi"/>
          <w:color w:val="000000" w:themeColor="text1"/>
          <w:lang w:val="en-IE"/>
        </w:rPr>
      </w:pPr>
      <w:r w:rsidRPr="008C2309">
        <w:rPr>
          <w:rFonts w:ascii="Times" w:hAnsi="Times" w:cstheme="minorHAnsi"/>
          <w:color w:val="000000" w:themeColor="text1"/>
          <w:lang w:val="en-IE"/>
        </w:rPr>
        <w:lastRenderedPageBreak/>
        <w:t xml:space="preserve">The intrinsic dissolution studies for the SD and HME formulations were carried out over a </w:t>
      </w:r>
      <w:r w:rsidR="006B5C5D" w:rsidRPr="008C2309">
        <w:rPr>
          <w:rFonts w:ascii="Times" w:hAnsi="Times" w:cstheme="minorHAnsi"/>
          <w:color w:val="000000" w:themeColor="text1"/>
          <w:lang w:val="en-IE"/>
        </w:rPr>
        <w:t>120-minute</w:t>
      </w:r>
      <w:r w:rsidRPr="008C2309">
        <w:rPr>
          <w:rFonts w:ascii="Times" w:hAnsi="Times" w:cstheme="minorHAnsi"/>
          <w:color w:val="000000" w:themeColor="text1"/>
          <w:lang w:val="en-IE"/>
        </w:rPr>
        <w:t xml:space="preserve"> period. The intrinsic dissolution rate was calculated from the slope of the line for the first 30 minutes of the study as this is where a linear response was observed. After 30 minutes, a non-linear response was observed for the release of HCTZ </w:t>
      </w:r>
      <w:r w:rsidR="00910F50" w:rsidRPr="008C2309">
        <w:rPr>
          <w:rFonts w:ascii="Times" w:hAnsi="Times" w:cstheme="minorHAnsi"/>
          <w:color w:val="000000" w:themeColor="text1"/>
          <w:lang w:val="en-IE"/>
        </w:rPr>
        <w:t xml:space="preserve">from </w:t>
      </w:r>
      <w:r w:rsidRPr="008C2309">
        <w:rPr>
          <w:rFonts w:ascii="Times" w:hAnsi="Times" w:cstheme="minorHAnsi"/>
          <w:color w:val="000000" w:themeColor="text1"/>
          <w:lang w:val="en-IE"/>
        </w:rPr>
        <w:t>SD-F1, SD-F2, HME-F1 and HME-F2</w:t>
      </w:r>
      <w:r w:rsidR="00910F50" w:rsidRPr="008C2309">
        <w:rPr>
          <w:rFonts w:ascii="Times" w:hAnsi="Times" w:cstheme="minorHAnsi"/>
          <w:color w:val="000000" w:themeColor="text1"/>
          <w:lang w:val="en-IE"/>
        </w:rPr>
        <w:t>,</w:t>
      </w:r>
      <w:r w:rsidRPr="008C2309">
        <w:rPr>
          <w:rFonts w:ascii="Times" w:hAnsi="Times" w:cstheme="minorHAnsi"/>
          <w:color w:val="000000" w:themeColor="text1"/>
          <w:lang w:val="en-IE"/>
        </w:rPr>
        <w:t xml:space="preserve"> possibly due to the recrystallization of HCTZ in-situ. RAM continued to display linear release profiles up to 120</w:t>
      </w:r>
      <w:r w:rsidR="00910F50" w:rsidRPr="008C2309">
        <w:rPr>
          <w:rFonts w:ascii="Times" w:hAnsi="Times" w:cstheme="minorHAnsi"/>
          <w:color w:val="000000" w:themeColor="text1"/>
          <w:lang w:val="en-IE"/>
        </w:rPr>
        <w:t xml:space="preserve"> </w:t>
      </w:r>
      <w:r w:rsidRPr="008C2309">
        <w:rPr>
          <w:rFonts w:ascii="Times" w:hAnsi="Times" w:cstheme="minorHAnsi"/>
          <w:color w:val="000000" w:themeColor="text1"/>
          <w:lang w:val="en-IE"/>
        </w:rPr>
        <w:t>min</w:t>
      </w:r>
      <w:r w:rsidR="000607CE" w:rsidRPr="008C2309">
        <w:rPr>
          <w:rFonts w:ascii="Times" w:hAnsi="Times" w:cstheme="minorHAnsi"/>
          <w:color w:val="000000" w:themeColor="text1"/>
          <w:lang w:val="en-IE"/>
        </w:rPr>
        <w:t>utes</w:t>
      </w:r>
      <w:r w:rsidR="000133A3" w:rsidRPr="008C2309">
        <w:rPr>
          <w:rFonts w:ascii="Times" w:hAnsi="Times" w:cstheme="minorHAnsi"/>
          <w:color w:val="000000" w:themeColor="text1"/>
          <w:lang w:val="en-IE"/>
        </w:rPr>
        <w:t xml:space="preserve"> (data not shown)</w:t>
      </w:r>
      <w:r w:rsidRPr="008C2309">
        <w:rPr>
          <w:rFonts w:ascii="Times" w:hAnsi="Times" w:cstheme="minorHAnsi"/>
          <w:color w:val="000000" w:themeColor="text1"/>
          <w:lang w:val="en-IE"/>
        </w:rPr>
        <w:t>.</w:t>
      </w:r>
      <w:r w:rsidR="004C6616" w:rsidRPr="008C2309">
        <w:rPr>
          <w:rFonts w:ascii="Times" w:hAnsi="Times" w:cstheme="minorHAnsi"/>
          <w:color w:val="000000" w:themeColor="text1"/>
          <w:lang w:val="en-IE"/>
        </w:rPr>
        <w:t xml:space="preserve"> </w:t>
      </w:r>
      <w:r w:rsidR="00CA740E" w:rsidRPr="008C2309">
        <w:rPr>
          <w:rFonts w:ascii="Times" w:hAnsi="Times" w:cstheme="minorHAnsi"/>
          <w:color w:val="000000" w:themeColor="text1"/>
          <w:lang w:val="en-IE"/>
        </w:rPr>
        <w:t>The Wood’s apparatus experiments were repeated for the SD particles and surface scrapings of the pellets were taken at 10 min</w:t>
      </w:r>
      <w:r w:rsidR="000607CE" w:rsidRPr="008C2309">
        <w:rPr>
          <w:rFonts w:ascii="Times" w:hAnsi="Times" w:cstheme="minorHAnsi"/>
          <w:color w:val="000000" w:themeColor="text1"/>
          <w:lang w:val="en-IE"/>
        </w:rPr>
        <w:t>ute</w:t>
      </w:r>
      <w:r w:rsidR="00CA740E" w:rsidRPr="008C2309">
        <w:rPr>
          <w:rFonts w:ascii="Times" w:hAnsi="Times" w:cstheme="minorHAnsi"/>
          <w:color w:val="000000" w:themeColor="text1"/>
          <w:lang w:val="en-IE"/>
        </w:rPr>
        <w:t xml:space="preserve"> tim</w:t>
      </w:r>
      <w:r w:rsidR="00926BEE" w:rsidRPr="008C2309">
        <w:rPr>
          <w:rFonts w:ascii="Times" w:hAnsi="Times" w:cstheme="minorHAnsi"/>
          <w:color w:val="000000" w:themeColor="text1"/>
          <w:lang w:val="en-IE"/>
        </w:rPr>
        <w:t>e point</w:t>
      </w:r>
      <w:r w:rsidR="000607CE" w:rsidRPr="008C2309">
        <w:rPr>
          <w:rFonts w:ascii="Times" w:hAnsi="Times" w:cstheme="minorHAnsi"/>
          <w:color w:val="000000" w:themeColor="text1"/>
          <w:lang w:val="en-IE"/>
        </w:rPr>
        <w:t xml:space="preserve"> intervals up to 30 minutes</w:t>
      </w:r>
      <w:r w:rsidR="00CA740E" w:rsidRPr="008C2309">
        <w:rPr>
          <w:rFonts w:ascii="Times" w:hAnsi="Times" w:cstheme="minorHAnsi"/>
          <w:color w:val="000000" w:themeColor="text1"/>
          <w:lang w:val="en-IE"/>
        </w:rPr>
        <w:t xml:space="preserve"> to </w:t>
      </w:r>
      <w:r w:rsidR="005250A0" w:rsidRPr="008C2309">
        <w:rPr>
          <w:rFonts w:ascii="Times" w:hAnsi="Times" w:cstheme="minorHAnsi"/>
          <w:color w:val="000000" w:themeColor="text1"/>
          <w:lang w:val="en-IE"/>
        </w:rPr>
        <w:t xml:space="preserve">test for any </w:t>
      </w:r>
      <w:r w:rsidR="003C6F71" w:rsidRPr="008C2309">
        <w:rPr>
          <w:rFonts w:ascii="Times" w:hAnsi="Times" w:cstheme="minorHAnsi"/>
          <w:color w:val="000000" w:themeColor="text1"/>
          <w:lang w:val="en-IE"/>
        </w:rPr>
        <w:t>recrystallisation at the pellet</w:t>
      </w:r>
      <w:r w:rsidR="005250A0" w:rsidRPr="008C2309">
        <w:rPr>
          <w:rFonts w:ascii="Times" w:hAnsi="Times" w:cstheme="minorHAnsi"/>
          <w:color w:val="000000" w:themeColor="text1"/>
          <w:lang w:val="en-IE"/>
        </w:rPr>
        <w:t xml:space="preserve"> surface </w:t>
      </w:r>
      <w:r w:rsidR="003C6F71" w:rsidRPr="008C2309">
        <w:rPr>
          <w:rFonts w:ascii="Times" w:hAnsi="Times" w:cstheme="minorHAnsi"/>
          <w:color w:val="000000" w:themeColor="text1"/>
          <w:lang w:val="en-IE"/>
        </w:rPr>
        <w:t xml:space="preserve">which may </w:t>
      </w:r>
      <w:r w:rsidR="00F87321" w:rsidRPr="008C2309">
        <w:rPr>
          <w:rFonts w:ascii="Times" w:hAnsi="Times" w:cstheme="minorHAnsi"/>
          <w:color w:val="000000" w:themeColor="text1"/>
          <w:lang w:val="en-IE"/>
        </w:rPr>
        <w:t>influence</w:t>
      </w:r>
      <w:r w:rsidR="00CB7978" w:rsidRPr="008C2309">
        <w:rPr>
          <w:rFonts w:ascii="Times" w:hAnsi="Times" w:cstheme="minorHAnsi"/>
          <w:color w:val="000000" w:themeColor="text1"/>
          <w:lang w:val="en-IE"/>
        </w:rPr>
        <w:t xml:space="preserve"> the rate of release</w:t>
      </w:r>
      <w:r w:rsidR="00CA740E" w:rsidRPr="008C2309">
        <w:rPr>
          <w:rFonts w:ascii="Times" w:hAnsi="Times" w:cstheme="minorHAnsi"/>
          <w:color w:val="000000" w:themeColor="text1"/>
          <w:lang w:val="en-IE"/>
        </w:rPr>
        <w:t xml:space="preserve">. </w:t>
      </w:r>
      <w:r w:rsidR="00597B71" w:rsidRPr="008C2309">
        <w:rPr>
          <w:rFonts w:ascii="Times" w:hAnsi="Times" w:cstheme="minorHAnsi"/>
          <w:color w:val="000000" w:themeColor="text1"/>
          <w:lang w:val="en-IE"/>
        </w:rPr>
        <w:t>A</w:t>
      </w:r>
      <w:r w:rsidR="00CA740E" w:rsidRPr="008C2309">
        <w:rPr>
          <w:rFonts w:ascii="Times" w:hAnsi="Times" w:cstheme="minorHAnsi"/>
          <w:color w:val="000000" w:themeColor="text1"/>
          <w:lang w:val="en-IE"/>
        </w:rPr>
        <w:t>ll SD pellets</w:t>
      </w:r>
      <w:r w:rsidR="00597B71" w:rsidRPr="008C2309">
        <w:rPr>
          <w:rFonts w:ascii="Times" w:hAnsi="Times" w:cstheme="minorHAnsi"/>
          <w:color w:val="000000" w:themeColor="text1"/>
          <w:lang w:val="en-IE"/>
        </w:rPr>
        <w:t xml:space="preserve"> surfaces</w:t>
      </w:r>
      <w:r w:rsidR="00CA740E" w:rsidRPr="008C2309">
        <w:rPr>
          <w:rFonts w:ascii="Times" w:hAnsi="Times" w:cstheme="minorHAnsi"/>
          <w:color w:val="000000" w:themeColor="text1"/>
          <w:lang w:val="en-IE"/>
        </w:rPr>
        <w:t xml:space="preserve"> remained fully XRD amorphous up to </w:t>
      </w:r>
      <w:r w:rsidR="000607CE" w:rsidRPr="008C2309">
        <w:rPr>
          <w:rFonts w:ascii="Times" w:hAnsi="Times" w:cstheme="minorHAnsi"/>
          <w:color w:val="000000" w:themeColor="text1"/>
          <w:lang w:val="en-IE"/>
        </w:rPr>
        <w:t>the 30 minute time point</w:t>
      </w:r>
      <w:r w:rsidR="00597B71" w:rsidRPr="008C2309">
        <w:rPr>
          <w:rFonts w:ascii="Times" w:hAnsi="Times" w:cstheme="minorHAnsi"/>
          <w:color w:val="000000" w:themeColor="text1"/>
          <w:lang w:val="en-IE"/>
        </w:rPr>
        <w:t xml:space="preserve"> (</w:t>
      </w:r>
      <w:r w:rsidR="001007EC" w:rsidRPr="008C2309">
        <w:rPr>
          <w:rFonts w:ascii="Times" w:hAnsi="Times" w:cstheme="minorHAnsi"/>
          <w:color w:val="000000" w:themeColor="text1"/>
        </w:rPr>
        <w:t xml:space="preserve">Supplemental Figure S </w:t>
      </w:r>
      <w:r w:rsidR="00AF1FF4" w:rsidRPr="008C2309">
        <w:rPr>
          <w:rFonts w:ascii="Times" w:hAnsi="Times" w:cstheme="minorHAnsi"/>
          <w:color w:val="000000" w:themeColor="text1"/>
        </w:rPr>
        <w:t>8)</w:t>
      </w:r>
      <w:r w:rsidR="00CA740E" w:rsidRPr="008C2309">
        <w:rPr>
          <w:rFonts w:ascii="Times" w:hAnsi="Times" w:cstheme="minorHAnsi"/>
          <w:color w:val="000000" w:themeColor="text1"/>
          <w:lang w:val="en-IE"/>
        </w:rPr>
        <w:t>.</w:t>
      </w:r>
    </w:p>
    <w:p w14:paraId="68190157" w14:textId="707C21B8" w:rsidR="006122DF" w:rsidRPr="008C2309" w:rsidRDefault="00382BEB" w:rsidP="00E41DED">
      <w:pPr>
        <w:spacing w:line="480" w:lineRule="auto"/>
        <w:jc w:val="both"/>
        <w:rPr>
          <w:rFonts w:ascii="Times" w:hAnsi="Times" w:cstheme="minorHAnsi"/>
          <w:color w:val="000000" w:themeColor="text1"/>
        </w:rPr>
      </w:pPr>
      <w:r w:rsidRPr="008C2309">
        <w:rPr>
          <w:rFonts w:ascii="Times" w:hAnsi="Times" w:cstheme="minorHAnsi"/>
          <w:color w:val="000000" w:themeColor="text1"/>
          <w:lang w:val="en-IE"/>
        </w:rPr>
        <w:t xml:space="preserve">It </w:t>
      </w:r>
      <w:r w:rsidR="00EC19AE" w:rsidRPr="008C2309">
        <w:rPr>
          <w:rFonts w:ascii="Times" w:hAnsi="Times" w:cstheme="minorHAnsi"/>
          <w:color w:val="000000" w:themeColor="text1"/>
          <w:lang w:val="en-IE"/>
        </w:rPr>
        <w:t xml:space="preserve">can </w:t>
      </w:r>
      <w:r w:rsidRPr="008C2309">
        <w:rPr>
          <w:rFonts w:ascii="Times" w:hAnsi="Times" w:cstheme="minorHAnsi"/>
          <w:color w:val="000000" w:themeColor="text1"/>
          <w:lang w:val="en-IE"/>
        </w:rPr>
        <w:t xml:space="preserve">be </w:t>
      </w:r>
      <w:r w:rsidR="00EC19AE" w:rsidRPr="008C2309">
        <w:rPr>
          <w:rFonts w:ascii="Times" w:hAnsi="Times" w:cstheme="minorHAnsi"/>
          <w:color w:val="000000" w:themeColor="text1"/>
          <w:lang w:val="en-IE"/>
        </w:rPr>
        <w:t>see</w:t>
      </w:r>
      <w:r w:rsidRPr="008C2309">
        <w:rPr>
          <w:rFonts w:ascii="Times" w:hAnsi="Times" w:cstheme="minorHAnsi"/>
          <w:color w:val="000000" w:themeColor="text1"/>
          <w:lang w:val="en-IE"/>
        </w:rPr>
        <w:t>n</w:t>
      </w:r>
      <w:r w:rsidR="00EC19AE" w:rsidRPr="008C2309">
        <w:rPr>
          <w:rFonts w:ascii="Times" w:hAnsi="Times" w:cstheme="minorHAnsi"/>
          <w:color w:val="000000" w:themeColor="text1"/>
          <w:lang w:val="en-IE"/>
        </w:rPr>
        <w:t xml:space="preserve"> from the intrinsic dissolution results</w:t>
      </w:r>
      <w:r w:rsidR="00C55EB3" w:rsidRPr="008C2309">
        <w:rPr>
          <w:rFonts w:ascii="Times" w:hAnsi="Times" w:cstheme="minorHAnsi"/>
          <w:color w:val="000000" w:themeColor="text1"/>
          <w:lang w:val="en-IE"/>
        </w:rPr>
        <w:t xml:space="preserve"> (Figure </w:t>
      </w:r>
      <w:r w:rsidR="001227E8" w:rsidRPr="008C2309">
        <w:rPr>
          <w:rFonts w:ascii="Times" w:hAnsi="Times" w:cstheme="minorHAnsi"/>
          <w:color w:val="000000" w:themeColor="text1"/>
          <w:lang w:val="en-IE"/>
        </w:rPr>
        <w:t>9</w:t>
      </w:r>
      <w:r w:rsidR="00C55EB3" w:rsidRPr="008C2309">
        <w:rPr>
          <w:rFonts w:ascii="Times" w:hAnsi="Times" w:cstheme="minorHAnsi"/>
          <w:color w:val="000000" w:themeColor="text1"/>
          <w:lang w:val="en-IE"/>
        </w:rPr>
        <w:t xml:space="preserve"> and Figure 1</w:t>
      </w:r>
      <w:r w:rsidR="001227E8" w:rsidRPr="008C2309">
        <w:rPr>
          <w:rFonts w:ascii="Times" w:hAnsi="Times" w:cstheme="minorHAnsi"/>
          <w:color w:val="000000" w:themeColor="text1"/>
          <w:lang w:val="en-IE"/>
        </w:rPr>
        <w:t>0</w:t>
      </w:r>
      <w:r w:rsidR="00595108" w:rsidRPr="008C2309">
        <w:rPr>
          <w:rFonts w:ascii="Times" w:hAnsi="Times" w:cstheme="minorHAnsi"/>
          <w:color w:val="000000" w:themeColor="text1"/>
          <w:lang w:val="en-IE"/>
        </w:rPr>
        <w:t>, Table 5</w:t>
      </w:r>
      <w:r w:rsidR="001A1240" w:rsidRPr="008C2309">
        <w:rPr>
          <w:rFonts w:ascii="Times" w:hAnsi="Times" w:cstheme="minorHAnsi"/>
          <w:color w:val="000000" w:themeColor="text1"/>
          <w:lang w:val="en-IE"/>
        </w:rPr>
        <w:t xml:space="preserve">) that </w:t>
      </w:r>
      <w:r w:rsidR="00EC19AE" w:rsidRPr="008C2309">
        <w:rPr>
          <w:rFonts w:ascii="Times" w:hAnsi="Times" w:cstheme="minorHAnsi"/>
          <w:color w:val="000000" w:themeColor="text1"/>
          <w:lang w:val="en-IE"/>
        </w:rPr>
        <w:t xml:space="preserve">hot melt extrusion formulations </w:t>
      </w:r>
      <w:r w:rsidR="001A1240" w:rsidRPr="008C2309">
        <w:rPr>
          <w:rFonts w:ascii="Times" w:hAnsi="Times" w:cstheme="minorHAnsi"/>
          <w:color w:val="000000" w:themeColor="text1"/>
          <w:lang w:val="en-IE"/>
        </w:rPr>
        <w:t xml:space="preserve">showed </w:t>
      </w:r>
      <w:r w:rsidR="00EC19AE" w:rsidRPr="008C2309">
        <w:rPr>
          <w:rFonts w:ascii="Times" w:hAnsi="Times" w:cstheme="minorHAnsi"/>
          <w:color w:val="000000" w:themeColor="text1"/>
          <w:lang w:val="en-IE"/>
        </w:rPr>
        <w:t>a statistically significant</w:t>
      </w:r>
      <w:r w:rsidR="00D414C3" w:rsidRPr="008C2309">
        <w:rPr>
          <w:rFonts w:ascii="Times" w:hAnsi="Times" w:cstheme="minorHAnsi"/>
          <w:color w:val="000000" w:themeColor="text1"/>
          <w:lang w:val="en-IE"/>
        </w:rPr>
        <w:t>ly</w:t>
      </w:r>
      <w:r w:rsidR="00EC19AE" w:rsidRPr="008C2309">
        <w:rPr>
          <w:rFonts w:ascii="Times" w:hAnsi="Times" w:cstheme="minorHAnsi"/>
          <w:color w:val="000000" w:themeColor="text1"/>
          <w:lang w:val="en-IE"/>
        </w:rPr>
        <w:t xml:space="preserve"> greater</w:t>
      </w:r>
      <w:r w:rsidR="00757CEE" w:rsidRPr="008C2309">
        <w:rPr>
          <w:rFonts w:ascii="Times" w:hAnsi="Times" w:cstheme="minorHAnsi"/>
          <w:color w:val="000000" w:themeColor="text1"/>
          <w:lang w:val="en-IE"/>
        </w:rPr>
        <w:t xml:space="preserve"> dissolution</w:t>
      </w:r>
      <w:r w:rsidR="00EC19AE" w:rsidRPr="008C2309">
        <w:rPr>
          <w:rFonts w:ascii="Times" w:hAnsi="Times" w:cstheme="minorHAnsi"/>
          <w:color w:val="000000" w:themeColor="text1"/>
          <w:lang w:val="en-IE"/>
        </w:rPr>
        <w:t xml:space="preserve"> release </w:t>
      </w:r>
      <w:r w:rsidR="00B01408" w:rsidRPr="008C2309">
        <w:rPr>
          <w:rFonts w:ascii="Times" w:hAnsi="Times" w:cstheme="minorHAnsi"/>
          <w:color w:val="000000" w:themeColor="text1"/>
          <w:lang w:val="en-IE"/>
        </w:rPr>
        <w:t xml:space="preserve">rate </w:t>
      </w:r>
      <w:r w:rsidR="00EC19AE" w:rsidRPr="008C2309">
        <w:rPr>
          <w:rFonts w:ascii="Times" w:hAnsi="Times" w:cstheme="minorHAnsi"/>
          <w:color w:val="000000" w:themeColor="text1"/>
          <w:lang w:val="en-IE"/>
        </w:rPr>
        <w:t>for F1 and F2 for both HCTZ and RAM</w:t>
      </w:r>
      <w:r w:rsidR="003E3DCA" w:rsidRPr="008C2309">
        <w:rPr>
          <w:rFonts w:ascii="Times" w:hAnsi="Times" w:cstheme="minorHAnsi"/>
          <w:color w:val="000000" w:themeColor="text1"/>
          <w:lang w:val="en-IE"/>
        </w:rPr>
        <w:t xml:space="preserve"> from the compressed discs</w:t>
      </w:r>
      <w:r w:rsidR="00EC19AE" w:rsidRPr="008C2309">
        <w:rPr>
          <w:rFonts w:ascii="Times" w:hAnsi="Times" w:cstheme="minorHAnsi"/>
          <w:color w:val="000000" w:themeColor="text1"/>
          <w:lang w:val="en-IE"/>
        </w:rPr>
        <w:t xml:space="preserve">. We were unable to establish any release profiles for F3 from either SD or HME products. The lack of drug release from SD-F3 and HME-F3 </w:t>
      </w:r>
      <w:r w:rsidR="000133A3" w:rsidRPr="008C2309">
        <w:rPr>
          <w:rFonts w:ascii="Times" w:hAnsi="Times" w:cstheme="minorHAnsi"/>
          <w:color w:val="000000" w:themeColor="text1"/>
          <w:lang w:val="en-IE"/>
        </w:rPr>
        <w:t>can be attributed to Soluplus</w:t>
      </w:r>
      <w:r w:rsidR="000133A3" w:rsidRPr="008C2309">
        <w:rPr>
          <w:vertAlign w:val="superscript"/>
        </w:rPr>
        <w:t>®</w:t>
      </w:r>
      <w:r w:rsidR="000E1DD2" w:rsidRPr="008C2309">
        <w:rPr>
          <w:rFonts w:ascii="Times" w:hAnsi="Times" w:cstheme="minorHAnsi"/>
          <w:color w:val="000000" w:themeColor="text1"/>
        </w:rPr>
        <w:t>.</w:t>
      </w:r>
      <w:r w:rsidR="007D1DAC" w:rsidRPr="008C2309">
        <w:rPr>
          <w:rFonts w:ascii="Times" w:hAnsi="Times" w:cstheme="minorHAnsi"/>
          <w:color w:val="000000" w:themeColor="text1"/>
        </w:rPr>
        <w:t xml:space="preserve"> Soluplus</w:t>
      </w:r>
      <w:r w:rsidR="000133A3" w:rsidRPr="008C2309">
        <w:rPr>
          <w:vertAlign w:val="superscript"/>
        </w:rPr>
        <w:t>®</w:t>
      </w:r>
      <w:r w:rsidR="00B6344E" w:rsidRPr="008C2309">
        <w:rPr>
          <w:rFonts w:ascii="Times" w:hAnsi="Times" w:cstheme="minorHAnsi"/>
          <w:color w:val="000000" w:themeColor="text1"/>
        </w:rPr>
        <w:t>,</w:t>
      </w:r>
      <w:r w:rsidR="007D1DAC" w:rsidRPr="008C2309">
        <w:rPr>
          <w:rFonts w:ascii="Times" w:hAnsi="Times" w:cstheme="minorHAnsi"/>
          <w:color w:val="000000" w:themeColor="text1"/>
        </w:rPr>
        <w:t xml:space="preserve"> </w:t>
      </w:r>
      <w:r w:rsidR="00B6344E" w:rsidRPr="008C2309">
        <w:rPr>
          <w:rFonts w:ascii="Times" w:hAnsi="Times" w:cstheme="minorHAnsi"/>
          <w:color w:val="000000" w:themeColor="text1"/>
        </w:rPr>
        <w:t xml:space="preserve">which was used </w:t>
      </w:r>
      <w:r w:rsidR="00490D15" w:rsidRPr="008C2309">
        <w:rPr>
          <w:rFonts w:ascii="Times" w:hAnsi="Times" w:cstheme="minorHAnsi"/>
          <w:color w:val="000000" w:themeColor="text1"/>
        </w:rPr>
        <w:t>in</w:t>
      </w:r>
      <w:r w:rsidR="00B6344E" w:rsidRPr="008C2309">
        <w:rPr>
          <w:rFonts w:ascii="Times" w:hAnsi="Times" w:cstheme="minorHAnsi"/>
          <w:color w:val="000000" w:themeColor="text1"/>
        </w:rPr>
        <w:t xml:space="preserve"> the manufacture of F3, </w:t>
      </w:r>
      <w:r w:rsidR="007D1DAC" w:rsidRPr="008C2309">
        <w:rPr>
          <w:rFonts w:ascii="Times" w:hAnsi="Times" w:cstheme="minorHAnsi"/>
          <w:color w:val="000000" w:themeColor="text1"/>
        </w:rPr>
        <w:t xml:space="preserve">is comprised of three different </w:t>
      </w:r>
      <w:r w:rsidR="00B06827" w:rsidRPr="008C2309">
        <w:rPr>
          <w:rFonts w:ascii="Times" w:hAnsi="Times" w:cstheme="minorHAnsi"/>
          <w:color w:val="000000" w:themeColor="text1"/>
        </w:rPr>
        <w:t>monomer</w:t>
      </w:r>
      <w:r w:rsidR="007D1DAC" w:rsidRPr="008C2309">
        <w:rPr>
          <w:rFonts w:ascii="Times" w:hAnsi="Times" w:cstheme="minorHAnsi"/>
          <w:color w:val="000000" w:themeColor="text1"/>
        </w:rPr>
        <w:t xml:space="preserve"> components, namely, polyvinyl caprolactam, polyvinyl acetate and polyethylene glycol</w:t>
      </w:r>
      <w:r w:rsidR="009528CA" w:rsidRPr="008C2309">
        <w:rPr>
          <w:rFonts w:ascii="Times" w:hAnsi="Times" w:cstheme="minorHAnsi"/>
          <w:color w:val="000000" w:themeColor="text1"/>
        </w:rPr>
        <w:t xml:space="preserve"> </w:t>
      </w:r>
      <w:r w:rsidR="00217C03"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"ISBN" : "9783000394157", "author" : [ { "dropping-particle" : "", "family" : "Kolter", "given" : "K.", "non-dropping-particle" : "", "parse-names" : false, "suffix" : "" }, { "dropping-particle" : "", "family" : "Karl", "given" : "Matthias", "non-dropping-particle" : "", "parse-names" : false, "suffix" : "" }, { "dropping-particle" : "", "family" : "Gryczke", "given" : "Andreas", "non-dropping-particle" : "", "parse-names" : false, "suffix" : "" } ], "container-title" : "Hot-Melt Extrusion with BASF Pharma Polymers", "id" : "ITEM-1", "issued" : { "date-parts" : [ [ "2012" ] ] }, "number-of-pages" : "1-201", "title" : "Hot-Melt Extrusion with BASF Pharma Polymers", "type" : "book" }, "uris" : [ "http://www.mendeley.com/documents/?uuid=e20df25c-2a49-4a75-8207-07736bdab38b", "http://www.mendeley.com/documents/?uuid=07ae116f-7eda-4dc8-84d4-2901e3e7e6cc" ] } ], "mendeley" : { "formattedCitation" : "(Kolter et al., 2012)", "plainTextFormattedCitation" : "(Kolter et al., 2012)", "previouslyFormattedCitation" : "(Kolter et al., 2012)" }, "properties" : {  }, "schema" : "https://github.com/citation-style-language/schema/raw/master/csl-citation.json" }</w:instrText>
      </w:r>
      <w:r w:rsidR="00217C03"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(Kolter et al., 2012)</w:t>
      </w:r>
      <w:r w:rsidR="00217C03" w:rsidRPr="008C2309">
        <w:rPr>
          <w:rFonts w:ascii="Times" w:hAnsi="Times" w:cstheme="minorHAnsi"/>
          <w:color w:val="000000" w:themeColor="text1"/>
        </w:rPr>
        <w:fldChar w:fldCharType="end"/>
      </w:r>
      <w:r w:rsidR="007D1DAC" w:rsidRPr="008C2309">
        <w:rPr>
          <w:rFonts w:ascii="Times" w:hAnsi="Times" w:cstheme="minorHAnsi"/>
          <w:color w:val="000000" w:themeColor="text1"/>
        </w:rPr>
        <w:t xml:space="preserve">. </w:t>
      </w:r>
      <w:r w:rsidR="00414653" w:rsidRPr="008C2309">
        <w:rPr>
          <w:rFonts w:ascii="Times" w:hAnsi="Times" w:cstheme="minorHAnsi"/>
          <w:color w:val="000000" w:themeColor="text1"/>
        </w:rPr>
        <w:t xml:space="preserve">It should be noted </w:t>
      </w:r>
      <w:r w:rsidR="00E36600" w:rsidRPr="008C2309">
        <w:rPr>
          <w:rFonts w:ascii="Times" w:hAnsi="Times" w:cstheme="minorHAnsi"/>
          <w:color w:val="000000" w:themeColor="text1"/>
        </w:rPr>
        <w:t xml:space="preserve">that </w:t>
      </w:r>
      <w:r w:rsidR="007D1DAC" w:rsidRPr="008C2309">
        <w:rPr>
          <w:rFonts w:ascii="Times" w:hAnsi="Times" w:cstheme="minorHAnsi"/>
          <w:color w:val="000000" w:themeColor="text1"/>
        </w:rPr>
        <w:t>Soluplus</w:t>
      </w:r>
      <w:r w:rsidR="000133A3" w:rsidRPr="008C2309">
        <w:rPr>
          <w:vertAlign w:val="superscript"/>
        </w:rPr>
        <w:t>®</w:t>
      </w:r>
      <w:r w:rsidR="007D1DAC" w:rsidRPr="008C2309">
        <w:rPr>
          <w:rFonts w:ascii="Times" w:hAnsi="Times" w:cstheme="minorHAnsi"/>
          <w:color w:val="000000" w:themeColor="text1"/>
        </w:rPr>
        <w:t xml:space="preserve"> has been previously shown to be soluble </w:t>
      </w:r>
      <w:r w:rsidR="00EC19AE" w:rsidRPr="008C2309">
        <w:rPr>
          <w:rFonts w:ascii="Times" w:hAnsi="Times" w:cstheme="minorHAnsi"/>
          <w:color w:val="000000" w:themeColor="text1"/>
        </w:rPr>
        <w:t>at pH 1.2</w:t>
      </w:r>
      <w:r w:rsidR="009528CA" w:rsidRPr="008C2309">
        <w:rPr>
          <w:rFonts w:ascii="Times" w:hAnsi="Times" w:cstheme="minorHAnsi"/>
          <w:color w:val="000000" w:themeColor="text1"/>
        </w:rPr>
        <w:t xml:space="preserve"> </w:t>
      </w:r>
      <w:r w:rsidR="00EC19AE"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"10.1016/j.jconrel.2015.06.004", "ISBN" : "1873-4995 (Electronic)\\r0168-3659 (Linking)", "ISSN" : "18734995", "PMID" : "26054795", "abstract" : "The objective of the current study is to mechanistically differentiate the dissolution and supersaturation behaviors of amorphous drugs from amorphous solid dispersions (ASDs) based on medium-soluble versus medium-insoluble carriers under nonsink dissolution conditions through a direct head-to-head comparison. ASDs of indomethacin (IND) were prepared in several polymers which exhibit different solubility behaviors in acidic (pH 1.2) and basic (pH 7.4) dissolution media. The selected polymers range from water-soluble (e.g., PVP and Soluplus) and water-insoluble (e.g., ethylcellulose and Eudragit RL PO) to those only soluble in an acidic or basic dissolution medium (e.g., Eudragit E100, Eudragit L100, and HPMCAS). At 20 wt.% drug loading, DSC and powder XRD analysis confirmed that the majority of incorporated IND was present in an amorphous state. Our nonsink dissolution results confirm that whether the carrier matrix is medium soluble determines the release mechanism of amorphous drugs from ASD systems which has a direct impact on the rate of supersaturation generation, thus in turn affecting the evolution of supersaturation in amorphous systems. For example, under nonsink dissolution conditions, the release of amorphous IND from medium-soluble carriers is governed by a dissolution-controlled mechanism leading to an initial surge of supersaturation followed by a sharp decline in drug concentration due to rapid nucleation and crystallization. In contrast, the dissolution of IND ASD from medium-insoluble carriers is more gradual as drug release is regulated by a diffusion-controlled mechanism by which drug supersaturation is built up gradually and sustained over an extended period of time without any apparent decline. Since several tested carrier polymers can be switched from soluble to insoluble by simply changing the pH of the dissolution medium, the results obtained here provide unequivocal evidence of the proposed transition of kinetic solubility profiles from the same ASD system induced by changes in the drug release mechanism in dissolution medium of a different pH.", "author" : [ { "dropping-particle" : "", "family" : "Sun", "given" : "Dajun D.", "non-dropping-particle" : "", "parse-names" : false, "suffix" : "" }, { "dropping-particle" : "", "family" : "Lee", "given" : "Ping I.", "non-dropping-particle" : "", "parse-names" : false, "suffix" : "" } ], "container-title" : "Journal of Controlled Release", "id" : "ITEM-1", "issued" : { "date-parts" : [ [ "2015" ] ] }, "page" : "85-93", "publisher" : "Elsevier B.V.", "title" : "Probing the mechanisms of drug release from amorphous solid dispersions in medium-soluble and medium-insoluble carriers", "type" : "article-journal", "volume" : "211" }, "uris" : [ "http://www.mendeley.com/documents/?uuid=a014dff6-e56f-40e9-821c-7da0a8684186", "http://www.mendeley.com/documents/?uuid=1d580df6-a395-4866-a4d5-4f861fdf0558" ] } ], "mendeley" : { "formattedCitation" : "(Sun and Lee, 2015)", "plainTextFormattedCitation" : "(Sun and Lee, 2015)", "previouslyFormattedCitation" : "(Sun and Lee, 2015)" }, "properties" : {  }, "schema" : "https://github.com/citation-style-language/schema/raw/master/csl-citation.json" }</w:instrText>
      </w:r>
      <w:r w:rsidR="00EC19AE"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(Sun and Lee, 2015)</w:t>
      </w:r>
      <w:r w:rsidR="00EC19AE" w:rsidRPr="008C2309">
        <w:rPr>
          <w:rFonts w:ascii="Times" w:hAnsi="Times" w:cstheme="minorHAnsi"/>
          <w:color w:val="000000" w:themeColor="text1"/>
        </w:rPr>
        <w:fldChar w:fldCharType="end"/>
      </w:r>
      <w:r w:rsidR="00E36600" w:rsidRPr="008C2309">
        <w:rPr>
          <w:rStyle w:val="CommentReference"/>
          <w:rFonts w:ascii="Times" w:hAnsi="Times" w:cstheme="minorHAnsi"/>
          <w:lang w:eastAsia="en-US"/>
        </w:rPr>
        <w:t xml:space="preserve">, </w:t>
      </w:r>
      <w:r w:rsidR="00414653" w:rsidRPr="008C2309">
        <w:rPr>
          <w:rFonts w:ascii="Times" w:hAnsi="Times" w:cstheme="minorHAnsi"/>
          <w:color w:val="000000" w:themeColor="text1"/>
        </w:rPr>
        <w:t>however, one component monomer,</w:t>
      </w:r>
      <w:r w:rsidR="00EC19AE" w:rsidRPr="008C2309">
        <w:rPr>
          <w:rFonts w:ascii="Times" w:hAnsi="Times" w:cstheme="minorHAnsi"/>
          <w:color w:val="000000" w:themeColor="text1"/>
        </w:rPr>
        <w:t xml:space="preserve"> polyvinyl caprolactam</w:t>
      </w:r>
      <w:r w:rsidR="00414653" w:rsidRPr="008C2309">
        <w:rPr>
          <w:rFonts w:ascii="Times" w:hAnsi="Times" w:cstheme="minorHAnsi"/>
          <w:color w:val="000000" w:themeColor="text1"/>
        </w:rPr>
        <w:t>, which</w:t>
      </w:r>
      <w:r w:rsidR="00EC19AE" w:rsidRPr="008C2309">
        <w:rPr>
          <w:rFonts w:ascii="Times" w:hAnsi="Times" w:cstheme="minorHAnsi"/>
          <w:color w:val="000000" w:themeColor="text1"/>
        </w:rPr>
        <w:t xml:space="preserve"> is soluble in cold water</w:t>
      </w:r>
      <w:r w:rsidR="001A1240" w:rsidRPr="008C2309">
        <w:rPr>
          <w:rFonts w:ascii="Times" w:hAnsi="Times" w:cstheme="minorHAnsi"/>
          <w:color w:val="000000" w:themeColor="text1"/>
        </w:rPr>
        <w:t xml:space="preserve">, </w:t>
      </w:r>
      <w:r w:rsidR="00EC19AE" w:rsidRPr="008C2309">
        <w:rPr>
          <w:rFonts w:ascii="Times" w:hAnsi="Times" w:cstheme="minorHAnsi"/>
          <w:color w:val="000000" w:themeColor="text1"/>
        </w:rPr>
        <w:t xml:space="preserve">is no longer water </w:t>
      </w:r>
      <w:r w:rsidR="001A1240" w:rsidRPr="008C2309">
        <w:rPr>
          <w:rFonts w:ascii="Times" w:hAnsi="Times" w:cstheme="minorHAnsi"/>
          <w:color w:val="000000" w:themeColor="text1"/>
        </w:rPr>
        <w:t>soluble above 35 °C</w:t>
      </w:r>
      <w:r w:rsidR="009528CA" w:rsidRPr="008C2309">
        <w:rPr>
          <w:rFonts w:ascii="Times" w:hAnsi="Times" w:cstheme="minorHAnsi"/>
          <w:color w:val="000000" w:themeColor="text1"/>
        </w:rPr>
        <w:t xml:space="preserve"> </w:t>
      </w:r>
      <w:r w:rsidR="00F0638A" w:rsidRPr="008C2309">
        <w:rPr>
          <w:rFonts w:ascii="Times" w:hAnsi="Times" w:cstheme="minorHAnsi"/>
          <w:color w:val="000000" w:themeColor="text1"/>
        </w:rPr>
        <w:fldChar w:fldCharType="begin" w:fldLock="1"/>
      </w:r>
      <w:r w:rsidR="00F0638A" w:rsidRPr="008C2309">
        <w:rPr>
          <w:rFonts w:ascii="Times" w:hAnsi="Times" w:cstheme="minorHAnsi"/>
          <w:color w:val="000000" w:themeColor="text1"/>
        </w:rPr>
        <w:instrText>ADDIN CSL_CITATION { "citationItems" : [ { "id" : "ITEM-1", "itemData" : { "abstract" : "An aqueous solution of poly(N-vinyl-.di-elect cons.-caprolactam) is prepared by polymerizing N-vinyl-.di-elect cons.-caprolactam in an aqueous medium in the presence of a polymerization initiator and from 0.1 to 20% by weight, based on the monomer used, of a water-soluble polymeric protective colloid and is useful as a textile printing adhesive, as a raw material for adhesives, as a lubricant additive, as a cosmetic formulation aid, as a detergent additive and as an opacifier in automatic shading systems.", "author" : [ { "dropping-particle" : "", "family" : "Kroker", "given" : "Jorg", "non-dropping-particle" : "", "parse-names" : false, "suffix" : "" }, { "dropping-particle" : "", "family" : "Schneider", "given" : "Reinhard", "non-dropping-particle" : "", "parse-names" : false, "suffix" : "" }, { "dropping-particle" : "", "family" : "Schupp", "given" : "Eberhard", "non-dropping-particle" : "", "parse-names" : false, "suffix" : "" }, { "dropping-particle" : "", "family" : "Kerber", "given" : "Michael", "non-dropping-particle" : "", "parse-names" : false, "suffix" : "" } ], "id" : "ITEM-1", "issued" : { "date-parts" : [ [ "1995", "9", "19" ] ] }, "title" : "Process for preparing aqueous solutions of poly(N-vinyl-\u03b5-caprolactam) and their use", "type" : "patent" }, "uris" : [ "http://www.mendeley.com/documents/?uuid=a73e441b-ef2f-3e85-89ef-f6ed07d8721e" ] } ], "mendeley" : { "formattedCitation" : "(Kroker et al., 1995)", "plainTextFormattedCitation" : "(Kroker et al., 1995)", "previouslyFormattedCitation" : "(Kroker et al., 1995)" }, "properties" : {  }, "schema" : "https://github.com/citation-style-language/schema/raw/master/csl-citation.json" }</w:instrText>
      </w:r>
      <w:r w:rsidR="00F0638A" w:rsidRPr="008C2309">
        <w:rPr>
          <w:rFonts w:ascii="Times" w:hAnsi="Times" w:cstheme="minorHAnsi"/>
          <w:color w:val="000000" w:themeColor="text1"/>
        </w:rPr>
        <w:fldChar w:fldCharType="separate"/>
      </w:r>
      <w:r w:rsidR="00F0638A" w:rsidRPr="008C2309">
        <w:rPr>
          <w:rFonts w:ascii="Times" w:hAnsi="Times" w:cstheme="minorHAnsi"/>
          <w:noProof/>
          <w:color w:val="000000" w:themeColor="text1"/>
        </w:rPr>
        <w:t>(Kroker et al., 1995)</w:t>
      </w:r>
      <w:r w:rsidR="00F0638A" w:rsidRPr="008C2309">
        <w:rPr>
          <w:rFonts w:ascii="Times" w:hAnsi="Times" w:cstheme="minorHAnsi"/>
          <w:color w:val="000000" w:themeColor="text1"/>
        </w:rPr>
        <w:fldChar w:fldCharType="end"/>
      </w:r>
      <w:r w:rsidR="00414653" w:rsidRPr="008C2309">
        <w:rPr>
          <w:rFonts w:ascii="Times" w:hAnsi="Times" w:cstheme="minorHAnsi"/>
          <w:color w:val="000000" w:themeColor="text1"/>
        </w:rPr>
        <w:t xml:space="preserve"> </w:t>
      </w:r>
      <w:r w:rsidR="00B6344E" w:rsidRPr="008C2309">
        <w:rPr>
          <w:rFonts w:ascii="Times" w:hAnsi="Times" w:cstheme="minorHAnsi"/>
          <w:color w:val="000000" w:themeColor="text1"/>
        </w:rPr>
        <w:t xml:space="preserve">which </w:t>
      </w:r>
      <w:r w:rsidR="00414653" w:rsidRPr="008C2309">
        <w:rPr>
          <w:rFonts w:ascii="Times" w:hAnsi="Times" w:cstheme="minorHAnsi"/>
          <w:color w:val="000000" w:themeColor="text1"/>
        </w:rPr>
        <w:t>may result in reduced solubility of the polymer at the experiment</w:t>
      </w:r>
      <w:r w:rsidR="001A1240" w:rsidRPr="008C2309">
        <w:rPr>
          <w:rFonts w:ascii="Times" w:hAnsi="Times" w:cstheme="minorHAnsi"/>
          <w:color w:val="000000" w:themeColor="text1"/>
        </w:rPr>
        <w:t>al</w:t>
      </w:r>
      <w:r w:rsidR="00414653" w:rsidRPr="008C2309">
        <w:rPr>
          <w:rFonts w:ascii="Times" w:hAnsi="Times" w:cstheme="minorHAnsi"/>
          <w:color w:val="000000" w:themeColor="text1"/>
        </w:rPr>
        <w:t xml:space="preserve"> temperature (37</w:t>
      </w:r>
      <w:r w:rsidR="00E1397E" w:rsidRPr="008C2309">
        <w:rPr>
          <w:rFonts w:ascii="Times" w:hAnsi="Times" w:cstheme="minorHAnsi"/>
          <w:color w:val="000000" w:themeColor="text1"/>
        </w:rPr>
        <w:t xml:space="preserve"> </w:t>
      </w:r>
      <w:r w:rsidR="00414653" w:rsidRPr="008C2309">
        <w:rPr>
          <w:rFonts w:ascii="Times" w:hAnsi="Times" w:cstheme="minorHAnsi"/>
          <w:color w:val="000000" w:themeColor="text1"/>
        </w:rPr>
        <w:t>°C)</w:t>
      </w:r>
      <w:r w:rsidR="00EC19AE" w:rsidRPr="008C2309">
        <w:rPr>
          <w:rFonts w:ascii="Times" w:hAnsi="Times" w:cstheme="minorHAnsi"/>
          <w:color w:val="000000" w:themeColor="text1"/>
        </w:rPr>
        <w:t>.</w:t>
      </w:r>
      <w:r w:rsidR="00414653" w:rsidRPr="008C2309">
        <w:rPr>
          <w:rFonts w:ascii="Times" w:hAnsi="Times" w:cstheme="minorHAnsi"/>
          <w:color w:val="000000" w:themeColor="text1"/>
        </w:rPr>
        <w:t xml:space="preserve"> Soluplus</w:t>
      </w:r>
      <w:r w:rsidR="00C02CB5" w:rsidRPr="008C2309">
        <w:rPr>
          <w:vertAlign w:val="superscript"/>
        </w:rPr>
        <w:t>®</w:t>
      </w:r>
      <w:r w:rsidR="00414653" w:rsidRPr="008C2309">
        <w:rPr>
          <w:rFonts w:ascii="Times" w:hAnsi="Times" w:cstheme="minorHAnsi"/>
          <w:color w:val="000000" w:themeColor="text1"/>
        </w:rPr>
        <w:t xml:space="preserve"> has also displayed </w:t>
      </w:r>
      <w:r w:rsidR="002F59E5" w:rsidRPr="008C2309">
        <w:rPr>
          <w:rFonts w:ascii="Times" w:hAnsi="Times" w:cstheme="minorHAnsi"/>
          <w:color w:val="000000" w:themeColor="text1"/>
        </w:rPr>
        <w:t>properties of extensive swelling in dissolution media</w:t>
      </w:r>
      <w:r w:rsidR="009528CA" w:rsidRPr="008C2309">
        <w:rPr>
          <w:rFonts w:ascii="Times" w:hAnsi="Times" w:cstheme="minorHAnsi"/>
          <w:color w:val="000000" w:themeColor="text1"/>
        </w:rPr>
        <w:t xml:space="preserve"> </w:t>
      </w:r>
      <w:r w:rsidR="00217C03"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"10.1016/j.ejpb.2012.11.003", "ISBN" : "1873-3441 (Electronic)\\r0939-6411 (Linking)", "ISSN" : "09396411", "PMID" : "23201048", "abstract" : "The aim of the present series of experiments was to improve the solubility and dissolution/precipitation behaviour of a poorly soluble, weakly basic drug, using itraconazole as a case example. Binary inclusion complexes of itraconazole with two commonly used cyclodextrin derivatives and a recently introduced cyclodextrin derivative were prepared. Their solubility and dissolution behaviour was compared with that of the pure drug and the marketed formulation Sporanox??. Ternary complexes were prepared by addition of Soluplus??, a new highly water soluble polymer, during the formation of the itraconazole/cyclodextrin complex. A solid dispersion made of itraconazole and Soluplus?? was also studied as a control. Solid state analysis was performed for all formulations and for pure itraconazole using powder X-ray diffraction (pX-RD) and differential scanning calorimetry (DSC). Solubility tests indicated that with all formulation approaches, the aqueous solubility of itraconazole formed with hydroxypropyl-??-cyclodextrin (HP-??-CD) or hydroxybutenyl-??-cyclodextrin (HBen-??-CD) and Soluplus?? proved to be the most favourable formulation approaches. Whereas the marketed formulation and the pure drug showed very poor dissolution, both of these ternary inclusion complexes resulted in fast and extensive release of itraconazole in all test media. Using the results of the dissolution experiments, a newly developed physiologically based pharmacokinetic (PBPK) in silico model was applied to compare the in vivo behaviour of Sporanox?? with the predicted performance of the most promising ternary complexes from the in vitro studies. The PBPK modelling predicted that the bioavailability of itraconazole is likely to be increased after oral administration of ternary complex formulations, especially when itraconazole is formulated as a ternary complex comprising HP-??-CD or HBen-??-CD and Soluplus??. ?? 2012 Elsevier B.V. All rights reserved.", "author" : [ { "dropping-particle" : "", "family" : "Taupitz", "given" : "Thomas", "non-dropping-particle" : "", "parse-names" : false, "suffix" : "" }, { "dropping-particle" : "", "family" : "Dressman", "given" : "Jennifer B.", "non-dropping-particle" : "", "parse-names" : false, "suffix" : "" }, { "dropping-particle" : "", "family" : "Buchanan", "given" : "Charles M.", "non-dropping-particle" : "", "parse-names" : false, "suffix" : "" }, { "dropping-particle" : "", "family" : "Klein", "given" : "Sandra", "non-dropping-particle" : "", "parse-names" : false, "suffix" : "" } ], "container-title" : "European Journal of Pharmaceutics and Biopharmaceutics", "id" : "ITEM-1", "issue" : "3", "issued" : { "date-parts" : [ [ "2013" ] ] }, "page" : "378-387", "title" : "Cyclodextrin-water soluble polymer ternary complexes enhance the solubility and dissolution behaviour of poorly soluble drugs. Case example: Itraconazole", "type" : "article-journal", "volume" : "83" }, "uris" : [ "http://www.mendeley.com/documents/?uuid=a17397a4-643b-4c2e-8bc4-bab5c8a6362b", "http://www.mendeley.com/documents/?uuid=663be20c-c10c-415e-844e-693b0c137e49" ] } ], "mendeley" : { "formattedCitation" : "(Taupitz et al., 2013)", "plainTextFormattedCitation" : "(Taupitz et al., 2013)", "previouslyFormattedCitation" : "(Taupitz et al., 2013)" }, "properties" : {  }, "schema" : "https://github.com/citation-style-language/schema/raw/master/csl-citation.json" }</w:instrText>
      </w:r>
      <w:r w:rsidR="00217C03"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(Taupitz et al., 2013)</w:t>
      </w:r>
      <w:r w:rsidR="00217C03" w:rsidRPr="008C2309">
        <w:rPr>
          <w:rFonts w:ascii="Times" w:hAnsi="Times" w:cstheme="minorHAnsi"/>
          <w:color w:val="000000" w:themeColor="text1"/>
        </w:rPr>
        <w:fldChar w:fldCharType="end"/>
      </w:r>
      <w:r w:rsidR="002F59E5" w:rsidRPr="008C2309">
        <w:rPr>
          <w:rFonts w:ascii="Times" w:hAnsi="Times" w:cstheme="minorHAnsi"/>
          <w:color w:val="000000" w:themeColor="text1"/>
        </w:rPr>
        <w:t xml:space="preserve"> </w:t>
      </w:r>
      <w:r w:rsidR="00D57B84" w:rsidRPr="008C2309">
        <w:rPr>
          <w:rFonts w:ascii="Times" w:hAnsi="Times" w:cstheme="minorHAnsi"/>
          <w:color w:val="000000" w:themeColor="text1"/>
        </w:rPr>
        <w:t>resulting in a very slow dissolution rate of test material and</w:t>
      </w:r>
      <w:r w:rsidR="00D414C3" w:rsidRPr="008C2309">
        <w:rPr>
          <w:rFonts w:ascii="Times" w:hAnsi="Times" w:cstheme="minorHAnsi"/>
          <w:color w:val="000000" w:themeColor="text1"/>
        </w:rPr>
        <w:t>,</w:t>
      </w:r>
      <w:r w:rsidR="00D57B84" w:rsidRPr="008C2309">
        <w:rPr>
          <w:rFonts w:ascii="Times" w:hAnsi="Times" w:cstheme="minorHAnsi"/>
          <w:color w:val="000000" w:themeColor="text1"/>
        </w:rPr>
        <w:t xml:space="preserve"> </w:t>
      </w:r>
      <w:r w:rsidR="001A1240" w:rsidRPr="008C2309">
        <w:rPr>
          <w:rFonts w:ascii="Times" w:hAnsi="Times" w:cstheme="minorHAnsi"/>
          <w:color w:val="000000" w:themeColor="text1"/>
        </w:rPr>
        <w:t xml:space="preserve">in our studies, </w:t>
      </w:r>
      <w:r w:rsidR="00D57B84" w:rsidRPr="008C2309">
        <w:rPr>
          <w:rFonts w:ascii="Times" w:hAnsi="Times" w:cstheme="minorHAnsi"/>
          <w:color w:val="000000" w:themeColor="text1"/>
        </w:rPr>
        <w:t xml:space="preserve">polymer swelling was evident when discs were removed post dissolution. On contact with </w:t>
      </w:r>
      <w:r w:rsidR="001A69C7" w:rsidRPr="008C2309">
        <w:rPr>
          <w:rFonts w:ascii="Times" w:hAnsi="Times" w:cstheme="minorHAnsi"/>
          <w:color w:val="000000" w:themeColor="text1"/>
        </w:rPr>
        <w:t xml:space="preserve">aqueous </w:t>
      </w:r>
      <w:r w:rsidR="00D57B84" w:rsidRPr="008C2309">
        <w:rPr>
          <w:rFonts w:ascii="Times" w:hAnsi="Times" w:cstheme="minorHAnsi"/>
          <w:color w:val="000000" w:themeColor="text1"/>
        </w:rPr>
        <w:t xml:space="preserve">dissolution </w:t>
      </w:r>
      <w:r w:rsidR="001A69C7" w:rsidRPr="008C2309">
        <w:rPr>
          <w:rFonts w:ascii="Times" w:hAnsi="Times" w:cstheme="minorHAnsi"/>
          <w:color w:val="000000" w:themeColor="text1"/>
        </w:rPr>
        <w:t>medium</w:t>
      </w:r>
      <w:r w:rsidR="00D57B84" w:rsidRPr="008C2309">
        <w:rPr>
          <w:rFonts w:ascii="Times" w:hAnsi="Times" w:cstheme="minorHAnsi"/>
          <w:color w:val="000000" w:themeColor="text1"/>
        </w:rPr>
        <w:t>, Soluplus</w:t>
      </w:r>
      <w:r w:rsidR="00C02CB5" w:rsidRPr="008C2309">
        <w:rPr>
          <w:vertAlign w:val="superscript"/>
        </w:rPr>
        <w:t>®</w:t>
      </w:r>
      <w:r w:rsidR="00D57B84" w:rsidRPr="008C2309">
        <w:rPr>
          <w:rFonts w:ascii="Times" w:hAnsi="Times" w:cstheme="minorHAnsi"/>
          <w:color w:val="000000" w:themeColor="text1"/>
        </w:rPr>
        <w:t xml:space="preserve"> is known to enter the solution as single polymer chains which then organise into uni-chain </w:t>
      </w:r>
      <w:r w:rsidR="00D57B84" w:rsidRPr="008C2309">
        <w:rPr>
          <w:rFonts w:ascii="Times" w:hAnsi="Times" w:cstheme="minorHAnsi"/>
          <w:color w:val="000000" w:themeColor="text1"/>
        </w:rPr>
        <w:lastRenderedPageBreak/>
        <w:t>polymer micelles</w:t>
      </w:r>
      <w:r w:rsidR="009528CA" w:rsidRPr="008C2309">
        <w:rPr>
          <w:rFonts w:ascii="Times" w:hAnsi="Times" w:cstheme="minorHAnsi"/>
          <w:color w:val="000000" w:themeColor="text1"/>
        </w:rPr>
        <w:t xml:space="preserve"> </w:t>
      </w:r>
      <w:r w:rsidR="0048320B" w:rsidRPr="008C2309">
        <w:rPr>
          <w:rFonts w:ascii="Times" w:hAnsi="Times" w:cstheme="minorHAnsi"/>
          <w:color w:val="000000" w:themeColor="text1"/>
        </w:rPr>
        <w:fldChar w:fldCharType="begin" w:fldLock="1"/>
      </w:r>
      <w:r w:rsidR="007265E7" w:rsidRPr="008C2309">
        <w:rPr>
          <w:rFonts w:ascii="Times" w:hAnsi="Times" w:cstheme="minorHAnsi"/>
          <w:color w:val="000000" w:themeColor="text1"/>
        </w:rPr>
        <w:instrText>ADDIN CSL_CITATION { "citationItems" : [ { "id" : "ITEM-1", "itemData" : { "URL" : "https://pharmaceutical.basf.com/en/Drug-Formulation/Soluplus.html", "author" : [ { "dropping-particle" : "", "family" : "BASF", "given" : "", "non-dropping-particle" : "", "parse-names" : false, "suffix" : "" } ], "container-title" : "BASF, Pharma Ingredients &amp; Services", "id" : "ITEM-1", "issue" : "July", "issued" : { "date-parts" : [ [ "2010" ] ] }, "page" : "1-8", "title" : "Technical Information Soluplus", "type" : "webpage" }, "uris" : [ "http://www.mendeley.com/documents/?uuid=baf666a6-6dec-4400-ae92-639b0bfdef28", "http://www.mendeley.com/documents/?uuid=b405a6bc-6295-4936-9c9e-fd8b50439856" ] } ], "mendeley" : { "formattedCitation" : "(BASF, 2010)", "plainTextFormattedCitation" : "(BASF, 2010)", "previouslyFormattedCitation" : "(BASF, 2010)" }, "properties" : {  }, "schema" : "https://github.com/citation-style-language/schema/raw/master/csl-citation.json" }</w:instrText>
      </w:r>
      <w:r w:rsidR="0048320B" w:rsidRPr="008C2309">
        <w:rPr>
          <w:rFonts w:ascii="Times" w:hAnsi="Times" w:cstheme="minorHAnsi"/>
          <w:color w:val="000000" w:themeColor="text1"/>
        </w:rPr>
        <w:fldChar w:fldCharType="separate"/>
      </w:r>
      <w:r w:rsidR="00280AEC" w:rsidRPr="008C2309">
        <w:rPr>
          <w:rFonts w:ascii="Times" w:hAnsi="Times" w:cstheme="minorHAnsi"/>
          <w:noProof/>
          <w:color w:val="000000" w:themeColor="text1"/>
        </w:rPr>
        <w:t>(BASF, 2010)</w:t>
      </w:r>
      <w:r w:rsidR="0048320B" w:rsidRPr="008C2309">
        <w:rPr>
          <w:rFonts w:ascii="Times" w:hAnsi="Times" w:cstheme="minorHAnsi"/>
          <w:color w:val="000000" w:themeColor="text1"/>
        </w:rPr>
        <w:fldChar w:fldCharType="end"/>
      </w:r>
      <w:r w:rsidR="00D57B84" w:rsidRPr="008C2309">
        <w:rPr>
          <w:rFonts w:ascii="Times" w:hAnsi="Times" w:cstheme="minorHAnsi"/>
          <w:color w:val="000000" w:themeColor="text1"/>
        </w:rPr>
        <w:t>. As the concentration of Soluplus</w:t>
      </w:r>
      <w:r w:rsidR="00C02CB5" w:rsidRPr="008C2309">
        <w:rPr>
          <w:vertAlign w:val="superscript"/>
        </w:rPr>
        <w:t>®</w:t>
      </w:r>
      <w:r w:rsidR="00D57B84" w:rsidRPr="008C2309">
        <w:rPr>
          <w:rFonts w:ascii="Times" w:hAnsi="Times" w:cstheme="minorHAnsi"/>
          <w:color w:val="000000" w:themeColor="text1"/>
        </w:rPr>
        <w:t xml:space="preserve"> increases, the uni-chain micelles join together to form multi-chain ones</w:t>
      </w:r>
      <w:r w:rsidR="00A44182" w:rsidRPr="008C2309">
        <w:rPr>
          <w:rFonts w:ascii="Times" w:hAnsi="Times" w:cstheme="minorHAnsi"/>
          <w:color w:val="000000" w:themeColor="text1"/>
        </w:rPr>
        <w:t xml:space="preserve">. </w:t>
      </w:r>
      <w:r w:rsidR="00D57B84" w:rsidRPr="008C2309">
        <w:rPr>
          <w:rFonts w:ascii="Times" w:hAnsi="Times" w:cstheme="minorHAnsi"/>
          <w:color w:val="000000" w:themeColor="text1"/>
        </w:rPr>
        <w:t>The lower critical solution temperature has been reported to be between 37</w:t>
      </w:r>
      <w:r w:rsidR="006B5C5D" w:rsidRPr="008C2309">
        <w:rPr>
          <w:rFonts w:ascii="Times" w:hAnsi="Times" w:cstheme="minorHAnsi"/>
          <w:color w:val="000000" w:themeColor="text1"/>
        </w:rPr>
        <w:t xml:space="preserve"> </w:t>
      </w:r>
      <w:r w:rsidR="00D57B84" w:rsidRPr="008C2309">
        <w:rPr>
          <w:rFonts w:ascii="Times" w:hAnsi="Times" w:cstheme="minorHAnsi"/>
          <w:color w:val="000000" w:themeColor="text1"/>
        </w:rPr>
        <w:t>ºC</w:t>
      </w:r>
      <w:r w:rsidR="009528CA" w:rsidRPr="008C2309">
        <w:rPr>
          <w:rFonts w:ascii="Times" w:hAnsi="Times" w:cstheme="minorHAnsi"/>
          <w:color w:val="000000" w:themeColor="text1"/>
        </w:rPr>
        <w:t xml:space="preserve"> </w:t>
      </w:r>
      <w:r w:rsidR="00432184"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"URL" : "https://industries.basf.com/bin/bws/documentDownload.en.8805804190165", "abstract" : "In October 2009, BASF introduced Soluplus, a noval graft copolymer. In this edition of the column, members of BASF's excipient group describe how the product can help formulators take advantage of hot melt extrusion (HME) to develop and manufacture dosage forms containing poorly soluble APIs.", "author" : [ { "dropping-particle" : "", "family" : "Ali", "given" : "Shaukat", "non-dropping-particle" : "", "parse-names" : false, "suffix" : "" }, { "dropping-particle" : "", "family" : "Langley", "given" : "Nigel", "non-dropping-particle" : "", "parse-names" : false, "suffix" : "" }, { "dropping-particle" : "", "family" : "Djuric", "given" : "Dejan", "non-dropping-particle" : "", "parse-names" : false, "suffix" : "" }, { "dropping-particle" : "", "family" : "Kolter", "given" : "Karl", "non-dropping-particle" : "", "parse-names" : false, "suffix" : "" } ], "container-title" : "Basf", "id" : "ITEM-1", "issued" : { "date-parts" : [ [ "2009" ] ] }, "page" : "4", "title" : "Eye on Excipients", "type" : "webpage" }, "uris" : [ "http://www.mendeley.com/documents/?uuid=9516f8e4-8738-4f63-8571-2cd2ebc3a2ed" ] } ], "mendeley" : { "formattedCitation" : "(Ali et al., 2009)", "plainTextFormattedCitation" : "(Ali et al., 2009)", "previouslyFormattedCitation" : "(Ali et al., 2009)" }, "properties" : {  }, "schema" : "https://github.com/citation-style-language/schema/raw/master/csl-citation.json" }</w:instrText>
      </w:r>
      <w:r w:rsidR="00432184" w:rsidRPr="008C2309">
        <w:rPr>
          <w:rFonts w:ascii="Times" w:hAnsi="Times" w:cstheme="minorHAnsi"/>
          <w:color w:val="000000" w:themeColor="text1"/>
        </w:rPr>
        <w:fldChar w:fldCharType="separate"/>
      </w:r>
      <w:r w:rsidR="00432184" w:rsidRPr="008C2309">
        <w:rPr>
          <w:rFonts w:ascii="Times" w:hAnsi="Times" w:cstheme="minorHAnsi"/>
          <w:noProof/>
          <w:color w:val="000000" w:themeColor="text1"/>
        </w:rPr>
        <w:t>(Ali et al., 2009)</w:t>
      </w:r>
      <w:r w:rsidR="00432184" w:rsidRPr="008C2309">
        <w:rPr>
          <w:rFonts w:ascii="Times" w:hAnsi="Times" w:cstheme="minorHAnsi"/>
          <w:color w:val="000000" w:themeColor="text1"/>
        </w:rPr>
        <w:fldChar w:fldCharType="end"/>
      </w:r>
      <w:r w:rsidR="00D57B84" w:rsidRPr="008C2309">
        <w:rPr>
          <w:rFonts w:ascii="Times" w:hAnsi="Times" w:cstheme="minorHAnsi"/>
          <w:color w:val="000000" w:themeColor="text1"/>
        </w:rPr>
        <w:t xml:space="preserve"> and 40</w:t>
      </w:r>
      <w:r w:rsidR="006B5C5D" w:rsidRPr="008C2309">
        <w:rPr>
          <w:rFonts w:ascii="Times" w:hAnsi="Times" w:cstheme="minorHAnsi"/>
          <w:color w:val="000000" w:themeColor="text1"/>
        </w:rPr>
        <w:t xml:space="preserve"> </w:t>
      </w:r>
      <w:r w:rsidR="00D57B84" w:rsidRPr="008C2309">
        <w:rPr>
          <w:rFonts w:ascii="Times" w:hAnsi="Times" w:cstheme="minorHAnsi"/>
          <w:color w:val="000000" w:themeColor="text1"/>
        </w:rPr>
        <w:t>ºC</w:t>
      </w:r>
      <w:r w:rsidR="009528CA" w:rsidRPr="008C2309">
        <w:rPr>
          <w:rFonts w:ascii="Times" w:hAnsi="Times" w:cstheme="minorHAnsi"/>
          <w:color w:val="000000" w:themeColor="text1"/>
        </w:rPr>
        <w:t xml:space="preserve"> </w:t>
      </w:r>
      <w:r w:rsidR="003A443B"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"10.15436/2377-1313.16.020", "ISSN" : "23771313", "author" : [ { "dropping-particle" : "", "family" : "Cavallari", "given" : "Cristina", "non-dropping-particle" : "", "parse-names" : false, "suffix" : "" }, { "dropping-particle" : "", "family" : "Ternullo", "given" : "Selenia", "non-dropping-particle" : "", "parse-names" : false, "suffix" : "" }, { "dropping-particle" : "", "family" : "Tarterini", "given" : "Fabrizio", "non-dropping-particle" : "", "parse-names" : false, "suffix" : "" }, { "dropping-particle" : "", "family" : "Fini", "given" : "Adamo", "non-dropping-particle" : "", "parse-names" : false, "suffix" : "" } ], "id" : "ITEM-1", "issue" : "2", "issued" : { "date-parts" : [ [ "2016" ] ] }, "page" : "1-13", "title" : "Release Problems for Nifedipine in the Presence of Soluplus", "type" : "article-journal", "volume" : "3" }, "uris" : [ "http://www.mendeley.com/documents/?uuid=0239014b-3b1e-4076-ab7c-b5a0a5b888a0", "http://www.mendeley.com/documents/?uuid=ddda601e-b093-4907-a32b-a72d7a05b156" ] } ], "mendeley" : { "formattedCitation" : "(Cavallari et al., 2016)", "plainTextFormattedCitation" : "(Cavallari et al., 2016)", "previouslyFormattedCitation" : "(Cavallari et al., 2016)" }, "properties" : {  }, "schema" : "https://github.com/citation-style-language/schema/raw/master/csl-citation.json" }</w:instrText>
      </w:r>
      <w:r w:rsidR="003A443B"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(Cavallari et al., 2016)</w:t>
      </w:r>
      <w:r w:rsidR="003A443B" w:rsidRPr="008C2309">
        <w:rPr>
          <w:rFonts w:ascii="Times" w:hAnsi="Times" w:cstheme="minorHAnsi"/>
          <w:color w:val="000000" w:themeColor="text1"/>
        </w:rPr>
        <w:fldChar w:fldCharType="end"/>
      </w:r>
      <w:r w:rsidR="00D57B84" w:rsidRPr="008C2309">
        <w:rPr>
          <w:rFonts w:ascii="Times" w:hAnsi="Times" w:cstheme="minorHAnsi"/>
          <w:color w:val="000000" w:themeColor="text1"/>
        </w:rPr>
        <w:t xml:space="preserve"> for Soluplus</w:t>
      </w:r>
      <w:r w:rsidR="00C02CB5" w:rsidRPr="008C2309">
        <w:rPr>
          <w:vertAlign w:val="superscript"/>
        </w:rPr>
        <w:t>®</w:t>
      </w:r>
      <w:r w:rsidR="00D57B84" w:rsidRPr="008C2309">
        <w:rPr>
          <w:rFonts w:ascii="Times" w:hAnsi="Times" w:cstheme="minorHAnsi"/>
          <w:color w:val="000000" w:themeColor="text1"/>
        </w:rPr>
        <w:t xml:space="preserve"> and at these temperatures the aspect of </w:t>
      </w:r>
      <w:r w:rsidR="00595108" w:rsidRPr="008C2309">
        <w:rPr>
          <w:rFonts w:ascii="Times" w:hAnsi="Times" w:cstheme="minorHAnsi"/>
          <w:color w:val="000000" w:themeColor="text1"/>
        </w:rPr>
        <w:t>multi-</w:t>
      </w:r>
      <w:r w:rsidR="00D57B84" w:rsidRPr="008C2309">
        <w:rPr>
          <w:rFonts w:ascii="Times" w:hAnsi="Times" w:cstheme="minorHAnsi"/>
          <w:color w:val="000000" w:themeColor="text1"/>
        </w:rPr>
        <w:t xml:space="preserve">chain polymer micelles forming is more relevant as the chains </w:t>
      </w:r>
      <w:r w:rsidR="00B6344E" w:rsidRPr="008C2309">
        <w:rPr>
          <w:rFonts w:ascii="Times" w:hAnsi="Times" w:cstheme="minorHAnsi"/>
          <w:color w:val="000000" w:themeColor="text1"/>
        </w:rPr>
        <w:t>lose</w:t>
      </w:r>
      <w:r w:rsidR="00D57B84" w:rsidRPr="008C2309">
        <w:rPr>
          <w:rFonts w:ascii="Times" w:hAnsi="Times" w:cstheme="minorHAnsi"/>
          <w:color w:val="000000" w:themeColor="text1"/>
        </w:rPr>
        <w:t xml:space="preserve"> the hydration crown and progressively associate, decreasing their solubility and forming a cloudy suspension that </w:t>
      </w:r>
      <w:r w:rsidR="00D414C3" w:rsidRPr="008C2309">
        <w:rPr>
          <w:rFonts w:ascii="Times" w:hAnsi="Times" w:cstheme="minorHAnsi"/>
          <w:color w:val="000000" w:themeColor="text1"/>
        </w:rPr>
        <w:t xml:space="preserve">can </w:t>
      </w:r>
      <w:r w:rsidR="00D57B84" w:rsidRPr="008C2309">
        <w:rPr>
          <w:rFonts w:ascii="Times" w:hAnsi="Times" w:cstheme="minorHAnsi"/>
          <w:color w:val="000000" w:themeColor="text1"/>
        </w:rPr>
        <w:t xml:space="preserve">precipitate. This behaviour is responsible </w:t>
      </w:r>
      <w:r w:rsidR="001A1240" w:rsidRPr="008C2309">
        <w:rPr>
          <w:rFonts w:ascii="Times" w:hAnsi="Times" w:cstheme="minorHAnsi"/>
          <w:color w:val="000000" w:themeColor="text1"/>
        </w:rPr>
        <w:t xml:space="preserve">for </w:t>
      </w:r>
      <w:r w:rsidR="00D57B84" w:rsidRPr="008C2309">
        <w:rPr>
          <w:rFonts w:ascii="Times" w:hAnsi="Times" w:cstheme="minorHAnsi"/>
          <w:color w:val="000000" w:themeColor="text1"/>
        </w:rPr>
        <w:t>the gel forming property of Soluplus</w:t>
      </w:r>
      <w:r w:rsidR="00C02CB5" w:rsidRPr="008C2309">
        <w:rPr>
          <w:vertAlign w:val="superscript"/>
        </w:rPr>
        <w:t>®</w:t>
      </w:r>
      <w:r w:rsidR="009528CA" w:rsidRPr="008C2309">
        <w:rPr>
          <w:vertAlign w:val="superscript"/>
        </w:rPr>
        <w:t xml:space="preserve"> </w:t>
      </w:r>
      <w:r w:rsidR="003A443B"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"10.15436/2377-1313.16.020", "ISSN" : "23771313", "author" : [ { "dropping-particle" : "", "family" : "Cavallari", "given" : "Cristina", "non-dropping-particle" : "", "parse-names" : false, "suffix" : "" }, { "dropping-particle" : "", "family" : "Ternullo", "given" : "Selenia", "non-dropping-particle" : "", "parse-names" : false, "suffix" : "" }, { "dropping-particle" : "", "family" : "Tarterini", "given" : "Fabrizio", "non-dropping-particle" : "", "parse-names" : false, "suffix" : "" }, { "dropping-particle" : "", "family" : "Fini", "given" : "Adamo", "non-dropping-particle" : "", "parse-names" : false, "suffix" : "" } ], "id" : "ITEM-1", "issue" : "2", "issued" : { "date-parts" : [ [ "2016" ] ] }, "page" : "1-13", "title" : "Release Problems for Nifedipine in the Presence of Soluplus", "type" : "article-journal", "volume" : "3" }, "uris" : [ "http://www.mendeley.com/documents/?uuid=ddda601e-b093-4907-a32b-a72d7a05b156", "http://www.mendeley.com/documents/?uuid=0239014b-3b1e-4076-ab7c-b5a0a5b888a0" ] } ], "mendeley" : { "formattedCitation" : "(Cavallari et al., 2016)", "plainTextFormattedCitation" : "(Cavallari et al., 2016)", "previouslyFormattedCitation" : "(Cavallari et al., 2016)" }, "properties" : {  }, "schema" : "https://github.com/citation-style-language/schema/raw/master/csl-citation.json" }</w:instrText>
      </w:r>
      <w:r w:rsidR="003A443B"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(Cavallari et al., 2016)</w:t>
      </w:r>
      <w:r w:rsidR="003A443B" w:rsidRPr="008C2309">
        <w:rPr>
          <w:rFonts w:ascii="Times" w:hAnsi="Times" w:cstheme="minorHAnsi"/>
          <w:color w:val="000000" w:themeColor="text1"/>
        </w:rPr>
        <w:fldChar w:fldCharType="end"/>
      </w:r>
      <w:r w:rsidR="003A443B" w:rsidRPr="008C2309">
        <w:rPr>
          <w:rFonts w:ascii="Times" w:hAnsi="Times" w:cstheme="minorHAnsi"/>
          <w:color w:val="000000" w:themeColor="text1"/>
        </w:rPr>
        <w:t>.</w:t>
      </w:r>
      <w:r w:rsidR="006B5C5D" w:rsidRPr="008C2309">
        <w:rPr>
          <w:rFonts w:ascii="Times" w:hAnsi="Times" w:cstheme="minorHAnsi"/>
          <w:color w:val="000000" w:themeColor="text1"/>
        </w:rPr>
        <w:t xml:space="preserve"> </w:t>
      </w:r>
      <w:r w:rsidR="00D57B84" w:rsidRPr="008C2309">
        <w:rPr>
          <w:rFonts w:ascii="Times" w:hAnsi="Times" w:cstheme="minorHAnsi"/>
          <w:color w:val="000000" w:themeColor="text1"/>
        </w:rPr>
        <w:t>Due to the polymer gelling and swelling it is possible that the intrinsic dissolution</w:t>
      </w:r>
      <w:r w:rsidR="00D414C3" w:rsidRPr="008C2309">
        <w:rPr>
          <w:rFonts w:ascii="Times" w:hAnsi="Times" w:cstheme="minorHAnsi"/>
          <w:color w:val="000000" w:themeColor="text1"/>
        </w:rPr>
        <w:t>/constant surface area</w:t>
      </w:r>
      <w:r w:rsidR="00D57B84" w:rsidRPr="008C2309">
        <w:rPr>
          <w:rFonts w:ascii="Times" w:hAnsi="Times" w:cstheme="minorHAnsi"/>
          <w:color w:val="000000" w:themeColor="text1"/>
        </w:rPr>
        <w:t xml:space="preserve"> model is not suitable for dissolution testing with Soluplus</w:t>
      </w:r>
      <w:r w:rsidR="00C02CB5" w:rsidRPr="008C2309">
        <w:rPr>
          <w:vertAlign w:val="superscript"/>
        </w:rPr>
        <w:t>®</w:t>
      </w:r>
      <w:r w:rsidR="00D57B84" w:rsidRPr="008C2309">
        <w:rPr>
          <w:rFonts w:ascii="Times" w:hAnsi="Times" w:cstheme="minorHAnsi"/>
          <w:color w:val="000000" w:themeColor="text1"/>
        </w:rPr>
        <w:t xml:space="preserve"> polymer</w:t>
      </w:r>
      <w:r w:rsidR="001B78C2" w:rsidRPr="008C2309">
        <w:rPr>
          <w:rFonts w:ascii="Times" w:hAnsi="Times" w:cstheme="minorHAnsi"/>
          <w:color w:val="000000" w:themeColor="text1"/>
        </w:rPr>
        <w:t xml:space="preserve"> </w:t>
      </w:r>
      <w:bookmarkStart w:id="20" w:name="_Hlk502686387"/>
      <w:r w:rsidR="001B78C2" w:rsidRPr="008C2309">
        <w:rPr>
          <w:rFonts w:ascii="Times" w:hAnsi="Times" w:cstheme="minorHAnsi"/>
          <w:color w:val="000000" w:themeColor="text1"/>
        </w:rPr>
        <w:t>even though it has been reported in the literature that Soluplus</w:t>
      </w:r>
      <w:r w:rsidR="00CB454D" w:rsidRPr="008C2309">
        <w:rPr>
          <w:rFonts w:ascii="Times" w:hAnsi="Times" w:cs="Calibri"/>
          <w:color w:val="000000" w:themeColor="text1"/>
          <w:vertAlign w:val="superscript"/>
        </w:rPr>
        <w:t>®</w:t>
      </w:r>
      <w:r w:rsidR="001B78C2" w:rsidRPr="008C2309">
        <w:rPr>
          <w:rFonts w:ascii="Times" w:hAnsi="Times" w:cstheme="minorHAnsi"/>
          <w:color w:val="000000" w:themeColor="text1"/>
        </w:rPr>
        <w:t xml:space="preserve"> has been shown to increase the solubility </w:t>
      </w:r>
      <w:r w:rsidR="00DD4505" w:rsidRPr="008C2309">
        <w:rPr>
          <w:rFonts w:ascii="Times" w:hAnsi="Times" w:cstheme="minorHAnsi"/>
          <w:color w:val="000000" w:themeColor="text1"/>
        </w:rPr>
        <w:t>and dissolution rate</w:t>
      </w:r>
      <w:r w:rsidR="00593252" w:rsidRPr="008C2309">
        <w:rPr>
          <w:rFonts w:ascii="Times" w:hAnsi="Times" w:cstheme="minorHAnsi"/>
          <w:color w:val="000000" w:themeColor="text1"/>
        </w:rPr>
        <w:t xml:space="preserve"> </w:t>
      </w:r>
      <w:r w:rsidR="001B78C2" w:rsidRPr="008C2309">
        <w:rPr>
          <w:rFonts w:ascii="Times" w:hAnsi="Times" w:cstheme="minorHAnsi"/>
          <w:color w:val="000000" w:themeColor="text1"/>
        </w:rPr>
        <w:t>of some APIs</w:t>
      </w:r>
      <w:r w:rsidR="00DD4505" w:rsidRPr="008C2309">
        <w:rPr>
          <w:rFonts w:ascii="Times" w:hAnsi="Times" w:cstheme="minorHAnsi"/>
          <w:color w:val="000000" w:themeColor="text1"/>
        </w:rPr>
        <w:t xml:space="preserve"> </w:t>
      </w:r>
      <w:bookmarkEnd w:id="20"/>
      <w:r w:rsidR="00DD4505" w:rsidRPr="008C2309">
        <w:rPr>
          <w:rFonts w:ascii="Times" w:hAnsi="Times" w:cstheme="minorHAnsi"/>
          <w:color w:val="000000" w:themeColor="text1"/>
        </w:rPr>
        <w:fldChar w:fldCharType="begin" w:fldLock="1"/>
      </w:r>
      <w:r w:rsidR="004B46EF" w:rsidRPr="008C2309">
        <w:rPr>
          <w:rFonts w:ascii="Times" w:hAnsi="Times" w:cstheme="minorHAnsi"/>
          <w:color w:val="000000" w:themeColor="text1"/>
        </w:rPr>
        <w:instrText>ADDIN CSL_CITATION { "citationItems" : [ { "id" : "ITEM-1", "itemData" : { "DOI" : "10.1016/j.ejps.2011.11.025", "ISBN" : "1879-0720 (Electronic)\\n0928-0987 (Linking)", "ISSN" : "09280987", "PMID" : "22172603", "abstract" : "As many new active pharmaceutical ingredients are poorly water soluble, solubility enhancers are one possibility to overcome the hurdles of drug dissolution and absorption in oral drug delivery. In the present work a novel solubility enhancing excipient (Soluplus\u00ae) was tested for its capability to improve intestinal drug absorption. BCS class II compounds danazol, fenofibrate and itraconazole were tested both in vivo in beagle dogs and in vitro in transport experiments across Caco-2 cell monolayers. Each drug was applied as pure crystalline substance, in a physical mixture with Soluplus\u00ae, and as solid solution of the drug in the excipient. In the animal studies a many fold increase in plasma AUC was observed for the solid solutions of drug in Soluplus\u00ae compared to the respective pure drug. An effect of Soluplus\u00ae in a physical mixture with the drug could be detected for fenofibrate. In vitro transport studies confirm the strong effect of Soluplus\u00ae on the absorption behavior of the three tested drugs. Furthermore, the increase of drug flux across Caco-2 monolayer is correlating to the increase in plasma AUC and C max in vivo. For these poorly soluble substances Soluplus\u00ae has a strong potential to improve oral bioavailability. The applicability of Caco-2 monolayers as tool for predicting the in vivo transport behavior of the model drugs in combination with a solubility enhancing excipient was shown. Also the improvement of a solid dispersion compared to physical mixtures of the drugs and the excipient was correctly reflected by Caco-2 experiments. In the case of fenofibrate the possible improvement by a physical mixture was demonstrated, underscoring the value of the used tool as alternative to animal studies. \u00a9 2011 Elsevier B.V. All rights reserved.", "author" : [ { "dropping-particle" : "", "family" : "Linn", "given" : "Michael", "non-dropping-particle" : "", "parse-names" : false, "suffix" : "" }, { "dropping-particle" : "", "family" : "Collnot", "given" : "Eva Maria", "non-dropping-particle" : "", "parse-names" : false, "suffix" : "" }, { "dropping-particle" : "", "family" : "Djuric", "given" : "Dejan", "non-dropping-particle" : "", "parse-names" : false, "suffix" : "" }, { "dropping-particle" : "", "family" : "Hempel", "given" : "Katja", "non-dropping-particle" : "", "parse-names" : false, "suffix" : "" }, { "dropping-particle" : "", "family" : "Fabian", "given" : "Eric", "non-dropping-particle" : "", "parse-names" : false, "suffix" : "" }, { "dropping-particle" : "", "family" : "Kolter", "given" : "Karl", "non-dropping-particle" : "", "parse-names" : false, "suffix" : "" }, { "dropping-particle" : "", "family" : "Lehr", "given" : "Claus Michael", "non-dropping-particle" : "", "parse-names" : false, "suffix" : "" } ], "container-title" : "European Journal of Pharmaceutical Sciences", "id" : "ITEM-1", "issue" : "3", "issued" : { "date-parts" : [ [ "2012" ] ] }, "page" : "336-343", "publisher" : "Elsevier B.V.", "title" : "Soluplus\u00ae as an effective absorption enhancer of poorly soluble drugs in vitro and in vivo", "type" : "article-journal", "volume" : "45" }, "uris" : [ "http://www.mendeley.com/documents/?uuid=0bb770e3-bc08-49be-ba86-04b21a29b066", "http://www.mendeley.com/documents/?uuid=fff331c5-ee66-4639-8fd6-77b6456676f3" ] }, { "id" : "ITEM-2", "itemData" : { "DOI" : "10.3109/10717544.2014.960982", "ISSN" : "1071-7544", "author" : [ { "dropping-particle" : "", "family" : "Zhang", "given" : "Yuanyuan", "non-dropping-particle" : "", "parse-names" : false, "suffix" : "" }, { "dropping-particle" : "", "family" : "Liu", "given" : "Yuxin", "non-dropping-particle" : "", "parse-names" : false, "suffix" : "" }, { "dropping-particle" : "", "family" : "Luo", "given" : "Yanfei", "non-dropping-particle" : "", "parse-names" : false, "suffix" : "" }, { "dropping-particle" : "", "family" : "Yao", "given" : "Qing", "non-dropping-particle" : "", "parse-names" : false, "suffix" : "" }, { "dropping-particle" : "", "family" : "Zhong", "given" : "Yue", "non-dropping-particle" : "", "parse-names" : false, "suffix" : "" }, { "dropping-particle" : "", "family" : "Tian", "given" : "Bin", "non-dropping-particle" : "", "parse-names" : false, "suffix" : "" }, { "dropping-particle" : "", "family" : "Tang", "given" : "Xing", "non-dropping-particle" : "", "parse-names" : false, "suffix" : "" } ], "container-title" : "Drug Delivery", "id" : "ITEM-2", "issue" : "August 2017", "issued" : { "date-parts" : [ [ "2014" ] ] }, "title" : "Extruded Soluplus/SIM as an oral delivery system: characterization, interactions, &lt;i&gt;in vitro&lt;/i&gt; and &lt;i&gt;in vivo&lt;/i&gt; evaluations", "type" : "article-journal", "volume" : "7544" }, "uris" : [ "http://www.mendeley.com/documents/?uuid=0b8cf331-62f0-4bec-a0b5-9340c2723875", "http://www.mendeley.com/documents/?uuid=39d3bf90-18f7-4d33-b525-cd5803868b28" ] }, { "id" : "ITEM-3", "itemData" : { "DOI" : "10.1016/j.ejpb.2012.12.018", "ISBN" : "1873-3441 (Electronic)\\r0939-6411 (Linking)", "ISSN" : "09396411", "PMID" : "23333900", "abstract" : "Hot-melt extrusion (HME) is a dust- and solvent-free continuous process enabling the preparation of a variety of solid dosage forms containing solid dispersions of poorly soluble drugs into thermoplastic polymers. Miscibility of drug and polymer is a prerequisite for stable solid dispersion formation. The present study investigates the feasibility of forming solid dispersions of carbamazepine (CBZ) into polyethyleneglycol-polyvinyl caprolactam-polyvinyl acetate grafted copolymer (Soluplus??) by hot-melt extrusion. Physicochemical properties of the raw materials, extrudates, co-melted products, and corresponding physical mixtures were characterized by thermo-gravimetric analysis (TGA), differential scanning calorimetry (DSC), attenuated total reflectance infrared (ATR-FTIR) spectroscopy and hot stage microscopy (HSM), while miscibility of CBZ and Soluplus?? was estimated on the basis of the Flory-Huggins theory, Hansen solubility parameters, and solid-liquid equilibrium equation. It was found that hot-melt extrusion of carbamazepine and Soluplus?? is feasible on a single-screw hot-melt extruder without the addition of plasticizers. DSC analysis and FTIR spectroscopy revealed that a molecular dispersion is formed when the content of CBZ does not exceed ???5% w/w while higher CBZ content results in a microcrystalline dispersion of CBZ form III crystals, with the molecularly dispersed percentage increasing with extrusion temperature, at the risk of inducing transformation to the undesirable form I of CBZ. Thermodynamic modeling elucidated potential limitations and temperature dependence of solubility/dispersibility of carbamazepine in Soluplus?? hot-melt extrudates. The results obtained by thermodynamic models are in agreement with the findings of the HME processing, encouraging therefore their further application in the HME process development. ?? 2013 Elsevier B.V. All rights reserved.", "author" : [ { "dropping-particle" : "", "family" : "Djuris", "given" : "Jelena", "non-dropping-particle" : "", "parse-names" : false, "suffix" : "" }, { "dropping-particle" : "", "family" : "Nikolakakis", "given" : "Ioannis", "non-dropping-particle" : "", "parse-names" : false, "suffix" : "" }, { "dropping-particle" : "", "family" : "Ibric", "given" : "Svetlana", "non-dropping-particle" : "", "parse-names" : false, "suffix" : "" }, { "dropping-particle" : "", "family" : "Djuric", "given" : "Zorica", "non-dropping-particle" : "", "parse-names" : false, "suffix" : "" }, { "dropping-particle" : "", "family" : "Kachrimanis", "given" : "Kyriakos", "non-dropping-particle" : "", "parse-names" : false, "suffix" : "" } ], "container-title" : "European Journal of Pharmaceutics and Biopharmaceutics", "id" : "ITEM-3", "issue" : "1", "issued" : { "date-parts" : [ [ "2013" ] ] }, "page" : "228-237", "title" : "Preparation of carbamazepine-Soluplus solid dispersions by hot-melt extrusion, and prediction of drug-polymer miscibility by thermodynamic model fitting", "type" : "article-journal", "volume" : "84" }, "uris" : [ "http://www.mendeley.com/documents/?uuid=835b4c7c-cdc3-4305-94d4-f1f798e6a98d", "http://www.mendeley.com/documents/?uuid=306202ef-f6ad-477a-b486-a98e4dc543ff" ] }, { "id" : "ITEM-4", "itemData" : { "DOI" : "10.1016/j.powtec.2012.12.038", "ISSN" : "0032-5910", "author" : [ { "dropping-particle" : "", "family" : "Shamma", "given" : "Rehab N", "non-dropping-particle" : "", "parse-names" : false, "suffix" : "" }, { "dropping-particle" : "", "family" : "Basha", "given" : "Mona", "non-dropping-particle" : "", "parse-names" : false, "suffix" : "" } ], "container-title" : "Powder Technology", "id" : "ITEM-4", "issued" : { "date-parts" : [ [ "2013" ] ] }, "page" : "406-414", "publisher" : "Elsevier B.V.", "title" : "Soluplus \u00ae : A novel polymeric solubilizer for optimization of Carvedilol solid dispersions : Formulation design and effect of method of preparation", "type" : "article-journal", "volume" : "237" }, "uris" : [ "http://www.mendeley.com/documents/?uuid=d2e9f80a-b7ec-4906-bb95-b8ff527e3d82", "http://www.mendeley.com/documents/?uuid=daa49370-8a63-40ee-a4fe-e5ba06b10353" ] }, { "id" : "ITEM-5", "itemData" : { "ISSN" : "1735-0328 (Print)", "PMID" : "25561910", "abstract" : "The present study deals with characterization of dispersions of a poorly water-soluble drug, celecoxib (CLX) in polyvinyl caprolactame-polyvinyl acetate-polyethylene glycol graft copolymer (Soluplus((R)) (SOL)) prepared by different techniques. Dispersions of CLX in SOL at different ratios (2:1, 1:1, 1:2, 1:4 and 1:6) were prepared by spray drying, conventional solvent evaporation and melting methods. The solid states of samples were characterized using particle size measurements, optical and scanning electron microscopy, XRPD, DSC and FT-IR. The Gordon-Taylor equation was used to predict the Tg of samples and the possibility of interaction between CLX and SOL. The solubility and dissolution rate of all samples were determined. Stability of samples was studied at ambient conditions for a period of 12 months. DSC and XRPD analyses confirmed amorphous state of drug in samples. Surprisingly dispersions of CLX:SOL with the ratio of 2:1 and 1:1 showed slower dissolution rate than CLX while other samples showed higher dissolution rate. At 1:2 ratio the spray dried samples exhibited higher dissolution rate than corresponding samples prepared by other methods. However at higher SOL content (1:4 and 1:6), samples prepared by different methods showed similar dissolution profiles. The stability studies showed that there were no remarkable changes in the dissolution profiles and solid state of the drug after 12 months storage at ambient conditions. It was concluded that SOL was a proper carrier to enhance the dissolution rate of CLX. At high SOL ratios the method of preparation of dispersed samples had no effect on dissolution rate, whilst at low SOL content spray drying was more efficient method.", "author" : [ { "dropping-particle" : "", "family" : "Homayouni", "given" : "Alireza", "non-dropping-particle" : "", "parse-names" : false, "suffix" : "" }, { "dropping-particle" : "", "family" : "Sadeghi", "given" : "Fatemeh", "non-dropping-particle" : "", "parse-names" : false, "suffix" : "" }, { "dropping-particle" : "", "family" : "Nokhodchi", "given" : "Ali", "non-dropping-particle" : "", "parse-names" : false, "suffix" : "" }, { "dropping-particle" : "", "family" : "Varshosaz", "given" : "Jaleh", "non-dropping-particle" : "", "parse-names" : false, "suffix" : "" }, { "dropping-particle" : "", "family" : "Afrasiabi Garekani", "given" : "Hadi", "non-dropping-particle" : "", "parse-names" : false, "suffix" : "" } ], "container-title" : "Iranian journal of pharmaceutical research : IJPR", "id" : "ITEM-5", "issue" : "1", "issued" : { "date-parts" : [ [ "2015" ] ] }, "language" : "eng", "page" : "35-50", "publisher-place" : "Iran", "title" : "Preparation and characterization of celecoxib dispersions in soluplus((R)): comparison of spray drying and conventional methods.", "type" : "article-journal", "volume" : "14" }, "uris" : [ "http://www.mendeley.com/documents/?uuid=60ee4e69-a4d0-4f42-b863-8ade3ab2571e", "http://www.mendeley.com/documents/?uuid=852b87dc-3a3d-485c-81ee-340106b768c6", "http://www.mendeley.com/documents/?uuid=0cf0bf07-3056-4cf9-b92d-09c41d083726" ] } ], "mendeley" : { "formattedCitation" : "(Djuris et al., 2013; Homayouni et al., 2015; Linn et al., 2012; Shamma and Basha, 2013; Zhang et al., 2014)", "plainTextFormattedCitation" : "(Djuris et al., 2013; Homayouni et al., 2015; Linn et al., 2012; Shamma and Basha, 2013; Zhang et al., 2014)", "previouslyFormattedCitation" : "(Djuris et al., 2013; Homayouni et al., 2015; Linn et al., 2012; Shamma and Basha, 2013; Zhang et al., 2014)" }, "properties" : {  }, "schema" : "https://github.com/citation-style-language/schema/raw/master/csl-citation.json" }</w:instrText>
      </w:r>
      <w:r w:rsidR="00DD4505"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(Djuris et al., 2013; Homayouni et al., 2015; Linn et al., 2012; Shamma and Basha, 2013; Zhang et al., 2014)</w:t>
      </w:r>
      <w:r w:rsidR="00DD4505" w:rsidRPr="008C2309">
        <w:rPr>
          <w:rFonts w:ascii="Times" w:hAnsi="Times" w:cstheme="minorHAnsi"/>
          <w:color w:val="000000" w:themeColor="text1"/>
        </w:rPr>
        <w:fldChar w:fldCharType="end"/>
      </w:r>
      <w:r w:rsidR="00D57B84" w:rsidRPr="008C2309">
        <w:rPr>
          <w:rFonts w:ascii="Times" w:hAnsi="Times" w:cstheme="minorHAnsi"/>
          <w:color w:val="000000" w:themeColor="text1"/>
        </w:rPr>
        <w:t>.</w:t>
      </w:r>
    </w:p>
    <w:p w14:paraId="58367BF4" w14:textId="78A65F9B" w:rsidR="002E17EA" w:rsidRPr="008C2309" w:rsidRDefault="002E17EA" w:rsidP="00E41DED">
      <w:pPr>
        <w:spacing w:line="480" w:lineRule="auto"/>
        <w:rPr>
          <w:rFonts w:ascii="Times" w:hAnsi="Times" w:cstheme="minorHAnsi"/>
          <w:color w:val="000000" w:themeColor="text1"/>
        </w:rPr>
      </w:pPr>
      <w:bookmarkStart w:id="21" w:name="_Hlk502686837"/>
    </w:p>
    <w:p w14:paraId="21AEC767" w14:textId="77777777" w:rsidR="00190F66" w:rsidRPr="008C2309" w:rsidRDefault="00190F66" w:rsidP="00E41DED">
      <w:pPr>
        <w:spacing w:line="480" w:lineRule="auto"/>
        <w:rPr>
          <w:rFonts w:ascii="Times" w:hAnsi="Times" w:cstheme="minorHAnsi"/>
          <w:color w:val="000000" w:themeColor="text1"/>
        </w:rPr>
      </w:pPr>
    </w:p>
    <w:p w14:paraId="3E34D574" w14:textId="0D1776D5" w:rsidR="005A66C6" w:rsidRPr="008C2309" w:rsidRDefault="00C322DD" w:rsidP="00E41DED">
      <w:pPr>
        <w:spacing w:line="480" w:lineRule="auto"/>
        <w:rPr>
          <w:i/>
          <w:lang w:val="en-IE"/>
        </w:rPr>
      </w:pPr>
      <w:r w:rsidRPr="008C2309">
        <w:rPr>
          <w:i/>
          <w:lang w:val="en-IE"/>
        </w:rPr>
        <w:t xml:space="preserve">3.6 </w:t>
      </w:r>
      <w:r w:rsidR="005A66C6" w:rsidRPr="008C2309">
        <w:rPr>
          <w:i/>
          <w:lang w:val="en-IE"/>
        </w:rPr>
        <w:t>Surface topography</w:t>
      </w:r>
      <w:bookmarkEnd w:id="21"/>
      <w:r w:rsidR="005A66C6" w:rsidRPr="008C2309">
        <w:rPr>
          <w:i/>
          <w:lang w:val="en-IE"/>
        </w:rPr>
        <w:t xml:space="preserve"> </w:t>
      </w:r>
    </w:p>
    <w:p w14:paraId="2266CA7D" w14:textId="77777777" w:rsidR="00D44DDB" w:rsidRPr="008C2309" w:rsidRDefault="00D44DDB" w:rsidP="00E41DED">
      <w:pPr>
        <w:spacing w:line="480" w:lineRule="auto"/>
        <w:jc w:val="both"/>
        <w:rPr>
          <w:rFonts w:ascii="Times" w:hAnsi="Times"/>
          <w:lang w:eastAsia="en-US"/>
        </w:rPr>
      </w:pPr>
      <w:bookmarkStart w:id="22" w:name="_Hlk502687007"/>
      <w:bookmarkStart w:id="23" w:name="_Hlk502686943"/>
      <w:r w:rsidRPr="008C2309">
        <w:rPr>
          <w:rFonts w:ascii="Times" w:hAnsi="Times"/>
          <w:lang w:eastAsia="en-US"/>
        </w:rPr>
        <w:t xml:space="preserve">As previously stated, all formulations produced by SD were amorphous in nature while formulations produced by HME remained partially crystalline. It is generally accepted that amorphous material has a higher solubility and dissolution rate than equivalent crystalline material, and thus the higher dissolution rates observed for HME systems was surprising. </w:t>
      </w:r>
    </w:p>
    <w:p w14:paraId="6E4F6700" w14:textId="6176660C" w:rsidR="009D63AE" w:rsidRPr="008C2309" w:rsidRDefault="00D44DDB" w:rsidP="00E41DED">
      <w:pPr>
        <w:spacing w:line="480" w:lineRule="auto"/>
        <w:jc w:val="both"/>
        <w:rPr>
          <w:rFonts w:ascii="Times" w:hAnsi="Times"/>
          <w:lang w:eastAsia="en-US"/>
        </w:rPr>
      </w:pPr>
      <w:r w:rsidRPr="008C2309">
        <w:rPr>
          <w:rFonts w:ascii="Times" w:hAnsi="Times"/>
          <w:lang w:eastAsia="en-US"/>
        </w:rPr>
        <w:t>From SEM images of the discs, the surface of HME discs appeared rougher than SD discs. It was hypothesised that this could lead to an increased turbulence in the hydrodynamic boundary layer for the HME compressed discs</w:t>
      </w:r>
      <w:r w:rsidR="00595108" w:rsidRPr="008C2309">
        <w:rPr>
          <w:rFonts w:ascii="Times" w:hAnsi="Times"/>
          <w:lang w:eastAsia="en-US"/>
        </w:rPr>
        <w:t xml:space="preserve">, </w:t>
      </w:r>
      <w:r w:rsidRPr="008C2309">
        <w:rPr>
          <w:rFonts w:ascii="Times" w:hAnsi="Times"/>
          <w:lang w:eastAsia="en-US"/>
        </w:rPr>
        <w:t>resulting in a higher dissolution rate than for smoother SD compressed discs</w:t>
      </w:r>
      <w:r w:rsidR="009528CA" w:rsidRPr="008C2309">
        <w:rPr>
          <w:rFonts w:ascii="Times" w:hAnsi="Times"/>
          <w:lang w:eastAsia="en-US"/>
        </w:rPr>
        <w:t xml:space="preserve"> </w:t>
      </w:r>
      <w:r w:rsidR="00595108" w:rsidRPr="008C2309">
        <w:rPr>
          <w:rFonts w:ascii="Times" w:hAnsi="Times"/>
          <w:lang w:eastAsia="en-US"/>
        </w:rPr>
        <w:fldChar w:fldCharType="begin" w:fldLock="1"/>
      </w:r>
      <w:r w:rsidR="00F0638A" w:rsidRPr="008C2309">
        <w:rPr>
          <w:rFonts w:ascii="Times" w:hAnsi="Times"/>
          <w:lang w:eastAsia="en-US"/>
        </w:rPr>
        <w:instrText>ADDIN CSL_CITATION { "citationItems" : [ { "id" : "ITEM-1", "itemData" : { "author" : [ { "dropping-particle" : "", "family" : "Healy, Anne Marie", "given" : "", "non-dropping-particle" : "", "parse-names" : false, "suffix" : "" }, { "dropping-particle" : "", "family" : "Corrigan", "given" : "Owen", "non-dropping-particle" : "", "parse-names" : false, "suffix" : "" }, { "dropping-particle" : "", "family" : "Allen", "given" : "J.E.M.", "non-dropping-particle" : "", "parse-names" : false, "suffix" : "" } ], "container-title" : "Pharmaceutical Technology Europe", "id" : "ITEM-1", "issued" : { "date-parts" : [ [ "1995" ] ] }, "page" : "14-22", "title" : "The effect of dissolution on the surface texture of model solid-dosage forms as assessed by non-contact laser profilometry.", "type" : "article-journal", "volume" : "9" }, "uris" : [ "http://www.mendeley.com/documents/?uuid=b578e4c8-e292-4e73-8a14-5591726e10ab" ] }, { "id" : "ITEM-2", "itemData" : { "DOI" : "10.1016/S0378-5173(96)04705-9", "ISSN" : "03785173", "abstract" : "The dissolution properties of mixed compressed discs containing ibuprofen and one of three different acid excipients were investigated and the effect of various processing variables examined. Ibuprofen dissolution rate was shown to change depending on the acid excipient particle size used, the solubility of the excipient and its acid strength. Decreasing the excipient particle size resulted in a lowering of the ibuprofen dissolution rate. A decrease of an order of magnitude up to 20-fold could be achieved when smaller sized excipient particles were used. The observed dissolution phenomena associated with changing excipient particle size were explained in terms of percolation theory and dissolution from pores of a dimension similar to or larger than that of the aqueous boundary layer. It was also observed that the stronger the acid used as the excipient and the greater its solubility, the greater was its suppressing effect on the dissolution rate of the drug.", "author" : [ { "dropping-particle" : "", "family" : "Healy", "given" : "Anne Marie", "non-dropping-particle" : "", "parse-names" : false, "suffix" : "" }, { "dropping-particle" : "", "family" : "Corrigan", "given" : "O. I.", "non-dropping-particle" : "", "parse-names" : false, "suffix" : "" } ], "container-title" : "International Journal of Pharmaceutics", "id" : "ITEM-2", "issue" : "2", "issued" : { "date-parts" : [ [ "1996" ] ] }, "page" : "211-221", "title" : "The influence of excipient particle size, solubility and acid strength on the dissolution of an acidic drug from two-component compacts", "type" : "article-journal", "volume" : "143" }, "uris" : [ "http://www.mendeley.com/documents/?uuid=77b1fbd1-3445-48c0-ac45-e7390fb6b728" ] } ], "mendeley" : { "formattedCitation" : "(Healy, Anne Marie et al., 1995; Healy and Corrigan, 1996)", "plainTextFormattedCitation" : "(Healy, Anne Marie et al., 1995; Healy and Corrigan, 1996)", "previouslyFormattedCitation" : "(Healy, Anne Marie et al., 1995; Healy and Corrigan, 1996)" }, "properties" : {  }, "schema" : "https://github.com/citation-style-language/schema/raw/master/csl-citation.json" }</w:instrText>
      </w:r>
      <w:r w:rsidR="00595108" w:rsidRPr="008C2309">
        <w:rPr>
          <w:rFonts w:ascii="Times" w:hAnsi="Times"/>
          <w:lang w:eastAsia="en-US"/>
        </w:rPr>
        <w:fldChar w:fldCharType="separate"/>
      </w:r>
      <w:r w:rsidR="00B33BE2" w:rsidRPr="008C2309">
        <w:rPr>
          <w:rFonts w:ascii="Times" w:hAnsi="Times"/>
          <w:noProof/>
          <w:lang w:eastAsia="en-US"/>
        </w:rPr>
        <w:t>(Healy, Anne Marie et al., 1995; Healy and Corrigan, 1996)</w:t>
      </w:r>
      <w:r w:rsidR="00595108" w:rsidRPr="008C2309">
        <w:rPr>
          <w:rFonts w:ascii="Times" w:hAnsi="Times"/>
          <w:lang w:eastAsia="en-US"/>
        </w:rPr>
        <w:fldChar w:fldCharType="end"/>
      </w:r>
      <w:r w:rsidRPr="008C2309">
        <w:rPr>
          <w:rFonts w:ascii="Times" w:hAnsi="Times"/>
          <w:lang w:eastAsia="en-US"/>
        </w:rPr>
        <w:t>. S</w:t>
      </w:r>
      <w:r w:rsidR="00AF1DA4" w:rsidRPr="008C2309">
        <w:rPr>
          <w:rFonts w:ascii="Times" w:hAnsi="Times"/>
          <w:lang w:eastAsia="en-US"/>
        </w:rPr>
        <w:t>urface topography analysis was conducted to study the surface roughness</w:t>
      </w:r>
      <w:r w:rsidRPr="008C2309">
        <w:rPr>
          <w:rFonts w:ascii="Times" w:hAnsi="Times"/>
          <w:lang w:eastAsia="en-US"/>
        </w:rPr>
        <w:t xml:space="preserve"> of the compressed discs</w:t>
      </w:r>
      <w:r w:rsidR="00AF1DA4" w:rsidRPr="008C2309">
        <w:rPr>
          <w:rFonts w:ascii="Times" w:hAnsi="Times"/>
          <w:lang w:eastAsia="en-US"/>
        </w:rPr>
        <w:t xml:space="preserve">. </w:t>
      </w:r>
      <w:r w:rsidR="00762DBE" w:rsidRPr="008C2309">
        <w:rPr>
          <w:rFonts w:ascii="Times" w:hAnsi="Times"/>
          <w:lang w:eastAsia="en-US"/>
        </w:rPr>
        <w:t>Surface roughness</w:t>
      </w:r>
      <w:r w:rsidRPr="008C2309">
        <w:rPr>
          <w:rFonts w:ascii="Times" w:hAnsi="Times"/>
          <w:lang w:eastAsia="en-US"/>
        </w:rPr>
        <w:t xml:space="preserve">, which may be quantified by </w:t>
      </w:r>
      <w:r w:rsidR="004A6B37" w:rsidRPr="008C2309">
        <w:rPr>
          <w:rFonts w:ascii="Times" w:hAnsi="Times"/>
          <w:lang w:eastAsia="en-US"/>
        </w:rPr>
        <w:t>several</w:t>
      </w:r>
      <w:r w:rsidRPr="008C2309">
        <w:rPr>
          <w:rFonts w:ascii="Times" w:hAnsi="Times"/>
          <w:lang w:eastAsia="en-US"/>
        </w:rPr>
        <w:t xml:space="preserve"> parameters including Ra, the surface </w:t>
      </w:r>
      <w:r w:rsidRPr="008C2309">
        <w:rPr>
          <w:rFonts w:ascii="Times" w:hAnsi="Times"/>
          <w:lang w:eastAsia="en-US"/>
        </w:rPr>
        <w:lastRenderedPageBreak/>
        <w:t>roughness average, i</w:t>
      </w:r>
      <w:r w:rsidR="00762DBE" w:rsidRPr="008C2309">
        <w:rPr>
          <w:rFonts w:ascii="Times" w:hAnsi="Times"/>
          <w:lang w:eastAsia="en-US"/>
        </w:rPr>
        <w:t xml:space="preserve">s a measurement of surface finish – it is topography at a scale that might be considered "texture" on the surface. </w:t>
      </w:r>
      <w:r w:rsidRPr="008C2309">
        <w:rPr>
          <w:rFonts w:ascii="Times" w:hAnsi="Times"/>
          <w:lang w:eastAsia="en-US"/>
        </w:rPr>
        <w:t xml:space="preserve">The roughness average </w:t>
      </w:r>
      <w:r w:rsidR="00762DBE" w:rsidRPr="008C2309">
        <w:rPr>
          <w:rFonts w:ascii="Times" w:hAnsi="Times"/>
          <w:lang w:eastAsia="en-US"/>
        </w:rPr>
        <w:t>is a quantitative calculation of the relative roughness of a linear profile or area, expressed as a single numeric parameter.</w:t>
      </w:r>
      <w:r w:rsidR="00AF1DA4" w:rsidRPr="008C2309">
        <w:rPr>
          <w:rFonts w:ascii="Times" w:hAnsi="Times"/>
          <w:lang w:eastAsia="en-US"/>
        </w:rPr>
        <w:t xml:space="preserve"> Table </w:t>
      </w:r>
      <w:r w:rsidR="00E824F1" w:rsidRPr="008C2309">
        <w:rPr>
          <w:rFonts w:ascii="Times" w:hAnsi="Times"/>
          <w:lang w:eastAsia="en-US"/>
        </w:rPr>
        <w:t>6</w:t>
      </w:r>
      <w:r w:rsidR="00AF1DA4" w:rsidRPr="008C2309">
        <w:rPr>
          <w:rFonts w:ascii="Times" w:hAnsi="Times"/>
          <w:lang w:eastAsia="en-US"/>
        </w:rPr>
        <w:t xml:space="preserve"> outlines the</w:t>
      </w:r>
      <w:r w:rsidR="009D63AE" w:rsidRPr="008C2309">
        <w:rPr>
          <w:rFonts w:ascii="Times" w:hAnsi="Times"/>
          <w:lang w:eastAsia="en-US"/>
        </w:rPr>
        <w:t xml:space="preserve"> surface</w:t>
      </w:r>
      <w:r w:rsidR="00AF1DA4" w:rsidRPr="008C2309">
        <w:rPr>
          <w:rFonts w:ascii="Times" w:hAnsi="Times"/>
          <w:lang w:eastAsia="en-US"/>
        </w:rPr>
        <w:t xml:space="preserve"> roughness average (Ra) </w:t>
      </w:r>
      <w:r w:rsidR="009D63AE" w:rsidRPr="008C2309">
        <w:rPr>
          <w:rFonts w:ascii="Times" w:hAnsi="Times"/>
          <w:lang w:eastAsia="en-US"/>
        </w:rPr>
        <w:t>for</w:t>
      </w:r>
      <w:r w:rsidR="00AF1DA4" w:rsidRPr="008C2309">
        <w:rPr>
          <w:rFonts w:ascii="Times" w:hAnsi="Times"/>
          <w:lang w:eastAsia="en-US"/>
        </w:rPr>
        <w:t xml:space="preserve"> each of the compressed discs. </w:t>
      </w:r>
      <w:r w:rsidR="00746DD6" w:rsidRPr="008C2309">
        <w:rPr>
          <w:rFonts w:ascii="Times" w:hAnsi="Times"/>
          <w:lang w:eastAsia="en-US"/>
        </w:rPr>
        <w:t xml:space="preserve">The Ra values for </w:t>
      </w:r>
      <w:r w:rsidR="00AF1DA4" w:rsidRPr="008C2309">
        <w:rPr>
          <w:rFonts w:ascii="Times" w:hAnsi="Times"/>
          <w:lang w:eastAsia="en-US"/>
        </w:rPr>
        <w:t>SD formulations</w:t>
      </w:r>
      <w:r w:rsidR="009D63AE" w:rsidRPr="008C2309">
        <w:rPr>
          <w:rFonts w:ascii="Times" w:hAnsi="Times"/>
          <w:lang w:eastAsia="en-US"/>
        </w:rPr>
        <w:t xml:space="preserve"> </w:t>
      </w:r>
      <w:r w:rsidR="00AF1DA4" w:rsidRPr="008C2309">
        <w:rPr>
          <w:rFonts w:ascii="Times" w:hAnsi="Times"/>
          <w:lang w:eastAsia="en-US"/>
        </w:rPr>
        <w:t>were compared to</w:t>
      </w:r>
      <w:r w:rsidR="009D63AE" w:rsidRPr="008C2309">
        <w:rPr>
          <w:rFonts w:ascii="Times" w:hAnsi="Times"/>
          <w:lang w:eastAsia="en-US"/>
        </w:rPr>
        <w:t xml:space="preserve"> the </w:t>
      </w:r>
      <w:r w:rsidR="00746DD6" w:rsidRPr="008C2309">
        <w:rPr>
          <w:rFonts w:ascii="Times" w:hAnsi="Times"/>
          <w:lang w:eastAsia="en-US"/>
        </w:rPr>
        <w:t xml:space="preserve">Ra values for </w:t>
      </w:r>
      <w:r w:rsidR="009D63AE" w:rsidRPr="008C2309">
        <w:rPr>
          <w:rFonts w:ascii="Times" w:hAnsi="Times"/>
          <w:lang w:eastAsia="en-US"/>
        </w:rPr>
        <w:t>equivalent HME formulations.</w:t>
      </w:r>
      <w:r w:rsidR="00AF1DA4" w:rsidRPr="008C2309">
        <w:rPr>
          <w:rFonts w:ascii="Times" w:hAnsi="Times"/>
          <w:lang w:eastAsia="en-US"/>
        </w:rPr>
        <w:t xml:space="preserve"> </w:t>
      </w:r>
      <w:r w:rsidR="005A66C6" w:rsidRPr="008C2309">
        <w:rPr>
          <w:rFonts w:ascii="Times" w:hAnsi="Times"/>
          <w:lang w:eastAsia="en-US"/>
        </w:rPr>
        <w:t>There is a statistically significant difference in</w:t>
      </w:r>
      <w:r w:rsidR="009D63AE" w:rsidRPr="008C2309">
        <w:rPr>
          <w:rFonts w:ascii="Times" w:hAnsi="Times"/>
          <w:lang w:eastAsia="en-US"/>
        </w:rPr>
        <w:t xml:space="preserve"> </w:t>
      </w:r>
      <w:r w:rsidR="005A66C6" w:rsidRPr="008C2309">
        <w:rPr>
          <w:rFonts w:ascii="Times" w:hAnsi="Times"/>
          <w:lang w:eastAsia="en-US"/>
        </w:rPr>
        <w:t>Ra between SD</w:t>
      </w:r>
      <w:r w:rsidR="009D63AE" w:rsidRPr="008C2309">
        <w:rPr>
          <w:rFonts w:ascii="Times" w:hAnsi="Times"/>
          <w:lang w:eastAsia="en-US"/>
        </w:rPr>
        <w:t>-F1 and HME-F1</w:t>
      </w:r>
      <w:r w:rsidR="005A66C6" w:rsidRPr="008C2309">
        <w:rPr>
          <w:rFonts w:ascii="Times" w:hAnsi="Times"/>
          <w:lang w:eastAsia="en-US"/>
        </w:rPr>
        <w:t xml:space="preserve"> </w:t>
      </w:r>
      <w:r w:rsidR="009D63AE" w:rsidRPr="008C2309">
        <w:rPr>
          <w:rFonts w:ascii="Times" w:hAnsi="Times"/>
          <w:lang w:eastAsia="en-US"/>
        </w:rPr>
        <w:t>(T-value = -11.85, p &lt; 0.05) and SD-F2 and HME-F2 (T-value = -8.38, p &lt; 0.05). There is no statistical</w:t>
      </w:r>
      <w:r w:rsidR="00746DD6" w:rsidRPr="008C2309">
        <w:rPr>
          <w:rFonts w:ascii="Times" w:hAnsi="Times"/>
          <w:lang w:eastAsia="en-US"/>
        </w:rPr>
        <w:t>ly</w:t>
      </w:r>
      <w:r w:rsidR="009D63AE" w:rsidRPr="008C2309">
        <w:rPr>
          <w:rFonts w:ascii="Times" w:hAnsi="Times"/>
          <w:lang w:eastAsia="en-US"/>
        </w:rPr>
        <w:t xml:space="preserve"> significant difference between the Ra of SD-F3 and HME-F3 (T-value = -1.78, p &gt; 0.05).</w:t>
      </w:r>
    </w:p>
    <w:p w14:paraId="1004FC93" w14:textId="0161B310" w:rsidR="002F1893" w:rsidRPr="008C2309" w:rsidRDefault="00AB7468" w:rsidP="00E41DED">
      <w:pPr>
        <w:spacing w:line="480" w:lineRule="auto"/>
        <w:jc w:val="both"/>
        <w:rPr>
          <w:rFonts w:ascii="Times" w:hAnsi="Times" w:cstheme="minorHAnsi"/>
          <w:color w:val="000000" w:themeColor="text1"/>
          <w:lang w:val="en-IE"/>
        </w:rPr>
      </w:pPr>
      <w:bookmarkStart w:id="24" w:name="_Hlk502687456"/>
      <w:bookmarkEnd w:id="22"/>
      <w:r w:rsidRPr="008C2309">
        <w:rPr>
          <w:rFonts w:ascii="Times" w:hAnsi="Times" w:cstheme="minorHAnsi"/>
          <w:color w:val="000000" w:themeColor="text1"/>
          <w:lang w:val="en-IE"/>
        </w:rPr>
        <w:t>While the Wood’s apparatus is designed to minimise the effects particle size can have on the dissolution rate,</w:t>
      </w:r>
      <w:r w:rsidR="00B66C54" w:rsidRPr="008C2309">
        <w:rPr>
          <w:rFonts w:ascii="Times" w:hAnsi="Times" w:cstheme="minorHAnsi"/>
          <w:color w:val="000000" w:themeColor="text1"/>
          <w:lang w:val="en-IE"/>
        </w:rPr>
        <w:t xml:space="preserve"> it can be clearly shown from the results in table 6</w:t>
      </w:r>
      <w:r w:rsidR="009A6E35" w:rsidRPr="008C2309">
        <w:rPr>
          <w:rFonts w:ascii="Times" w:hAnsi="Times" w:cstheme="minorHAnsi"/>
          <w:color w:val="000000" w:themeColor="text1"/>
          <w:lang w:val="en-IE"/>
        </w:rPr>
        <w:t xml:space="preserve"> and graphs in Figure 11,</w:t>
      </w:r>
      <w:r w:rsidR="00B66C54" w:rsidRPr="008C2309">
        <w:rPr>
          <w:rFonts w:ascii="Times" w:hAnsi="Times" w:cstheme="minorHAnsi"/>
          <w:color w:val="000000" w:themeColor="text1"/>
          <w:lang w:val="en-IE"/>
        </w:rPr>
        <w:t xml:space="preserve"> that the surface texture differs after compression between the SD and HME formulations.</w:t>
      </w:r>
      <w:r w:rsidR="003B2385" w:rsidRPr="008C2309">
        <w:rPr>
          <w:rFonts w:ascii="Times" w:hAnsi="Times" w:cstheme="minorHAnsi"/>
          <w:color w:val="000000" w:themeColor="text1"/>
          <w:lang w:val="en-IE"/>
        </w:rPr>
        <w:t xml:space="preserve"> </w:t>
      </w:r>
      <w:r w:rsidR="009A6E35" w:rsidRPr="008C2309">
        <w:rPr>
          <w:rFonts w:ascii="Times" w:hAnsi="Times" w:cstheme="minorHAnsi"/>
          <w:color w:val="000000" w:themeColor="text1"/>
          <w:lang w:val="en-IE"/>
        </w:rPr>
        <w:t>The differences in surface texture gives rise to varying turbulence levels</w:t>
      </w:r>
      <w:r w:rsidR="003B2385" w:rsidRPr="008C2309">
        <w:rPr>
          <w:rFonts w:ascii="Times" w:hAnsi="Times" w:cstheme="minorHAnsi"/>
          <w:color w:val="000000" w:themeColor="text1"/>
          <w:lang w:val="en-IE"/>
        </w:rPr>
        <w:t xml:space="preserve"> at the hydrodynamic boundary layer</w:t>
      </w:r>
      <w:r w:rsidR="009A6E35" w:rsidRPr="008C2309">
        <w:rPr>
          <w:rFonts w:ascii="Times" w:hAnsi="Times" w:cstheme="minorHAnsi"/>
          <w:color w:val="000000" w:themeColor="text1"/>
          <w:lang w:val="en-IE"/>
        </w:rPr>
        <w:t xml:space="preserve"> and as a result the dissolution rates differ</w:t>
      </w:r>
      <w:r w:rsidR="003B2385" w:rsidRPr="008C2309">
        <w:rPr>
          <w:rFonts w:ascii="Times" w:hAnsi="Times" w:cstheme="minorHAnsi"/>
          <w:color w:val="000000" w:themeColor="text1"/>
          <w:lang w:val="en-IE"/>
        </w:rPr>
        <w:t xml:space="preserve">. </w:t>
      </w:r>
      <w:r w:rsidRPr="008C2309">
        <w:rPr>
          <w:rFonts w:ascii="Times" w:hAnsi="Times" w:cstheme="minorHAnsi"/>
          <w:color w:val="000000" w:themeColor="text1"/>
          <w:lang w:val="en-IE"/>
        </w:rPr>
        <w:t>Figure 1</w:t>
      </w:r>
      <w:r w:rsidR="00CD5AA4" w:rsidRPr="008C2309">
        <w:rPr>
          <w:rFonts w:ascii="Times" w:hAnsi="Times" w:cstheme="minorHAnsi"/>
          <w:color w:val="000000" w:themeColor="text1"/>
          <w:lang w:val="en-IE"/>
        </w:rPr>
        <w:t>1</w:t>
      </w:r>
      <w:r w:rsidRPr="008C2309">
        <w:rPr>
          <w:rFonts w:ascii="Times" w:hAnsi="Times" w:cstheme="minorHAnsi"/>
          <w:color w:val="000000" w:themeColor="text1"/>
          <w:lang w:val="en-IE"/>
        </w:rPr>
        <w:t xml:space="preserve"> provides a visual representation of the surfaces of the compacted discs</w:t>
      </w:r>
      <w:r w:rsidR="00D37C4C" w:rsidRPr="008C2309">
        <w:rPr>
          <w:rFonts w:ascii="Times" w:hAnsi="Times" w:cstheme="minorHAnsi"/>
          <w:color w:val="000000" w:themeColor="text1"/>
          <w:lang w:val="en-IE"/>
        </w:rPr>
        <w:t xml:space="preserve"> and </w:t>
      </w:r>
      <w:r w:rsidR="00595108" w:rsidRPr="008C2309">
        <w:rPr>
          <w:rFonts w:ascii="Times" w:hAnsi="Times" w:cstheme="minorHAnsi"/>
          <w:color w:val="000000" w:themeColor="text1"/>
          <w:lang w:val="en-IE"/>
        </w:rPr>
        <w:t xml:space="preserve">shows </w:t>
      </w:r>
      <w:r w:rsidR="00D37C4C" w:rsidRPr="008C2309">
        <w:rPr>
          <w:rFonts w:ascii="Times" w:hAnsi="Times" w:cstheme="minorHAnsi"/>
          <w:color w:val="000000" w:themeColor="text1"/>
          <w:lang w:val="en-IE"/>
        </w:rPr>
        <w:t>how the difference in manufacturing techniques and particle size leads to differences in the Ra of compacted discs.</w:t>
      </w:r>
    </w:p>
    <w:p w14:paraId="778925CA" w14:textId="775EC561" w:rsidR="00D37C4C" w:rsidRPr="008C2309" w:rsidRDefault="00D37C4C" w:rsidP="00E41DED">
      <w:pPr>
        <w:spacing w:line="480" w:lineRule="auto"/>
        <w:jc w:val="both"/>
        <w:rPr>
          <w:rFonts w:ascii="Times" w:hAnsi="Times" w:cstheme="minorHAnsi"/>
          <w:color w:val="000000" w:themeColor="text1"/>
          <w:lang w:val="en-IE"/>
        </w:rPr>
      </w:pPr>
    </w:p>
    <w:bookmarkEnd w:id="23"/>
    <w:bookmarkEnd w:id="24"/>
    <w:p w14:paraId="484D120A" w14:textId="002BCB1F" w:rsidR="00960CDB" w:rsidRPr="008C2309" w:rsidRDefault="00C322DD" w:rsidP="00E41DED">
      <w:pPr>
        <w:spacing w:line="480" w:lineRule="auto"/>
        <w:jc w:val="both"/>
        <w:rPr>
          <w:rFonts w:ascii="Times" w:hAnsi="Times" w:cstheme="minorHAnsi"/>
          <w:i/>
          <w:color w:val="000000" w:themeColor="text1"/>
        </w:rPr>
      </w:pPr>
      <w:r w:rsidRPr="008C2309">
        <w:rPr>
          <w:rFonts w:ascii="Times" w:hAnsi="Times" w:cstheme="minorHAnsi"/>
          <w:i/>
          <w:color w:val="000000" w:themeColor="text1"/>
        </w:rPr>
        <w:t xml:space="preserve">3.7 </w:t>
      </w:r>
      <w:r w:rsidR="00960CDB" w:rsidRPr="008C2309">
        <w:rPr>
          <w:rFonts w:ascii="Times" w:hAnsi="Times" w:cstheme="minorHAnsi"/>
          <w:i/>
          <w:color w:val="000000" w:themeColor="text1"/>
        </w:rPr>
        <w:t>Stability Studies</w:t>
      </w:r>
    </w:p>
    <w:p w14:paraId="2BC62662" w14:textId="2BB7D6A6" w:rsidR="00767F93" w:rsidRPr="008C2309" w:rsidRDefault="00767F93" w:rsidP="00E41DED">
      <w:pPr>
        <w:spacing w:line="480" w:lineRule="auto"/>
        <w:jc w:val="both"/>
        <w:rPr>
          <w:rFonts w:ascii="Times" w:hAnsi="Times" w:cstheme="minorHAnsi"/>
          <w:color w:val="000000" w:themeColor="text1"/>
          <w:lang w:val="en-IE"/>
        </w:rPr>
      </w:pPr>
      <w:r w:rsidRPr="008C2309">
        <w:rPr>
          <w:rFonts w:ascii="Times" w:hAnsi="Times" w:cstheme="minorHAnsi"/>
          <w:color w:val="000000" w:themeColor="text1"/>
        </w:rPr>
        <w:t>As molecular mobility allows for physical aging and recrystallization</w:t>
      </w:r>
      <w:r w:rsidR="009528CA" w:rsidRPr="008C2309">
        <w:rPr>
          <w:rFonts w:ascii="Times" w:hAnsi="Times" w:cstheme="minorHAnsi"/>
          <w:color w:val="000000" w:themeColor="text1"/>
        </w:rPr>
        <w:t xml:space="preserve"> </w:t>
      </w:r>
      <w:r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"http://dx.doi.org/10.1002/jps.2600831211", "ISSN" : "0022-3549", "author" : [ { "dropping-particle" : "", "family" : "Yoshioka", "given" : "Minoru", "non-dropping-particle" : "", "parse-names" : false, "suffix" : "" }, { "dropping-particle" : "", "family" : "Hancock", "given" : "Bruno C", "non-dropping-particle" : "", "parse-names" : false, "suffix" : "" }, { "dropping-particle" : "", "family" : "Zografi", "given" : "George", "non-dropping-particle" : "", "parse-names" : false, "suffix" : "" } ], "container-title" : "Journal of Pharmaceutical Sciences", "id" : "ITEM-1", "issue" : "12", "issued" : { "date-parts" : [ [ "1994" ] ] }, "page" : "1700-1705", "title" : "Crystallization of Indomethacin from the Amorphous State below and above Its Glass Transition Temperature", "type" : "article-journal", "volume" : "83" }, "uris" : [ "http://www.mendeley.com/documents/?uuid=cac7e633-065a-4ccf-a0e0-49be586b6a09", "http://www.mendeley.com/documents/?uuid=b5cad74d-0713-43d2-9dc3-a675cc1de291" ] } ], "mendeley" : { "formattedCitation" : "(Yoshioka et al., 1994)", "plainTextFormattedCitation" : "(Yoshioka et al., 1994)", "previouslyFormattedCitation" : "(Yoshioka et al., 1994)" }, "properties" : {  }, "schema" : "https://github.com/citation-style-language/schema/raw/master/csl-citation.json" }</w:instrText>
      </w:r>
      <w:r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(Yoshioka et al., 1994)</w:t>
      </w:r>
      <w:r w:rsidRPr="008C2309">
        <w:rPr>
          <w:rFonts w:ascii="Times" w:hAnsi="Times" w:cstheme="minorHAnsi"/>
          <w:color w:val="000000" w:themeColor="text1"/>
        </w:rPr>
        <w:fldChar w:fldCharType="end"/>
      </w:r>
      <w:r w:rsidRPr="008C2309">
        <w:rPr>
          <w:rFonts w:ascii="Times" w:hAnsi="Times" w:cstheme="minorHAnsi"/>
          <w:color w:val="000000" w:themeColor="text1"/>
        </w:rPr>
        <w:t xml:space="preserve"> of glasses below their Tg, the Tg is unsatisfactory as an indicator for the temperature </w:t>
      </w:r>
      <w:r w:rsidR="000461C2" w:rsidRPr="008C2309">
        <w:rPr>
          <w:rFonts w:ascii="Times" w:hAnsi="Times" w:cstheme="minorHAnsi"/>
          <w:color w:val="000000" w:themeColor="text1"/>
        </w:rPr>
        <w:t xml:space="preserve">below </w:t>
      </w:r>
      <w:r w:rsidRPr="008C2309">
        <w:rPr>
          <w:rFonts w:ascii="Times" w:hAnsi="Times" w:cstheme="minorHAnsi"/>
          <w:color w:val="000000" w:themeColor="text1"/>
        </w:rPr>
        <w:t>which mobility stops</w:t>
      </w:r>
      <w:r w:rsidR="009528CA" w:rsidRPr="008C2309">
        <w:rPr>
          <w:rFonts w:ascii="Times" w:hAnsi="Times" w:cstheme="minorHAnsi"/>
          <w:color w:val="000000" w:themeColor="text1"/>
        </w:rPr>
        <w:t xml:space="preserve"> </w:t>
      </w:r>
      <w:r w:rsidRPr="008C2309">
        <w:rPr>
          <w:rFonts w:ascii="Times" w:hAnsi="Times" w:cstheme="minorHAnsi"/>
          <w:color w:val="000000" w:themeColor="text1"/>
        </w:rPr>
        <w:fldChar w:fldCharType="begin" w:fldLock="1"/>
      </w:r>
      <w:r w:rsidR="007C6142" w:rsidRPr="008C2309">
        <w:rPr>
          <w:rFonts w:ascii="Times" w:hAnsi="Times" w:cstheme="minorHAnsi"/>
          <w:color w:val="000000" w:themeColor="text1"/>
        </w:rPr>
        <w:instrText>ADDIN CSL_CITATION { "citationItems" : [ { "id" : "ITEM-1", "itemData" : { "DOI" : "10.1021/ja02086a003", "ISSN" : "0002-7863", "author" : [ { "dropping-particle" : "", "family" : "Noyes", "given" : "Arthur A", "non-dropping-particle" : "", "parse-names" : false, "suffix" : "" }, { "dropping-particle" : "", "family" : "Whitney", "given" : "Willis R", "non-dropping-particle" : "", "parse-names" : false, "suffix" : "" } ], "container-title" : "Journal of the American Chemical Society", "id" : "ITEM-1", "issue" : "12", "issued" : { "date-parts" : [ [ "1897", "12" ] ] }, "page" : "930-934", "publisher" : "American Chemical Society", "title" : "The rate of solution of solid substances in their own solutions.", "type" : "article-journal", "volume" : "19" }, "uris" : [ "http://www.mendeley.com/documents/?uuid=b23afcd1-6322-4a05-948c-1d7e138c25d6", "http://www.mendeley.com/documents/?uuid=f55ffa23-4d59-4939-ae82-794d7b4a0fdd" ] } ], "mendeley" : { "formattedCitation" : "(Noyes and Whitney, 1897)", "plainTextFormattedCitation" : "(Noyes and Whitney, 1897)", "previouslyFormattedCitation" : "(Noyes and Whitney, 1897)" }, "properties" : {  }, "schema" : "https://github.com/citation-style-language/schema/raw/master/csl-citation.json" }</w:instrText>
      </w:r>
      <w:r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(Noyes and Whitney, 1897)</w:t>
      </w:r>
      <w:r w:rsidRPr="008C2309">
        <w:rPr>
          <w:rFonts w:ascii="Times" w:hAnsi="Times" w:cstheme="minorHAnsi"/>
          <w:color w:val="000000" w:themeColor="text1"/>
        </w:rPr>
        <w:fldChar w:fldCharType="end"/>
      </w:r>
      <w:r w:rsidRPr="008C2309">
        <w:rPr>
          <w:rFonts w:ascii="Times" w:hAnsi="Times" w:cstheme="minorHAnsi"/>
          <w:color w:val="000000" w:themeColor="text1"/>
        </w:rPr>
        <w:t xml:space="preserve">. As a general guide, it is accepted that the Tg-50 Kelvin rule should apply to allow </w:t>
      </w:r>
      <w:r w:rsidR="0092205A" w:rsidRPr="008C2309">
        <w:rPr>
          <w:rFonts w:ascii="Times" w:hAnsi="Times" w:cstheme="minorHAnsi"/>
          <w:color w:val="000000" w:themeColor="text1"/>
        </w:rPr>
        <w:t xml:space="preserve">for physical </w:t>
      </w:r>
      <w:r w:rsidRPr="008C2309">
        <w:rPr>
          <w:rFonts w:ascii="Times" w:hAnsi="Times" w:cstheme="minorHAnsi"/>
          <w:color w:val="000000" w:themeColor="text1"/>
        </w:rPr>
        <w:t xml:space="preserve">stability </w:t>
      </w:r>
      <w:r w:rsidR="0092205A" w:rsidRPr="008C2309">
        <w:rPr>
          <w:rFonts w:ascii="Times" w:hAnsi="Times" w:cstheme="minorHAnsi"/>
          <w:color w:val="000000" w:themeColor="text1"/>
        </w:rPr>
        <w:t xml:space="preserve">on </w:t>
      </w:r>
      <w:r w:rsidRPr="008C2309">
        <w:rPr>
          <w:rFonts w:ascii="Times" w:hAnsi="Times" w:cstheme="minorHAnsi"/>
          <w:color w:val="000000" w:themeColor="text1"/>
        </w:rPr>
        <w:t>long term storage</w:t>
      </w:r>
      <w:r w:rsidR="009528CA" w:rsidRPr="008C2309">
        <w:rPr>
          <w:rFonts w:ascii="Times" w:hAnsi="Times" w:cstheme="minorHAnsi"/>
          <w:color w:val="000000" w:themeColor="text1"/>
        </w:rPr>
        <w:t xml:space="preserve"> </w:t>
      </w:r>
      <w:r w:rsidR="00230AD9"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"10.1023/A:1016292416526", "ISSN" : "1573-904X", "abstract" : "Purpose. To measure the molecular mobility of amorphous pharmaceutical solids below their glass transition temperatures (Tg), using indomethacin, poly (vinyl pyrrolidone) (PVP) and sucrose as model compounds.", "author" : [ { "dropping-particle" : "", "family" : "Hancock", "given" : "Bruno C", "non-dropping-particle" : "", "parse-names" : false, "suffix" : "" }, { "dropping-particle" : "", "family" : "Shamblin", "given" : "Sheri L", "non-dropping-particle" : "", "parse-names" : false, "suffix" : "" }, { "dropping-particle" : "", "family" : "Zografi", "given" : "George", "non-dropping-particle" : "", "parse-names" : false, "suffix" : "" } ], "container-title" : "Pharmaceutical Research", "id" : "ITEM-1", "issue" : "6", "issued" : { "date-parts" : [ [ "1995" ] ] }, "page" : "799-806", "title" : "Molecular Mobility of Amorphous Pharmaceutical Solids Below Their Glass Transition Temperatures", "type" : "article-journal", "volume" : "12" }, "uris" : [ "http://www.mendeley.com/documents/?uuid=fc41ed2e-765d-4163-8473-c0c172d4c84b", "http://www.mendeley.com/documents/?uuid=db399a24-d9f0-4654-a9cd-2fef077aa5df" ] } ], "mendeley" : { "formattedCitation" : "(Hancock et al., 1995)", "plainTextFormattedCitation" : "(Hancock et al., 1995)", "previouslyFormattedCitation" : "(Hancock et al., 1995)" }, "properties" : {  }, "schema" : "https://github.com/citation-style-language/schema/raw/master/csl-citation.json" }</w:instrText>
      </w:r>
      <w:r w:rsidR="00230AD9"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(Hancock et al., 1995)</w:t>
      </w:r>
      <w:r w:rsidR="00230AD9" w:rsidRPr="008C2309">
        <w:rPr>
          <w:rFonts w:ascii="Times" w:hAnsi="Times" w:cstheme="minorHAnsi"/>
          <w:color w:val="000000" w:themeColor="text1"/>
        </w:rPr>
        <w:fldChar w:fldCharType="end"/>
      </w:r>
      <w:r w:rsidRPr="008C2309">
        <w:rPr>
          <w:rFonts w:ascii="Times" w:hAnsi="Times" w:cstheme="minorHAnsi"/>
          <w:color w:val="000000" w:themeColor="text1"/>
        </w:rPr>
        <w:t xml:space="preserve">. Practically, </w:t>
      </w:r>
      <w:r w:rsidR="005546EE" w:rsidRPr="008C2309">
        <w:t>the higher the Tg of an amorphous system, the longer it would be expected to remain stable in an amorphous state at relevant pharmaceutical temperatures</w:t>
      </w:r>
      <w:r w:rsidR="009528CA" w:rsidRPr="008C2309">
        <w:t xml:space="preserve"> </w:t>
      </w:r>
      <w:r w:rsidR="00230AD9"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"10.1023/A:1016292416526", "ISSN" : "1573-904X", "abstract" : "Purpose. To measure the molecular mobility of amorphous pharmaceutical solids below their glass transition temperatures (Tg), using indomethacin, poly (vinyl pyrrolidone) (PVP) and sucrose as model compounds.", "author" : [ { "dropping-particle" : "", "family" : "Hancock", "given" : "Bruno C", "non-dropping-particle" : "", "parse-names" : false, "suffix" : "" }, { "dropping-particle" : "", "family" : "Shamblin", "given" : "Sheri L", "non-dropping-particle" : "", "parse-names" : false, "suffix" : "" }, { "dropping-particle" : "", "family" : "Zografi", "given" : "George", "non-dropping-particle" : "", "parse-names" : false, "suffix" : "" } ], "container-title" : "Pharmaceutical Research", "id" : "ITEM-1", "issue" : "6", "issued" : { "date-parts" : [ [ "1995" ] ] }, "page" : "799-806", "title" : "Molecular Mobility of Amorphous Pharmaceutical Solids Below Their Glass Transition Temperatures", "type" : "article-journal", "volume" : "12" }, "uris" : [ "http://www.mendeley.com/documents/?uuid=db399a24-d9f0-4654-a9cd-2fef077aa5df", "http://www.mendeley.com/documents/?uuid=fc41ed2e-765d-4163-8473-c0c172d4c84b" ] } ], "mendeley" : { "formattedCitation" : "(Hancock et al., 1995)", "plainTextFormattedCitation" : "(Hancock et al., 1995)", "previouslyFormattedCitation" : "(Hancock et al., 1995)" }, "properties" : {  }, "schema" : "https://github.com/citation-style-language/schema/raw/master/csl-citation.json" }</w:instrText>
      </w:r>
      <w:r w:rsidR="00230AD9"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(Hancock et al., 1995)</w:t>
      </w:r>
      <w:r w:rsidR="00230AD9" w:rsidRPr="008C2309">
        <w:rPr>
          <w:rFonts w:ascii="Times" w:hAnsi="Times" w:cstheme="minorHAnsi"/>
          <w:color w:val="000000" w:themeColor="text1"/>
        </w:rPr>
        <w:fldChar w:fldCharType="end"/>
      </w:r>
      <w:r w:rsidRPr="008C2309">
        <w:rPr>
          <w:rFonts w:ascii="Times" w:hAnsi="Times" w:cstheme="minorHAnsi"/>
          <w:color w:val="000000" w:themeColor="text1"/>
        </w:rPr>
        <w:t>.</w:t>
      </w:r>
      <w:r w:rsidR="00D638FB" w:rsidRPr="008C2309">
        <w:rPr>
          <w:rFonts w:ascii="Times" w:hAnsi="Times" w:cstheme="minorHAnsi"/>
          <w:color w:val="000000" w:themeColor="text1"/>
        </w:rPr>
        <w:t xml:space="preserve"> As well as temperature, moisture also can induce recrystallization of amorphous formulations</w:t>
      </w:r>
      <w:r w:rsidR="009528CA" w:rsidRPr="008C2309">
        <w:rPr>
          <w:rFonts w:ascii="Times" w:hAnsi="Times" w:cstheme="minorHAnsi"/>
          <w:color w:val="000000" w:themeColor="text1"/>
        </w:rPr>
        <w:t xml:space="preserve"> </w:t>
      </w:r>
      <w:r w:rsidR="00230AD9"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"10.1021/jf60059a010", "ISSN" : "0021-8561", "abstract" : "Amorphous (metastable) sucrose and glucose powders were exposed to relative humidities ranging from 4.6 to 33.6% at 25\u201d C. At humidities lower than about 12% for sucrose and 5% for glucose, moisture equilibrium was attained and practically no crystallization occurred in nearly 3 years. A vapor pressure isotherm was evaluated for sucrose-water solutions from 0 to 100% sucrose at 25\u201d C. At higher humidities the absorbed water initiated crystallization of the sugars with subsequent release of moisture to yield essentially anhydrous materials. The rate of crystallization of amorphous sucrose, evaluated from changes in the moisture content, followed an exponential law with respect to time, after an initial induction period. This period was interpreted to be the time for a build-up of sufficient nuclei to initiate an appreciable rate of crystallization.", "author" : [ { "dropping-particle" : "", "family" : "Makower", "given" : "Benjamin", "non-dropping-particle" : "", "parse-names" : false, "suffix" : "" }, { "dropping-particle" : "", "family" : "Dye", "given" : "W. B.", "non-dropping-particle" : "", "parse-names" : false, "suffix" : "" } ], "container-title" : "Journal of agricultural and food chemistry", "id" : "ITEM-1", "issue" : "1", "issued" : { "date-parts" : [ [ "1956" ] ] }, "page" : "72-77", "title" : "Equilibrium Moisture Content and Crystallization of Amorphous Sucrose and Glucose", "type" : "article-journal", "volume" : "4" }, "uris" : [ "http://www.mendeley.com/documents/?uuid=673f7cb3-6157-4545-ab41-e2eb4b34f5d3", "http://www.mendeley.com/documents/?uuid=68a0129f-c135-431a-8cfd-fa4f6bafa25f" ] }, { "id" : "ITEM-2", "itemData" : { "DOI" : "10.1007/s11095-007-9331-3", "ISSN" : "1573-904X", "abstract" : "To investigate the ability of various polymers to inhibit the crystallization of amorphous felodipine from amorphous molecular dispersions in the presence of absorbed moisture.", "author" : [ { "dropping-particle" : "", "family" : "Konno", "given" : "Hajime", "non-dropping-particle" : "", "parse-names" : false, "suffix" : "" }, { "dropping-particle" : "", "family" : "Taylor", "given" : "Lynne S", "non-dropping-particle" : "", "parse-names" : false, "suffix" : "" } ], "container-title" : "Pharmaceutical Research", "id" : "ITEM-2", "issue" : "4", "issued" : { "date-parts" : [ [ "2008" ] ] }, "page" : "969-978", "title" : "Ability of Different Polymers to Inhibit the Crystallization of Amorphous Felodipine in the Presence of Moisture", "type" : "article-journal", "volume" : "25" }, "uris" : [ "http://www.mendeley.com/documents/?uuid=e5c8a68e-3d89-4a2b-8d7e-688098c43f7e", "http://www.mendeley.com/documents/?uuid=55aa4b51-d013-4b3b-869a-f2d6c6309a33" ] } ], "mendeley" : { "formattedCitation" : "(Konno and Taylor, 2008; Makower and Dye, 1956)", "plainTextFormattedCitation" : "(Konno and Taylor, 2008; Makower and Dye, 1956)", "previouslyFormattedCitation" : "(Konno and Taylor, 2008; Makower and Dye, 1956)" }, "properties" : {  }, "schema" : "https://github.com/citation-style-language/schema/raw/master/csl-citation.json" }</w:instrText>
      </w:r>
      <w:r w:rsidR="00230AD9"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(Konno and Taylor, 2008; Makower and Dye, 1956)</w:t>
      </w:r>
      <w:r w:rsidR="00230AD9" w:rsidRPr="008C2309">
        <w:rPr>
          <w:rFonts w:ascii="Times" w:hAnsi="Times" w:cstheme="minorHAnsi"/>
          <w:color w:val="000000" w:themeColor="text1"/>
        </w:rPr>
        <w:fldChar w:fldCharType="end"/>
      </w:r>
      <w:r w:rsidR="00230AD9" w:rsidRPr="008C2309">
        <w:rPr>
          <w:rFonts w:ascii="Times" w:hAnsi="Times" w:cstheme="minorHAnsi"/>
          <w:color w:val="000000" w:themeColor="text1"/>
        </w:rPr>
        <w:t>.</w:t>
      </w:r>
      <w:r w:rsidR="00827852" w:rsidRPr="008C2309">
        <w:rPr>
          <w:rFonts w:ascii="Arial" w:hAnsi="Arial" w:cstheme="minorBidi"/>
          <w:sz w:val="22"/>
          <w:szCs w:val="22"/>
          <w:lang w:val="en-IE" w:eastAsia="en-US"/>
        </w:rPr>
        <w:t xml:space="preserve"> </w:t>
      </w:r>
      <w:r w:rsidR="00827852" w:rsidRPr="008C2309">
        <w:rPr>
          <w:rFonts w:ascii="Times" w:hAnsi="Times" w:cstheme="minorHAnsi"/>
          <w:color w:val="000000" w:themeColor="text1"/>
          <w:lang w:val="en-IE"/>
        </w:rPr>
        <w:t xml:space="preserve">Water is able to </w:t>
      </w:r>
      <w:r w:rsidR="00827852" w:rsidRPr="008C2309">
        <w:rPr>
          <w:rFonts w:ascii="Times" w:hAnsi="Times" w:cstheme="minorHAnsi"/>
          <w:color w:val="000000" w:themeColor="text1"/>
          <w:lang w:val="en-IE"/>
        </w:rPr>
        <w:lastRenderedPageBreak/>
        <w:t xml:space="preserve">absorb and adsorb onto polar functional </w:t>
      </w:r>
      <w:r w:rsidR="00581FD8" w:rsidRPr="008C2309">
        <w:rPr>
          <w:rFonts w:ascii="Times" w:hAnsi="Times" w:cstheme="minorHAnsi"/>
          <w:color w:val="000000" w:themeColor="text1"/>
          <w:lang w:val="en-IE"/>
        </w:rPr>
        <w:t>groups of hydrophilic polymers</w:t>
      </w:r>
      <w:r w:rsidR="009528CA" w:rsidRPr="008C2309">
        <w:rPr>
          <w:rFonts w:ascii="Times" w:hAnsi="Times" w:cstheme="minorHAnsi"/>
          <w:color w:val="000000" w:themeColor="text1"/>
          <w:lang w:val="en-IE"/>
        </w:rPr>
        <w:t xml:space="preserve"> </w:t>
      </w:r>
      <w:r w:rsidR="00581FD8" w:rsidRPr="008C2309">
        <w:rPr>
          <w:rFonts w:ascii="Times" w:hAnsi="Times" w:cstheme="minorHAnsi"/>
          <w:color w:val="000000" w:themeColor="text1"/>
          <w:lang w:val="en-IE"/>
        </w:rPr>
        <w:fldChar w:fldCharType="begin" w:fldLock="1"/>
      </w:r>
      <w:r w:rsidR="00432184" w:rsidRPr="008C2309">
        <w:rPr>
          <w:rFonts w:ascii="Times" w:hAnsi="Times" w:cstheme="minorHAnsi"/>
          <w:color w:val="000000" w:themeColor="text1"/>
          <w:lang w:val="en-IE"/>
        </w:rPr>
        <w:instrText>ADDIN CSL_CITATION { "citationItems" : [ { "id" : "ITEM-1", "itemData" : { "DOI" : "http://dx.doi.org/10.1021/js960188d", "ISSN" : "0022-3549", "author" : [ { "dropping-particle" : "", "family" : "Thibert", "given" : "Roch", "non-dropping-particle" : "", "parse-names" : false, "suffix" : "" }, { "dropping-particle" : "", "family" : "Hancock", "given" : "Bruno C", "non-dropping-particle" : "", "parse-names" : false, "suffix" : "" } ], "container-title" : "Journal of Pharmaceutical Sciences", "id" : "ITEM-1", "issue" : "11", "issued" : { "date-parts" : [ [ "1996" ] ] }, "page" : "1255-1258", "title" : "Direct visualization of Superdisintegrant Hydration Using Environmental Scanning Electron Microscopy", "type" : "article-journal", "volume" : "85" }, "uris" : [ "http://www.mendeley.com/documents/?uuid=06e78c2e-f497-4c33-89e5-f30750958e89", "http://www.mendeley.com/documents/?uuid=54f6a710-77e6-4dff-bf0a-6e6ee172ec03" ] } ], "mendeley" : { "formattedCitation" : "(Thibert and Hancock, 1996)", "plainTextFormattedCitation" : "(Thibert and Hancock, 1996)", "previouslyFormattedCitation" : "(Thibert and Hancock, 1996)" }, "properties" : {  }, "schema" : "https://github.com/citation-style-language/schema/raw/master/csl-citation.json" }</w:instrText>
      </w:r>
      <w:r w:rsidR="00581FD8" w:rsidRPr="008C2309">
        <w:rPr>
          <w:rFonts w:ascii="Times" w:hAnsi="Times" w:cstheme="minorHAnsi"/>
          <w:color w:val="000000" w:themeColor="text1"/>
          <w:lang w:val="en-IE"/>
        </w:rPr>
        <w:fldChar w:fldCharType="separate"/>
      </w:r>
      <w:r w:rsidR="00B33BE2" w:rsidRPr="008C2309">
        <w:rPr>
          <w:rFonts w:ascii="Times" w:hAnsi="Times" w:cstheme="minorHAnsi"/>
          <w:noProof/>
          <w:color w:val="000000" w:themeColor="text1"/>
          <w:lang w:val="en-IE"/>
        </w:rPr>
        <w:t>(Thibert and Hancock, 1996)</w:t>
      </w:r>
      <w:r w:rsidR="00581FD8" w:rsidRPr="008C2309">
        <w:rPr>
          <w:rFonts w:ascii="Times" w:hAnsi="Times" w:cstheme="minorHAnsi"/>
          <w:color w:val="000000" w:themeColor="text1"/>
          <w:lang w:val="en-IE"/>
        </w:rPr>
        <w:fldChar w:fldCharType="end"/>
      </w:r>
      <w:r w:rsidR="006B5C5D" w:rsidRPr="008C2309">
        <w:rPr>
          <w:rFonts w:ascii="Times" w:hAnsi="Times" w:cstheme="minorHAnsi"/>
          <w:color w:val="000000" w:themeColor="text1"/>
          <w:lang w:val="en-IE"/>
        </w:rPr>
        <w:t>. T</w:t>
      </w:r>
      <w:r w:rsidR="00827852" w:rsidRPr="008C2309">
        <w:rPr>
          <w:rFonts w:ascii="Times" w:hAnsi="Times" w:cstheme="minorHAnsi"/>
          <w:color w:val="000000" w:themeColor="text1"/>
          <w:lang w:val="en-IE"/>
        </w:rPr>
        <w:t>he interaction of the water with the amorphous material lowers the Tg of the formulation due to its universal activity as a plasticiser</w:t>
      </w:r>
      <w:r w:rsidR="009528CA" w:rsidRPr="008C2309">
        <w:rPr>
          <w:rFonts w:ascii="Times" w:hAnsi="Times" w:cstheme="minorHAnsi"/>
          <w:color w:val="000000" w:themeColor="text1"/>
          <w:lang w:val="en-IE"/>
        </w:rPr>
        <w:t xml:space="preserve"> </w:t>
      </w:r>
      <w:r w:rsidR="00F17AFA" w:rsidRPr="008C2309">
        <w:rPr>
          <w:rFonts w:ascii="Times" w:hAnsi="Times" w:cstheme="minorHAnsi"/>
          <w:color w:val="000000" w:themeColor="text1"/>
          <w:lang w:val="en-IE"/>
        </w:rPr>
        <w:fldChar w:fldCharType="begin" w:fldLock="1"/>
      </w:r>
      <w:r w:rsidR="00432184" w:rsidRPr="008C2309">
        <w:rPr>
          <w:rFonts w:ascii="Times" w:hAnsi="Times" w:cstheme="minorHAnsi"/>
          <w:color w:val="000000" w:themeColor="text1"/>
          <w:lang w:val="en-IE"/>
        </w:rPr>
        <w:instrText>ADDIN CSL_CITATION { "citationItems" : [ { "id" : "ITEM-1", "itemData" : { "DOI" : "10.4103/2230-973X.96922", "ISSN" : "2230-973X", "abstract" : "In this paper we give an overview about the interaction of water molecules with pharmaceutical excipients. Most of these excipients are amorphous or partially amorphous polymers and their characteristics are very sensitive to the water content. In the course of the manufacturing processes water sorption is possible, therefore in some cases it is important to strictly control the residual moisture content of a dosage form. There are several mechanisms of water sorption, like water is able to bind to polar groups of hygroscopic excipients and could also exist in the capillary system of amorphous excipients. Several techniques are available to characterise the states of water inside the materials and the effects of residual water on polymers. For this purpose water sorption measurements, differential scanning calorimetry and the Fourier-transform infrared spectroscopy are reviewed. The importance of water content and storage conditions of pharmaceuticals on the properties of the final dosage forms are also demonstrated with practical examples. ", "author" : [ { "dropping-particle" : "", "family" : "Szakonyi", "given" : "Gergely", "non-dropping-particle" : "", "parse-names" : false, "suffix" : "" }, { "dropping-particle" : "", "family" : "Zelk\u00f3", "given" : "Rom\u00e1na", "non-dropping-particle" : "", "parse-names" : false, "suffix" : "" } ], "container-title" : "International Journal of Pharmaceutical Investigation", "id" : "ITEM-1", "issue" : "1", "issued" : { "date-parts" : [ [ "2012" ] ] }, "page" : "18-25", "publisher" : "Medknow Publications &amp; Media Pvt Ltd", "publisher-place" : "India", "title" : "The effect of water on the solid state characteristics of pharmaceutical excipients: Molecular mechanisms, measurement techniques, and quality aspects of final dosage form", "type" : "article-journal", "volume" : "2" }, "uris" : [ "http://www.mendeley.com/documents/?uuid=232fdeca-6dbd-4d15-8f6a-8ae3e138768c", "http://www.mendeley.com/documents/?uuid=5d00c6a9-393e-4a77-acff-3776c6208726" ] } ], "mendeley" : { "formattedCitation" : "(Szakonyi and Zelk\u00f3, 2012)", "plainTextFormattedCitation" : "(Szakonyi and Zelk\u00f3, 2012)", "previouslyFormattedCitation" : "(Szakonyi and Zelk\u00f3, 2012)" }, "properties" : {  }, "schema" : "https://github.com/citation-style-language/schema/raw/master/csl-citation.json" }</w:instrText>
      </w:r>
      <w:r w:rsidR="00F17AFA" w:rsidRPr="008C2309">
        <w:rPr>
          <w:rFonts w:ascii="Times" w:hAnsi="Times" w:cstheme="minorHAnsi"/>
          <w:color w:val="000000" w:themeColor="text1"/>
          <w:lang w:val="en-IE"/>
        </w:rPr>
        <w:fldChar w:fldCharType="separate"/>
      </w:r>
      <w:r w:rsidR="00B33BE2" w:rsidRPr="008C2309">
        <w:rPr>
          <w:rFonts w:ascii="Times" w:hAnsi="Times" w:cstheme="minorHAnsi"/>
          <w:noProof/>
          <w:color w:val="000000" w:themeColor="text1"/>
          <w:lang w:val="en-IE"/>
        </w:rPr>
        <w:t>(Szakonyi and Zelkó, 2012)</w:t>
      </w:r>
      <w:r w:rsidR="00F17AFA" w:rsidRPr="008C2309">
        <w:rPr>
          <w:rFonts w:ascii="Times" w:hAnsi="Times" w:cstheme="minorHAnsi"/>
          <w:color w:val="000000" w:themeColor="text1"/>
          <w:lang w:val="en-IE"/>
        </w:rPr>
        <w:fldChar w:fldCharType="end"/>
      </w:r>
      <w:r w:rsidR="000461C2" w:rsidRPr="008C2309">
        <w:rPr>
          <w:rFonts w:ascii="Times" w:hAnsi="Times" w:cstheme="minorHAnsi"/>
          <w:color w:val="000000" w:themeColor="text1"/>
          <w:lang w:val="en-IE"/>
        </w:rPr>
        <w:t xml:space="preserve"> - </w:t>
      </w:r>
      <w:r w:rsidR="00827852" w:rsidRPr="008C2309">
        <w:rPr>
          <w:rFonts w:ascii="Times" w:hAnsi="Times" w:cstheme="minorHAnsi"/>
          <w:color w:val="000000" w:themeColor="text1"/>
          <w:lang w:val="en-IE"/>
        </w:rPr>
        <w:t>water molecules may be able to penetrate into the hydrophilic polymer matrix, increasing the distance between polymer chains and thus result</w:t>
      </w:r>
      <w:r w:rsidR="004E1AAD" w:rsidRPr="008C2309">
        <w:rPr>
          <w:rFonts w:ascii="Times" w:hAnsi="Times" w:cstheme="minorHAnsi"/>
          <w:color w:val="000000" w:themeColor="text1"/>
          <w:lang w:val="en-IE"/>
        </w:rPr>
        <w:t>ing</w:t>
      </w:r>
      <w:r w:rsidR="00827852" w:rsidRPr="008C2309">
        <w:rPr>
          <w:rFonts w:ascii="Times" w:hAnsi="Times" w:cstheme="minorHAnsi"/>
          <w:color w:val="000000" w:themeColor="text1"/>
          <w:lang w:val="en-IE"/>
        </w:rPr>
        <w:t xml:space="preserve"> in greater free volume for molecular movement to occur</w:t>
      </w:r>
      <w:r w:rsidR="009528CA" w:rsidRPr="008C2309">
        <w:rPr>
          <w:rFonts w:ascii="Times" w:hAnsi="Times" w:cstheme="minorHAnsi"/>
          <w:color w:val="000000" w:themeColor="text1"/>
          <w:lang w:val="en-IE"/>
        </w:rPr>
        <w:t xml:space="preserve"> </w:t>
      </w:r>
      <w:r w:rsidR="008E2C88" w:rsidRPr="008C2309">
        <w:rPr>
          <w:rFonts w:ascii="Times" w:hAnsi="Times" w:cstheme="minorHAnsi"/>
          <w:color w:val="000000" w:themeColor="text1"/>
          <w:lang w:val="en-IE"/>
        </w:rPr>
        <w:fldChar w:fldCharType="begin" w:fldLock="1"/>
      </w:r>
      <w:r w:rsidR="00432184" w:rsidRPr="008C2309">
        <w:rPr>
          <w:rFonts w:ascii="Times" w:hAnsi="Times" w:cstheme="minorHAnsi"/>
          <w:color w:val="000000" w:themeColor="text1"/>
          <w:lang w:val="en-IE"/>
        </w:rPr>
        <w:instrText>ADDIN CSL_CITATION { "citationItems" : [ { "id" : "ITEM-1", "itemData" : { "DOI" : "10.1007/s12393-009-9009-1", "ISSN" : "1866-7929", "abstract" : "Given the complexity in composition and the various environmental conditions to which foods and pharmaceuticals are exposed during processing and storage, stability, functionality, and quality are key attributes that deserve careful attention. Quality and stability of foods and pharmaceuticals are mainly affected by environmental conditions such as temperature, humidity, and time, and for processing conditions (e.g., shear, pressure) under which they may undergo physical and chemical transformations. Glass transition is a key phenomenon which is useful to understand how external conditions affect physical changes on materials. Consequently, theories that predict and describe the glass transition phenomenon are of a great interest not only for the food industry but also it extends to the pharmaceutical and polymer industries. It is important to emphasize that the materials of relevance in these industries are interchangeably sharing similar issues on functionality and their association with the glass transition phenomenon. Development of new materials and understanding the physicochemical behavior of existing ones require a scientific foundation that translates into safe and high-quality foods, improved quality of pharmaceuticals and nutraceuticals with lower risk to patients, and functional efficacy of polymers used in food and medicinal products. This review addresses the glass transition phenomenon from a kinetics and thermodynamics standpoint by presenting existing models that are able to estimate the glass transition temperature. It also explores traditional and novel methods used for the characterization of the glass transition phenomenon.", "author" : [ { "dropping-particle" : "", "family" : "Abiad", "given" : "M G", "non-dropping-particle" : "", "parse-names" : false, "suffix" : "" }, { "dropping-particle" : "", "family" : "Carvajal", "given" : "M T", "non-dropping-particle" : "", "parse-names" : false, "suffix" : "" }, { "dropping-particle" : "", "family" : "Campanella", "given" : "O H", "non-dropping-particle" : "", "parse-names" : false, "suffix" : "" } ], "container-title" : "Food Engineering Reviews", "id" : "ITEM-1", "issue" : "2", "issued" : { "date-parts" : [ [ "2009" ] ] }, "page" : "105-132", "title" : "A Review on Methods and Theories to Describe the Glass Transition Phenomenon: Applications in Food and Pharmaceutical Products", "type" : "article-journal", "volume" : "1" }, "uris" : [ "http://www.mendeley.com/documents/?uuid=6c0fd8f6-acc4-408a-93bc-38dc954e05e0", "http://www.mendeley.com/documents/?uuid=a1b4768e-26fd-47b0-b810-69f9c72f6d25" ] } ], "mendeley" : { "formattedCitation" : "(Abiad et al., 2009)", "plainTextFormattedCitation" : "(Abiad et al., 2009)", "previouslyFormattedCitation" : "(Abiad et al., 2009)" }, "properties" : {  }, "schema" : "https://github.com/citation-style-language/schema/raw/master/csl-citation.json" }</w:instrText>
      </w:r>
      <w:r w:rsidR="008E2C88" w:rsidRPr="008C2309">
        <w:rPr>
          <w:rFonts w:ascii="Times" w:hAnsi="Times" w:cstheme="minorHAnsi"/>
          <w:color w:val="000000" w:themeColor="text1"/>
          <w:lang w:val="en-IE"/>
        </w:rPr>
        <w:fldChar w:fldCharType="separate"/>
      </w:r>
      <w:r w:rsidR="00B33BE2" w:rsidRPr="008C2309">
        <w:rPr>
          <w:rFonts w:ascii="Times" w:hAnsi="Times" w:cstheme="minorHAnsi"/>
          <w:noProof/>
          <w:color w:val="000000" w:themeColor="text1"/>
          <w:lang w:val="en-IE"/>
        </w:rPr>
        <w:t>(Abiad et al., 2009)</w:t>
      </w:r>
      <w:r w:rsidR="008E2C88" w:rsidRPr="008C2309">
        <w:rPr>
          <w:rFonts w:ascii="Times" w:hAnsi="Times" w:cstheme="minorHAnsi"/>
          <w:color w:val="000000" w:themeColor="text1"/>
          <w:lang w:val="en-IE"/>
        </w:rPr>
        <w:fldChar w:fldCharType="end"/>
      </w:r>
      <w:r w:rsidR="008E2C88" w:rsidRPr="008C2309">
        <w:rPr>
          <w:rFonts w:ascii="Times" w:hAnsi="Times" w:cstheme="minorHAnsi"/>
          <w:color w:val="000000" w:themeColor="text1"/>
          <w:lang w:val="en-IE"/>
        </w:rPr>
        <w:t>.</w:t>
      </w:r>
      <w:r w:rsidR="00190F66" w:rsidRPr="008C2309">
        <w:rPr>
          <w:rFonts w:ascii="Times" w:hAnsi="Times" w:cstheme="minorHAnsi"/>
          <w:color w:val="000000" w:themeColor="text1"/>
          <w:lang w:val="en-IE"/>
        </w:rPr>
        <w:t xml:space="preserve"> </w:t>
      </w:r>
      <w:r w:rsidRPr="008C2309">
        <w:rPr>
          <w:rFonts w:ascii="Times" w:hAnsi="Times" w:cstheme="minorHAnsi"/>
          <w:color w:val="000000" w:themeColor="text1"/>
        </w:rPr>
        <w:t xml:space="preserve">SD and HME products were tested for stability at two different relative </w:t>
      </w:r>
      <w:r w:rsidR="000461C2" w:rsidRPr="008C2309">
        <w:rPr>
          <w:rFonts w:ascii="Times" w:hAnsi="Times" w:cstheme="minorHAnsi"/>
          <w:color w:val="000000" w:themeColor="text1"/>
        </w:rPr>
        <w:t>humidities</w:t>
      </w:r>
      <w:r w:rsidRPr="008C2309">
        <w:rPr>
          <w:rFonts w:ascii="Times" w:hAnsi="Times" w:cstheme="minorHAnsi"/>
          <w:color w:val="000000" w:themeColor="text1"/>
        </w:rPr>
        <w:t>, RH</w:t>
      </w:r>
      <w:r w:rsidR="005546EE" w:rsidRPr="008C2309">
        <w:rPr>
          <w:rFonts w:ascii="Times" w:hAnsi="Times" w:cstheme="minorHAnsi"/>
          <w:color w:val="000000" w:themeColor="text1"/>
        </w:rPr>
        <w:t>=7</w:t>
      </w:r>
      <w:r w:rsidRPr="008C2309">
        <w:rPr>
          <w:rFonts w:ascii="Times" w:hAnsi="Times" w:cstheme="minorHAnsi"/>
          <w:color w:val="000000" w:themeColor="text1"/>
        </w:rPr>
        <w:t>5% and RH&lt;10%. Both conditions were maintained at 25</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 xml:space="preserve">°C. </w:t>
      </w:r>
    </w:p>
    <w:p w14:paraId="2289484E" w14:textId="77777777" w:rsidR="00190F66" w:rsidRPr="008C2309" w:rsidRDefault="00190F66" w:rsidP="00E41DED">
      <w:pPr>
        <w:spacing w:line="480" w:lineRule="auto"/>
        <w:jc w:val="both"/>
        <w:rPr>
          <w:rFonts w:ascii="Times" w:hAnsi="Times" w:cstheme="minorHAnsi"/>
          <w:color w:val="000000" w:themeColor="text1"/>
        </w:rPr>
      </w:pPr>
    </w:p>
    <w:p w14:paraId="6BBB4096" w14:textId="76D3484A" w:rsidR="00767F93" w:rsidRPr="008C2309" w:rsidRDefault="00767F93"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 xml:space="preserve">All SD formulations remained completely PXRD amorphous at </w:t>
      </w:r>
      <w:r w:rsidR="00BC155E" w:rsidRPr="008C2309">
        <w:rPr>
          <w:rFonts w:ascii="Times" w:hAnsi="Times" w:cstheme="minorHAnsi"/>
          <w:color w:val="000000" w:themeColor="text1"/>
        </w:rPr>
        <w:t>stability conditions &lt;10%RH</w:t>
      </w:r>
      <w:r w:rsidR="000D3B39" w:rsidRPr="008C2309">
        <w:rPr>
          <w:rFonts w:ascii="Times" w:hAnsi="Times" w:cstheme="minorHAnsi"/>
          <w:color w:val="000000" w:themeColor="text1"/>
        </w:rPr>
        <w:t>/</w:t>
      </w:r>
      <w:r w:rsidR="00BC155E" w:rsidRPr="008C2309">
        <w:rPr>
          <w:rFonts w:ascii="Times" w:hAnsi="Times" w:cstheme="minorHAnsi"/>
          <w:color w:val="000000" w:themeColor="text1"/>
        </w:rPr>
        <w:t>25</w:t>
      </w:r>
      <w:r w:rsidR="00E1397E" w:rsidRPr="008C2309">
        <w:rPr>
          <w:rFonts w:ascii="Times" w:hAnsi="Times" w:cstheme="minorHAnsi"/>
          <w:color w:val="000000" w:themeColor="text1"/>
        </w:rPr>
        <w:t xml:space="preserve"> </w:t>
      </w:r>
      <w:r w:rsidR="00BC155E" w:rsidRPr="008C2309">
        <w:rPr>
          <w:rFonts w:ascii="Times" w:hAnsi="Times" w:cstheme="minorHAnsi"/>
          <w:color w:val="000000" w:themeColor="text1"/>
        </w:rPr>
        <w:t>°C</w:t>
      </w:r>
      <w:r w:rsidRPr="008C2309">
        <w:rPr>
          <w:rFonts w:ascii="Times" w:hAnsi="Times" w:cstheme="minorHAnsi"/>
          <w:color w:val="000000" w:themeColor="text1"/>
        </w:rPr>
        <w:t xml:space="preserve"> throughout the entire stability study</w:t>
      </w:r>
      <w:r w:rsidR="000D3B39" w:rsidRPr="008C2309">
        <w:rPr>
          <w:rFonts w:ascii="Times" w:hAnsi="Times" w:cstheme="minorHAnsi"/>
          <w:color w:val="000000" w:themeColor="text1"/>
        </w:rPr>
        <w:t xml:space="preserve"> (60 days)</w:t>
      </w:r>
      <w:r w:rsidR="00C55EB3" w:rsidRPr="008C2309">
        <w:rPr>
          <w:rFonts w:ascii="Times" w:hAnsi="Times" w:cstheme="minorHAnsi"/>
          <w:color w:val="000000" w:themeColor="text1"/>
        </w:rPr>
        <w:t xml:space="preserve"> (</w:t>
      </w:r>
      <w:r w:rsidR="008717DC" w:rsidRPr="008C2309">
        <w:rPr>
          <w:rFonts w:ascii="Times" w:hAnsi="Times" w:cstheme="minorHAnsi"/>
          <w:color w:val="000000" w:themeColor="text1"/>
        </w:rPr>
        <w:t xml:space="preserve">Supplemental </w:t>
      </w:r>
      <w:r w:rsidR="00C55EB3" w:rsidRPr="008C2309">
        <w:rPr>
          <w:rFonts w:ascii="Times" w:hAnsi="Times" w:cstheme="minorHAnsi"/>
          <w:color w:val="000000" w:themeColor="text1"/>
        </w:rPr>
        <w:t xml:space="preserve">Figure </w:t>
      </w:r>
      <w:r w:rsidR="008717DC" w:rsidRPr="008C2309">
        <w:rPr>
          <w:rFonts w:ascii="Times" w:hAnsi="Times" w:cstheme="minorHAnsi"/>
          <w:color w:val="000000" w:themeColor="text1"/>
        </w:rPr>
        <w:t xml:space="preserve">S </w:t>
      </w:r>
      <w:r w:rsidR="000D0359" w:rsidRPr="008C2309">
        <w:rPr>
          <w:rFonts w:ascii="Times" w:hAnsi="Times" w:cstheme="minorHAnsi"/>
          <w:color w:val="000000" w:themeColor="text1"/>
        </w:rPr>
        <w:t>9</w:t>
      </w:r>
      <w:r w:rsidR="00BC155E" w:rsidRPr="008C2309">
        <w:rPr>
          <w:rFonts w:ascii="Times" w:hAnsi="Times" w:cstheme="minorHAnsi"/>
          <w:color w:val="000000" w:themeColor="text1"/>
        </w:rPr>
        <w:t xml:space="preserve"> (a)-(c))</w:t>
      </w:r>
      <w:r w:rsidRPr="008C2309">
        <w:rPr>
          <w:rFonts w:ascii="Times" w:hAnsi="Times" w:cstheme="minorHAnsi"/>
          <w:color w:val="000000" w:themeColor="text1"/>
        </w:rPr>
        <w:t xml:space="preserve">. mDSC studies showed similar results </w:t>
      </w:r>
      <w:r w:rsidR="000D3B39" w:rsidRPr="008C2309">
        <w:rPr>
          <w:rFonts w:ascii="Times" w:hAnsi="Times" w:cstheme="minorHAnsi"/>
          <w:color w:val="000000" w:themeColor="text1"/>
        </w:rPr>
        <w:t xml:space="preserve">as for </w:t>
      </w:r>
      <w:r w:rsidRPr="008C2309">
        <w:rPr>
          <w:rFonts w:ascii="Times" w:hAnsi="Times" w:cstheme="minorHAnsi"/>
          <w:color w:val="000000" w:themeColor="text1"/>
        </w:rPr>
        <w:t>the initial products tested</w:t>
      </w:r>
      <w:r w:rsidR="000D3B39" w:rsidRPr="008C2309">
        <w:rPr>
          <w:rFonts w:ascii="Times" w:hAnsi="Times" w:cstheme="minorHAnsi"/>
          <w:color w:val="000000" w:themeColor="text1"/>
        </w:rPr>
        <w:t xml:space="preserve"> (at t=0)</w:t>
      </w:r>
      <w:r w:rsidR="00F753C9" w:rsidRPr="008C2309">
        <w:rPr>
          <w:rFonts w:ascii="Times" w:hAnsi="Times" w:cstheme="minorHAnsi"/>
          <w:color w:val="000000" w:themeColor="text1"/>
        </w:rPr>
        <w:t>,</w:t>
      </w:r>
      <w:r w:rsidRPr="008C2309">
        <w:rPr>
          <w:rFonts w:ascii="Times" w:hAnsi="Times" w:cstheme="minorHAnsi"/>
          <w:color w:val="000000" w:themeColor="text1"/>
        </w:rPr>
        <w:t xml:space="preserve"> with SD-F1 displaying one clear Tg at 11</w:t>
      </w:r>
      <w:r w:rsidR="000B16D4" w:rsidRPr="008C2309">
        <w:rPr>
          <w:rFonts w:ascii="Times" w:hAnsi="Times" w:cstheme="minorHAnsi"/>
          <w:color w:val="000000" w:themeColor="text1"/>
        </w:rPr>
        <w:t>3</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 xml:space="preserve">°C, SD-F2 displaying two clear Tgs at </w:t>
      </w:r>
      <w:r w:rsidR="00B92564" w:rsidRPr="008C2309">
        <w:rPr>
          <w:rFonts w:ascii="Times" w:hAnsi="Times" w:cstheme="minorHAnsi"/>
          <w:color w:val="000000" w:themeColor="text1"/>
        </w:rPr>
        <w:t>52</w:t>
      </w:r>
      <w:r w:rsidRPr="008C2309">
        <w:rPr>
          <w:rFonts w:ascii="Times" w:hAnsi="Times" w:cstheme="minorHAnsi"/>
          <w:color w:val="000000" w:themeColor="text1"/>
        </w:rPr>
        <w:t xml:space="preserve">°C and </w:t>
      </w:r>
      <w:r w:rsidR="00B92564" w:rsidRPr="008C2309">
        <w:rPr>
          <w:rFonts w:ascii="Times" w:hAnsi="Times" w:cstheme="minorHAnsi"/>
          <w:color w:val="000000" w:themeColor="text1"/>
        </w:rPr>
        <w:t>9</w:t>
      </w:r>
      <w:r w:rsidR="000B16D4" w:rsidRPr="008C2309">
        <w:rPr>
          <w:rFonts w:ascii="Times" w:hAnsi="Times" w:cstheme="minorHAnsi"/>
          <w:color w:val="000000" w:themeColor="text1"/>
        </w:rPr>
        <w:t>4</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 xml:space="preserve">°C and SD-F3 displaying two Tgs at </w:t>
      </w:r>
      <w:r w:rsidR="00B92564" w:rsidRPr="008C2309">
        <w:rPr>
          <w:rFonts w:ascii="Times" w:hAnsi="Times" w:cstheme="minorHAnsi"/>
          <w:color w:val="000000" w:themeColor="text1"/>
        </w:rPr>
        <w:t>5</w:t>
      </w:r>
      <w:r w:rsidR="000B16D4" w:rsidRPr="008C2309">
        <w:rPr>
          <w:rFonts w:ascii="Times" w:hAnsi="Times" w:cstheme="minorHAnsi"/>
          <w:color w:val="000000" w:themeColor="text1"/>
        </w:rPr>
        <w:t>9</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 xml:space="preserve">°C and </w:t>
      </w:r>
      <w:r w:rsidR="00B92564" w:rsidRPr="008C2309">
        <w:rPr>
          <w:rFonts w:ascii="Times" w:hAnsi="Times" w:cstheme="minorHAnsi"/>
          <w:color w:val="000000" w:themeColor="text1"/>
        </w:rPr>
        <w:t>8</w:t>
      </w:r>
      <w:r w:rsidR="000B16D4" w:rsidRPr="008C2309">
        <w:rPr>
          <w:rFonts w:ascii="Times" w:hAnsi="Times" w:cstheme="minorHAnsi"/>
          <w:color w:val="000000" w:themeColor="text1"/>
        </w:rPr>
        <w:t>9</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°C, respectively</w:t>
      </w:r>
      <w:r w:rsidR="00C55EB3" w:rsidRPr="008C2309">
        <w:rPr>
          <w:rFonts w:ascii="Times" w:hAnsi="Times" w:cstheme="minorHAnsi"/>
          <w:color w:val="000000" w:themeColor="text1"/>
        </w:rPr>
        <w:t xml:space="preserve"> (</w:t>
      </w:r>
      <w:r w:rsidR="008717DC" w:rsidRPr="008C2309">
        <w:rPr>
          <w:rFonts w:ascii="Times" w:hAnsi="Times" w:cstheme="minorHAnsi"/>
          <w:color w:val="000000" w:themeColor="text1"/>
        </w:rPr>
        <w:t xml:space="preserve">Supplemental </w:t>
      </w:r>
      <w:r w:rsidR="00C55EB3" w:rsidRPr="008C2309">
        <w:rPr>
          <w:rFonts w:ascii="Times" w:hAnsi="Times" w:cstheme="minorHAnsi"/>
          <w:color w:val="000000" w:themeColor="text1"/>
        </w:rPr>
        <w:t xml:space="preserve">Figure </w:t>
      </w:r>
      <w:r w:rsidR="008717DC" w:rsidRPr="008C2309">
        <w:rPr>
          <w:rFonts w:ascii="Times" w:hAnsi="Times" w:cstheme="minorHAnsi"/>
          <w:color w:val="000000" w:themeColor="text1"/>
        </w:rPr>
        <w:t xml:space="preserve">S </w:t>
      </w:r>
      <w:r w:rsidR="000D0359" w:rsidRPr="008C2309">
        <w:rPr>
          <w:rFonts w:ascii="Times" w:hAnsi="Times" w:cstheme="minorHAnsi"/>
          <w:color w:val="000000" w:themeColor="text1"/>
        </w:rPr>
        <w:t>10</w:t>
      </w:r>
      <w:r w:rsidR="00BC155E" w:rsidRPr="008C2309">
        <w:rPr>
          <w:rFonts w:ascii="Times" w:hAnsi="Times" w:cstheme="minorHAnsi"/>
          <w:color w:val="000000" w:themeColor="text1"/>
        </w:rPr>
        <w:t>)</w:t>
      </w:r>
      <w:r w:rsidR="000D3B39" w:rsidRPr="008C2309">
        <w:rPr>
          <w:rFonts w:ascii="Times" w:hAnsi="Times" w:cstheme="minorHAnsi"/>
          <w:color w:val="000000" w:themeColor="text1"/>
        </w:rPr>
        <w:t xml:space="preserve"> after 60 days on stability</w:t>
      </w:r>
      <w:r w:rsidRPr="008C2309">
        <w:rPr>
          <w:rFonts w:ascii="Times" w:hAnsi="Times" w:cstheme="minorHAnsi"/>
          <w:color w:val="000000" w:themeColor="text1"/>
        </w:rPr>
        <w:t xml:space="preserve">. </w:t>
      </w:r>
      <w:r w:rsidR="005546EE" w:rsidRPr="008C2309">
        <w:rPr>
          <w:rFonts w:ascii="Times" w:hAnsi="Times" w:cstheme="minorHAnsi"/>
          <w:color w:val="000000" w:themeColor="text1"/>
        </w:rPr>
        <w:t xml:space="preserve">For SD-F2 and SD-F3, phase separation was evident at the initial analysis </w:t>
      </w:r>
      <w:r w:rsidR="000461C2" w:rsidRPr="008C2309">
        <w:rPr>
          <w:rFonts w:ascii="Times" w:hAnsi="Times" w:cstheme="minorHAnsi"/>
          <w:color w:val="000000" w:themeColor="text1"/>
        </w:rPr>
        <w:t xml:space="preserve">time point </w:t>
      </w:r>
      <w:r w:rsidR="005546EE" w:rsidRPr="008C2309">
        <w:rPr>
          <w:rFonts w:ascii="Times" w:hAnsi="Times" w:cstheme="minorHAnsi"/>
          <w:color w:val="000000" w:themeColor="text1"/>
        </w:rPr>
        <w:t xml:space="preserve">and this remains the case at time point </w:t>
      </w:r>
      <w:r w:rsidR="000D3B39" w:rsidRPr="008C2309">
        <w:rPr>
          <w:rFonts w:ascii="Times" w:hAnsi="Times" w:cstheme="minorHAnsi"/>
          <w:color w:val="000000" w:themeColor="text1"/>
        </w:rPr>
        <w:t>t</w:t>
      </w:r>
      <w:r w:rsidR="005546EE" w:rsidRPr="008C2309">
        <w:rPr>
          <w:rFonts w:ascii="Times" w:hAnsi="Times" w:cstheme="minorHAnsi"/>
          <w:color w:val="000000" w:themeColor="text1"/>
        </w:rPr>
        <w:t>=60</w:t>
      </w:r>
      <w:r w:rsidR="000D3B39" w:rsidRPr="008C2309">
        <w:rPr>
          <w:rFonts w:ascii="Times" w:hAnsi="Times" w:cstheme="minorHAnsi"/>
          <w:color w:val="000000" w:themeColor="text1"/>
        </w:rPr>
        <w:t xml:space="preserve"> days</w:t>
      </w:r>
      <w:r w:rsidR="005546EE" w:rsidRPr="008C2309">
        <w:rPr>
          <w:rFonts w:ascii="Times" w:hAnsi="Times" w:cstheme="minorHAnsi"/>
          <w:color w:val="000000" w:themeColor="text1"/>
        </w:rPr>
        <w:t xml:space="preserve">, </w:t>
      </w:r>
      <w:r w:rsidR="000461C2" w:rsidRPr="008C2309">
        <w:rPr>
          <w:rFonts w:ascii="Times" w:hAnsi="Times" w:cstheme="minorHAnsi"/>
          <w:color w:val="000000" w:themeColor="text1"/>
        </w:rPr>
        <w:t xml:space="preserve">however, </w:t>
      </w:r>
      <w:r w:rsidR="005546EE" w:rsidRPr="008C2309">
        <w:rPr>
          <w:rFonts w:ascii="Times" w:hAnsi="Times" w:cstheme="minorHAnsi"/>
          <w:color w:val="000000" w:themeColor="text1"/>
        </w:rPr>
        <w:t>the formulation</w:t>
      </w:r>
      <w:r w:rsidR="000D3B39" w:rsidRPr="008C2309">
        <w:rPr>
          <w:rFonts w:ascii="Times" w:hAnsi="Times" w:cstheme="minorHAnsi"/>
          <w:color w:val="000000" w:themeColor="text1"/>
        </w:rPr>
        <w:t>s</w:t>
      </w:r>
      <w:r w:rsidR="005546EE" w:rsidRPr="008C2309">
        <w:rPr>
          <w:rFonts w:ascii="Times" w:hAnsi="Times" w:cstheme="minorHAnsi"/>
          <w:color w:val="000000" w:themeColor="text1"/>
        </w:rPr>
        <w:t xml:space="preserve"> remain in an amorphous state. As </w:t>
      </w:r>
      <w:r w:rsidR="000D3B39" w:rsidRPr="008C2309">
        <w:rPr>
          <w:rFonts w:ascii="Times" w:hAnsi="Times" w:cstheme="minorHAnsi"/>
          <w:color w:val="000000" w:themeColor="text1"/>
        </w:rPr>
        <w:t xml:space="preserve">previously </w:t>
      </w:r>
      <w:r w:rsidR="005546EE" w:rsidRPr="008C2309">
        <w:rPr>
          <w:rFonts w:ascii="Times" w:hAnsi="Times" w:cstheme="minorHAnsi"/>
          <w:color w:val="000000" w:themeColor="text1"/>
        </w:rPr>
        <w:t>stated, a homogenous molecularly dispersed system may be seen as favourable for long term stability of amorphous products due to the higher Tg value obtained but, below the Tg should phase separation be thermodynamically favoured, the characteristics of the system may offer significant barriers to recrystallization resulting in a stable system over pharmaceutical relevant time frames</w:t>
      </w:r>
      <w:r w:rsidR="009528CA" w:rsidRPr="008C2309">
        <w:rPr>
          <w:rFonts w:ascii="Times" w:hAnsi="Times" w:cstheme="minorHAnsi"/>
          <w:color w:val="000000" w:themeColor="text1"/>
        </w:rPr>
        <w:t xml:space="preserve"> </w:t>
      </w:r>
      <w:r w:rsidR="003A443B" w:rsidRPr="008C2309">
        <w:rPr>
          <w:rFonts w:ascii="Times" w:hAnsi="Times" w:cstheme="minorHAnsi"/>
          <w:color w:val="000000" w:themeColor="text1"/>
        </w:rPr>
        <w:fldChar w:fldCharType="begin" w:fldLock="1"/>
      </w:r>
      <w:r w:rsidR="00432184" w:rsidRPr="008C2309">
        <w:rPr>
          <w:rFonts w:ascii="Times" w:hAnsi="Times" w:cstheme="minorHAnsi"/>
          <w:color w:val="000000" w:themeColor="text1"/>
        </w:rPr>
        <w:instrText>ADDIN CSL_CITATION { "citationItems" : [ { "id" : "ITEM-1", "itemData" : { "DOI" : "10.1021/mp300386v", "ISBN" : "1543-8392 (Electronic)\\r1543-8384 (Linking)", "ISSN" : "15438384", "PMID" : "23110477", "abstract" : "Amorphous drug\u2013polymer solid dispersions have the potential to enhance the dissolution performance and thus bioavailability of BCS class II drug compounds. The principle drawback of this approach is the limited physical stability of amorphous drug within the dispersion. Accurate determination of the solubility and miscibility of drug in the polymer matrix is the key to the successful design and development of such systems. In this paper, we propose a novel method, based on Flory\u2013Huggins theory, to predict and compare the solubility and miscibility of drug in polymeric systems. The systems chosen for this study are (1) hydroxypropyl methylcellulose acetate succinate HF grade (HPMCAS-HF)\u2013felodipine (FD) and (2) Soluplus (a graft copolymer of polyvinyl caprolactam\u2013polyvinyl acetate\u2013polyethylene glycol)\u2013FD. Samples containing different drug compositions were mixed, ball milled, and then analyzed by differential scanning calorimetry (DSC). The value of the drug\u2013polymer interaction parameter \u03c7 was calculated fr...", "author" : [ { "dropping-particle" : "", "family" : "Tian", "given" : "Yiwei", "non-dropping-particle" : "", "parse-names" : false, "suffix" : "" }, { "dropping-particle" : "", "family" : "Booth", "given" : "Jonathan", "non-dropping-particle" : "", "parse-names" : false, "suffix" : "" }, { "dropping-particle" : "", "family" : "Meehan", "given" : "Elizabeth", "non-dropping-particle" : "", "parse-names" : false, "suffix" : "" }, { "dropping-particle" : "", "family" : "Jones", "given" : "David S.", "non-dropping-particle" : "", "parse-names" : false, "suffix" : "" }, { "dropping-particle" : "", "family" : "Li", "given" : "Shu", "non-dropping-particle" : "", "parse-names" : false, "suffix" : "" }, { "dropping-particle" : "", "family" : "Andrews", "given" : "Gavin P.", "non-dropping-particle" : "", "parse-names" : false, "suffix" : "" } ], "container-title" : "Molecular Pharmaceutics", "id" : "ITEM-1", "issue" : "1", "issued" : { "date-parts" : [ [ "2013" ] ] }, "page" : "236-248", "title" : "Construction of drug-polymer thermodynamic phase diagrams using flory-huggins interaction theory: Identifying the relevance of temperature and drug weight fraction to phase separation within solid dispersions", "type" : "article-journal", "volume" : "10" }, "uris" : [ "http://www.mendeley.com/documents/?uuid=96619ed7-8fa9-441b-9ca4-3961e073c134", "http://www.mendeley.com/documents/?uuid=a53ca9e3-069b-47bf-9339-cfea1fca1879" ] } ], "mendeley" : { "formattedCitation" : "(Tian et al., 2013)", "plainTextFormattedCitation" : "(Tian et al., 2013)", "previouslyFormattedCitation" : "(Tian et al., 2013)" }, "properties" : {  }, "schema" : "https://github.com/citation-style-language/schema/raw/master/csl-citation.json" }</w:instrText>
      </w:r>
      <w:r w:rsidR="003A443B" w:rsidRPr="008C2309">
        <w:rPr>
          <w:rFonts w:ascii="Times" w:hAnsi="Times" w:cstheme="minorHAnsi"/>
          <w:color w:val="000000" w:themeColor="text1"/>
        </w:rPr>
        <w:fldChar w:fldCharType="separate"/>
      </w:r>
      <w:r w:rsidR="00B33BE2" w:rsidRPr="008C2309">
        <w:rPr>
          <w:rFonts w:ascii="Times" w:hAnsi="Times" w:cstheme="minorHAnsi"/>
          <w:noProof/>
          <w:color w:val="000000" w:themeColor="text1"/>
        </w:rPr>
        <w:t>(Tian et al., 2013)</w:t>
      </w:r>
      <w:r w:rsidR="003A443B" w:rsidRPr="008C2309">
        <w:rPr>
          <w:rFonts w:ascii="Times" w:hAnsi="Times" w:cstheme="minorHAnsi"/>
          <w:color w:val="000000" w:themeColor="text1"/>
        </w:rPr>
        <w:fldChar w:fldCharType="end"/>
      </w:r>
      <w:r w:rsidR="003A443B" w:rsidRPr="008C2309">
        <w:rPr>
          <w:rFonts w:ascii="Times" w:hAnsi="Times" w:cstheme="minorHAnsi"/>
          <w:color w:val="000000" w:themeColor="text1"/>
        </w:rPr>
        <w:t>.</w:t>
      </w:r>
      <w:r w:rsidR="000D3B39" w:rsidRPr="008C2309">
        <w:rPr>
          <w:rFonts w:ascii="Times" w:hAnsi="Times" w:cstheme="minorHAnsi"/>
          <w:color w:val="000000" w:themeColor="text1"/>
        </w:rPr>
        <w:t xml:space="preserve"> </w:t>
      </w:r>
      <w:r w:rsidR="005546EE" w:rsidRPr="008C2309">
        <w:rPr>
          <w:rFonts w:ascii="Times" w:hAnsi="Times" w:cstheme="minorHAnsi"/>
          <w:color w:val="000000" w:themeColor="text1"/>
        </w:rPr>
        <w:t>HPLC analysis revealed both drugs remained within 100 ± 5% of the stated drug content in each of the SD formulations</w:t>
      </w:r>
      <w:r w:rsidR="000D3B39" w:rsidRPr="008C2309">
        <w:rPr>
          <w:rFonts w:ascii="Times" w:hAnsi="Times" w:cstheme="minorHAnsi"/>
          <w:color w:val="000000" w:themeColor="text1"/>
        </w:rPr>
        <w:t xml:space="preserve"> </w:t>
      </w:r>
      <w:r w:rsidR="005329FB" w:rsidRPr="008C2309">
        <w:rPr>
          <w:rFonts w:ascii="Times" w:hAnsi="Times" w:cstheme="minorHAnsi"/>
          <w:color w:val="000000" w:themeColor="text1"/>
        </w:rPr>
        <w:t xml:space="preserve">over the 60 day stability study, </w:t>
      </w:r>
      <w:r w:rsidR="005546EE" w:rsidRPr="008C2309">
        <w:rPr>
          <w:rFonts w:ascii="Times" w:hAnsi="Times" w:cstheme="minorHAnsi"/>
          <w:color w:val="000000" w:themeColor="text1"/>
        </w:rPr>
        <w:t>with no degradation products present</w:t>
      </w:r>
      <w:r w:rsidR="00B92564" w:rsidRPr="008C2309">
        <w:rPr>
          <w:rFonts w:ascii="Times" w:hAnsi="Times" w:cstheme="minorHAnsi"/>
          <w:color w:val="000000" w:themeColor="text1"/>
        </w:rPr>
        <w:t xml:space="preserve"> (data not shown)</w:t>
      </w:r>
      <w:r w:rsidR="005546EE" w:rsidRPr="008C2309">
        <w:rPr>
          <w:rFonts w:ascii="Times" w:hAnsi="Times" w:cstheme="minorHAnsi"/>
          <w:color w:val="000000" w:themeColor="text1"/>
        </w:rPr>
        <w:t>.</w:t>
      </w:r>
    </w:p>
    <w:p w14:paraId="42641618" w14:textId="77777777" w:rsidR="00190F66" w:rsidRPr="008C2309" w:rsidRDefault="00190F66" w:rsidP="00E41DED">
      <w:pPr>
        <w:spacing w:line="480" w:lineRule="auto"/>
        <w:jc w:val="both"/>
        <w:rPr>
          <w:rFonts w:ascii="Times" w:hAnsi="Times" w:cstheme="minorHAnsi"/>
          <w:color w:val="000000" w:themeColor="text1"/>
        </w:rPr>
      </w:pPr>
    </w:p>
    <w:p w14:paraId="09A9A32C" w14:textId="6C743D64" w:rsidR="00767F93" w:rsidRPr="008C2309" w:rsidRDefault="00767F93"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lastRenderedPageBreak/>
        <w:t>SD-F1 and SD-F3 remained completely PXRD amorphous at</w:t>
      </w:r>
      <w:r w:rsidR="00BC155E" w:rsidRPr="008C2309">
        <w:rPr>
          <w:rFonts w:ascii="Times" w:hAnsi="Times" w:cstheme="minorHAnsi"/>
          <w:color w:val="000000" w:themeColor="text1"/>
        </w:rPr>
        <w:t xml:space="preserve"> stability</w:t>
      </w:r>
      <w:r w:rsidRPr="008C2309">
        <w:rPr>
          <w:rFonts w:ascii="Times" w:hAnsi="Times" w:cstheme="minorHAnsi"/>
          <w:color w:val="000000" w:themeColor="text1"/>
        </w:rPr>
        <w:t xml:space="preserve"> </w:t>
      </w:r>
      <w:r w:rsidR="00BC155E" w:rsidRPr="008C2309">
        <w:rPr>
          <w:rFonts w:ascii="Times" w:hAnsi="Times" w:cstheme="minorHAnsi"/>
          <w:color w:val="000000" w:themeColor="text1"/>
        </w:rPr>
        <w:t>conditions 75%RH</w:t>
      </w:r>
      <w:r w:rsidR="000D3B39" w:rsidRPr="008C2309">
        <w:rPr>
          <w:rFonts w:ascii="Times" w:hAnsi="Times" w:cstheme="minorHAnsi"/>
          <w:color w:val="000000" w:themeColor="text1"/>
        </w:rPr>
        <w:t>/</w:t>
      </w:r>
      <w:r w:rsidR="00BC155E" w:rsidRPr="008C2309">
        <w:rPr>
          <w:rFonts w:ascii="Times" w:hAnsi="Times" w:cstheme="minorHAnsi"/>
          <w:color w:val="000000" w:themeColor="text1"/>
        </w:rPr>
        <w:t>25</w:t>
      </w:r>
      <w:r w:rsidR="00E1397E" w:rsidRPr="008C2309">
        <w:rPr>
          <w:rFonts w:ascii="Times" w:hAnsi="Times" w:cstheme="minorHAnsi"/>
          <w:color w:val="000000" w:themeColor="text1"/>
        </w:rPr>
        <w:t xml:space="preserve"> </w:t>
      </w:r>
      <w:r w:rsidR="00BC155E" w:rsidRPr="008C2309">
        <w:rPr>
          <w:rFonts w:ascii="Times" w:hAnsi="Times" w:cstheme="minorHAnsi"/>
          <w:color w:val="000000" w:themeColor="text1"/>
        </w:rPr>
        <w:t>°C</w:t>
      </w:r>
      <w:r w:rsidRPr="008C2309">
        <w:rPr>
          <w:rFonts w:ascii="Times" w:hAnsi="Times" w:cstheme="minorHAnsi"/>
          <w:color w:val="000000" w:themeColor="text1"/>
        </w:rPr>
        <w:t xml:space="preserve"> throughout the entire stability study</w:t>
      </w:r>
      <w:r w:rsidR="00C55EB3" w:rsidRPr="008C2309">
        <w:rPr>
          <w:rFonts w:ascii="Times" w:hAnsi="Times" w:cstheme="minorHAnsi"/>
          <w:color w:val="000000" w:themeColor="text1"/>
        </w:rPr>
        <w:t xml:space="preserve"> (</w:t>
      </w:r>
      <w:r w:rsidR="008717DC" w:rsidRPr="008C2309">
        <w:rPr>
          <w:rFonts w:ascii="Times" w:hAnsi="Times" w:cstheme="minorHAnsi"/>
          <w:color w:val="000000" w:themeColor="text1"/>
        </w:rPr>
        <w:t xml:space="preserve">Supplemental </w:t>
      </w:r>
      <w:r w:rsidR="00C55EB3" w:rsidRPr="008C2309">
        <w:rPr>
          <w:rFonts w:ascii="Times" w:hAnsi="Times" w:cstheme="minorHAnsi"/>
          <w:color w:val="000000" w:themeColor="text1"/>
        </w:rPr>
        <w:t xml:space="preserve">Figure </w:t>
      </w:r>
      <w:r w:rsidR="008717DC" w:rsidRPr="008C2309">
        <w:rPr>
          <w:rFonts w:ascii="Times" w:hAnsi="Times" w:cstheme="minorHAnsi"/>
          <w:color w:val="000000" w:themeColor="text1"/>
        </w:rPr>
        <w:t xml:space="preserve">S </w:t>
      </w:r>
      <w:r w:rsidR="0003467B" w:rsidRPr="008C2309">
        <w:rPr>
          <w:rFonts w:ascii="Times" w:hAnsi="Times" w:cstheme="minorHAnsi"/>
          <w:color w:val="000000" w:themeColor="text1"/>
        </w:rPr>
        <w:t>11</w:t>
      </w:r>
      <w:r w:rsidR="00BC155E" w:rsidRPr="008C2309">
        <w:rPr>
          <w:rFonts w:ascii="Times" w:hAnsi="Times" w:cstheme="minorHAnsi"/>
          <w:color w:val="000000" w:themeColor="text1"/>
        </w:rPr>
        <w:t xml:space="preserve"> (a) and (c))</w:t>
      </w:r>
      <w:r w:rsidRPr="008C2309">
        <w:rPr>
          <w:rFonts w:ascii="Times" w:hAnsi="Times" w:cstheme="minorHAnsi"/>
          <w:color w:val="000000" w:themeColor="text1"/>
        </w:rPr>
        <w:t xml:space="preserve">. SD-F2 remained PXRD amorphous up to </w:t>
      </w:r>
      <w:r w:rsidR="000D3B39" w:rsidRPr="008C2309">
        <w:rPr>
          <w:rFonts w:ascii="Times" w:hAnsi="Times" w:cstheme="minorHAnsi"/>
          <w:color w:val="000000" w:themeColor="text1"/>
        </w:rPr>
        <w:t>t</w:t>
      </w:r>
      <w:r w:rsidRPr="008C2309">
        <w:rPr>
          <w:rFonts w:ascii="Times" w:hAnsi="Times" w:cstheme="minorHAnsi"/>
          <w:color w:val="000000" w:themeColor="text1"/>
        </w:rPr>
        <w:t>=30</w:t>
      </w:r>
      <w:r w:rsidR="00B92564" w:rsidRPr="008C2309">
        <w:rPr>
          <w:rFonts w:ascii="Times" w:hAnsi="Times" w:cstheme="minorHAnsi"/>
          <w:color w:val="000000" w:themeColor="text1"/>
        </w:rPr>
        <w:t xml:space="preserve"> </w:t>
      </w:r>
      <w:r w:rsidR="000D3B39" w:rsidRPr="008C2309">
        <w:rPr>
          <w:rFonts w:ascii="Times" w:hAnsi="Times" w:cstheme="minorHAnsi"/>
          <w:color w:val="000000" w:themeColor="text1"/>
        </w:rPr>
        <w:t xml:space="preserve">days </w:t>
      </w:r>
      <w:r w:rsidR="00B92564" w:rsidRPr="008C2309">
        <w:rPr>
          <w:rFonts w:ascii="Times" w:hAnsi="Times" w:cstheme="minorHAnsi"/>
          <w:color w:val="000000" w:themeColor="text1"/>
        </w:rPr>
        <w:t>(data not shown)</w:t>
      </w:r>
      <w:r w:rsidRPr="008C2309">
        <w:rPr>
          <w:rFonts w:ascii="Times" w:hAnsi="Times" w:cstheme="minorHAnsi"/>
          <w:color w:val="000000" w:themeColor="text1"/>
        </w:rPr>
        <w:t>, however by the final time point (</w:t>
      </w:r>
      <w:r w:rsidR="000D3B39" w:rsidRPr="008C2309">
        <w:rPr>
          <w:rFonts w:ascii="Times" w:hAnsi="Times" w:cstheme="minorHAnsi"/>
          <w:color w:val="000000" w:themeColor="text1"/>
        </w:rPr>
        <w:t>t</w:t>
      </w:r>
      <w:r w:rsidRPr="008C2309">
        <w:rPr>
          <w:rFonts w:ascii="Times" w:hAnsi="Times" w:cstheme="minorHAnsi"/>
          <w:color w:val="000000" w:themeColor="text1"/>
        </w:rPr>
        <w:t>= 60</w:t>
      </w:r>
      <w:r w:rsidR="000D3B39" w:rsidRPr="008C2309">
        <w:rPr>
          <w:rFonts w:ascii="Times" w:hAnsi="Times" w:cstheme="minorHAnsi"/>
          <w:color w:val="000000" w:themeColor="text1"/>
        </w:rPr>
        <w:t xml:space="preserve"> days</w:t>
      </w:r>
      <w:r w:rsidRPr="008C2309">
        <w:rPr>
          <w:rFonts w:ascii="Times" w:hAnsi="Times" w:cstheme="minorHAnsi"/>
          <w:color w:val="000000" w:themeColor="text1"/>
        </w:rPr>
        <w:t>), the PEG</w:t>
      </w:r>
      <w:r w:rsidR="000461C2" w:rsidRPr="008C2309">
        <w:rPr>
          <w:rFonts w:ascii="Times" w:hAnsi="Times" w:cstheme="minorHAnsi"/>
          <w:color w:val="000000" w:themeColor="text1"/>
        </w:rPr>
        <w:t xml:space="preserve"> </w:t>
      </w:r>
      <w:r w:rsidRPr="008C2309">
        <w:rPr>
          <w:rFonts w:ascii="Times" w:hAnsi="Times" w:cstheme="minorHAnsi"/>
          <w:color w:val="000000" w:themeColor="text1"/>
        </w:rPr>
        <w:t>3350 in the formulation had partially recrystallized</w:t>
      </w:r>
      <w:r w:rsidR="000D3B39" w:rsidRPr="008C2309">
        <w:rPr>
          <w:rFonts w:ascii="Times" w:hAnsi="Times" w:cstheme="minorHAnsi"/>
          <w:color w:val="000000" w:themeColor="text1"/>
        </w:rPr>
        <w:t>,</w:t>
      </w:r>
      <w:r w:rsidRPr="008C2309">
        <w:rPr>
          <w:rFonts w:ascii="Times" w:hAnsi="Times" w:cstheme="minorHAnsi"/>
          <w:color w:val="000000" w:themeColor="text1"/>
        </w:rPr>
        <w:t xml:space="preserve"> which is evident by a unique PEG</w:t>
      </w:r>
      <w:r w:rsidR="000461C2" w:rsidRPr="008C2309">
        <w:rPr>
          <w:rFonts w:ascii="Times" w:hAnsi="Times" w:cstheme="minorHAnsi"/>
          <w:color w:val="000000" w:themeColor="text1"/>
        </w:rPr>
        <w:t xml:space="preserve"> </w:t>
      </w:r>
      <w:r w:rsidRPr="008C2309">
        <w:rPr>
          <w:rFonts w:ascii="Times" w:hAnsi="Times" w:cstheme="minorHAnsi"/>
          <w:color w:val="000000" w:themeColor="text1"/>
        </w:rPr>
        <w:t>3350 peak at 23.35</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°(2θ) (</w:t>
      </w:r>
      <w:r w:rsidR="00D53E26" w:rsidRPr="008C2309">
        <w:rPr>
          <w:rFonts w:ascii="Times" w:hAnsi="Times" w:cstheme="minorHAnsi"/>
          <w:color w:val="000000" w:themeColor="text1"/>
        </w:rPr>
        <w:t xml:space="preserve">Supplemental </w:t>
      </w:r>
      <w:r w:rsidR="00C55EB3" w:rsidRPr="008C2309">
        <w:rPr>
          <w:rFonts w:ascii="Times" w:hAnsi="Times" w:cstheme="minorHAnsi"/>
          <w:color w:val="000000" w:themeColor="text1"/>
        </w:rPr>
        <w:t xml:space="preserve">Figure </w:t>
      </w:r>
      <w:r w:rsidR="00D53E26" w:rsidRPr="008C2309">
        <w:rPr>
          <w:rFonts w:ascii="Times" w:hAnsi="Times" w:cstheme="minorHAnsi"/>
          <w:color w:val="000000" w:themeColor="text1"/>
        </w:rPr>
        <w:t xml:space="preserve">S </w:t>
      </w:r>
      <w:r w:rsidR="0003467B" w:rsidRPr="008C2309">
        <w:rPr>
          <w:rFonts w:ascii="Times" w:hAnsi="Times" w:cstheme="minorHAnsi"/>
          <w:color w:val="000000" w:themeColor="text1"/>
        </w:rPr>
        <w:t>11</w:t>
      </w:r>
      <w:r w:rsidR="00BC155E" w:rsidRPr="008C2309">
        <w:rPr>
          <w:rFonts w:ascii="Times" w:hAnsi="Times" w:cstheme="minorHAnsi"/>
          <w:color w:val="000000" w:themeColor="text1"/>
        </w:rPr>
        <w:t xml:space="preserve"> (b)</w:t>
      </w:r>
      <w:r w:rsidRPr="008C2309">
        <w:rPr>
          <w:rFonts w:ascii="Times" w:hAnsi="Times" w:cstheme="minorHAnsi"/>
          <w:color w:val="000000" w:themeColor="text1"/>
        </w:rPr>
        <w:t>)</w:t>
      </w:r>
      <w:r w:rsidR="000D3B39" w:rsidRPr="008C2309">
        <w:rPr>
          <w:rFonts w:ascii="Times" w:hAnsi="Times" w:cstheme="minorHAnsi"/>
          <w:color w:val="000000" w:themeColor="text1"/>
        </w:rPr>
        <w:t xml:space="preserve"> in the diffractogram</w:t>
      </w:r>
      <w:r w:rsidRPr="008C2309">
        <w:rPr>
          <w:rFonts w:ascii="Times" w:hAnsi="Times" w:cstheme="minorHAnsi"/>
          <w:color w:val="000000" w:themeColor="text1"/>
        </w:rPr>
        <w:t xml:space="preserve">. mDSC at time point </w:t>
      </w:r>
      <w:r w:rsidR="000D3B39" w:rsidRPr="008C2309">
        <w:rPr>
          <w:rFonts w:ascii="Times" w:hAnsi="Times" w:cstheme="minorHAnsi"/>
          <w:color w:val="000000" w:themeColor="text1"/>
        </w:rPr>
        <w:t>t</w:t>
      </w:r>
      <w:r w:rsidRPr="008C2309">
        <w:rPr>
          <w:rFonts w:ascii="Times" w:hAnsi="Times" w:cstheme="minorHAnsi"/>
          <w:color w:val="000000" w:themeColor="text1"/>
        </w:rPr>
        <w:t>=60</w:t>
      </w:r>
      <w:r w:rsidR="000D3B39" w:rsidRPr="008C2309">
        <w:rPr>
          <w:rFonts w:ascii="Times" w:hAnsi="Times" w:cstheme="minorHAnsi"/>
          <w:color w:val="000000" w:themeColor="text1"/>
        </w:rPr>
        <w:t xml:space="preserve"> days</w:t>
      </w:r>
      <w:r w:rsidRPr="008C2309">
        <w:rPr>
          <w:rFonts w:ascii="Times" w:hAnsi="Times" w:cstheme="minorHAnsi"/>
          <w:color w:val="000000" w:themeColor="text1"/>
        </w:rPr>
        <w:t xml:space="preserve"> for SD-F2 also revealed an endothermic peak at 55</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°C (</w:t>
      </w:r>
      <w:r w:rsidR="00D53E26" w:rsidRPr="008C2309">
        <w:rPr>
          <w:rFonts w:ascii="Times" w:hAnsi="Times" w:cstheme="minorHAnsi"/>
          <w:color w:val="000000" w:themeColor="text1"/>
        </w:rPr>
        <w:t xml:space="preserve">Supplemental </w:t>
      </w:r>
      <w:r w:rsidR="00C55EB3" w:rsidRPr="008C2309">
        <w:rPr>
          <w:rFonts w:ascii="Times" w:hAnsi="Times" w:cstheme="minorHAnsi"/>
          <w:color w:val="000000" w:themeColor="text1"/>
        </w:rPr>
        <w:t xml:space="preserve">Figure </w:t>
      </w:r>
      <w:r w:rsidR="00D53E26" w:rsidRPr="008C2309">
        <w:rPr>
          <w:rFonts w:ascii="Times" w:hAnsi="Times" w:cstheme="minorHAnsi"/>
          <w:color w:val="000000" w:themeColor="text1"/>
        </w:rPr>
        <w:t xml:space="preserve">S </w:t>
      </w:r>
      <w:r w:rsidR="0003467B" w:rsidRPr="008C2309">
        <w:rPr>
          <w:rFonts w:ascii="Times" w:hAnsi="Times" w:cstheme="minorHAnsi"/>
          <w:color w:val="000000" w:themeColor="text1"/>
        </w:rPr>
        <w:t>12</w:t>
      </w:r>
      <w:r w:rsidR="00BC155E" w:rsidRPr="008C2309">
        <w:rPr>
          <w:rFonts w:ascii="Times" w:hAnsi="Times" w:cstheme="minorHAnsi"/>
          <w:color w:val="000000" w:themeColor="text1"/>
        </w:rPr>
        <w:t xml:space="preserve"> (b)</w:t>
      </w:r>
      <w:r w:rsidRPr="008C2309">
        <w:rPr>
          <w:rFonts w:ascii="Times" w:hAnsi="Times" w:cstheme="minorHAnsi"/>
          <w:color w:val="000000" w:themeColor="text1"/>
        </w:rPr>
        <w:t>) in the reverse heat flow corresponding to PEG</w:t>
      </w:r>
      <w:r w:rsidR="000D3B39" w:rsidRPr="008C2309">
        <w:rPr>
          <w:rFonts w:ascii="Times" w:hAnsi="Times" w:cstheme="minorHAnsi"/>
          <w:color w:val="000000" w:themeColor="text1"/>
        </w:rPr>
        <w:t xml:space="preserve"> </w:t>
      </w:r>
      <w:r w:rsidRPr="008C2309">
        <w:rPr>
          <w:rFonts w:ascii="Times" w:hAnsi="Times" w:cstheme="minorHAnsi"/>
          <w:color w:val="000000" w:themeColor="text1"/>
        </w:rPr>
        <w:t>3350 melting</w:t>
      </w:r>
      <w:r w:rsidR="000D3B39" w:rsidRPr="008C2309">
        <w:rPr>
          <w:rFonts w:ascii="Times" w:hAnsi="Times" w:cstheme="minorHAnsi"/>
          <w:color w:val="000000" w:themeColor="text1"/>
        </w:rPr>
        <w:t>,</w:t>
      </w:r>
      <w:r w:rsidRPr="008C2309">
        <w:rPr>
          <w:rFonts w:ascii="Times" w:hAnsi="Times" w:cstheme="minorHAnsi"/>
          <w:color w:val="000000" w:themeColor="text1"/>
        </w:rPr>
        <w:t xml:space="preserve"> which confirms partial crystallinity. mDSC show</w:t>
      </w:r>
      <w:r w:rsidR="00D53E26" w:rsidRPr="008C2309">
        <w:rPr>
          <w:rFonts w:ascii="Times" w:hAnsi="Times" w:cstheme="minorHAnsi"/>
          <w:color w:val="000000" w:themeColor="text1"/>
        </w:rPr>
        <w:t>ed</w:t>
      </w:r>
      <w:r w:rsidR="005329FB" w:rsidRPr="008C2309">
        <w:rPr>
          <w:rFonts w:ascii="Times" w:hAnsi="Times" w:cstheme="minorHAnsi"/>
          <w:color w:val="000000" w:themeColor="text1"/>
        </w:rPr>
        <w:t xml:space="preserve"> </w:t>
      </w:r>
      <w:r w:rsidRPr="008C2309">
        <w:rPr>
          <w:rFonts w:ascii="Times" w:hAnsi="Times" w:cstheme="minorHAnsi"/>
          <w:color w:val="000000" w:themeColor="text1"/>
        </w:rPr>
        <w:t>similar results to the initial products tested</w:t>
      </w:r>
      <w:r w:rsidR="000D3B39" w:rsidRPr="008C2309">
        <w:rPr>
          <w:rFonts w:ascii="Times" w:hAnsi="Times" w:cstheme="minorHAnsi"/>
          <w:color w:val="000000" w:themeColor="text1"/>
        </w:rPr>
        <w:t xml:space="preserve"> (at t=0)</w:t>
      </w:r>
      <w:r w:rsidRPr="008C2309">
        <w:rPr>
          <w:rFonts w:ascii="Times" w:hAnsi="Times" w:cstheme="minorHAnsi"/>
          <w:color w:val="000000" w:themeColor="text1"/>
        </w:rPr>
        <w:t xml:space="preserve"> with SD-F1 displaying one clear Tg at </w:t>
      </w:r>
      <w:r w:rsidR="00B92564" w:rsidRPr="008C2309">
        <w:rPr>
          <w:rFonts w:ascii="Times" w:hAnsi="Times" w:cstheme="minorHAnsi"/>
          <w:color w:val="000000" w:themeColor="text1"/>
        </w:rPr>
        <w:t>11</w:t>
      </w:r>
      <w:r w:rsidR="000B16D4" w:rsidRPr="008C2309">
        <w:rPr>
          <w:rFonts w:ascii="Times" w:hAnsi="Times" w:cstheme="minorHAnsi"/>
          <w:color w:val="000000" w:themeColor="text1"/>
        </w:rPr>
        <w:t>4</w:t>
      </w:r>
      <w:r w:rsidR="00B92564" w:rsidRPr="008C2309">
        <w:rPr>
          <w:rFonts w:ascii="Times" w:hAnsi="Times" w:cstheme="minorHAnsi"/>
          <w:color w:val="000000" w:themeColor="text1"/>
        </w:rPr>
        <w:t xml:space="preserve"> </w:t>
      </w:r>
      <w:r w:rsidRPr="008C2309">
        <w:rPr>
          <w:rFonts w:ascii="Times" w:hAnsi="Times" w:cstheme="minorHAnsi"/>
          <w:color w:val="000000" w:themeColor="text1"/>
        </w:rPr>
        <w:t xml:space="preserve">°C and SD-F3 displaying two Tgs at </w:t>
      </w:r>
      <w:r w:rsidR="00B92564" w:rsidRPr="008C2309">
        <w:rPr>
          <w:rFonts w:ascii="Times" w:hAnsi="Times" w:cstheme="minorHAnsi"/>
          <w:color w:val="000000" w:themeColor="text1"/>
        </w:rPr>
        <w:t>58</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°C and 89</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 xml:space="preserve">°C, respectively. </w:t>
      </w:r>
      <w:bookmarkStart w:id="25" w:name="_Hlk504559348"/>
      <w:r w:rsidRPr="008C2309">
        <w:rPr>
          <w:rFonts w:ascii="Times" w:hAnsi="Times" w:cstheme="minorHAnsi"/>
          <w:color w:val="000000" w:themeColor="text1"/>
        </w:rPr>
        <w:t xml:space="preserve">HPLC analysis revealed both </w:t>
      </w:r>
      <w:r w:rsidR="00821615" w:rsidRPr="008C2309">
        <w:rPr>
          <w:rFonts w:ascii="Times" w:hAnsi="Times" w:cstheme="minorHAnsi"/>
          <w:color w:val="000000" w:themeColor="text1"/>
        </w:rPr>
        <w:t>APIs</w:t>
      </w:r>
      <w:r w:rsidRPr="008C2309">
        <w:rPr>
          <w:rFonts w:ascii="Times" w:hAnsi="Times" w:cstheme="minorHAnsi"/>
          <w:color w:val="000000" w:themeColor="text1"/>
        </w:rPr>
        <w:t xml:space="preserve"> remained within 100 ± 5% of the stated drug content in each of the SD formulations</w:t>
      </w:r>
      <w:r w:rsidR="00B92564" w:rsidRPr="008C2309">
        <w:rPr>
          <w:rFonts w:ascii="Times" w:hAnsi="Times" w:cstheme="minorHAnsi"/>
          <w:color w:val="000000" w:themeColor="text1"/>
        </w:rPr>
        <w:t xml:space="preserve"> </w:t>
      </w:r>
      <w:r w:rsidR="005329FB" w:rsidRPr="008C2309">
        <w:rPr>
          <w:rFonts w:ascii="Times" w:hAnsi="Times" w:cstheme="minorHAnsi"/>
          <w:color w:val="000000" w:themeColor="text1"/>
        </w:rPr>
        <w:t xml:space="preserve">over the 60 day study </w:t>
      </w:r>
      <w:r w:rsidR="00B92564" w:rsidRPr="008C2309">
        <w:rPr>
          <w:rFonts w:ascii="Times" w:hAnsi="Times" w:cstheme="minorHAnsi"/>
          <w:color w:val="000000" w:themeColor="text1"/>
        </w:rPr>
        <w:t>(data not shown)</w:t>
      </w:r>
      <w:r w:rsidRPr="008C2309">
        <w:rPr>
          <w:rFonts w:ascii="Times" w:hAnsi="Times" w:cstheme="minorHAnsi"/>
          <w:color w:val="000000" w:themeColor="text1"/>
        </w:rPr>
        <w:t>.</w:t>
      </w:r>
      <w:bookmarkEnd w:id="25"/>
      <w:r w:rsidRPr="008C2309">
        <w:rPr>
          <w:rFonts w:ascii="Times" w:hAnsi="Times" w:cstheme="minorHAnsi"/>
          <w:color w:val="000000" w:themeColor="text1"/>
        </w:rPr>
        <w:t xml:space="preserve"> </w:t>
      </w:r>
    </w:p>
    <w:p w14:paraId="68D5E9FB" w14:textId="77777777" w:rsidR="000A516F" w:rsidRPr="008C2309" w:rsidRDefault="000A516F" w:rsidP="00E41DED">
      <w:pPr>
        <w:spacing w:line="480" w:lineRule="auto"/>
        <w:jc w:val="both"/>
        <w:rPr>
          <w:rFonts w:ascii="Times" w:hAnsi="Times" w:cstheme="minorHAnsi"/>
          <w:color w:val="000000" w:themeColor="text1"/>
        </w:rPr>
      </w:pPr>
    </w:p>
    <w:p w14:paraId="4BE57905" w14:textId="7A2FF25F" w:rsidR="00767F93" w:rsidRPr="008C2309" w:rsidRDefault="00767F93"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All HME formulations showed</w:t>
      </w:r>
      <w:r w:rsidR="00821615" w:rsidRPr="008C2309">
        <w:rPr>
          <w:rFonts w:ascii="Times" w:hAnsi="Times" w:cstheme="minorHAnsi"/>
          <w:color w:val="000000" w:themeColor="text1"/>
        </w:rPr>
        <w:t xml:space="preserve"> partial</w:t>
      </w:r>
      <w:r w:rsidR="001E5AB9" w:rsidRPr="008C2309">
        <w:rPr>
          <w:rFonts w:ascii="Times" w:hAnsi="Times" w:cstheme="minorHAnsi"/>
          <w:color w:val="000000" w:themeColor="text1"/>
        </w:rPr>
        <w:t xml:space="preserve"> </w:t>
      </w:r>
      <w:r w:rsidRPr="008C2309">
        <w:rPr>
          <w:rFonts w:ascii="Times" w:hAnsi="Times" w:cstheme="minorHAnsi"/>
          <w:color w:val="000000" w:themeColor="text1"/>
        </w:rPr>
        <w:t xml:space="preserve">PXRD crystallinity for both stability conditions </w:t>
      </w:r>
      <w:r w:rsidR="004E1AAD" w:rsidRPr="008C2309">
        <w:rPr>
          <w:rFonts w:ascii="Times" w:hAnsi="Times" w:cstheme="minorHAnsi"/>
          <w:color w:val="000000" w:themeColor="text1"/>
        </w:rPr>
        <w:t>(25</w:t>
      </w:r>
      <w:r w:rsidR="00E1397E" w:rsidRPr="008C2309">
        <w:rPr>
          <w:rFonts w:ascii="Times" w:hAnsi="Times" w:cstheme="minorHAnsi"/>
          <w:color w:val="000000" w:themeColor="text1"/>
        </w:rPr>
        <w:t xml:space="preserve"> </w:t>
      </w:r>
      <w:r w:rsidR="004E1AAD" w:rsidRPr="008C2309">
        <w:rPr>
          <w:rFonts w:ascii="Times" w:hAnsi="Times" w:cstheme="minorHAnsi"/>
          <w:color w:val="000000" w:themeColor="text1"/>
        </w:rPr>
        <w:t>°C/</w:t>
      </w:r>
      <w:r w:rsidR="00B878AC" w:rsidRPr="008C2309">
        <w:rPr>
          <w:rFonts w:ascii="Times" w:hAnsi="Times" w:cstheme="minorHAnsi"/>
          <w:color w:val="000000" w:themeColor="text1"/>
        </w:rPr>
        <w:t>&lt;</w:t>
      </w:r>
      <w:r w:rsidRPr="008C2309">
        <w:rPr>
          <w:rFonts w:ascii="Times" w:hAnsi="Times" w:cstheme="minorHAnsi"/>
          <w:color w:val="000000" w:themeColor="text1"/>
        </w:rPr>
        <w:t xml:space="preserve">10% RH, and </w:t>
      </w:r>
      <w:r w:rsidR="004E1AAD" w:rsidRPr="008C2309">
        <w:rPr>
          <w:rFonts w:ascii="Times" w:hAnsi="Times" w:cstheme="minorHAnsi"/>
          <w:color w:val="000000" w:themeColor="text1"/>
        </w:rPr>
        <w:t>25</w:t>
      </w:r>
      <w:bookmarkStart w:id="26" w:name="_Hlk504569164"/>
      <w:r w:rsidR="000668B4" w:rsidRPr="008C2309">
        <w:rPr>
          <w:rFonts w:ascii="Times" w:hAnsi="Times" w:cstheme="minorHAnsi"/>
          <w:color w:val="000000" w:themeColor="text1"/>
        </w:rPr>
        <w:t xml:space="preserve"> </w:t>
      </w:r>
      <w:r w:rsidR="004E1AAD" w:rsidRPr="008C2309">
        <w:rPr>
          <w:rFonts w:ascii="Times" w:hAnsi="Times" w:cstheme="minorHAnsi"/>
          <w:color w:val="000000" w:themeColor="text1"/>
        </w:rPr>
        <w:t>°C</w:t>
      </w:r>
      <w:bookmarkEnd w:id="26"/>
      <w:r w:rsidR="004E1AAD" w:rsidRPr="008C2309">
        <w:rPr>
          <w:rFonts w:ascii="Times" w:hAnsi="Times" w:cstheme="minorHAnsi"/>
          <w:color w:val="000000" w:themeColor="text1"/>
        </w:rPr>
        <w:t>/</w:t>
      </w:r>
      <w:r w:rsidRPr="008C2309">
        <w:rPr>
          <w:rFonts w:ascii="Times" w:hAnsi="Times" w:cstheme="minorHAnsi"/>
          <w:color w:val="000000" w:themeColor="text1"/>
        </w:rPr>
        <w:t>75% RH) (</w:t>
      </w:r>
      <w:r w:rsidR="00D53E26" w:rsidRPr="008C2309">
        <w:rPr>
          <w:rFonts w:ascii="Times" w:hAnsi="Times" w:cstheme="minorHAnsi"/>
          <w:color w:val="000000" w:themeColor="text1"/>
        </w:rPr>
        <w:t xml:space="preserve">Supplemental </w:t>
      </w:r>
      <w:r w:rsidR="001E5AB9" w:rsidRPr="008C2309">
        <w:rPr>
          <w:rFonts w:ascii="Times" w:hAnsi="Times" w:cstheme="minorHAnsi"/>
          <w:color w:val="000000" w:themeColor="text1"/>
        </w:rPr>
        <w:t xml:space="preserve">Figure </w:t>
      </w:r>
      <w:r w:rsidR="00D53E26" w:rsidRPr="008C2309">
        <w:rPr>
          <w:rFonts w:ascii="Times" w:hAnsi="Times" w:cstheme="minorHAnsi"/>
          <w:color w:val="000000" w:themeColor="text1"/>
        </w:rPr>
        <w:t xml:space="preserve">S </w:t>
      </w:r>
      <w:r w:rsidR="0003467B" w:rsidRPr="008C2309">
        <w:rPr>
          <w:rFonts w:ascii="Times" w:hAnsi="Times" w:cstheme="minorHAnsi"/>
          <w:color w:val="000000" w:themeColor="text1"/>
        </w:rPr>
        <w:t>9</w:t>
      </w:r>
      <w:r w:rsidR="001E5AB9" w:rsidRPr="008C2309">
        <w:rPr>
          <w:rFonts w:ascii="Times" w:hAnsi="Times" w:cstheme="minorHAnsi"/>
          <w:color w:val="000000" w:themeColor="text1"/>
        </w:rPr>
        <w:t xml:space="preserve"> </w:t>
      </w:r>
      <w:r w:rsidRPr="008C2309">
        <w:rPr>
          <w:rFonts w:ascii="Times" w:hAnsi="Times" w:cstheme="minorHAnsi"/>
          <w:color w:val="000000" w:themeColor="text1"/>
        </w:rPr>
        <w:t>(d)-(f),</w:t>
      </w:r>
      <w:r w:rsidR="001E5AB9" w:rsidRPr="008C2309">
        <w:rPr>
          <w:rFonts w:ascii="Times" w:hAnsi="Times" w:cstheme="minorHAnsi"/>
          <w:color w:val="000000" w:themeColor="text1"/>
        </w:rPr>
        <w:t xml:space="preserve"> </w:t>
      </w:r>
      <w:r w:rsidR="00D53E26" w:rsidRPr="008C2309">
        <w:rPr>
          <w:rFonts w:ascii="Times" w:hAnsi="Times" w:cstheme="minorHAnsi"/>
          <w:color w:val="000000" w:themeColor="text1"/>
        </w:rPr>
        <w:t xml:space="preserve">Supplemental </w:t>
      </w:r>
      <w:r w:rsidR="001E5AB9" w:rsidRPr="008C2309">
        <w:rPr>
          <w:rFonts w:ascii="Times" w:hAnsi="Times" w:cstheme="minorHAnsi"/>
          <w:color w:val="000000" w:themeColor="text1"/>
        </w:rPr>
        <w:t xml:space="preserve">Figure </w:t>
      </w:r>
      <w:r w:rsidR="00D53E26" w:rsidRPr="008C2309">
        <w:rPr>
          <w:rFonts w:ascii="Times" w:hAnsi="Times" w:cstheme="minorHAnsi"/>
          <w:color w:val="000000" w:themeColor="text1"/>
        </w:rPr>
        <w:t xml:space="preserve">S </w:t>
      </w:r>
      <w:r w:rsidR="0003467B" w:rsidRPr="008C2309">
        <w:rPr>
          <w:rFonts w:ascii="Times" w:hAnsi="Times" w:cstheme="minorHAnsi"/>
          <w:color w:val="000000" w:themeColor="text1"/>
        </w:rPr>
        <w:t>10</w:t>
      </w:r>
      <w:r w:rsidRPr="008C2309">
        <w:rPr>
          <w:rFonts w:ascii="Times" w:hAnsi="Times" w:cstheme="minorHAnsi"/>
          <w:color w:val="000000" w:themeColor="text1"/>
        </w:rPr>
        <w:t xml:space="preserve"> (d)-(f)</w:t>
      </w:r>
      <w:r w:rsidR="00672FA4" w:rsidRPr="008C2309">
        <w:rPr>
          <w:rFonts w:ascii="Times" w:hAnsi="Times" w:cstheme="minorHAnsi"/>
          <w:color w:val="000000" w:themeColor="text1"/>
        </w:rPr>
        <w:t xml:space="preserve">) </w:t>
      </w:r>
      <w:r w:rsidRPr="008C2309">
        <w:rPr>
          <w:rFonts w:ascii="Times" w:hAnsi="Times" w:cstheme="minorHAnsi"/>
          <w:color w:val="000000" w:themeColor="text1"/>
        </w:rPr>
        <w:t xml:space="preserve">at time point </w:t>
      </w:r>
      <w:r w:rsidR="00D53E26" w:rsidRPr="008C2309">
        <w:rPr>
          <w:rFonts w:ascii="Times" w:hAnsi="Times" w:cstheme="minorHAnsi"/>
          <w:color w:val="000000" w:themeColor="text1"/>
        </w:rPr>
        <w:t>t</w:t>
      </w:r>
      <w:r w:rsidRPr="008C2309">
        <w:rPr>
          <w:rFonts w:ascii="Times" w:hAnsi="Times" w:cstheme="minorHAnsi"/>
          <w:color w:val="000000" w:themeColor="text1"/>
        </w:rPr>
        <w:t>=60</w:t>
      </w:r>
      <w:r w:rsidR="00D53E26" w:rsidRPr="008C2309">
        <w:rPr>
          <w:rFonts w:ascii="Times" w:hAnsi="Times" w:cstheme="minorHAnsi"/>
          <w:color w:val="000000" w:themeColor="text1"/>
        </w:rPr>
        <w:t xml:space="preserve"> days</w:t>
      </w:r>
      <w:r w:rsidR="001E5AB9" w:rsidRPr="008C2309">
        <w:rPr>
          <w:rFonts w:ascii="Times" w:hAnsi="Times" w:cstheme="minorHAnsi"/>
          <w:color w:val="000000" w:themeColor="text1"/>
        </w:rPr>
        <w:t xml:space="preserve"> when compared to the initial analysis</w:t>
      </w:r>
      <w:r w:rsidRPr="008C2309">
        <w:rPr>
          <w:rFonts w:ascii="Times" w:hAnsi="Times" w:cstheme="minorHAnsi"/>
          <w:color w:val="000000" w:themeColor="text1"/>
        </w:rPr>
        <w:t>. Peaks are evident at 16.6</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°(2θ) in formulations HME-F1, HME-F2 and HME-F3</w:t>
      </w:r>
      <w:r w:rsidR="00AD5FE1" w:rsidRPr="008C2309">
        <w:rPr>
          <w:rFonts w:ascii="Times" w:hAnsi="Times" w:cstheme="minorHAnsi"/>
          <w:color w:val="000000" w:themeColor="text1"/>
        </w:rPr>
        <w:t>,</w:t>
      </w:r>
      <w:r w:rsidRPr="008C2309">
        <w:rPr>
          <w:rFonts w:ascii="Times" w:hAnsi="Times" w:cstheme="minorHAnsi"/>
          <w:color w:val="000000" w:themeColor="text1"/>
        </w:rPr>
        <w:t xml:space="preserve"> indicating partial recrystallization of HCTZ, and 23.35</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°(2θ) in HME-F2 (the only formulation containing PEG 3350)</w:t>
      </w:r>
      <w:r w:rsidR="00AD5FE1" w:rsidRPr="008C2309">
        <w:rPr>
          <w:rFonts w:ascii="Times" w:hAnsi="Times" w:cstheme="minorHAnsi"/>
          <w:color w:val="000000" w:themeColor="text1"/>
        </w:rPr>
        <w:t>,</w:t>
      </w:r>
      <w:r w:rsidRPr="008C2309">
        <w:rPr>
          <w:rFonts w:ascii="Times" w:hAnsi="Times" w:cstheme="minorHAnsi"/>
          <w:color w:val="000000" w:themeColor="text1"/>
        </w:rPr>
        <w:t xml:space="preserve"> indicating recrystallization of PEG</w:t>
      </w:r>
      <w:r w:rsidR="00AD5FE1" w:rsidRPr="008C2309">
        <w:rPr>
          <w:rFonts w:ascii="Times" w:hAnsi="Times" w:cstheme="minorHAnsi"/>
          <w:color w:val="000000" w:themeColor="text1"/>
        </w:rPr>
        <w:t xml:space="preserve"> </w:t>
      </w:r>
      <w:r w:rsidRPr="008C2309">
        <w:rPr>
          <w:rFonts w:ascii="Times" w:hAnsi="Times" w:cstheme="minorHAnsi"/>
          <w:color w:val="000000" w:themeColor="text1"/>
        </w:rPr>
        <w:t xml:space="preserve">3350. Partial PEG 3350 </w:t>
      </w:r>
      <w:r w:rsidR="0070531C" w:rsidRPr="008C2309">
        <w:rPr>
          <w:rFonts w:ascii="Times" w:hAnsi="Times" w:cstheme="minorHAnsi"/>
          <w:color w:val="000000" w:themeColor="text1"/>
        </w:rPr>
        <w:t>recrystallizations</w:t>
      </w:r>
      <w:r w:rsidRPr="008C2309">
        <w:rPr>
          <w:rFonts w:ascii="Times" w:hAnsi="Times" w:cstheme="minorHAnsi"/>
          <w:color w:val="000000" w:themeColor="text1"/>
        </w:rPr>
        <w:t xml:space="preserve"> for HME–F2 at both stability conditions is confirmed with the presence of endothermic peaks </w:t>
      </w:r>
      <w:r w:rsidR="005329FB" w:rsidRPr="008C2309">
        <w:rPr>
          <w:rFonts w:ascii="Times" w:hAnsi="Times" w:cstheme="minorHAnsi"/>
          <w:color w:val="000000" w:themeColor="text1"/>
        </w:rPr>
        <w:t xml:space="preserve">in the mDSC </w:t>
      </w:r>
      <w:r w:rsidRPr="008C2309">
        <w:rPr>
          <w:rFonts w:ascii="Times" w:hAnsi="Times" w:cstheme="minorHAnsi"/>
          <w:color w:val="000000" w:themeColor="text1"/>
        </w:rPr>
        <w:t xml:space="preserve">at </w:t>
      </w:r>
      <w:r w:rsidR="001E5AB9" w:rsidRPr="008C2309">
        <w:rPr>
          <w:rFonts w:ascii="Times" w:hAnsi="Times" w:cstheme="minorHAnsi"/>
          <w:color w:val="000000" w:themeColor="text1"/>
        </w:rPr>
        <w:t>5</w:t>
      </w:r>
      <w:r w:rsidR="00233924" w:rsidRPr="008C2309">
        <w:rPr>
          <w:rFonts w:ascii="Times" w:hAnsi="Times" w:cstheme="minorHAnsi"/>
          <w:color w:val="000000" w:themeColor="text1"/>
        </w:rPr>
        <w:t>1</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°C (</w:t>
      </w:r>
      <w:r w:rsidR="00D53E26" w:rsidRPr="008C2309">
        <w:rPr>
          <w:rFonts w:ascii="Times" w:hAnsi="Times" w:cstheme="minorHAnsi"/>
          <w:color w:val="000000" w:themeColor="text1"/>
        </w:rPr>
        <w:t xml:space="preserve">Supplemental </w:t>
      </w:r>
      <w:r w:rsidR="00C55EB3" w:rsidRPr="008C2309">
        <w:rPr>
          <w:rFonts w:ascii="Times" w:hAnsi="Times" w:cstheme="minorHAnsi"/>
          <w:color w:val="000000" w:themeColor="text1"/>
        </w:rPr>
        <w:t xml:space="preserve">Figure </w:t>
      </w:r>
      <w:r w:rsidR="00D53E26" w:rsidRPr="008C2309">
        <w:rPr>
          <w:rFonts w:ascii="Times" w:hAnsi="Times" w:cstheme="minorHAnsi"/>
          <w:color w:val="000000" w:themeColor="text1"/>
        </w:rPr>
        <w:t xml:space="preserve">S </w:t>
      </w:r>
      <w:r w:rsidR="0003467B" w:rsidRPr="008C2309">
        <w:rPr>
          <w:rFonts w:ascii="Times" w:hAnsi="Times" w:cstheme="minorHAnsi"/>
          <w:color w:val="000000" w:themeColor="text1"/>
        </w:rPr>
        <w:t>10</w:t>
      </w:r>
      <w:r w:rsidR="00672FA4" w:rsidRPr="008C2309">
        <w:rPr>
          <w:rFonts w:ascii="Times" w:hAnsi="Times" w:cstheme="minorHAnsi"/>
          <w:color w:val="000000" w:themeColor="text1"/>
        </w:rPr>
        <w:t xml:space="preserve"> (e)</w:t>
      </w:r>
      <w:r w:rsidRPr="008C2309">
        <w:rPr>
          <w:rFonts w:ascii="Times" w:hAnsi="Times" w:cstheme="minorHAnsi"/>
          <w:color w:val="000000" w:themeColor="text1"/>
        </w:rPr>
        <w:t xml:space="preserve">) and </w:t>
      </w:r>
      <w:r w:rsidR="001E5AB9" w:rsidRPr="008C2309">
        <w:rPr>
          <w:rFonts w:ascii="Times" w:hAnsi="Times" w:cstheme="minorHAnsi"/>
          <w:color w:val="000000" w:themeColor="text1"/>
        </w:rPr>
        <w:t>51</w:t>
      </w:r>
      <w:r w:rsidR="00E1397E" w:rsidRPr="008C2309">
        <w:rPr>
          <w:rFonts w:ascii="Times" w:hAnsi="Times" w:cstheme="minorHAnsi"/>
          <w:color w:val="000000" w:themeColor="text1"/>
        </w:rPr>
        <w:t xml:space="preserve"> </w:t>
      </w:r>
      <w:r w:rsidRPr="008C2309">
        <w:rPr>
          <w:rFonts w:ascii="Times" w:hAnsi="Times" w:cstheme="minorHAnsi"/>
          <w:color w:val="000000" w:themeColor="text1"/>
        </w:rPr>
        <w:t>°C (</w:t>
      </w:r>
      <w:r w:rsidR="00D53E26" w:rsidRPr="008C2309">
        <w:rPr>
          <w:rFonts w:ascii="Times" w:hAnsi="Times" w:cstheme="minorHAnsi"/>
          <w:color w:val="000000" w:themeColor="text1"/>
        </w:rPr>
        <w:t xml:space="preserve">Supplemental </w:t>
      </w:r>
      <w:r w:rsidR="00C55EB3" w:rsidRPr="008C2309">
        <w:rPr>
          <w:rFonts w:ascii="Times" w:hAnsi="Times" w:cstheme="minorHAnsi"/>
          <w:color w:val="000000" w:themeColor="text1"/>
        </w:rPr>
        <w:t xml:space="preserve">Figure </w:t>
      </w:r>
      <w:r w:rsidR="00D53E26" w:rsidRPr="008C2309">
        <w:rPr>
          <w:rFonts w:ascii="Times" w:hAnsi="Times" w:cstheme="minorHAnsi"/>
          <w:color w:val="000000" w:themeColor="text1"/>
        </w:rPr>
        <w:t xml:space="preserve">S </w:t>
      </w:r>
      <w:r w:rsidR="0003467B" w:rsidRPr="008C2309">
        <w:rPr>
          <w:rFonts w:ascii="Times" w:hAnsi="Times" w:cstheme="minorHAnsi"/>
          <w:color w:val="000000" w:themeColor="text1"/>
        </w:rPr>
        <w:t>12</w:t>
      </w:r>
      <w:r w:rsidR="00672FA4" w:rsidRPr="008C2309">
        <w:rPr>
          <w:rFonts w:ascii="Times" w:hAnsi="Times" w:cstheme="minorHAnsi"/>
          <w:color w:val="000000" w:themeColor="text1"/>
        </w:rPr>
        <w:t xml:space="preserve"> (e)</w:t>
      </w:r>
      <w:r w:rsidRPr="008C2309">
        <w:rPr>
          <w:rFonts w:ascii="Times" w:hAnsi="Times" w:cstheme="minorHAnsi"/>
          <w:color w:val="000000" w:themeColor="text1"/>
        </w:rPr>
        <w:t xml:space="preserve">). </w:t>
      </w:r>
      <w:r w:rsidR="00821615" w:rsidRPr="008C2309">
        <w:rPr>
          <w:rFonts w:ascii="Times" w:hAnsi="Times" w:cstheme="minorHAnsi"/>
          <w:color w:val="000000" w:themeColor="text1"/>
        </w:rPr>
        <w:t xml:space="preserve">HPLC analysis revealed both APIs remained </w:t>
      </w:r>
      <w:r w:rsidR="000668B4" w:rsidRPr="008C2309">
        <w:rPr>
          <w:rFonts w:ascii="Times" w:hAnsi="Times" w:cstheme="minorHAnsi"/>
          <w:color w:val="000000" w:themeColor="text1"/>
        </w:rPr>
        <w:t xml:space="preserve">at </w:t>
      </w:r>
      <w:r w:rsidR="00821615" w:rsidRPr="008C2309">
        <w:rPr>
          <w:rFonts w:ascii="Times" w:hAnsi="Times" w:cstheme="minorHAnsi"/>
          <w:color w:val="000000" w:themeColor="text1"/>
        </w:rPr>
        <w:t>the initial drug content in each of the HME formulations with no degradation products present (data not shown).</w:t>
      </w:r>
    </w:p>
    <w:p w14:paraId="01D2EA20" w14:textId="77777777" w:rsidR="003E5AD3" w:rsidRPr="008C2309" w:rsidRDefault="003E5AD3" w:rsidP="00E41DED">
      <w:pPr>
        <w:spacing w:line="480" w:lineRule="auto"/>
        <w:jc w:val="both"/>
        <w:rPr>
          <w:rFonts w:ascii="Times" w:hAnsi="Times" w:cstheme="minorHAnsi"/>
          <w:color w:val="000000" w:themeColor="text1"/>
          <w:vertAlign w:val="superscript"/>
        </w:rPr>
      </w:pPr>
    </w:p>
    <w:p w14:paraId="5B53C3D6" w14:textId="318A89C8" w:rsidR="00B25DF7" w:rsidRPr="008C2309" w:rsidRDefault="000A516F"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 xml:space="preserve">From the PXRD and mDSC data we can see that the SD formulations offer greater long term amorphous stability than the HME formulations </w:t>
      </w:r>
      <w:r w:rsidR="000668B4" w:rsidRPr="008C2309">
        <w:rPr>
          <w:rFonts w:ascii="Times" w:hAnsi="Times" w:cstheme="minorHAnsi"/>
          <w:color w:val="000000" w:themeColor="text1"/>
        </w:rPr>
        <w:t xml:space="preserve">under </w:t>
      </w:r>
      <w:r w:rsidRPr="008C2309">
        <w:rPr>
          <w:rFonts w:ascii="Times" w:hAnsi="Times" w:cstheme="minorHAnsi"/>
          <w:color w:val="000000" w:themeColor="text1"/>
        </w:rPr>
        <w:t xml:space="preserve">the </w:t>
      </w:r>
      <w:r w:rsidR="000668B4" w:rsidRPr="008C2309">
        <w:rPr>
          <w:rFonts w:ascii="Times" w:hAnsi="Times" w:cstheme="minorHAnsi"/>
          <w:color w:val="000000" w:themeColor="text1"/>
        </w:rPr>
        <w:t xml:space="preserve">particular </w:t>
      </w:r>
      <w:r w:rsidRPr="008C2309">
        <w:rPr>
          <w:rFonts w:ascii="Times" w:hAnsi="Times" w:cstheme="minorHAnsi"/>
          <w:color w:val="000000" w:themeColor="text1"/>
        </w:rPr>
        <w:t xml:space="preserve">stability </w:t>
      </w:r>
      <w:r w:rsidR="000668B4" w:rsidRPr="008C2309">
        <w:rPr>
          <w:rFonts w:ascii="Times" w:hAnsi="Times" w:cstheme="minorHAnsi"/>
          <w:color w:val="000000" w:themeColor="text1"/>
        </w:rPr>
        <w:t xml:space="preserve">test </w:t>
      </w:r>
      <w:r w:rsidRPr="008C2309">
        <w:rPr>
          <w:rFonts w:ascii="Times" w:hAnsi="Times" w:cstheme="minorHAnsi"/>
          <w:color w:val="000000" w:themeColor="text1"/>
        </w:rPr>
        <w:t xml:space="preserve">conditions </w:t>
      </w:r>
      <w:r w:rsidR="000668B4" w:rsidRPr="008C2309">
        <w:rPr>
          <w:rFonts w:ascii="Times" w:hAnsi="Times" w:cstheme="minorHAnsi"/>
          <w:color w:val="000000" w:themeColor="text1"/>
        </w:rPr>
        <w:lastRenderedPageBreak/>
        <w:t>chosen</w:t>
      </w:r>
      <w:r w:rsidRPr="008C2309">
        <w:rPr>
          <w:rFonts w:ascii="Times" w:hAnsi="Times" w:cstheme="minorHAnsi"/>
          <w:color w:val="000000" w:themeColor="text1"/>
        </w:rPr>
        <w:t>.</w:t>
      </w:r>
      <w:r w:rsidR="00E605F0" w:rsidRPr="008C2309">
        <w:rPr>
          <w:rFonts w:ascii="Times" w:hAnsi="Times" w:cstheme="minorHAnsi"/>
          <w:color w:val="000000" w:themeColor="text1"/>
        </w:rPr>
        <w:t xml:space="preserve"> </w:t>
      </w:r>
      <w:r w:rsidR="00B25DF7" w:rsidRPr="008C2309">
        <w:rPr>
          <w:rFonts w:ascii="Times" w:hAnsi="Times" w:cstheme="minorHAnsi"/>
          <w:color w:val="000000" w:themeColor="text1"/>
        </w:rPr>
        <w:t xml:space="preserve">As the initial PXRD analysis </w:t>
      </w:r>
      <w:r w:rsidR="00AD5FE1" w:rsidRPr="008C2309">
        <w:rPr>
          <w:rFonts w:ascii="Times" w:hAnsi="Times" w:cstheme="minorHAnsi"/>
          <w:color w:val="000000" w:themeColor="text1"/>
        </w:rPr>
        <w:t xml:space="preserve">demonstrated </w:t>
      </w:r>
      <w:r w:rsidR="00B25DF7" w:rsidRPr="008C2309">
        <w:rPr>
          <w:rFonts w:ascii="Times" w:hAnsi="Times" w:cstheme="minorHAnsi"/>
          <w:color w:val="000000" w:themeColor="text1"/>
        </w:rPr>
        <w:t>SD products to be completely PXRD amorphous</w:t>
      </w:r>
      <w:r w:rsidR="00E605F0" w:rsidRPr="008C2309">
        <w:rPr>
          <w:rFonts w:ascii="Times" w:hAnsi="Times" w:cstheme="minorHAnsi"/>
          <w:color w:val="000000" w:themeColor="text1"/>
        </w:rPr>
        <w:t xml:space="preserve"> and</w:t>
      </w:r>
      <w:r w:rsidR="00B25DF7" w:rsidRPr="008C2309">
        <w:rPr>
          <w:rFonts w:ascii="Times" w:hAnsi="Times" w:cstheme="minorHAnsi"/>
          <w:color w:val="000000" w:themeColor="text1"/>
        </w:rPr>
        <w:t xml:space="preserve"> the HME products</w:t>
      </w:r>
      <w:r w:rsidR="00E605F0" w:rsidRPr="008C2309">
        <w:rPr>
          <w:rFonts w:ascii="Times" w:hAnsi="Times" w:cstheme="minorHAnsi"/>
          <w:color w:val="000000" w:themeColor="text1"/>
        </w:rPr>
        <w:t xml:space="preserve"> to be partially </w:t>
      </w:r>
      <w:r w:rsidR="000668B4" w:rsidRPr="008C2309">
        <w:rPr>
          <w:rFonts w:ascii="Times" w:hAnsi="Times" w:cstheme="minorHAnsi"/>
          <w:color w:val="000000" w:themeColor="text1"/>
        </w:rPr>
        <w:t>crystalline</w:t>
      </w:r>
      <w:r w:rsidR="00E605F0" w:rsidRPr="008C2309">
        <w:rPr>
          <w:rFonts w:ascii="Times" w:hAnsi="Times" w:cstheme="minorHAnsi"/>
          <w:color w:val="000000" w:themeColor="text1"/>
        </w:rPr>
        <w:t>, the crystal components may encourage further crystal growth to occur throughout the product as time progresses</w:t>
      </w:r>
      <w:r w:rsidR="000668B4" w:rsidRPr="008C2309">
        <w:rPr>
          <w:rFonts w:ascii="Times" w:hAnsi="Times" w:cstheme="minorHAnsi"/>
          <w:color w:val="000000" w:themeColor="text1"/>
        </w:rPr>
        <w:t>,</w:t>
      </w:r>
      <w:r w:rsidR="00E605F0" w:rsidRPr="008C2309">
        <w:rPr>
          <w:rFonts w:ascii="Times" w:hAnsi="Times" w:cstheme="minorHAnsi"/>
          <w:color w:val="000000" w:themeColor="text1"/>
        </w:rPr>
        <w:t xml:space="preserve"> leading to decreased amorphous stability in the HME products when compared to SD products. </w:t>
      </w:r>
      <w:r w:rsidR="00B51F7F" w:rsidRPr="008C2309">
        <w:rPr>
          <w:rFonts w:ascii="Times" w:hAnsi="Times" w:cstheme="minorHAnsi"/>
          <w:color w:val="000000" w:themeColor="text1"/>
        </w:rPr>
        <w:t>Initial Tgs were also relatively lower for HME products when compared to SD products</w:t>
      </w:r>
      <w:r w:rsidR="000668B4" w:rsidRPr="008C2309">
        <w:rPr>
          <w:rFonts w:ascii="Times" w:hAnsi="Times" w:cstheme="minorHAnsi"/>
          <w:color w:val="000000" w:themeColor="text1"/>
        </w:rPr>
        <w:t>,</w:t>
      </w:r>
      <w:r w:rsidR="00B51F7F" w:rsidRPr="008C2309">
        <w:rPr>
          <w:rFonts w:ascii="Times" w:hAnsi="Times" w:cstheme="minorHAnsi"/>
          <w:color w:val="000000" w:themeColor="text1"/>
        </w:rPr>
        <w:t xml:space="preserve"> which can result in decreased amorphous stability</w:t>
      </w:r>
      <w:r w:rsidR="000F52CD" w:rsidRPr="008C2309">
        <w:rPr>
          <w:rFonts w:ascii="Times" w:hAnsi="Times" w:cstheme="minorHAnsi"/>
          <w:color w:val="000000" w:themeColor="text1"/>
        </w:rPr>
        <w:t>.</w:t>
      </w:r>
      <w:r w:rsidR="00B51F7F" w:rsidRPr="008C2309">
        <w:rPr>
          <w:rFonts w:ascii="Times" w:hAnsi="Times" w:cstheme="minorHAnsi"/>
          <w:color w:val="000000" w:themeColor="text1"/>
        </w:rPr>
        <w:t xml:space="preserve"> </w:t>
      </w:r>
      <w:r w:rsidR="000F52CD" w:rsidRPr="008C2309">
        <w:rPr>
          <w:rFonts w:ascii="Times" w:hAnsi="Times" w:cstheme="minorHAnsi"/>
          <w:color w:val="000000" w:themeColor="text1"/>
        </w:rPr>
        <w:t>Generally,</w:t>
      </w:r>
      <w:r w:rsidR="00A727ED" w:rsidRPr="008C2309">
        <w:rPr>
          <w:rFonts w:ascii="Times" w:hAnsi="Times" w:cstheme="minorHAnsi"/>
          <w:color w:val="000000" w:themeColor="text1"/>
        </w:rPr>
        <w:t xml:space="preserve"> a</w:t>
      </w:r>
      <w:r w:rsidR="00B51F7F" w:rsidRPr="008C2309">
        <w:rPr>
          <w:rFonts w:ascii="Times" w:hAnsi="Times" w:cstheme="minorHAnsi"/>
          <w:color w:val="000000" w:themeColor="text1"/>
        </w:rPr>
        <w:t xml:space="preserve"> system with a higher Tg results in longer</w:t>
      </w:r>
      <w:r w:rsidR="005329FB" w:rsidRPr="008C2309">
        <w:rPr>
          <w:rFonts w:ascii="Times" w:hAnsi="Times" w:cstheme="minorHAnsi"/>
          <w:color w:val="000000" w:themeColor="text1"/>
        </w:rPr>
        <w:t xml:space="preserve">-term </w:t>
      </w:r>
      <w:r w:rsidR="00B51F7F" w:rsidRPr="008C2309">
        <w:rPr>
          <w:rFonts w:ascii="Times" w:hAnsi="Times" w:cstheme="minorHAnsi"/>
          <w:color w:val="000000" w:themeColor="text1"/>
        </w:rPr>
        <w:t>amorphous stability when compared to a system with a lower Tg.</w:t>
      </w:r>
      <w:r w:rsidR="00E605F0" w:rsidRPr="008C2309">
        <w:rPr>
          <w:rFonts w:ascii="Times" w:hAnsi="Times" w:cstheme="minorHAnsi"/>
          <w:color w:val="000000" w:themeColor="text1"/>
        </w:rPr>
        <w:t xml:space="preserve">  </w:t>
      </w:r>
      <w:r w:rsidR="00B25DF7" w:rsidRPr="008C2309">
        <w:rPr>
          <w:rFonts w:ascii="Times" w:hAnsi="Times" w:cstheme="minorHAnsi"/>
          <w:color w:val="000000" w:themeColor="text1"/>
        </w:rPr>
        <w:t xml:space="preserve"> </w:t>
      </w:r>
    </w:p>
    <w:p w14:paraId="28140210" w14:textId="7C94A010" w:rsidR="00C11F8A" w:rsidRPr="008C2309" w:rsidRDefault="00B25DF7" w:rsidP="00E41DED">
      <w:pPr>
        <w:spacing w:line="480" w:lineRule="auto"/>
        <w:jc w:val="both"/>
        <w:rPr>
          <w:rFonts w:ascii="Times" w:hAnsi="Times" w:cstheme="minorHAnsi"/>
          <w:b/>
          <w:color w:val="000000" w:themeColor="text1"/>
        </w:rPr>
      </w:pPr>
      <w:r w:rsidRPr="008C2309">
        <w:rPr>
          <w:rFonts w:ascii="Times" w:hAnsi="Times" w:cstheme="minorHAnsi"/>
          <w:color w:val="000000" w:themeColor="text1"/>
        </w:rPr>
        <w:t xml:space="preserve"> </w:t>
      </w:r>
      <w:r w:rsidR="00F6111A" w:rsidRPr="008C2309">
        <w:rPr>
          <w:rFonts w:ascii="Times" w:hAnsi="Times" w:cstheme="minorHAnsi"/>
          <w:color w:val="000000" w:themeColor="text1"/>
        </w:rPr>
        <w:br w:type="page"/>
      </w:r>
      <w:r w:rsidR="00C322DD" w:rsidRPr="008C2309">
        <w:rPr>
          <w:rFonts w:ascii="Times" w:hAnsi="Times" w:cstheme="minorHAnsi"/>
          <w:b/>
          <w:color w:val="000000" w:themeColor="text1"/>
        </w:rPr>
        <w:lastRenderedPageBreak/>
        <w:t xml:space="preserve">4. </w:t>
      </w:r>
      <w:r w:rsidR="00A87C18" w:rsidRPr="008C2309">
        <w:rPr>
          <w:rFonts w:ascii="Times" w:hAnsi="Times" w:cstheme="minorHAnsi"/>
          <w:b/>
          <w:color w:val="000000" w:themeColor="text1"/>
        </w:rPr>
        <w:t>Conclusion</w:t>
      </w:r>
      <w:r w:rsidR="00C11F8A" w:rsidRPr="008C2309">
        <w:rPr>
          <w:rFonts w:ascii="Times" w:hAnsi="Times" w:cstheme="minorHAnsi"/>
          <w:b/>
          <w:color w:val="000000" w:themeColor="text1"/>
        </w:rPr>
        <w:t xml:space="preserve"> </w:t>
      </w:r>
    </w:p>
    <w:p w14:paraId="1CC43C4D" w14:textId="55CE281D" w:rsidR="008E79DF" w:rsidRPr="008C2309" w:rsidRDefault="000668B4" w:rsidP="00E41DED">
      <w:pPr>
        <w:spacing w:line="480" w:lineRule="auto"/>
        <w:jc w:val="both"/>
        <w:outlineLvl w:val="0"/>
        <w:rPr>
          <w:rFonts w:ascii="Times" w:hAnsi="Times" w:cstheme="minorHAnsi"/>
          <w:color w:val="000000" w:themeColor="text1"/>
        </w:rPr>
      </w:pPr>
      <w:r w:rsidRPr="008C2309">
        <w:rPr>
          <w:rFonts w:ascii="Times" w:hAnsi="Times" w:cstheme="minorHAnsi"/>
          <w:color w:val="000000" w:themeColor="text1"/>
        </w:rPr>
        <w:t>The</w:t>
      </w:r>
      <w:r w:rsidR="00124F28" w:rsidRPr="008C2309">
        <w:rPr>
          <w:rFonts w:ascii="Times" w:hAnsi="Times" w:cstheme="minorHAnsi"/>
          <w:color w:val="000000" w:themeColor="text1"/>
        </w:rPr>
        <w:t xml:space="preserve"> pharmaceutical industry </w:t>
      </w:r>
      <w:r w:rsidRPr="008C2309">
        <w:rPr>
          <w:rFonts w:ascii="Times" w:hAnsi="Times" w:cstheme="minorHAnsi"/>
          <w:color w:val="000000" w:themeColor="text1"/>
        </w:rPr>
        <w:t xml:space="preserve">is moving </w:t>
      </w:r>
      <w:r w:rsidR="00124F28" w:rsidRPr="008C2309">
        <w:rPr>
          <w:rFonts w:ascii="Times" w:hAnsi="Times" w:cstheme="minorHAnsi"/>
          <w:color w:val="000000" w:themeColor="text1"/>
        </w:rPr>
        <w:t xml:space="preserve">towards continuous manufacturing </w:t>
      </w:r>
      <w:r w:rsidR="00051637" w:rsidRPr="008C2309">
        <w:rPr>
          <w:rFonts w:ascii="Times" w:hAnsi="Times" w:cstheme="minorHAnsi"/>
          <w:color w:val="000000" w:themeColor="text1"/>
        </w:rPr>
        <w:t>to produce</w:t>
      </w:r>
      <w:r w:rsidR="00124F28" w:rsidRPr="008C2309">
        <w:rPr>
          <w:rFonts w:ascii="Times" w:hAnsi="Times" w:cstheme="minorHAnsi"/>
          <w:color w:val="000000" w:themeColor="text1"/>
        </w:rPr>
        <w:t xml:space="preserve"> pharmaceutical products rather than the traditional </w:t>
      </w:r>
      <w:r w:rsidR="00051637" w:rsidRPr="008C2309">
        <w:rPr>
          <w:rFonts w:ascii="Times" w:hAnsi="Times" w:cstheme="minorHAnsi"/>
          <w:color w:val="000000" w:themeColor="text1"/>
        </w:rPr>
        <w:t>batch-based</w:t>
      </w:r>
      <w:r w:rsidR="00124F28" w:rsidRPr="008C2309">
        <w:rPr>
          <w:rFonts w:ascii="Times" w:hAnsi="Times" w:cstheme="minorHAnsi"/>
          <w:color w:val="000000" w:themeColor="text1"/>
        </w:rPr>
        <w:t xml:space="preserve"> process</w:t>
      </w:r>
      <w:r w:rsidRPr="008C2309">
        <w:rPr>
          <w:rFonts w:ascii="Times" w:hAnsi="Times" w:cstheme="minorHAnsi"/>
          <w:color w:val="000000" w:themeColor="text1"/>
        </w:rPr>
        <w:t>es</w:t>
      </w:r>
      <w:r w:rsidR="00124F28" w:rsidRPr="008C2309">
        <w:rPr>
          <w:rFonts w:ascii="Times" w:hAnsi="Times" w:cstheme="minorHAnsi"/>
          <w:color w:val="000000" w:themeColor="text1"/>
        </w:rPr>
        <w:t xml:space="preserve">, </w:t>
      </w:r>
      <w:r w:rsidRPr="008C2309">
        <w:rPr>
          <w:rFonts w:ascii="Times" w:hAnsi="Times" w:cstheme="minorHAnsi"/>
          <w:color w:val="000000" w:themeColor="text1"/>
        </w:rPr>
        <w:t xml:space="preserve">and two </w:t>
      </w:r>
      <w:r w:rsidR="00124F28" w:rsidRPr="008C2309">
        <w:rPr>
          <w:rFonts w:ascii="Times" w:hAnsi="Times" w:cstheme="minorHAnsi"/>
          <w:color w:val="000000" w:themeColor="text1"/>
        </w:rPr>
        <w:t xml:space="preserve">continuous manufacturing </w:t>
      </w:r>
      <w:r w:rsidR="001227E8" w:rsidRPr="008C2309">
        <w:rPr>
          <w:rFonts w:ascii="Times" w:hAnsi="Times" w:cstheme="minorHAnsi"/>
          <w:color w:val="000000" w:themeColor="text1"/>
        </w:rPr>
        <w:t>techniques -</w:t>
      </w:r>
      <w:r w:rsidRPr="008C2309">
        <w:rPr>
          <w:rFonts w:ascii="Times" w:hAnsi="Times" w:cstheme="minorHAnsi"/>
          <w:color w:val="000000" w:themeColor="text1"/>
        </w:rPr>
        <w:t xml:space="preserve"> </w:t>
      </w:r>
      <w:r w:rsidR="00124F28" w:rsidRPr="008C2309">
        <w:rPr>
          <w:rFonts w:ascii="Times" w:hAnsi="Times" w:cstheme="minorHAnsi"/>
          <w:color w:val="000000" w:themeColor="text1"/>
        </w:rPr>
        <w:t xml:space="preserve">hot melt extrusion and spray </w:t>
      </w:r>
      <w:r w:rsidR="001227E8" w:rsidRPr="008C2309">
        <w:rPr>
          <w:rFonts w:ascii="Times" w:hAnsi="Times" w:cstheme="minorHAnsi"/>
          <w:color w:val="000000" w:themeColor="text1"/>
        </w:rPr>
        <w:t>drying -</w:t>
      </w:r>
      <w:r w:rsidRPr="008C2309">
        <w:rPr>
          <w:rFonts w:ascii="Times" w:hAnsi="Times" w:cstheme="minorHAnsi"/>
          <w:color w:val="000000" w:themeColor="text1"/>
        </w:rPr>
        <w:t xml:space="preserve"> </w:t>
      </w:r>
      <w:r w:rsidR="00A62B43" w:rsidRPr="008C2309">
        <w:rPr>
          <w:rFonts w:ascii="Times" w:hAnsi="Times" w:cstheme="minorHAnsi"/>
          <w:color w:val="000000" w:themeColor="text1"/>
        </w:rPr>
        <w:t>were employed in this study</w:t>
      </w:r>
      <w:r w:rsidR="00124F28" w:rsidRPr="008C2309">
        <w:rPr>
          <w:rFonts w:ascii="Times" w:hAnsi="Times" w:cstheme="minorHAnsi"/>
          <w:color w:val="000000" w:themeColor="text1"/>
        </w:rPr>
        <w:t xml:space="preserve"> to produce fixed dose combinations</w:t>
      </w:r>
      <w:r w:rsidR="00AD4179" w:rsidRPr="008C2309">
        <w:rPr>
          <w:rFonts w:ascii="Times" w:hAnsi="Times" w:cstheme="minorHAnsi"/>
          <w:color w:val="000000" w:themeColor="text1"/>
        </w:rPr>
        <w:t xml:space="preserve"> products</w:t>
      </w:r>
      <w:r w:rsidR="00124F28" w:rsidRPr="008C2309">
        <w:rPr>
          <w:rFonts w:ascii="Times" w:hAnsi="Times" w:cstheme="minorHAnsi"/>
          <w:color w:val="000000" w:themeColor="text1"/>
        </w:rPr>
        <w:t>.</w:t>
      </w:r>
      <w:r w:rsidR="00E527E9" w:rsidRPr="008C2309">
        <w:rPr>
          <w:rFonts w:ascii="Times" w:hAnsi="Times" w:cstheme="minorHAnsi"/>
          <w:color w:val="000000" w:themeColor="text1"/>
        </w:rPr>
        <w:t xml:space="preserve"> Depending on the desired characteristics of the final formulation, the method of manufacture has a critical </w:t>
      </w:r>
      <w:r w:rsidR="00DE3F2E" w:rsidRPr="008C2309">
        <w:rPr>
          <w:rFonts w:ascii="Times" w:hAnsi="Times" w:cstheme="minorHAnsi"/>
          <w:color w:val="000000" w:themeColor="text1"/>
        </w:rPr>
        <w:t>impact upon</w:t>
      </w:r>
      <w:r w:rsidR="00E527E9" w:rsidRPr="008C2309">
        <w:rPr>
          <w:rFonts w:ascii="Times" w:hAnsi="Times" w:cstheme="minorHAnsi"/>
          <w:color w:val="000000" w:themeColor="text1"/>
        </w:rPr>
        <w:t xml:space="preserve"> the outcome. Both spray </w:t>
      </w:r>
      <w:r w:rsidR="008E79DF" w:rsidRPr="008C2309">
        <w:rPr>
          <w:rFonts w:ascii="Times" w:hAnsi="Times" w:cstheme="minorHAnsi"/>
          <w:color w:val="000000" w:themeColor="text1"/>
        </w:rPr>
        <w:t>drying,</w:t>
      </w:r>
      <w:r w:rsidR="00E527E9" w:rsidRPr="008C2309">
        <w:rPr>
          <w:rFonts w:ascii="Times" w:hAnsi="Times" w:cstheme="minorHAnsi"/>
          <w:color w:val="000000" w:themeColor="text1"/>
        </w:rPr>
        <w:t xml:space="preserve"> and hot melt extrusion may be used to produce monolithic fixed dose combination products with an immediate release</w:t>
      </w:r>
      <w:r w:rsidR="008E79DF" w:rsidRPr="008C2309">
        <w:rPr>
          <w:rFonts w:ascii="Times" w:hAnsi="Times" w:cstheme="minorHAnsi"/>
          <w:color w:val="000000" w:themeColor="text1"/>
        </w:rPr>
        <w:t xml:space="preserve"> dissolution profile. However, spray drying may be a more suitable option if a thermolabile API is being </w:t>
      </w:r>
      <w:r w:rsidRPr="008C2309">
        <w:rPr>
          <w:rFonts w:ascii="Times" w:hAnsi="Times" w:cstheme="minorHAnsi"/>
          <w:color w:val="000000" w:themeColor="text1"/>
        </w:rPr>
        <w:t xml:space="preserve">processed </w:t>
      </w:r>
      <w:r w:rsidR="008E79DF" w:rsidRPr="008C2309">
        <w:rPr>
          <w:rFonts w:ascii="Times" w:hAnsi="Times" w:cstheme="minorHAnsi"/>
          <w:color w:val="000000" w:themeColor="text1"/>
        </w:rPr>
        <w:t>due to the vast array of volatile solvents available</w:t>
      </w:r>
      <w:r w:rsidR="0099066F" w:rsidRPr="008C2309">
        <w:rPr>
          <w:rFonts w:ascii="Times" w:hAnsi="Times" w:cstheme="minorHAnsi"/>
          <w:color w:val="000000" w:themeColor="text1"/>
        </w:rPr>
        <w:t>,</w:t>
      </w:r>
      <w:r w:rsidR="008E79DF" w:rsidRPr="008C2309">
        <w:rPr>
          <w:rFonts w:ascii="Times" w:hAnsi="Times" w:cstheme="minorHAnsi"/>
          <w:color w:val="000000" w:themeColor="text1"/>
        </w:rPr>
        <w:t xml:space="preserve"> allowing processing to be conducted at a lower temperature than may be required in hot melt extrusion with the same formulation. On the other hand, required processing temperatures can be reduced if the addition of a plasticiser is feasible and appropriate for hot melt extrusion</w:t>
      </w:r>
      <w:r w:rsidR="00D03BAC" w:rsidRPr="008C2309">
        <w:rPr>
          <w:rFonts w:ascii="Times" w:hAnsi="Times" w:cstheme="minorHAnsi"/>
          <w:color w:val="000000" w:themeColor="text1"/>
        </w:rPr>
        <w:t>,</w:t>
      </w:r>
      <w:r w:rsidR="008E79DF" w:rsidRPr="008C2309">
        <w:rPr>
          <w:rFonts w:ascii="Times" w:hAnsi="Times" w:cstheme="minorHAnsi"/>
          <w:color w:val="000000" w:themeColor="text1"/>
        </w:rPr>
        <w:t xml:space="preserve"> potentially avoiding the degradation of the thermolabile API.</w:t>
      </w:r>
    </w:p>
    <w:p w14:paraId="3CEC1315" w14:textId="1E8100C7" w:rsidR="00CB71DC" w:rsidRPr="008C2309" w:rsidRDefault="00D03BAC" w:rsidP="00E41DED">
      <w:pPr>
        <w:spacing w:line="480" w:lineRule="auto"/>
        <w:jc w:val="both"/>
        <w:outlineLvl w:val="0"/>
        <w:rPr>
          <w:rFonts w:ascii="Times" w:hAnsi="Times" w:cstheme="minorHAnsi"/>
          <w:color w:val="000000" w:themeColor="text1"/>
        </w:rPr>
      </w:pPr>
      <w:r w:rsidRPr="008C2309">
        <w:rPr>
          <w:rFonts w:ascii="Times" w:hAnsi="Times" w:cstheme="minorHAnsi"/>
          <w:color w:val="000000" w:themeColor="text1"/>
        </w:rPr>
        <w:t xml:space="preserve">While the Wood’s apparatus allows for comparison of release rates from a constant surface area, the surface roughness of the compacted disc </w:t>
      </w:r>
      <w:r w:rsidR="000668B4" w:rsidRPr="008C2309">
        <w:rPr>
          <w:rFonts w:ascii="Times" w:hAnsi="Times" w:cstheme="minorHAnsi"/>
          <w:color w:val="000000" w:themeColor="text1"/>
        </w:rPr>
        <w:t xml:space="preserve">may </w:t>
      </w:r>
      <w:r w:rsidRPr="008C2309">
        <w:rPr>
          <w:rFonts w:ascii="Times" w:hAnsi="Times" w:cstheme="minorHAnsi"/>
          <w:color w:val="000000" w:themeColor="text1"/>
        </w:rPr>
        <w:t xml:space="preserve">have </w:t>
      </w:r>
      <w:r w:rsidR="008624A6" w:rsidRPr="008C2309">
        <w:rPr>
          <w:rFonts w:ascii="Times" w:hAnsi="Times" w:cstheme="minorHAnsi"/>
          <w:color w:val="000000" w:themeColor="text1"/>
        </w:rPr>
        <w:t xml:space="preserve">a significant effect on the release rate. Also, formulations that contain polymers prone to swelling </w:t>
      </w:r>
      <w:r w:rsidR="000668B4" w:rsidRPr="008C2309">
        <w:rPr>
          <w:rFonts w:ascii="Times" w:hAnsi="Times" w:cstheme="minorHAnsi"/>
          <w:color w:val="000000" w:themeColor="text1"/>
        </w:rPr>
        <w:t>under the test condition</w:t>
      </w:r>
      <w:r w:rsidR="005329FB" w:rsidRPr="008C2309">
        <w:rPr>
          <w:rFonts w:ascii="Times" w:hAnsi="Times" w:cstheme="minorHAnsi"/>
          <w:color w:val="000000" w:themeColor="text1"/>
        </w:rPr>
        <w:t>s</w:t>
      </w:r>
      <w:r w:rsidR="000668B4" w:rsidRPr="008C2309">
        <w:rPr>
          <w:rFonts w:ascii="Times" w:hAnsi="Times" w:cstheme="minorHAnsi"/>
          <w:color w:val="000000" w:themeColor="text1"/>
        </w:rPr>
        <w:t xml:space="preserve"> used</w:t>
      </w:r>
      <w:r w:rsidR="00443DFE" w:rsidRPr="008C2309">
        <w:rPr>
          <w:rFonts w:ascii="Times" w:hAnsi="Times" w:cstheme="minorHAnsi"/>
          <w:color w:val="000000" w:themeColor="text1"/>
        </w:rPr>
        <w:t xml:space="preserve"> </w:t>
      </w:r>
      <w:r w:rsidR="008624A6" w:rsidRPr="008C2309">
        <w:rPr>
          <w:rFonts w:ascii="Times" w:hAnsi="Times" w:cstheme="minorHAnsi"/>
          <w:color w:val="000000" w:themeColor="text1"/>
        </w:rPr>
        <w:t>may not be suited to a Wood’s apparatus dissolution test.</w:t>
      </w:r>
    </w:p>
    <w:p w14:paraId="7D9F9952" w14:textId="03E2F1ED" w:rsidR="00404A2A" w:rsidRPr="008C2309" w:rsidRDefault="00443DFE" w:rsidP="00E41DED">
      <w:pPr>
        <w:spacing w:line="480" w:lineRule="auto"/>
        <w:jc w:val="both"/>
        <w:outlineLvl w:val="0"/>
        <w:rPr>
          <w:rFonts w:ascii="Times" w:hAnsi="Times" w:cstheme="minorHAnsi"/>
          <w:color w:val="000000" w:themeColor="text1"/>
        </w:rPr>
      </w:pPr>
      <w:r w:rsidRPr="008C2309">
        <w:rPr>
          <w:rFonts w:ascii="Times" w:hAnsi="Times" w:cstheme="minorHAnsi"/>
          <w:color w:val="000000" w:themeColor="text1"/>
        </w:rPr>
        <w:t>Finally, as</w:t>
      </w:r>
      <w:r w:rsidR="00404A2A" w:rsidRPr="008C2309">
        <w:rPr>
          <w:rFonts w:ascii="Times" w:hAnsi="Times" w:cstheme="minorHAnsi"/>
          <w:color w:val="000000" w:themeColor="text1"/>
        </w:rPr>
        <w:t xml:space="preserve"> HCTZ is indicated with several ACE inhibitors</w:t>
      </w:r>
      <w:r w:rsidR="000668B4" w:rsidRPr="008C2309">
        <w:rPr>
          <w:rFonts w:ascii="Times" w:hAnsi="Times" w:cstheme="minorHAnsi"/>
          <w:color w:val="000000" w:themeColor="text1"/>
        </w:rPr>
        <w:t>,</w:t>
      </w:r>
      <w:r w:rsidR="00404A2A" w:rsidRPr="008C2309">
        <w:rPr>
          <w:rFonts w:ascii="Times" w:hAnsi="Times" w:cstheme="minorHAnsi"/>
          <w:color w:val="000000" w:themeColor="text1"/>
        </w:rPr>
        <w:t xml:space="preserve"> </w:t>
      </w:r>
      <w:r w:rsidR="000668B4" w:rsidRPr="008C2309">
        <w:rPr>
          <w:rFonts w:ascii="Times" w:hAnsi="Times" w:cstheme="minorHAnsi"/>
          <w:color w:val="000000" w:themeColor="text1"/>
        </w:rPr>
        <w:t xml:space="preserve">which have similar chemical structures to RAM, </w:t>
      </w:r>
      <w:r w:rsidR="00404A2A" w:rsidRPr="008C2309">
        <w:rPr>
          <w:rFonts w:ascii="Times" w:hAnsi="Times" w:cstheme="minorHAnsi"/>
          <w:color w:val="000000" w:themeColor="text1"/>
        </w:rPr>
        <w:t>for the treatment of HPT, th</w:t>
      </w:r>
      <w:r w:rsidRPr="008C2309">
        <w:rPr>
          <w:rFonts w:ascii="Times" w:hAnsi="Times" w:cstheme="minorHAnsi"/>
          <w:color w:val="000000" w:themeColor="text1"/>
        </w:rPr>
        <w:t>e spray drying and hot melt extrusion</w:t>
      </w:r>
      <w:r w:rsidR="00404A2A" w:rsidRPr="008C2309">
        <w:rPr>
          <w:rFonts w:ascii="Times" w:hAnsi="Times" w:cstheme="minorHAnsi"/>
          <w:color w:val="000000" w:themeColor="text1"/>
        </w:rPr>
        <w:t xml:space="preserve"> processes may be applicable to</w:t>
      </w:r>
      <w:r w:rsidRPr="008C2309">
        <w:rPr>
          <w:rFonts w:ascii="Times" w:hAnsi="Times" w:cstheme="minorHAnsi"/>
          <w:color w:val="000000" w:themeColor="text1"/>
        </w:rPr>
        <w:t xml:space="preserve"> the manufacture of</w:t>
      </w:r>
      <w:r w:rsidR="00404A2A" w:rsidRPr="008C2309">
        <w:rPr>
          <w:rFonts w:ascii="Times" w:hAnsi="Times" w:cstheme="minorHAnsi"/>
          <w:color w:val="000000" w:themeColor="text1"/>
        </w:rPr>
        <w:t xml:space="preserve"> other FDCs containing HCTZ and another ACE inhibitor.  </w:t>
      </w:r>
    </w:p>
    <w:p w14:paraId="17E0C641" w14:textId="4F77B156" w:rsidR="00A87C18" w:rsidRPr="008C2309" w:rsidRDefault="00AF66DD" w:rsidP="00E41DED">
      <w:pPr>
        <w:spacing w:line="480" w:lineRule="auto"/>
        <w:jc w:val="both"/>
        <w:outlineLvl w:val="0"/>
        <w:rPr>
          <w:rFonts w:ascii="Times" w:hAnsi="Times" w:cstheme="minorHAnsi"/>
          <w:b/>
          <w:color w:val="000000" w:themeColor="text1"/>
        </w:rPr>
      </w:pPr>
      <w:r w:rsidRPr="008C2309">
        <w:rPr>
          <w:rFonts w:ascii="Times" w:hAnsi="Times" w:cstheme="minorHAnsi"/>
          <w:color w:val="000000" w:themeColor="text1"/>
        </w:rPr>
        <w:t xml:space="preserve">Thus, </w:t>
      </w:r>
      <w:r w:rsidR="00CB71DC" w:rsidRPr="008C2309">
        <w:rPr>
          <w:rFonts w:ascii="Times" w:hAnsi="Times" w:cstheme="minorHAnsi"/>
          <w:color w:val="000000" w:themeColor="text1"/>
        </w:rPr>
        <w:t xml:space="preserve">the </w:t>
      </w:r>
      <w:r w:rsidRPr="008C2309">
        <w:rPr>
          <w:rFonts w:ascii="Times" w:hAnsi="Times" w:cstheme="minorHAnsi"/>
          <w:color w:val="000000" w:themeColor="text1"/>
        </w:rPr>
        <w:t xml:space="preserve">present study </w:t>
      </w:r>
      <w:r w:rsidR="00CB71DC" w:rsidRPr="008C2309">
        <w:rPr>
          <w:rFonts w:ascii="Times" w:hAnsi="Times" w:cstheme="minorHAnsi"/>
          <w:color w:val="000000" w:themeColor="text1"/>
        </w:rPr>
        <w:t xml:space="preserve">demonstrates </w:t>
      </w:r>
      <w:r w:rsidRPr="008C2309">
        <w:rPr>
          <w:rFonts w:ascii="Times" w:hAnsi="Times" w:cstheme="minorHAnsi"/>
          <w:color w:val="000000" w:themeColor="text1"/>
        </w:rPr>
        <w:t xml:space="preserve">the importance of selecting the manufacturing method </w:t>
      </w:r>
      <w:r w:rsidR="00A62B43" w:rsidRPr="008C2309">
        <w:rPr>
          <w:rFonts w:ascii="Times" w:hAnsi="Times" w:cstheme="minorHAnsi"/>
          <w:color w:val="000000" w:themeColor="text1"/>
        </w:rPr>
        <w:t>as well as</w:t>
      </w:r>
      <w:r w:rsidRPr="008C2309">
        <w:rPr>
          <w:rFonts w:ascii="Times" w:hAnsi="Times" w:cstheme="minorHAnsi"/>
          <w:color w:val="000000" w:themeColor="text1"/>
        </w:rPr>
        <w:t xml:space="preserve"> polymer selection in the manufacture of</w:t>
      </w:r>
      <w:r w:rsidR="00A62B43" w:rsidRPr="008C2309">
        <w:rPr>
          <w:rFonts w:ascii="Times" w:hAnsi="Times" w:cstheme="minorHAnsi"/>
          <w:color w:val="000000" w:themeColor="text1"/>
        </w:rPr>
        <w:t xml:space="preserve"> stable monolithic fixed</w:t>
      </w:r>
      <w:r w:rsidR="008604B9" w:rsidRPr="008C2309">
        <w:rPr>
          <w:rFonts w:ascii="Times" w:hAnsi="Times" w:cstheme="minorHAnsi"/>
          <w:color w:val="000000" w:themeColor="text1"/>
        </w:rPr>
        <w:t xml:space="preserve"> dose combination </w:t>
      </w:r>
      <w:r w:rsidR="00A62B43" w:rsidRPr="008C2309">
        <w:rPr>
          <w:rFonts w:ascii="Times" w:hAnsi="Times" w:cstheme="minorHAnsi"/>
          <w:color w:val="000000" w:themeColor="text1"/>
        </w:rPr>
        <w:t>products</w:t>
      </w:r>
      <w:r w:rsidRPr="008C2309">
        <w:rPr>
          <w:rFonts w:ascii="Times" w:hAnsi="Times" w:cstheme="minorHAnsi"/>
          <w:color w:val="000000" w:themeColor="text1"/>
        </w:rPr>
        <w:t xml:space="preserve">.  </w:t>
      </w:r>
      <w:r w:rsidR="00015360" w:rsidRPr="008C2309">
        <w:rPr>
          <w:rFonts w:ascii="Times" w:hAnsi="Times" w:cstheme="minorHAnsi"/>
          <w:color w:val="000000" w:themeColor="text1"/>
        </w:rPr>
        <w:br w:type="page"/>
      </w:r>
      <w:r w:rsidR="00A87C18" w:rsidRPr="008C2309">
        <w:rPr>
          <w:rFonts w:ascii="Times" w:hAnsi="Times" w:cstheme="minorHAnsi"/>
          <w:b/>
          <w:color w:val="000000" w:themeColor="text1"/>
        </w:rPr>
        <w:lastRenderedPageBreak/>
        <w:t>Acknowledgements</w:t>
      </w:r>
    </w:p>
    <w:p w14:paraId="49D97B38" w14:textId="7F79671B" w:rsidR="00FC3783" w:rsidRPr="008C2309" w:rsidRDefault="00FC3783"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 xml:space="preserve">This investigation was conducted with the financial support of both </w:t>
      </w:r>
      <w:r w:rsidR="00CB71DC" w:rsidRPr="008C2309">
        <w:rPr>
          <w:rFonts w:ascii="Times" w:hAnsi="Times" w:cstheme="minorHAnsi"/>
          <w:color w:val="000000" w:themeColor="text1"/>
        </w:rPr>
        <w:t xml:space="preserve">the Department for the Economy of Northern Ireland and </w:t>
      </w:r>
      <w:r w:rsidRPr="008C2309">
        <w:rPr>
          <w:rFonts w:ascii="Times" w:hAnsi="Times" w:cstheme="minorHAnsi"/>
          <w:color w:val="000000" w:themeColor="text1"/>
        </w:rPr>
        <w:t>Science Foundation Ireland (SFI)</w:t>
      </w:r>
      <w:r w:rsidR="00BF0A27" w:rsidRPr="008C2309">
        <w:rPr>
          <w:rFonts w:ascii="Times" w:hAnsi="Times" w:cstheme="minorHAnsi"/>
          <w:color w:val="000000" w:themeColor="text1"/>
        </w:rPr>
        <w:t xml:space="preserve"> </w:t>
      </w:r>
      <w:r w:rsidR="00BF0A27" w:rsidRPr="008C2309">
        <w:rPr>
          <w:rFonts w:ascii="Times" w:hAnsi="Times" w:cstheme="minorHAnsi"/>
          <w:color w:val="000000" w:themeColor="text1"/>
          <w:lang w:val="en-US"/>
        </w:rPr>
        <w:t>under Grant Number 14/IA/2559</w:t>
      </w:r>
      <w:r w:rsidR="00B63ABB" w:rsidRPr="008C2309">
        <w:rPr>
          <w:rFonts w:ascii="Times" w:hAnsi="Times" w:cstheme="minorHAnsi"/>
          <w:color w:val="000000" w:themeColor="text1"/>
        </w:rPr>
        <w:t xml:space="preserve">. </w:t>
      </w:r>
    </w:p>
    <w:p w14:paraId="4CBBF1D4" w14:textId="77777777" w:rsidR="00DA7B70" w:rsidRPr="008C2309" w:rsidRDefault="001E2F37"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The authors would like to thank Mr Colin Reid and Mrs. Leona O’Connor of the Irish Centre for Research in Applied Geosciences (iCRAG) for their assistance and guidance with the profilometry measurements.</w:t>
      </w:r>
    </w:p>
    <w:p w14:paraId="59805053" w14:textId="77777777" w:rsidR="00DA7B70" w:rsidRPr="008C2309" w:rsidRDefault="00DA7B70" w:rsidP="00E41DED">
      <w:pPr>
        <w:spacing w:line="480" w:lineRule="auto"/>
        <w:jc w:val="both"/>
        <w:rPr>
          <w:rFonts w:ascii="Times" w:hAnsi="Times" w:cstheme="minorHAnsi"/>
          <w:color w:val="000000" w:themeColor="text1"/>
        </w:rPr>
      </w:pPr>
    </w:p>
    <w:p w14:paraId="38F0A574" w14:textId="77777777" w:rsidR="00DA7B70" w:rsidRPr="008C2309" w:rsidRDefault="00DA7B70" w:rsidP="00E41DED">
      <w:pPr>
        <w:spacing w:line="480" w:lineRule="auto"/>
        <w:jc w:val="both"/>
        <w:rPr>
          <w:rFonts w:ascii="Times" w:hAnsi="Times" w:cstheme="minorHAnsi"/>
          <w:b/>
          <w:color w:val="000000" w:themeColor="text1"/>
        </w:rPr>
      </w:pPr>
      <w:r w:rsidRPr="008C2309">
        <w:rPr>
          <w:rFonts w:ascii="Times" w:hAnsi="Times" w:cstheme="minorHAnsi"/>
          <w:b/>
          <w:color w:val="000000" w:themeColor="text1"/>
        </w:rPr>
        <w:t>Appendix A. Supplementary material</w:t>
      </w:r>
    </w:p>
    <w:p w14:paraId="0BA1F805" w14:textId="64301BB2" w:rsidR="00074AF5" w:rsidRPr="008C2309" w:rsidRDefault="00DA7B70" w:rsidP="00E41DED">
      <w:pPr>
        <w:spacing w:line="480" w:lineRule="auto"/>
        <w:jc w:val="both"/>
        <w:rPr>
          <w:rFonts w:ascii="Times" w:hAnsi="Times" w:cstheme="minorHAnsi"/>
          <w:color w:val="000000" w:themeColor="text1"/>
        </w:rPr>
      </w:pPr>
      <w:r w:rsidRPr="008C2309">
        <w:rPr>
          <w:rFonts w:ascii="Times" w:hAnsi="Times" w:cstheme="minorHAnsi"/>
          <w:color w:val="000000" w:themeColor="text1"/>
        </w:rPr>
        <w:t>Supplementary data associated</w:t>
      </w:r>
      <w:r w:rsidR="009528CA" w:rsidRPr="008C2309">
        <w:rPr>
          <w:rFonts w:ascii="Times" w:hAnsi="Times" w:cstheme="minorHAnsi"/>
          <w:color w:val="000000" w:themeColor="text1"/>
        </w:rPr>
        <w:t xml:space="preserve"> with this article can be found in the online version.</w:t>
      </w:r>
      <w:r w:rsidRPr="008C2309">
        <w:rPr>
          <w:rFonts w:ascii="Times" w:hAnsi="Times" w:cstheme="minorHAnsi"/>
          <w:color w:val="000000" w:themeColor="text1"/>
        </w:rPr>
        <w:t xml:space="preserve"> </w:t>
      </w:r>
      <w:r w:rsidR="001E2F37" w:rsidRPr="008C2309">
        <w:rPr>
          <w:rFonts w:ascii="Times" w:hAnsi="Times" w:cstheme="minorHAnsi"/>
          <w:color w:val="000000" w:themeColor="text1"/>
        </w:rPr>
        <w:t xml:space="preserve"> </w:t>
      </w:r>
      <w:r w:rsidR="00074AF5" w:rsidRPr="008C2309">
        <w:rPr>
          <w:rFonts w:ascii="Times" w:hAnsi="Times" w:cstheme="minorHAnsi"/>
          <w:color w:val="000000" w:themeColor="text1"/>
        </w:rPr>
        <w:br w:type="page"/>
      </w:r>
    </w:p>
    <w:p w14:paraId="36417D84" w14:textId="5567D6A2" w:rsidR="00A87C18" w:rsidRPr="008C2309" w:rsidRDefault="00A87C18" w:rsidP="00E41DED">
      <w:pPr>
        <w:spacing w:line="480" w:lineRule="auto"/>
        <w:jc w:val="both"/>
        <w:outlineLvl w:val="0"/>
        <w:rPr>
          <w:rFonts w:ascii="Times" w:hAnsi="Times" w:cstheme="minorHAnsi"/>
          <w:b/>
          <w:color w:val="000000" w:themeColor="text1"/>
        </w:rPr>
      </w:pPr>
      <w:r w:rsidRPr="008C2309">
        <w:rPr>
          <w:rFonts w:ascii="Times" w:hAnsi="Times" w:cstheme="minorHAnsi"/>
          <w:b/>
          <w:color w:val="000000" w:themeColor="text1"/>
        </w:rPr>
        <w:lastRenderedPageBreak/>
        <w:t>References</w:t>
      </w:r>
    </w:p>
    <w:p w14:paraId="3C7F6BCD" w14:textId="21F5DEFD" w:rsidR="00FD3081" w:rsidRPr="008C2309" w:rsidRDefault="00230AD9"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heme="minorHAnsi"/>
          <w:color w:val="000000" w:themeColor="text1"/>
        </w:rPr>
        <w:fldChar w:fldCharType="begin" w:fldLock="1"/>
      </w:r>
      <w:r w:rsidRPr="008C2309">
        <w:rPr>
          <w:rFonts w:ascii="Times" w:hAnsi="Times" w:cstheme="minorHAnsi"/>
          <w:color w:val="000000" w:themeColor="text1"/>
        </w:rPr>
        <w:instrText xml:space="preserve">ADDIN Mendeley Bibliography CSL_BIBLIOGRAPHY </w:instrText>
      </w:r>
      <w:r w:rsidRPr="008C2309">
        <w:rPr>
          <w:rFonts w:ascii="Times" w:hAnsi="Times" w:cstheme="minorHAnsi"/>
          <w:color w:val="000000" w:themeColor="text1"/>
        </w:rPr>
        <w:fldChar w:fldCharType="separate"/>
      </w:r>
      <w:r w:rsidR="00FD3081" w:rsidRPr="008C2309">
        <w:rPr>
          <w:rFonts w:ascii="Times" w:hAnsi="Times" w:cs="Times"/>
          <w:noProof/>
        </w:rPr>
        <w:t>Abiad, M.G., Carvajal, M.T., Campanella, O.H., 2009. A Review on Methods and Theories to Describe the Glass Transition Phenomenon: Applications in Food and Pharmaceutical Products. Food Eng. Rev. 1, 105–132. https://doi.org/10.1007/s12393-009-9009-1</w:t>
      </w:r>
    </w:p>
    <w:p w14:paraId="7F577594"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Agrawal, A.M., Dudhedia, M.S., Zimny, E., 2016. Hot Melt Extrusion: Development of an Amorphous Solid Dispersion for an Insoluble Drug from Mini-scale to Clinical Scale. AAPS PharmSciTech 17, 133–147. https://doi.org/10.1208/s12249-015-0425-7</w:t>
      </w:r>
    </w:p>
    <w:p w14:paraId="5946B45D"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Ali, S., Langley, N., Djuric, D., Kolter, K., 2009. Eye on Excipients [WWW Document]. Basf. URL https://industries.basf.com/bin/bws/documentDownload.en.8805804190165</w:t>
      </w:r>
    </w:p>
    <w:p w14:paraId="08822888"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Ambrosioni, E., Borghi, C., Costa, F., 1987. Captopril and hydrochlorothiazide: rationale for their combination. Br. J. Clin. Pharmacol. 23, 43S–50S. https://doi.org/10.1111/j.1365-2125.1987.tb03121.x</w:t>
      </w:r>
    </w:p>
    <w:p w14:paraId="0459AD98"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Aulton, M.E., Taylor, K., 2013. Aulton’s Pharmaceutics: The Design and Manufacture of Medicines, Fourth edi. ed. Elsevier Health Sciences,.</w:t>
      </w:r>
    </w:p>
    <w:p w14:paraId="7F655EEE"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Badens, E., Majerik, V., Horvth, G., Szokonya, L., Bosc, N., Teillaud, E., Charbit, G., 2009. Comparison of solid dispersions produced by supercritical antisolvent and spray-freezing technologies. Int. J. Pharm. 377, 25–34. https://doi.org/10.1016/j.ijpharm.2009.04.047</w:t>
      </w:r>
    </w:p>
    <w:p w14:paraId="6EF7D1EF"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BASF, 2010. Technical Information Soluplus [WWW Document]. BASF, Pharma Ingredients Serv. URL https://pharmaceutical.basf.com/en/Drug-Formulation/Soluplus.html</w:t>
      </w:r>
    </w:p>
    <w:p w14:paraId="343DB93B"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BASF, 2008. Technical Information Kollidon®VA64 [WWW Document]. BASF SE Care Chem. Div. Pharma Ingredients Serv. URL https://industries.basf.com/bin/bws/documentDownload.en.8805243988437</w:t>
      </w:r>
    </w:p>
    <w:p w14:paraId="3EF7EC91"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 xml:space="preserve">Blatnik, S.U., Dreu, R., Srčič, S., 2015. Influence of pH modifiers on the dissolution and </w:t>
      </w:r>
      <w:r w:rsidRPr="008C2309">
        <w:rPr>
          <w:rFonts w:ascii="Times" w:hAnsi="Times" w:cs="Times"/>
          <w:noProof/>
        </w:rPr>
        <w:lastRenderedPageBreak/>
        <w:t>stability of hydrochlorothiazide in the bi- and three-layer tablets. Acta Pharm. 65, 383–397. https://doi.org/10.1515/acph-2015-0031</w:t>
      </w:r>
    </w:p>
    <w:p w14:paraId="483B523D"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Brayfield, A. (Ed.), 2014. Martindale - The Complete Drug Reference, Thirty-eig. ed. Pharmaceutical Press.</w:t>
      </w:r>
    </w:p>
    <w:p w14:paraId="26CEC6A7"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British Pharmacopoeia, 2018a. Hydrochlorothiazide Monograph [WWW Document]. Br. Pharmacopoeia. URL https://www.pharmacopoeia.com/bp-2018/monographs/hydrochlorothiazide.html?date=2018-01-01&amp;text=hydrochlorothiazide (accessed 2.19.18).</w:t>
      </w:r>
    </w:p>
    <w:p w14:paraId="65A7BBFF"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British Pharmacopoeia, 2018b. Ramipril Monograph [WWW Document]. Br. Pharmacopoeia. URL https://www.pharmacopoeia.com/bp-2018/monographs/ramipril.html?date=2018-01-01&amp;text=Ramipril (accessed 2.19.18).</w:t>
      </w:r>
    </w:p>
    <w:p w14:paraId="6EE422D7"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British Pharmacopoeia, 2018c. Hydrochlorothiazide Tablets Monograph [WWW Document]. Br. Pharmacopoeia. URL https://www.pharmacopoeia.com/bp-2018/formulated-specific/hydrochlorothiazide-tablets.html?date=2018-01-01&amp;text=hydrochlorothiazide</w:t>
      </w:r>
    </w:p>
    <w:p w14:paraId="41197FF3"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British Pharmacopoeia, 2018d. Ramipril Tablets Monograph [WWW Document]. Br. Pharmacopoeia. URL https://www.pharmacopoeia.com/bp-2018/formulated-specific/ramipril-tablets.html?date=2018-01-01&amp;text=ramipril (accessed 2.19.18).</w:t>
      </w:r>
    </w:p>
    <w:p w14:paraId="0A4E7236"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Brown, C.L., Backhouse, C.I., Grippat, J.C., Santoni, J.P., 1990. The effect of perindopril and hydrochlorothiazide alone and in combination on blood pressure and on the renin-angiotensin system in hypertensive subjects. Eur. J. Clin. Pharmacol. 39, 327–332.</w:t>
      </w:r>
    </w:p>
    <w:p w14:paraId="7E80286D"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Casale, A., Porter, R.S. (Roger S., 1979. Polymer stress reactions, Volume 2. Academic Press.</w:t>
      </w:r>
    </w:p>
    <w:p w14:paraId="159BE140"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Cavallari, C., Ternullo, S., Tarterini, F., Fini, A., 2016. Release Problems for Nifedipine in the Presence of Soluplus 3, 1–13. https://doi.org/10.15436/2377-1313.16.020</w:t>
      </w:r>
    </w:p>
    <w:p w14:paraId="181D0D46"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Chrysant, S.G., 1994. Antihypertensive effectiveness of low-dose lisinopril-</w:t>
      </w:r>
      <w:r w:rsidRPr="008C2309">
        <w:rPr>
          <w:rFonts w:ascii="Times" w:hAnsi="Times" w:cs="Times"/>
          <w:noProof/>
        </w:rPr>
        <w:lastRenderedPageBreak/>
        <w:t>hydrochlorothiazide combination. A large multicenter study. Lisinopril-Hydrochlorothiazide Group. Arch. Intern. Med. 154, 737–743.</w:t>
      </w:r>
    </w:p>
    <w:p w14:paraId="2D92F2AC"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Costantino, H.R., Firouzabadian, L., Wu, C., Carrasquillo, K.G., Griebenow, K., Zale, S.E., Tracy, M.A., 2002. Protein spray freeze drying. 2. Effect of formulation variables on particle size  and stability. J. Pharm. Sci. 91, 388–395.</w:t>
      </w:r>
    </w:p>
    <w:p w14:paraId="79748BD2"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Craig, D.Q.M., 1995. A review of thermal methods used for the analysis of the crystal form, solution thermodynamics and glass transition behaviour of polyethylene glycols. Thermochim. Acta 248, 189–203. https://doi.org/10.1016/0040-6031(94)01886-L</w:t>
      </w:r>
    </w:p>
    <w:p w14:paraId="0724E13E"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Crowley, Michael M., Z.F., 2007. Pharmaceutical Applications of Hot-Melt Extrusion: Part I Review Article. Drug Dev. Ind. Pharm. 33, 909–926. https://doi.org/10.1080/03639040701498759</w:t>
      </w:r>
    </w:p>
    <w:p w14:paraId="2CE1B502"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Dashevsky, A., Kolter, K., Bodmeier, R., 2004. Compression of pellets coated with various aqueous polymer dispersions. Int. J. Pharm. 279, 19–26. https://doi.org/10.1016/j.ijpharm.2004.03.019</w:t>
      </w:r>
    </w:p>
    <w:p w14:paraId="69E9CB04"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De Jaeghere, W., De Beer, T., Van Bocxlaer, J., Remon, J.P., Vervaet, C., 2015. Hot-melt extrusion of polyvinyl alcohol for oral immediate release applications. Int. J. Pharm. 492, 1–9. https://doi.org/10.1016/j.ijpharm.2015.07.009</w:t>
      </w:r>
    </w:p>
    <w:p w14:paraId="491E489F"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Descamps, M., Willart, J.F., Dudognon, E., Caron, V., 2007. Transformation of pharmaceutical compounds upon milling and comilling: The role of Tg. J. Pharm. Sci. 96, 1398–1407. https://doi.org/10.1002/jps.20939</w:t>
      </w:r>
    </w:p>
    <w:p w14:paraId="29D4D261"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Dierickx, L., Saerens, L., Almeida, A., De Beer, T., Remon, J.P., Vervaet, C., 2012. Co-extrusion as manufacturing technique for fixed-dose combination mini-matrices. Eur. J. Pharm. Biopharm. 81, 683–689. https://doi.org/10.1016/j.ejpb.2012.03.018</w:t>
      </w:r>
    </w:p>
    <w:p w14:paraId="6497AC2D"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 xml:space="preserve">DiNunzio, J.C., Brough, C., Hughey, J.R., Miller, D.A., Williams, R.O., McGinity, J.W., 2010. Fusion production of solid dispersions containing a heat-sensitive active </w:t>
      </w:r>
      <w:r w:rsidRPr="008C2309">
        <w:rPr>
          <w:rFonts w:ascii="Times" w:hAnsi="Times" w:cs="Times"/>
          <w:noProof/>
        </w:rPr>
        <w:lastRenderedPageBreak/>
        <w:t>ingredient by hot melt extrusion and Kinetisol® dispersing. Eur. J. Pharm. Biopharm. 74, 340–351. https://doi.org/10.1016/J.EJPB.2009.09.007</w:t>
      </w:r>
    </w:p>
    <w:p w14:paraId="29B52B7E"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Djuris, J., Nikolakakis, I., Ibric, S., Djuric, Z., Kachrimanis, K., 2013. Preparation of carbamazepine-Soluplus solid dispersions by hot-melt extrusion, and prediction of drug-polymer miscibility by thermodynamic model fitting. Eur. J. Pharm. Biopharm. 84, 228–237. https://doi.org/10.1016/j.ejpb.2012.12.018</w:t>
      </w:r>
    </w:p>
    <w:p w14:paraId="26523EE4"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Dunn, P.J., Wells, A.S., Williams, M.T., 2010. Future Trends for Green Chemistry in the Pharmaceutical Industry, in: Green Chemistry in the Pharmaceutical Industry. Wiley-VCH Verlag GmbH &amp; Co. KGaA, Weinheim, Germany. https://doi.org/10.1002/9783527629688.ch16</w:t>
      </w:r>
    </w:p>
    <w:p w14:paraId="3C437A8F"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Farrell, B., Shamji, S., Monahan, A., French Merkley, V., 2013. Reducing polypharmacy in the elderly: Cases to help you &amp;quot;rock the boat&amp;quot;. Can. Pharm. J. (Ott). 146, 243–4. https://doi.org/10.1177/1715163513499530</w:t>
      </w:r>
    </w:p>
    <w:p w14:paraId="03C18F9A"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Fule, R., Paithankar, V., Amin, P., 2016. Hot melt extrusion based solid solution approach: Exploring polymer comparison, physicochemical characterization and in-vivo evaluation. Int. J. Pharm. 499, 280–294. https://doi.org/10.1016/j.ijpharm.2015.12.062</w:t>
      </w:r>
    </w:p>
    <w:p w14:paraId="33AEBDA5"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Gautam, C.S., Saha, L., 2008. Fixed dose drug combinations (FDCs): Rational or irrational: A view point. Br. J. Clin. Pharmacol. 65, 795–796. https://doi.org/10.1111/j.1365-2125.2007.03089.x</w:t>
      </w:r>
    </w:p>
    <w:p w14:paraId="51AE2D58"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Ghadi, R., Dand, N., 2017. BCS class IV drugs: Highly notorious candidates for formulation development. J. Control. Release 248, 71–95. https://doi.org/10.1016/J.JCONREL.2017.01.014</w:t>
      </w:r>
    </w:p>
    <w:p w14:paraId="220E70F9"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Gordon, M., Taylor, J.S., 1952. Ideal copolymers and the second-order transitions of synthetic rubbers. i. non-crystalline copolymers. J. Appl. Chem. 2, 493–500. https://doi.org/10.1002/jctb.5010020901</w:t>
      </w:r>
    </w:p>
    <w:p w14:paraId="1F10B86E"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lastRenderedPageBreak/>
        <w:t>Guns, S., Dereymaker, A., Kayaert, P., Mathot, V., Martens, J.A., Van Den Mooter, G., 2011. Comparison between hot-melt extrusion and spray-drying for manufacturing solid dispersions of the graft copolymer of ethylene glycol and vinylalcohol. Pharm. Res. 28, 673–682. https://doi.org/10.1007/s11095-010-0324-2</w:t>
      </w:r>
    </w:p>
    <w:p w14:paraId="5F8021BC"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Gupta, S.S., Parikh, T., Meena, A.K., Mahajan, N., Vitez, I., Serajuddin, A.T.M., 2015. Effect of carbamazepine on viscoelastic properties and hot melt extrudability of  Soluplus (R). Int. J. Pharm. 478, 232–239. https://doi.org/10.1016/j.ijpharm.2014.11.025</w:t>
      </w:r>
    </w:p>
    <w:p w14:paraId="519B17F7"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Gupta, S.S., Solanki, N., Serajuddin, A.T.M., 2016. Investigation of Thermal and Viscoelastic Properties of Polymers Relevant to Hot Melt Extrusion, IV: Affinisol</w:t>
      </w:r>
      <w:r w:rsidRPr="008C2309">
        <w:rPr>
          <w:rFonts w:ascii="Times" w:hAnsi="Times" w:cs="Times"/>
          <w:noProof/>
          <w:vertAlign w:val="superscript"/>
        </w:rPr>
        <w:t>TM</w:t>
      </w:r>
      <w:r w:rsidRPr="008C2309">
        <w:rPr>
          <w:rFonts w:ascii="Times" w:hAnsi="Times" w:cs="Times"/>
          <w:noProof/>
        </w:rPr>
        <w:t xml:space="preserve"> HPMC HME Polymers. AAPS PharmSciTech 17, 148–157. https://doi.org/10.1208/s12249-015-0426-6</w:t>
      </w:r>
    </w:p>
    <w:p w14:paraId="45F3436F"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Gursch, J., Hohl, R., Armenante, M.E., Dujmovic, D., Van Der Wel, P., Brozio, J., Krumme, M., Rasenack, N., Khinast, J., 2015. Continuous Drying of Small Particles for Pharmaceutical Applications - An Evaluation of Selected Lab-Scale Systems. Org. Process Res. Dev. 19, 2055–2066. https://doi.org/10.1021/acs.oprd.5b00309</w:t>
      </w:r>
    </w:p>
    <w:p w14:paraId="206ED7F6"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Hancock, B.C., Shamblin, S.L., Zografi, G., 1995. Molecular Mobility of Amorphous Pharmaceutical Solids Below Their Glass Transition Temperatures. Pharm. Res. 12, 799–806. https://doi.org/10.1023/A:1016292416526</w:t>
      </w:r>
    </w:p>
    <w:p w14:paraId="575FBBA7"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Hao, J., Rodriguez-Monguio, R., Seoane-Vazquez, E., 2015. Fixed-dose combination drug approvals, patents and market exclusivities compared to single active ingredient pharmaceuticals. PLoS One 10, 1–13. https://doi.org/10.1371/journal.pone.0140708</w:t>
      </w:r>
    </w:p>
    <w:p w14:paraId="0EAED3DB"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Healy, Anne Marie, Corrigan, O., Allen, J.E.M., 1995. The effect of dissolution on the surface texture of model solid-dosage forms as assessed by non-contact laser profilometry. Pharm. Technol. Eur. 9, 14–22.</w:t>
      </w:r>
    </w:p>
    <w:p w14:paraId="64023865"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 xml:space="preserve">Healy, A.M., Corrigan, O.I., 1996. The influence of excipient particle size, solubility and acid </w:t>
      </w:r>
      <w:r w:rsidRPr="008C2309">
        <w:rPr>
          <w:rFonts w:ascii="Times" w:hAnsi="Times" w:cs="Times"/>
          <w:noProof/>
        </w:rPr>
        <w:lastRenderedPageBreak/>
        <w:t>strength on the dissolution of an acidic drug from two-component compacts. Int. J. Pharm. 143, 211–221. https://doi.org/10.1016/S0378-5173(96)04705-9</w:t>
      </w:r>
    </w:p>
    <w:p w14:paraId="443A719A"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Healy, A.M., McCarthy, L.G., Gallagher, K.M., Corrigan, O.I., 2002. Sensitivity of dissolution rate to location in the paddle dissolution apparatus. J. Pharm. Pharmacol. 54, 441–4. https://doi.org/10.1211/0022357021778529</w:t>
      </w:r>
    </w:p>
    <w:p w14:paraId="112504E7"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Hendriksen, B.A., 1991. Characterization of calcium fenoprofen: 3. Mechanism of dissolution from rotating discs. Int. J. Pharm. 75, 63–72. https://doi.org/http://dx.doi.org/10.1016/0378-5173(91)90251-I</w:t>
      </w:r>
    </w:p>
    <w:p w14:paraId="5439D13B"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Homayouni, A., Sadeghi, F., Nokhodchi, A., Varshosaz, J., Afrasiabi Garekani, H., 2015. Preparation and characterization of celecoxib dispersions in soluplus((R)): comparison of spray drying and conventional methods. Iran. J. Pharm. Res.  IJPR 14, 35–50.</w:t>
      </w:r>
    </w:p>
    <w:p w14:paraId="491CB0EE"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Huang, S., Donnell, K.P.O., Delpon, S.M., Vaux, D., Brien, J.O., Stutzman, J., Williams, R.O., 2017. European Journal of Pharmaceutics and Biopharmaceutics Processing thermally labile drugs by hot-melt extrusion : The lesson with. Eur. J. Pharm. Biopharm. 119, 56–67. https://doi.org/10.1016/j.ejpb.2017.05.014</w:t>
      </w:r>
    </w:p>
    <w:p w14:paraId="6CBC74E6"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Hughey, J.R., Keen, J.M., Miller, D.A., Kolter, K., Langley, N., McGinity, J.W., 2013. The use of inorganic salts to improve the dissolution characteristics of tablets  containing Soluplus(R)-based solid dispersions. Eur. J. Pharm. Sci. 48, 758–766. https://doi.org/10.1016/j.ejps.2013.01.004</w:t>
      </w:r>
    </w:p>
    <w:p w14:paraId="14DD7E9D"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Jagdale, S.C., Dangat, Y.T., Kuchekar, B.S., 2013. Solubility enhancement and formulation of buccal patches of Ramipril cyclodextrin complex. Asian J. Pharm. Clin. Res. 6, 83–90.</w:t>
      </w:r>
    </w:p>
    <w:p w14:paraId="104F059C"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Kestur, U.S., Taylor, L.S., 2010. Role of polymer chemistry in influencing crystal growth rates from amorphous felodipine. CrystEngComm 12, 2390. https://doi.org/10.1039/c001905d</w:t>
      </w:r>
    </w:p>
    <w:p w14:paraId="4296EA78"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lastRenderedPageBreak/>
        <w:t>Klein, A., Shah, V.P., 2008. A standardized mini paddle apparatus as an alternative to the standard paddle. AAPS PharmSciTech 9, 1179–1184. https://doi.org/10.1208/s12249-008-9161-6</w:t>
      </w:r>
    </w:p>
    <w:p w14:paraId="32ADCB4C"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Kolter, K., Flick, D., 2000. Structure and dry binding activity of different polymers, including Kollidon® VA 64. Drug Dev. Ind. Pharm. 26, 1159–1165. https://doi.org/10.1081/DDC-100100987</w:t>
      </w:r>
    </w:p>
    <w:p w14:paraId="505CE3F2"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Kolter, K., Karl, M., Gryczke, A., 2012. Hot-Melt Extrusion with BASF Pharma Polymers, Hot-Melt Extrusion with BASF Pharma Polymers.</w:t>
      </w:r>
    </w:p>
    <w:p w14:paraId="16A1A3BE"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Konno, H., Taylor, L.S., 2008. Ability of Different Polymers to Inhibit the Crystallization of Amorphous Felodipine in the Presence of Moisture. Pharm. Res. 25, 969–978. https://doi.org/10.1007/s11095-007-9331-3</w:t>
      </w:r>
    </w:p>
    <w:p w14:paraId="521367EB"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Kroker, J., Schneider, R., Schupp, E., Kerber, M., 1995. Process for preparing aqueous solutions of poly(N-vinyl-ε-caprolactam) and their use.</w:t>
      </w:r>
    </w:p>
    <w:p w14:paraId="4D868F8B"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Lee, S.., 2015. Modernizing Pharmaceutical Manufacturing: from Batch to Continuous Production. J. Pharm. Innov. 10, 191–199.</w:t>
      </w:r>
    </w:p>
    <w:p w14:paraId="3E3D93EC"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Lin, D., Huang, Y., 2010. A thermal analysis method to predict the complete phase diagram of drug–polymer solid dispersions. Int. J. Pharm. 399, 109–115. https://doi.org/http://dx.doi.org/10.1016/j.ijpharm.2010.08.013</w:t>
      </w:r>
    </w:p>
    <w:p w14:paraId="5B60A910"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Lindenberg, M., Kopp, S., Dressman, J.B., 2004. Classification of orally administered drugs on the World Health Organization Model list of Essential Medicines according to the biopharmaceutics classification system. Eur. J. Pharm. Biopharm. 58, 265–278. https://doi.org/10.1016/J.EJPB.2004.03.001</w:t>
      </w:r>
    </w:p>
    <w:p w14:paraId="2642ACF8"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Linn, M., Collnot, E.M., Djuric, D., Hempel, K., Fabian, E., Kolter, K., Lehr, C.M., 2012. Soluplus® as an effective absorption enhancer of poorly soluble drugs in vitro and in vivo. Eur. J. Pharm. Sci. 45, 336–343. https://doi.org/10.1016/j.ejps.2011.11.025</w:t>
      </w:r>
    </w:p>
    <w:p w14:paraId="66F27DFC"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lastRenderedPageBreak/>
        <w:t>Löbenberg, R., Amidon, G.L., 2000. Modern bioavailability, bioequivalence and biopharmaceutics classification system. New scientific approaches to international regulatory standards. Eur. J. Pharm. Biopharm. 50, 3–12. https://doi.org/10.1016/S0939-6411(00)00091-6</w:t>
      </w:r>
    </w:p>
    <w:p w14:paraId="7FD808DB"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Madhavi, K., Shikha, A., Suresh, B., 2016. Formulation and in vitro characterization solid self emulsifying drug delivery system of ramipril prepared by adsorption technique. Int. J. Curr. Pharm. Res. 8, 40–45.</w:t>
      </w:r>
    </w:p>
    <w:p w14:paraId="1DD8B15F"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Mahmah, O., Tabbakh, R., Kelly, A., Paradkar, A., 2014. A comparative study of the effect of spray drying and hot-melt extrusion on the properties of amorphous solid dispersions containing felodipine. J. Pharm. Pharmacol. 66, 275–284. https://doi.org/10.1111/jphp.12099</w:t>
      </w:r>
    </w:p>
    <w:p w14:paraId="1D194E13"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Makower, B., Dye, W.B., 1956. Equilibrium Moisture Content and Crystallization of Amorphous Sucrose and Glucose. J. Agric. Food Chem. 4, 72–77. https://doi.org/10.1021/jf60059a010</w:t>
      </w:r>
    </w:p>
    <w:p w14:paraId="6ED4EA18"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McKenzie, P., Kiang, S., Tom, J., Rubin, A.E., Futran, M., 2006. Can pharmaceutical process development become high tech? AIChE J. 52, 3990–3994. https://doi.org/10.1002/aic.11022</w:t>
      </w:r>
    </w:p>
    <w:p w14:paraId="79258796"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Noyes, A.A., Whitney, W.R., 1897. The rate of solution of solid substances in their own solutions. J. Am. Chem. Soc. 19, 930–934. https://doi.org/10.1021/ja02086a003</w:t>
      </w:r>
    </w:p>
    <w:p w14:paraId="2FCF82D9"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O’Neill, M.J. (Ed.), 2013. The Merck index : an encyclopedia of chemicals, drugs, and biologicals, Fifteenth. ed. Royal Society of Chemistry.</w:t>
      </w:r>
    </w:p>
    <w:p w14:paraId="46DB9453"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Oneda, F., Ré, M.I., 2003. The effect of formulation variables on the dissolution and physical properties of spray-dried microspheres containing organic salts. Powder Technol. 130, 377–384. https://doi.org/https://doi.org/10.1016/S0032-5910(02)00239-5</w:t>
      </w:r>
    </w:p>
    <w:p w14:paraId="70D617A8"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 xml:space="preserve">Panneerselvam, M., Natrajan, R., Selvaraj, S., Rajendran, N.N., 2010. A novel drug-drug </w:t>
      </w:r>
      <w:r w:rsidRPr="008C2309">
        <w:rPr>
          <w:rFonts w:ascii="Times" w:hAnsi="Times" w:cs="Times"/>
          <w:noProof/>
        </w:rPr>
        <w:lastRenderedPageBreak/>
        <w:t>solid dispersion of hydrochlorothiazide - losartan potassium. Int. Jounal Pharma Biosci. 1, 68–80.</w:t>
      </w:r>
    </w:p>
    <w:p w14:paraId="60566A43"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Paradkar, A., Ambike, A.A., Jadhav, B.K., Mahadik, K.R., 2004. Characterization of curcumin-PVP solid dispersion obtained by spray drying. Int. J. Pharm. 271, 281–286. https://doi.org/10.1016/j.ijpharm.2003.11.014</w:t>
      </w:r>
    </w:p>
    <w:p w14:paraId="6E376B46"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Patil, H., Tiwari, R. V., Repka, M.A., 2015. Hot-Melt Extrusion: from Theory to Application in Pharmaceutical Formulation. AAPS PharmSciTech 17, 20–42. https://doi.org/10.1208/s12249-015-0360-7</w:t>
      </w:r>
    </w:p>
    <w:p w14:paraId="5F1B3B96"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Polli, J.E., Yu, L.X., Cook, J.A., Amidon, G.L., Borchardt, R.T., Burnside, B.A., Burton, P.S., Chen, M., Conner, D.P., Faustino, P.J., Hawi, A.A., Hussain, A.S., Joshi, H.N., Kwei, G., Lee, V.H.L., Lesko, L.J., Lipper, R.A., Loper, A.E., Nerurkar, S.G., Polli, J.W., Sanvordeker, D.R., Taneja, R., Uppoor, R.S., Vattikonda, C.S., Wilding, I., Zhang, G., 2004. Summary workshop report: Biopharmaceutics classification system—implementation challenges and extension opportunities, Journal of Pharmaceutical Sciences. Elsevier. https://doi.org/10.1002/jps.20064</w:t>
      </w:r>
    </w:p>
    <w:p w14:paraId="32C9DDB5"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Ramirez, E., Laosa, O., Guerra, P., Duque, B., Mosquera, B., Borobia, A.M., Lei, S.H., Carcas, A.J., Frias, J., 2010. Acceptability and characteristics of 124 human bioequivalence studies with active substances classified according to the Biopharmaceutic Classification System. Br. J. Clin. Pharmacol. 70, 694–702. https://doi.org/10.1111/j.1365-2125.2010.03757.x</w:t>
      </w:r>
    </w:p>
    <w:p w14:paraId="054B3808"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Repka, M. a, Gerding, T.G., Repka, S.L., McGinity, J.W., 1999. Influence of plasticizers and drugs on the physical-mechanical properties of hydroxypropylcellulose films prepared by hot melt extrusion. Drug Dev. Ind. Pharm. 25, 625–633. https://doi.org/10.1081/DDC-100102218</w:t>
      </w:r>
    </w:p>
    <w:p w14:paraId="31B14520"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 xml:space="preserve">Riekes, M.K., Kuminek, G., Rauber, G.S., De Campos, C.E.M., Bortoluzzi, A.J., Stulzer, </w:t>
      </w:r>
      <w:r w:rsidRPr="008C2309">
        <w:rPr>
          <w:rFonts w:ascii="Times" w:hAnsi="Times" w:cs="Times"/>
          <w:noProof/>
        </w:rPr>
        <w:lastRenderedPageBreak/>
        <w:t>H.K., 2014. HPMC as a potential enhancer of nimodipine biopharmaceutical properties via ball-milled solid dispersions. Carbohydr. Polym. 99, 474–482. https://doi.org/10.1016/j.carbpol.2013.08.046</w:t>
      </w:r>
    </w:p>
    <w:p w14:paraId="78B5BBA2"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Sanphui, P., Kusum Devi, V., Clara, D., Malviya, N., Ganguly, S., Desiraju, G.R., 2015. Cocrystals of Hydrochlorothiazide: Solubility and Diffusion/ Permeability Enhancements through Drug−Coformer Interactions. Mol. Pharm. 12, 1615–1622. https://doi.org/10.1021/acs.molpharmaceut.5b00020</w:t>
      </w:r>
    </w:p>
    <w:p w14:paraId="6EEC1BFA"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Schilling, S.U., Lirola, H.L., Shah, N.H., Malick, A.W., Mcginity, J.W., 2010. Influence of plasticizer type and level on the properties of Eudragit S100 matrix pellets prepared by hot-melt extrusion. J. Microencapsul. 27, 521–532. https://doi.org/10.3109/02652048.2010.484105</w:t>
      </w:r>
    </w:p>
    <w:p w14:paraId="72FA35D6"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Schilling, S.U., Shah, N.H., Malick,  a W., Infeld, M.H., McGinity, J.W., 2007. Citric acid as a solid-state plasticizer for Eudragit RS PO. J. Pharm. Pharmacol. 59, 1493–1500. https://doi.org/10.1211/jpp.59.11.0005</w:t>
      </w:r>
    </w:p>
    <w:p w14:paraId="03F041DD"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Scholze, J., Breitstadt, A., Cairns, V., Bauer, B., Bender, N., Priestley, C., Moreadith, C., Phillips, J., Vander Elst, E., Koch, G., 1993. Short report: ramipril and hydrochlorothiazide combination therapy in hypertension: a clinical trial of factorial design. The East Germany Collaborative Trial Group. J. Hypertens. 11, 217–221.</w:t>
      </w:r>
    </w:p>
    <w:p w14:paraId="331B7D26"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Sethia, S., Squillante, E., 2004. Solid dispersion of carbamazepine in PVP K30 by conventional solvent evaporation and supercritical methods. Int. J. Pharm. 272, 1–10. https://doi.org/10.1016/j.ijpharm.2003.11.025</w:t>
      </w:r>
    </w:p>
    <w:p w14:paraId="409CE7AE"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Shamma, R.N., Basha, M., 2013. Soluplus ® : A novel polymeric solubilizer for optimization of Carvedilol solid dispersions : Formulation design and effect of method of preparation. Powder Technol. 237, 406–414. https://doi.org/10.1016/j.powtec.2012.12.038</w:t>
      </w:r>
    </w:p>
    <w:p w14:paraId="5E70E5FC"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 xml:space="preserve">Singh, A., Van den Mooter, G., 2016. Spray drying formulation of amorphous solid </w:t>
      </w:r>
      <w:r w:rsidRPr="008C2309">
        <w:rPr>
          <w:rFonts w:ascii="Times" w:hAnsi="Times" w:cs="Times"/>
          <w:noProof/>
        </w:rPr>
        <w:lastRenderedPageBreak/>
        <w:t>dispersions. Adv. Drug Deliv. Rev. 100, 27–50. https://doi.org/10.1016/J.ADDR.2015.12.010</w:t>
      </w:r>
    </w:p>
    <w:p w14:paraId="2C33E457"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Song, Y., Wang, L., Yang, P., Wenslow, R.M., Tan, B., Zhang, H., Deng, Z., 2013. Physicochemical characterization of felodipine-kollidon VA64 amorphous solid dispersions prepared by hot-melt extrusion. J. Pharm. Sci. 102, 1915–1923. https://doi.org/10.1002/jps.23538</w:t>
      </w:r>
    </w:p>
    <w:p w14:paraId="5DCBB7BE"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Sun, D.D., Lee, P.I., 2015. Probing the mechanisms of drug release from amorphous solid dispersions in medium-soluble and medium-insoluble carriers. J. Control. Release 211, 85–93. https://doi.org/10.1016/j.jconrel.2015.06.004</w:t>
      </w:r>
    </w:p>
    <w:p w14:paraId="6B54E191"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Suryanarayana, C., 2001. Mechanical alloying and milling. Prog. Mater. Sci. 46, 1–184. https://doi.org/http://dx.doi.org/10.1016/S0079-6425(99)00010-9</w:t>
      </w:r>
    </w:p>
    <w:p w14:paraId="325E66F2"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Szakonyi, G., Zelkó, R., 2012. The effect of water on the solid state characteristics of pharmaceutical excipients: Molecular mechanisms, measurement techniques, and quality aspects of final dosage form. Int. J. Pharm. Investig. 2, 18–25. https://doi.org/10.4103/2230-973X.96922</w:t>
      </w:r>
    </w:p>
    <w:p w14:paraId="6AA021B6"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Tajber, L., Corrigan, O.I., Healy, A.M., 2005. Physicochemical evaluation of PVP-thiazide diuretic interactions in co-spray-dried composites - Analysis of glass transition composition relationships. Eur. J. Pharm. Sci. 24, 553–563. https://doi.org/10.1016/j.ejps.2005.01.007</w:t>
      </w:r>
    </w:p>
    <w:p w14:paraId="1C3A2E1E"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Taupitz, T., Dressman, J.B., Buchanan, C.M., Klein, S., 2013. Cyclodextrin-water soluble polymer ternary complexes enhance the solubility and dissolution behaviour of poorly soluble drugs. Case example: Itraconazole. Eur. J. Pharm. Biopharm. 83, 378–387. https://doi.org/10.1016/j.ejpb.2012.11.003</w:t>
      </w:r>
    </w:p>
    <w:p w14:paraId="7F07F70E"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 xml:space="preserve">Taylor, L.S., Langkilde, F.W., Zografi, G., 2001. Fourier transform Raman spectroscopic study of the interaction of water vapor with amorphous polymers. J. Pharm. Sci. 90, </w:t>
      </w:r>
      <w:r w:rsidRPr="008C2309">
        <w:rPr>
          <w:rFonts w:ascii="Times" w:hAnsi="Times" w:cs="Times"/>
          <w:noProof/>
        </w:rPr>
        <w:lastRenderedPageBreak/>
        <w:t>888–901. https://doi.org/10.1002/jps.1041</w:t>
      </w:r>
    </w:p>
    <w:p w14:paraId="6F9DE332"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Taylor, L.S., Zografi, G., 1997. Spectroscopic characterization of interactions between PVP and indomethacin in amorphous molecular dispersions. Pharm. Res. 14, 1691–8.</w:t>
      </w:r>
    </w:p>
    <w:p w14:paraId="1721F2F9"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Thibert, R., Hancock, B.C., 1996. Direct visualization of Superdisintegrant Hydration Using Environmental Scanning Electron Microscopy. J. Pharm. Sci. 85, 1255–1258. https://doi.org/http://dx.doi.org/10.1021/js960188d</w:t>
      </w:r>
    </w:p>
    <w:p w14:paraId="0C72ED09"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Tian, Y., Booth, J., Meehan, E., Jones, D.S., Li, S., Andrews, G.P., 2013. Construction of drug-polymer thermodynamic phase diagrams using flory-huggins interaction theory: Identifying the relevance of temperature and drug weight fraction to phase separation within solid dispersions. Mol. Pharm. 10, 236–248. https://doi.org/10.1021/mp300386v</w:t>
      </w:r>
    </w:p>
    <w:p w14:paraId="2FFC3D0D"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Valladao, D.M.S., De Oliveira, L.C.S., Netto, J.Z., Ionashiro, M., 1996. Thermal decomposition of some diuretic agents. J. Therm. Anal. 46, 1291–1299. https://doi.org/10.1007/BF01979243</w:t>
      </w:r>
    </w:p>
    <w:p w14:paraId="7ABED9D6"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Van Eerdenbrugh, B., Taylor, L.S., 2011. Application of mid-IR spectroscopy for the characterization of pharmaceutical systems. Int. J. Pharm. 417, 3–16. https://doi.org/10.1016/J.IJPHARM.2010.12.011</w:t>
      </w:r>
    </w:p>
    <w:p w14:paraId="06B7D6D7"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Vynckier, A.K., Dierickx, L., Saerens, L., Voorspoels, J., Gonnissen, Y., De Beer, T., Vervaet, C., Remon, J.P., 2014. Hot-melt co-extrusion for the production of fixed-dose combination products with a controlled release ethylcellulose matrix core. Int. J. Pharm. 464, 65–74. https://doi.org/10.1016/j.ijpharm.2014.01.028</w:t>
      </w:r>
    </w:p>
    <w:p w14:paraId="55B99F64"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Vynckier, A.K., Lin, H., Zeitler, J.A., Willart, J.F., Bongaers, E., Voorspoels, J., Remon, J.P., Vervaet, C., 2015. Calendering as a direct shaping tool for the continuous production of fixed-dose combination products via co-extrusion. Eur. J. Pharm. Biopharm. 96, 125–131. https://doi.org/10.1016/j.ejpb.2015.07.023</w:t>
      </w:r>
    </w:p>
    <w:p w14:paraId="4D249C63"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 xml:space="preserve">Wood, J.H., Syarto, J.E., Letterman, H., 1965. Improved holder for intrinsic dissolution rate </w:t>
      </w:r>
      <w:r w:rsidRPr="008C2309">
        <w:rPr>
          <w:rFonts w:ascii="Times" w:hAnsi="Times" w:cs="Times"/>
          <w:noProof/>
        </w:rPr>
        <w:lastRenderedPageBreak/>
        <w:t>studies. J. Pharm. Sci. 54, 1068. https://doi.org/10.1002/jps.2600540730</w:t>
      </w:r>
    </w:p>
    <w:p w14:paraId="109072BC"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World Health Organization, 2017. WHO Model List of Essential Medicines 20th edition [WWW Document]. Essent. Med. Heal. Prod. URL http://www.who.int/entity/medicines/publications/essentialmedicines/20th_EML2017_FINAL_amendedAug2017.pdf?ua=1 (accessed 2.1.18).</w:t>
      </w:r>
    </w:p>
    <w:p w14:paraId="108E57F0"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World Health Organization, 2016. Cardiovascular diseases (CVDs) [WWW Document]. URL http://www.who.int/cardiovascular_diseases/en/</w:t>
      </w:r>
    </w:p>
    <w:p w14:paraId="3FD04A29"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Wu, C., McGinity, J.W., 2001. Influence of ibuprofen as a solid-state plasticizer in Eudragit RS 30 D on the physicochemical properties of coated beads. AAPS PharmSciTech 2, 1–9. https://doi.org/10.1007/BF02830564</w:t>
      </w:r>
    </w:p>
    <w:p w14:paraId="34B9D4AC"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Yoshioka, M., Hancock, B.C., Zografi, G., 1994. Crystallization of Indomethacin from the Amorphous State below and above Its Glass Transition Temperature. J. Pharm. Sci. 83, 1700–1705. https://doi.org/http://dx.doi.org/10.1002/jps.2600831211</w:t>
      </w:r>
    </w:p>
    <w:p w14:paraId="582092CA"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Yu, L.X., Straughn, A.B., Faustino, P.J., Yang, Y., Parekh, A., Ciavarella, A.B., Asafu-Adjaye, E., Mehta, M.U., Conner, D.P., Lesko, L.J., Hussain, A.S., 2004. The effect of food on the relative bioavailability of rapidly dissolving immediate-release solid oral products containing highly soluble drugs. Mol. Pharm. 1, 357–362.</w:t>
      </w:r>
    </w:p>
    <w:p w14:paraId="74AC3415"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Zaid, A.N., Ghanem, M., Maqboul, L., Zaid, H., Mahasne, A., 2016. Biowaiver Eligibility of a Lower Strength Ramipril/Hydrochlorothiazide Immediate  Release Tablets Using a New Validated HPLC Analytical Method. Drug Res. (Stuttg). 66, 539–546. https://doi.org/10.1055/s-0042-111434</w:t>
      </w:r>
    </w:p>
    <w:p w14:paraId="0D570EA1"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 xml:space="preserve">Zhang, Y., Liu, Y., Luo, Y., Yao, Q., Zhong, Y., Tian, B., Tang, X., 2014. Extruded Soluplus/SIM as an oral delivery system: characterization, interactions, </w:t>
      </w:r>
      <w:r w:rsidRPr="008C2309">
        <w:rPr>
          <w:rFonts w:ascii="Times" w:hAnsi="Times" w:cs="Times"/>
          <w:i/>
          <w:iCs/>
          <w:noProof/>
        </w:rPr>
        <w:t>in vitro</w:t>
      </w:r>
      <w:r w:rsidRPr="008C2309">
        <w:rPr>
          <w:rFonts w:ascii="Times" w:hAnsi="Times" w:cs="Times"/>
          <w:noProof/>
        </w:rPr>
        <w:t xml:space="preserve"> and </w:t>
      </w:r>
      <w:r w:rsidRPr="008C2309">
        <w:rPr>
          <w:rFonts w:ascii="Times" w:hAnsi="Times" w:cs="Times"/>
          <w:i/>
          <w:iCs/>
          <w:noProof/>
        </w:rPr>
        <w:t>in vivo</w:t>
      </w:r>
      <w:r w:rsidRPr="008C2309">
        <w:rPr>
          <w:rFonts w:ascii="Times" w:hAnsi="Times" w:cs="Times"/>
          <w:noProof/>
        </w:rPr>
        <w:t xml:space="preserve"> evaluations. Drug Deliv. 7544. https://doi.org/10.3109/10717544.2014.960982</w:t>
      </w:r>
    </w:p>
    <w:p w14:paraId="5FD8F9D9" w14:textId="77777777" w:rsidR="00FD3081" w:rsidRPr="008C2309" w:rsidRDefault="00FD3081" w:rsidP="00FD3081">
      <w:pPr>
        <w:widowControl w:val="0"/>
        <w:autoSpaceDE w:val="0"/>
        <w:autoSpaceDN w:val="0"/>
        <w:adjustRightInd w:val="0"/>
        <w:spacing w:line="480" w:lineRule="auto"/>
        <w:ind w:left="480" w:hanging="480"/>
        <w:rPr>
          <w:rFonts w:ascii="Times" w:hAnsi="Times" w:cs="Times"/>
          <w:noProof/>
        </w:rPr>
      </w:pPr>
      <w:r w:rsidRPr="008C2309">
        <w:rPr>
          <w:rFonts w:ascii="Times" w:hAnsi="Times" w:cs="Times"/>
          <w:noProof/>
        </w:rPr>
        <w:t xml:space="preserve">Zhong, Y., Jing, G., Tian, B., Huang, H., Zhang, Y., Gou, J., Tang, X., He, H., Wang, Y., </w:t>
      </w:r>
      <w:r w:rsidRPr="008C2309">
        <w:rPr>
          <w:rFonts w:ascii="Times" w:hAnsi="Times" w:cs="Times"/>
          <w:noProof/>
        </w:rPr>
        <w:lastRenderedPageBreak/>
        <w:t>2016. Supersaturation induced by Itraconazole/Soluplus® micelles provided high GI absorption in vivo. Asian J. Pharm. Sci. 11, 255–264. https://doi.org/10.1016/j.ajps.2015.07.001</w:t>
      </w:r>
    </w:p>
    <w:p w14:paraId="1777A0BA" w14:textId="77DB8D79" w:rsidR="009D2413" w:rsidRPr="00622C64" w:rsidRDefault="00230AD9" w:rsidP="00E41DED">
      <w:pPr>
        <w:widowControl w:val="0"/>
        <w:autoSpaceDE w:val="0"/>
        <w:autoSpaceDN w:val="0"/>
        <w:adjustRightInd w:val="0"/>
        <w:spacing w:line="480" w:lineRule="auto"/>
        <w:ind w:left="640" w:hanging="640"/>
        <w:rPr>
          <w:rFonts w:ascii="Times" w:hAnsi="Times" w:cstheme="minorHAnsi"/>
          <w:color w:val="000000" w:themeColor="text1"/>
        </w:rPr>
      </w:pPr>
      <w:r w:rsidRPr="008C2309">
        <w:rPr>
          <w:rFonts w:ascii="Times" w:hAnsi="Times" w:cstheme="minorHAnsi"/>
          <w:color w:val="000000" w:themeColor="text1"/>
        </w:rPr>
        <w:fldChar w:fldCharType="end"/>
      </w:r>
      <w:bookmarkStart w:id="27" w:name="_GoBack"/>
      <w:bookmarkEnd w:id="27"/>
    </w:p>
    <w:sectPr w:rsidR="009D2413" w:rsidRPr="00622C64" w:rsidSect="00721608">
      <w:pgSz w:w="11900" w:h="16840"/>
      <w:pgMar w:top="1440" w:right="1440" w:bottom="1440" w:left="1440" w:header="720" w:footer="720" w:gutter="0"/>
      <w:lnNumType w:countBy="5"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351B2" w14:textId="77777777" w:rsidR="00C47F0D" w:rsidRDefault="00C47F0D" w:rsidP="002C34BE">
      <w:r>
        <w:separator/>
      </w:r>
    </w:p>
  </w:endnote>
  <w:endnote w:type="continuationSeparator" w:id="0">
    <w:p w14:paraId="4FB4410C" w14:textId="77777777" w:rsidR="00C47F0D" w:rsidRDefault="00C47F0D" w:rsidP="002C3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2427405"/>
      <w:docPartObj>
        <w:docPartGallery w:val="Page Numbers (Bottom of Page)"/>
        <w:docPartUnique/>
      </w:docPartObj>
    </w:sdtPr>
    <w:sdtEndPr>
      <w:rPr>
        <w:noProof/>
      </w:rPr>
    </w:sdtEndPr>
    <w:sdtContent>
      <w:p w14:paraId="2A05DE33" w14:textId="287FC023" w:rsidR="00EE6D7F" w:rsidRDefault="00EE6D7F">
        <w:pPr>
          <w:pStyle w:val="Footer"/>
          <w:jc w:val="center"/>
        </w:pPr>
        <w:r>
          <w:fldChar w:fldCharType="begin"/>
        </w:r>
        <w:r>
          <w:instrText xml:space="preserve"> PAGE   \* MERGEFORMAT </w:instrText>
        </w:r>
        <w:r>
          <w:fldChar w:fldCharType="separate"/>
        </w:r>
        <w:r w:rsidR="008C2309">
          <w:rPr>
            <w:noProof/>
          </w:rPr>
          <w:t>1</w:t>
        </w:r>
        <w:r>
          <w:rPr>
            <w:noProof/>
          </w:rPr>
          <w:fldChar w:fldCharType="end"/>
        </w:r>
      </w:p>
    </w:sdtContent>
  </w:sdt>
  <w:p w14:paraId="3F8AF7CE" w14:textId="77777777" w:rsidR="00EE6D7F" w:rsidRDefault="00EE6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8B2F31" w14:textId="77777777" w:rsidR="00C47F0D" w:rsidRDefault="00C47F0D" w:rsidP="002C34BE">
      <w:r>
        <w:separator/>
      </w:r>
    </w:p>
  </w:footnote>
  <w:footnote w:type="continuationSeparator" w:id="0">
    <w:p w14:paraId="26FD5CBA" w14:textId="77777777" w:rsidR="00C47F0D" w:rsidRDefault="00C47F0D" w:rsidP="002C34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AEA0E2B4"/>
    <w:lvl w:ilvl="0">
      <w:start w:val="1"/>
      <w:numFmt w:val="decimal"/>
      <w:pStyle w:val="ListNumber"/>
      <w:lvlText w:val="%1."/>
      <w:lvlJc w:val="left"/>
      <w:pPr>
        <w:tabs>
          <w:tab w:val="num" w:pos="360"/>
        </w:tabs>
        <w:ind w:left="360" w:hanging="360"/>
      </w:pPr>
    </w:lvl>
  </w:abstractNum>
  <w:abstractNum w:abstractNumId="1" w15:restartNumberingAfterBreak="0">
    <w:nsid w:val="01275B75"/>
    <w:multiLevelType w:val="hybridMultilevel"/>
    <w:tmpl w:val="2558EDB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A2F38"/>
    <w:multiLevelType w:val="multilevel"/>
    <w:tmpl w:val="60FC17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3231D40"/>
    <w:multiLevelType w:val="multilevel"/>
    <w:tmpl w:val="5150E6D8"/>
    <w:numStyleLink w:val="NumberingHeading"/>
  </w:abstractNum>
  <w:abstractNum w:abstractNumId="4" w15:restartNumberingAfterBreak="0">
    <w:nsid w:val="281617CF"/>
    <w:multiLevelType w:val="hybridMultilevel"/>
    <w:tmpl w:val="D736D7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8480615"/>
    <w:multiLevelType w:val="multilevel"/>
    <w:tmpl w:val="68E225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C13208F"/>
    <w:multiLevelType w:val="multilevel"/>
    <w:tmpl w:val="C2FCD79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147230E"/>
    <w:multiLevelType w:val="multilevel"/>
    <w:tmpl w:val="2506E37E"/>
    <w:lvl w:ilvl="0">
      <w:start w:val="1"/>
      <w:numFmt w:val="decimal"/>
      <w:pStyle w:val="Heading1"/>
      <w:lvlText w:val="%1."/>
      <w:lvlJc w:val="left"/>
      <w:pPr>
        <w:ind w:left="360" w:hanging="360"/>
      </w:pPr>
      <w:rPr>
        <w:rFonts w:hint="default"/>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36B74DC8"/>
    <w:multiLevelType w:val="hybridMultilevel"/>
    <w:tmpl w:val="76168B2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36D72440"/>
    <w:multiLevelType w:val="multilevel"/>
    <w:tmpl w:val="4CFE393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984447B"/>
    <w:multiLevelType w:val="multilevel"/>
    <w:tmpl w:val="B45E15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E685D52"/>
    <w:multiLevelType w:val="multilevel"/>
    <w:tmpl w:val="412A368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13014B"/>
    <w:multiLevelType w:val="hybridMultilevel"/>
    <w:tmpl w:val="012C2D94"/>
    <w:lvl w:ilvl="0" w:tplc="06DC99A6">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46561B31"/>
    <w:multiLevelType w:val="hybridMultilevel"/>
    <w:tmpl w:val="FF76D83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4981308E"/>
    <w:multiLevelType w:val="multilevel"/>
    <w:tmpl w:val="F738C49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B940A7D"/>
    <w:multiLevelType w:val="multilevel"/>
    <w:tmpl w:val="40E280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C5D5493"/>
    <w:multiLevelType w:val="multilevel"/>
    <w:tmpl w:val="5150E6D8"/>
    <w:styleLink w:val="NumberingHeading"/>
    <w:lvl w:ilvl="0">
      <w:start w:val="1"/>
      <w:numFmt w:val="decimal"/>
      <w:lvlText w:val="%1."/>
      <w:lvlJc w:val="left"/>
      <w:pPr>
        <w:ind w:left="113" w:hanging="113"/>
      </w:pPr>
      <w:rPr>
        <w:rFonts w:ascii="Times" w:hAnsi="Times" w:hint="default"/>
        <w:b/>
        <w:i w:val="0"/>
        <w:sz w:val="22"/>
      </w:rPr>
    </w:lvl>
    <w:lvl w:ilvl="1">
      <w:start w:val="1"/>
      <w:numFmt w:val="decimal"/>
      <w:pStyle w:val="Heading2"/>
      <w:lvlText w:val="%2 %1"/>
      <w:lvlJc w:val="left"/>
      <w:pPr>
        <w:ind w:left="113" w:hanging="113"/>
      </w:pPr>
      <w:rPr>
        <w:rFonts w:ascii="Times" w:hAnsi="Times" w:hint="default"/>
        <w:b w:val="0"/>
        <w:i/>
        <w:sz w:val="22"/>
      </w:rPr>
    </w:lvl>
    <w:lvl w:ilvl="2">
      <w:start w:val="1"/>
      <w:numFmt w:val="decimal"/>
      <w:pStyle w:val="Heading3"/>
      <w:lvlText w:val="1 %1 %2"/>
      <w:lvlJc w:val="left"/>
      <w:pPr>
        <w:ind w:left="113" w:hanging="113"/>
      </w:pPr>
      <w:rPr>
        <w:rFonts w:hint="default"/>
      </w:rPr>
    </w:lvl>
    <w:lvl w:ilvl="3">
      <w:start w:val="1"/>
      <w:numFmt w:val="decimal"/>
      <w:lvlText w:val="(%4)"/>
      <w:lvlJc w:val="left"/>
      <w:pPr>
        <w:ind w:left="113" w:hanging="113"/>
      </w:pPr>
      <w:rPr>
        <w:rFonts w:hint="default"/>
      </w:rPr>
    </w:lvl>
    <w:lvl w:ilvl="4">
      <w:start w:val="1"/>
      <w:numFmt w:val="lowerLetter"/>
      <w:lvlText w:val="(%5)"/>
      <w:lvlJc w:val="left"/>
      <w:pPr>
        <w:ind w:left="113" w:hanging="113"/>
      </w:pPr>
      <w:rPr>
        <w:rFonts w:hint="default"/>
      </w:rPr>
    </w:lvl>
    <w:lvl w:ilvl="5">
      <w:start w:val="1"/>
      <w:numFmt w:val="lowerRoman"/>
      <w:lvlText w:val="(%6)"/>
      <w:lvlJc w:val="left"/>
      <w:pPr>
        <w:ind w:left="113" w:hanging="113"/>
      </w:pPr>
      <w:rPr>
        <w:rFonts w:hint="default"/>
      </w:rPr>
    </w:lvl>
    <w:lvl w:ilvl="6">
      <w:start w:val="1"/>
      <w:numFmt w:val="decimal"/>
      <w:lvlText w:val="%7."/>
      <w:lvlJc w:val="left"/>
      <w:pPr>
        <w:ind w:left="113" w:hanging="113"/>
      </w:pPr>
      <w:rPr>
        <w:rFonts w:hint="default"/>
      </w:rPr>
    </w:lvl>
    <w:lvl w:ilvl="7">
      <w:start w:val="1"/>
      <w:numFmt w:val="lowerLetter"/>
      <w:lvlText w:val="%8."/>
      <w:lvlJc w:val="left"/>
      <w:pPr>
        <w:ind w:left="113" w:hanging="113"/>
      </w:pPr>
      <w:rPr>
        <w:rFonts w:hint="default"/>
      </w:rPr>
    </w:lvl>
    <w:lvl w:ilvl="8">
      <w:start w:val="1"/>
      <w:numFmt w:val="lowerRoman"/>
      <w:lvlText w:val="%9."/>
      <w:lvlJc w:val="left"/>
      <w:pPr>
        <w:ind w:left="113" w:hanging="113"/>
      </w:pPr>
      <w:rPr>
        <w:rFonts w:hint="default"/>
      </w:rPr>
    </w:lvl>
  </w:abstractNum>
  <w:abstractNum w:abstractNumId="17" w15:restartNumberingAfterBreak="0">
    <w:nsid w:val="7D3112E0"/>
    <w:multiLevelType w:val="multilevel"/>
    <w:tmpl w:val="0292DE0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num>
  <w:num w:numId="3">
    <w:abstractNumId w:val="14"/>
  </w:num>
  <w:num w:numId="4">
    <w:abstractNumId w:val="15"/>
  </w:num>
  <w:num w:numId="5">
    <w:abstractNumId w:val="9"/>
  </w:num>
  <w:num w:numId="6">
    <w:abstractNumId w:val="9"/>
  </w:num>
  <w:num w:numId="7">
    <w:abstractNumId w:val="9"/>
  </w:num>
  <w:num w:numId="8">
    <w:abstractNumId w:val="9"/>
  </w:num>
  <w:num w:numId="9">
    <w:abstractNumId w:val="9"/>
  </w:num>
  <w:num w:numId="10">
    <w:abstractNumId w:val="9"/>
  </w:num>
  <w:num w:numId="11">
    <w:abstractNumId w:val="2"/>
  </w:num>
  <w:num w:numId="12">
    <w:abstractNumId w:val="9"/>
  </w:num>
  <w:num w:numId="13">
    <w:abstractNumId w:val="9"/>
  </w:num>
  <w:num w:numId="14">
    <w:abstractNumId w:val="9"/>
  </w:num>
  <w:num w:numId="15">
    <w:abstractNumId w:val="17"/>
  </w:num>
  <w:num w:numId="16">
    <w:abstractNumId w:val="11"/>
  </w:num>
  <w:num w:numId="17">
    <w:abstractNumId w:val="6"/>
  </w:num>
  <w:num w:numId="18">
    <w:abstractNumId w:val="6"/>
  </w:num>
  <w:num w:numId="19">
    <w:abstractNumId w:val="5"/>
  </w:num>
  <w:num w:numId="20">
    <w:abstractNumId w:val="10"/>
  </w:num>
  <w:num w:numId="21">
    <w:abstractNumId w:val="4"/>
  </w:num>
  <w:num w:numId="22">
    <w:abstractNumId w:val="1"/>
  </w:num>
  <w:num w:numId="23">
    <w:abstractNumId w:val="12"/>
  </w:num>
  <w:num w:numId="24">
    <w:abstractNumId w:val="8"/>
  </w:num>
  <w:num w:numId="25">
    <w:abstractNumId w:val="13"/>
  </w:num>
  <w:num w:numId="26">
    <w:abstractNumId w:val="16"/>
  </w:num>
  <w:num w:numId="27">
    <w:abstractNumId w:val="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0" w:nlCheck="1" w:checkStyle="0"/>
  <w:activeWritingStyle w:appName="MSWord" w:lang="en-IE" w:vendorID="64" w:dllVersion="0" w:nlCheck="1" w:checkStyle="0"/>
  <w:activeWritingStyle w:appName="MSWord" w:lang="en-GB" w:vendorID="64" w:dllVersion="6" w:nlCheck="1" w:checkStyle="1"/>
  <w:activeWritingStyle w:appName="MSWord" w:lang="en-IE" w:vendorID="64" w:dllVersion="6" w:nlCheck="1" w:checkStyle="1"/>
  <w:activeWritingStyle w:appName="MSWord" w:lang="en-GB" w:vendorID="64" w:dllVersion="131078" w:nlCheck="1" w:checkStyle="1"/>
  <w:activeWritingStyle w:appName="MSWord" w:lang="en-IE" w:vendorID="64" w:dllVersion="131078" w:nlCheck="1" w:checkStyle="1"/>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TY2MDY3NDI2tzQyMDBV0lEKTi0uzszPAykwNK8FAGI/wBstAAAA"/>
  </w:docVars>
  <w:rsids>
    <w:rsidRoot w:val="004E4558"/>
    <w:rsid w:val="000018B4"/>
    <w:rsid w:val="00001CC6"/>
    <w:rsid w:val="0000267B"/>
    <w:rsid w:val="00005C3E"/>
    <w:rsid w:val="00006935"/>
    <w:rsid w:val="000133A3"/>
    <w:rsid w:val="00013559"/>
    <w:rsid w:val="0001397B"/>
    <w:rsid w:val="00013F15"/>
    <w:rsid w:val="00014B46"/>
    <w:rsid w:val="00014C1C"/>
    <w:rsid w:val="00015360"/>
    <w:rsid w:val="00017896"/>
    <w:rsid w:val="0002020E"/>
    <w:rsid w:val="0002022D"/>
    <w:rsid w:val="00020AED"/>
    <w:rsid w:val="00020D8C"/>
    <w:rsid w:val="00021C31"/>
    <w:rsid w:val="00024CE9"/>
    <w:rsid w:val="0003140E"/>
    <w:rsid w:val="00031A43"/>
    <w:rsid w:val="00032732"/>
    <w:rsid w:val="00033056"/>
    <w:rsid w:val="00033343"/>
    <w:rsid w:val="0003467B"/>
    <w:rsid w:val="00034D1C"/>
    <w:rsid w:val="0003699F"/>
    <w:rsid w:val="0003749A"/>
    <w:rsid w:val="00045E69"/>
    <w:rsid w:val="000461C2"/>
    <w:rsid w:val="00046C00"/>
    <w:rsid w:val="000475B1"/>
    <w:rsid w:val="00047D24"/>
    <w:rsid w:val="00050C9E"/>
    <w:rsid w:val="00050E0F"/>
    <w:rsid w:val="00051359"/>
    <w:rsid w:val="00051637"/>
    <w:rsid w:val="00051A10"/>
    <w:rsid w:val="00052BFF"/>
    <w:rsid w:val="00053171"/>
    <w:rsid w:val="00053C77"/>
    <w:rsid w:val="00054D43"/>
    <w:rsid w:val="0005642C"/>
    <w:rsid w:val="00057D59"/>
    <w:rsid w:val="000607CE"/>
    <w:rsid w:val="00060F9D"/>
    <w:rsid w:val="00064276"/>
    <w:rsid w:val="00064C34"/>
    <w:rsid w:val="00065FA5"/>
    <w:rsid w:val="000668B4"/>
    <w:rsid w:val="00071909"/>
    <w:rsid w:val="00072048"/>
    <w:rsid w:val="00072868"/>
    <w:rsid w:val="00073445"/>
    <w:rsid w:val="00074A89"/>
    <w:rsid w:val="00074AF5"/>
    <w:rsid w:val="00074FB8"/>
    <w:rsid w:val="000756E4"/>
    <w:rsid w:val="0007672E"/>
    <w:rsid w:val="0007707A"/>
    <w:rsid w:val="00077DC2"/>
    <w:rsid w:val="000809AA"/>
    <w:rsid w:val="00081C50"/>
    <w:rsid w:val="000829AD"/>
    <w:rsid w:val="00083FCB"/>
    <w:rsid w:val="00084DC1"/>
    <w:rsid w:val="00085010"/>
    <w:rsid w:val="00085294"/>
    <w:rsid w:val="00086E0F"/>
    <w:rsid w:val="0008796E"/>
    <w:rsid w:val="00091AC8"/>
    <w:rsid w:val="00093F38"/>
    <w:rsid w:val="00095CDF"/>
    <w:rsid w:val="00095D6F"/>
    <w:rsid w:val="000974AB"/>
    <w:rsid w:val="000A160D"/>
    <w:rsid w:val="000A1CFB"/>
    <w:rsid w:val="000A4B90"/>
    <w:rsid w:val="000A516F"/>
    <w:rsid w:val="000A5FA2"/>
    <w:rsid w:val="000A63A0"/>
    <w:rsid w:val="000A76EA"/>
    <w:rsid w:val="000A7F29"/>
    <w:rsid w:val="000B1695"/>
    <w:rsid w:val="000B16D4"/>
    <w:rsid w:val="000B1D85"/>
    <w:rsid w:val="000B2226"/>
    <w:rsid w:val="000B2963"/>
    <w:rsid w:val="000B7906"/>
    <w:rsid w:val="000C2A6A"/>
    <w:rsid w:val="000C3319"/>
    <w:rsid w:val="000C4817"/>
    <w:rsid w:val="000C49D6"/>
    <w:rsid w:val="000C603B"/>
    <w:rsid w:val="000C66A4"/>
    <w:rsid w:val="000C6DB0"/>
    <w:rsid w:val="000D0359"/>
    <w:rsid w:val="000D369A"/>
    <w:rsid w:val="000D3B39"/>
    <w:rsid w:val="000D3BE5"/>
    <w:rsid w:val="000D4F7A"/>
    <w:rsid w:val="000D5696"/>
    <w:rsid w:val="000D5DFB"/>
    <w:rsid w:val="000D5F72"/>
    <w:rsid w:val="000D602A"/>
    <w:rsid w:val="000D6669"/>
    <w:rsid w:val="000D6CAF"/>
    <w:rsid w:val="000D6F5C"/>
    <w:rsid w:val="000E0055"/>
    <w:rsid w:val="000E035A"/>
    <w:rsid w:val="000E0511"/>
    <w:rsid w:val="000E0C5C"/>
    <w:rsid w:val="000E1B39"/>
    <w:rsid w:val="000E1DD2"/>
    <w:rsid w:val="000E2EED"/>
    <w:rsid w:val="000E32FB"/>
    <w:rsid w:val="000E38F4"/>
    <w:rsid w:val="000F1AF2"/>
    <w:rsid w:val="000F1BF3"/>
    <w:rsid w:val="000F2BA4"/>
    <w:rsid w:val="000F2CB7"/>
    <w:rsid w:val="000F4446"/>
    <w:rsid w:val="000F52CD"/>
    <w:rsid w:val="001003A6"/>
    <w:rsid w:val="001007EC"/>
    <w:rsid w:val="00101293"/>
    <w:rsid w:val="0010166E"/>
    <w:rsid w:val="001020D7"/>
    <w:rsid w:val="00105236"/>
    <w:rsid w:val="001068A4"/>
    <w:rsid w:val="00106BD3"/>
    <w:rsid w:val="00107B4E"/>
    <w:rsid w:val="00110C79"/>
    <w:rsid w:val="0011189B"/>
    <w:rsid w:val="001126DF"/>
    <w:rsid w:val="001129F7"/>
    <w:rsid w:val="00114E6D"/>
    <w:rsid w:val="001161AF"/>
    <w:rsid w:val="00121DFA"/>
    <w:rsid w:val="0012233E"/>
    <w:rsid w:val="001227E8"/>
    <w:rsid w:val="00122C4E"/>
    <w:rsid w:val="00122E02"/>
    <w:rsid w:val="00124251"/>
    <w:rsid w:val="00124F28"/>
    <w:rsid w:val="0012576C"/>
    <w:rsid w:val="00125C0D"/>
    <w:rsid w:val="00125D6D"/>
    <w:rsid w:val="00132640"/>
    <w:rsid w:val="001327C4"/>
    <w:rsid w:val="00132BE1"/>
    <w:rsid w:val="00134F40"/>
    <w:rsid w:val="001368D8"/>
    <w:rsid w:val="001409DA"/>
    <w:rsid w:val="00142ADB"/>
    <w:rsid w:val="00145173"/>
    <w:rsid w:val="00145B5C"/>
    <w:rsid w:val="001468BD"/>
    <w:rsid w:val="00146DD9"/>
    <w:rsid w:val="00147712"/>
    <w:rsid w:val="001508A3"/>
    <w:rsid w:val="00152B67"/>
    <w:rsid w:val="00152EE9"/>
    <w:rsid w:val="00154F2F"/>
    <w:rsid w:val="00156B29"/>
    <w:rsid w:val="001662F3"/>
    <w:rsid w:val="00167150"/>
    <w:rsid w:val="00170310"/>
    <w:rsid w:val="00170FBE"/>
    <w:rsid w:val="0017112B"/>
    <w:rsid w:val="001719AF"/>
    <w:rsid w:val="0017223D"/>
    <w:rsid w:val="00172416"/>
    <w:rsid w:val="00173D95"/>
    <w:rsid w:val="00174022"/>
    <w:rsid w:val="00175069"/>
    <w:rsid w:val="0017639E"/>
    <w:rsid w:val="00177D41"/>
    <w:rsid w:val="00183D8B"/>
    <w:rsid w:val="00185338"/>
    <w:rsid w:val="0018671F"/>
    <w:rsid w:val="00186A40"/>
    <w:rsid w:val="00186A9B"/>
    <w:rsid w:val="00187E90"/>
    <w:rsid w:val="001902D0"/>
    <w:rsid w:val="0019095B"/>
    <w:rsid w:val="00190F66"/>
    <w:rsid w:val="001921D9"/>
    <w:rsid w:val="0019441A"/>
    <w:rsid w:val="00195287"/>
    <w:rsid w:val="001A0191"/>
    <w:rsid w:val="001A1240"/>
    <w:rsid w:val="001A14F6"/>
    <w:rsid w:val="001A48E8"/>
    <w:rsid w:val="001A58B8"/>
    <w:rsid w:val="001A66D5"/>
    <w:rsid w:val="001A69C7"/>
    <w:rsid w:val="001A6E48"/>
    <w:rsid w:val="001A7710"/>
    <w:rsid w:val="001A7892"/>
    <w:rsid w:val="001B37D3"/>
    <w:rsid w:val="001B38B3"/>
    <w:rsid w:val="001B78C2"/>
    <w:rsid w:val="001B79D3"/>
    <w:rsid w:val="001C0266"/>
    <w:rsid w:val="001C0E20"/>
    <w:rsid w:val="001C16A2"/>
    <w:rsid w:val="001C1856"/>
    <w:rsid w:val="001C297B"/>
    <w:rsid w:val="001C2D5C"/>
    <w:rsid w:val="001C336C"/>
    <w:rsid w:val="001C36D0"/>
    <w:rsid w:val="001C3B89"/>
    <w:rsid w:val="001C3EF6"/>
    <w:rsid w:val="001C5EBA"/>
    <w:rsid w:val="001D20A1"/>
    <w:rsid w:val="001D286C"/>
    <w:rsid w:val="001D2916"/>
    <w:rsid w:val="001D2D38"/>
    <w:rsid w:val="001D356B"/>
    <w:rsid w:val="001D3C37"/>
    <w:rsid w:val="001D432F"/>
    <w:rsid w:val="001D43B0"/>
    <w:rsid w:val="001D4C85"/>
    <w:rsid w:val="001D4EAC"/>
    <w:rsid w:val="001D5C7F"/>
    <w:rsid w:val="001D75E9"/>
    <w:rsid w:val="001E1B7D"/>
    <w:rsid w:val="001E2872"/>
    <w:rsid w:val="001E2F37"/>
    <w:rsid w:val="001E4874"/>
    <w:rsid w:val="001E4C64"/>
    <w:rsid w:val="001E59A2"/>
    <w:rsid w:val="001E5AB9"/>
    <w:rsid w:val="001F13ED"/>
    <w:rsid w:val="001F20AA"/>
    <w:rsid w:val="001F34EE"/>
    <w:rsid w:val="001F52E5"/>
    <w:rsid w:val="001F5BA1"/>
    <w:rsid w:val="001F6C35"/>
    <w:rsid w:val="001F6DA3"/>
    <w:rsid w:val="001F7587"/>
    <w:rsid w:val="002005D4"/>
    <w:rsid w:val="00202EC5"/>
    <w:rsid w:val="002046A4"/>
    <w:rsid w:val="0020513A"/>
    <w:rsid w:val="00211C3C"/>
    <w:rsid w:val="00211CD1"/>
    <w:rsid w:val="00211E5E"/>
    <w:rsid w:val="00213D98"/>
    <w:rsid w:val="002141D5"/>
    <w:rsid w:val="0021696D"/>
    <w:rsid w:val="00217C03"/>
    <w:rsid w:val="002201A9"/>
    <w:rsid w:val="00222A1E"/>
    <w:rsid w:val="00224AF5"/>
    <w:rsid w:val="00225386"/>
    <w:rsid w:val="0022642A"/>
    <w:rsid w:val="002300B3"/>
    <w:rsid w:val="00230AD9"/>
    <w:rsid w:val="002313BD"/>
    <w:rsid w:val="00231567"/>
    <w:rsid w:val="00231A37"/>
    <w:rsid w:val="00232E7F"/>
    <w:rsid w:val="002330E8"/>
    <w:rsid w:val="00233924"/>
    <w:rsid w:val="00234A5E"/>
    <w:rsid w:val="00240184"/>
    <w:rsid w:val="00241982"/>
    <w:rsid w:val="002422B3"/>
    <w:rsid w:val="002437C0"/>
    <w:rsid w:val="0024534F"/>
    <w:rsid w:val="00245C2E"/>
    <w:rsid w:val="002468F4"/>
    <w:rsid w:val="0025118E"/>
    <w:rsid w:val="002516DC"/>
    <w:rsid w:val="0025274B"/>
    <w:rsid w:val="002541A8"/>
    <w:rsid w:val="00255093"/>
    <w:rsid w:val="00256066"/>
    <w:rsid w:val="0025679F"/>
    <w:rsid w:val="00256957"/>
    <w:rsid w:val="00256A4C"/>
    <w:rsid w:val="0025762B"/>
    <w:rsid w:val="002576D6"/>
    <w:rsid w:val="0026037D"/>
    <w:rsid w:val="002613CB"/>
    <w:rsid w:val="00261512"/>
    <w:rsid w:val="00262C1E"/>
    <w:rsid w:val="00263422"/>
    <w:rsid w:val="00264890"/>
    <w:rsid w:val="00264C72"/>
    <w:rsid w:val="002651A5"/>
    <w:rsid w:val="00265F7A"/>
    <w:rsid w:val="002667A7"/>
    <w:rsid w:val="00270427"/>
    <w:rsid w:val="002705D7"/>
    <w:rsid w:val="00272496"/>
    <w:rsid w:val="00272704"/>
    <w:rsid w:val="00274DD3"/>
    <w:rsid w:val="00274F24"/>
    <w:rsid w:val="0027563E"/>
    <w:rsid w:val="0027705C"/>
    <w:rsid w:val="00277D29"/>
    <w:rsid w:val="00277FB4"/>
    <w:rsid w:val="00280AEC"/>
    <w:rsid w:val="002817BF"/>
    <w:rsid w:val="00282A3B"/>
    <w:rsid w:val="0028326F"/>
    <w:rsid w:val="00283E11"/>
    <w:rsid w:val="0028445B"/>
    <w:rsid w:val="00285A6C"/>
    <w:rsid w:val="002908AD"/>
    <w:rsid w:val="00293057"/>
    <w:rsid w:val="00294515"/>
    <w:rsid w:val="002A11B3"/>
    <w:rsid w:val="002A1301"/>
    <w:rsid w:val="002A2548"/>
    <w:rsid w:val="002A3501"/>
    <w:rsid w:val="002A3A54"/>
    <w:rsid w:val="002A423E"/>
    <w:rsid w:val="002A68E2"/>
    <w:rsid w:val="002A78E7"/>
    <w:rsid w:val="002B05B9"/>
    <w:rsid w:val="002B1729"/>
    <w:rsid w:val="002B2A51"/>
    <w:rsid w:val="002B2C7D"/>
    <w:rsid w:val="002B3B2F"/>
    <w:rsid w:val="002B3F3E"/>
    <w:rsid w:val="002B4351"/>
    <w:rsid w:val="002B5380"/>
    <w:rsid w:val="002B595A"/>
    <w:rsid w:val="002B5ABF"/>
    <w:rsid w:val="002B5D28"/>
    <w:rsid w:val="002B5F09"/>
    <w:rsid w:val="002B61F9"/>
    <w:rsid w:val="002C0A4B"/>
    <w:rsid w:val="002C0F5D"/>
    <w:rsid w:val="002C2C4C"/>
    <w:rsid w:val="002C34BE"/>
    <w:rsid w:val="002C583C"/>
    <w:rsid w:val="002D087B"/>
    <w:rsid w:val="002D092D"/>
    <w:rsid w:val="002D0FF1"/>
    <w:rsid w:val="002D1C49"/>
    <w:rsid w:val="002D2A38"/>
    <w:rsid w:val="002D3F0D"/>
    <w:rsid w:val="002D43E5"/>
    <w:rsid w:val="002D48D2"/>
    <w:rsid w:val="002D592D"/>
    <w:rsid w:val="002E17EA"/>
    <w:rsid w:val="002E2156"/>
    <w:rsid w:val="002E29BA"/>
    <w:rsid w:val="002E4E1A"/>
    <w:rsid w:val="002E4EEA"/>
    <w:rsid w:val="002E5E46"/>
    <w:rsid w:val="002E6D83"/>
    <w:rsid w:val="002F12FE"/>
    <w:rsid w:val="002F1893"/>
    <w:rsid w:val="002F2335"/>
    <w:rsid w:val="002F2533"/>
    <w:rsid w:val="002F529A"/>
    <w:rsid w:val="002F59E5"/>
    <w:rsid w:val="002F64C5"/>
    <w:rsid w:val="00300149"/>
    <w:rsid w:val="00300A02"/>
    <w:rsid w:val="00300F89"/>
    <w:rsid w:val="00301BA3"/>
    <w:rsid w:val="00302999"/>
    <w:rsid w:val="00303B80"/>
    <w:rsid w:val="00304209"/>
    <w:rsid w:val="00305E70"/>
    <w:rsid w:val="0031101F"/>
    <w:rsid w:val="00311B6A"/>
    <w:rsid w:val="00313CAD"/>
    <w:rsid w:val="00314AA2"/>
    <w:rsid w:val="00317892"/>
    <w:rsid w:val="00320D29"/>
    <w:rsid w:val="00320E7E"/>
    <w:rsid w:val="00321306"/>
    <w:rsid w:val="0032140D"/>
    <w:rsid w:val="00322316"/>
    <w:rsid w:val="00323D27"/>
    <w:rsid w:val="00324B81"/>
    <w:rsid w:val="00325342"/>
    <w:rsid w:val="00325FCE"/>
    <w:rsid w:val="003263E7"/>
    <w:rsid w:val="00327432"/>
    <w:rsid w:val="00332170"/>
    <w:rsid w:val="00332DBF"/>
    <w:rsid w:val="00334289"/>
    <w:rsid w:val="00334577"/>
    <w:rsid w:val="00335B1E"/>
    <w:rsid w:val="00335B59"/>
    <w:rsid w:val="003369A4"/>
    <w:rsid w:val="00337F7A"/>
    <w:rsid w:val="00340547"/>
    <w:rsid w:val="00342275"/>
    <w:rsid w:val="00343731"/>
    <w:rsid w:val="00343CA8"/>
    <w:rsid w:val="00344A00"/>
    <w:rsid w:val="00344A3A"/>
    <w:rsid w:val="00344C13"/>
    <w:rsid w:val="00346FB8"/>
    <w:rsid w:val="00347699"/>
    <w:rsid w:val="00347A68"/>
    <w:rsid w:val="00347CFA"/>
    <w:rsid w:val="00350149"/>
    <w:rsid w:val="003516DE"/>
    <w:rsid w:val="00351A46"/>
    <w:rsid w:val="00351ECB"/>
    <w:rsid w:val="003524EC"/>
    <w:rsid w:val="003543DE"/>
    <w:rsid w:val="00355F15"/>
    <w:rsid w:val="00357AAD"/>
    <w:rsid w:val="00357B33"/>
    <w:rsid w:val="003611CF"/>
    <w:rsid w:val="00361F62"/>
    <w:rsid w:val="0036210A"/>
    <w:rsid w:val="003636D9"/>
    <w:rsid w:val="00365259"/>
    <w:rsid w:val="0036535B"/>
    <w:rsid w:val="00366015"/>
    <w:rsid w:val="003665C2"/>
    <w:rsid w:val="00366ACD"/>
    <w:rsid w:val="00366B28"/>
    <w:rsid w:val="003746C8"/>
    <w:rsid w:val="003755E4"/>
    <w:rsid w:val="0037589F"/>
    <w:rsid w:val="00377093"/>
    <w:rsid w:val="00377361"/>
    <w:rsid w:val="0037765E"/>
    <w:rsid w:val="003805F2"/>
    <w:rsid w:val="00382BEB"/>
    <w:rsid w:val="00382D88"/>
    <w:rsid w:val="00383717"/>
    <w:rsid w:val="00383E8A"/>
    <w:rsid w:val="00385245"/>
    <w:rsid w:val="00385ADA"/>
    <w:rsid w:val="00386C6D"/>
    <w:rsid w:val="003870E7"/>
    <w:rsid w:val="0038713A"/>
    <w:rsid w:val="00387367"/>
    <w:rsid w:val="00387EBC"/>
    <w:rsid w:val="003917D4"/>
    <w:rsid w:val="00393358"/>
    <w:rsid w:val="003935B7"/>
    <w:rsid w:val="003942BE"/>
    <w:rsid w:val="00394BC6"/>
    <w:rsid w:val="00395BFE"/>
    <w:rsid w:val="0039738A"/>
    <w:rsid w:val="003A11BD"/>
    <w:rsid w:val="003A13F6"/>
    <w:rsid w:val="003A29F7"/>
    <w:rsid w:val="003A4062"/>
    <w:rsid w:val="003A4137"/>
    <w:rsid w:val="003A443B"/>
    <w:rsid w:val="003A4565"/>
    <w:rsid w:val="003A5480"/>
    <w:rsid w:val="003A6B47"/>
    <w:rsid w:val="003A720B"/>
    <w:rsid w:val="003B0266"/>
    <w:rsid w:val="003B1ADD"/>
    <w:rsid w:val="003B1F9F"/>
    <w:rsid w:val="003B2131"/>
    <w:rsid w:val="003B2385"/>
    <w:rsid w:val="003B4553"/>
    <w:rsid w:val="003B5D16"/>
    <w:rsid w:val="003B635E"/>
    <w:rsid w:val="003B6A12"/>
    <w:rsid w:val="003B7F72"/>
    <w:rsid w:val="003C098F"/>
    <w:rsid w:val="003C0AC0"/>
    <w:rsid w:val="003C16CC"/>
    <w:rsid w:val="003C36C8"/>
    <w:rsid w:val="003C64F1"/>
    <w:rsid w:val="003C6F71"/>
    <w:rsid w:val="003C7B9F"/>
    <w:rsid w:val="003D0E3A"/>
    <w:rsid w:val="003D198A"/>
    <w:rsid w:val="003D1DFA"/>
    <w:rsid w:val="003D3764"/>
    <w:rsid w:val="003D7A4E"/>
    <w:rsid w:val="003E19C0"/>
    <w:rsid w:val="003E2791"/>
    <w:rsid w:val="003E2BE3"/>
    <w:rsid w:val="003E3813"/>
    <w:rsid w:val="003E3DCA"/>
    <w:rsid w:val="003E561F"/>
    <w:rsid w:val="003E5AD3"/>
    <w:rsid w:val="003E6177"/>
    <w:rsid w:val="003E704F"/>
    <w:rsid w:val="003E7ED2"/>
    <w:rsid w:val="003F147A"/>
    <w:rsid w:val="003F15CB"/>
    <w:rsid w:val="003F1FE1"/>
    <w:rsid w:val="003F3421"/>
    <w:rsid w:val="003F4333"/>
    <w:rsid w:val="003F61B4"/>
    <w:rsid w:val="003F6216"/>
    <w:rsid w:val="003F7503"/>
    <w:rsid w:val="003F7EDA"/>
    <w:rsid w:val="004001B7"/>
    <w:rsid w:val="004004E4"/>
    <w:rsid w:val="0040155E"/>
    <w:rsid w:val="00401E65"/>
    <w:rsid w:val="00401F79"/>
    <w:rsid w:val="00402B13"/>
    <w:rsid w:val="00403F97"/>
    <w:rsid w:val="00404A2A"/>
    <w:rsid w:val="004076BA"/>
    <w:rsid w:val="00407E18"/>
    <w:rsid w:val="004136BC"/>
    <w:rsid w:val="004145EA"/>
    <w:rsid w:val="00414653"/>
    <w:rsid w:val="0041570D"/>
    <w:rsid w:val="00415AA3"/>
    <w:rsid w:val="00415F8C"/>
    <w:rsid w:val="00416778"/>
    <w:rsid w:val="0041718E"/>
    <w:rsid w:val="004208FC"/>
    <w:rsid w:val="00420A5E"/>
    <w:rsid w:val="00420EDA"/>
    <w:rsid w:val="00422915"/>
    <w:rsid w:val="0042419C"/>
    <w:rsid w:val="004243E5"/>
    <w:rsid w:val="004248FC"/>
    <w:rsid w:val="004259D1"/>
    <w:rsid w:val="004262A0"/>
    <w:rsid w:val="00427191"/>
    <w:rsid w:val="00427CDF"/>
    <w:rsid w:val="00430105"/>
    <w:rsid w:val="00431CDB"/>
    <w:rsid w:val="00432184"/>
    <w:rsid w:val="00433C3F"/>
    <w:rsid w:val="00434618"/>
    <w:rsid w:val="00435A02"/>
    <w:rsid w:val="00435F05"/>
    <w:rsid w:val="004369A7"/>
    <w:rsid w:val="00436F58"/>
    <w:rsid w:val="004374CE"/>
    <w:rsid w:val="00440D4D"/>
    <w:rsid w:val="00441872"/>
    <w:rsid w:val="00442EAB"/>
    <w:rsid w:val="00443DFE"/>
    <w:rsid w:val="00444B8B"/>
    <w:rsid w:val="00445266"/>
    <w:rsid w:val="00445D29"/>
    <w:rsid w:val="0044604B"/>
    <w:rsid w:val="004528D3"/>
    <w:rsid w:val="00452B68"/>
    <w:rsid w:val="0045361A"/>
    <w:rsid w:val="0045485A"/>
    <w:rsid w:val="0045743C"/>
    <w:rsid w:val="0045766C"/>
    <w:rsid w:val="0046063A"/>
    <w:rsid w:val="00461B3B"/>
    <w:rsid w:val="00461BBA"/>
    <w:rsid w:val="00462313"/>
    <w:rsid w:val="0046373D"/>
    <w:rsid w:val="00463FEB"/>
    <w:rsid w:val="004650A9"/>
    <w:rsid w:val="004654AC"/>
    <w:rsid w:val="004665A6"/>
    <w:rsid w:val="004714A2"/>
    <w:rsid w:val="00472C99"/>
    <w:rsid w:val="00474955"/>
    <w:rsid w:val="00476A41"/>
    <w:rsid w:val="00476DC4"/>
    <w:rsid w:val="00477F52"/>
    <w:rsid w:val="0048139F"/>
    <w:rsid w:val="00481692"/>
    <w:rsid w:val="00481D89"/>
    <w:rsid w:val="004823EC"/>
    <w:rsid w:val="0048315B"/>
    <w:rsid w:val="0048320B"/>
    <w:rsid w:val="004843F6"/>
    <w:rsid w:val="0048579B"/>
    <w:rsid w:val="00486C62"/>
    <w:rsid w:val="00487748"/>
    <w:rsid w:val="004901B1"/>
    <w:rsid w:val="00490781"/>
    <w:rsid w:val="00490D15"/>
    <w:rsid w:val="004916AC"/>
    <w:rsid w:val="004936F4"/>
    <w:rsid w:val="00494AED"/>
    <w:rsid w:val="0049517B"/>
    <w:rsid w:val="004A03F8"/>
    <w:rsid w:val="004A0515"/>
    <w:rsid w:val="004A0825"/>
    <w:rsid w:val="004A1596"/>
    <w:rsid w:val="004A164B"/>
    <w:rsid w:val="004A17CA"/>
    <w:rsid w:val="004A1E50"/>
    <w:rsid w:val="004A216F"/>
    <w:rsid w:val="004A427E"/>
    <w:rsid w:val="004A61F9"/>
    <w:rsid w:val="004A6B37"/>
    <w:rsid w:val="004A6DB3"/>
    <w:rsid w:val="004A7A68"/>
    <w:rsid w:val="004A7A96"/>
    <w:rsid w:val="004A7D47"/>
    <w:rsid w:val="004B0BC1"/>
    <w:rsid w:val="004B2193"/>
    <w:rsid w:val="004B21ED"/>
    <w:rsid w:val="004B388B"/>
    <w:rsid w:val="004B3AD4"/>
    <w:rsid w:val="004B46EF"/>
    <w:rsid w:val="004B70C4"/>
    <w:rsid w:val="004C0523"/>
    <w:rsid w:val="004C0EEC"/>
    <w:rsid w:val="004C0EEF"/>
    <w:rsid w:val="004C1DDA"/>
    <w:rsid w:val="004C2F08"/>
    <w:rsid w:val="004C3029"/>
    <w:rsid w:val="004C374D"/>
    <w:rsid w:val="004C55B4"/>
    <w:rsid w:val="004C659D"/>
    <w:rsid w:val="004C6616"/>
    <w:rsid w:val="004C6D70"/>
    <w:rsid w:val="004C7746"/>
    <w:rsid w:val="004D0C7B"/>
    <w:rsid w:val="004D114E"/>
    <w:rsid w:val="004D14D9"/>
    <w:rsid w:val="004D1956"/>
    <w:rsid w:val="004D1982"/>
    <w:rsid w:val="004D2DBC"/>
    <w:rsid w:val="004D511A"/>
    <w:rsid w:val="004D5668"/>
    <w:rsid w:val="004D5F36"/>
    <w:rsid w:val="004D7379"/>
    <w:rsid w:val="004E037B"/>
    <w:rsid w:val="004E1119"/>
    <w:rsid w:val="004E1257"/>
    <w:rsid w:val="004E13F2"/>
    <w:rsid w:val="004E1AAD"/>
    <w:rsid w:val="004E26B4"/>
    <w:rsid w:val="004E31C8"/>
    <w:rsid w:val="004E4558"/>
    <w:rsid w:val="004E535A"/>
    <w:rsid w:val="004E66CA"/>
    <w:rsid w:val="004E71DF"/>
    <w:rsid w:val="004F0372"/>
    <w:rsid w:val="004F1DA8"/>
    <w:rsid w:val="004F4F93"/>
    <w:rsid w:val="004F7C3D"/>
    <w:rsid w:val="00501491"/>
    <w:rsid w:val="005020C0"/>
    <w:rsid w:val="00503C60"/>
    <w:rsid w:val="00503DEC"/>
    <w:rsid w:val="00505825"/>
    <w:rsid w:val="00511765"/>
    <w:rsid w:val="005117E7"/>
    <w:rsid w:val="0051301A"/>
    <w:rsid w:val="0051444E"/>
    <w:rsid w:val="00514914"/>
    <w:rsid w:val="00514AE9"/>
    <w:rsid w:val="0051519B"/>
    <w:rsid w:val="00516A48"/>
    <w:rsid w:val="0051787D"/>
    <w:rsid w:val="00521541"/>
    <w:rsid w:val="00522255"/>
    <w:rsid w:val="005250A0"/>
    <w:rsid w:val="0052606A"/>
    <w:rsid w:val="0053025B"/>
    <w:rsid w:val="00530BA7"/>
    <w:rsid w:val="005329FB"/>
    <w:rsid w:val="00533CFA"/>
    <w:rsid w:val="00540171"/>
    <w:rsid w:val="005415E3"/>
    <w:rsid w:val="00541ADB"/>
    <w:rsid w:val="0054364A"/>
    <w:rsid w:val="0054371F"/>
    <w:rsid w:val="00544E01"/>
    <w:rsid w:val="00546E5E"/>
    <w:rsid w:val="005478E4"/>
    <w:rsid w:val="00550A69"/>
    <w:rsid w:val="0055113D"/>
    <w:rsid w:val="00551BF6"/>
    <w:rsid w:val="005546EE"/>
    <w:rsid w:val="00555A21"/>
    <w:rsid w:val="00556611"/>
    <w:rsid w:val="00556CD6"/>
    <w:rsid w:val="00556E9B"/>
    <w:rsid w:val="005570AA"/>
    <w:rsid w:val="00560BE5"/>
    <w:rsid w:val="005656A9"/>
    <w:rsid w:val="00565B2A"/>
    <w:rsid w:val="00566280"/>
    <w:rsid w:val="005672FE"/>
    <w:rsid w:val="00567F1F"/>
    <w:rsid w:val="00571F47"/>
    <w:rsid w:val="0057591D"/>
    <w:rsid w:val="00575AAC"/>
    <w:rsid w:val="00575CEB"/>
    <w:rsid w:val="005764AD"/>
    <w:rsid w:val="00581FD8"/>
    <w:rsid w:val="00582AEA"/>
    <w:rsid w:val="00583461"/>
    <w:rsid w:val="00584FEC"/>
    <w:rsid w:val="0058507A"/>
    <w:rsid w:val="005856EB"/>
    <w:rsid w:val="0059043A"/>
    <w:rsid w:val="00590529"/>
    <w:rsid w:val="005906CE"/>
    <w:rsid w:val="005910D5"/>
    <w:rsid w:val="00593252"/>
    <w:rsid w:val="00593BB2"/>
    <w:rsid w:val="00593FEF"/>
    <w:rsid w:val="00595108"/>
    <w:rsid w:val="005951D9"/>
    <w:rsid w:val="00596A83"/>
    <w:rsid w:val="0059730D"/>
    <w:rsid w:val="0059793D"/>
    <w:rsid w:val="00597B71"/>
    <w:rsid w:val="005A009E"/>
    <w:rsid w:val="005A1CB3"/>
    <w:rsid w:val="005A307F"/>
    <w:rsid w:val="005A40BE"/>
    <w:rsid w:val="005A5EA8"/>
    <w:rsid w:val="005A608C"/>
    <w:rsid w:val="005A6494"/>
    <w:rsid w:val="005A66C6"/>
    <w:rsid w:val="005A6E08"/>
    <w:rsid w:val="005B03D2"/>
    <w:rsid w:val="005B0940"/>
    <w:rsid w:val="005B16A4"/>
    <w:rsid w:val="005B1E58"/>
    <w:rsid w:val="005B40A0"/>
    <w:rsid w:val="005B5F6D"/>
    <w:rsid w:val="005B63A2"/>
    <w:rsid w:val="005B71E6"/>
    <w:rsid w:val="005C096E"/>
    <w:rsid w:val="005C177A"/>
    <w:rsid w:val="005C1DD5"/>
    <w:rsid w:val="005C1E1A"/>
    <w:rsid w:val="005C22FD"/>
    <w:rsid w:val="005C3011"/>
    <w:rsid w:val="005C40C6"/>
    <w:rsid w:val="005C5E03"/>
    <w:rsid w:val="005C6A6E"/>
    <w:rsid w:val="005C71B5"/>
    <w:rsid w:val="005C7D0C"/>
    <w:rsid w:val="005C7E9A"/>
    <w:rsid w:val="005D1F6D"/>
    <w:rsid w:val="005D23DE"/>
    <w:rsid w:val="005D425F"/>
    <w:rsid w:val="005D49C8"/>
    <w:rsid w:val="005D4DC9"/>
    <w:rsid w:val="005D53E0"/>
    <w:rsid w:val="005D62A5"/>
    <w:rsid w:val="005D63F2"/>
    <w:rsid w:val="005D7EAA"/>
    <w:rsid w:val="005E31B5"/>
    <w:rsid w:val="005E3B62"/>
    <w:rsid w:val="005E3DDA"/>
    <w:rsid w:val="005E5C85"/>
    <w:rsid w:val="005E5D80"/>
    <w:rsid w:val="005E64A7"/>
    <w:rsid w:val="005E6688"/>
    <w:rsid w:val="005E6F35"/>
    <w:rsid w:val="005E7115"/>
    <w:rsid w:val="005E7F28"/>
    <w:rsid w:val="005F27AB"/>
    <w:rsid w:val="005F56F2"/>
    <w:rsid w:val="005F5820"/>
    <w:rsid w:val="005F7DE7"/>
    <w:rsid w:val="005F7F32"/>
    <w:rsid w:val="006026DA"/>
    <w:rsid w:val="00603685"/>
    <w:rsid w:val="00604221"/>
    <w:rsid w:val="00604E9D"/>
    <w:rsid w:val="006066E0"/>
    <w:rsid w:val="006107E3"/>
    <w:rsid w:val="006109C1"/>
    <w:rsid w:val="006122DF"/>
    <w:rsid w:val="00612313"/>
    <w:rsid w:val="00612B3D"/>
    <w:rsid w:val="0061339B"/>
    <w:rsid w:val="006136E5"/>
    <w:rsid w:val="00613848"/>
    <w:rsid w:val="00613953"/>
    <w:rsid w:val="00615D27"/>
    <w:rsid w:val="006174D6"/>
    <w:rsid w:val="00620732"/>
    <w:rsid w:val="00620ADA"/>
    <w:rsid w:val="00622C64"/>
    <w:rsid w:val="00624C98"/>
    <w:rsid w:val="00625F84"/>
    <w:rsid w:val="006266AA"/>
    <w:rsid w:val="00627BBE"/>
    <w:rsid w:val="006314D1"/>
    <w:rsid w:val="00633198"/>
    <w:rsid w:val="00634CCF"/>
    <w:rsid w:val="00635019"/>
    <w:rsid w:val="00640820"/>
    <w:rsid w:val="00640EB5"/>
    <w:rsid w:val="0064265B"/>
    <w:rsid w:val="00642821"/>
    <w:rsid w:val="0064288F"/>
    <w:rsid w:val="0064329B"/>
    <w:rsid w:val="0064447A"/>
    <w:rsid w:val="0064530D"/>
    <w:rsid w:val="00645323"/>
    <w:rsid w:val="00645BD7"/>
    <w:rsid w:val="00647C2F"/>
    <w:rsid w:val="00650742"/>
    <w:rsid w:val="00651D7E"/>
    <w:rsid w:val="006540B8"/>
    <w:rsid w:val="00654E39"/>
    <w:rsid w:val="00655888"/>
    <w:rsid w:val="00656DB0"/>
    <w:rsid w:val="00657108"/>
    <w:rsid w:val="00660C44"/>
    <w:rsid w:val="00660CEC"/>
    <w:rsid w:val="00661DD0"/>
    <w:rsid w:val="006632DE"/>
    <w:rsid w:val="006635C4"/>
    <w:rsid w:val="00663D9B"/>
    <w:rsid w:val="00664276"/>
    <w:rsid w:val="0066591D"/>
    <w:rsid w:val="00672B17"/>
    <w:rsid w:val="00672FA4"/>
    <w:rsid w:val="00676196"/>
    <w:rsid w:val="00676695"/>
    <w:rsid w:val="00676B47"/>
    <w:rsid w:val="006772D9"/>
    <w:rsid w:val="00680123"/>
    <w:rsid w:val="00681662"/>
    <w:rsid w:val="00685BFA"/>
    <w:rsid w:val="00685D1D"/>
    <w:rsid w:val="006863A8"/>
    <w:rsid w:val="006865E3"/>
    <w:rsid w:val="00686683"/>
    <w:rsid w:val="00687975"/>
    <w:rsid w:val="006911D0"/>
    <w:rsid w:val="00693873"/>
    <w:rsid w:val="0069387B"/>
    <w:rsid w:val="00694EB1"/>
    <w:rsid w:val="00695930"/>
    <w:rsid w:val="006A0684"/>
    <w:rsid w:val="006A32D2"/>
    <w:rsid w:val="006A3A03"/>
    <w:rsid w:val="006A414A"/>
    <w:rsid w:val="006A5356"/>
    <w:rsid w:val="006B1502"/>
    <w:rsid w:val="006B1BE4"/>
    <w:rsid w:val="006B3207"/>
    <w:rsid w:val="006B370D"/>
    <w:rsid w:val="006B391F"/>
    <w:rsid w:val="006B3D30"/>
    <w:rsid w:val="006B41CD"/>
    <w:rsid w:val="006B52FD"/>
    <w:rsid w:val="006B5C5D"/>
    <w:rsid w:val="006B66F3"/>
    <w:rsid w:val="006B6BA3"/>
    <w:rsid w:val="006B75A2"/>
    <w:rsid w:val="006B7696"/>
    <w:rsid w:val="006B7DCD"/>
    <w:rsid w:val="006C0C84"/>
    <w:rsid w:val="006C2E4C"/>
    <w:rsid w:val="006C42E3"/>
    <w:rsid w:val="006C4973"/>
    <w:rsid w:val="006C5951"/>
    <w:rsid w:val="006C6B4B"/>
    <w:rsid w:val="006C7F3E"/>
    <w:rsid w:val="006D01F5"/>
    <w:rsid w:val="006D0D79"/>
    <w:rsid w:val="006D2093"/>
    <w:rsid w:val="006D3801"/>
    <w:rsid w:val="006D4274"/>
    <w:rsid w:val="006D689B"/>
    <w:rsid w:val="006D69AF"/>
    <w:rsid w:val="006D7597"/>
    <w:rsid w:val="006E148C"/>
    <w:rsid w:val="006E32C9"/>
    <w:rsid w:val="006E387E"/>
    <w:rsid w:val="006E45EF"/>
    <w:rsid w:val="006E4C9B"/>
    <w:rsid w:val="006E5447"/>
    <w:rsid w:val="006E5FCF"/>
    <w:rsid w:val="006F2CBC"/>
    <w:rsid w:val="006F3F05"/>
    <w:rsid w:val="006F4A13"/>
    <w:rsid w:val="006F55E0"/>
    <w:rsid w:val="006F6288"/>
    <w:rsid w:val="006F6AB3"/>
    <w:rsid w:val="006F6B3F"/>
    <w:rsid w:val="006F7319"/>
    <w:rsid w:val="006F787D"/>
    <w:rsid w:val="006F7D97"/>
    <w:rsid w:val="00700043"/>
    <w:rsid w:val="00700188"/>
    <w:rsid w:val="0070051E"/>
    <w:rsid w:val="007007B7"/>
    <w:rsid w:val="00701993"/>
    <w:rsid w:val="00702913"/>
    <w:rsid w:val="00703515"/>
    <w:rsid w:val="00704E0F"/>
    <w:rsid w:val="0070531C"/>
    <w:rsid w:val="007063CD"/>
    <w:rsid w:val="00706542"/>
    <w:rsid w:val="007068CA"/>
    <w:rsid w:val="00706D5A"/>
    <w:rsid w:val="007074B1"/>
    <w:rsid w:val="0071105E"/>
    <w:rsid w:val="007126DC"/>
    <w:rsid w:val="00715707"/>
    <w:rsid w:val="007159C4"/>
    <w:rsid w:val="0072140E"/>
    <w:rsid w:val="00721495"/>
    <w:rsid w:val="00721608"/>
    <w:rsid w:val="00721D9E"/>
    <w:rsid w:val="00723E26"/>
    <w:rsid w:val="00724132"/>
    <w:rsid w:val="007265E7"/>
    <w:rsid w:val="007272B4"/>
    <w:rsid w:val="00727748"/>
    <w:rsid w:val="00732851"/>
    <w:rsid w:val="00733A5D"/>
    <w:rsid w:val="00737ABA"/>
    <w:rsid w:val="00741F64"/>
    <w:rsid w:val="007432EE"/>
    <w:rsid w:val="0074516C"/>
    <w:rsid w:val="00745964"/>
    <w:rsid w:val="00746DD6"/>
    <w:rsid w:val="00752594"/>
    <w:rsid w:val="00752BA2"/>
    <w:rsid w:val="007552A8"/>
    <w:rsid w:val="00757CEE"/>
    <w:rsid w:val="007617EB"/>
    <w:rsid w:val="0076228E"/>
    <w:rsid w:val="00762DBE"/>
    <w:rsid w:val="00762E6C"/>
    <w:rsid w:val="00763400"/>
    <w:rsid w:val="00763617"/>
    <w:rsid w:val="00765D1F"/>
    <w:rsid w:val="00765DEC"/>
    <w:rsid w:val="00766677"/>
    <w:rsid w:val="00767F93"/>
    <w:rsid w:val="007718CC"/>
    <w:rsid w:val="00773F79"/>
    <w:rsid w:val="00775E73"/>
    <w:rsid w:val="007774EB"/>
    <w:rsid w:val="00780A9F"/>
    <w:rsid w:val="00781730"/>
    <w:rsid w:val="00783787"/>
    <w:rsid w:val="00783DCD"/>
    <w:rsid w:val="007863AB"/>
    <w:rsid w:val="00786609"/>
    <w:rsid w:val="00790584"/>
    <w:rsid w:val="007920DD"/>
    <w:rsid w:val="00792A33"/>
    <w:rsid w:val="0079309F"/>
    <w:rsid w:val="00793CAF"/>
    <w:rsid w:val="00795E97"/>
    <w:rsid w:val="00797833"/>
    <w:rsid w:val="007A1E8B"/>
    <w:rsid w:val="007A29D7"/>
    <w:rsid w:val="007A3454"/>
    <w:rsid w:val="007A4023"/>
    <w:rsid w:val="007A4282"/>
    <w:rsid w:val="007A59F9"/>
    <w:rsid w:val="007A5A0A"/>
    <w:rsid w:val="007A647E"/>
    <w:rsid w:val="007B1188"/>
    <w:rsid w:val="007B1FCD"/>
    <w:rsid w:val="007B2016"/>
    <w:rsid w:val="007B268C"/>
    <w:rsid w:val="007B2963"/>
    <w:rsid w:val="007B2A20"/>
    <w:rsid w:val="007B2B0D"/>
    <w:rsid w:val="007B498A"/>
    <w:rsid w:val="007B51C5"/>
    <w:rsid w:val="007B6891"/>
    <w:rsid w:val="007C0C30"/>
    <w:rsid w:val="007C6142"/>
    <w:rsid w:val="007C693A"/>
    <w:rsid w:val="007D1859"/>
    <w:rsid w:val="007D1CEE"/>
    <w:rsid w:val="007D1DAC"/>
    <w:rsid w:val="007D3084"/>
    <w:rsid w:val="007D39A4"/>
    <w:rsid w:val="007D3EC4"/>
    <w:rsid w:val="007D4755"/>
    <w:rsid w:val="007D5138"/>
    <w:rsid w:val="007D61E4"/>
    <w:rsid w:val="007E0078"/>
    <w:rsid w:val="007E0082"/>
    <w:rsid w:val="007E20F6"/>
    <w:rsid w:val="007E2EAB"/>
    <w:rsid w:val="007E4B8B"/>
    <w:rsid w:val="007E58F8"/>
    <w:rsid w:val="007E632A"/>
    <w:rsid w:val="007E6B19"/>
    <w:rsid w:val="007E7950"/>
    <w:rsid w:val="007F0256"/>
    <w:rsid w:val="007F0791"/>
    <w:rsid w:val="007F2B34"/>
    <w:rsid w:val="007F487D"/>
    <w:rsid w:val="007F5D3C"/>
    <w:rsid w:val="007F692B"/>
    <w:rsid w:val="007F6EDD"/>
    <w:rsid w:val="008001E4"/>
    <w:rsid w:val="00800408"/>
    <w:rsid w:val="008007B3"/>
    <w:rsid w:val="008024BC"/>
    <w:rsid w:val="00805FF3"/>
    <w:rsid w:val="0080694C"/>
    <w:rsid w:val="0080698E"/>
    <w:rsid w:val="00807426"/>
    <w:rsid w:val="00807F4C"/>
    <w:rsid w:val="00810759"/>
    <w:rsid w:val="00811C81"/>
    <w:rsid w:val="00813410"/>
    <w:rsid w:val="00813A81"/>
    <w:rsid w:val="0081482A"/>
    <w:rsid w:val="008149DA"/>
    <w:rsid w:val="00816A72"/>
    <w:rsid w:val="00816E4D"/>
    <w:rsid w:val="00817C05"/>
    <w:rsid w:val="00817C78"/>
    <w:rsid w:val="00820286"/>
    <w:rsid w:val="00820CE6"/>
    <w:rsid w:val="00821615"/>
    <w:rsid w:val="00823AC7"/>
    <w:rsid w:val="00824001"/>
    <w:rsid w:val="00827521"/>
    <w:rsid w:val="00827852"/>
    <w:rsid w:val="00830946"/>
    <w:rsid w:val="00831C66"/>
    <w:rsid w:val="00835594"/>
    <w:rsid w:val="00835F5F"/>
    <w:rsid w:val="00841F03"/>
    <w:rsid w:val="00843BF2"/>
    <w:rsid w:val="008447DA"/>
    <w:rsid w:val="0084566E"/>
    <w:rsid w:val="008460F1"/>
    <w:rsid w:val="008479FF"/>
    <w:rsid w:val="00850893"/>
    <w:rsid w:val="00850F9F"/>
    <w:rsid w:val="00851A5F"/>
    <w:rsid w:val="00852465"/>
    <w:rsid w:val="00852668"/>
    <w:rsid w:val="008527F7"/>
    <w:rsid w:val="00853B71"/>
    <w:rsid w:val="00857903"/>
    <w:rsid w:val="008604B9"/>
    <w:rsid w:val="00860B4A"/>
    <w:rsid w:val="008624A6"/>
    <w:rsid w:val="00862D49"/>
    <w:rsid w:val="0086371F"/>
    <w:rsid w:val="00865399"/>
    <w:rsid w:val="00867B0A"/>
    <w:rsid w:val="008705DA"/>
    <w:rsid w:val="00870734"/>
    <w:rsid w:val="008717DC"/>
    <w:rsid w:val="00871B85"/>
    <w:rsid w:val="00872075"/>
    <w:rsid w:val="00872857"/>
    <w:rsid w:val="00872BA5"/>
    <w:rsid w:val="00873EC1"/>
    <w:rsid w:val="00874730"/>
    <w:rsid w:val="008748ED"/>
    <w:rsid w:val="008757D9"/>
    <w:rsid w:val="00875850"/>
    <w:rsid w:val="00876123"/>
    <w:rsid w:val="00877250"/>
    <w:rsid w:val="00877CC6"/>
    <w:rsid w:val="00881DDD"/>
    <w:rsid w:val="00883E32"/>
    <w:rsid w:val="00884133"/>
    <w:rsid w:val="008851A0"/>
    <w:rsid w:val="008851BD"/>
    <w:rsid w:val="0088542F"/>
    <w:rsid w:val="00886AE3"/>
    <w:rsid w:val="00891814"/>
    <w:rsid w:val="00891CD2"/>
    <w:rsid w:val="00892DEB"/>
    <w:rsid w:val="00897C54"/>
    <w:rsid w:val="00897E33"/>
    <w:rsid w:val="008A0FEC"/>
    <w:rsid w:val="008A1C57"/>
    <w:rsid w:val="008A2DD6"/>
    <w:rsid w:val="008A35D3"/>
    <w:rsid w:val="008A3B11"/>
    <w:rsid w:val="008A3DE3"/>
    <w:rsid w:val="008A492E"/>
    <w:rsid w:val="008A53AF"/>
    <w:rsid w:val="008A6231"/>
    <w:rsid w:val="008B0294"/>
    <w:rsid w:val="008B1072"/>
    <w:rsid w:val="008B177C"/>
    <w:rsid w:val="008B56F3"/>
    <w:rsid w:val="008B7C29"/>
    <w:rsid w:val="008C14D4"/>
    <w:rsid w:val="008C1743"/>
    <w:rsid w:val="008C2309"/>
    <w:rsid w:val="008C2D1C"/>
    <w:rsid w:val="008C34A8"/>
    <w:rsid w:val="008C3ACF"/>
    <w:rsid w:val="008C3F36"/>
    <w:rsid w:val="008C50D8"/>
    <w:rsid w:val="008C6E3B"/>
    <w:rsid w:val="008C7626"/>
    <w:rsid w:val="008C7D53"/>
    <w:rsid w:val="008D313E"/>
    <w:rsid w:val="008D384C"/>
    <w:rsid w:val="008D59EF"/>
    <w:rsid w:val="008E0266"/>
    <w:rsid w:val="008E129C"/>
    <w:rsid w:val="008E19DB"/>
    <w:rsid w:val="008E224F"/>
    <w:rsid w:val="008E2C88"/>
    <w:rsid w:val="008E301B"/>
    <w:rsid w:val="008E310A"/>
    <w:rsid w:val="008E32AF"/>
    <w:rsid w:val="008E36F1"/>
    <w:rsid w:val="008E4B47"/>
    <w:rsid w:val="008E51A7"/>
    <w:rsid w:val="008E51E9"/>
    <w:rsid w:val="008E5E81"/>
    <w:rsid w:val="008E6888"/>
    <w:rsid w:val="008E7414"/>
    <w:rsid w:val="008E79DF"/>
    <w:rsid w:val="008E7AC9"/>
    <w:rsid w:val="008F1C3C"/>
    <w:rsid w:val="008F2277"/>
    <w:rsid w:val="008F2471"/>
    <w:rsid w:val="008F46C6"/>
    <w:rsid w:val="00900958"/>
    <w:rsid w:val="00901973"/>
    <w:rsid w:val="00901CCC"/>
    <w:rsid w:val="009026BA"/>
    <w:rsid w:val="00905093"/>
    <w:rsid w:val="00906128"/>
    <w:rsid w:val="00906C1D"/>
    <w:rsid w:val="00906E54"/>
    <w:rsid w:val="00910F50"/>
    <w:rsid w:val="00912292"/>
    <w:rsid w:val="009125FC"/>
    <w:rsid w:val="00913EAF"/>
    <w:rsid w:val="00914B14"/>
    <w:rsid w:val="009176AB"/>
    <w:rsid w:val="009178D4"/>
    <w:rsid w:val="00917B37"/>
    <w:rsid w:val="009201C0"/>
    <w:rsid w:val="00920926"/>
    <w:rsid w:val="0092104C"/>
    <w:rsid w:val="009217BB"/>
    <w:rsid w:val="0092205A"/>
    <w:rsid w:val="009222F8"/>
    <w:rsid w:val="00923E00"/>
    <w:rsid w:val="00924BDA"/>
    <w:rsid w:val="00924BF0"/>
    <w:rsid w:val="009253C7"/>
    <w:rsid w:val="00926BEE"/>
    <w:rsid w:val="00926E3F"/>
    <w:rsid w:val="009277D9"/>
    <w:rsid w:val="00927EFA"/>
    <w:rsid w:val="009301CA"/>
    <w:rsid w:val="00931384"/>
    <w:rsid w:val="00931DFD"/>
    <w:rsid w:val="00931E2C"/>
    <w:rsid w:val="0093241C"/>
    <w:rsid w:val="0093249A"/>
    <w:rsid w:val="00933D8C"/>
    <w:rsid w:val="00934345"/>
    <w:rsid w:val="00934587"/>
    <w:rsid w:val="00934A93"/>
    <w:rsid w:val="00935832"/>
    <w:rsid w:val="00935ACE"/>
    <w:rsid w:val="00936229"/>
    <w:rsid w:val="00936CE8"/>
    <w:rsid w:val="00936FB8"/>
    <w:rsid w:val="00937387"/>
    <w:rsid w:val="00937829"/>
    <w:rsid w:val="00943093"/>
    <w:rsid w:val="00943556"/>
    <w:rsid w:val="009500B4"/>
    <w:rsid w:val="009501AF"/>
    <w:rsid w:val="00950366"/>
    <w:rsid w:val="00951092"/>
    <w:rsid w:val="009511CE"/>
    <w:rsid w:val="00952170"/>
    <w:rsid w:val="009528CA"/>
    <w:rsid w:val="00953859"/>
    <w:rsid w:val="00954FEA"/>
    <w:rsid w:val="00955482"/>
    <w:rsid w:val="00955EC8"/>
    <w:rsid w:val="0095797A"/>
    <w:rsid w:val="00960BB1"/>
    <w:rsid w:val="00960CDB"/>
    <w:rsid w:val="00961E27"/>
    <w:rsid w:val="00964833"/>
    <w:rsid w:val="0097143D"/>
    <w:rsid w:val="00972BCB"/>
    <w:rsid w:val="0097533E"/>
    <w:rsid w:val="00976257"/>
    <w:rsid w:val="0098068B"/>
    <w:rsid w:val="009830CF"/>
    <w:rsid w:val="0098588E"/>
    <w:rsid w:val="00986ECF"/>
    <w:rsid w:val="009904AD"/>
    <w:rsid w:val="009904F0"/>
    <w:rsid w:val="0099066F"/>
    <w:rsid w:val="00991247"/>
    <w:rsid w:val="009919AA"/>
    <w:rsid w:val="009921A2"/>
    <w:rsid w:val="0099355E"/>
    <w:rsid w:val="0099518F"/>
    <w:rsid w:val="009955C7"/>
    <w:rsid w:val="009958F9"/>
    <w:rsid w:val="00996D0F"/>
    <w:rsid w:val="00996F6C"/>
    <w:rsid w:val="009A00E9"/>
    <w:rsid w:val="009A056F"/>
    <w:rsid w:val="009A129A"/>
    <w:rsid w:val="009A1A80"/>
    <w:rsid w:val="009A218A"/>
    <w:rsid w:val="009A2802"/>
    <w:rsid w:val="009A4295"/>
    <w:rsid w:val="009A6E35"/>
    <w:rsid w:val="009B1A51"/>
    <w:rsid w:val="009C05EB"/>
    <w:rsid w:val="009C1512"/>
    <w:rsid w:val="009C1CF8"/>
    <w:rsid w:val="009C2134"/>
    <w:rsid w:val="009C4426"/>
    <w:rsid w:val="009C600F"/>
    <w:rsid w:val="009D046B"/>
    <w:rsid w:val="009D0D28"/>
    <w:rsid w:val="009D1AF4"/>
    <w:rsid w:val="009D2413"/>
    <w:rsid w:val="009D37B1"/>
    <w:rsid w:val="009D392E"/>
    <w:rsid w:val="009D3EA4"/>
    <w:rsid w:val="009D42B7"/>
    <w:rsid w:val="009D5212"/>
    <w:rsid w:val="009D63AE"/>
    <w:rsid w:val="009D6F9F"/>
    <w:rsid w:val="009D70EE"/>
    <w:rsid w:val="009E0F38"/>
    <w:rsid w:val="009E3AD8"/>
    <w:rsid w:val="009E4349"/>
    <w:rsid w:val="009E4354"/>
    <w:rsid w:val="009E6BDF"/>
    <w:rsid w:val="009E7405"/>
    <w:rsid w:val="009F0E41"/>
    <w:rsid w:val="009F1826"/>
    <w:rsid w:val="009F1F04"/>
    <w:rsid w:val="009F227C"/>
    <w:rsid w:val="009F23DF"/>
    <w:rsid w:val="009F38DD"/>
    <w:rsid w:val="009F488F"/>
    <w:rsid w:val="009F4C30"/>
    <w:rsid w:val="009F659D"/>
    <w:rsid w:val="009F79E7"/>
    <w:rsid w:val="00A01EE7"/>
    <w:rsid w:val="00A06E98"/>
    <w:rsid w:val="00A07228"/>
    <w:rsid w:val="00A07A94"/>
    <w:rsid w:val="00A1005E"/>
    <w:rsid w:val="00A10438"/>
    <w:rsid w:val="00A119DC"/>
    <w:rsid w:val="00A12003"/>
    <w:rsid w:val="00A12ABE"/>
    <w:rsid w:val="00A13C1D"/>
    <w:rsid w:val="00A14BDB"/>
    <w:rsid w:val="00A14FEF"/>
    <w:rsid w:val="00A157B5"/>
    <w:rsid w:val="00A1630F"/>
    <w:rsid w:val="00A16B71"/>
    <w:rsid w:val="00A172A4"/>
    <w:rsid w:val="00A235DC"/>
    <w:rsid w:val="00A2467D"/>
    <w:rsid w:val="00A24B2C"/>
    <w:rsid w:val="00A24D0E"/>
    <w:rsid w:val="00A25E6F"/>
    <w:rsid w:val="00A26A3E"/>
    <w:rsid w:val="00A26F61"/>
    <w:rsid w:val="00A310F0"/>
    <w:rsid w:val="00A315E9"/>
    <w:rsid w:val="00A324D3"/>
    <w:rsid w:val="00A33649"/>
    <w:rsid w:val="00A33D71"/>
    <w:rsid w:val="00A33FCF"/>
    <w:rsid w:val="00A357AA"/>
    <w:rsid w:val="00A370CF"/>
    <w:rsid w:val="00A3799E"/>
    <w:rsid w:val="00A40117"/>
    <w:rsid w:val="00A40A1B"/>
    <w:rsid w:val="00A42C07"/>
    <w:rsid w:val="00A437FA"/>
    <w:rsid w:val="00A43C0B"/>
    <w:rsid w:val="00A44182"/>
    <w:rsid w:val="00A45819"/>
    <w:rsid w:val="00A45AE3"/>
    <w:rsid w:val="00A4617E"/>
    <w:rsid w:val="00A465FD"/>
    <w:rsid w:val="00A466E2"/>
    <w:rsid w:val="00A467FF"/>
    <w:rsid w:val="00A5133C"/>
    <w:rsid w:val="00A528EB"/>
    <w:rsid w:val="00A5374A"/>
    <w:rsid w:val="00A54B7E"/>
    <w:rsid w:val="00A554AF"/>
    <w:rsid w:val="00A60084"/>
    <w:rsid w:val="00A61003"/>
    <w:rsid w:val="00A61105"/>
    <w:rsid w:val="00A6174D"/>
    <w:rsid w:val="00A617B3"/>
    <w:rsid w:val="00A61D1E"/>
    <w:rsid w:val="00A6205C"/>
    <w:rsid w:val="00A62B43"/>
    <w:rsid w:val="00A636BC"/>
    <w:rsid w:val="00A63758"/>
    <w:rsid w:val="00A64B6B"/>
    <w:rsid w:val="00A66412"/>
    <w:rsid w:val="00A66896"/>
    <w:rsid w:val="00A71BE6"/>
    <w:rsid w:val="00A727ED"/>
    <w:rsid w:val="00A728AA"/>
    <w:rsid w:val="00A730DF"/>
    <w:rsid w:val="00A7337C"/>
    <w:rsid w:val="00A75170"/>
    <w:rsid w:val="00A771CC"/>
    <w:rsid w:val="00A77853"/>
    <w:rsid w:val="00A80BCF"/>
    <w:rsid w:val="00A80BEE"/>
    <w:rsid w:val="00A810CE"/>
    <w:rsid w:val="00A82C63"/>
    <w:rsid w:val="00A8355A"/>
    <w:rsid w:val="00A84094"/>
    <w:rsid w:val="00A84C80"/>
    <w:rsid w:val="00A85CB2"/>
    <w:rsid w:val="00A85F13"/>
    <w:rsid w:val="00A861BD"/>
    <w:rsid w:val="00A86954"/>
    <w:rsid w:val="00A86B19"/>
    <w:rsid w:val="00A871B4"/>
    <w:rsid w:val="00A87C18"/>
    <w:rsid w:val="00A91D5D"/>
    <w:rsid w:val="00A92258"/>
    <w:rsid w:val="00A9255D"/>
    <w:rsid w:val="00A92852"/>
    <w:rsid w:val="00A92CEB"/>
    <w:rsid w:val="00A94CB1"/>
    <w:rsid w:val="00A96314"/>
    <w:rsid w:val="00A964FA"/>
    <w:rsid w:val="00A973EE"/>
    <w:rsid w:val="00AA0CCA"/>
    <w:rsid w:val="00AA20C8"/>
    <w:rsid w:val="00AA37AE"/>
    <w:rsid w:val="00AA3837"/>
    <w:rsid w:val="00AA402F"/>
    <w:rsid w:val="00AA4F4F"/>
    <w:rsid w:val="00AA5C7B"/>
    <w:rsid w:val="00AA6C5B"/>
    <w:rsid w:val="00AA7D12"/>
    <w:rsid w:val="00AA7F76"/>
    <w:rsid w:val="00AB11EE"/>
    <w:rsid w:val="00AB1221"/>
    <w:rsid w:val="00AB1804"/>
    <w:rsid w:val="00AB4397"/>
    <w:rsid w:val="00AB4B2F"/>
    <w:rsid w:val="00AB5267"/>
    <w:rsid w:val="00AB7468"/>
    <w:rsid w:val="00AC0A1F"/>
    <w:rsid w:val="00AC180E"/>
    <w:rsid w:val="00AC7479"/>
    <w:rsid w:val="00AC7737"/>
    <w:rsid w:val="00AD2632"/>
    <w:rsid w:val="00AD3710"/>
    <w:rsid w:val="00AD3730"/>
    <w:rsid w:val="00AD4179"/>
    <w:rsid w:val="00AD48C3"/>
    <w:rsid w:val="00AD578C"/>
    <w:rsid w:val="00AD5A10"/>
    <w:rsid w:val="00AD5FE1"/>
    <w:rsid w:val="00AD64E9"/>
    <w:rsid w:val="00AD72AE"/>
    <w:rsid w:val="00AD745F"/>
    <w:rsid w:val="00AD7AEC"/>
    <w:rsid w:val="00AD7BBF"/>
    <w:rsid w:val="00AD7DA1"/>
    <w:rsid w:val="00AE0BD5"/>
    <w:rsid w:val="00AE3204"/>
    <w:rsid w:val="00AE3362"/>
    <w:rsid w:val="00AE427A"/>
    <w:rsid w:val="00AE58D7"/>
    <w:rsid w:val="00AE6A68"/>
    <w:rsid w:val="00AF043A"/>
    <w:rsid w:val="00AF06F2"/>
    <w:rsid w:val="00AF075F"/>
    <w:rsid w:val="00AF0963"/>
    <w:rsid w:val="00AF12E6"/>
    <w:rsid w:val="00AF1DA4"/>
    <w:rsid w:val="00AF1FF4"/>
    <w:rsid w:val="00AF2541"/>
    <w:rsid w:val="00AF391C"/>
    <w:rsid w:val="00AF3B4F"/>
    <w:rsid w:val="00AF468C"/>
    <w:rsid w:val="00AF5D31"/>
    <w:rsid w:val="00AF5FF3"/>
    <w:rsid w:val="00AF66DD"/>
    <w:rsid w:val="00AF6CD0"/>
    <w:rsid w:val="00B01408"/>
    <w:rsid w:val="00B02A29"/>
    <w:rsid w:val="00B032F5"/>
    <w:rsid w:val="00B03915"/>
    <w:rsid w:val="00B0410A"/>
    <w:rsid w:val="00B04898"/>
    <w:rsid w:val="00B04EA2"/>
    <w:rsid w:val="00B06827"/>
    <w:rsid w:val="00B0730F"/>
    <w:rsid w:val="00B10F83"/>
    <w:rsid w:val="00B117DB"/>
    <w:rsid w:val="00B11CC6"/>
    <w:rsid w:val="00B1218C"/>
    <w:rsid w:val="00B13A50"/>
    <w:rsid w:val="00B13CA8"/>
    <w:rsid w:val="00B16DE5"/>
    <w:rsid w:val="00B16E13"/>
    <w:rsid w:val="00B1751A"/>
    <w:rsid w:val="00B17663"/>
    <w:rsid w:val="00B17F78"/>
    <w:rsid w:val="00B21D9F"/>
    <w:rsid w:val="00B2320A"/>
    <w:rsid w:val="00B23EB2"/>
    <w:rsid w:val="00B2405C"/>
    <w:rsid w:val="00B25DF7"/>
    <w:rsid w:val="00B2794F"/>
    <w:rsid w:val="00B30D1D"/>
    <w:rsid w:val="00B31CFF"/>
    <w:rsid w:val="00B33BE2"/>
    <w:rsid w:val="00B33D04"/>
    <w:rsid w:val="00B34B2A"/>
    <w:rsid w:val="00B350BE"/>
    <w:rsid w:val="00B35BE7"/>
    <w:rsid w:val="00B3770B"/>
    <w:rsid w:val="00B37AF8"/>
    <w:rsid w:val="00B40217"/>
    <w:rsid w:val="00B43919"/>
    <w:rsid w:val="00B44530"/>
    <w:rsid w:val="00B44A6F"/>
    <w:rsid w:val="00B46580"/>
    <w:rsid w:val="00B51F7F"/>
    <w:rsid w:val="00B5313E"/>
    <w:rsid w:val="00B531C3"/>
    <w:rsid w:val="00B53FA4"/>
    <w:rsid w:val="00B60EE8"/>
    <w:rsid w:val="00B61322"/>
    <w:rsid w:val="00B627E9"/>
    <w:rsid w:val="00B63445"/>
    <w:rsid w:val="00B6344E"/>
    <w:rsid w:val="00B63ABB"/>
    <w:rsid w:val="00B64F92"/>
    <w:rsid w:val="00B66C54"/>
    <w:rsid w:val="00B672EC"/>
    <w:rsid w:val="00B67474"/>
    <w:rsid w:val="00B67AA3"/>
    <w:rsid w:val="00B716DE"/>
    <w:rsid w:val="00B75E50"/>
    <w:rsid w:val="00B76A8D"/>
    <w:rsid w:val="00B76C97"/>
    <w:rsid w:val="00B774EE"/>
    <w:rsid w:val="00B7755A"/>
    <w:rsid w:val="00B83416"/>
    <w:rsid w:val="00B8679C"/>
    <w:rsid w:val="00B87548"/>
    <w:rsid w:val="00B878AC"/>
    <w:rsid w:val="00B90244"/>
    <w:rsid w:val="00B914DC"/>
    <w:rsid w:val="00B91E61"/>
    <w:rsid w:val="00B92564"/>
    <w:rsid w:val="00B926CC"/>
    <w:rsid w:val="00BA1856"/>
    <w:rsid w:val="00BA35BD"/>
    <w:rsid w:val="00BA36F4"/>
    <w:rsid w:val="00BA6D3E"/>
    <w:rsid w:val="00BA6D69"/>
    <w:rsid w:val="00BA7FD3"/>
    <w:rsid w:val="00BB024D"/>
    <w:rsid w:val="00BB191A"/>
    <w:rsid w:val="00BB1A63"/>
    <w:rsid w:val="00BB224A"/>
    <w:rsid w:val="00BB3B27"/>
    <w:rsid w:val="00BB4D4B"/>
    <w:rsid w:val="00BB56A1"/>
    <w:rsid w:val="00BB571A"/>
    <w:rsid w:val="00BB60AB"/>
    <w:rsid w:val="00BB6705"/>
    <w:rsid w:val="00BC155E"/>
    <w:rsid w:val="00BC2078"/>
    <w:rsid w:val="00BC27E6"/>
    <w:rsid w:val="00BC34B5"/>
    <w:rsid w:val="00BC49FE"/>
    <w:rsid w:val="00BC61DA"/>
    <w:rsid w:val="00BC6F33"/>
    <w:rsid w:val="00BC7B0B"/>
    <w:rsid w:val="00BD09A0"/>
    <w:rsid w:val="00BD0C60"/>
    <w:rsid w:val="00BD13FA"/>
    <w:rsid w:val="00BD436A"/>
    <w:rsid w:val="00BD5749"/>
    <w:rsid w:val="00BD6525"/>
    <w:rsid w:val="00BE0680"/>
    <w:rsid w:val="00BE1722"/>
    <w:rsid w:val="00BE26FE"/>
    <w:rsid w:val="00BE5680"/>
    <w:rsid w:val="00BE5F6E"/>
    <w:rsid w:val="00BE64F7"/>
    <w:rsid w:val="00BE6BF1"/>
    <w:rsid w:val="00BF000F"/>
    <w:rsid w:val="00BF0A27"/>
    <w:rsid w:val="00BF0EEB"/>
    <w:rsid w:val="00BF5953"/>
    <w:rsid w:val="00BF62AD"/>
    <w:rsid w:val="00BF6460"/>
    <w:rsid w:val="00C02CB5"/>
    <w:rsid w:val="00C02E17"/>
    <w:rsid w:val="00C05161"/>
    <w:rsid w:val="00C052AB"/>
    <w:rsid w:val="00C059A1"/>
    <w:rsid w:val="00C074C8"/>
    <w:rsid w:val="00C1043A"/>
    <w:rsid w:val="00C11D11"/>
    <w:rsid w:val="00C11E63"/>
    <w:rsid w:val="00C11F8A"/>
    <w:rsid w:val="00C12ED2"/>
    <w:rsid w:val="00C145B7"/>
    <w:rsid w:val="00C145C2"/>
    <w:rsid w:val="00C1701B"/>
    <w:rsid w:val="00C226DD"/>
    <w:rsid w:val="00C2309C"/>
    <w:rsid w:val="00C243B2"/>
    <w:rsid w:val="00C24596"/>
    <w:rsid w:val="00C25766"/>
    <w:rsid w:val="00C26415"/>
    <w:rsid w:val="00C3040E"/>
    <w:rsid w:val="00C308C1"/>
    <w:rsid w:val="00C31E10"/>
    <w:rsid w:val="00C322DD"/>
    <w:rsid w:val="00C35D46"/>
    <w:rsid w:val="00C36569"/>
    <w:rsid w:val="00C36BE5"/>
    <w:rsid w:val="00C37628"/>
    <w:rsid w:val="00C41840"/>
    <w:rsid w:val="00C41A88"/>
    <w:rsid w:val="00C41B1F"/>
    <w:rsid w:val="00C43758"/>
    <w:rsid w:val="00C43E48"/>
    <w:rsid w:val="00C450E7"/>
    <w:rsid w:val="00C47BAA"/>
    <w:rsid w:val="00C47F0D"/>
    <w:rsid w:val="00C47FD8"/>
    <w:rsid w:val="00C50ACA"/>
    <w:rsid w:val="00C51319"/>
    <w:rsid w:val="00C526B4"/>
    <w:rsid w:val="00C532D6"/>
    <w:rsid w:val="00C533F1"/>
    <w:rsid w:val="00C53875"/>
    <w:rsid w:val="00C53F53"/>
    <w:rsid w:val="00C5574D"/>
    <w:rsid w:val="00C55D99"/>
    <w:rsid w:val="00C55EB3"/>
    <w:rsid w:val="00C561B9"/>
    <w:rsid w:val="00C56437"/>
    <w:rsid w:val="00C570EA"/>
    <w:rsid w:val="00C6035E"/>
    <w:rsid w:val="00C62553"/>
    <w:rsid w:val="00C6285D"/>
    <w:rsid w:val="00C63C03"/>
    <w:rsid w:val="00C648A9"/>
    <w:rsid w:val="00C64C2D"/>
    <w:rsid w:val="00C67378"/>
    <w:rsid w:val="00C717D7"/>
    <w:rsid w:val="00C71F2F"/>
    <w:rsid w:val="00C7287C"/>
    <w:rsid w:val="00C731F3"/>
    <w:rsid w:val="00C73C71"/>
    <w:rsid w:val="00C80E7A"/>
    <w:rsid w:val="00C83EEC"/>
    <w:rsid w:val="00C84179"/>
    <w:rsid w:val="00C86558"/>
    <w:rsid w:val="00C963DE"/>
    <w:rsid w:val="00C97B36"/>
    <w:rsid w:val="00CA007C"/>
    <w:rsid w:val="00CA0572"/>
    <w:rsid w:val="00CA208F"/>
    <w:rsid w:val="00CA5F20"/>
    <w:rsid w:val="00CA740E"/>
    <w:rsid w:val="00CA7DBF"/>
    <w:rsid w:val="00CB0BFE"/>
    <w:rsid w:val="00CB2CC7"/>
    <w:rsid w:val="00CB36CC"/>
    <w:rsid w:val="00CB3E25"/>
    <w:rsid w:val="00CB454D"/>
    <w:rsid w:val="00CB4A8E"/>
    <w:rsid w:val="00CB4DF4"/>
    <w:rsid w:val="00CB5597"/>
    <w:rsid w:val="00CB71DC"/>
    <w:rsid w:val="00CB754D"/>
    <w:rsid w:val="00CB7978"/>
    <w:rsid w:val="00CC13D4"/>
    <w:rsid w:val="00CC170B"/>
    <w:rsid w:val="00CC1B41"/>
    <w:rsid w:val="00CC295D"/>
    <w:rsid w:val="00CC299C"/>
    <w:rsid w:val="00CC5BF1"/>
    <w:rsid w:val="00CC6F3E"/>
    <w:rsid w:val="00CC75CC"/>
    <w:rsid w:val="00CD03CE"/>
    <w:rsid w:val="00CD0E77"/>
    <w:rsid w:val="00CD244E"/>
    <w:rsid w:val="00CD4A7F"/>
    <w:rsid w:val="00CD5AA4"/>
    <w:rsid w:val="00CD65E0"/>
    <w:rsid w:val="00CD7861"/>
    <w:rsid w:val="00CE2542"/>
    <w:rsid w:val="00CE2A1E"/>
    <w:rsid w:val="00CE410C"/>
    <w:rsid w:val="00CE5319"/>
    <w:rsid w:val="00CE5D25"/>
    <w:rsid w:val="00CE707A"/>
    <w:rsid w:val="00CE79E9"/>
    <w:rsid w:val="00CF0B5F"/>
    <w:rsid w:val="00CF226E"/>
    <w:rsid w:val="00CF27DA"/>
    <w:rsid w:val="00CF2D61"/>
    <w:rsid w:val="00CF395B"/>
    <w:rsid w:val="00CF5BC9"/>
    <w:rsid w:val="00CF5DD4"/>
    <w:rsid w:val="00CF6239"/>
    <w:rsid w:val="00CF6E30"/>
    <w:rsid w:val="00CF7575"/>
    <w:rsid w:val="00D013E5"/>
    <w:rsid w:val="00D02CC0"/>
    <w:rsid w:val="00D03BAC"/>
    <w:rsid w:val="00D04E36"/>
    <w:rsid w:val="00D05421"/>
    <w:rsid w:val="00D05D84"/>
    <w:rsid w:val="00D07D6F"/>
    <w:rsid w:val="00D1090B"/>
    <w:rsid w:val="00D10E80"/>
    <w:rsid w:val="00D115FE"/>
    <w:rsid w:val="00D129FA"/>
    <w:rsid w:val="00D131CD"/>
    <w:rsid w:val="00D135A9"/>
    <w:rsid w:val="00D1388A"/>
    <w:rsid w:val="00D146EF"/>
    <w:rsid w:val="00D14BA3"/>
    <w:rsid w:val="00D15AF4"/>
    <w:rsid w:val="00D15E9B"/>
    <w:rsid w:val="00D16E12"/>
    <w:rsid w:val="00D20875"/>
    <w:rsid w:val="00D21254"/>
    <w:rsid w:val="00D216DB"/>
    <w:rsid w:val="00D2687E"/>
    <w:rsid w:val="00D30557"/>
    <w:rsid w:val="00D33BB5"/>
    <w:rsid w:val="00D3496F"/>
    <w:rsid w:val="00D351B2"/>
    <w:rsid w:val="00D36EE6"/>
    <w:rsid w:val="00D3768F"/>
    <w:rsid w:val="00D37958"/>
    <w:rsid w:val="00D37C4C"/>
    <w:rsid w:val="00D408E4"/>
    <w:rsid w:val="00D40CE0"/>
    <w:rsid w:val="00D40E85"/>
    <w:rsid w:val="00D40FA7"/>
    <w:rsid w:val="00D414C3"/>
    <w:rsid w:val="00D41823"/>
    <w:rsid w:val="00D4207B"/>
    <w:rsid w:val="00D4224E"/>
    <w:rsid w:val="00D4438F"/>
    <w:rsid w:val="00D443A5"/>
    <w:rsid w:val="00D44761"/>
    <w:rsid w:val="00D44D9B"/>
    <w:rsid w:val="00D44DDB"/>
    <w:rsid w:val="00D44E78"/>
    <w:rsid w:val="00D46058"/>
    <w:rsid w:val="00D47E67"/>
    <w:rsid w:val="00D515AC"/>
    <w:rsid w:val="00D531A0"/>
    <w:rsid w:val="00D53512"/>
    <w:rsid w:val="00D53E26"/>
    <w:rsid w:val="00D55974"/>
    <w:rsid w:val="00D57B84"/>
    <w:rsid w:val="00D638FB"/>
    <w:rsid w:val="00D63B98"/>
    <w:rsid w:val="00D65D8E"/>
    <w:rsid w:val="00D6670E"/>
    <w:rsid w:val="00D67418"/>
    <w:rsid w:val="00D67EE5"/>
    <w:rsid w:val="00D717C2"/>
    <w:rsid w:val="00D73DFD"/>
    <w:rsid w:val="00D74071"/>
    <w:rsid w:val="00D74201"/>
    <w:rsid w:val="00D74D99"/>
    <w:rsid w:val="00D76D5E"/>
    <w:rsid w:val="00D801FE"/>
    <w:rsid w:val="00D81411"/>
    <w:rsid w:val="00D8152D"/>
    <w:rsid w:val="00D82D93"/>
    <w:rsid w:val="00D82FBA"/>
    <w:rsid w:val="00D83327"/>
    <w:rsid w:val="00D841AC"/>
    <w:rsid w:val="00D846E0"/>
    <w:rsid w:val="00D84880"/>
    <w:rsid w:val="00D848FE"/>
    <w:rsid w:val="00D8513F"/>
    <w:rsid w:val="00D85C18"/>
    <w:rsid w:val="00D85FC6"/>
    <w:rsid w:val="00D86BCC"/>
    <w:rsid w:val="00D86E9E"/>
    <w:rsid w:val="00D87C4F"/>
    <w:rsid w:val="00D90D21"/>
    <w:rsid w:val="00D92DB0"/>
    <w:rsid w:val="00D932EC"/>
    <w:rsid w:val="00D94952"/>
    <w:rsid w:val="00D951C3"/>
    <w:rsid w:val="00D956AF"/>
    <w:rsid w:val="00D96292"/>
    <w:rsid w:val="00D97A15"/>
    <w:rsid w:val="00DA1545"/>
    <w:rsid w:val="00DA3444"/>
    <w:rsid w:val="00DA5530"/>
    <w:rsid w:val="00DA5B03"/>
    <w:rsid w:val="00DA7B70"/>
    <w:rsid w:val="00DB1839"/>
    <w:rsid w:val="00DB26EE"/>
    <w:rsid w:val="00DB284E"/>
    <w:rsid w:val="00DB299A"/>
    <w:rsid w:val="00DB2A01"/>
    <w:rsid w:val="00DB4394"/>
    <w:rsid w:val="00DB5244"/>
    <w:rsid w:val="00DB5399"/>
    <w:rsid w:val="00DB64C2"/>
    <w:rsid w:val="00DB734A"/>
    <w:rsid w:val="00DD04B4"/>
    <w:rsid w:val="00DD06E2"/>
    <w:rsid w:val="00DD12C6"/>
    <w:rsid w:val="00DD140E"/>
    <w:rsid w:val="00DD2B54"/>
    <w:rsid w:val="00DD31DE"/>
    <w:rsid w:val="00DD44A8"/>
    <w:rsid w:val="00DD4505"/>
    <w:rsid w:val="00DD47B0"/>
    <w:rsid w:val="00DD66C7"/>
    <w:rsid w:val="00DD6EE5"/>
    <w:rsid w:val="00DE0B90"/>
    <w:rsid w:val="00DE0DF4"/>
    <w:rsid w:val="00DE1523"/>
    <w:rsid w:val="00DE25DD"/>
    <w:rsid w:val="00DE2627"/>
    <w:rsid w:val="00DE3F2E"/>
    <w:rsid w:val="00DE4421"/>
    <w:rsid w:val="00DE62F2"/>
    <w:rsid w:val="00DE73C8"/>
    <w:rsid w:val="00DF132B"/>
    <w:rsid w:val="00DF36E2"/>
    <w:rsid w:val="00DF3E85"/>
    <w:rsid w:val="00DF4703"/>
    <w:rsid w:val="00DF47E5"/>
    <w:rsid w:val="00DF6CF3"/>
    <w:rsid w:val="00DF7841"/>
    <w:rsid w:val="00DF78DE"/>
    <w:rsid w:val="00E02F58"/>
    <w:rsid w:val="00E031C4"/>
    <w:rsid w:val="00E03E21"/>
    <w:rsid w:val="00E04D2F"/>
    <w:rsid w:val="00E0636E"/>
    <w:rsid w:val="00E076FA"/>
    <w:rsid w:val="00E07F0B"/>
    <w:rsid w:val="00E10F25"/>
    <w:rsid w:val="00E122DE"/>
    <w:rsid w:val="00E137C6"/>
    <w:rsid w:val="00E1397E"/>
    <w:rsid w:val="00E15D24"/>
    <w:rsid w:val="00E16061"/>
    <w:rsid w:val="00E16AAF"/>
    <w:rsid w:val="00E174D6"/>
    <w:rsid w:val="00E17BCC"/>
    <w:rsid w:val="00E17F7B"/>
    <w:rsid w:val="00E20FCF"/>
    <w:rsid w:val="00E21C49"/>
    <w:rsid w:val="00E22065"/>
    <w:rsid w:val="00E225BA"/>
    <w:rsid w:val="00E22E34"/>
    <w:rsid w:val="00E2303B"/>
    <w:rsid w:val="00E2376E"/>
    <w:rsid w:val="00E24D8C"/>
    <w:rsid w:val="00E25901"/>
    <w:rsid w:val="00E25BF0"/>
    <w:rsid w:val="00E261D0"/>
    <w:rsid w:val="00E2775C"/>
    <w:rsid w:val="00E302A4"/>
    <w:rsid w:val="00E3068E"/>
    <w:rsid w:val="00E310D3"/>
    <w:rsid w:val="00E320AD"/>
    <w:rsid w:val="00E3216B"/>
    <w:rsid w:val="00E33115"/>
    <w:rsid w:val="00E34780"/>
    <w:rsid w:val="00E36600"/>
    <w:rsid w:val="00E40511"/>
    <w:rsid w:val="00E40635"/>
    <w:rsid w:val="00E417BD"/>
    <w:rsid w:val="00E41DED"/>
    <w:rsid w:val="00E420D4"/>
    <w:rsid w:val="00E42341"/>
    <w:rsid w:val="00E42688"/>
    <w:rsid w:val="00E42726"/>
    <w:rsid w:val="00E42E04"/>
    <w:rsid w:val="00E4426F"/>
    <w:rsid w:val="00E447AC"/>
    <w:rsid w:val="00E4523D"/>
    <w:rsid w:val="00E45EE9"/>
    <w:rsid w:val="00E47071"/>
    <w:rsid w:val="00E527E9"/>
    <w:rsid w:val="00E52EB3"/>
    <w:rsid w:val="00E52EFA"/>
    <w:rsid w:val="00E53317"/>
    <w:rsid w:val="00E55794"/>
    <w:rsid w:val="00E56799"/>
    <w:rsid w:val="00E57088"/>
    <w:rsid w:val="00E605F0"/>
    <w:rsid w:val="00E606D6"/>
    <w:rsid w:val="00E6153C"/>
    <w:rsid w:val="00E61BB7"/>
    <w:rsid w:val="00E62554"/>
    <w:rsid w:val="00E62746"/>
    <w:rsid w:val="00E6286B"/>
    <w:rsid w:val="00E6699D"/>
    <w:rsid w:val="00E67CB4"/>
    <w:rsid w:val="00E708BC"/>
    <w:rsid w:val="00E70A1A"/>
    <w:rsid w:val="00E70A83"/>
    <w:rsid w:val="00E72138"/>
    <w:rsid w:val="00E73FA6"/>
    <w:rsid w:val="00E7468F"/>
    <w:rsid w:val="00E760B1"/>
    <w:rsid w:val="00E76A56"/>
    <w:rsid w:val="00E77070"/>
    <w:rsid w:val="00E7788D"/>
    <w:rsid w:val="00E77B38"/>
    <w:rsid w:val="00E80032"/>
    <w:rsid w:val="00E81B7C"/>
    <w:rsid w:val="00E824F1"/>
    <w:rsid w:val="00E827D9"/>
    <w:rsid w:val="00E83139"/>
    <w:rsid w:val="00E8624C"/>
    <w:rsid w:val="00E8797F"/>
    <w:rsid w:val="00E9010E"/>
    <w:rsid w:val="00E906D9"/>
    <w:rsid w:val="00E916F1"/>
    <w:rsid w:val="00E92CE1"/>
    <w:rsid w:val="00E94508"/>
    <w:rsid w:val="00E94901"/>
    <w:rsid w:val="00E952F2"/>
    <w:rsid w:val="00E960E7"/>
    <w:rsid w:val="00E96A0B"/>
    <w:rsid w:val="00E96E1F"/>
    <w:rsid w:val="00EA0739"/>
    <w:rsid w:val="00EA0AEF"/>
    <w:rsid w:val="00EA0C5D"/>
    <w:rsid w:val="00EA1159"/>
    <w:rsid w:val="00EA25DF"/>
    <w:rsid w:val="00EA2A9C"/>
    <w:rsid w:val="00EA31F0"/>
    <w:rsid w:val="00EB088F"/>
    <w:rsid w:val="00EB0DFB"/>
    <w:rsid w:val="00EB1963"/>
    <w:rsid w:val="00EB1AA5"/>
    <w:rsid w:val="00EB2899"/>
    <w:rsid w:val="00EB2A04"/>
    <w:rsid w:val="00EB4E92"/>
    <w:rsid w:val="00EB5088"/>
    <w:rsid w:val="00EB6FD8"/>
    <w:rsid w:val="00EB7ACF"/>
    <w:rsid w:val="00EB7C78"/>
    <w:rsid w:val="00EC19AE"/>
    <w:rsid w:val="00EC2741"/>
    <w:rsid w:val="00EC3CC2"/>
    <w:rsid w:val="00EC4357"/>
    <w:rsid w:val="00EC4702"/>
    <w:rsid w:val="00EC6AEF"/>
    <w:rsid w:val="00ED011E"/>
    <w:rsid w:val="00ED36D3"/>
    <w:rsid w:val="00ED3A2A"/>
    <w:rsid w:val="00ED4EFC"/>
    <w:rsid w:val="00ED545C"/>
    <w:rsid w:val="00ED5569"/>
    <w:rsid w:val="00ED5C63"/>
    <w:rsid w:val="00ED6A5F"/>
    <w:rsid w:val="00ED6EC0"/>
    <w:rsid w:val="00ED774A"/>
    <w:rsid w:val="00EE1364"/>
    <w:rsid w:val="00EE2C81"/>
    <w:rsid w:val="00EE3117"/>
    <w:rsid w:val="00EE4283"/>
    <w:rsid w:val="00EE6D7F"/>
    <w:rsid w:val="00EF1497"/>
    <w:rsid w:val="00EF1A26"/>
    <w:rsid w:val="00EF362E"/>
    <w:rsid w:val="00EF4EFE"/>
    <w:rsid w:val="00EF6A82"/>
    <w:rsid w:val="00EF6E5E"/>
    <w:rsid w:val="00F0184A"/>
    <w:rsid w:val="00F04229"/>
    <w:rsid w:val="00F0638A"/>
    <w:rsid w:val="00F100C2"/>
    <w:rsid w:val="00F12733"/>
    <w:rsid w:val="00F1549D"/>
    <w:rsid w:val="00F17AFA"/>
    <w:rsid w:val="00F17BAF"/>
    <w:rsid w:val="00F2065E"/>
    <w:rsid w:val="00F2090A"/>
    <w:rsid w:val="00F210F6"/>
    <w:rsid w:val="00F22130"/>
    <w:rsid w:val="00F22757"/>
    <w:rsid w:val="00F24192"/>
    <w:rsid w:val="00F24FD2"/>
    <w:rsid w:val="00F26CB5"/>
    <w:rsid w:val="00F27743"/>
    <w:rsid w:val="00F31313"/>
    <w:rsid w:val="00F32A9E"/>
    <w:rsid w:val="00F33A45"/>
    <w:rsid w:val="00F34080"/>
    <w:rsid w:val="00F34B05"/>
    <w:rsid w:val="00F36BAA"/>
    <w:rsid w:val="00F4013C"/>
    <w:rsid w:val="00F40E0E"/>
    <w:rsid w:val="00F41903"/>
    <w:rsid w:val="00F41DD6"/>
    <w:rsid w:val="00F422A8"/>
    <w:rsid w:val="00F44321"/>
    <w:rsid w:val="00F4671C"/>
    <w:rsid w:val="00F467B9"/>
    <w:rsid w:val="00F479CE"/>
    <w:rsid w:val="00F5040B"/>
    <w:rsid w:val="00F5062B"/>
    <w:rsid w:val="00F5261D"/>
    <w:rsid w:val="00F52E60"/>
    <w:rsid w:val="00F5700B"/>
    <w:rsid w:val="00F610B8"/>
    <w:rsid w:val="00F6111A"/>
    <w:rsid w:val="00F644D5"/>
    <w:rsid w:val="00F6464C"/>
    <w:rsid w:val="00F64E94"/>
    <w:rsid w:val="00F70F99"/>
    <w:rsid w:val="00F73258"/>
    <w:rsid w:val="00F73E1E"/>
    <w:rsid w:val="00F747C5"/>
    <w:rsid w:val="00F753C9"/>
    <w:rsid w:val="00F75A67"/>
    <w:rsid w:val="00F76D56"/>
    <w:rsid w:val="00F77C82"/>
    <w:rsid w:val="00F827F4"/>
    <w:rsid w:val="00F8285D"/>
    <w:rsid w:val="00F832E2"/>
    <w:rsid w:val="00F833F2"/>
    <w:rsid w:val="00F83726"/>
    <w:rsid w:val="00F83F98"/>
    <w:rsid w:val="00F85660"/>
    <w:rsid w:val="00F8634F"/>
    <w:rsid w:val="00F86806"/>
    <w:rsid w:val="00F86BE2"/>
    <w:rsid w:val="00F86F34"/>
    <w:rsid w:val="00F87321"/>
    <w:rsid w:val="00F87602"/>
    <w:rsid w:val="00F877B2"/>
    <w:rsid w:val="00F8786A"/>
    <w:rsid w:val="00F87958"/>
    <w:rsid w:val="00F90385"/>
    <w:rsid w:val="00F90523"/>
    <w:rsid w:val="00F913B2"/>
    <w:rsid w:val="00F918A6"/>
    <w:rsid w:val="00F91A8F"/>
    <w:rsid w:val="00F91EFA"/>
    <w:rsid w:val="00F92FBD"/>
    <w:rsid w:val="00F93DBB"/>
    <w:rsid w:val="00F95813"/>
    <w:rsid w:val="00F966EC"/>
    <w:rsid w:val="00F97069"/>
    <w:rsid w:val="00FA0733"/>
    <w:rsid w:val="00FA1F96"/>
    <w:rsid w:val="00FA287C"/>
    <w:rsid w:val="00FA2F93"/>
    <w:rsid w:val="00FA2FBE"/>
    <w:rsid w:val="00FA3E2A"/>
    <w:rsid w:val="00FA691A"/>
    <w:rsid w:val="00FA7312"/>
    <w:rsid w:val="00FA739A"/>
    <w:rsid w:val="00FB0CD8"/>
    <w:rsid w:val="00FB1F14"/>
    <w:rsid w:val="00FB422A"/>
    <w:rsid w:val="00FB4598"/>
    <w:rsid w:val="00FB55C0"/>
    <w:rsid w:val="00FB6328"/>
    <w:rsid w:val="00FB6A60"/>
    <w:rsid w:val="00FB6B6D"/>
    <w:rsid w:val="00FC0654"/>
    <w:rsid w:val="00FC0998"/>
    <w:rsid w:val="00FC0BDA"/>
    <w:rsid w:val="00FC0F36"/>
    <w:rsid w:val="00FC0FFF"/>
    <w:rsid w:val="00FC14EF"/>
    <w:rsid w:val="00FC19FB"/>
    <w:rsid w:val="00FC1A71"/>
    <w:rsid w:val="00FC353D"/>
    <w:rsid w:val="00FC3783"/>
    <w:rsid w:val="00FC4268"/>
    <w:rsid w:val="00FC49B8"/>
    <w:rsid w:val="00FC7AB8"/>
    <w:rsid w:val="00FD0D3C"/>
    <w:rsid w:val="00FD191E"/>
    <w:rsid w:val="00FD1E0E"/>
    <w:rsid w:val="00FD2DA7"/>
    <w:rsid w:val="00FD3081"/>
    <w:rsid w:val="00FD3B3F"/>
    <w:rsid w:val="00FD5729"/>
    <w:rsid w:val="00FD673C"/>
    <w:rsid w:val="00FE0DD2"/>
    <w:rsid w:val="00FE2DCE"/>
    <w:rsid w:val="00FE3043"/>
    <w:rsid w:val="00FE45E9"/>
    <w:rsid w:val="00FF11A4"/>
    <w:rsid w:val="00FF22EE"/>
    <w:rsid w:val="00FF29FB"/>
    <w:rsid w:val="00FF4BBA"/>
    <w:rsid w:val="00FF61C6"/>
    <w:rsid w:val="00FF69FA"/>
    <w:rsid w:val="00FF74C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3C391E"/>
  <w14:defaultImageDpi w14:val="32767"/>
  <w15:docId w15:val="{B7B6CB79-8CA1-4310-8DBB-6419056C9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B89"/>
    <w:rPr>
      <w:rFonts w:ascii="Times New Roman" w:hAnsi="Times New Roman" w:cs="Times New Roman"/>
      <w:lang w:eastAsia="en-GB"/>
    </w:rPr>
  </w:style>
  <w:style w:type="paragraph" w:styleId="Heading1">
    <w:name w:val="heading 1"/>
    <w:basedOn w:val="Normal"/>
    <w:next w:val="Normal"/>
    <w:link w:val="Heading1Char"/>
    <w:autoRedefine/>
    <w:uiPriority w:val="9"/>
    <w:qFormat/>
    <w:rsid w:val="00C322DD"/>
    <w:pPr>
      <w:keepNext/>
      <w:keepLines/>
      <w:numPr>
        <w:numId w:val="28"/>
      </w:numPr>
      <w:spacing w:before="240" w:line="480" w:lineRule="auto"/>
      <w:jc w:val="both"/>
      <w:outlineLvl w:val="0"/>
    </w:pPr>
    <w:rPr>
      <w:rFonts w:ascii="Times" w:eastAsiaTheme="majorEastAsia" w:hAnsi="Times" w:cs="Times"/>
      <w:b/>
      <w:color w:val="0D0D0D" w:themeColor="text1" w:themeTint="F2"/>
      <w:lang w:eastAsia="en-US"/>
    </w:rPr>
  </w:style>
  <w:style w:type="paragraph" w:styleId="Heading2">
    <w:name w:val="heading 2"/>
    <w:basedOn w:val="Normal"/>
    <w:next w:val="Normal"/>
    <w:link w:val="Heading2Char"/>
    <w:autoRedefine/>
    <w:uiPriority w:val="9"/>
    <w:unhideWhenUsed/>
    <w:qFormat/>
    <w:rsid w:val="009B1A51"/>
    <w:pPr>
      <w:keepNext/>
      <w:keepLines/>
      <w:numPr>
        <w:ilvl w:val="1"/>
        <w:numId w:val="27"/>
      </w:numPr>
      <w:spacing w:before="40" w:line="480" w:lineRule="auto"/>
      <w:jc w:val="both"/>
      <w:outlineLvl w:val="1"/>
    </w:pPr>
    <w:rPr>
      <w:rFonts w:ascii="Arial" w:eastAsiaTheme="majorEastAsia" w:hAnsi="Arial" w:cstheme="majorBidi"/>
      <w:color w:val="000000" w:themeColor="text1"/>
      <w:sz w:val="28"/>
      <w:szCs w:val="26"/>
      <w:lang w:eastAsia="en-US"/>
    </w:rPr>
  </w:style>
  <w:style w:type="paragraph" w:styleId="Heading3">
    <w:name w:val="heading 3"/>
    <w:basedOn w:val="Normal"/>
    <w:next w:val="Normal"/>
    <w:link w:val="Heading3Char"/>
    <w:autoRedefine/>
    <w:uiPriority w:val="9"/>
    <w:unhideWhenUsed/>
    <w:qFormat/>
    <w:rsid w:val="009B1A51"/>
    <w:pPr>
      <w:keepNext/>
      <w:keepLines/>
      <w:numPr>
        <w:ilvl w:val="2"/>
        <w:numId w:val="27"/>
      </w:numPr>
      <w:spacing w:before="40" w:line="480" w:lineRule="auto"/>
      <w:jc w:val="both"/>
      <w:outlineLvl w:val="2"/>
    </w:pPr>
    <w:rPr>
      <w:rFonts w:ascii="Arial" w:eastAsiaTheme="majorEastAsia" w:hAnsi="Arial" w:cstheme="majorBidi"/>
      <w:color w:val="000000" w:themeColor="text1"/>
      <w:sz w:val="28"/>
      <w:lang w:eastAsia="en-US"/>
    </w:rPr>
  </w:style>
  <w:style w:type="paragraph" w:styleId="Heading4">
    <w:name w:val="heading 4"/>
    <w:basedOn w:val="Normal"/>
    <w:next w:val="Normal"/>
    <w:link w:val="Heading4Char"/>
    <w:autoRedefine/>
    <w:uiPriority w:val="9"/>
    <w:unhideWhenUsed/>
    <w:qFormat/>
    <w:rsid w:val="009B1A51"/>
    <w:pPr>
      <w:keepNext/>
      <w:keepLines/>
      <w:numPr>
        <w:ilvl w:val="3"/>
        <w:numId w:val="20"/>
      </w:numPr>
      <w:spacing w:before="40" w:line="480" w:lineRule="auto"/>
      <w:ind w:left="1728" w:hanging="648"/>
      <w:jc w:val="both"/>
      <w:outlineLvl w:val="3"/>
    </w:pPr>
    <w:rPr>
      <w:rFonts w:ascii="Arial" w:eastAsiaTheme="majorEastAsia" w:hAnsi="Arial" w:cstheme="majorBidi"/>
      <w:iCs/>
      <w:color w:val="000000" w:themeColor="text1"/>
      <w:sz w:val="28"/>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B1A51"/>
    <w:rPr>
      <w:rFonts w:ascii="Arial" w:eastAsiaTheme="majorEastAsia" w:hAnsi="Arial" w:cstheme="majorBidi"/>
      <w:color w:val="000000" w:themeColor="text1"/>
      <w:sz w:val="28"/>
      <w:szCs w:val="26"/>
    </w:rPr>
  </w:style>
  <w:style w:type="paragraph" w:styleId="ListNumber">
    <w:name w:val="List Number"/>
    <w:basedOn w:val="Normal"/>
    <w:uiPriority w:val="99"/>
    <w:semiHidden/>
    <w:unhideWhenUsed/>
    <w:rsid w:val="00642821"/>
    <w:pPr>
      <w:numPr>
        <w:numId w:val="2"/>
      </w:numPr>
      <w:spacing w:line="480" w:lineRule="auto"/>
      <w:contextualSpacing/>
      <w:jc w:val="both"/>
    </w:pPr>
    <w:rPr>
      <w:rFonts w:ascii="Arial" w:hAnsi="Arial" w:cstheme="minorBidi"/>
      <w:lang w:eastAsia="en-US"/>
    </w:rPr>
  </w:style>
  <w:style w:type="character" w:customStyle="1" w:styleId="Heading1Char">
    <w:name w:val="Heading 1 Char"/>
    <w:basedOn w:val="DefaultParagraphFont"/>
    <w:link w:val="Heading1"/>
    <w:uiPriority w:val="9"/>
    <w:rsid w:val="00C322DD"/>
    <w:rPr>
      <w:rFonts w:ascii="Times" w:eastAsiaTheme="majorEastAsia" w:hAnsi="Times" w:cs="Times"/>
      <w:b/>
      <w:color w:val="0D0D0D" w:themeColor="text1" w:themeTint="F2"/>
    </w:rPr>
  </w:style>
  <w:style w:type="character" w:customStyle="1" w:styleId="Heading3Char">
    <w:name w:val="Heading 3 Char"/>
    <w:basedOn w:val="DefaultParagraphFont"/>
    <w:link w:val="Heading3"/>
    <w:uiPriority w:val="9"/>
    <w:rsid w:val="009B1A51"/>
    <w:rPr>
      <w:rFonts w:ascii="Arial" w:eastAsiaTheme="majorEastAsia" w:hAnsi="Arial" w:cstheme="majorBidi"/>
      <w:color w:val="000000" w:themeColor="text1"/>
      <w:sz w:val="28"/>
    </w:rPr>
  </w:style>
  <w:style w:type="paragraph" w:styleId="Title">
    <w:name w:val="Title"/>
    <w:basedOn w:val="Normal"/>
    <w:next w:val="Normal"/>
    <w:link w:val="TitleChar"/>
    <w:autoRedefine/>
    <w:uiPriority w:val="10"/>
    <w:qFormat/>
    <w:rsid w:val="009D6F9F"/>
    <w:pPr>
      <w:keepNext/>
      <w:keepLines/>
      <w:spacing w:line="480" w:lineRule="auto"/>
      <w:contextualSpacing/>
      <w:jc w:val="both"/>
    </w:pPr>
    <w:rPr>
      <w:rFonts w:ascii="Arial" w:eastAsiaTheme="majorEastAsia" w:hAnsi="Arial" w:cstheme="majorBidi"/>
      <w:b/>
      <w:spacing w:val="-10"/>
      <w:kern w:val="28"/>
      <w:sz w:val="32"/>
      <w:szCs w:val="56"/>
      <w:u w:val="single"/>
      <w:lang w:eastAsia="en-US"/>
    </w:rPr>
  </w:style>
  <w:style w:type="character" w:customStyle="1" w:styleId="TitleChar">
    <w:name w:val="Title Char"/>
    <w:basedOn w:val="DefaultParagraphFont"/>
    <w:link w:val="Title"/>
    <w:uiPriority w:val="10"/>
    <w:rsid w:val="009D6F9F"/>
    <w:rPr>
      <w:rFonts w:ascii="Arial" w:eastAsiaTheme="majorEastAsia" w:hAnsi="Arial" w:cstheme="majorBidi"/>
      <w:b/>
      <w:spacing w:val="-10"/>
      <w:kern w:val="28"/>
      <w:sz w:val="32"/>
      <w:szCs w:val="56"/>
      <w:u w:val="single"/>
    </w:rPr>
  </w:style>
  <w:style w:type="character" w:customStyle="1" w:styleId="Heading4Char">
    <w:name w:val="Heading 4 Char"/>
    <w:basedOn w:val="DefaultParagraphFont"/>
    <w:link w:val="Heading4"/>
    <w:uiPriority w:val="9"/>
    <w:rsid w:val="009B1A51"/>
    <w:rPr>
      <w:rFonts w:ascii="Arial" w:eastAsiaTheme="majorEastAsia" w:hAnsi="Arial" w:cstheme="majorBidi"/>
      <w:iCs/>
      <w:color w:val="000000" w:themeColor="text1"/>
      <w:sz w:val="28"/>
      <w:u w:val="single"/>
    </w:rPr>
  </w:style>
  <w:style w:type="paragraph" w:styleId="Subtitle">
    <w:name w:val="Subtitle"/>
    <w:basedOn w:val="Normal"/>
    <w:next w:val="Normal"/>
    <w:link w:val="SubtitleChar"/>
    <w:autoRedefine/>
    <w:uiPriority w:val="11"/>
    <w:qFormat/>
    <w:rsid w:val="009D6F9F"/>
    <w:pPr>
      <w:numPr>
        <w:ilvl w:val="1"/>
      </w:numPr>
      <w:spacing w:after="160" w:line="480" w:lineRule="auto"/>
      <w:jc w:val="both"/>
    </w:pPr>
    <w:rPr>
      <w:rFonts w:ascii="Arial" w:eastAsiaTheme="minorEastAsia" w:hAnsi="Arial" w:cstheme="minorBidi"/>
      <w:color w:val="000000" w:themeColor="text1"/>
      <w:spacing w:val="15"/>
      <w:sz w:val="28"/>
      <w:szCs w:val="22"/>
      <w:u w:val="single"/>
      <w:lang w:eastAsia="en-US"/>
    </w:rPr>
  </w:style>
  <w:style w:type="character" w:customStyle="1" w:styleId="SubtitleChar">
    <w:name w:val="Subtitle Char"/>
    <w:basedOn w:val="DefaultParagraphFont"/>
    <w:link w:val="Subtitle"/>
    <w:uiPriority w:val="11"/>
    <w:rsid w:val="009D6F9F"/>
    <w:rPr>
      <w:rFonts w:ascii="Arial" w:eastAsiaTheme="minorEastAsia" w:hAnsi="Arial"/>
      <w:color w:val="000000" w:themeColor="text1"/>
      <w:spacing w:val="15"/>
      <w:sz w:val="28"/>
      <w:szCs w:val="22"/>
      <w:u w:val="single"/>
    </w:rPr>
  </w:style>
  <w:style w:type="paragraph" w:styleId="TOCHeading">
    <w:name w:val="TOC Heading"/>
    <w:basedOn w:val="Heading1"/>
    <w:next w:val="Normal"/>
    <w:autoRedefine/>
    <w:uiPriority w:val="39"/>
    <w:unhideWhenUsed/>
    <w:qFormat/>
    <w:rsid w:val="00D36EE6"/>
    <w:pPr>
      <w:numPr>
        <w:numId w:val="0"/>
      </w:numPr>
      <w:jc w:val="left"/>
      <w:outlineLvl w:val="9"/>
    </w:pPr>
    <w:rPr>
      <w:b w:val="0"/>
      <w:color w:val="000000" w:themeColor="text1"/>
    </w:rPr>
  </w:style>
  <w:style w:type="paragraph" w:styleId="Caption">
    <w:name w:val="caption"/>
    <w:basedOn w:val="Normal"/>
    <w:next w:val="Normal"/>
    <w:autoRedefine/>
    <w:uiPriority w:val="35"/>
    <w:unhideWhenUsed/>
    <w:qFormat/>
    <w:rsid w:val="0017639E"/>
    <w:pPr>
      <w:keepNext/>
      <w:spacing w:after="200" w:line="360" w:lineRule="auto"/>
      <w:outlineLvl w:val="0"/>
    </w:pPr>
    <w:rPr>
      <w:rFonts w:ascii="Times" w:hAnsi="Times" w:cstheme="minorBidi"/>
      <w:i/>
      <w:color w:val="000000" w:themeColor="text1"/>
      <w:lang w:eastAsia="en-US"/>
    </w:rPr>
  </w:style>
  <w:style w:type="character" w:styleId="PlaceholderText">
    <w:name w:val="Placeholder Text"/>
    <w:basedOn w:val="DefaultParagraphFont"/>
    <w:uiPriority w:val="99"/>
    <w:semiHidden/>
    <w:rsid w:val="00685BFA"/>
    <w:rPr>
      <w:color w:val="808080"/>
    </w:rPr>
  </w:style>
  <w:style w:type="character" w:styleId="CommentReference">
    <w:name w:val="annotation reference"/>
    <w:basedOn w:val="DefaultParagraphFont"/>
    <w:uiPriority w:val="99"/>
    <w:semiHidden/>
    <w:unhideWhenUsed/>
    <w:rsid w:val="00F64E94"/>
    <w:rPr>
      <w:sz w:val="18"/>
      <w:szCs w:val="18"/>
    </w:rPr>
  </w:style>
  <w:style w:type="paragraph" w:styleId="CommentText">
    <w:name w:val="annotation text"/>
    <w:basedOn w:val="Normal"/>
    <w:link w:val="CommentTextChar"/>
    <w:uiPriority w:val="99"/>
    <w:unhideWhenUsed/>
    <w:rsid w:val="00F64E94"/>
    <w:pPr>
      <w:jc w:val="both"/>
    </w:pPr>
    <w:rPr>
      <w:rFonts w:ascii="Arial" w:hAnsi="Arial" w:cstheme="minorBidi"/>
      <w:lang w:eastAsia="en-US"/>
    </w:rPr>
  </w:style>
  <w:style w:type="character" w:customStyle="1" w:styleId="CommentTextChar">
    <w:name w:val="Comment Text Char"/>
    <w:basedOn w:val="DefaultParagraphFont"/>
    <w:link w:val="CommentText"/>
    <w:uiPriority w:val="99"/>
    <w:rsid w:val="00F64E94"/>
    <w:rPr>
      <w:rFonts w:ascii="Arial" w:hAnsi="Arial"/>
    </w:rPr>
  </w:style>
  <w:style w:type="paragraph" w:styleId="CommentSubject">
    <w:name w:val="annotation subject"/>
    <w:basedOn w:val="CommentText"/>
    <w:next w:val="CommentText"/>
    <w:link w:val="CommentSubjectChar"/>
    <w:uiPriority w:val="99"/>
    <w:semiHidden/>
    <w:unhideWhenUsed/>
    <w:rsid w:val="00F64E94"/>
    <w:rPr>
      <w:b/>
      <w:bCs/>
      <w:sz w:val="20"/>
      <w:szCs w:val="20"/>
    </w:rPr>
  </w:style>
  <w:style w:type="character" w:customStyle="1" w:styleId="CommentSubjectChar">
    <w:name w:val="Comment Subject Char"/>
    <w:basedOn w:val="CommentTextChar"/>
    <w:link w:val="CommentSubject"/>
    <w:uiPriority w:val="99"/>
    <w:semiHidden/>
    <w:rsid w:val="00F64E94"/>
    <w:rPr>
      <w:rFonts w:ascii="Arial" w:hAnsi="Arial"/>
      <w:b/>
      <w:bCs/>
      <w:sz w:val="20"/>
      <w:szCs w:val="20"/>
    </w:rPr>
  </w:style>
  <w:style w:type="paragraph" w:styleId="BalloonText">
    <w:name w:val="Balloon Text"/>
    <w:basedOn w:val="Normal"/>
    <w:link w:val="BalloonTextChar"/>
    <w:uiPriority w:val="99"/>
    <w:semiHidden/>
    <w:unhideWhenUsed/>
    <w:rsid w:val="00F64E94"/>
    <w:pPr>
      <w:jc w:val="both"/>
    </w:pPr>
    <w:rPr>
      <w:sz w:val="18"/>
      <w:szCs w:val="18"/>
      <w:lang w:eastAsia="en-US"/>
    </w:rPr>
  </w:style>
  <w:style w:type="character" w:customStyle="1" w:styleId="BalloonTextChar">
    <w:name w:val="Balloon Text Char"/>
    <w:basedOn w:val="DefaultParagraphFont"/>
    <w:link w:val="BalloonText"/>
    <w:uiPriority w:val="99"/>
    <w:semiHidden/>
    <w:rsid w:val="00F64E94"/>
    <w:rPr>
      <w:rFonts w:ascii="Times New Roman" w:hAnsi="Times New Roman" w:cs="Times New Roman"/>
      <w:sz w:val="18"/>
      <w:szCs w:val="18"/>
    </w:rPr>
  </w:style>
  <w:style w:type="paragraph" w:styleId="FootnoteText">
    <w:name w:val="footnote text"/>
    <w:basedOn w:val="Normal"/>
    <w:link w:val="FootnoteTextChar"/>
    <w:uiPriority w:val="99"/>
    <w:unhideWhenUsed/>
    <w:rsid w:val="002C34BE"/>
    <w:pPr>
      <w:jc w:val="both"/>
    </w:pPr>
    <w:rPr>
      <w:rFonts w:ascii="Arial" w:hAnsi="Arial" w:cstheme="minorBidi"/>
      <w:lang w:eastAsia="en-US"/>
    </w:rPr>
  </w:style>
  <w:style w:type="character" w:customStyle="1" w:styleId="FootnoteTextChar">
    <w:name w:val="Footnote Text Char"/>
    <w:basedOn w:val="DefaultParagraphFont"/>
    <w:link w:val="FootnoteText"/>
    <w:uiPriority w:val="99"/>
    <w:rsid w:val="002C34BE"/>
    <w:rPr>
      <w:rFonts w:ascii="Arial" w:hAnsi="Arial"/>
    </w:rPr>
  </w:style>
  <w:style w:type="character" w:styleId="FootnoteReference">
    <w:name w:val="footnote reference"/>
    <w:basedOn w:val="DefaultParagraphFont"/>
    <w:uiPriority w:val="99"/>
    <w:unhideWhenUsed/>
    <w:rsid w:val="002C34BE"/>
    <w:rPr>
      <w:vertAlign w:val="superscript"/>
    </w:rPr>
  </w:style>
  <w:style w:type="paragraph" w:styleId="ListParagraph">
    <w:name w:val="List Paragraph"/>
    <w:basedOn w:val="Normal"/>
    <w:uiPriority w:val="34"/>
    <w:qFormat/>
    <w:rsid w:val="00A16B71"/>
    <w:pPr>
      <w:spacing w:line="480" w:lineRule="auto"/>
      <w:ind w:left="720"/>
      <w:contextualSpacing/>
      <w:jc w:val="both"/>
    </w:pPr>
    <w:rPr>
      <w:rFonts w:ascii="Arial" w:hAnsi="Arial" w:cstheme="minorBidi"/>
      <w:lang w:eastAsia="en-US"/>
    </w:rPr>
  </w:style>
  <w:style w:type="table" w:styleId="TableGrid">
    <w:name w:val="Table Grid"/>
    <w:basedOn w:val="TableNormal"/>
    <w:uiPriority w:val="59"/>
    <w:rsid w:val="00332D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426F"/>
    <w:rPr>
      <w:color w:val="0563C1" w:themeColor="hyperlink"/>
      <w:u w:val="single"/>
    </w:rPr>
  </w:style>
  <w:style w:type="character" w:styleId="Strong">
    <w:name w:val="Strong"/>
    <w:basedOn w:val="DefaultParagraphFont"/>
    <w:uiPriority w:val="22"/>
    <w:qFormat/>
    <w:rsid w:val="00810759"/>
    <w:rPr>
      <w:b/>
      <w:bCs/>
    </w:rPr>
  </w:style>
  <w:style w:type="paragraph" w:styleId="Revision">
    <w:name w:val="Revision"/>
    <w:hidden/>
    <w:uiPriority w:val="99"/>
    <w:semiHidden/>
    <w:rsid w:val="00F93DBB"/>
    <w:rPr>
      <w:rFonts w:ascii="Times New Roman" w:hAnsi="Times New Roman" w:cs="Times New Roman"/>
      <w:lang w:eastAsia="en-GB"/>
    </w:rPr>
  </w:style>
  <w:style w:type="character" w:styleId="FollowedHyperlink">
    <w:name w:val="FollowedHyperlink"/>
    <w:basedOn w:val="DefaultParagraphFont"/>
    <w:uiPriority w:val="99"/>
    <w:semiHidden/>
    <w:unhideWhenUsed/>
    <w:rsid w:val="00603685"/>
    <w:rPr>
      <w:color w:val="954F72" w:themeColor="followedHyperlink"/>
      <w:u w:val="single"/>
    </w:rPr>
  </w:style>
  <w:style w:type="paragraph" w:customStyle="1" w:styleId="Default">
    <w:name w:val="Default"/>
    <w:rsid w:val="0055113D"/>
    <w:pPr>
      <w:autoSpaceDE w:val="0"/>
      <w:autoSpaceDN w:val="0"/>
      <w:adjustRightInd w:val="0"/>
    </w:pPr>
    <w:rPr>
      <w:rFonts w:ascii="Cambria" w:hAnsi="Cambria" w:cs="Cambria"/>
      <w:color w:val="000000"/>
      <w:lang w:val="en-IE"/>
    </w:rPr>
  </w:style>
  <w:style w:type="character" w:styleId="LineNumber">
    <w:name w:val="line number"/>
    <w:basedOn w:val="DefaultParagraphFont"/>
    <w:uiPriority w:val="99"/>
    <w:semiHidden/>
    <w:unhideWhenUsed/>
    <w:rsid w:val="00DB2A01"/>
  </w:style>
  <w:style w:type="paragraph" w:styleId="Header">
    <w:name w:val="header"/>
    <w:basedOn w:val="Normal"/>
    <w:link w:val="HeaderChar"/>
    <w:uiPriority w:val="99"/>
    <w:unhideWhenUsed/>
    <w:rsid w:val="00F422A8"/>
    <w:pPr>
      <w:tabs>
        <w:tab w:val="center" w:pos="4513"/>
        <w:tab w:val="right" w:pos="9026"/>
      </w:tabs>
    </w:pPr>
  </w:style>
  <w:style w:type="character" w:customStyle="1" w:styleId="HeaderChar">
    <w:name w:val="Header Char"/>
    <w:basedOn w:val="DefaultParagraphFont"/>
    <w:link w:val="Header"/>
    <w:uiPriority w:val="99"/>
    <w:rsid w:val="00F422A8"/>
    <w:rPr>
      <w:rFonts w:ascii="Times New Roman" w:hAnsi="Times New Roman" w:cs="Times New Roman"/>
      <w:lang w:eastAsia="en-GB"/>
    </w:rPr>
  </w:style>
  <w:style w:type="paragraph" w:styleId="Footer">
    <w:name w:val="footer"/>
    <w:basedOn w:val="Normal"/>
    <w:link w:val="FooterChar"/>
    <w:uiPriority w:val="99"/>
    <w:unhideWhenUsed/>
    <w:rsid w:val="00F422A8"/>
    <w:pPr>
      <w:tabs>
        <w:tab w:val="center" w:pos="4513"/>
        <w:tab w:val="right" w:pos="9026"/>
      </w:tabs>
    </w:pPr>
  </w:style>
  <w:style w:type="character" w:customStyle="1" w:styleId="FooterChar">
    <w:name w:val="Footer Char"/>
    <w:basedOn w:val="DefaultParagraphFont"/>
    <w:link w:val="Footer"/>
    <w:uiPriority w:val="99"/>
    <w:rsid w:val="00F422A8"/>
    <w:rPr>
      <w:rFonts w:ascii="Times New Roman" w:hAnsi="Times New Roman" w:cs="Times New Roman"/>
      <w:lang w:eastAsia="en-GB"/>
    </w:rPr>
  </w:style>
  <w:style w:type="paragraph" w:styleId="NormalWeb">
    <w:name w:val="Normal (Web)"/>
    <w:basedOn w:val="Normal"/>
    <w:uiPriority w:val="99"/>
    <w:semiHidden/>
    <w:unhideWhenUsed/>
    <w:rsid w:val="008C14D4"/>
    <w:pPr>
      <w:spacing w:before="100" w:beforeAutospacing="1" w:after="100" w:afterAutospacing="1"/>
    </w:pPr>
    <w:rPr>
      <w:rFonts w:eastAsiaTheme="minorEastAsia"/>
      <w:lang w:val="en-IE" w:eastAsia="en-IE"/>
    </w:rPr>
  </w:style>
  <w:style w:type="character" w:customStyle="1" w:styleId="UnresolvedMention1">
    <w:name w:val="Unresolved Mention1"/>
    <w:basedOn w:val="DefaultParagraphFont"/>
    <w:uiPriority w:val="99"/>
    <w:rsid w:val="00CB36CC"/>
    <w:rPr>
      <w:color w:val="808080"/>
      <w:shd w:val="clear" w:color="auto" w:fill="E6E6E6"/>
    </w:rPr>
  </w:style>
  <w:style w:type="paragraph" w:styleId="NoSpacing">
    <w:name w:val="No Spacing"/>
    <w:uiPriority w:val="1"/>
    <w:qFormat/>
    <w:rsid w:val="005A66C6"/>
    <w:rPr>
      <w:rFonts w:ascii="Times New Roman" w:hAnsi="Times New Roman" w:cs="Times New Roman"/>
      <w:lang w:eastAsia="en-GB"/>
    </w:rPr>
  </w:style>
  <w:style w:type="numbering" w:customStyle="1" w:styleId="NumberingHeading">
    <w:name w:val="Numbering Heading"/>
    <w:uiPriority w:val="99"/>
    <w:rsid w:val="004B0BC1"/>
    <w:pPr>
      <w:numPr>
        <w:numId w:val="26"/>
      </w:numPr>
    </w:pPr>
  </w:style>
  <w:style w:type="character" w:customStyle="1" w:styleId="UnresolvedMention2">
    <w:name w:val="Unresolved Mention2"/>
    <w:basedOn w:val="DefaultParagraphFont"/>
    <w:uiPriority w:val="99"/>
    <w:semiHidden/>
    <w:unhideWhenUsed/>
    <w:rsid w:val="005856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442268">
      <w:bodyDiv w:val="1"/>
      <w:marLeft w:val="0"/>
      <w:marRight w:val="0"/>
      <w:marTop w:val="0"/>
      <w:marBottom w:val="0"/>
      <w:divBdr>
        <w:top w:val="none" w:sz="0" w:space="0" w:color="auto"/>
        <w:left w:val="none" w:sz="0" w:space="0" w:color="auto"/>
        <w:bottom w:val="none" w:sz="0" w:space="0" w:color="auto"/>
        <w:right w:val="none" w:sz="0" w:space="0" w:color="auto"/>
      </w:divBdr>
    </w:div>
    <w:div w:id="336738530">
      <w:bodyDiv w:val="1"/>
      <w:marLeft w:val="0"/>
      <w:marRight w:val="0"/>
      <w:marTop w:val="0"/>
      <w:marBottom w:val="0"/>
      <w:divBdr>
        <w:top w:val="none" w:sz="0" w:space="0" w:color="auto"/>
        <w:left w:val="none" w:sz="0" w:space="0" w:color="auto"/>
        <w:bottom w:val="none" w:sz="0" w:space="0" w:color="auto"/>
        <w:right w:val="none" w:sz="0" w:space="0" w:color="auto"/>
      </w:divBdr>
    </w:div>
    <w:div w:id="489637998">
      <w:bodyDiv w:val="1"/>
      <w:marLeft w:val="0"/>
      <w:marRight w:val="0"/>
      <w:marTop w:val="0"/>
      <w:marBottom w:val="0"/>
      <w:divBdr>
        <w:top w:val="none" w:sz="0" w:space="0" w:color="auto"/>
        <w:left w:val="none" w:sz="0" w:space="0" w:color="auto"/>
        <w:bottom w:val="none" w:sz="0" w:space="0" w:color="auto"/>
        <w:right w:val="none" w:sz="0" w:space="0" w:color="auto"/>
      </w:divBdr>
    </w:div>
    <w:div w:id="784542406">
      <w:bodyDiv w:val="1"/>
      <w:marLeft w:val="0"/>
      <w:marRight w:val="0"/>
      <w:marTop w:val="0"/>
      <w:marBottom w:val="0"/>
      <w:divBdr>
        <w:top w:val="none" w:sz="0" w:space="0" w:color="auto"/>
        <w:left w:val="none" w:sz="0" w:space="0" w:color="auto"/>
        <w:bottom w:val="none" w:sz="0" w:space="0" w:color="auto"/>
        <w:right w:val="none" w:sz="0" w:space="0" w:color="auto"/>
      </w:divBdr>
    </w:div>
    <w:div w:id="816461163">
      <w:bodyDiv w:val="1"/>
      <w:marLeft w:val="0"/>
      <w:marRight w:val="0"/>
      <w:marTop w:val="0"/>
      <w:marBottom w:val="0"/>
      <w:divBdr>
        <w:top w:val="none" w:sz="0" w:space="0" w:color="auto"/>
        <w:left w:val="none" w:sz="0" w:space="0" w:color="auto"/>
        <w:bottom w:val="none" w:sz="0" w:space="0" w:color="auto"/>
        <w:right w:val="none" w:sz="0" w:space="0" w:color="auto"/>
      </w:divBdr>
    </w:div>
    <w:div w:id="1070886795">
      <w:bodyDiv w:val="1"/>
      <w:marLeft w:val="0"/>
      <w:marRight w:val="0"/>
      <w:marTop w:val="0"/>
      <w:marBottom w:val="0"/>
      <w:divBdr>
        <w:top w:val="none" w:sz="0" w:space="0" w:color="auto"/>
        <w:left w:val="none" w:sz="0" w:space="0" w:color="auto"/>
        <w:bottom w:val="none" w:sz="0" w:space="0" w:color="auto"/>
        <w:right w:val="none" w:sz="0" w:space="0" w:color="auto"/>
      </w:divBdr>
      <w:divsChild>
        <w:div w:id="210967324">
          <w:marLeft w:val="0"/>
          <w:marRight w:val="0"/>
          <w:marTop w:val="0"/>
          <w:marBottom w:val="0"/>
          <w:divBdr>
            <w:top w:val="none" w:sz="0" w:space="0" w:color="auto"/>
            <w:left w:val="none" w:sz="0" w:space="0" w:color="auto"/>
            <w:bottom w:val="none" w:sz="0" w:space="0" w:color="auto"/>
            <w:right w:val="none" w:sz="0" w:space="0" w:color="auto"/>
          </w:divBdr>
        </w:div>
        <w:div w:id="1653677944">
          <w:marLeft w:val="0"/>
          <w:marRight w:val="0"/>
          <w:marTop w:val="0"/>
          <w:marBottom w:val="120"/>
          <w:divBdr>
            <w:top w:val="none" w:sz="0" w:space="0" w:color="auto"/>
            <w:left w:val="none" w:sz="0" w:space="0" w:color="auto"/>
            <w:bottom w:val="none" w:sz="0" w:space="0" w:color="auto"/>
            <w:right w:val="none" w:sz="0" w:space="0" w:color="auto"/>
          </w:divBdr>
          <w:divsChild>
            <w:div w:id="366107166">
              <w:marLeft w:val="0"/>
              <w:marRight w:val="0"/>
              <w:marTop w:val="0"/>
              <w:marBottom w:val="0"/>
              <w:divBdr>
                <w:top w:val="none" w:sz="0" w:space="0" w:color="auto"/>
                <w:left w:val="none" w:sz="0" w:space="0" w:color="auto"/>
                <w:bottom w:val="none" w:sz="0" w:space="0" w:color="auto"/>
                <w:right w:val="none" w:sz="0" w:space="0" w:color="auto"/>
              </w:divBdr>
              <w:divsChild>
                <w:div w:id="1898738239">
                  <w:marLeft w:val="0"/>
                  <w:marRight w:val="0"/>
                  <w:marTop w:val="0"/>
                  <w:marBottom w:val="0"/>
                  <w:divBdr>
                    <w:top w:val="none" w:sz="0" w:space="0" w:color="auto"/>
                    <w:left w:val="none" w:sz="0" w:space="0" w:color="auto"/>
                    <w:bottom w:val="none" w:sz="0" w:space="0" w:color="auto"/>
                    <w:right w:val="none" w:sz="0" w:space="0" w:color="auto"/>
                  </w:divBdr>
                  <w:divsChild>
                    <w:div w:id="31460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547353">
      <w:bodyDiv w:val="1"/>
      <w:marLeft w:val="0"/>
      <w:marRight w:val="0"/>
      <w:marTop w:val="0"/>
      <w:marBottom w:val="0"/>
      <w:divBdr>
        <w:top w:val="none" w:sz="0" w:space="0" w:color="auto"/>
        <w:left w:val="none" w:sz="0" w:space="0" w:color="auto"/>
        <w:bottom w:val="none" w:sz="0" w:space="0" w:color="auto"/>
        <w:right w:val="none" w:sz="0" w:space="0" w:color="auto"/>
      </w:divBdr>
    </w:div>
    <w:div w:id="1375035327">
      <w:bodyDiv w:val="1"/>
      <w:marLeft w:val="0"/>
      <w:marRight w:val="0"/>
      <w:marTop w:val="0"/>
      <w:marBottom w:val="0"/>
      <w:divBdr>
        <w:top w:val="none" w:sz="0" w:space="0" w:color="auto"/>
        <w:left w:val="none" w:sz="0" w:space="0" w:color="auto"/>
        <w:bottom w:val="none" w:sz="0" w:space="0" w:color="auto"/>
        <w:right w:val="none" w:sz="0" w:space="0" w:color="auto"/>
      </w:divBdr>
    </w:div>
    <w:div w:id="15368888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lyam@tcd.i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sciencedirect.com/topics/pharmacology-toxicology-and-pharmaceutical-science/zinc-selenide" TargetMode="External"/><Relationship Id="rId4" Type="http://schemas.openxmlformats.org/officeDocument/2006/relationships/settings" Target="settings.xml"/><Relationship Id="rId9" Type="http://schemas.openxmlformats.org/officeDocument/2006/relationships/hyperlink" Target="https://www.sciencedirect.com/topics/pharmacology-toxicology-and-pharmaceutical-science/fourier-transform-infrared-spectrosco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65C322A-009F-4F1E-B888-5B6C55B4C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56485</Words>
  <Characters>321965</Characters>
  <Application>Microsoft Office Word</Application>
  <DocSecurity>0</DocSecurity>
  <Lines>2683</Lines>
  <Paragraphs>755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377695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Jeremiah Kelleher</dc:creator>
  <cp:keywords/>
  <dc:description/>
  <cp:lastModifiedBy>Anne-Marie Healy</cp:lastModifiedBy>
  <cp:revision>3</cp:revision>
  <cp:lastPrinted>2017-07-31T14:48:00Z</cp:lastPrinted>
  <dcterms:created xsi:type="dcterms:W3CDTF">2019-07-31T13:26:00Z</dcterms:created>
  <dcterms:modified xsi:type="dcterms:W3CDTF">2019-07-31T13:26:00Z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http://www.zotero.org/styles/american-sociological-association</vt:lpwstr>
  </property>
  <property fmtid="{D5CDD505-2E9C-101B-9397-08002B2CF9AE}" pid="8" name="Mendeley Recent Style Name 2_1">
    <vt:lpwstr>American Sociological Association</vt:lpwstr>
  </property>
  <property fmtid="{D5CDD505-2E9C-101B-9397-08002B2CF9AE}" pid="9" name="Mendeley Recent Style Id 3_1">
    <vt:lpwstr>http://www.zotero.org/styles/chicago-author-date</vt:lpwstr>
  </property>
  <property fmtid="{D5CDD505-2E9C-101B-9397-08002B2CF9AE}" pid="10" name="Mendeley Recent Style Name 3_1">
    <vt:lpwstr>Chicago Manual of Style 17th edition (author-date)</vt:lpwstr>
  </property>
  <property fmtid="{D5CDD505-2E9C-101B-9397-08002B2CF9AE}" pid="11" name="Mendeley Recent Style Id 4_1">
    <vt:lpwstr>http://www.zotero.org/styles/harvard-cite-them-right</vt:lpwstr>
  </property>
  <property fmtid="{D5CDD505-2E9C-101B-9397-08002B2CF9AE}" pid="12" name="Mendeley Recent Style Name 4_1">
    <vt:lpwstr>Cite Them Right 10th edition - Harvard</vt:lpwstr>
  </property>
  <property fmtid="{D5CDD505-2E9C-101B-9397-08002B2CF9AE}" pid="13" name="Mendeley Recent Style Id 5_1">
    <vt:lpwstr>http://www.zotero.org/styles/ieee</vt:lpwstr>
  </property>
  <property fmtid="{D5CDD505-2E9C-101B-9397-08002B2CF9AE}" pid="14" name="Mendeley Recent Style Name 5_1">
    <vt:lpwstr>IEEE</vt:lpwstr>
  </property>
  <property fmtid="{D5CDD505-2E9C-101B-9397-08002B2CF9AE}" pid="15" name="Mendeley Recent Style Id 6_1">
    <vt:lpwstr>http://www.zotero.org/styles/international-journal-of-pharmaceutics</vt:lpwstr>
  </property>
  <property fmtid="{D5CDD505-2E9C-101B-9397-08002B2CF9AE}" pid="16" name="Mendeley Recent Style Name 6_1">
    <vt:lpwstr>International Journal of Pharmaceutics</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Unique User Id_1">
    <vt:lpwstr>6c4291ab-48c9-39a8-9db7-10d8154d0a57</vt:lpwstr>
  </property>
  <property fmtid="{D5CDD505-2E9C-101B-9397-08002B2CF9AE}" pid="24" name="Mendeley Citation Style_1">
    <vt:lpwstr>http://www.zotero.org/styles/international-journal-of-pharmaceutics</vt:lpwstr>
  </property>
</Properties>
</file>