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D3A" w:rsidRPr="00705478" w:rsidRDefault="00040B5A" w:rsidP="00F9497B">
      <w:pPr>
        <w:pStyle w:val="IATED-PaperTitle"/>
        <w:spacing w:before="0"/>
      </w:pPr>
      <w:r w:rsidRPr="00040B5A">
        <w:t>SERIOUS GAMES IN MARKETING EDUCATION: DEVELOPING HIGHER ORDER COGNITIVE SKILLS THROUGH COLLABORATION IN A SIMULATION GAME</w:t>
      </w:r>
    </w:p>
    <w:p w:rsidR="00040B5A" w:rsidRPr="00040B5A" w:rsidRDefault="00040B5A" w:rsidP="00040B5A">
      <w:pPr>
        <w:spacing w:after="0"/>
        <w:jc w:val="center"/>
        <w:rPr>
          <w:rFonts w:cs="Arial"/>
          <w:b/>
          <w:sz w:val="24"/>
        </w:rPr>
      </w:pPr>
      <w:r w:rsidRPr="00040B5A">
        <w:rPr>
          <w:rFonts w:cs="Arial"/>
          <w:b/>
          <w:sz w:val="24"/>
        </w:rPr>
        <w:t>A. Devitt</w:t>
      </w:r>
      <w:r w:rsidRPr="00040B5A">
        <w:rPr>
          <w:rFonts w:cs="Arial"/>
          <w:b/>
          <w:sz w:val="24"/>
          <w:vertAlign w:val="superscript"/>
        </w:rPr>
        <w:t>1</w:t>
      </w:r>
      <w:r w:rsidRPr="00040B5A">
        <w:rPr>
          <w:rFonts w:cs="Arial"/>
          <w:b/>
          <w:sz w:val="24"/>
        </w:rPr>
        <w:t>, M. Brady</w:t>
      </w:r>
      <w:r w:rsidRPr="00040B5A">
        <w:rPr>
          <w:rFonts w:cs="Arial"/>
          <w:b/>
          <w:sz w:val="24"/>
          <w:vertAlign w:val="superscript"/>
        </w:rPr>
        <w:t>1</w:t>
      </w:r>
      <w:r w:rsidRPr="00040B5A">
        <w:rPr>
          <w:rFonts w:cs="Arial"/>
          <w:b/>
          <w:sz w:val="24"/>
        </w:rPr>
        <w:t>, M. Lamest</w:t>
      </w:r>
      <w:r w:rsidRPr="00040B5A">
        <w:rPr>
          <w:rFonts w:cs="Arial"/>
          <w:b/>
          <w:sz w:val="24"/>
          <w:vertAlign w:val="superscript"/>
        </w:rPr>
        <w:t>1</w:t>
      </w:r>
      <w:r w:rsidRPr="00040B5A">
        <w:rPr>
          <w:rFonts w:cs="Arial"/>
          <w:b/>
          <w:sz w:val="24"/>
        </w:rPr>
        <w:t xml:space="preserve">, </w:t>
      </w:r>
      <w:r w:rsidR="00A94D6A">
        <w:rPr>
          <w:rFonts w:cs="Arial"/>
          <w:b/>
          <w:sz w:val="24"/>
        </w:rPr>
        <w:t>G. Dalton</w:t>
      </w:r>
      <w:r w:rsidR="00A94D6A" w:rsidRPr="00040B5A">
        <w:rPr>
          <w:rFonts w:cs="Arial"/>
          <w:b/>
          <w:sz w:val="24"/>
          <w:vertAlign w:val="superscript"/>
        </w:rPr>
        <w:t>1</w:t>
      </w:r>
      <w:r w:rsidR="00A94D6A">
        <w:rPr>
          <w:rFonts w:cs="Arial"/>
          <w:b/>
          <w:sz w:val="24"/>
        </w:rPr>
        <w:t xml:space="preserve">, </w:t>
      </w:r>
      <w:r w:rsidRPr="00040B5A">
        <w:rPr>
          <w:rFonts w:cs="Arial"/>
          <w:b/>
          <w:sz w:val="24"/>
        </w:rPr>
        <w:t>N. Newman</w:t>
      </w:r>
      <w:r w:rsidRPr="00040B5A">
        <w:rPr>
          <w:rFonts w:cs="Arial"/>
          <w:b/>
          <w:sz w:val="24"/>
          <w:vertAlign w:val="superscript"/>
        </w:rPr>
        <w:t>2</w:t>
      </w:r>
      <w:r w:rsidRPr="00040B5A">
        <w:rPr>
          <w:rFonts w:cs="Arial"/>
          <w:b/>
          <w:sz w:val="24"/>
        </w:rPr>
        <w:t>, S. Gomez</w:t>
      </w:r>
      <w:r w:rsidRPr="00040B5A">
        <w:rPr>
          <w:rFonts w:cs="Arial"/>
          <w:b/>
          <w:sz w:val="24"/>
          <w:vertAlign w:val="superscript"/>
        </w:rPr>
        <w:t>3</w:t>
      </w:r>
    </w:p>
    <w:p w:rsidR="00040B5A" w:rsidRPr="00040B5A" w:rsidRDefault="00040B5A" w:rsidP="00040B5A">
      <w:pPr>
        <w:spacing w:before="0" w:after="0"/>
        <w:jc w:val="center"/>
        <w:rPr>
          <w:rFonts w:cs="Arial"/>
          <w:i/>
          <w:sz w:val="22"/>
          <w:szCs w:val="22"/>
        </w:rPr>
      </w:pPr>
      <w:r w:rsidRPr="00040B5A">
        <w:rPr>
          <w:rFonts w:cs="Arial"/>
          <w:i/>
          <w:sz w:val="22"/>
          <w:szCs w:val="22"/>
          <w:vertAlign w:val="superscript"/>
        </w:rPr>
        <w:t>1</w:t>
      </w:r>
      <w:r w:rsidRPr="00040B5A">
        <w:rPr>
          <w:rFonts w:cs="Arial"/>
          <w:i/>
          <w:sz w:val="22"/>
          <w:szCs w:val="22"/>
        </w:rPr>
        <w:t xml:space="preserve"> Trinity College Dublin (IRELAND)</w:t>
      </w:r>
    </w:p>
    <w:p w:rsidR="00040B5A" w:rsidRPr="00040B5A" w:rsidRDefault="00040B5A" w:rsidP="00040B5A">
      <w:pPr>
        <w:spacing w:before="0" w:after="0"/>
        <w:jc w:val="center"/>
        <w:rPr>
          <w:rFonts w:cs="Arial"/>
          <w:i/>
          <w:sz w:val="22"/>
          <w:szCs w:val="22"/>
        </w:rPr>
      </w:pPr>
      <w:r w:rsidRPr="00040B5A">
        <w:rPr>
          <w:rFonts w:cs="Arial"/>
          <w:i/>
          <w:sz w:val="22"/>
          <w:szCs w:val="22"/>
          <w:vertAlign w:val="superscript"/>
        </w:rPr>
        <w:t>2</w:t>
      </w:r>
      <w:r w:rsidRPr="00040B5A">
        <w:rPr>
          <w:rFonts w:cs="Arial"/>
          <w:i/>
          <w:sz w:val="22"/>
          <w:szCs w:val="22"/>
        </w:rPr>
        <w:t xml:space="preserve"> University of Sheffield (UNITED KINGDOM)</w:t>
      </w:r>
    </w:p>
    <w:p w:rsidR="00040B5A" w:rsidRPr="00040B5A" w:rsidRDefault="00040B5A" w:rsidP="00040B5A">
      <w:pPr>
        <w:spacing w:before="0" w:after="0"/>
        <w:jc w:val="center"/>
        <w:rPr>
          <w:rFonts w:cs="Arial"/>
          <w:i/>
          <w:sz w:val="22"/>
          <w:szCs w:val="22"/>
        </w:rPr>
      </w:pPr>
      <w:r w:rsidRPr="00040B5A">
        <w:rPr>
          <w:rFonts w:cs="Arial"/>
          <w:i/>
          <w:sz w:val="22"/>
          <w:szCs w:val="22"/>
          <w:vertAlign w:val="superscript"/>
        </w:rPr>
        <w:t>3</w:t>
      </w:r>
      <w:r w:rsidRPr="00040B5A">
        <w:rPr>
          <w:rFonts w:cs="Arial"/>
          <w:i/>
          <w:sz w:val="22"/>
          <w:szCs w:val="22"/>
        </w:rPr>
        <w:t xml:space="preserve"> Pearson UK (UNITED KINGDOM)</w:t>
      </w:r>
    </w:p>
    <w:p w:rsidR="00040B5A" w:rsidRDefault="00040B5A" w:rsidP="00B55A17">
      <w:pPr>
        <w:pStyle w:val="IATED-Affiliation"/>
        <w:rPr>
          <w:vertAlign w:val="superscript"/>
        </w:rPr>
      </w:pPr>
    </w:p>
    <w:p w:rsidR="00B55A17" w:rsidRPr="00705478" w:rsidRDefault="00600630" w:rsidP="00B55A17">
      <w:pPr>
        <w:pStyle w:val="Title"/>
        <w:rPr>
          <w:lang w:val="en-GB"/>
        </w:rPr>
      </w:pPr>
      <w:r>
        <w:rPr>
          <w:lang w:val="en-GB"/>
        </w:rPr>
        <w:t>Abstract</w:t>
      </w:r>
    </w:p>
    <w:p w:rsidR="00600630" w:rsidRDefault="006A111C" w:rsidP="00B55A17">
      <w:pPr>
        <w:rPr>
          <w:lang w:val="en-GB"/>
        </w:rPr>
      </w:pPr>
      <w:r w:rsidRPr="006A111C">
        <w:rPr>
          <w:lang w:val="en-GB"/>
        </w:rPr>
        <w:t xml:space="preserve">This study set out to explore the use of an online </w:t>
      </w:r>
      <w:r w:rsidR="00CD5A8C">
        <w:rPr>
          <w:lang w:val="en-GB"/>
        </w:rPr>
        <w:t>resource to simulate real-world marketing principles</w:t>
      </w:r>
      <w:r w:rsidRPr="006A111C">
        <w:rPr>
          <w:lang w:val="en-GB"/>
        </w:rPr>
        <w:t>, designed as a serious game</w:t>
      </w:r>
      <w:r w:rsidR="003B7C0B">
        <w:t xml:space="preserve"> </w:t>
      </w:r>
      <w:r w:rsidR="003B7C0B">
        <w:fldChar w:fldCharType="begin"/>
      </w:r>
      <w:r w:rsidR="003B7C0B">
        <w:instrText xml:space="preserve"> ADDIN ZOTERO_ITEM CSL_CITATION {"citationID":"hhmab7lvj","properties":{"formattedCitation":"[1]","plainCitation":"[1]"},"citationItems":[{"id":23,"uris":["http://zotero.org/users/local/FTZZFbAq/items/XK38IAGZ"],"uri":["http://zotero.org/users/local/FTZZFbAq/items/XK38IAGZ"],"itemData":{"id":23,"type":"article-journal","title":"From visual simulation to virtual reality to games","container-title":"Computer","page":"25-32","volume":"38","issue":"9","source":"IEEE Xplore","abstract":"During the past decades, the virtual reality community has based its development on a synthesis of earlier work in interactive 3D graphics, user interfaces, and visual simulation. Currently, the VR field is transitioning into work influenced by video games. Because much of the research and development being conducted in the games community parallels the VR community's efforts, it has the potential to affect a greater audience. Given these trends, VR researchers who want their work to remain relevant must realign to focus on game research and development. Leveraging technology from the visual simulation and virtual reality communities, serious games provide a delivery system for organizational video game instruction and training.","DOI":"10.1109/MC.2005.297","ISSN":"0018-9162","author":[{"family":"Zyda","given":"M."}],"issued":{"date-parts":[["2005",9]]}}}],"schema":"https://github.com/citation-style-language/schema/raw/master/csl-citation.json"} </w:instrText>
      </w:r>
      <w:r w:rsidR="003B7C0B">
        <w:fldChar w:fldCharType="separate"/>
      </w:r>
      <w:r w:rsidR="003B7C0B" w:rsidRPr="003B7C0B">
        <w:rPr>
          <w:rFonts w:cs="Arial"/>
        </w:rPr>
        <w:t>[1]</w:t>
      </w:r>
      <w:r w:rsidR="003B7C0B">
        <w:fldChar w:fldCharType="end"/>
      </w:r>
      <w:r w:rsidRPr="006A111C">
        <w:rPr>
          <w:lang w:val="en-GB"/>
        </w:rPr>
        <w:t>, for student</w:t>
      </w:r>
      <w:r w:rsidR="00CD5A8C">
        <w:rPr>
          <w:lang w:val="en-GB"/>
        </w:rPr>
        <w:t>s</w:t>
      </w:r>
      <w:r w:rsidRPr="006A111C">
        <w:rPr>
          <w:lang w:val="en-GB"/>
        </w:rPr>
        <w:t xml:space="preserve"> </w:t>
      </w:r>
      <w:r w:rsidR="00CD5A8C">
        <w:rPr>
          <w:lang w:val="en-GB"/>
        </w:rPr>
        <w:t>studying</w:t>
      </w:r>
      <w:r w:rsidRPr="006A111C">
        <w:rPr>
          <w:lang w:val="en-GB"/>
        </w:rPr>
        <w:t xml:space="preserve"> an undergraduate introductory marketing module. The simulation game aimed to address both hard and soft skills</w:t>
      </w:r>
      <w:r w:rsidR="008B5AF6">
        <w:rPr>
          <w:lang w:val="en-GB"/>
        </w:rPr>
        <w:t xml:space="preserve"> </w:t>
      </w:r>
      <w:r w:rsidR="008B5AF6">
        <w:rPr>
          <w:lang w:val="en-GB"/>
        </w:rPr>
        <w:fldChar w:fldCharType="begin"/>
      </w:r>
      <w:r w:rsidR="008B5AF6">
        <w:rPr>
          <w:lang w:val="en-GB"/>
        </w:rPr>
        <w:instrText xml:space="preserve"> ADDIN ZOTERO_ITEM CSL_CITATION {"citationID":"1li9a9pkqk","properties":{"formattedCitation":"[2]","plainCitation":"[2]"},"citationItems":[{"id":74,"uris":["http://zotero.org/users/local/FTZZFbAq/items/3BQZ46TG"],"uri":["http://zotero.org/users/local/FTZZFbAq/items/3BQZ46TG"],"itemData":{"id":74,"type":"article-journal","title":"Graduate Employability, ‘Soft Skills’ Versus ‘Hard’ Business Knowledge: A European Study","container-title":"Higher Education in Europe","page":"411-422","volume":"33","issue":"4","source":"Taylor and Francis+NEJM","abstract":"There is a growing awareness in the UK and mainland Europe of the importance of higher education to the development of a knowledge</w:instrText>
      </w:r>
      <w:r w:rsidR="008B5AF6">
        <w:rPr>
          <w:rFonts w:ascii="Cambria Math" w:hAnsi="Cambria Math" w:cs="Cambria Math"/>
          <w:lang w:val="en-GB"/>
        </w:rPr>
        <w:instrText>‐</w:instrText>
      </w:r>
      <w:r w:rsidR="008B5AF6">
        <w:rPr>
          <w:lang w:val="en-GB"/>
        </w:rPr>
        <w:instrText>based economy. European universities are increasingly required to produce highly mobile graduates able to respond to the ever</w:instrText>
      </w:r>
      <w:r w:rsidR="008B5AF6">
        <w:rPr>
          <w:rFonts w:ascii="Cambria Math" w:hAnsi="Cambria Math" w:cs="Cambria Math"/>
          <w:lang w:val="en-GB"/>
        </w:rPr>
        <w:instrText>‐</w:instrText>
      </w:r>
      <w:r w:rsidR="008B5AF6">
        <w:rPr>
          <w:lang w:val="en-GB"/>
        </w:rPr>
        <w:instrText>changing needs of the contemporary workplace. Following the Bologna Declaration (1999), higher education across Europe has expanded rapidly. This has resulted in questions being raised about the quality of the graduate labour market and the ability of graduates to meet the needs of employers. This paper analyses graduate and employer perspectives of graduate employability in four European countries (UK, Austria, Slovenia and Romania). In doing so it adds to current debates in this area. This research was conducted with European Union funding as part of a Leonardo Project. The academic partners involved in collecting the data for this the project are: Jane Andrews and Helen Higson, Aston Business School (Aston University: UK); Eva</w:instrText>
      </w:r>
      <w:r w:rsidR="008B5AF6">
        <w:rPr>
          <w:rFonts w:ascii="Cambria Math" w:hAnsi="Cambria Math" w:cs="Cambria Math"/>
          <w:lang w:val="en-GB"/>
        </w:rPr>
        <w:instrText>‐</w:instrText>
      </w:r>
      <w:r w:rsidR="008B5AF6">
        <w:rPr>
          <w:lang w:val="en-GB"/>
        </w:rPr>
        <w:instrText>Marie Tusini, Ana Azevedo, FH Joanneum Gesellschaft (Graz University, Austria); Christine Bauer, Barbare Haubmann, Berufsforderungsinstitut Steirmark (Fachhochschule, Austria); Doris Gomezeld, Natasa Mithans, University of Primorska (Slovenia); Paul Rinderu, Mihai Marin, Mihnea Cosoveaunu, University of Craiova (Romania).This research was conducted with European Union funding as part of a Leonardo Project. The academic partners involved in collecting the data for this the project are: Jane Andrews and Helen Higson, Aston Business School (Aston University: UK); Eva</w:instrText>
      </w:r>
      <w:r w:rsidR="008B5AF6">
        <w:rPr>
          <w:rFonts w:ascii="Cambria Math" w:hAnsi="Cambria Math" w:cs="Cambria Math"/>
          <w:lang w:val="en-GB"/>
        </w:rPr>
        <w:instrText>‐</w:instrText>
      </w:r>
      <w:r w:rsidR="008B5AF6">
        <w:rPr>
          <w:lang w:val="en-GB"/>
        </w:rPr>
        <w:instrText xml:space="preserve">Marie Tusini, Ana Azevedo, FH Joanneum Gesellschaft (Graz University, Austria); Christine Bauer, Barbare Haubmann, Berufsforderungsinstitut Steirmark (Fachhochschule, Austria); Doris Gomezeld, Natasa Mithans, University of Primorska (Slovenia); Paul Rinderu, Mihai Marin, Mihnea Cosoveaunu, University of Craiova (Romania).","DOI":"10.1080/03797720802522627","ISSN":"0379-7724","shortTitle":"Graduate Employability, ‘Soft Skills’ Versus ‘Hard’ Business Knowledge","author":[{"family":"Andrews","given":"Jane"},{"family":"Higson","given":"Helen"}],"issued":{"date-parts":[["2008",12,1]]},"accessed":{"date-parts":[["2014",12,12]]}}}],"schema":"https://github.com/citation-style-language/schema/raw/master/csl-citation.json"} </w:instrText>
      </w:r>
      <w:r w:rsidR="008B5AF6">
        <w:rPr>
          <w:lang w:val="en-GB"/>
        </w:rPr>
        <w:fldChar w:fldCharType="separate"/>
      </w:r>
      <w:r w:rsidR="008B5AF6" w:rsidRPr="008B5AF6">
        <w:rPr>
          <w:rFonts w:cs="Arial"/>
        </w:rPr>
        <w:t>[2]</w:t>
      </w:r>
      <w:r w:rsidR="008B5AF6">
        <w:rPr>
          <w:lang w:val="en-GB"/>
        </w:rPr>
        <w:fldChar w:fldCharType="end"/>
      </w:r>
      <w:r w:rsidR="008B5AF6">
        <w:rPr>
          <w:lang w:val="en-GB"/>
        </w:rPr>
        <w:t xml:space="preserve"> </w:t>
      </w:r>
      <w:r w:rsidRPr="006A111C">
        <w:rPr>
          <w:lang w:val="en-GB"/>
        </w:rPr>
        <w:t xml:space="preserve">in the area of </w:t>
      </w:r>
      <w:r w:rsidR="00CD5A8C">
        <w:rPr>
          <w:lang w:val="en-GB"/>
        </w:rPr>
        <w:t xml:space="preserve">producing </w:t>
      </w:r>
      <w:r w:rsidRPr="006A111C">
        <w:rPr>
          <w:lang w:val="en-GB"/>
        </w:rPr>
        <w:t>marketing</w:t>
      </w:r>
      <w:r w:rsidR="00CD5A8C">
        <w:rPr>
          <w:lang w:val="en-GB"/>
        </w:rPr>
        <w:t xml:space="preserve"> plans</w:t>
      </w:r>
      <w:r w:rsidRPr="006A111C">
        <w:rPr>
          <w:lang w:val="en-GB"/>
        </w:rPr>
        <w:t>.</w:t>
      </w:r>
      <w:r>
        <w:rPr>
          <w:lang w:val="en-GB"/>
        </w:rPr>
        <w:t xml:space="preserve">  </w:t>
      </w:r>
      <w:r w:rsidR="003912D1">
        <w:rPr>
          <w:lang w:val="en-GB"/>
        </w:rPr>
        <w:t>T</w:t>
      </w:r>
      <w:r w:rsidR="00600630" w:rsidRPr="00600630">
        <w:rPr>
          <w:lang w:val="en-GB"/>
        </w:rPr>
        <w:t xml:space="preserve">his </w:t>
      </w:r>
      <w:r>
        <w:rPr>
          <w:lang w:val="en-GB"/>
        </w:rPr>
        <w:t>paper sets out the</w:t>
      </w:r>
      <w:r w:rsidR="00600630" w:rsidRPr="00600630">
        <w:rPr>
          <w:lang w:val="en-GB"/>
        </w:rPr>
        <w:t xml:space="preserve"> findings of the thematic analysis of 126 essays that reflect students’ </w:t>
      </w:r>
      <w:r w:rsidR="00CD5A8C">
        <w:rPr>
          <w:lang w:val="en-GB"/>
        </w:rPr>
        <w:t xml:space="preserve">learning </w:t>
      </w:r>
      <w:r w:rsidR="00600630" w:rsidRPr="00600630">
        <w:rPr>
          <w:lang w:val="en-GB"/>
        </w:rPr>
        <w:t xml:space="preserve">experiences with the marketing simulation. </w:t>
      </w:r>
      <w:r w:rsidR="003912D1">
        <w:rPr>
          <w:lang w:val="en-GB"/>
        </w:rPr>
        <w:t>Findings suggest that t</w:t>
      </w:r>
      <w:r w:rsidR="00600630" w:rsidRPr="00600630">
        <w:rPr>
          <w:lang w:val="en-GB"/>
        </w:rPr>
        <w:t xml:space="preserve">he simulation produced positive learning outcomes in the areas of cognitive skill development, including knowledge application and critical thinking, as well as group-work related skill-sets in the field of cooperative learning. Negative experiences with the simulation were articulated in the context of demotivation and lack of engagement that could be rooted in either </w:t>
      </w:r>
      <w:r w:rsidR="00CD5A8C">
        <w:rPr>
          <w:lang w:val="en-GB"/>
        </w:rPr>
        <w:t>issues with</w:t>
      </w:r>
      <w:r w:rsidR="00600630" w:rsidRPr="00600630">
        <w:rPr>
          <w:lang w:val="en-GB"/>
        </w:rPr>
        <w:t xml:space="preserve"> the software or missing or unclear </w:t>
      </w:r>
      <w:r w:rsidR="00CD5A8C">
        <w:rPr>
          <w:lang w:val="en-GB"/>
        </w:rPr>
        <w:t>connections</w:t>
      </w:r>
      <w:r w:rsidR="00CD5A8C" w:rsidRPr="00600630">
        <w:rPr>
          <w:lang w:val="en-GB"/>
        </w:rPr>
        <w:t xml:space="preserve"> </w:t>
      </w:r>
      <w:r w:rsidR="00600630" w:rsidRPr="00600630">
        <w:rPr>
          <w:lang w:val="en-GB"/>
        </w:rPr>
        <w:t xml:space="preserve">between the students’ inputs, the feedback provided by the software, and the underlying marketing theory. </w:t>
      </w:r>
      <w:r w:rsidR="00BC110C">
        <w:rPr>
          <w:lang w:val="en-GB"/>
        </w:rPr>
        <w:t xml:space="preserve">We explore the relationship between fidelity of the </w:t>
      </w:r>
      <w:proofErr w:type="gramStart"/>
      <w:r w:rsidR="00BC110C">
        <w:rPr>
          <w:lang w:val="en-GB"/>
        </w:rPr>
        <w:t>simulation,</w:t>
      </w:r>
      <w:proofErr w:type="gramEnd"/>
      <w:r w:rsidR="00BC110C">
        <w:rPr>
          <w:lang w:val="en-GB"/>
        </w:rPr>
        <w:t xml:space="preserve"> learner’s perceived autonomy within the simulation and learner motivation.  </w:t>
      </w:r>
    </w:p>
    <w:p w:rsidR="00B55A17" w:rsidRPr="00705478" w:rsidRDefault="00600630" w:rsidP="00B55A17">
      <w:pPr>
        <w:rPr>
          <w:sz w:val="24"/>
          <w:lang w:val="en-GB"/>
        </w:rPr>
      </w:pPr>
      <w:r w:rsidRPr="00600630">
        <w:rPr>
          <w:lang w:val="en-GB"/>
        </w:rPr>
        <w:t>Keywords: simulation, marketing, serio</w:t>
      </w:r>
      <w:r>
        <w:rPr>
          <w:lang w:val="en-GB"/>
        </w:rPr>
        <w:t>us game, cooperative learning, B</w:t>
      </w:r>
      <w:r w:rsidRPr="00600630">
        <w:rPr>
          <w:lang w:val="en-GB"/>
        </w:rPr>
        <w:t>loom's taxonomy</w:t>
      </w:r>
      <w:r w:rsidR="00B55A17" w:rsidRPr="00705478">
        <w:rPr>
          <w:lang w:val="en-GB"/>
        </w:rPr>
        <w:t xml:space="preserve">. </w:t>
      </w:r>
    </w:p>
    <w:p w:rsidR="00B55A17" w:rsidRDefault="00600630" w:rsidP="00B55A17">
      <w:pPr>
        <w:pStyle w:val="Heading1"/>
        <w:rPr>
          <w:lang w:val="en-GB"/>
        </w:rPr>
      </w:pPr>
      <w:r>
        <w:rPr>
          <w:lang w:val="en-GB"/>
        </w:rPr>
        <w:t>Introduction</w:t>
      </w:r>
    </w:p>
    <w:p w:rsidR="00F80F6E" w:rsidRDefault="00E41633" w:rsidP="006A111C">
      <w:pPr>
        <w:rPr>
          <w:lang w:val="en-GB"/>
        </w:rPr>
      </w:pPr>
      <w:r>
        <w:rPr>
          <w:lang w:val="en-GB"/>
        </w:rPr>
        <w:t xml:space="preserve">The use of </w:t>
      </w:r>
      <w:r w:rsidRPr="00E41633">
        <w:rPr>
          <w:lang w:val="en-GB"/>
        </w:rPr>
        <w:t xml:space="preserve">experiential </w:t>
      </w:r>
      <w:r>
        <w:rPr>
          <w:lang w:val="en-GB"/>
        </w:rPr>
        <w:t xml:space="preserve">and immersive </w:t>
      </w:r>
      <w:r w:rsidRPr="00E41633">
        <w:rPr>
          <w:lang w:val="en-GB"/>
        </w:rPr>
        <w:t>learning tool</w:t>
      </w:r>
      <w:r>
        <w:rPr>
          <w:lang w:val="en-GB"/>
        </w:rPr>
        <w:t>s can help students experience and apply theoretical principles to real-world situations in a safe and supported environment. F</w:t>
      </w:r>
      <w:r w:rsidRPr="00E41633">
        <w:rPr>
          <w:lang w:val="en-GB"/>
        </w:rPr>
        <w:t>our essential learning elements: immersion, engagement, agency, and risk</w:t>
      </w:r>
      <w:r>
        <w:rPr>
          <w:lang w:val="en-GB"/>
        </w:rPr>
        <w:t xml:space="preserve">, have been identified as contributing to the design of such </w:t>
      </w:r>
      <w:r w:rsidR="00F80F6E">
        <w:rPr>
          <w:lang w:val="en-GB"/>
        </w:rPr>
        <w:t xml:space="preserve">active </w:t>
      </w:r>
      <w:r>
        <w:rPr>
          <w:lang w:val="en-GB"/>
        </w:rPr>
        <w:t>virtual environments</w:t>
      </w:r>
      <w:r w:rsidR="008B5AF6">
        <w:rPr>
          <w:lang w:val="en-GB"/>
        </w:rPr>
        <w:t xml:space="preserve"> </w:t>
      </w:r>
      <w:r w:rsidR="008B5AF6">
        <w:rPr>
          <w:lang w:val="en-GB"/>
        </w:rPr>
        <w:fldChar w:fldCharType="begin"/>
      </w:r>
      <w:r w:rsidR="008B5AF6">
        <w:rPr>
          <w:lang w:val="en-GB"/>
        </w:rPr>
        <w:instrText xml:space="preserve"> ADDIN ZOTERO_ITEM CSL_CITATION {"citationID":"2q8d86a84k","properties":{"formattedCitation":"[3]","plainCitation":"[3]"},"citationItems":[{"id":236,"uris":["http://zotero.org/users/local/FTZZFbAq/items/692KWQ44"],"uri":["http://zotero.org/users/local/FTZZFbAq/items/692KWQ44"],"itemData":{"id":236,"type":"article-journal","title":"'The future is old': immersive learning with generation Y engineering students","container-title":"European Journal of Engineering Education","page":"409-420","volume":"32","issue":"4","source":"EBSCOhost","abstract":"This paper explores the application of four elements deemed to be essential to immersive learning; immersion, engagement, risk/creativity and agency. The authors discuss the implementation of these four elements within two very different classroom environments, one secondary and one tertiary, to illustrate the importance of students' active participation in the planning, design and development processes of their own learning environments. By transforming both the conceptual and operational environments of both cohorts the authors illustrate the benefits of the development of immersive learning environments. Importantly, such environments must reflect the choices and preferences of the learner as they negotiate their way through the learning journey that best suits their needs. Rather than the imposition of a learning regime considered to be irrelevant, but more importantly 'boring' to the student cohort, the authors argue that immersive learning environments are successful because they are reliant on the students' enthusiastic creation of their own knowledge in collaboration with adults and student colleagues. This study can be applied in all spectrums of education (primary, secondary and tertiary), and in this case, specifically engineering education.","DOI":"10.1080/03043790701334228","ISSN":"03043797","shortTitle":"'The future is old'","journalAbbreviation":"European Journal of Engineering Education","author":[{"family":"Blashki","given":"K."},{"family":"Nichol","given":"S."},{"family":"Jia","given":"D."},{"family":"Prompramote","given":"S."}],"issued":{"date-parts":[["2007",8]]},"accessed":{"date-parts":[["2015",1,21]],"season":"10:45:32"}}}],"schema":"https://github.com/citation-style-language/schema/raw/master/csl-citation.json"} </w:instrText>
      </w:r>
      <w:r w:rsidR="008B5AF6">
        <w:rPr>
          <w:lang w:val="en-GB"/>
        </w:rPr>
        <w:fldChar w:fldCharType="separate"/>
      </w:r>
      <w:r w:rsidR="008B5AF6" w:rsidRPr="008B5AF6">
        <w:rPr>
          <w:rFonts w:cs="Arial"/>
        </w:rPr>
        <w:t>[3]</w:t>
      </w:r>
      <w:r w:rsidR="008B5AF6">
        <w:rPr>
          <w:lang w:val="en-GB"/>
        </w:rPr>
        <w:fldChar w:fldCharType="end"/>
      </w:r>
      <w:r>
        <w:rPr>
          <w:lang w:val="en-GB"/>
        </w:rPr>
        <w:t xml:space="preserve">. </w:t>
      </w:r>
      <w:r w:rsidR="00F80F6E">
        <w:rPr>
          <w:lang w:val="en-GB"/>
        </w:rPr>
        <w:t xml:space="preserve">With the rise in popularity of learning technologies, games and simulations will become an increasing feature of the higher education landscape. </w:t>
      </w:r>
    </w:p>
    <w:p w:rsidR="00F80F6E" w:rsidRDefault="00F80F6E">
      <w:pPr>
        <w:rPr>
          <w:lang w:val="en-GB"/>
        </w:rPr>
      </w:pPr>
      <w:r>
        <w:rPr>
          <w:lang w:val="en-GB"/>
        </w:rPr>
        <w:t>Because of the affordances offered by digital and online learning resources over paper-based resources, publishers of traditional textbooks are exploring the impact of digital resources on learning experiences. One such publisher is Pearson Education which has recently launched an efficacy initiative to measure the impact of its products on student learning. One of Pearson’s digital products is</w:t>
      </w:r>
      <w:r w:rsidR="00C350BB">
        <w:rPr>
          <w:lang w:val="en-GB"/>
        </w:rPr>
        <w:t xml:space="preserve"> designed as a serious</w:t>
      </w:r>
      <w:r>
        <w:rPr>
          <w:lang w:val="en-GB"/>
        </w:rPr>
        <w:t xml:space="preserve"> game</w:t>
      </w:r>
      <w:r w:rsidR="003B7C0B">
        <w:rPr>
          <w:lang w:val="en-GB"/>
        </w:rPr>
        <w:t xml:space="preserve"> </w:t>
      </w:r>
      <w:r w:rsidR="00C350BB">
        <w:rPr>
          <w:lang w:val="en-GB"/>
        </w:rPr>
        <w:t xml:space="preserve"> </w:t>
      </w:r>
      <w:r w:rsidR="003B7C0B">
        <w:rPr>
          <w:lang w:val="en-GB"/>
        </w:rPr>
        <w:fldChar w:fldCharType="begin"/>
      </w:r>
      <w:r w:rsidR="003B7C0B">
        <w:rPr>
          <w:lang w:val="en-GB"/>
        </w:rPr>
        <w:instrText xml:space="preserve"> ADDIN ZOTERO_ITEM CSL_CITATION {"citationID":"2of7offcjh","properties":{"formattedCitation":"[1]","plainCitation":"[1]"},"citationItems":[{"id":23,"uris":["http://zotero.org/users/local/FTZZFbAq/items/XK38IAGZ"],"uri":["http://zotero.org/users/local/FTZZFbAq/items/XK38IAGZ"],"itemData":{"id":23,"type":"article-journal","title":"From visual simulation to virtual reality to games","container-title":"Computer","page":"25-32","volume":"38","issue":"9","source":"IEEE Xplore","abstract":"During the past decades, the virtual reality community has based its development on a synthesis of earlier work in interactive 3D graphics, user interfaces, and visual simulation. Currently, the VR field is transitioning into work influenced by video games. Because much of the research and development being conducted in the games community parallels the VR community's efforts, it has the potential to affect a greater audience. Given these trends, VR researchers who want their work to remain relevant must realign to focus on game research and development. Leveraging technology from the visual simulation and virtual reality communities, serious games provide a delivery system for organizational video game instruction and training.","DOI":"10.1109/MC.2005.297","ISSN":"0018-9162","author":[{"family":"Zyda","given":"M."}],"issued":{"date-parts":[["2005",9]]}}}],"schema":"https://github.com/citation-style-language/schema/raw/master/csl-citation.json"} </w:instrText>
      </w:r>
      <w:r w:rsidR="003B7C0B">
        <w:rPr>
          <w:lang w:val="en-GB"/>
        </w:rPr>
        <w:fldChar w:fldCharType="separate"/>
      </w:r>
      <w:r w:rsidR="003B7C0B" w:rsidRPr="003B7C0B">
        <w:rPr>
          <w:rFonts w:cs="Arial"/>
        </w:rPr>
        <w:t>[1]</w:t>
      </w:r>
      <w:r w:rsidR="003B7C0B">
        <w:rPr>
          <w:lang w:val="en-GB"/>
        </w:rPr>
        <w:fldChar w:fldCharType="end"/>
      </w:r>
      <w:r w:rsidR="003B7C0B">
        <w:rPr>
          <w:lang w:val="en-GB"/>
        </w:rPr>
        <w:t xml:space="preserve"> </w:t>
      </w:r>
      <w:r>
        <w:rPr>
          <w:lang w:val="en-GB"/>
        </w:rPr>
        <w:t xml:space="preserve">to simulate the production of a marketing plan, called </w:t>
      </w:r>
      <w:proofErr w:type="spellStart"/>
      <w:r>
        <w:rPr>
          <w:lang w:val="en-GB"/>
        </w:rPr>
        <w:t>MyMarketingExperience</w:t>
      </w:r>
      <w:proofErr w:type="spellEnd"/>
      <w:r>
        <w:rPr>
          <w:lang w:val="en-GB"/>
        </w:rPr>
        <w:t xml:space="preserve"> (MMX). </w:t>
      </w:r>
      <w:r w:rsidR="00641792">
        <w:rPr>
          <w:lang w:val="en-GB"/>
        </w:rPr>
        <w:t xml:space="preserve"> </w:t>
      </w:r>
      <w:r w:rsidR="00E07776">
        <w:rPr>
          <w:lang w:val="en-GB"/>
        </w:rPr>
        <w:t xml:space="preserve">. </w:t>
      </w:r>
    </w:p>
    <w:p w:rsidR="006A111C" w:rsidRPr="006A111C" w:rsidRDefault="00C350BB" w:rsidP="006A111C">
      <w:pPr>
        <w:rPr>
          <w:lang w:val="en-GB"/>
        </w:rPr>
      </w:pPr>
      <w:r>
        <w:rPr>
          <w:lang w:val="en-GB"/>
        </w:rPr>
        <w:t>This study uses</w:t>
      </w:r>
      <w:r w:rsidR="003B7819">
        <w:rPr>
          <w:lang w:val="en-GB"/>
        </w:rPr>
        <w:t xml:space="preserve"> MMX as an exemplar</w:t>
      </w:r>
      <w:r>
        <w:rPr>
          <w:lang w:val="en-GB"/>
        </w:rPr>
        <w:t xml:space="preserve"> of a Business Simulation Game</w:t>
      </w:r>
      <w:r w:rsidR="003B7819">
        <w:rPr>
          <w:lang w:val="en-GB"/>
        </w:rPr>
        <w:t xml:space="preserve"> in a real-life teaching situation involving students undertaking </w:t>
      </w:r>
      <w:r w:rsidR="006A111C" w:rsidRPr="006A111C">
        <w:rPr>
          <w:lang w:val="en-GB"/>
        </w:rPr>
        <w:t>an undergraduate introductory marketing module</w:t>
      </w:r>
      <w:r w:rsidR="007D0341">
        <w:rPr>
          <w:lang w:val="en-GB"/>
        </w:rPr>
        <w:t xml:space="preserve"> at a UK university</w:t>
      </w:r>
      <w:r w:rsidR="006A111C" w:rsidRPr="006A111C">
        <w:rPr>
          <w:lang w:val="en-GB"/>
        </w:rPr>
        <w:t xml:space="preserve">. </w:t>
      </w:r>
      <w:r w:rsidR="003B7819">
        <w:rPr>
          <w:lang w:val="en-GB"/>
        </w:rPr>
        <w:t>We were particularly interested in exploring the affordances offered by the</w:t>
      </w:r>
      <w:r w:rsidR="003B7819" w:rsidRPr="006A111C">
        <w:rPr>
          <w:lang w:val="en-GB"/>
        </w:rPr>
        <w:t xml:space="preserve"> </w:t>
      </w:r>
      <w:r w:rsidR="006A111C" w:rsidRPr="006A111C">
        <w:rPr>
          <w:lang w:val="en-GB"/>
        </w:rPr>
        <w:t xml:space="preserve">simulation game </w:t>
      </w:r>
      <w:r w:rsidR="003B7819">
        <w:rPr>
          <w:lang w:val="en-GB"/>
        </w:rPr>
        <w:t xml:space="preserve">in developing </w:t>
      </w:r>
      <w:r w:rsidR="006A111C" w:rsidRPr="006A111C">
        <w:rPr>
          <w:lang w:val="en-GB"/>
        </w:rPr>
        <w:t>both hard and soft skills</w:t>
      </w:r>
      <w:r w:rsidR="008B5AF6">
        <w:rPr>
          <w:lang w:val="en-GB"/>
        </w:rPr>
        <w:t xml:space="preserve"> </w:t>
      </w:r>
      <w:r w:rsidR="008B5AF6">
        <w:rPr>
          <w:lang w:val="en-GB"/>
        </w:rPr>
        <w:fldChar w:fldCharType="begin"/>
      </w:r>
      <w:r w:rsidR="008B5AF6">
        <w:rPr>
          <w:lang w:val="en-GB"/>
        </w:rPr>
        <w:instrText xml:space="preserve"> ADDIN ZOTERO_ITEM CSL_CITATION {"citationID":"16g3kpg8ra","properties":{"formattedCitation":"[2]","plainCitation":"[2]"},"citationItems":[{"id":74,"uris":["http://zotero.org/users/local/FTZZFbAq/items/3BQZ46TG"],"uri":["http://zotero.org/users/local/FTZZFbAq/items/3BQZ46TG"],"itemData":{"id":74,"type":"article-journal","title":"Graduate Employability, ‘Soft Skills’ Versus ‘Hard’ Business Knowledge: A European Study","container-title":"Higher Education in Europe","page":"411-422","volume":"33","issue":"4","source":"Taylor and Francis+NEJM","abstract":"There is a growing awareness in the UK and mainland Europe of the importance of higher education to the development of a knowledge</w:instrText>
      </w:r>
      <w:r w:rsidR="008B5AF6">
        <w:rPr>
          <w:rFonts w:ascii="Cambria Math" w:hAnsi="Cambria Math" w:cs="Cambria Math"/>
          <w:lang w:val="en-GB"/>
        </w:rPr>
        <w:instrText>‐</w:instrText>
      </w:r>
      <w:r w:rsidR="008B5AF6">
        <w:rPr>
          <w:lang w:val="en-GB"/>
        </w:rPr>
        <w:instrText>based economy. European universities are increasingly required to produce highly mobile graduates able to respond to the ever</w:instrText>
      </w:r>
      <w:r w:rsidR="008B5AF6">
        <w:rPr>
          <w:rFonts w:ascii="Cambria Math" w:hAnsi="Cambria Math" w:cs="Cambria Math"/>
          <w:lang w:val="en-GB"/>
        </w:rPr>
        <w:instrText>‐</w:instrText>
      </w:r>
      <w:r w:rsidR="008B5AF6">
        <w:rPr>
          <w:lang w:val="en-GB"/>
        </w:rPr>
        <w:instrText>changing needs of the contemporary workplace. Following the Bologna Declaration (1999), higher education across Europe has expanded rapidly. This has resulted in questions being raised about the quality of the graduate labour market and the ability of graduates to meet the needs of employers. This paper analyses graduate and employer perspectives of graduate employability in four European countries (UK, Austria, Slovenia and Romania). In doing so it adds to current debates in this area. This research was conducted with European Union funding as part of a Leonardo Project. The academic partners involved in collecting the data for this the project are: Jane Andrews and Helen Higson, Aston Business School (Aston University: UK); Eva</w:instrText>
      </w:r>
      <w:r w:rsidR="008B5AF6">
        <w:rPr>
          <w:rFonts w:ascii="Cambria Math" w:hAnsi="Cambria Math" w:cs="Cambria Math"/>
          <w:lang w:val="en-GB"/>
        </w:rPr>
        <w:instrText>‐</w:instrText>
      </w:r>
      <w:r w:rsidR="008B5AF6">
        <w:rPr>
          <w:lang w:val="en-GB"/>
        </w:rPr>
        <w:instrText>Marie Tusini, Ana Azevedo, FH Joanneum Gesellschaft (Graz University, Austria); Christine Bauer, Barbare Haubmann, Berufsforderungsinstitut Steirmark (Fachhochschule, Austria); Doris Gomezeld, Natasa Mithans, University of Primorska (Slovenia); Paul Rinderu, Mihai Marin, Mihnea Cosoveaunu, University of Craiova (Romania).This research was conducted with European Union funding as part of a Leonardo Project. The academic partners involved in collecting the data for this the project are: Jane Andrews and Helen Higson, Aston Business School (Aston University: UK); Eva</w:instrText>
      </w:r>
      <w:r w:rsidR="008B5AF6">
        <w:rPr>
          <w:rFonts w:ascii="Cambria Math" w:hAnsi="Cambria Math" w:cs="Cambria Math"/>
          <w:lang w:val="en-GB"/>
        </w:rPr>
        <w:instrText>‐</w:instrText>
      </w:r>
      <w:r w:rsidR="008B5AF6">
        <w:rPr>
          <w:lang w:val="en-GB"/>
        </w:rPr>
        <w:instrText xml:space="preserve">Marie Tusini, Ana Azevedo, FH Joanneum Gesellschaft (Graz University, Austria); Christine Bauer, Barbare Haubmann, Berufsforderungsinstitut Steirmark (Fachhochschule, Austria); Doris Gomezeld, Natasa Mithans, University of Primorska (Slovenia); Paul Rinderu, Mihai Marin, Mihnea Cosoveaunu, University of Craiova (Romania).","DOI":"10.1080/03797720802522627","ISSN":"0379-7724","shortTitle":"Graduate Employability, ‘Soft Skills’ Versus ‘Hard’ Business Knowledge","author":[{"family":"Andrews","given":"Jane"},{"family":"Higson","given":"Helen"}],"issued":{"date-parts":[["2008",12,1]]},"accessed":{"date-parts":[["2014",12,12]]}}}],"schema":"https://github.com/citation-style-language/schema/raw/master/csl-citation.json"} </w:instrText>
      </w:r>
      <w:r w:rsidR="008B5AF6">
        <w:rPr>
          <w:lang w:val="en-GB"/>
        </w:rPr>
        <w:fldChar w:fldCharType="separate"/>
      </w:r>
      <w:r w:rsidR="008B5AF6" w:rsidRPr="008B5AF6">
        <w:rPr>
          <w:rFonts w:cs="Arial"/>
        </w:rPr>
        <w:t>[2]</w:t>
      </w:r>
      <w:r w:rsidR="008B5AF6">
        <w:rPr>
          <w:lang w:val="en-GB"/>
        </w:rPr>
        <w:fldChar w:fldCharType="end"/>
      </w:r>
      <w:r w:rsidR="006A111C" w:rsidRPr="006A111C">
        <w:rPr>
          <w:lang w:val="en-GB"/>
        </w:rPr>
        <w:t xml:space="preserve"> in the area of marketing. In particular, the study aimed to address the following research questions: </w:t>
      </w:r>
    </w:p>
    <w:p w:rsidR="006A111C" w:rsidRPr="00114BC7" w:rsidRDefault="006A111C" w:rsidP="00114BC7">
      <w:pPr>
        <w:pStyle w:val="ListParagraph"/>
        <w:numPr>
          <w:ilvl w:val="0"/>
          <w:numId w:val="34"/>
        </w:numPr>
        <w:rPr>
          <w:lang w:val="en-GB"/>
        </w:rPr>
      </w:pPr>
      <w:r w:rsidRPr="00114BC7">
        <w:rPr>
          <w:lang w:val="en-GB"/>
        </w:rPr>
        <w:t xml:space="preserve">Does using an online simulation game engage students higher order cognitive skills, specifically in the application and analysis of marketing concepts? </w:t>
      </w:r>
    </w:p>
    <w:p w:rsidR="006A111C" w:rsidRPr="00114BC7" w:rsidRDefault="006A111C" w:rsidP="00114BC7">
      <w:pPr>
        <w:pStyle w:val="ListParagraph"/>
        <w:numPr>
          <w:ilvl w:val="0"/>
          <w:numId w:val="34"/>
        </w:numPr>
        <w:rPr>
          <w:lang w:val="en-GB"/>
        </w:rPr>
      </w:pPr>
      <w:r w:rsidRPr="00114BC7">
        <w:rPr>
          <w:lang w:val="en-GB"/>
        </w:rPr>
        <w:t xml:space="preserve">Does the group activity required in the simulation game develop students’ communication and interaction skills? </w:t>
      </w:r>
    </w:p>
    <w:p w:rsidR="006A111C" w:rsidRPr="00114BC7" w:rsidRDefault="006A111C" w:rsidP="00114BC7">
      <w:pPr>
        <w:pStyle w:val="ListParagraph"/>
        <w:numPr>
          <w:ilvl w:val="0"/>
          <w:numId w:val="34"/>
        </w:numPr>
        <w:rPr>
          <w:lang w:val="en-GB"/>
        </w:rPr>
      </w:pPr>
      <w:r w:rsidRPr="00114BC7">
        <w:rPr>
          <w:lang w:val="en-GB"/>
        </w:rPr>
        <w:t>What are the specific affordances of the online simulation that promote this kind of learning?</w:t>
      </w:r>
    </w:p>
    <w:p w:rsidR="00AF06B9" w:rsidRDefault="00006C05" w:rsidP="006A111C">
      <w:pPr>
        <w:rPr>
          <w:lang w:val="en-GB"/>
        </w:rPr>
      </w:pPr>
      <w:r>
        <w:rPr>
          <w:lang w:val="en-GB"/>
        </w:rPr>
        <w:t>A number of meta-analyses of studies in recent years has focused on experimental studies quantifying learning and affective gains for students using simulation games</w:t>
      </w:r>
      <w:r w:rsidR="002E1DCB">
        <w:rPr>
          <w:lang w:val="en-GB"/>
        </w:rPr>
        <w:t xml:space="preserve"> </w:t>
      </w:r>
      <w:r w:rsidR="002E1DCB">
        <w:rPr>
          <w:lang w:val="en-GB"/>
        </w:rPr>
        <w:fldChar w:fldCharType="begin"/>
      </w:r>
      <w:r w:rsidR="002E1DCB">
        <w:rPr>
          <w:lang w:val="en-GB"/>
        </w:rPr>
        <w:instrText xml:space="preserve"> ADDIN ZOTERO_ITEM CSL_CITATION {"citationID":"dJq6Uxrx","properties":{"formattedCitation":"{\\rtf [4]\\uc0\\u8211{}[6]}","plainCitation":"[4]–[6]"},"citationItems":[{"id":238,"uris":["http://zotero.org/users/local/FTZZFbAq/items/TSNHXU44"],"uri":["http://zotero.org/users/local/FTZZFbAq/items/TSNHXU44"],"itemData":{"id":238,"type":"article-journal","title":"A systematic literature review of empirical evidence on computer games and serious games","container-title":"Computers &amp; Education","page":"661-686","volume":"59","issue":"2","source":"ScienceDirect","abstract":"This paper examines the literature on computer games and serious games in regard to the potential positive impacts of gaming on users aged 14 years or above, especially with respect to learning, skill enhancement and engagement. Search terms identified 129 papers reporting empirical evidence about the impacts and outcomes of computer games and serious games with respect to learning and engagement and a multidimensional approach to categorizing games was developed. The findings revealed that playing computer games is linked to a range of perceptual, cognitive, behavioural, affective and motivational impacts and outcomes. The most frequently occurring outcomes and impacts were knowledge acquisition/content understanding and affective and motivational outcomes. The range of indicators and measures used in the included papers are discussed, together with methodological limitations and recommendations for further work in this area.","DOI":"10.1016/j.compedu.2012.03.004","ISSN":"0360-1315","journalAbbreviation":"Computers &amp; Education","author":[{"family":"Connolly","given":"Thomas M."},{"family":"Boyle","given":"Elizabeth A."},{"family":"MacArthur","given":"Ewan"},{"family":"Hainey","given":"Thomas"},{"family":"Boyle","given":"James M."}],"issued":{"date-parts":[["2012",9]]},"accessed":{"date-parts":[["2015",1,21]],"season":"12:00:03"}}},{"id":162,"uris":["http://zotero.org/users/local/FTZZFbAq/items/NGQGT8HI"],"uri":["http://zotero.org/users/local/FTZZFbAq/items/NGQGT8HI"],"itemData":{"id":162,"type":"article-journal","title":"A Meta-Analytic Examination of the Instructional Effectiveness of Computer-Based Simulation Games","container-title":"Personnel Psychology","page":"489-528","volume":"64","issue":"2","source":"Wiley Online Library","abstract":"Interactive cognitive complexity theory suggests that simulation games are more effective than other instructional methods because they simultaneously engage trainees’ affective and cognitive processes (Tennyson &amp; Jorczak, 2008). Meta-analytic techniques were used to examine the instructional effectiveness of computer-based simulation games relative to a comparison group (k= 65, N= 6,476). Consistent with theory, posttraining self-efficacy was 20% higher, declarative knowledge was 11% higher, procedural knowledge was 14% higher, and retention was 9% higher for trainees taught with simulation games, relative to a comparison group. However, the results provide strong evidence of publication bias in simulation games research. Characteristics of simulation games and the instructional context also moderated the effectiveness of simulation games. Trainees learned more, relative to a comparison group, when simulation games conveyed course material actively rather than passively, trainees could access the simulation game as many times as desired, and the simulation game was a supplement to other instructional methods rather than stand-alone instruction. However, trainees learned less from simulation games than comparison instructional methods when the instruction the comparison group received as a substitute for the simulation game actively engaged them in the learning experience.","DOI":"10.1111/j.1744-6570.2011.01190.x","ISSN":"1744-6570","language":"en","author":[{"family":"Sitzmann","given":"Traci"}],"issued":{"date-parts":[["2011"]]},"accessed":{"date-parts":[["2015",1,8]],"season":"17:37:17"}}},{"id":130,"uris":["http://zotero.org/users/local/FTZZFbAq/items/ZJH744XT"],"uri":["http://zotero.org/users/local/FTZZFbAq/items/ZJH744XT"],"itemData":{"id":130,"type":"article-journal","title":"The impact of a simulation game on operations management education","container-title":"Computers &amp; Education","page":"1240-1254","volume":"57","issue":"1","abstract":"This study presents a new simulation game and analyzes its impact on operations management education. The proposed simulation was empirically tested by comparing the number of mistakes during the first and second halves of the game. Data were gathered from 100 teams of four or five undergraduate students in business administration, taking their first course in operations management. To assess learning, instead of relying solely on an overall performance measurement, as is usually done in the skill-based learning literature, we analyzed the evolution of different types of mistakes that were made by students in successive rounds of play. Our results show that although simple decision-making skills can be acquired with traditional teaching methods, simulation games are more effective when students have to develop decision-making abilities for managing complex and dynamic situations.","DOI":"10.1016/j.compedu.2010.12.006","ISSN":"0360-1315","journalAbbreviation":"Computers &amp; Education","author":[{"family":"Pasin","given":"Federico"},{"family":"Giroux","given":"Hélène"}],"issued":{"date-parts":[["2011",8]]}}}],"schema":"https://github.com/citation-style-language/schema/raw/master/csl-citation.json"} </w:instrText>
      </w:r>
      <w:r w:rsidR="002E1DCB">
        <w:rPr>
          <w:lang w:val="en-GB"/>
        </w:rPr>
        <w:fldChar w:fldCharType="separate"/>
      </w:r>
      <w:r w:rsidR="002E1DCB" w:rsidRPr="002E1DCB">
        <w:rPr>
          <w:rFonts w:cs="Arial"/>
        </w:rPr>
        <w:t>[4]–[6]</w:t>
      </w:r>
      <w:r w:rsidR="002E1DCB">
        <w:rPr>
          <w:lang w:val="en-GB"/>
        </w:rPr>
        <w:fldChar w:fldCharType="end"/>
      </w:r>
      <w:r w:rsidR="002E1DCB">
        <w:rPr>
          <w:lang w:val="en-GB"/>
        </w:rPr>
        <w:t xml:space="preserve"> </w:t>
      </w:r>
      <w:r>
        <w:rPr>
          <w:lang w:val="en-GB"/>
        </w:rPr>
        <w:t>.  This study aims to bui</w:t>
      </w:r>
      <w:r w:rsidR="002E1DCB">
        <w:rPr>
          <w:lang w:val="en-GB"/>
        </w:rPr>
        <w:t>ld on these quantitative analyse</w:t>
      </w:r>
      <w:r>
        <w:rPr>
          <w:lang w:val="en-GB"/>
        </w:rPr>
        <w:t xml:space="preserve">s by providing a qualitative analysis of learning, as expressed by students in reflections on their engagement with and learning through the game.  </w:t>
      </w:r>
      <w:r w:rsidR="007D0341">
        <w:rPr>
          <w:lang w:val="en-GB"/>
        </w:rPr>
        <w:t>Our r</w:t>
      </w:r>
      <w:r w:rsidR="006A111C" w:rsidRPr="006A111C">
        <w:rPr>
          <w:lang w:val="en-GB"/>
        </w:rPr>
        <w:t xml:space="preserve">esults suggest that the </w:t>
      </w:r>
      <w:r w:rsidR="007D0341">
        <w:rPr>
          <w:lang w:val="en-GB"/>
        </w:rPr>
        <w:t xml:space="preserve">MMX </w:t>
      </w:r>
      <w:r w:rsidR="006A111C" w:rsidRPr="006A111C">
        <w:rPr>
          <w:lang w:val="en-GB"/>
        </w:rPr>
        <w:t xml:space="preserve">simulation </w:t>
      </w:r>
      <w:r w:rsidR="002E1DCB">
        <w:rPr>
          <w:lang w:val="en-GB"/>
        </w:rPr>
        <w:t xml:space="preserve">game </w:t>
      </w:r>
      <w:r w:rsidR="006A111C" w:rsidRPr="006A111C">
        <w:rPr>
          <w:lang w:val="en-GB"/>
        </w:rPr>
        <w:t xml:space="preserve">supports positive learning outcomes in the areas of cognitive skill development, including knowledge application and critical thinking, as well as soft skills such as communication and </w:t>
      </w:r>
      <w:r w:rsidR="006A111C" w:rsidRPr="006A111C">
        <w:rPr>
          <w:lang w:val="en-GB"/>
        </w:rPr>
        <w:lastRenderedPageBreak/>
        <w:t xml:space="preserve">negotiation. </w:t>
      </w:r>
      <w:r w:rsidR="00AF06B9">
        <w:rPr>
          <w:lang w:val="en-GB"/>
        </w:rPr>
        <w:t xml:space="preserve">The sections that follow explore the literature in relation to Business Simulation Games (BSGs), set out a qualitative methodology to study the application of this BSG in higher education and present and discuss the findings and implications of the study.  </w:t>
      </w:r>
    </w:p>
    <w:p w:rsidR="00B55A17" w:rsidRPr="00705478" w:rsidRDefault="00006C05" w:rsidP="00B55A17">
      <w:pPr>
        <w:pStyle w:val="Heading1"/>
        <w:rPr>
          <w:lang w:val="en-GB"/>
        </w:rPr>
      </w:pPr>
      <w:r>
        <w:rPr>
          <w:lang w:val="en-GB"/>
        </w:rPr>
        <w:t>previous research</w:t>
      </w:r>
    </w:p>
    <w:p w:rsidR="0045328B" w:rsidRDefault="0061080D" w:rsidP="00B55A17">
      <w:pPr>
        <w:rPr>
          <w:lang w:val="en-GB"/>
        </w:rPr>
      </w:pPr>
      <w:r>
        <w:rPr>
          <w:lang w:val="en-GB"/>
        </w:rPr>
        <w:t xml:space="preserve">There has been significant research in recent years on the use of immersive or simulated environments for learning (see </w:t>
      </w:r>
      <w:r w:rsidR="0077762A">
        <w:rPr>
          <w:lang w:val="en-GB"/>
        </w:rPr>
        <w:fldChar w:fldCharType="begin"/>
      </w:r>
      <w:r w:rsidR="0077762A">
        <w:rPr>
          <w:lang w:val="en-GB"/>
        </w:rPr>
        <w:instrText xml:space="preserve"> ADDIN ZOTERO_ITEM CSL_CITATION {"citationID":"QDUP5HMg","properties":{"formattedCitation":"[7], [8]","plainCitation":"[7], [8]"},"citationItems":[{"id":39,"uris":["http://zotero.org/users/local/FTZZFbAq/items/I2ICWM3S"],"uri":["http://zotero.org/users/local/FTZZFbAq/items/I2ICWM3S"],"itemData":{"id":39,"type":"article-journal","title":"What are the learning affordances of 3-D virtual environments?","container-title":"British Journal of Educational Technology","page":"10-32","volume":"41","issue":"1","source":"Wiley Online Library","abstract":"This article explores the potential learning benefits of three-dimensional (3-D) virtual learning environments (VLEs). Drawing on published research spanning two decades, it identifies a set of unique characteristics of 3-D VLEs, which includes aspects of their representational fidelity and aspects of the learner–computer interactivity they facilitate. A review of applications of 3-D VLEs is presented, leading to the identification of a series of learning affordances of such environments. These affordances include the facilitation of tasks that lead to enhanced spatial knowledge representation, greater opportunities for experiential learning, increased motivation/engagement, improved contextualisation of learning and richer/more effective collaborative learning as compared to tasks made possible by 2-D alternatives. The authors contend that the continued development of and investment in 3-D games, simulations and virtual worlds for educational purposes should be considered contingent on further investigation into the precise relationships between the unique characteristics of 3-D VLEs and their potential learning benefits. To this end, they conclude by proposing an agenda or ‘roadmap’ for future research that encompasses empirical studies aimed at exploring these relationships, as well as those aimed at deriving principles and guidelines to inform the design, development and use of 3-D virtual environments for learning.","DOI":"10.1111/j.1467-8535.2009.01038.x","ISSN":"1467-8535","language":"en","author":[{"family":"Dalgarno","given":"Barney"},{"family":"Lee","given":"Mark J. W."}],"issued":{"date-parts":[["2010"]]},"accessed":{"date-parts":[["2014",12,15]]}}},{"id":245,"uris":["http://zotero.org/users/local/FTZZFbAq/items/KP35ARP9"],"uri":["http://zotero.org/users/local/FTZZFbAq/items/KP35ARP9"],"itemData":{"id":245,"type":"article-journal","title":"Educational virtual environments: A ten-year review of empirical research (1999–2009)","container-title":"Computers &amp; Education","page":"769-780","volume":"56","issue":"3","source":"ScienceDirect","abstract":"This study is a ten-year critical review of empirical research on the educational applications of Virtual Reality (VR). Results show that although the majority of the 53 reviewed articles refer to science and mathematics, researchers from social sciences also seem to appreciate the educational value of VR and incorporate their learning goals in Educational Virtual Environments (EVEs). Although VR supports multisensory interaction channels, visual representations predominate. Few are the studies that incorporate intuitive interactivity, indicating a research trend in this direction. Few are the settings that use immersive EVEs reporting positive results on users’ attitudes and learning outcomes, indicating that there is a need for further research on the capabilities of such systems. Features of VR that contribute to learning such as first order experiences, natural semantics, size, transduction, reification, autonomy and presence are exploited according to the educational context and content. Presence seems to play an important role in learning and it is a subject needing further and intensive studies. Constructivism seems to be the theoretical model the majority of the EVEs are based on. The studies present real world, authentic tasks that enable context and content dependent knowledge construction. They also provide multiple representations of reality by representing the natural complexity of the world. Findings show that collaboration and social negotiation are not only limited to the participants of an EVE, but exist between participants and avatars, offering a new dimension to computer assisted learning. Little can yet be concluded regarding the retention of the knowledge acquired in EVEs. Longitudinal studies are necessary, and we believe that the main outcome of this study is the future research perspectives it brings to light.","DOI":"10.1016/j.compedu.2010.10.020","ISSN":"0360-1315","shortTitle":"Educational virtual environments","journalAbbreviation":"Computers &amp; Education","author":[{"family":"Mikropoulos","given":"Tassos A."},{"family":"Natsis","given":"Antonis"}],"issued":{"date-parts":[["2011",4]]},"accessed":{"date-parts":[["2015",1,21]],"season":"12:20:01"}}}],"schema":"https://github.com/citation-style-language/schema/raw/master/csl-citation.json"} </w:instrText>
      </w:r>
      <w:r w:rsidR="0077762A">
        <w:rPr>
          <w:lang w:val="en-GB"/>
        </w:rPr>
        <w:fldChar w:fldCharType="separate"/>
      </w:r>
      <w:r w:rsidR="0077762A" w:rsidRPr="0077762A">
        <w:rPr>
          <w:rFonts w:cs="Arial"/>
        </w:rPr>
        <w:t>[7], [8]</w:t>
      </w:r>
      <w:r w:rsidR="0077762A">
        <w:rPr>
          <w:lang w:val="en-GB"/>
        </w:rPr>
        <w:fldChar w:fldCharType="end"/>
      </w:r>
      <w:r w:rsidR="0077762A">
        <w:rPr>
          <w:lang w:val="en-GB"/>
        </w:rPr>
        <w:t xml:space="preserve"> </w:t>
      </w:r>
      <w:r>
        <w:rPr>
          <w:lang w:val="en-GB"/>
        </w:rPr>
        <w:t>for overview</w:t>
      </w:r>
      <w:r w:rsidR="0077762A">
        <w:rPr>
          <w:lang w:val="en-GB"/>
        </w:rPr>
        <w:t>s</w:t>
      </w:r>
      <w:r>
        <w:rPr>
          <w:lang w:val="en-GB"/>
        </w:rPr>
        <w:t>)</w:t>
      </w:r>
      <w:r w:rsidR="0077762A">
        <w:rPr>
          <w:lang w:val="en-GB"/>
        </w:rPr>
        <w:t xml:space="preserve">.  This paper focuses specifically on the effectiveness </w:t>
      </w:r>
      <w:proofErr w:type="gramStart"/>
      <w:r w:rsidR="0077762A">
        <w:rPr>
          <w:lang w:val="en-GB"/>
        </w:rPr>
        <w:t>of  simulation</w:t>
      </w:r>
      <w:proofErr w:type="gramEnd"/>
      <w:r w:rsidR="0077762A">
        <w:rPr>
          <w:lang w:val="en-GB"/>
        </w:rPr>
        <w:t xml:space="preserve"> games in particular from within this broader spectrum of technology.  </w:t>
      </w:r>
      <w:r>
        <w:rPr>
          <w:lang w:val="en-GB"/>
        </w:rPr>
        <w:t xml:space="preserve">This paper takes </w:t>
      </w:r>
      <w:r w:rsidR="0077762A">
        <w:rPr>
          <w:lang w:val="en-GB"/>
        </w:rPr>
        <w:t xml:space="preserve">as its basis </w:t>
      </w:r>
      <w:r w:rsidR="00A66B9A">
        <w:rPr>
          <w:lang w:val="en-GB"/>
        </w:rPr>
        <w:t>Elli</w:t>
      </w:r>
      <w:r>
        <w:rPr>
          <w:lang w:val="en-GB"/>
        </w:rPr>
        <w:t>n</w:t>
      </w:r>
      <w:r w:rsidR="00A66B9A">
        <w:rPr>
          <w:lang w:val="en-GB"/>
        </w:rPr>
        <w:t>g</w:t>
      </w:r>
      <w:r>
        <w:rPr>
          <w:lang w:val="en-GB"/>
        </w:rPr>
        <w:t xml:space="preserve">ton et </w:t>
      </w:r>
      <w:proofErr w:type="spellStart"/>
      <w:r>
        <w:rPr>
          <w:lang w:val="en-GB"/>
        </w:rPr>
        <w:t>al’s</w:t>
      </w:r>
      <w:proofErr w:type="spellEnd"/>
      <w:r>
        <w:rPr>
          <w:lang w:val="en-GB"/>
        </w:rPr>
        <w:t xml:space="preserve"> </w:t>
      </w:r>
      <w:r>
        <w:rPr>
          <w:lang w:val="en-GB"/>
        </w:rPr>
        <w:fldChar w:fldCharType="begin"/>
      </w:r>
      <w:r w:rsidR="0077762A">
        <w:rPr>
          <w:lang w:val="en-GB"/>
        </w:rPr>
        <w:instrText xml:space="preserve"> ADDIN ZOTERO_ITEM CSL_CITATION {"citationID":"232ec11rh8","properties":{"formattedCitation":"[9]","plainCitation":"[9]"},"citationItems":[{"id":244,"uris":["http://zotero.org/users/local/FTZZFbAq/items/A8J6I7TJ"],"uri":["http://zotero.org/users/local/FTZZFbAq/items/A8J6I7TJ"],"itemData":{"id":244,"type":"book","title":"Games and Simulations in Science Education","publisher":"Kogan Page","publisher-place":"London","event-place":"London","author":[{"family":"Ellington","given":"Henry"},{"family":"Addinall","given":"Eric"},{"family":"Percival","given":"Fred"}],"issued":{"date-parts":[["1981"]]}}}],"schema":"https://github.com/citation-style-language/schema/raw/master/csl-citation.json"} </w:instrText>
      </w:r>
      <w:r>
        <w:rPr>
          <w:lang w:val="en-GB"/>
        </w:rPr>
        <w:fldChar w:fldCharType="separate"/>
      </w:r>
      <w:r w:rsidR="0077762A" w:rsidRPr="0077762A">
        <w:rPr>
          <w:rFonts w:cs="Arial"/>
        </w:rPr>
        <w:t>[9]</w:t>
      </w:r>
      <w:r>
        <w:rPr>
          <w:lang w:val="en-GB"/>
        </w:rPr>
        <w:fldChar w:fldCharType="end"/>
      </w:r>
      <w:r>
        <w:rPr>
          <w:lang w:val="en-GB"/>
        </w:rPr>
        <w:t xml:space="preserve">  definition of a simulation game</w:t>
      </w:r>
      <w:r w:rsidR="0077762A">
        <w:rPr>
          <w:lang w:val="en-GB"/>
        </w:rPr>
        <w:t xml:space="preserve"> which incorporates two key elements, </w:t>
      </w:r>
      <w:r>
        <w:rPr>
          <w:lang w:val="en-GB"/>
        </w:rPr>
        <w:t xml:space="preserve"> </w:t>
      </w:r>
      <w:r w:rsidR="0077762A">
        <w:rPr>
          <w:lang w:val="en-GB"/>
        </w:rPr>
        <w:t xml:space="preserve"> the strong goal orientation of a game realised potentially through rules and competition and the immersive quality of a simulation, a possibly abstract or stylised on-going representation of some reality.  </w:t>
      </w:r>
      <w:r w:rsidR="002D5B8C">
        <w:rPr>
          <w:lang w:val="en-GB"/>
        </w:rPr>
        <w:t xml:space="preserve">These characteristics of </w:t>
      </w:r>
      <w:r w:rsidR="001D34FF">
        <w:rPr>
          <w:lang w:val="en-GB"/>
        </w:rPr>
        <w:t>Simulation Games</w:t>
      </w:r>
      <w:r w:rsidR="002D5B8C">
        <w:rPr>
          <w:lang w:val="en-GB"/>
        </w:rPr>
        <w:t xml:space="preserve"> (SGs)</w:t>
      </w:r>
      <w:r w:rsidR="001D34FF">
        <w:rPr>
          <w:lang w:val="en-GB"/>
        </w:rPr>
        <w:t xml:space="preserve">, particularly realised in a virtual environment on-line offer a number of affordances for learning, defined by </w:t>
      </w:r>
      <w:proofErr w:type="spellStart"/>
      <w:r w:rsidR="001D34FF">
        <w:rPr>
          <w:lang w:val="en-GB"/>
        </w:rPr>
        <w:t>Dalgarno</w:t>
      </w:r>
      <w:proofErr w:type="spellEnd"/>
      <w:r w:rsidR="001D34FF">
        <w:rPr>
          <w:lang w:val="en-GB"/>
        </w:rPr>
        <w:t xml:space="preserve"> and Lee as “an action made possible by the availability of the tool” </w:t>
      </w:r>
      <w:r w:rsidR="001D34FF">
        <w:rPr>
          <w:lang w:val="en-GB"/>
        </w:rPr>
        <w:fldChar w:fldCharType="begin"/>
      </w:r>
      <w:r w:rsidR="001D34FF">
        <w:rPr>
          <w:lang w:val="en-GB"/>
        </w:rPr>
        <w:instrText xml:space="preserve"> ADDIN ZOTERO_ITEM CSL_CITATION {"citationID":"sq4e0lsm5","properties":{"formattedCitation":"[7, p. 12]","plainCitation":"[7, p. 12]"},"citationItems":[{"id":39,"uris":["http://zotero.org/users/local/FTZZFbAq/items/I2ICWM3S"],"uri":["http://zotero.org/users/local/FTZZFbAq/items/I2ICWM3S"],"itemData":{"id":39,"type":"article-journal","title":"What are the learning affordances of 3-D virtual environments?","container-title":"British Journal of Educational Technology","page":"10-32","volume":"41","issue":"1","source":"Wiley Online Library","abstract":"This article explores the potential learning benefits of three-dimensional (3-D) virtual learning environments (VLEs). Drawing on published research spanning two decades, it identifies a set of unique characteristics of 3-D VLEs, which includes aspects of their representational fidelity and aspects of the learner–computer interactivity they facilitate. A review of applications of 3-D VLEs is presented, leading to the identification of a series of learning affordances of such environments. These affordances include the facilitation of tasks that lead to enhanced spatial knowledge representation, greater opportunities for experiential learning, increased motivation/engagement, improved contextualisation of learning and richer/more effective collaborative learning as compared to tasks made possible by 2-D alternatives. The authors contend that the continued development of and investment in 3-D games, simulations and virtual worlds for educational purposes should be considered contingent on further investigation into the precise relationships between the unique characteristics of 3-D VLEs and their potential learning benefits. To this end, they conclude by proposing an agenda or ‘roadmap’ for future research that encompasses empirical studies aimed at exploring these relationships, as well as those aimed at deriving principles and guidelines to inform the design, development and use of 3-D virtual environments for learning.","DOI":"10.1111/j.1467-8535.2009.01038.x","ISSN":"1467-8535","language":"en","author":[{"family":"Dalgarno","given":"Barney"},{"family":"Lee","given":"Mark J. W."}],"issued":{"date-parts":[["2010"]]},"accessed":{"date-parts":[["2014",12,15]]}},"locator":"12"}],"schema":"https://github.com/citation-style-language/schema/raw/master/csl-citation.json"} </w:instrText>
      </w:r>
      <w:r w:rsidR="001D34FF">
        <w:rPr>
          <w:lang w:val="en-GB"/>
        </w:rPr>
        <w:fldChar w:fldCharType="separate"/>
      </w:r>
      <w:r w:rsidR="001D34FF" w:rsidRPr="001D34FF">
        <w:rPr>
          <w:rFonts w:cs="Arial"/>
        </w:rPr>
        <w:t>[7, p. 12]</w:t>
      </w:r>
      <w:r w:rsidR="001D34FF">
        <w:rPr>
          <w:lang w:val="en-GB"/>
        </w:rPr>
        <w:fldChar w:fldCharType="end"/>
      </w:r>
      <w:r w:rsidR="001D34FF">
        <w:rPr>
          <w:lang w:val="en-GB"/>
        </w:rPr>
        <w:t xml:space="preserve">, </w:t>
      </w:r>
      <w:r w:rsidR="002D5B8C">
        <w:rPr>
          <w:lang w:val="en-GB"/>
        </w:rPr>
        <w:t xml:space="preserve">This section explores the affordances and related learning benefits of SGs in the literature.  </w:t>
      </w:r>
    </w:p>
    <w:p w:rsidR="0045328B" w:rsidRDefault="002D5B8C" w:rsidP="00B55A17">
      <w:pPr>
        <w:rPr>
          <w:lang w:val="en-GB"/>
        </w:rPr>
      </w:pPr>
      <w:r>
        <w:rPr>
          <w:lang w:val="en-GB"/>
        </w:rPr>
        <w:t>T</w:t>
      </w:r>
      <w:r w:rsidR="001D34FF">
        <w:rPr>
          <w:lang w:val="en-GB"/>
        </w:rPr>
        <w:t xml:space="preserve">he on-going simulation of real-life can support </w:t>
      </w:r>
      <w:r w:rsidR="00790AEC">
        <w:rPr>
          <w:lang w:val="en-GB"/>
        </w:rPr>
        <w:t xml:space="preserve">experiential learning, where </w:t>
      </w:r>
      <w:r w:rsidR="001D34FF">
        <w:rPr>
          <w:lang w:val="en-GB"/>
        </w:rPr>
        <w:t>students experienc</w:t>
      </w:r>
      <w:r w:rsidR="00790AEC">
        <w:rPr>
          <w:lang w:val="en-GB"/>
        </w:rPr>
        <w:t>e</w:t>
      </w:r>
      <w:r w:rsidR="001D34FF">
        <w:rPr>
          <w:lang w:val="en-GB"/>
        </w:rPr>
        <w:t xml:space="preserve"> </w:t>
      </w:r>
      <w:r w:rsidR="007A750B">
        <w:rPr>
          <w:lang w:val="en-GB"/>
        </w:rPr>
        <w:t xml:space="preserve">and are active in learning </w:t>
      </w:r>
      <w:r w:rsidR="001D34FF">
        <w:rPr>
          <w:lang w:val="en-GB"/>
        </w:rPr>
        <w:t>situations</w:t>
      </w:r>
      <w:r w:rsidR="00790AEC">
        <w:rPr>
          <w:lang w:val="en-GB"/>
        </w:rPr>
        <w:t>.</w:t>
      </w:r>
      <w:r w:rsidR="001D34FF">
        <w:rPr>
          <w:lang w:val="en-GB"/>
        </w:rPr>
        <w:t xml:space="preserve">  </w:t>
      </w:r>
      <w:r w:rsidR="00790AEC">
        <w:rPr>
          <w:lang w:val="en-GB"/>
        </w:rPr>
        <w:t>Students can practice skills, experiment with forces</w:t>
      </w:r>
      <w:r w:rsidR="00715DF4">
        <w:rPr>
          <w:lang w:val="en-GB"/>
        </w:rPr>
        <w:t xml:space="preserve"> or causes</w:t>
      </w:r>
      <w:r w:rsidR="00790AEC">
        <w:rPr>
          <w:lang w:val="en-GB"/>
        </w:rPr>
        <w:t xml:space="preserve"> and their effects</w:t>
      </w:r>
      <w:r w:rsidR="00DE37A5">
        <w:rPr>
          <w:lang w:val="en-GB"/>
        </w:rPr>
        <w:t xml:space="preserve"> </w:t>
      </w:r>
      <w:r w:rsidR="00DE37A5">
        <w:rPr>
          <w:lang w:val="en-GB"/>
        </w:rPr>
        <w:fldChar w:fldCharType="begin"/>
      </w:r>
      <w:r w:rsidR="00DE37A5">
        <w:rPr>
          <w:lang w:val="en-GB"/>
        </w:rPr>
        <w:instrText xml:space="preserve"> ADDIN ZOTERO_ITEM CSL_CITATION {"citationID":"1cd681uu8r","properties":{"formattedCitation":"[10]","plainCitation":"[10]"},"citationItems":[{"id":157,"uris":["http://zotero.org/users/local/FTZZFbAq/items/XWDBPGV3"],"uri":["http://zotero.org/users/local/FTZZFbAq/items/XWDBPGV3"],"itemData":{"id":157,"type":"article-journal","title":"Foundation for problem-based gaming","container-title":"British Journal of Educational Technology","page":"394-404","volume":"38","issue":"3","source":"Wiley Online Library","abstract":"Educational games may offer a viable strategy for developing students' problem-solving skills. However, the state of art of educational game research does not provide an account for that. Thus, the aim of this research is to develop an empirically allocated model about problem-based gaming that can be utilised to design pedagogically meaningful games. The proposed model was evaluated through a business simulation game. The interviews indicated that authenticity, collaboration and learning by doing were found to be the most important characteristics of effective educational games. Results also showed that the proposed model describes well the problem-based gaming process in which the reflection phase seems to be a vital factor. The outcome of the reflection phase may be personal synthesis of knowledge, validation of hypothesis laid or a new playing strategy to be tested. However, because of the small sample size of this study, more research on the topic is recommended. Especially, ways to support reflection in games needs to be studied.","DOI":"10.1111/j.1467-8535.2007.00704.x","ISSN":"1467-8535","language":"en","author":[{"family":"Kiili","given":"Kristian"}],"issued":{"date-parts":[["2007"]]},"accessed":{"date-parts":[["2015",1,8]],"season":"16:55:12"}}}],"schema":"https://github.com/citation-style-language/schema/raw/master/csl-citation.json"} </w:instrText>
      </w:r>
      <w:r w:rsidR="00DE37A5">
        <w:rPr>
          <w:lang w:val="en-GB"/>
        </w:rPr>
        <w:fldChar w:fldCharType="separate"/>
      </w:r>
      <w:r w:rsidR="00DE37A5" w:rsidRPr="00DE37A5">
        <w:rPr>
          <w:rFonts w:cs="Arial"/>
        </w:rPr>
        <w:t>[10]</w:t>
      </w:r>
      <w:r w:rsidR="00DE37A5">
        <w:rPr>
          <w:lang w:val="en-GB"/>
        </w:rPr>
        <w:fldChar w:fldCharType="end"/>
      </w:r>
      <w:r w:rsidR="00790AEC">
        <w:rPr>
          <w:lang w:val="en-GB"/>
        </w:rPr>
        <w:t>, view structures and objects and other activities that could be impractical, risky or impossible in real-life.  Studies suggest that this aspect can support the transfer of learning to other environments, the integration of concepts within or across disciplines and the deep understanding of cause an</w:t>
      </w:r>
      <w:r w:rsidR="00715DF4">
        <w:rPr>
          <w:lang w:val="en-GB"/>
        </w:rPr>
        <w:t xml:space="preserve">d effect relations and </w:t>
      </w:r>
      <w:r w:rsidR="00790AEC">
        <w:rPr>
          <w:lang w:val="en-GB"/>
        </w:rPr>
        <w:t>properties</w:t>
      </w:r>
      <w:r w:rsidR="00715DF4">
        <w:rPr>
          <w:lang w:val="en-GB"/>
        </w:rPr>
        <w:t xml:space="preserve"> of systems as they change</w:t>
      </w:r>
      <w:r w:rsidR="00790AEC">
        <w:rPr>
          <w:lang w:val="en-GB"/>
        </w:rPr>
        <w:t xml:space="preserve"> over time</w:t>
      </w:r>
      <w:r w:rsidR="00DE37A5">
        <w:rPr>
          <w:lang w:val="en-GB"/>
        </w:rPr>
        <w:t xml:space="preserve"> </w:t>
      </w:r>
      <w:r w:rsidR="00DE37A5">
        <w:rPr>
          <w:lang w:val="en-GB"/>
        </w:rPr>
        <w:fldChar w:fldCharType="begin"/>
      </w:r>
      <w:r w:rsidR="00644ED2">
        <w:rPr>
          <w:lang w:val="en-GB"/>
        </w:rPr>
        <w:instrText xml:space="preserve"> ADDIN ZOTERO_ITEM CSL_CITATION {"citationID":"2dyE8lrL","properties":{"formattedCitation":"{\\rtf [10]\\uc0\\u8211{}[14]}","plainCitation":"[10]–[14]"},"citationItems":[{"id":157,"uris":["http://zotero.org/users/local/FTZZFbAq/items/XWDBPGV3"],"uri":["http://zotero.org/users/local/FTZZFbAq/items/XWDBPGV3"],"itemData":{"id":157,"type":"article-journal","title":"Foundation for problem-based gaming","container-title":"British Journal of Educational Technology","page":"394-404","volume":"38","issue":"3","source":"Wiley Online Library","abstract":"Educational games may offer a viable strategy for developing students' problem-solving skills. However, the state of art of educational game research does not provide an account for that. Thus, the aim of this research is to develop an empirically allocated model about problem-based gaming that can be utilised to design pedagogically meaningful games. The proposed model was evaluated through a business simulation game. The interviews indicated that authenticity, collaboration and learning by doing were found to be the most important characteristics of effective educational games. Results also showed that the proposed model describes well the problem-based gaming process in which the reflection phase seems to be a vital factor. The outcome of the reflection phase may be personal synthesis of knowledge, validation of hypothesis laid or a new playing strategy to be tested. However, because of the small sample size of this study, more research on the topic is recommended. Especially, ways to support reflection in games needs to be studied.","DOI":"10.1111/j.1467-8535.2007.00704.x","ISSN":"1467-8535","language":"en","author":[{"family":"Kiili","given":"Kristian"}],"issued":{"date-parts":[["2007"]]},"accessed":{"date-parts":[["2015",1,8]],"season":"16:55:12"}}},{"id":7411,"uris":["http://zotero.org/users/local/FTZZFbAq/items/D472SDHQ"],"uri":["http://zotero.org/users/local/FTZZFbAq/items/D472SDHQ"],"itemData":{"id":7411,"type":"article-journal","title":"The values of college students in business simulation game: A means-end chain approach","container-title":"Computers &amp; Education","page":"1160-1170","volume":"58","issue":"4","source":"ScienceDirect","abstract":"Business simulation games (BSGs) enable students to practice making decisions in a virtual environment, accumulate experience in application of strategies, and train themselves in modes of decision-making. This study examines the value sought by players of BSG. In this study, a means-end chain (MEC) model was adopted as the basis, and ladder method soft laddering was used to conduct in-depth interviews with students who had experience in using BSGs. The chain concept of “attribute–consequence–value” was used to understand students’ value cognition structures. Content analysis was used to analyze the attributes–consequences–values for BSGs players, then converted into a Hierarchical Value Map (HVM). The results showed that students consider teamwork and market diversity as the most important attributes, and the consequences of a cooperative approach and market diversity are emotional exchange and multi-thinking, with the ultimate value brought to users by exchanges between teams and constant thinking being interpersonal relationships and a sense of accomplishment.","DOI":"10.1016/j.compedu.2011.12.005","ISSN":"0360-1315","shortTitle":"The values of college students in business simulation game","journalAbbreviation":"Computers &amp; Education","author":[{"family":"Lin","given":"Yu-Ling"},{"family":"Tu","given":"Yu-Zu"}],"issued":{"date-parts":[["2012",5]]},"accessed":{"date-parts":[["2015",1,22]],"season":"13:26:16"}}},{"id":125,"uris":["http://zotero.org/users/local/FTZZFbAq/items/7FP3V7I6"],"uri":["http://zotero.org/users/local/FTZZFbAq/items/7FP3V7I6"],"itemData":{"id":125,"type":"article-journal","title":"The efficacy of business simulation games in creating Decision Support Systems: An experimental investigation","container-title":"Decision Support Systems","page":"61-69","volume":"49","issue":"1","source":"ScienceDirect","abstract":"This study discusses business simulation games as teaching tools in Information Systems (IS). The discipline's traditional teaching methods, while appropriate for the dissemination of foundational knowledge, do not provide the optimal platform for students to implement IS concepts. We suggest that business simulation games are an effective way to engage students in Decision Support Systems (DSS). Specifically, we discuss our experience with a game designed to channel students into a stream of entrepreneurial decision-making. Our findings indicate that business simulation games represent a sufficiently novel approach to teaching and learning.","DOI":"10.1016/j.dss.2010.01.002","ISSN":"0167-9236","shortTitle":"The efficacy of business simulation games in creating Decision Support Systems","journalAbbreviation":"Decision Support Systems","author":[{"family":"Ben-Zvi","given":"Tal"}],"issued":{"date-parts":[["2010",4]]},"accessed":{"date-parts":[["2015",1,8]],"season":"16:14:04"}}},{"id":7419,"uris":["http://zotero.org/users/local/FTZZFbAq/items/7QZCFCTV"],"uri":["http://zotero.org/users/local/FTZZFbAq/items/7QZCFCTV"],"itemData":{"id":7419,"type":"article-journal","title":"Transparent-Box Business Simulators: An Aid to Manage the Complexity of Organizations","container-title":"Simulation &amp; Gaming","page":"230-239","volume":"31","issue":"2","source":"sag.sagepub.com","abstract":"The various methods and tools most commonly used for management training at the present time are insufficient to deal with the complexity of organizations. It seems clear that the system dynamics (SD) approach would allow the treatment of complexity in a more realistic way. The possibility of relating the system’s structure to its behavior is one of the main features of SD because it helps to understand the reasons behind this behavior and should favor decision making and an understanding of the phenomena observed. This possibility is offered by transparent-box business simulators that, in this way, help to overcome the deficiencies of other education tools.","DOI":"10.1177/104687810003100207","ISSN":"1046-8781, 1552-826X","shortTitle":"Transparent-Box Business Simulators","journalAbbreviation":"Simulation Gaming","language":"en","author":[{"family":"Machuca","given":"José A. D."}],"issued":{"date-parts":[["2000",6,1]]},"accessed":{"date-parts":[["2015",1,22]],"season":"15:16:45"}}},{"id":150,"uris":["http://zotero.org/users/local/FTZZFbAq/items/M9QI62J4"],"uri":["http://zotero.org/users/local/FTZZFbAq/items/M9QI62J4"],"itemData":{"id":150,"type":"article-journal","title":"Applying an authentic, dynamic learning environment in real world business","container-title":"Computers and Education","page":"94-115","volume":"47","issue":"1","archive":"Scopus","abstract":"This paper describes a dynamic computer-based business learning environment and the results from applying it in a real-world business organization. We argue for using learning tools, which not only provide realistic and complex models of reality, but are also are authentic, facilitate continuous problem solving and meaningful learning, and embed learning in social experience. We describe a continuously processed business simulation game, which differs from the majority of business games in the way it is processed. Two company in-house training sessions are then introduced. In these sessions the learning environment was configured to describe the real-world environment of the case company. The empirical part of the paper analyses the findings from these in-house training sessions. We conclude that dynamicity and interactivity of the business learning tool are valuable characteristics if we want to be able to authentically represent the complex, causal, time-bound nature of business organizations. © 2004 Elsevier Ltd. All rights reserved.","author":[{"family":"Lainema","given":"T."},{"family":"Nurmi","given":"S."}],"issued":{"date-parts":[["2006"]]}}}],"schema":"https://github.com/citation-style-language/schema/raw/master/csl-citation.json"} </w:instrText>
      </w:r>
      <w:r w:rsidR="00DE37A5">
        <w:rPr>
          <w:lang w:val="en-GB"/>
        </w:rPr>
        <w:fldChar w:fldCharType="separate"/>
      </w:r>
      <w:r w:rsidR="00644ED2" w:rsidRPr="00644ED2">
        <w:rPr>
          <w:rFonts w:cs="Arial"/>
        </w:rPr>
        <w:t>[10]–[14]</w:t>
      </w:r>
      <w:r w:rsidR="00DE37A5">
        <w:rPr>
          <w:lang w:val="en-GB"/>
        </w:rPr>
        <w:fldChar w:fldCharType="end"/>
      </w:r>
      <w:r w:rsidR="00790AEC">
        <w:rPr>
          <w:lang w:val="en-GB"/>
        </w:rPr>
        <w:t xml:space="preserve">.  </w:t>
      </w:r>
      <w:r w:rsidR="00715DF4">
        <w:rPr>
          <w:lang w:val="en-GB"/>
        </w:rPr>
        <w:t>The literature would also suggest</w:t>
      </w:r>
      <w:r>
        <w:rPr>
          <w:lang w:val="en-GB"/>
        </w:rPr>
        <w:t xml:space="preserve"> that Simulation Games increase</w:t>
      </w:r>
      <w:r w:rsidR="00715DF4">
        <w:rPr>
          <w:lang w:val="en-GB"/>
        </w:rPr>
        <w:t xml:space="preserve"> learning motivation and possibly enjoyment </w:t>
      </w:r>
      <w:r>
        <w:rPr>
          <w:lang w:val="en-GB"/>
        </w:rPr>
        <w:t>as</w:t>
      </w:r>
      <w:r w:rsidR="00715DF4">
        <w:rPr>
          <w:lang w:val="en-GB"/>
        </w:rPr>
        <w:t xml:space="preserve"> they</w:t>
      </w:r>
      <w:r>
        <w:rPr>
          <w:lang w:val="en-GB"/>
        </w:rPr>
        <w:t xml:space="preserve"> can</w:t>
      </w:r>
      <w:r w:rsidR="00715DF4">
        <w:rPr>
          <w:lang w:val="en-GB"/>
        </w:rPr>
        <w:t xml:space="preserve"> provide opportunit</w:t>
      </w:r>
      <w:r w:rsidR="005157B1">
        <w:rPr>
          <w:lang w:val="en-GB"/>
        </w:rPr>
        <w:t>i</w:t>
      </w:r>
      <w:r w:rsidR="00715DF4">
        <w:rPr>
          <w:lang w:val="en-GB"/>
        </w:rPr>
        <w:t xml:space="preserve">es for students to experience control and challenge in the learning environment </w:t>
      </w:r>
      <w:r w:rsidR="006377FB">
        <w:rPr>
          <w:lang w:val="en-GB"/>
        </w:rPr>
        <w:fldChar w:fldCharType="begin"/>
      </w:r>
      <w:r w:rsidR="00644ED2">
        <w:rPr>
          <w:lang w:val="en-GB"/>
        </w:rPr>
        <w:instrText xml:space="preserve"> ADDIN ZOTERO_ITEM CSL_CITATION {"citationID":"1he8pb344k","properties":{"formattedCitation":"[15], [16]","plainCitation":"[15], [16]"},"citationItems":[{"id":169,"uris":["http://zotero.org/users/local/FTZZFbAq/items/D6XAMAQ9"],"uri":["http://zotero.org/users/local/FTZZFbAq/items/D6XAMAQ9"],"itemData":{"id":169,"type":"article-journal","title":"The Motivational Pull of Video Games: A Self-Determination Theory Approach","container-title":"Motivation &amp; Emotion","page":"344-360","volume":"30","issue":"4","source":"EBSCOhost","abstract":"Four studies apply self-determination theory (SDT; Ryan &amp; Deci, 2000) in investigating motivation for computer game play, and the effects of game play on well-being. Studies 1–3 examine individuals playing 1, 2 and 4 games, respectively and show that perceived in-game autonomy and competence are associated with game enjoyment, preferences, and changes in well-being pre- to post-play. Competence and autonomy perceptions are also related to the intuitive nature of game controls, and the sense of presence or immersion in participants’ game play experiences. Study 4 surveys an on-line community with experience in multi-player games. Results show that SDT’s theorized needs for autonomy, competence, and relatedness independently predict enjoyment and future game play. The SDT model is also compared with Yee’s (2005) motivation taxonomy of game play motivations. Results are discussed in terms of the relatively unexplored landscape of human motivation within virtual worlds.","DOI":"10.1007/s11031-006-9051-8","ISSN":"01467239","shortTitle":"The Motivational Pull of Video Games","journalAbbreviation":"Motivation &amp; Emotion","author":[{"family":"Ryan","given":"Richard"},{"family":"Rigby","given":"C."},{"family":"Przybylski","given":"Andrew"}],"issued":{"date-parts":[["2006",12]]},"accessed":{"date-parts":[["2015",1,13]],"season":"13:51:16"}}},{"id":137,"uris":["http://zotero.org/users/local/FTZZFbAq/items/62GWW6AZ"],"uri":["http://zotero.org/users/local/FTZZFbAq/items/62GWW6AZ"],"itemData":{"id":137,"type":"article-journal","title":"Games, Motivation, and Learning: A Research and Practice Model","container-title":"Simulation &amp; Gaming","page":"441-467","volume":"33","issue":"4","source":"sag.sagepub.com","abstract":"Although most agree that games can be engaging and that games can be instructive, there is little consensus regarding the essential characteristics of instructional games. Implicit in the research literature is the notion that if we pair instructional content with certain game features, we can harness the power of games to engage users and achieve desired instructional goals. In this article, the authors present an input-processoutput model of instructional games and learning that elaborates (a) the key features of games that are of interest from an instructional perspective; (b) the game cycle of user judgments, behavior, and feedback that is a hallmark of engagement in game play; and (c) the types of learning outcomes that can be achieved. The authors discuss the implications of this approach for the design and implementation of effective instructional games.","DOI":"10.1177/1046878102238607","ISSN":"1046-8781, 1552-826X","shortTitle":"Games, Motivation, and Learning","journalAbbreviation":"Simulation Gaming","language":"en","author":[{"family":"Garris","given":"Rosemary"},{"family":"Ahlers","given":"Robert"},{"family":"Driskell","given":"James E."}],"issued":{"date-parts":[["2002",12,1]]},"accessed":{"date-parts":[["2015",1,8]],"season":"16:24:36"}}}],"schema":"https://github.com/citation-style-language/schema/raw/master/csl-citation.json"} </w:instrText>
      </w:r>
      <w:r w:rsidR="006377FB">
        <w:rPr>
          <w:lang w:val="en-GB"/>
        </w:rPr>
        <w:fldChar w:fldCharType="separate"/>
      </w:r>
      <w:r w:rsidR="00644ED2" w:rsidRPr="00644ED2">
        <w:rPr>
          <w:rFonts w:cs="Arial"/>
        </w:rPr>
        <w:t>[15], [16]</w:t>
      </w:r>
      <w:r w:rsidR="006377FB">
        <w:rPr>
          <w:lang w:val="en-GB"/>
        </w:rPr>
        <w:fldChar w:fldCharType="end"/>
      </w:r>
      <w:r w:rsidR="00715DF4">
        <w:rPr>
          <w:lang w:val="en-GB"/>
        </w:rPr>
        <w:t>.  Furthermore, the safe environment of the simulation game can lead to increased self-confidence</w:t>
      </w:r>
      <w:r w:rsidR="00E2591A">
        <w:rPr>
          <w:lang w:val="en-GB"/>
        </w:rPr>
        <w:t xml:space="preserve"> and self-efficacy</w:t>
      </w:r>
      <w:r w:rsidR="00715DF4">
        <w:rPr>
          <w:lang w:val="en-GB"/>
        </w:rPr>
        <w:t xml:space="preserve"> for l</w:t>
      </w:r>
      <w:r w:rsidR="0045328B">
        <w:rPr>
          <w:lang w:val="en-GB"/>
        </w:rPr>
        <w:t>earners</w:t>
      </w:r>
      <w:r w:rsidR="007B68E0">
        <w:rPr>
          <w:lang w:val="en-GB"/>
        </w:rPr>
        <w:t xml:space="preserve"> </w:t>
      </w:r>
      <w:r w:rsidR="007B68E0">
        <w:rPr>
          <w:lang w:val="en-GB"/>
        </w:rPr>
        <w:fldChar w:fldCharType="begin"/>
      </w:r>
      <w:r w:rsidR="00644ED2">
        <w:rPr>
          <w:lang w:val="en-GB"/>
        </w:rPr>
        <w:instrText xml:space="preserve"> ADDIN ZOTERO_ITEM CSL_CITATION {"citationID":"nftkiru7v","properties":{"formattedCitation":"[17]","plainCitation":"[17]"},"citationItems":[{"id":7414,"uris":["http://zotero.org/users/local/FTZZFbAq/items/8MWFWPH3"],"uri":["http://zotero.org/users/local/FTZZFbAq/items/8MWFWPH3"],"itemData":{"id":7414,"type":"article-journal","title":"Nursing students' and lecturers' perspectives of objective structured clinical examination incorporating simulation","container-title":"Nurse Education Today","page":"419-426","volume":"23","issue":"6","source":"NCBI PubMed","abstract":"Objective Structured Clinical Examination (OSCE) has been widely and increasingly used since it was developed. Research has shown that it is an effective evaluation tool to assess practical skills (Sloan et al. 1995). In many instances the OSCE process has been adapted to test trainees from different healthcare related disciplines. In nursing education, as presented in this paper, principles of OSCE can also be used in a formative way to enhance skill acquisition through simulation. The aim of this approach to teaching is safely to help students gain more confidence when confronted by technical instruments present in the hospital environment, and to encourage them to reflect on a range of skills and competences they need to acquire. The OSCE stations can be designed in the form of small scenarios where students have to set-up or interact with technical instruments, or communicate with patients. This type of simulation exercise can be varied as a whole and specifically within each station at the same time. The use of this hybrid formative OSCE is being assessed by nursing students and lecturers. The feedback received regarding this teaching method and the results of this study are useful and show that OSCE are favourably perceived.","ISSN":"0260-6917","note":"PMID: 12900190","journalAbbreviation":"Nurse Educ Today","language":"eng","author":[{"family":"Alinier","given":"Guillaume"}],"issued":{"date-parts":[["2003",8]]},"PMID":"12900190"}}],"schema":"https://github.com/citation-style-language/schema/raw/master/csl-citation.json"} </w:instrText>
      </w:r>
      <w:r w:rsidR="007B68E0">
        <w:rPr>
          <w:lang w:val="en-GB"/>
        </w:rPr>
        <w:fldChar w:fldCharType="separate"/>
      </w:r>
      <w:r w:rsidR="00644ED2" w:rsidRPr="00644ED2">
        <w:rPr>
          <w:rFonts w:cs="Arial"/>
        </w:rPr>
        <w:t>[17]</w:t>
      </w:r>
      <w:r w:rsidR="007B68E0">
        <w:rPr>
          <w:lang w:val="en-GB"/>
        </w:rPr>
        <w:fldChar w:fldCharType="end"/>
      </w:r>
      <w:r w:rsidR="00715DF4">
        <w:rPr>
          <w:lang w:val="en-GB"/>
        </w:rPr>
        <w:t xml:space="preserve">.  </w:t>
      </w:r>
    </w:p>
    <w:p w:rsidR="00E2591A" w:rsidRDefault="0045328B" w:rsidP="0067625B">
      <w:pPr>
        <w:rPr>
          <w:lang w:val="en-GB"/>
        </w:rPr>
      </w:pPr>
      <w:r>
        <w:rPr>
          <w:lang w:val="en-GB"/>
        </w:rPr>
        <w:t>However, t</w:t>
      </w:r>
      <w:r w:rsidR="00715DF4">
        <w:rPr>
          <w:lang w:val="en-GB"/>
        </w:rPr>
        <w:t>he reality of the situation may be somewhat more nuanced than th</w:t>
      </w:r>
      <w:r>
        <w:rPr>
          <w:lang w:val="en-GB"/>
        </w:rPr>
        <w:t xml:space="preserve">is picture suggests in that </w:t>
      </w:r>
      <w:r w:rsidR="00715DF4">
        <w:rPr>
          <w:lang w:val="en-GB"/>
        </w:rPr>
        <w:t>Simulation Game</w:t>
      </w:r>
      <w:r>
        <w:rPr>
          <w:lang w:val="en-GB"/>
        </w:rPr>
        <w:t>s are typically</w:t>
      </w:r>
      <w:r w:rsidR="00715DF4">
        <w:rPr>
          <w:lang w:val="en-GB"/>
        </w:rPr>
        <w:t xml:space="preserve"> embedded in a broader </w:t>
      </w:r>
      <w:r>
        <w:rPr>
          <w:lang w:val="en-GB"/>
        </w:rPr>
        <w:t>programme of instruction</w:t>
      </w:r>
      <w:r w:rsidR="00715DF4">
        <w:rPr>
          <w:lang w:val="en-GB"/>
        </w:rPr>
        <w:t xml:space="preserve"> which also impacts on </w:t>
      </w:r>
      <w:r>
        <w:rPr>
          <w:lang w:val="en-GB"/>
        </w:rPr>
        <w:t>learning</w:t>
      </w:r>
      <w:r w:rsidR="00715DF4">
        <w:rPr>
          <w:lang w:val="en-GB"/>
        </w:rPr>
        <w:t>.  With re</w:t>
      </w:r>
      <w:r>
        <w:rPr>
          <w:lang w:val="en-GB"/>
        </w:rPr>
        <w:t>gard to experiential learning</w:t>
      </w:r>
      <w:r w:rsidR="00715DF4">
        <w:rPr>
          <w:lang w:val="en-GB"/>
        </w:rPr>
        <w:t>, a number of studies have found th</w:t>
      </w:r>
      <w:r>
        <w:rPr>
          <w:lang w:val="en-GB"/>
        </w:rPr>
        <w:t>at it is the reflection on</w:t>
      </w:r>
      <w:r w:rsidR="00715DF4">
        <w:rPr>
          <w:lang w:val="en-GB"/>
        </w:rPr>
        <w:t xml:space="preserve"> experiences </w:t>
      </w:r>
      <w:r>
        <w:rPr>
          <w:lang w:val="en-GB"/>
        </w:rPr>
        <w:t xml:space="preserve">in the simulation </w:t>
      </w:r>
      <w:r w:rsidR="00715DF4">
        <w:rPr>
          <w:lang w:val="en-GB"/>
        </w:rPr>
        <w:t>whic</w:t>
      </w:r>
      <w:r w:rsidR="00DE37A5">
        <w:rPr>
          <w:lang w:val="en-GB"/>
        </w:rPr>
        <w:t>h embeds learning in addition t</w:t>
      </w:r>
      <w:r w:rsidR="00715DF4">
        <w:rPr>
          <w:lang w:val="en-GB"/>
        </w:rPr>
        <w:t>o the experience itself and the broader learning environment should establish this</w:t>
      </w:r>
      <w:r w:rsidR="00DE37A5">
        <w:rPr>
          <w:lang w:val="en-GB"/>
        </w:rPr>
        <w:t xml:space="preserve"> </w:t>
      </w:r>
      <w:r w:rsidR="00DE37A5">
        <w:rPr>
          <w:lang w:val="en-GB"/>
        </w:rPr>
        <w:fldChar w:fldCharType="begin"/>
      </w:r>
      <w:r w:rsidR="00644ED2">
        <w:rPr>
          <w:lang w:val="en-GB"/>
        </w:rPr>
        <w:instrText xml:space="preserve"> ADDIN ZOTERO_ITEM CSL_CITATION {"citationID":"3Ov22nPz","properties":{"formattedCitation":"[6], [18]","plainCitation":"[6], [18]"},"citationItems":[{"id":119,"uris":["http://zotero.org/users/local/FTZZFbAq/items/UP8GQKER"],"uri":["http://zotero.org/users/local/FTZZFbAq/items/UP8GQKER"],"itemData":{"id":119,"type":"article-journal","title":"Enhancing the impact of online simulations through blended learning","container-title":"Education + Training","page":"208-218","volume":"56","issue":"2/3","source":"emeraldinsight.com (Atypon)","DOI":"10.1108/ET-01-2013-0007","ISSN":"0040-0912","journalAbbreviation":"Education + Training","author":[{"family":"Lean Jonathan","given":""},{"family":"Moizer Jonathan","given":""},{"family":"Newbery Robert","given":""}],"issued":{"date-parts":[["2014",4,8]]},"accessed":{"date-parts":[["2015",1,8]],"season":"16:05:39"}}},{"id":130,"uris":["http://zotero.org/users/local/FTZZFbAq/items/ZJH744XT"],"uri":["http://zotero.org/users/local/FTZZFbAq/items/ZJH744XT"],"itemData":{"id":130,"type":"article-journal","title":"The impact of a simulation game on operations management education","container-title":"Computers &amp; Education","page":"1240-1254","volume":"57","issue":"1","abstract":"This study presents a new simulation game and analyzes its impact on operations management education. The proposed simulation was empirically tested by comparing the number of mistakes during the first and second halves of the game. Data were gathered from 100 teams of four or five undergraduate students in business administration, taking their first course in operations management. To assess learning, instead of relying solely on an overall performance measurement, as is usually done in the skill-based learning literature, we analyzed the evolution of different types of mistakes that were made by students in successive rounds of play. Our results show that although simple decision-making skills can be acquired with traditional teaching methods, simulation games are more effective when students have to develop decision-making abilities for managing complex and dynamic situations.","DOI":"10.1016/j.compedu.2010.12.006","ISSN":"0360-1315","journalAbbreviation":"Computers &amp; Education","author":[{"family":"Pasin","given":"Federico"},{"family":"Giroux","given":"Hélène"}],"issued":{"date-parts":[["2011",8]]}}}],"schema":"https://github.com/citation-style-language/schema/raw/master/csl-citation.json"} </w:instrText>
      </w:r>
      <w:r w:rsidR="00DE37A5">
        <w:rPr>
          <w:lang w:val="en-GB"/>
        </w:rPr>
        <w:fldChar w:fldCharType="separate"/>
      </w:r>
      <w:r w:rsidR="00644ED2" w:rsidRPr="00644ED2">
        <w:rPr>
          <w:rFonts w:cs="Arial"/>
        </w:rPr>
        <w:t>[6], [18]</w:t>
      </w:r>
      <w:r w:rsidR="00DE37A5">
        <w:rPr>
          <w:lang w:val="en-GB"/>
        </w:rPr>
        <w:fldChar w:fldCharType="end"/>
      </w:r>
      <w:r w:rsidR="00715DF4">
        <w:rPr>
          <w:lang w:val="en-GB"/>
        </w:rPr>
        <w:t xml:space="preserve">.  </w:t>
      </w:r>
      <w:r w:rsidR="002D5B8C">
        <w:rPr>
          <w:lang w:val="en-GB"/>
        </w:rPr>
        <w:t xml:space="preserve">The role of time and space for reflection in learning is well established in the </w:t>
      </w:r>
      <w:r w:rsidR="00DE37A5">
        <w:rPr>
          <w:lang w:val="en-GB"/>
        </w:rPr>
        <w:t xml:space="preserve">field of education </w:t>
      </w:r>
      <w:r w:rsidR="00DE37A5">
        <w:rPr>
          <w:lang w:val="en-GB"/>
        </w:rPr>
        <w:fldChar w:fldCharType="begin"/>
      </w:r>
      <w:r w:rsidR="00644ED2">
        <w:rPr>
          <w:lang w:val="en-GB"/>
        </w:rPr>
        <w:instrText xml:space="preserve"> ADDIN ZOTERO_ITEM CSL_CITATION {"citationID":"18tm3dhle0","properties":{"formattedCitation":"[19]","plainCitation":"[19]"},"citationItems":[{"id":2364,"uris":["http://zotero.org/users/local/FTZZFbAq/items/BV52PX39"],"uri":["http://zotero.org/users/local/FTZZFbAq/items/BV52PX39"],"itemData":{"id":2364,"type":"book","title":"How we think : a restatement of the relation of reflective thinking to the educative process","publisher":"D.C.Heath","publisher-place":"Boston, Massachussets ; London","event-place":"Boston, Massachussets ; London","shortTitle":"How we think : a restatement of the relation of reflective thinking to the educative process","author":[{"family":"Dewey","given":"John"}],"issued":{"date-parts":[["1933"]]}}}],"schema":"https://github.com/citation-style-language/schema/raw/master/csl-citation.json"} </w:instrText>
      </w:r>
      <w:r w:rsidR="00DE37A5">
        <w:rPr>
          <w:lang w:val="en-GB"/>
        </w:rPr>
        <w:fldChar w:fldCharType="separate"/>
      </w:r>
      <w:r w:rsidR="00644ED2" w:rsidRPr="00644ED2">
        <w:rPr>
          <w:rFonts w:cs="Arial"/>
        </w:rPr>
        <w:t>[19]</w:t>
      </w:r>
      <w:r w:rsidR="00DE37A5">
        <w:rPr>
          <w:lang w:val="en-GB"/>
        </w:rPr>
        <w:fldChar w:fldCharType="end"/>
      </w:r>
      <w:r w:rsidR="00774377">
        <w:rPr>
          <w:lang w:val="en-GB"/>
        </w:rPr>
        <w:t xml:space="preserve"> and indeed is an essential component of Kolb’s experiential learning model </w:t>
      </w:r>
      <w:r w:rsidR="00DE37A5">
        <w:rPr>
          <w:lang w:val="en-GB"/>
        </w:rPr>
        <w:fldChar w:fldCharType="begin"/>
      </w:r>
      <w:r w:rsidR="00644ED2">
        <w:rPr>
          <w:lang w:val="en-GB"/>
        </w:rPr>
        <w:instrText xml:space="preserve"> ADDIN ZOTERO_ITEM CSL_CITATION {"citationID":"27do1tilht","properties":{"formattedCitation":"[20]","plainCitation":"[20]"},"citationItems":[{"id":4130,"uris":["http://zotero.org/users/local/FTZZFbAq/items/426TINBG"],"uri":["http://zotero.org/users/local/FTZZFbAq/items/426TINBG"],"itemData":{"id":4130,"type":"book","title":"Experiential learning","publisher":"Prentice-Hall","publisher-place":"Englewood Cliffs, NJ.","event-place":"Englewood Cliffs, NJ.","shortTitle":"Experiential learning","author":[{"family":"Kolb","given":"D."}],"issued":{"date-parts":[["1984"]]}}}],"schema":"https://github.com/citation-style-language/schema/raw/master/csl-citation.json"} </w:instrText>
      </w:r>
      <w:r w:rsidR="00DE37A5">
        <w:rPr>
          <w:lang w:val="en-GB"/>
        </w:rPr>
        <w:fldChar w:fldCharType="separate"/>
      </w:r>
      <w:r w:rsidR="00644ED2" w:rsidRPr="00644ED2">
        <w:rPr>
          <w:rFonts w:cs="Arial"/>
        </w:rPr>
        <w:t>[20]</w:t>
      </w:r>
      <w:r w:rsidR="00DE37A5">
        <w:rPr>
          <w:lang w:val="en-GB"/>
        </w:rPr>
        <w:fldChar w:fldCharType="end"/>
      </w:r>
      <w:r w:rsidR="00DE37A5">
        <w:rPr>
          <w:lang w:val="en-GB"/>
        </w:rPr>
        <w:t xml:space="preserve">.  </w:t>
      </w:r>
      <w:proofErr w:type="spellStart"/>
      <w:r w:rsidR="00715DF4">
        <w:rPr>
          <w:lang w:val="en-GB"/>
        </w:rPr>
        <w:t>Sitzmann</w:t>
      </w:r>
      <w:proofErr w:type="spellEnd"/>
      <w:r w:rsidR="00715DF4">
        <w:rPr>
          <w:lang w:val="en-GB"/>
        </w:rPr>
        <w:t xml:space="preserve"> </w:t>
      </w:r>
      <w:r w:rsidR="00F60875">
        <w:rPr>
          <w:lang w:val="en-GB"/>
        </w:rPr>
        <w:fldChar w:fldCharType="begin"/>
      </w:r>
      <w:r w:rsidR="00F60875">
        <w:rPr>
          <w:lang w:val="en-GB"/>
        </w:rPr>
        <w:instrText xml:space="preserve"> ADDIN ZOTERO_ITEM CSL_CITATION {"citationID":"1fvji5smhf","properties":{"formattedCitation":"[5]","plainCitation":"[5]"},"citationItems":[{"id":162,"uris":["http://zotero.org/users/local/FTZZFbAq/items/NGQGT8HI"],"uri":["http://zotero.org/users/local/FTZZFbAq/items/NGQGT8HI"],"itemData":{"id":162,"type":"article-journal","title":"A Meta-Analytic Examination of the Instructional Effectiveness of Computer-Based Simulation Games","container-title":"Personnel Psychology","page":"489-528","volume":"64","issue":"2","source":"Wiley Online Library","abstract":"Interactive cognitive complexity theory suggests that simulation games are more effective than other instructional methods because they simultaneously engage trainees’ affective and cognitive processes (Tennyson &amp; Jorczak, 2008). Meta-analytic techniques were used to examine the instructional effectiveness of computer-based simulation games relative to a comparison group (k= 65, N= 6,476). Consistent with theory, posttraining self-efficacy was 20% higher, declarative knowledge was 11% higher, procedural knowledge was 14% higher, and retention was 9% higher for trainees taught with simulation games, relative to a comparison group. However, the results provide strong evidence of publication bias in simulation games research. Characteristics of simulation games and the instructional context also moderated the effectiveness of simulation games. Trainees learned more, relative to a comparison group, when simulation games conveyed course material actively rather than passively, trainees could access the simulation game as many times as desired, and the simulation game was a supplement to other instructional methods rather than stand-alone instruction. However, trainees learned less from simulation games than comparison instructional methods when the instruction the comparison group received as a substitute for the simulation game actively engaged them in the learning experience.","DOI":"10.1111/j.1744-6570.2011.01190.x","ISSN":"1744-6570","language":"en","author":[{"family":"Sitzmann","given":"Traci"}],"issued":{"date-parts":[["2011"]]},"accessed":{"date-parts":[["2015",1,8]],"season":"17:37:17"}}}],"schema":"https://github.com/citation-style-language/schema/raw/master/csl-citation.json"} </w:instrText>
      </w:r>
      <w:r w:rsidR="00F60875">
        <w:rPr>
          <w:lang w:val="en-GB"/>
        </w:rPr>
        <w:fldChar w:fldCharType="separate"/>
      </w:r>
      <w:r w:rsidR="00F60875" w:rsidRPr="00F60875">
        <w:rPr>
          <w:rFonts w:cs="Arial"/>
        </w:rPr>
        <w:t>[5]</w:t>
      </w:r>
      <w:r w:rsidR="00F60875">
        <w:rPr>
          <w:lang w:val="en-GB"/>
        </w:rPr>
        <w:fldChar w:fldCharType="end"/>
      </w:r>
      <w:r w:rsidR="00F60875">
        <w:rPr>
          <w:lang w:val="en-GB"/>
        </w:rPr>
        <w:t xml:space="preserve"> </w:t>
      </w:r>
      <w:r w:rsidR="00715DF4">
        <w:rPr>
          <w:lang w:val="en-GB"/>
        </w:rPr>
        <w:t xml:space="preserve">in her </w:t>
      </w:r>
      <w:r w:rsidR="00F60875">
        <w:rPr>
          <w:lang w:val="en-GB"/>
        </w:rPr>
        <w:t>quantitative meta-analysis of studies identified the active nature of learning in the SG in addition to the blending of the SG within a broader programme of instruction as moderators of SG effectiveness</w:t>
      </w:r>
      <w:r w:rsidR="006377FB">
        <w:rPr>
          <w:lang w:val="en-GB"/>
        </w:rPr>
        <w:t xml:space="preserve"> for learning</w:t>
      </w:r>
      <w:r w:rsidR="00F60875">
        <w:rPr>
          <w:lang w:val="en-GB"/>
        </w:rPr>
        <w:t xml:space="preserve">. </w:t>
      </w:r>
      <w:r w:rsidR="006377FB">
        <w:rPr>
          <w:lang w:val="en-GB"/>
        </w:rPr>
        <w:t xml:space="preserve">It is </w:t>
      </w:r>
      <w:r w:rsidR="00F60875">
        <w:rPr>
          <w:lang w:val="en-GB"/>
        </w:rPr>
        <w:t xml:space="preserve">SGs that utilise their affordances for active experiential learning and that are integrated within a broader learning context that allows opportunities for reflection that can support and enhance student learning.  </w:t>
      </w:r>
      <w:r w:rsidR="00E2591A">
        <w:rPr>
          <w:lang w:val="en-GB"/>
        </w:rPr>
        <w:t>Furthermore, in terms of increased self-conf</w:t>
      </w:r>
      <w:r w:rsidR="0067625B">
        <w:rPr>
          <w:lang w:val="en-GB"/>
        </w:rPr>
        <w:t xml:space="preserve">idence and self-efficacy, the results can be impacted by the degree of perceived autonomy and challenge delivered by the game </w:t>
      </w:r>
      <w:r w:rsidR="0067625B">
        <w:rPr>
          <w:lang w:val="en-GB"/>
        </w:rPr>
        <w:fldChar w:fldCharType="begin"/>
      </w:r>
      <w:r w:rsidR="00644ED2">
        <w:rPr>
          <w:lang w:val="en-GB"/>
        </w:rPr>
        <w:instrText xml:space="preserve"> ADDIN ZOTERO_ITEM CSL_CITATION {"citationID":"2glh468496","properties":{"formattedCitation":"[15]","plainCitation":"[15]"},"citationItems":[{"id":169,"uris":["http://zotero.org/users/local/FTZZFbAq/items/D6XAMAQ9"],"uri":["http://zotero.org/users/local/FTZZFbAq/items/D6XAMAQ9"],"itemData":{"id":169,"type":"article-journal","title":"The Motivational Pull of Video Games: A Self-Determination Theory Approach","container-title":"Motivation &amp; Emotion","page":"344-360","volume":"30","issue":"4","source":"EBSCOhost","abstract":"Four studies apply self-determination theory (SDT; Ryan &amp; Deci, 2000) in investigating motivation for computer game play, and the effects of game play on well-being. Studies 1–3 examine individuals playing 1, 2 and 4 games, respectively and show that perceived in-game autonomy and competence are associated with game enjoyment, preferences, and changes in well-being pre- to post-play. Competence and autonomy perceptions are also related to the intuitive nature of game controls, and the sense of presence or immersion in participants’ game play experiences. Study 4 surveys an on-line community with experience in multi-player games. Results show that SDT’s theorized needs for autonomy, competence, and relatedness independently predict enjoyment and future game play. The SDT model is also compared with Yee’s (2005) motivation taxonomy of game play motivations. Results are discussed in terms of the relatively unexplored landscape of human motivation within virtual worlds.","DOI":"10.1007/s11031-006-9051-8","ISSN":"01467239","shortTitle":"The Motivational Pull of Video Games","journalAbbreviation":"Motivation &amp; Emotion","author":[{"family":"Ryan","given":"Richard"},{"family":"Rigby","given":"C."},{"family":"Przybylski","given":"Andrew"}],"issued":{"date-parts":[["2006",12]]},"accessed":{"date-parts":[["2015",1,13]],"season":"13:51:16"}}}],"schema":"https://github.com/citation-style-language/schema/raw/master/csl-citation.json"} </w:instrText>
      </w:r>
      <w:r w:rsidR="0067625B">
        <w:rPr>
          <w:lang w:val="en-GB"/>
        </w:rPr>
        <w:fldChar w:fldCharType="separate"/>
      </w:r>
      <w:r w:rsidR="00644ED2" w:rsidRPr="00644ED2">
        <w:rPr>
          <w:rFonts w:cs="Arial"/>
        </w:rPr>
        <w:t>[15]</w:t>
      </w:r>
      <w:r w:rsidR="0067625B">
        <w:rPr>
          <w:lang w:val="en-GB"/>
        </w:rPr>
        <w:fldChar w:fldCharType="end"/>
      </w:r>
      <w:r w:rsidR="0067625B">
        <w:rPr>
          <w:lang w:val="en-GB"/>
        </w:rPr>
        <w:t xml:space="preserve"> but also by the choice of control for testing </w:t>
      </w:r>
      <w:r w:rsidR="00E2591A">
        <w:rPr>
          <w:lang w:val="en-GB"/>
        </w:rPr>
        <w:fldChar w:fldCharType="begin"/>
      </w:r>
      <w:r w:rsidR="00644ED2">
        <w:rPr>
          <w:lang w:val="en-GB"/>
        </w:rPr>
        <w:instrText xml:space="preserve"> ADDIN ZOTERO_ITEM CSL_CITATION {"citationID":"1giuotainc","properties":{"formattedCitation":"[21]","plainCitation":"[21]"},"citationItems":[{"id":81,"uris":["http://zotero.org/users/local/FTZZFbAq/items/8WNPQC5X"],"uri":["http://zotero.org/users/local/FTZZFbAq/items/8WNPQC5X"],"itemData":{"id":81,"type":"article-journal","title":"Effects of Participation in a Simulation Game on Marketing Students' Numeracy and Financial Skills","container-title":"Journal of Marketing Education","page":"259-270","volume":"35","issue":"3","source":"Scopus","archive":"Scopus","abstract":"The need to endow marketing graduates with skills relevant to employability grows ever more important. Marketing math and elementary financial understanding are essential employability skills, particularly given the contemporary emphasis on marketing metrics, but the evidence is that marketing graduates are often relatively weak in such skills. This article suggests that one educational strategy to improve numeracy and financial skills may be through the use of a marketing simulation game. Through the simulation game, students are exposed to marketing calculations and financial data in an engaging context that simulates the real world. It is hypothesized that marketing students' numeracy and financial skills, and their self-efficacy with respect to marketing calculations, will improve following participation in a simulation game where numerical and financial analysis are necessary activities. Using a quasi-experimental research design, it is found that there are substantial and significant improvements in numerical and financial performance after participating in a simulation game, but that there is no improvement (and possibly a small decline) in self-efficacy related to these tasks. Marketing educators are advised that a marketing simulation game is a viable option to consider when seeking to improve students' numeracy and financial skills. © The Author(s) 2013.","DOI":"10.1177/0273475313482928","ISSN":"0273-4753","language":"English","author":[{"family":"Brennan","given":"R."},{"family":"Vos","given":"L."}],"issued":{"date-parts":[["2013"]]}}}],"schema":"https://github.com/citation-style-language/schema/raw/master/csl-citation.json"} </w:instrText>
      </w:r>
      <w:r w:rsidR="00E2591A">
        <w:rPr>
          <w:lang w:val="en-GB"/>
        </w:rPr>
        <w:fldChar w:fldCharType="separate"/>
      </w:r>
      <w:r w:rsidR="00644ED2" w:rsidRPr="00644ED2">
        <w:rPr>
          <w:rFonts w:cs="Arial"/>
        </w:rPr>
        <w:t>[21]</w:t>
      </w:r>
      <w:r w:rsidR="00E2591A">
        <w:rPr>
          <w:lang w:val="en-GB"/>
        </w:rPr>
        <w:fldChar w:fldCharType="end"/>
      </w:r>
      <w:r w:rsidR="0067625B">
        <w:rPr>
          <w:lang w:val="en-GB"/>
        </w:rPr>
        <w:t xml:space="preserve">.  </w:t>
      </w:r>
    </w:p>
    <w:p w:rsidR="005132FA" w:rsidRDefault="006377FB" w:rsidP="009554B0">
      <w:pPr>
        <w:rPr>
          <w:lang w:val="en-GB"/>
        </w:rPr>
      </w:pPr>
      <w:r>
        <w:rPr>
          <w:lang w:val="en-GB"/>
        </w:rPr>
        <w:t>In the domain of business</w:t>
      </w:r>
      <w:r w:rsidR="007B68E0">
        <w:rPr>
          <w:lang w:val="en-GB"/>
        </w:rPr>
        <w:t xml:space="preserve"> education</w:t>
      </w:r>
      <w:r>
        <w:rPr>
          <w:lang w:val="en-GB"/>
        </w:rPr>
        <w:t xml:space="preserve">, </w:t>
      </w:r>
      <w:r w:rsidR="00644ED2">
        <w:rPr>
          <w:lang w:val="en-GB"/>
        </w:rPr>
        <w:t xml:space="preserve">business </w:t>
      </w:r>
      <w:r w:rsidR="007B68E0">
        <w:rPr>
          <w:lang w:val="en-GB"/>
        </w:rPr>
        <w:t xml:space="preserve">simulation games </w:t>
      </w:r>
      <w:r w:rsidR="00644ED2">
        <w:rPr>
          <w:lang w:val="en-GB"/>
        </w:rPr>
        <w:t xml:space="preserve">(BSGs) </w:t>
      </w:r>
      <w:r w:rsidR="007B68E0">
        <w:rPr>
          <w:lang w:val="en-GB"/>
        </w:rPr>
        <w:t>have been</w:t>
      </w:r>
      <w:r w:rsidR="0098306E">
        <w:rPr>
          <w:lang w:val="en-GB"/>
        </w:rPr>
        <w:t xml:space="preserve"> widely used since the 1950s</w:t>
      </w:r>
      <w:r w:rsidR="007B68E0">
        <w:rPr>
          <w:lang w:val="en-GB"/>
        </w:rPr>
        <w:t xml:space="preserve"> </w:t>
      </w:r>
      <w:r w:rsidR="007B68E0">
        <w:rPr>
          <w:lang w:val="en-GB"/>
        </w:rPr>
        <w:fldChar w:fldCharType="begin"/>
      </w:r>
      <w:r w:rsidR="00644ED2">
        <w:rPr>
          <w:lang w:val="en-GB"/>
        </w:rPr>
        <w:instrText xml:space="preserve"> ADDIN ZOTERO_ITEM CSL_CITATION {"citationID":"10s8im4fjo","properties":{"formattedCitation":"[22]","plainCitation":"[22]"},"citationItems":[{"id":7416,"uris":["http://zotero.org/users/local/FTZZFbAq/items/RCCSZRAT"],"uri":["http://zotero.org/users/local/FTZZFbAq/items/RCCSZRAT"],"itemData":{"id":7416,"type":"article-journal","title":"A Survey of Simulation Game Users, Former-Users, and Never-Users","container-title":"Simulation &amp; Gaming","page":"178-207","volume":"35","issue":"2","source":"sag.sagepub.com","abstract":"An e-mail survey of 14,497 business faculty members across all disciplines at American Association of Collegiate Schools of Business member schools was undertaken to determine current business simulation game usage and thoughts about business simulation games. Issues such as how games are first adopted, objectives for game use, achievement of course objectives, where game users look for information on business games, courses taught by game users, how and why games in use are changed or dropped, and why some faculty members do not use simulation games were addressed. Across 1,085 respondents to this survey, 30.6% were current business game users, 17.1% were former game users, and 52.3% were never-users of business games.","DOI":"10.1177/1046878104263543","ISSN":"1046-8781, 1552-826X","journalAbbreviation":"Simulation Gaming","language":"en","author":[{"family":"Faria","given":"Anthony J."},{"family":"Wellington","given":"William J."}],"issued":{"date-parts":[["2004",6,1]]},"accessed":{"date-parts":[["2015",1,22]],"season":"15:05:06"}}}],"schema":"https://github.com/citation-style-language/schema/raw/master/csl-citation.json"} </w:instrText>
      </w:r>
      <w:r w:rsidR="007B68E0">
        <w:rPr>
          <w:lang w:val="en-GB"/>
        </w:rPr>
        <w:fldChar w:fldCharType="separate"/>
      </w:r>
      <w:r w:rsidR="00644ED2" w:rsidRPr="00644ED2">
        <w:rPr>
          <w:rFonts w:cs="Arial"/>
        </w:rPr>
        <w:t>[22]</w:t>
      </w:r>
      <w:r w:rsidR="007B68E0">
        <w:rPr>
          <w:lang w:val="en-GB"/>
        </w:rPr>
        <w:fldChar w:fldCharType="end"/>
      </w:r>
      <w:r w:rsidR="007757F3">
        <w:rPr>
          <w:lang w:val="en-GB"/>
        </w:rPr>
        <w:t xml:space="preserve">.  </w:t>
      </w:r>
      <w:r w:rsidR="000769AF">
        <w:rPr>
          <w:lang w:val="en-GB"/>
        </w:rPr>
        <w:t>The cognitive, affective and behavioural learning gains in business reflect those of simulation games generally, with students gaining a better understanding of facts and concepts, having a more positive attitude to learning and transferring new information to changed behaviours</w:t>
      </w:r>
      <w:r w:rsidR="00CD463E">
        <w:rPr>
          <w:lang w:val="en-GB"/>
        </w:rPr>
        <w:t xml:space="preserve"> as well as improving softer skills such as team work and communication</w:t>
      </w:r>
      <w:r w:rsidR="000769AF">
        <w:rPr>
          <w:lang w:val="en-GB"/>
        </w:rPr>
        <w:t xml:space="preserve"> </w:t>
      </w:r>
      <w:r w:rsidR="000769AF">
        <w:rPr>
          <w:lang w:val="en-GB"/>
        </w:rPr>
        <w:fldChar w:fldCharType="begin"/>
      </w:r>
      <w:r w:rsidR="000769AF">
        <w:rPr>
          <w:lang w:val="en-GB"/>
        </w:rPr>
        <w:instrText xml:space="preserve"> ADDIN ZOTERO_ITEM CSL_CITATION {"citationID":"bft7ha0oh","properties":{"formattedCitation":"[23]","plainCitation":"[23]"},"citationItems":[{"id":83,"uris":["http://zotero.org/users/local/FTZZFbAq/items/FIC5PDUA"],"uri":["http://zotero.org/users/local/FTZZFbAq/items/FIC5PDUA"],"itemData":{"id":83,"type":"article-journal","title":"The changing nature of business simulation/ gaming research: A brief history","container-title":"Simulation and Gaming","page":"97-110","volume":"32","issue":"1","source":"Scopus","archive":"Scopus","abstract":"The Association for Business Simulation and Experiential Learning (ABSEL) has recently passed its 25th birthday, and a review of the 25 years of ABSEL conference proceedings starting with Oklahoma City in 1974 provides a good overview of the changing nature of business simulation/gaming research. This article reviews the history of business simulation/gaming research through the eyes and articles of ABSEL members over the past 25 years. The review is limited to several areas of major research interest and examines research in the area of business gaming but not experiential learning. © 2001 Sage Publications, Inc.","DOI":"10.1177/114687810103200108","ISSN":"1046-8781","shortTitle":"The changing nature of business simulation/ gaming research","language":"English","author":[{"family":"Faria","given":"A.J."}],"issued":{"date-parts":[["2001"]]}}}],"schema":"https://github.com/citation-style-language/schema/raw/master/csl-citation.json"} </w:instrText>
      </w:r>
      <w:r w:rsidR="000769AF">
        <w:rPr>
          <w:lang w:val="en-GB"/>
        </w:rPr>
        <w:fldChar w:fldCharType="separate"/>
      </w:r>
      <w:r w:rsidR="000769AF" w:rsidRPr="000769AF">
        <w:rPr>
          <w:rFonts w:cs="Arial"/>
        </w:rPr>
        <w:t>[23]</w:t>
      </w:r>
      <w:r w:rsidR="000769AF">
        <w:rPr>
          <w:lang w:val="en-GB"/>
        </w:rPr>
        <w:fldChar w:fldCharType="end"/>
      </w:r>
      <w:r w:rsidR="000769AF">
        <w:rPr>
          <w:lang w:val="en-GB"/>
        </w:rPr>
        <w:t xml:space="preserve">.  </w:t>
      </w:r>
      <w:r w:rsidR="009554B0">
        <w:rPr>
          <w:lang w:val="en-GB"/>
        </w:rPr>
        <w:t>In marketing education specifically, educators are responding to t</w:t>
      </w:r>
      <w:r w:rsidR="009554B0">
        <w:rPr>
          <w:lang w:val="en-GB"/>
        </w:rPr>
        <w:t xml:space="preserve">he demands of industry to ensure that marketing graduates can integrate theory and practice and solve real world problems to meet the needs of employers, as advocated by </w:t>
      </w:r>
      <w:proofErr w:type="spellStart"/>
      <w:r w:rsidR="009554B0">
        <w:rPr>
          <w:lang w:val="en-GB"/>
        </w:rPr>
        <w:t>Schibrowsky</w:t>
      </w:r>
      <w:proofErr w:type="spellEnd"/>
      <w:r w:rsidR="009554B0">
        <w:rPr>
          <w:lang w:val="en-GB"/>
        </w:rPr>
        <w:t xml:space="preserve"> et </w:t>
      </w:r>
      <w:proofErr w:type="spellStart"/>
      <w:r w:rsidR="009554B0">
        <w:rPr>
          <w:lang w:val="en-GB"/>
        </w:rPr>
        <w:t>al’s</w:t>
      </w:r>
      <w:proofErr w:type="spellEnd"/>
      <w:r w:rsidR="009554B0">
        <w:rPr>
          <w:lang w:val="en-GB"/>
        </w:rPr>
        <w:t xml:space="preserve"> </w:t>
      </w:r>
      <w:r w:rsidR="009554B0">
        <w:rPr>
          <w:lang w:val="en-GB"/>
        </w:rPr>
        <w:fldChar w:fldCharType="begin"/>
      </w:r>
      <w:r w:rsidR="00E65189">
        <w:rPr>
          <w:lang w:val="en-GB"/>
        </w:rPr>
        <w:instrText xml:space="preserve"> ADDIN ZOTERO_ITEM CSL_CITATION {"citationID":"wpzAXXIm","properties":{"formattedCitation":"[24]","plainCitation":"[24]"},"citationItems":[{"id":7446,"uris":["http://zotero.org/users/local/FTZZFbAq/items/DCCZQFAJ"],"uri":["http://zotero.org/users/local/FTZZFbAq/items/DCCZQFAJ"],"itemData":{"id":7446,"type":"article-journal","title":"A Professional School Approach to Marketing Education","container-title":"Journal of Marketing Education","page":"43-55","volume":"24","issue":"1","source":"jmd.sagepub.com","abstract":"With many business schools paying lip service to the concept of professional training, this article attempts to provide some direction for moving from an academic or liberal-arts-oriented marketing department to a professional marketing program. The transformation to a professional school perspective can be facilitated by marketing programs examining other professional schools to identify how these programs differ from their current programs. A professional school approach to marketing education meets the needs of both students and employers while providing the department with a comparative advantage as the business education environment becomes more competitive and challenging.","DOI":"10.1177/0273475302241006","ISSN":"0273-4753, 1552-6550","journalAbbreviation":"Journal of Marketing Education","language":"en","author":[{"family":"Schibrowsky","given":"John A."},{"family":"Peltier","given":"James W."},{"family":"Boyt","given":"Thomas E."}],"issued":{"date-parts":[["2002",4,1]]},"accessed":{"date-parts":[["2015",1,22]],"season":"18:47:37"}}}],"schema":"https://github.com/citation-style-language/schema/raw/master/csl-citation.json"} </w:instrText>
      </w:r>
      <w:r w:rsidR="009554B0">
        <w:rPr>
          <w:lang w:val="en-GB"/>
        </w:rPr>
        <w:fldChar w:fldCharType="separate"/>
      </w:r>
      <w:r w:rsidR="00E65189" w:rsidRPr="00E65189">
        <w:rPr>
          <w:rFonts w:cs="Arial"/>
        </w:rPr>
        <w:t>[24]</w:t>
      </w:r>
      <w:r w:rsidR="009554B0">
        <w:rPr>
          <w:lang w:val="en-GB"/>
        </w:rPr>
        <w:fldChar w:fldCharType="end"/>
      </w:r>
      <w:r w:rsidR="009554B0">
        <w:rPr>
          <w:lang w:val="en-GB"/>
        </w:rPr>
        <w:t xml:space="preserve"> professional school model.  The case for promoting active and experiential learning in marketing has been strongly made </w:t>
      </w:r>
      <w:r w:rsidR="009554B0">
        <w:rPr>
          <w:lang w:val="en-GB"/>
        </w:rPr>
        <w:fldChar w:fldCharType="begin"/>
      </w:r>
      <w:r w:rsidR="00E65189">
        <w:rPr>
          <w:lang w:val="en-GB"/>
        </w:rPr>
        <w:instrText xml:space="preserve"> ADDIN ZOTERO_ITEM CSL_CITATION {"citationID":"19rj4fq66c","properties":{"formattedCitation":"[25], [26]","plainCitation":"[25], [26]"},"citationItems":[{"id":7437,"uris":["http://zotero.org/users/local/FTZZFbAq/items/STWPHM9X"],"uri":["http://zotero.org/users/local/FTZZFbAq/items/STWPHM9X"],"itemData":{"id":7437,"type":"article-journal","title":"The Reality-Based Learning Method: A Simple Method for Keeping Teaching Activities Relevant and Effective","container-title":"Journal of Marketing Education","page":"66-74","volume":"26","issue":"1","source":"jmd.sagepub.com","abstract":"Active and experiential learning theory have not dramatically changed collegiate classroom teaching methods, although they have long been included in the pedagogical literature. This article presents an evolved method, reality based learning, that aids professors in including active learning activities with feelings of clarity and confidence. The reality-based learning method subjects each learning activity to a 4-point framework that is used by the professor in all stages, planning, implementation, and review. Its solid rationale, rigorous standards, and logical applicability are intended to ease professors’ confusion and apprehension about active and experiential learning. Furthermore, professors will find that they can truly make a difference in their students’transferability of knowledge, skills, and attitudes from the confines of a classroom to their interactions in the broader world. Finally, its applications are demonstrated in an extended diagnostic approach to the selection of an activity for one specific content area.","DOI":"10.1177/0273475303262353","ISSN":"0273-4753, 1552-6550","shortTitle":"The Reality-Based Learning Method","journalAbbreviation":"Journal of Marketing Education","language":"en","author":[{"family":"Smith","given":"Louise W."},{"family":"Doren","given":"Doris C. Van"}],"issued":{"date-parts":[["2004",4,1]]},"accessed":{"date-parts":[["2015",1,22]],"season":"18:31:44"}}},{"id":7434,"uris":["http://zotero.org/users/local/FTZZFbAq/items/R9PDEFXK"],"uri":["http://zotero.org/users/local/FTZZFbAq/items/R9PDEFXK"],"itemData":{"id":7434,"type":"article-journal","title":"The Editor’s Corner","container-title":"Journal of Marketing Education","page":"3-4","volume":"22","issue":"1","source":"jmd.sagepub.com","DOI":"10.1177/0273475300221001","ISSN":"0273-4753, 1552-6550","journalAbbreviation":"Journal of Marketing Education","language":"en","author":[{"family":"Frontczak","given":"Nancy T."},{"family":"Kelley","given":"Craig A."}],"issued":{"date-parts":[["2000",4,1]]},"accessed":{"date-parts":[["2015",1,22]],"season":"18:30:52"}}}],"schema":"https://github.com/citation-style-language/schema/raw/master/csl-citation.json"} </w:instrText>
      </w:r>
      <w:r w:rsidR="009554B0">
        <w:rPr>
          <w:lang w:val="en-GB"/>
        </w:rPr>
        <w:fldChar w:fldCharType="separate"/>
      </w:r>
      <w:r w:rsidR="00E65189" w:rsidRPr="00E65189">
        <w:rPr>
          <w:rFonts w:cs="Arial"/>
        </w:rPr>
        <w:t>[25], [26]</w:t>
      </w:r>
      <w:r w:rsidR="009554B0">
        <w:rPr>
          <w:lang w:val="en-GB"/>
        </w:rPr>
        <w:fldChar w:fldCharType="end"/>
      </w:r>
      <w:r w:rsidR="009554B0">
        <w:rPr>
          <w:lang w:val="en-GB"/>
        </w:rPr>
        <w:t xml:space="preserve">.  </w:t>
      </w:r>
      <w:r w:rsidR="009554B0">
        <w:rPr>
          <w:lang w:val="en-GB"/>
        </w:rPr>
        <w:t xml:space="preserve"> Simulation games offer the possibility of delivering </w:t>
      </w:r>
      <w:r w:rsidR="00E65189">
        <w:rPr>
          <w:lang w:val="en-GB"/>
        </w:rPr>
        <w:t xml:space="preserve">experiential learning in a situated context which requires integration of concepts and can develop understanding of the causal factors in a given marketplace </w:t>
      </w:r>
      <w:r w:rsidR="00E65189">
        <w:rPr>
          <w:lang w:val="en-GB"/>
        </w:rPr>
        <w:fldChar w:fldCharType="begin"/>
      </w:r>
      <w:r w:rsidR="00E65189">
        <w:rPr>
          <w:lang w:val="en-GB"/>
        </w:rPr>
        <w:instrText xml:space="preserve"> ADDIN ZOTERO_ITEM CSL_CITATION {"citationID":"12bno3oivb","properties":{"formattedCitation":"[27], [28]","plainCitation":"[27], [28]"},"citationItems":[{"id":7452,"uris":["http://zotero.org/users/local/FTZZFbAq/items/AX8PPZ8N"],"uri":["http://zotero.org/users/local/FTZZFbAq/items/AX8PPZ8N"],"itemData":{"id":7452,"type":"article-journal","title":"Using Simulations in the Undergraduate Marketing Capstone Case Course","container-title":"Marketing Education Review","page":"7-16","volume":"19","issue":"1","source":"EBSCOhost","abstract":"This paper discusses the implementation of an innovative, team-based simulation in the marketing Capstone Case Course (CCC) at a large public university in the U.S.A. While simulations have been around for long, the experience reported here is unique because of its implementation and custom resources. Here, the simulation is a dynamic case project, engaging the students in a real-life-like situation and it attempts to improve their decision-making techniques and skills. The overwhelmingly positive feedback from the students is evidence of the success of this approach and its project. The adoption of this approach in other teaching institutions is strongly recommended.","ISSN":"10528008","journalAbbreviation":"Marketing Education Review","author":[{"family":"Ganesh","given":"Gopala"},{"family":"Qin Sun","given":""}],"issued":{"date-parts":[["2009"]],"season":"Spring"},"accessed":{"date-parts":[["2015",1,22]],"season":"19:02:14"}}},{"id":78,"uris":["http://zotero.org/users/local/FTZZFbAq/items/NMM2WS9M"],"uri":["http://zotero.org/users/local/FTZZFbAq/items/NMM2WS9M"],"itemData":{"id":78,"type":"article-journal","title":"Marketing simulation games: student and lecturer perspectives","container-title":"Marketing Intelligence &amp; Planning","page":"882-897","volume":"28","issue":"7","source":"emeraldinsight.com (Atypon)","DOI":"10.1108/02634501011086472","ISSN":"0263-4503","shortTitle":"Marketing simulation games","journalAbbreviation":"Mrkting Intelligence &amp; Plan","author":[{"family":"Lynn Vos","given":""},{"family":"Ross Brennan","given":""}],"issued":{"date-parts":[["2010",10,26]]},"accessed":{"date-parts":[["2014",12,15]]}}}],"schema":"https://github.com/citation-style-language/schema/raw/master/csl-citation.json"} </w:instrText>
      </w:r>
      <w:r w:rsidR="00E65189">
        <w:rPr>
          <w:lang w:val="en-GB"/>
        </w:rPr>
        <w:fldChar w:fldCharType="separate"/>
      </w:r>
      <w:r w:rsidR="00E65189" w:rsidRPr="00E65189">
        <w:rPr>
          <w:rFonts w:cs="Arial"/>
        </w:rPr>
        <w:t>[27], [28]</w:t>
      </w:r>
      <w:r w:rsidR="00E65189">
        <w:rPr>
          <w:lang w:val="en-GB"/>
        </w:rPr>
        <w:fldChar w:fldCharType="end"/>
      </w:r>
      <w:r w:rsidR="00E65189">
        <w:rPr>
          <w:lang w:val="en-GB"/>
        </w:rPr>
        <w:t xml:space="preserve">.  </w:t>
      </w:r>
      <w:r w:rsidR="005132FA">
        <w:rPr>
          <w:lang w:val="en-GB"/>
        </w:rPr>
        <w:t>Furthermore, i</w:t>
      </w:r>
      <w:r w:rsidR="009554B0">
        <w:rPr>
          <w:lang w:val="en-GB"/>
        </w:rPr>
        <w:t xml:space="preserve">n a </w:t>
      </w:r>
      <w:r w:rsidR="005132FA">
        <w:rPr>
          <w:lang w:val="en-GB"/>
        </w:rPr>
        <w:t>review of</w:t>
      </w:r>
      <w:r w:rsidR="009554B0">
        <w:rPr>
          <w:lang w:val="en-GB"/>
        </w:rPr>
        <w:t xml:space="preserve"> learning activities</w:t>
      </w:r>
      <w:r w:rsidR="005132FA">
        <w:rPr>
          <w:lang w:val="en-GB"/>
        </w:rPr>
        <w:t xml:space="preserve"> in marketing education</w:t>
      </w:r>
      <w:r w:rsidR="009554B0">
        <w:rPr>
          <w:lang w:val="en-GB"/>
        </w:rPr>
        <w:t xml:space="preserve">, </w:t>
      </w:r>
      <w:proofErr w:type="spellStart"/>
      <w:r w:rsidR="009554B0">
        <w:rPr>
          <w:lang w:val="en-GB"/>
        </w:rPr>
        <w:t>Karns</w:t>
      </w:r>
      <w:proofErr w:type="spellEnd"/>
      <w:r w:rsidR="009554B0">
        <w:rPr>
          <w:lang w:val="en-GB"/>
        </w:rPr>
        <w:t xml:space="preserve"> </w:t>
      </w:r>
      <w:r w:rsidR="009554B0">
        <w:rPr>
          <w:lang w:val="en-GB"/>
        </w:rPr>
        <w:fldChar w:fldCharType="begin"/>
      </w:r>
      <w:r w:rsidR="00E65189">
        <w:rPr>
          <w:lang w:val="en-GB"/>
        </w:rPr>
        <w:instrText xml:space="preserve"> ADDIN ZOTERO_ITEM CSL_CITATION {"citationID":"1b5pllru0c","properties":{"formattedCitation":"[29]","plainCitation":"[29]"},"citationItems":[{"id":7428,"uris":["http://zotero.org/users/local/FTZZFbAq/items/DFRDCBCG"],"uri":["http://zotero.org/users/local/FTZZFbAq/items/DFRDCBCG"],"itemData":{"id":7428,"type":"article-journal","title":"An Update of Marketing Student Perceptions of Learning Activities: Structure, Preferences, and Effectiveness","container-title":"Journal of Marketing Education","page":"163-171","volume":"27","issue":"2","source":"jmd.sagepub.com","abstract":"Many changes have occurred in the context of marketing education during the past decade, including the increased use of new technology-based and experiential pedagogies. To update the understanding of how students in advanced marketing courses perceive marketing pedagogies in this new context, a replication and extension of Karns’s study of student perceptions of learning activities was performed with survey responses from 227 students at eight universities. Multidimensional scaling analysis suggests that the underlying structure of these perceptions can be described by the labels: enjoyable, challenging, and real world. Internships, class discussion, and case analyses were seen by students as the learning activities that most contribute to their learning. Course Web sites and online discussion were seen as relatively less effective in contributing to student learning. Overall, it appears that marketing educators should continue efforts to imbue all learning activities with an applied, real-world orientation.","DOI":"10.1177/0273475305276641","ISSN":"0273-4753, 1552-6550","shortTitle":"An Update of Marketing Student Perceptions of Learning Activities","journalAbbreviation":"Journal of Marketing Education","language":"en","author":[{"family":"Karns","given":"Gary L."}],"issued":{"date-parts":[["2005",8,1]]},"accessed":{"date-parts":[["2015",1,22]],"season":"15:53:49"}}}],"schema":"https://github.com/citation-style-language/schema/raw/master/csl-citation.json"} </w:instrText>
      </w:r>
      <w:r w:rsidR="009554B0">
        <w:rPr>
          <w:lang w:val="en-GB"/>
        </w:rPr>
        <w:fldChar w:fldCharType="separate"/>
      </w:r>
      <w:r w:rsidR="00E65189" w:rsidRPr="00E65189">
        <w:rPr>
          <w:rFonts w:cs="Arial"/>
        </w:rPr>
        <w:t>[29]</w:t>
      </w:r>
      <w:r w:rsidR="009554B0">
        <w:rPr>
          <w:lang w:val="en-GB"/>
        </w:rPr>
        <w:fldChar w:fldCharType="end"/>
      </w:r>
      <w:r w:rsidR="009554B0">
        <w:rPr>
          <w:lang w:val="en-GB"/>
        </w:rPr>
        <w:t xml:space="preserve"> found that simulation games </w:t>
      </w:r>
      <w:r w:rsidR="005132FA">
        <w:rPr>
          <w:lang w:val="en-GB"/>
        </w:rPr>
        <w:t xml:space="preserve">ranked highly in terms of student preferences and perceived effectiveness, supporting findings from the BSG literature </w:t>
      </w:r>
      <w:r w:rsidR="005132FA">
        <w:rPr>
          <w:lang w:val="en-GB"/>
        </w:rPr>
        <w:fldChar w:fldCharType="begin"/>
      </w:r>
      <w:r w:rsidR="005132FA">
        <w:rPr>
          <w:lang w:val="en-GB"/>
        </w:rPr>
        <w:instrText xml:space="preserve"> ADDIN ZOTERO_ITEM CSL_CITATION {"citationID":"4rtf3g3a3","properties":{"formattedCitation":"[28], [30]","plainCitation":"[28], [30]"},"citationItems":[{"id":7449,"uris":["http://zotero.org/users/local/FTZZFbAq/items/8KAFX2BM"],"uri":["http://zotero.org/users/local/FTZZFbAq/items/8KAFX2BM"],"itemData":{"id":7449,"type":"article-journal","title":"Teaching Experiential Learning: Adoption of an Innovative Course in an MBA Marketing Curriculum","container-title":"Journal of Marketing Education","page":"25-33","volume":"29","issue":"1","source":"jmd.sagepub.com","abstract":"Colleges of business administration are under continuing pressure to develop innovative courses to meet demands from the business community. At the same time, faculty members are facing increasing challenges in adopting innovative technologies because of the amount of risk and effort involved. This article examines the adoption of Marketplace, a purely experiential learning course, in an MBA curriculum. The investigation shows that group dynamics and product characteristics were two key factors in the success of the innovation adoption. Findings from an empirical study demonstrate that the students perceived the simulation course as a viable alternative to the lecture-based pedagogy.","DOI":"10.1177/0273475306297380","ISSN":"0273-4753, 1552-6550","shortTitle":"Teaching Experiential Learning","journalAbbreviation":"Journal of Marketing Education","language":"en","author":[{"family":"Li","given":"Tiger"},{"family":"Greenberg","given":"Barnett A."},{"family":"Nicholls","given":"J. a. F."}],"issued":{"date-parts":[["2007",4,1]]},"accessed":{"date-parts":[["2015",1,22]],"season":"18:59:20"}}},{"id":78,"uris":["http://zotero.org/users/local/FTZZFbAq/items/NMM2WS9M"],"uri":["http://zotero.org/users/local/FTZZFbAq/items/NMM2WS9M"],"itemData":{"id":78,"type":"article-journal","title":"Marketing simulation games: student and lecturer perspectives","container-title":"Marketing Intelligence &amp; Planning","page":"882-897","volume":"28","issue":"7","source":"emeraldinsight.com (Atypon)","DOI":"10.1108/02634501011086472","ISSN":"0263-4503","shortTitle":"Marketing simulation games","journalAbbreviation":"Mrkting Intelligence &amp; Plan","author":[{"family":"Lynn Vos","given":""},{"family":"Ross Brennan","given":""}],"issued":{"date-parts":[["2010",10,26]]},"accessed":{"date-parts":[["2014",12,15]]}}}],"schema":"https://github.com/citation-style-language/schema/raw/master/csl-citation.json"} </w:instrText>
      </w:r>
      <w:r w:rsidR="005132FA">
        <w:rPr>
          <w:lang w:val="en-GB"/>
        </w:rPr>
        <w:fldChar w:fldCharType="separate"/>
      </w:r>
      <w:r w:rsidR="005132FA" w:rsidRPr="005132FA">
        <w:rPr>
          <w:rFonts w:cs="Arial"/>
        </w:rPr>
        <w:t>[28], [30]</w:t>
      </w:r>
      <w:r w:rsidR="005132FA">
        <w:rPr>
          <w:lang w:val="en-GB"/>
        </w:rPr>
        <w:fldChar w:fldCharType="end"/>
      </w:r>
      <w:r w:rsidR="00AA5FDD">
        <w:rPr>
          <w:lang w:val="en-GB"/>
        </w:rPr>
        <w:t xml:space="preserve">.  Interestingly, in </w:t>
      </w:r>
      <w:proofErr w:type="spellStart"/>
      <w:r w:rsidR="00AA5FDD">
        <w:rPr>
          <w:lang w:val="en-GB"/>
        </w:rPr>
        <w:t>Karns</w:t>
      </w:r>
      <w:proofErr w:type="spellEnd"/>
      <w:r w:rsidR="00AA5FDD">
        <w:rPr>
          <w:lang w:val="en-GB"/>
        </w:rPr>
        <w:t xml:space="preserve"> analysis, simulation games were ranked below other more traditional methods such as case studies and class studies which were classified as less challenging, supporting findings that the high cognitive load of simulation games can adversely </w:t>
      </w:r>
      <w:proofErr w:type="spellStart"/>
      <w:r w:rsidR="007870C4">
        <w:rPr>
          <w:lang w:val="en-GB"/>
        </w:rPr>
        <w:t>effect</w:t>
      </w:r>
      <w:proofErr w:type="spellEnd"/>
      <w:r w:rsidR="00AA5FDD">
        <w:rPr>
          <w:lang w:val="en-GB"/>
        </w:rPr>
        <w:t xml:space="preserve"> learning and motivation</w:t>
      </w:r>
      <w:r w:rsidR="007870C4">
        <w:rPr>
          <w:lang w:val="en-GB"/>
        </w:rPr>
        <w:t xml:space="preserve"> </w:t>
      </w:r>
      <w:r w:rsidR="007870C4">
        <w:rPr>
          <w:lang w:val="en-GB"/>
        </w:rPr>
        <w:fldChar w:fldCharType="begin"/>
      </w:r>
      <w:r w:rsidR="007870C4">
        <w:rPr>
          <w:lang w:val="en-GB"/>
        </w:rPr>
        <w:instrText xml:space="preserve"> ADDIN ZOTERO_ITEM CSL_CITATION {"citationID":"wc6ejkFs","properties":{"formattedCitation":"[10], [31], [32]","plainCitation":"[10], [31], [32]"},"citationItems":[{"id":157,"uris":["http://zotero.org/users/local/FTZZFbAq/items/XWDBPGV3"],"uri":["http://zotero.org/users/local/FTZZFbAq/items/XWDBPGV3"],"itemData":{"id":157,"type":"article-journal","title":"Foundation for problem-based gaming","container-title":"British Journal of Educational Technology","page":"394-404","volume":"38","issue":"3","source":"Wiley Online Library","abstract":"Educational games may offer a viable strategy for developing students' problem-solving skills. However, the state of art of educational game research does not provide an account for that. Thus, the aim of this research is to develop an empirically allocated model about problem-based gaming that can be utilised to design pedagogically meaningful games. The proposed model was evaluated through a business simulation game. The interviews indicated that authenticity, collaboration and learning by doing were found to be the most important characteristics of effective educational games. Results also showed that the proposed model describes well the problem-based gaming process in which the reflection phase seems to be a vital factor. The outcome of the reflection phase may be personal synthesis of knowledge, validation of hypothesis laid or a new playing strategy to be tested. However, because of the small sample size of this study, more research on the topic is recommended. Especially, ways to support reflection in games needs to be studied.","DOI":"10.1111/j.1467-8535.2007.00704.x","ISSN":"1467-8535","language":"en","author":[{"family":"Kiili","given":"Kristian"}],"issued":{"date-parts":[["2007"]]},"accessed":{"date-parts":[["2015",1,8]],"season":"16:55:12"}}},{"id":7463,"uris":["http://zotero.org/users/local/FTZZFbAq/items/ERSIZ8HR"],"uri":["http://zotero.org/users/local/FTZZFbAq/items/ERSIZ8HR"],"itemData":{"id":7463,"type":"article-journal","title":"A motivational perspective on the relation between mental effort and performance: Optimizing learner involvement in instruction","container-title":"Educational Technology Research and Development","page":"25-34","volume":"53","issue":"3","source":"link.springer.com","abstract":"Motivation can be identified as a dimension that determines learning success and causes the high dropout rate among online learners, especially in complex e-learning environments. It is argued that these learning environments represensent a new challenge to cognitive load researchers to investigate the motivational effects of instructional conditions and help instructional designers to predict which instructional configurations will maximize learning and transfer. Consistent with the efficiency perspective introduced by Paas and Van Merriënboer (1993), an alternative motivational perspective of the relation between mental effort and performance is presented. We propose a procedure to compute and visualize the differential effects of instructional conditions on learner motivation, and illustrate this procedure on the basis of an existing data set. Theoretical and practical implications of the motivational perspective are discussed.","DOI":"10.1007/BF02504795","ISSN":"1042-1629, 1556-6501","shortTitle":"A motivational perspective on the relation between mental effort and performance","journalAbbreviation":"ETR&amp;D","language":"en","author":[{"family":"Paas","given":"Fred"},{"family":"Tuovinen","given":"Juhani E."},{"family":"Merriënboer","given":"Jeroen J. G. van"},{"family":"Darabi","given":"A. Aubteen"}],"issued":{"date-parts":[["2005",9,1]]},"accessed":{"date-parts":[["2015",1,22]],"season":"19:34:23"}}},{"id":7454,"uris":["http://zotero.org/users/local/FTZZFbAq/items/ZF9RXJ4V"],"uri":["http://zotero.org/users/local/FTZZFbAq/items/ZF9RXJ4V"],"itemData":{"id":7454,"type":"article-journal","title":"Cognitive Load Theory and Complex Learning: Recent Developments and Future Directions","container-title":"Educational Psychology Review","page":"147-177","volume":"17","issue":"2","source":"link.springer.com","abstract":"Traditionally, Cognitive Load Theory (CLT) has focused on instructional methods to decrease extraneous cognitive load so that available cognitive resources can be fully devoted to learning. This article strengthens the cognitive base of CLT by linking cognitive processes to the processes used by biological evolution. The article discusses recent developments in CLT related to the current view in instructional design that real-life tasks should be the driving force for complex learning. First, the complexity, or intrinsic cognitive load, of such tasks is often high so that new methods are needed to manage cognitive load. Second, complex learning is a lengthy process requiring learners’ motivational states and levels of expertise development to be taken into account. Third, this perspective requires more advanced methods to measure expertise and cognitive load so that instruction can be flexibly adapted to individual learners’ needs. Experimental studies are reviewed to illustrate these recent developments. Guidelines for future research are provided.","DOI":"10.1007/s10648-005-3951-0","ISSN":"1040-726X, 1573-336X","shortTitle":"Cognitive Load Theory and Complex Learning","journalAbbreviation":"Educ Psychol Rev","language":"en","author":[{"family":"Merriënboer","given":"Jeroen J. G. van"},{"family":"Sweller","given":"John"}],"issued":{"date-parts":[["2005",6,1]]},"accessed":{"date-parts":[["2015",1,22]],"season":"19:30:12"}}}],"schema":"https://github.com/citation-style-language/schema/raw/master/csl-citation.json"} </w:instrText>
      </w:r>
      <w:r w:rsidR="007870C4">
        <w:rPr>
          <w:lang w:val="en-GB"/>
        </w:rPr>
        <w:fldChar w:fldCharType="separate"/>
      </w:r>
      <w:r w:rsidR="007870C4" w:rsidRPr="007870C4">
        <w:rPr>
          <w:rFonts w:cs="Arial"/>
        </w:rPr>
        <w:t>[10], [31], [32]</w:t>
      </w:r>
      <w:r w:rsidR="007870C4">
        <w:rPr>
          <w:lang w:val="en-GB"/>
        </w:rPr>
        <w:fldChar w:fldCharType="end"/>
      </w:r>
      <w:r w:rsidR="007870C4">
        <w:rPr>
          <w:lang w:val="en-GB"/>
        </w:rPr>
        <w:t xml:space="preserve">.  </w:t>
      </w:r>
    </w:p>
    <w:p w:rsidR="00600630" w:rsidRDefault="00600630" w:rsidP="00600630">
      <w:pPr>
        <w:pStyle w:val="Heading1"/>
        <w:rPr>
          <w:lang w:val="en-GB"/>
        </w:rPr>
      </w:pPr>
      <w:r>
        <w:rPr>
          <w:lang w:val="en-GB"/>
        </w:rPr>
        <w:lastRenderedPageBreak/>
        <w:t>methodology</w:t>
      </w:r>
    </w:p>
    <w:p w:rsidR="00CD463E" w:rsidRDefault="00CD463E" w:rsidP="00CD463E">
      <w:pPr>
        <w:rPr>
          <w:lang w:val="en-GB"/>
        </w:rPr>
      </w:pPr>
      <w:r>
        <w:rPr>
          <w:lang w:val="en-GB"/>
        </w:rPr>
        <w:t xml:space="preserve">This </w:t>
      </w:r>
      <w:r w:rsidR="00DF67C4">
        <w:rPr>
          <w:lang w:val="en-GB"/>
        </w:rPr>
        <w:t xml:space="preserve">qualitative case </w:t>
      </w:r>
      <w:r>
        <w:rPr>
          <w:lang w:val="en-GB"/>
        </w:rPr>
        <w:t xml:space="preserve">study sets out to explore </w:t>
      </w:r>
      <w:proofErr w:type="gramStart"/>
      <w:r w:rsidR="003912D1">
        <w:rPr>
          <w:lang w:val="en-GB"/>
        </w:rPr>
        <w:t>students</w:t>
      </w:r>
      <w:proofErr w:type="gramEnd"/>
      <w:r w:rsidR="003912D1">
        <w:rPr>
          <w:lang w:val="en-GB"/>
        </w:rPr>
        <w:t xml:space="preserve"> perceptions of learning </w:t>
      </w:r>
      <w:r w:rsidR="003912D1">
        <w:rPr>
          <w:lang w:val="en-GB"/>
        </w:rPr>
        <w:t>hard and soft skills</w:t>
      </w:r>
      <w:r w:rsidR="003912D1">
        <w:rPr>
          <w:lang w:val="en-GB"/>
        </w:rPr>
        <w:t xml:space="preserve"> with </w:t>
      </w:r>
      <w:r>
        <w:rPr>
          <w:lang w:val="en-GB"/>
        </w:rPr>
        <w:t>a marketing simulation game</w:t>
      </w:r>
      <w:r w:rsidR="00DF67C4">
        <w:rPr>
          <w:lang w:val="en-GB"/>
        </w:rPr>
        <w:t xml:space="preserve"> in an</w:t>
      </w:r>
      <w:r w:rsidR="00DF67C4" w:rsidRPr="00600630">
        <w:rPr>
          <w:lang w:val="en-GB"/>
        </w:rPr>
        <w:t xml:space="preserve"> </w:t>
      </w:r>
      <w:r w:rsidR="003912D1">
        <w:rPr>
          <w:lang w:val="en-GB"/>
        </w:rPr>
        <w:t>undergraduate</w:t>
      </w:r>
      <w:r w:rsidR="00DF67C4">
        <w:rPr>
          <w:lang w:val="en-GB"/>
        </w:rPr>
        <w:t xml:space="preserve"> Essentials of M</w:t>
      </w:r>
      <w:r w:rsidR="003912D1">
        <w:rPr>
          <w:lang w:val="en-GB"/>
        </w:rPr>
        <w:t>arketing</w:t>
      </w:r>
      <w:r w:rsidR="00DF67C4">
        <w:rPr>
          <w:lang w:val="en-GB"/>
        </w:rPr>
        <w:t xml:space="preserve"> module</w:t>
      </w:r>
      <w:r w:rsidR="003912D1">
        <w:rPr>
          <w:lang w:val="en-GB"/>
        </w:rPr>
        <w:t xml:space="preserve"> in a UK University</w:t>
      </w:r>
      <w:r>
        <w:rPr>
          <w:lang w:val="en-GB"/>
        </w:rPr>
        <w:t xml:space="preserve">.  </w:t>
      </w:r>
    </w:p>
    <w:p w:rsidR="003912D1" w:rsidRDefault="003912D1" w:rsidP="003912D1">
      <w:pPr>
        <w:pStyle w:val="Heading2"/>
        <w:rPr>
          <w:lang w:val="en-GB"/>
        </w:rPr>
      </w:pPr>
      <w:r>
        <w:rPr>
          <w:lang w:val="en-GB"/>
        </w:rPr>
        <w:t>The Simulation Game: MMX</w:t>
      </w:r>
    </w:p>
    <w:p w:rsidR="00641792" w:rsidRPr="00A94D6A" w:rsidRDefault="00DF67C4" w:rsidP="00DF67C4">
      <w:pPr>
        <w:rPr>
          <w:lang w:val="en-GB"/>
        </w:rPr>
      </w:pPr>
      <w:r>
        <w:rPr>
          <w:lang w:val="en-GB"/>
        </w:rPr>
        <w:t xml:space="preserve">The simulation game used in this study, </w:t>
      </w:r>
      <w:r w:rsidR="00641792">
        <w:rPr>
          <w:lang w:val="en-GB"/>
        </w:rPr>
        <w:t>MMX</w:t>
      </w:r>
      <w:r>
        <w:rPr>
          <w:lang w:val="en-GB"/>
        </w:rPr>
        <w:t>,</w:t>
      </w:r>
      <w:r w:rsidR="00641792">
        <w:rPr>
          <w:lang w:val="en-GB"/>
        </w:rPr>
        <w:t xml:space="preserve"> </w:t>
      </w:r>
      <w:r>
        <w:rPr>
          <w:lang w:val="en-GB"/>
        </w:rPr>
        <w:t xml:space="preserve">is designed to apply and develop student marketing knowledge in the production of a marketing plan.  This is an essential skill for any marketing practitioner and requires the integration of a number of core marketing concepts.  The simulation game offers the possibility to practice these skills in a safe and supported environment.  MMX </w:t>
      </w:r>
      <w:r w:rsidR="00641792">
        <w:rPr>
          <w:lang w:val="en-GB"/>
        </w:rPr>
        <w:t>presents the major components of the production of a marketing plan into eight ‘quarters’ with each quarter focusing on a particular aspect of marketing a jeans product.</w:t>
      </w:r>
      <w:r>
        <w:rPr>
          <w:lang w:val="en-GB"/>
        </w:rPr>
        <w:t xml:space="preserve"> Students are divided into team</w:t>
      </w:r>
      <w:r w:rsidR="00641792">
        <w:rPr>
          <w:lang w:val="en-GB"/>
        </w:rPr>
        <w:t xml:space="preserve">s and </w:t>
      </w:r>
      <w:r>
        <w:rPr>
          <w:lang w:val="en-GB"/>
        </w:rPr>
        <w:t xml:space="preserve">each team </w:t>
      </w:r>
      <w:r w:rsidR="00641792">
        <w:rPr>
          <w:lang w:val="en-GB"/>
        </w:rPr>
        <w:t>compete against each other</w:t>
      </w:r>
      <w:r>
        <w:rPr>
          <w:lang w:val="en-GB"/>
        </w:rPr>
        <w:t xml:space="preserve"> in the jeans marketplace</w:t>
      </w:r>
      <w:r w:rsidR="00641792">
        <w:rPr>
          <w:lang w:val="en-GB"/>
        </w:rPr>
        <w:t xml:space="preserve"> with results from each quarter being displayed for all participants. The simulation is structured </w:t>
      </w:r>
      <w:r>
        <w:rPr>
          <w:lang w:val="en-GB"/>
        </w:rPr>
        <w:t xml:space="preserve">to scaffold students’ marketing decisions but group members have autonomy to </w:t>
      </w:r>
      <w:r>
        <w:rPr>
          <w:lang w:val="en-GB"/>
        </w:rPr>
        <w:t>decide on the value of various marketing plan variables</w:t>
      </w:r>
      <w:r>
        <w:rPr>
          <w:lang w:val="en-GB"/>
        </w:rPr>
        <w:t xml:space="preserve">.  </w:t>
      </w:r>
      <w:r w:rsidRPr="00600630">
        <w:rPr>
          <w:lang w:val="en-GB"/>
        </w:rPr>
        <w:t xml:space="preserve">As in the real world, the </w:t>
      </w:r>
      <w:r w:rsidR="007C72B8">
        <w:rPr>
          <w:lang w:val="en-GB"/>
        </w:rPr>
        <w:t>competitive strategy taken by a</w:t>
      </w:r>
      <w:r w:rsidRPr="00600630">
        <w:rPr>
          <w:lang w:val="en-GB"/>
        </w:rPr>
        <w:t xml:space="preserve"> team can lead to</w:t>
      </w:r>
      <w:r>
        <w:rPr>
          <w:lang w:val="en-GB"/>
        </w:rPr>
        <w:t xml:space="preserve"> </w:t>
      </w:r>
      <w:r w:rsidRPr="00600630">
        <w:rPr>
          <w:lang w:val="en-GB"/>
        </w:rPr>
        <w:t>suc</w:t>
      </w:r>
      <w:r w:rsidR="007C72B8">
        <w:rPr>
          <w:lang w:val="en-GB"/>
        </w:rPr>
        <w:t>cess, depending on the choices of competitors in the marketplace</w:t>
      </w:r>
      <w:r w:rsidRPr="00600630">
        <w:rPr>
          <w:lang w:val="en-GB"/>
        </w:rPr>
        <w:t>.</w:t>
      </w:r>
      <w:r>
        <w:rPr>
          <w:lang w:val="en-GB"/>
        </w:rPr>
        <w:t xml:space="preserve">  </w:t>
      </w:r>
    </w:p>
    <w:p w:rsidR="00DF67C4" w:rsidRDefault="007C72B8" w:rsidP="00600630">
      <w:pPr>
        <w:pStyle w:val="Heading2"/>
        <w:rPr>
          <w:lang w:val="en-GB"/>
        </w:rPr>
      </w:pPr>
      <w:r>
        <w:rPr>
          <w:lang w:val="en-GB"/>
        </w:rPr>
        <w:t>Study Design</w:t>
      </w:r>
    </w:p>
    <w:p w:rsidR="00600630" w:rsidRPr="00600630" w:rsidRDefault="007C72B8" w:rsidP="00600630">
      <w:pPr>
        <w:rPr>
          <w:lang w:val="en-GB"/>
        </w:rPr>
      </w:pPr>
      <w:r>
        <w:rPr>
          <w:lang w:val="en-GB"/>
        </w:rPr>
        <w:t>The study participants were 126 undergraduate second year students undertaking the marketing module from January-May</w:t>
      </w:r>
      <w:r w:rsidRPr="00600630">
        <w:rPr>
          <w:lang w:val="en-GB"/>
        </w:rPr>
        <w:t xml:space="preserve"> 2013/14</w:t>
      </w:r>
      <w:r>
        <w:rPr>
          <w:lang w:val="en-GB"/>
        </w:rPr>
        <w:t xml:space="preserve">.  </w:t>
      </w:r>
      <w:r w:rsidRPr="00600630">
        <w:rPr>
          <w:lang w:val="en-GB"/>
        </w:rPr>
        <w:t xml:space="preserve">The module was delivered using traditional teaching and learning approaches through face-to-face lectures and tutorials and introduced the use of MMX for assessment. </w:t>
      </w:r>
      <w:r>
        <w:rPr>
          <w:lang w:val="en-GB"/>
        </w:rPr>
        <w:t xml:space="preserve">Students worked in groups of 3 or 4 on the simulation game </w:t>
      </w:r>
      <w:r w:rsidR="00E35C13">
        <w:rPr>
          <w:lang w:val="en-GB"/>
        </w:rPr>
        <w:t>which</w:t>
      </w:r>
      <w:r w:rsidR="00600630" w:rsidRPr="00600630">
        <w:rPr>
          <w:lang w:val="en-GB"/>
        </w:rPr>
        <w:t xml:space="preserve"> ran from weeks 4 to 10</w:t>
      </w:r>
      <w:r>
        <w:rPr>
          <w:lang w:val="en-GB"/>
        </w:rPr>
        <w:t xml:space="preserve"> of the module</w:t>
      </w:r>
      <w:r w:rsidR="00600630" w:rsidRPr="00600630">
        <w:rPr>
          <w:lang w:val="en-GB"/>
        </w:rPr>
        <w:t xml:space="preserve">. </w:t>
      </w:r>
      <w:r w:rsidR="00E35C13" w:rsidRPr="00600630">
        <w:rPr>
          <w:lang w:val="en-GB"/>
        </w:rPr>
        <w:t xml:space="preserve">Instructions on using MMX were given during the first tutorial and instructions were </w:t>
      </w:r>
      <w:r w:rsidR="00E35C13">
        <w:rPr>
          <w:lang w:val="en-GB"/>
        </w:rPr>
        <w:t xml:space="preserve">made </w:t>
      </w:r>
      <w:r w:rsidR="00E35C13" w:rsidRPr="00600630">
        <w:rPr>
          <w:lang w:val="en-GB"/>
        </w:rPr>
        <w:t>available</w:t>
      </w:r>
      <w:r w:rsidR="00E35C13">
        <w:rPr>
          <w:lang w:val="en-GB"/>
        </w:rPr>
        <w:t xml:space="preserve"> online</w:t>
      </w:r>
      <w:r w:rsidR="00E35C13" w:rsidRPr="00600630">
        <w:rPr>
          <w:lang w:val="en-GB"/>
        </w:rPr>
        <w:t>. In addition, the module leader held Simulation Surgeries for any group encountering problems. Students were also encouraged to use the dedicated discussion board if they had any questions before or during the simulation.</w:t>
      </w:r>
      <w:r w:rsidR="00E35C13">
        <w:rPr>
          <w:lang w:val="en-GB"/>
        </w:rPr>
        <w:t xml:space="preserve">  </w:t>
      </w:r>
      <w:r w:rsidR="00600630" w:rsidRPr="00600630">
        <w:rPr>
          <w:lang w:val="en-GB"/>
        </w:rPr>
        <w:t>The</w:t>
      </w:r>
      <w:r>
        <w:rPr>
          <w:lang w:val="en-GB"/>
        </w:rPr>
        <w:t xml:space="preserve"> simulated</w:t>
      </w:r>
      <w:r w:rsidR="00600630" w:rsidRPr="00600630">
        <w:rPr>
          <w:lang w:val="en-GB"/>
        </w:rPr>
        <w:t xml:space="preserve"> quart</w:t>
      </w:r>
      <w:r w:rsidR="00600630">
        <w:rPr>
          <w:lang w:val="en-GB"/>
        </w:rPr>
        <w:t>ers ran sequentially with each “open”</w:t>
      </w:r>
      <w:r w:rsidR="00600630" w:rsidRPr="00600630">
        <w:rPr>
          <w:lang w:val="en-GB"/>
        </w:rPr>
        <w:t xml:space="preserve"> for a set period of time. During the time that a par</w:t>
      </w:r>
      <w:r w:rsidR="00600630">
        <w:rPr>
          <w:lang w:val="en-GB"/>
        </w:rPr>
        <w:t>ticular quarter was “open”</w:t>
      </w:r>
      <w:r w:rsidR="00600630" w:rsidRPr="00600630">
        <w:rPr>
          <w:lang w:val="en-GB"/>
        </w:rPr>
        <w:t xml:space="preserve">, groups met to discuss and make a series of decisions about that quarter. They recorded and explained their </w:t>
      </w:r>
      <w:r>
        <w:rPr>
          <w:lang w:val="en-GB"/>
        </w:rPr>
        <w:t>decisions within the simulation</w:t>
      </w:r>
      <w:r w:rsidR="00600630" w:rsidRPr="00600630">
        <w:rPr>
          <w:lang w:val="en-GB"/>
        </w:rPr>
        <w:t>. When the quarter</w:t>
      </w:r>
      <w:r>
        <w:rPr>
          <w:lang w:val="en-GB"/>
        </w:rPr>
        <w:t xml:space="preserve"> close</w:t>
      </w:r>
      <w:r w:rsidR="00600630" w:rsidRPr="00600630">
        <w:rPr>
          <w:lang w:val="en-GB"/>
        </w:rPr>
        <w:t xml:space="preserve">d, the simulation calculated the position of each group and </w:t>
      </w:r>
      <w:r>
        <w:rPr>
          <w:lang w:val="en-GB"/>
        </w:rPr>
        <w:t xml:space="preserve">reported </w:t>
      </w:r>
      <w:r w:rsidR="00600630" w:rsidRPr="00600630">
        <w:rPr>
          <w:lang w:val="en-GB"/>
        </w:rPr>
        <w:t>the</w:t>
      </w:r>
      <w:r>
        <w:rPr>
          <w:lang w:val="en-GB"/>
        </w:rPr>
        <w:t xml:space="preserve"> relative</w:t>
      </w:r>
      <w:r w:rsidR="00600630" w:rsidRPr="00600630">
        <w:rPr>
          <w:lang w:val="en-GB"/>
        </w:rPr>
        <w:t xml:space="preserve"> position</w:t>
      </w:r>
      <w:r>
        <w:rPr>
          <w:lang w:val="en-GB"/>
        </w:rPr>
        <w:t xml:space="preserve">ing of each group on a </w:t>
      </w:r>
      <w:proofErr w:type="spellStart"/>
      <w:r>
        <w:rPr>
          <w:lang w:val="en-GB"/>
        </w:rPr>
        <w:t>leaderboard</w:t>
      </w:r>
      <w:proofErr w:type="spellEnd"/>
      <w:r w:rsidR="00600630" w:rsidRPr="00600630">
        <w:rPr>
          <w:lang w:val="en-GB"/>
        </w:rPr>
        <w:t>.</w:t>
      </w:r>
    </w:p>
    <w:p w:rsidR="00600630" w:rsidRPr="00600630" w:rsidRDefault="00E35C13" w:rsidP="00E35C13">
      <w:pPr>
        <w:rPr>
          <w:lang w:val="en-GB"/>
        </w:rPr>
      </w:pPr>
      <w:r>
        <w:rPr>
          <w:lang w:val="en-GB"/>
        </w:rPr>
        <w:t>35% of the module assessment was assigned for their group activities in the simulation (15%) as well as an individual reflective essay on their learning within the simulation (20%)</w:t>
      </w:r>
      <w:r>
        <w:rPr>
          <w:lang w:val="en-GB"/>
        </w:rPr>
        <w:t xml:space="preserve">.  Group activity was </w:t>
      </w:r>
      <w:r w:rsidR="007C72B8" w:rsidRPr="00600630">
        <w:rPr>
          <w:lang w:val="en-GB"/>
        </w:rPr>
        <w:t>peer</w:t>
      </w:r>
      <w:r>
        <w:rPr>
          <w:lang w:val="en-GB"/>
        </w:rPr>
        <w:t>-</w:t>
      </w:r>
      <w:r w:rsidR="007C72B8" w:rsidRPr="00600630">
        <w:rPr>
          <w:lang w:val="en-GB"/>
        </w:rPr>
        <w:t xml:space="preserve">assessed </w:t>
      </w:r>
      <w:r>
        <w:rPr>
          <w:lang w:val="en-GB"/>
        </w:rPr>
        <w:t>for each group</w:t>
      </w:r>
      <w:r w:rsidR="007C72B8" w:rsidRPr="00600630">
        <w:rPr>
          <w:lang w:val="en-GB"/>
        </w:rPr>
        <w:t xml:space="preserve"> members based on their participation</w:t>
      </w:r>
      <w:r w:rsidR="007C72B8">
        <w:rPr>
          <w:lang w:val="en-GB"/>
        </w:rPr>
        <w:t xml:space="preserve"> within the group</w:t>
      </w:r>
      <w:r w:rsidR="007C72B8" w:rsidRPr="00600630">
        <w:rPr>
          <w:lang w:val="en-GB"/>
        </w:rPr>
        <w:t xml:space="preserve">. </w:t>
      </w:r>
      <w:r>
        <w:rPr>
          <w:lang w:val="en-GB"/>
        </w:rPr>
        <w:t xml:space="preserve"> </w:t>
      </w:r>
      <w:r w:rsidR="00600630" w:rsidRPr="00600630">
        <w:rPr>
          <w:lang w:val="en-GB"/>
        </w:rPr>
        <w:t>The reflective essay was 750 – 1,000 word account</w:t>
      </w:r>
      <w:r>
        <w:rPr>
          <w:lang w:val="en-GB"/>
        </w:rPr>
        <w:t xml:space="preserve"> in which</w:t>
      </w:r>
      <w:r w:rsidR="00600630" w:rsidRPr="00600630">
        <w:rPr>
          <w:lang w:val="en-GB"/>
        </w:rPr>
        <w:t xml:space="preserve"> students were </w:t>
      </w:r>
      <w:r>
        <w:rPr>
          <w:lang w:val="en-GB"/>
        </w:rPr>
        <w:t xml:space="preserve">asked </w:t>
      </w:r>
      <w:r w:rsidR="00600630" w:rsidRPr="00600630">
        <w:rPr>
          <w:lang w:val="en-GB"/>
        </w:rPr>
        <w:t>to critically reflect on how taking part in the marketing simulation had impacted on their learning experience</w:t>
      </w:r>
      <w:r>
        <w:rPr>
          <w:lang w:val="en-GB"/>
        </w:rPr>
        <w:t xml:space="preserve"> in terms of: </w:t>
      </w:r>
    </w:p>
    <w:p w:rsidR="00600630" w:rsidRPr="00600630" w:rsidRDefault="00600630" w:rsidP="00E35C13">
      <w:pPr>
        <w:ind w:left="708"/>
        <w:rPr>
          <w:lang w:val="en-GB"/>
        </w:rPr>
      </w:pPr>
      <w:r w:rsidRPr="00600630">
        <w:rPr>
          <w:lang w:val="en-GB"/>
        </w:rPr>
        <w:t>a. Understanding of marketing models and theories</w:t>
      </w:r>
      <w:r w:rsidR="00E35C13">
        <w:rPr>
          <w:lang w:val="en-GB"/>
        </w:rPr>
        <w:t>;</w:t>
      </w:r>
    </w:p>
    <w:p w:rsidR="00600630" w:rsidRPr="00600630" w:rsidRDefault="00600630" w:rsidP="00E35C13">
      <w:pPr>
        <w:ind w:left="708"/>
        <w:rPr>
          <w:lang w:val="en-GB"/>
        </w:rPr>
      </w:pPr>
      <w:r w:rsidRPr="00600630">
        <w:rPr>
          <w:lang w:val="en-GB"/>
        </w:rPr>
        <w:t>b. Ability to apply/use the mod</w:t>
      </w:r>
      <w:r w:rsidR="00E35C13">
        <w:rPr>
          <w:lang w:val="en-GB"/>
        </w:rPr>
        <w:t>els and theories to “real world”</w:t>
      </w:r>
      <w:r w:rsidRPr="00600630">
        <w:rPr>
          <w:lang w:val="en-GB"/>
        </w:rPr>
        <w:t xml:space="preserve"> situations</w:t>
      </w:r>
      <w:r w:rsidR="00E35C13">
        <w:rPr>
          <w:lang w:val="en-GB"/>
        </w:rPr>
        <w:t>;</w:t>
      </w:r>
    </w:p>
    <w:p w:rsidR="00600630" w:rsidRPr="00600630" w:rsidRDefault="00600630" w:rsidP="00E35C13">
      <w:pPr>
        <w:ind w:left="708"/>
        <w:rPr>
          <w:lang w:val="en-GB"/>
        </w:rPr>
      </w:pPr>
      <w:r w:rsidRPr="00600630">
        <w:rPr>
          <w:lang w:val="en-GB"/>
        </w:rPr>
        <w:t>c. Ability to think strategically in a business context</w:t>
      </w:r>
      <w:r w:rsidR="00E35C13">
        <w:rPr>
          <w:lang w:val="en-GB"/>
        </w:rPr>
        <w:t>;</w:t>
      </w:r>
    </w:p>
    <w:p w:rsidR="00600630" w:rsidRPr="00600630" w:rsidRDefault="00600630" w:rsidP="00E35C13">
      <w:pPr>
        <w:ind w:left="708"/>
        <w:rPr>
          <w:lang w:val="en-GB"/>
        </w:rPr>
      </w:pPr>
      <w:r w:rsidRPr="00600630">
        <w:rPr>
          <w:lang w:val="en-GB"/>
        </w:rPr>
        <w:t>d. Ability to assess the impact of their marketing decisions on market performance</w:t>
      </w:r>
      <w:r w:rsidR="00E35C13">
        <w:rPr>
          <w:lang w:val="en-GB"/>
        </w:rPr>
        <w:t>.</w:t>
      </w:r>
    </w:p>
    <w:p w:rsidR="00600630" w:rsidRDefault="00600630" w:rsidP="00600630">
      <w:pPr>
        <w:pStyle w:val="Heading2"/>
        <w:rPr>
          <w:lang w:val="en-GB"/>
        </w:rPr>
      </w:pPr>
      <w:r>
        <w:rPr>
          <w:lang w:val="en-GB"/>
        </w:rPr>
        <w:t>Data Analysis</w:t>
      </w:r>
    </w:p>
    <w:p w:rsidR="00600630" w:rsidRPr="00600630" w:rsidRDefault="00600630" w:rsidP="00600630">
      <w:pPr>
        <w:rPr>
          <w:lang w:val="en-GB"/>
        </w:rPr>
      </w:pPr>
      <w:r w:rsidRPr="00600630">
        <w:rPr>
          <w:lang w:val="en-GB"/>
        </w:rPr>
        <w:t>The thematic analysis of the 126</w:t>
      </w:r>
      <w:r w:rsidR="00E35C13">
        <w:rPr>
          <w:lang w:val="en-GB"/>
        </w:rPr>
        <w:t xml:space="preserve"> anonymised</w:t>
      </w:r>
      <w:r w:rsidRPr="00600630">
        <w:rPr>
          <w:lang w:val="en-GB"/>
        </w:rPr>
        <w:t xml:space="preserve"> reflective essays was conducted using </w:t>
      </w:r>
      <w:proofErr w:type="spellStart"/>
      <w:r w:rsidRPr="00600630">
        <w:rPr>
          <w:lang w:val="en-GB"/>
        </w:rPr>
        <w:t>MaxQDA</w:t>
      </w:r>
      <w:proofErr w:type="spellEnd"/>
      <w:r w:rsidRPr="00600630">
        <w:rPr>
          <w:lang w:val="en-GB"/>
        </w:rPr>
        <w:t xml:space="preserve"> version 11 on the basis of 3 sets of a priori themes identified in the relevant literature.  The first code set are based on the 6 levels of the cognitive domain of Bloom’s taxonomy</w:t>
      </w:r>
      <w:r w:rsidR="000F572A">
        <w:rPr>
          <w:lang w:val="en-GB"/>
        </w:rPr>
        <w:t xml:space="preserve"> </w:t>
      </w:r>
      <w:r w:rsidR="00A837AD">
        <w:rPr>
          <w:lang w:val="en-GB"/>
        </w:rPr>
        <w:fldChar w:fldCharType="begin"/>
      </w:r>
      <w:r w:rsidR="00A837AD">
        <w:rPr>
          <w:lang w:val="en-GB"/>
        </w:rPr>
        <w:instrText xml:space="preserve"> ADDIN ZOTERO_ITEM CSL_CITATION {"citationID":"236crvbdb","properties":{"formattedCitation":"[33]","plainCitation":"[33]"},"citationItems":[{"id":7473,"uris":["http://zotero.org/users/local/FTZZFbAq/items/8D9NN98E"],"uri":["http://zotero.org/users/local/FTZZFbAq/items/8D9NN98E"],"itemData":{"id":7473,"type":"book","title":"Taxonomy of educational objectives: the classification of educational goals","publisher":"D. McKay","number-of-pages":"240","source":"Google Books","shortTitle":"Taxonomy of educational objectives","language":"en","author":[{"family":"Bloom","given":"Benjamin Samuel"},{"family":"Engelhart","given":"M. D"},{"family":"Furst","given":"E. J."},{"family":"Hill","given":"W. H."},{"family":"Krathwohl","given":"D. R."}],"issued":{"date-parts":[["1956"]]}}}],"schema":"https://github.com/citation-style-language/schema/raw/master/csl-citation.json"} </w:instrText>
      </w:r>
      <w:r w:rsidR="00A837AD">
        <w:rPr>
          <w:lang w:val="en-GB"/>
        </w:rPr>
        <w:fldChar w:fldCharType="separate"/>
      </w:r>
      <w:r w:rsidR="00A837AD" w:rsidRPr="00A837AD">
        <w:rPr>
          <w:rFonts w:cs="Arial"/>
        </w:rPr>
        <w:t>[33]</w:t>
      </w:r>
      <w:r w:rsidR="00A837AD">
        <w:rPr>
          <w:lang w:val="en-GB"/>
        </w:rPr>
        <w:fldChar w:fldCharType="end"/>
      </w:r>
      <w:r w:rsidRPr="00600630">
        <w:rPr>
          <w:lang w:val="en-GB"/>
        </w:rPr>
        <w:t xml:space="preserve"> from lower to higher level processes: knowledge, comprehension, application, analysis, synthesis, evaluation.  The second code set relates to the characteristics of group activity, based on the 5 principles of Cooperative Le</w:t>
      </w:r>
      <w:r w:rsidR="00A837AD">
        <w:rPr>
          <w:lang w:val="en-GB"/>
        </w:rPr>
        <w:t xml:space="preserve">arning </w:t>
      </w:r>
      <w:r w:rsidR="00A837AD">
        <w:rPr>
          <w:lang w:val="en-GB"/>
        </w:rPr>
        <w:fldChar w:fldCharType="begin"/>
      </w:r>
      <w:r w:rsidR="00A837AD">
        <w:rPr>
          <w:lang w:val="en-GB"/>
        </w:rPr>
        <w:instrText xml:space="preserve"> ADDIN ZOTERO_ITEM CSL_CITATION {"citationID":"13ca219r17","properties":{"formattedCitation":"[34]","plainCitation":"[34]"},"citationItems":[{"id":7476,"uris":["http://zotero.org/users/local/FTZZFbAq/items/6RKVIM7B"],"uri":["http://zotero.org/users/local/FTZZFbAq/items/6RKVIM7B"],"itemData":{"id":7476,"type":"book","title":"Cooperation in the Classroom","publisher":"Interaction Book Co.","publisher-place":"Edina, Minn.","number-of-pages":"328","edition":"Eighth edition","source":"Amazon.com","event-place":"Edina, Minn.","abstract":"Book by David W. Johnson, Roger T. Johnson, Edythe Johnson Holubec","ISBN":"9780939603046","language":"English","author":[{"family":"Johnson","given":"David W."},{"family":"Johnson","given":"Roger T."},{"family":"Holubec","given":"Edythe Johnson"}],"issued":{"date-parts":[["2008",6,1]]}}}],"schema":"https://github.com/citation-style-language/schema/raw/master/csl-citation.json"} </w:instrText>
      </w:r>
      <w:r w:rsidR="00A837AD">
        <w:rPr>
          <w:lang w:val="en-GB"/>
        </w:rPr>
        <w:fldChar w:fldCharType="separate"/>
      </w:r>
      <w:r w:rsidR="00A837AD" w:rsidRPr="00A837AD">
        <w:rPr>
          <w:rFonts w:cs="Arial"/>
        </w:rPr>
        <w:t>[34]</w:t>
      </w:r>
      <w:r w:rsidR="00A837AD">
        <w:rPr>
          <w:lang w:val="en-GB"/>
        </w:rPr>
        <w:fldChar w:fldCharType="end"/>
      </w:r>
      <w:r w:rsidRPr="00600630">
        <w:rPr>
          <w:lang w:val="en-GB"/>
        </w:rPr>
        <w:t xml:space="preserve">: positive interdependence; </w:t>
      </w:r>
      <w:proofErr w:type="spellStart"/>
      <w:r w:rsidRPr="00600630">
        <w:rPr>
          <w:lang w:val="en-GB"/>
        </w:rPr>
        <w:t>promotive</w:t>
      </w:r>
      <w:proofErr w:type="spellEnd"/>
      <w:r w:rsidRPr="00600630">
        <w:rPr>
          <w:lang w:val="en-GB"/>
        </w:rPr>
        <w:t xml:space="preserve"> interaction; group and individual accountability; interpersonal and small group skills; group processing.  The final code set derives from the literature on affordances of simulation environm</w:t>
      </w:r>
      <w:r w:rsidR="00A837AD">
        <w:rPr>
          <w:lang w:val="en-GB"/>
        </w:rPr>
        <w:t xml:space="preserve">ents for learning </w:t>
      </w:r>
      <w:r w:rsidR="00A837AD">
        <w:rPr>
          <w:lang w:val="en-GB"/>
        </w:rPr>
        <w:fldChar w:fldCharType="begin"/>
      </w:r>
      <w:r w:rsidR="00A837AD">
        <w:rPr>
          <w:lang w:val="en-GB"/>
        </w:rPr>
        <w:instrText xml:space="preserve"> ADDIN ZOTERO_ITEM CSL_CITATION {"citationID":"1onth204fm","properties":{"formattedCitation":"[7]","plainCitation":"[7]"},"citationItems":[{"id":39,"uris":["http://zotero.org/users/local/FTZZFbAq/items/I2ICWM3S"],"uri":["http://zotero.org/users/local/FTZZFbAq/items/I2ICWM3S"],"itemData":{"id":39,"type":"article-journal","title":"What are the learning affordances of 3-D virtual environments?","container-title":"British Journal of Educational Technology","page":"10-32","volume":"41","issue":"1","source":"Wiley Online Library","abstract":"This article explores the potential learning benefits of three-dimensional (3-D) virtual learning environments (VLEs). Drawing on published research spanning two decades, it identifies a set of unique characteristics of 3-D VLEs, which includes aspects of their representational fidelity and aspects of the learner–computer interactivity they facilitate. A review of applications of 3-D VLEs is presented, leading to the identification of a series of learning affordances of such environments. These affordances include the facilitation of tasks that lead to enhanced spatial knowledge representation, greater opportunities for experiential learning, increased motivation/engagement, improved contextualisation of learning and richer/more effective collaborative learning as compared to tasks made possible by 2-D alternatives. The authors contend that the continued development of and investment in 3-D games, simulations and virtual worlds for educational purposes should be considered contingent on further investigation into the precise relationships between the unique characteristics of 3-D VLEs and their potential learning benefits. To this end, they conclude by proposing an agenda or ‘roadmap’ for future research that encompasses empirical studies aimed at exploring these relationships, as well as those aimed at deriving principles and guidelines to inform the design, development and use of 3-D virtual environments for learning.","DOI":"10.1111/j.1467-8535.2009.01038.x","ISSN":"1467-8535","language":"en","author":[{"family":"Dalgarno","given":"Barney"},{"family":"Lee","given":"Mark J. W."}],"issued":{"date-parts":[["2010"]]},"accessed":{"date-parts":[["2014",12,15]]}}}],"schema":"https://github.com/citation-style-language/schema/raw/master/csl-citation.json"} </w:instrText>
      </w:r>
      <w:r w:rsidR="00A837AD">
        <w:rPr>
          <w:lang w:val="en-GB"/>
        </w:rPr>
        <w:fldChar w:fldCharType="separate"/>
      </w:r>
      <w:r w:rsidR="00A837AD" w:rsidRPr="00A837AD">
        <w:rPr>
          <w:rFonts w:cs="Arial"/>
        </w:rPr>
        <w:t>[7]</w:t>
      </w:r>
      <w:r w:rsidR="00A837AD">
        <w:rPr>
          <w:lang w:val="en-GB"/>
        </w:rPr>
        <w:fldChar w:fldCharType="end"/>
      </w:r>
      <w:r w:rsidRPr="00600630">
        <w:rPr>
          <w:lang w:val="en-GB"/>
        </w:rPr>
        <w:t xml:space="preserve">: experiential learning; motivation and engagement; goal orientation.  The final code used in the thematic analysis </w:t>
      </w:r>
      <w:r w:rsidR="00E35C13">
        <w:rPr>
          <w:lang w:val="en-GB"/>
        </w:rPr>
        <w:t>incorporated</w:t>
      </w:r>
      <w:r w:rsidRPr="00600630">
        <w:rPr>
          <w:lang w:val="en-GB"/>
        </w:rPr>
        <w:t xml:space="preserve"> failings or negative experiences with the software to capture aspects of the engagement with the simulation game which were unsatisfactory but could not be encoded under the afore-mentioned themes.  </w:t>
      </w:r>
    </w:p>
    <w:p w:rsidR="00600630" w:rsidRPr="00705478" w:rsidRDefault="00600630" w:rsidP="00600630">
      <w:pPr>
        <w:pStyle w:val="Heading1"/>
        <w:rPr>
          <w:lang w:val="en-GB"/>
        </w:rPr>
      </w:pPr>
      <w:r>
        <w:rPr>
          <w:lang w:val="en-GB"/>
        </w:rPr>
        <w:lastRenderedPageBreak/>
        <w:t>Findings</w:t>
      </w:r>
    </w:p>
    <w:p w:rsidR="00600630" w:rsidRPr="00600630" w:rsidRDefault="00600630" w:rsidP="00600630">
      <w:pPr>
        <w:pStyle w:val="Heading3"/>
        <w:rPr>
          <w:lang w:val="en-GB"/>
        </w:rPr>
      </w:pPr>
      <w:r w:rsidRPr="00600630">
        <w:rPr>
          <w:lang w:val="en-GB"/>
        </w:rPr>
        <w:t>Cognitive Skills</w:t>
      </w:r>
    </w:p>
    <w:p w:rsidR="00600630" w:rsidRPr="00600630" w:rsidRDefault="00E35C13" w:rsidP="00600630">
      <w:pPr>
        <w:rPr>
          <w:lang w:val="en-GB"/>
        </w:rPr>
      </w:pPr>
      <w:r>
        <w:rPr>
          <w:lang w:val="en-GB"/>
        </w:rPr>
        <w:t xml:space="preserve">The thematic analysis would strongly suggest that students identified their activities and learning </w:t>
      </w:r>
      <w:r w:rsidR="0092361B">
        <w:rPr>
          <w:lang w:val="en-GB"/>
        </w:rPr>
        <w:t xml:space="preserve">mainly </w:t>
      </w:r>
      <w:r w:rsidR="00600630" w:rsidRPr="00600630">
        <w:rPr>
          <w:lang w:val="en-GB"/>
        </w:rPr>
        <w:t xml:space="preserve">in the higher-ordered stages of </w:t>
      </w:r>
      <w:r w:rsidR="0092361B">
        <w:rPr>
          <w:lang w:val="en-GB"/>
        </w:rPr>
        <w:t xml:space="preserve">Bloom’s taxonomy: </w:t>
      </w:r>
      <w:r w:rsidR="00600630" w:rsidRPr="00600630">
        <w:rPr>
          <w:lang w:val="en-GB"/>
        </w:rPr>
        <w:t xml:space="preserve">application and analysis (257 code applications). When describing their use of marketing knowledge in the simulation, students in most cases referred to the application of theory during the preparation and execution of decisions (137 codes). This process was often related to a positive learning experience, so that the application of theory “enhanced” the student’s understanding of the theoretical models. In almost every reflective essay, students referred to specific theoretical models from </w:t>
      </w:r>
      <w:r w:rsidR="0092361B">
        <w:rPr>
          <w:lang w:val="en-GB"/>
        </w:rPr>
        <w:t>module</w:t>
      </w:r>
      <w:r w:rsidR="00600630" w:rsidRPr="00600630">
        <w:rPr>
          <w:lang w:val="en-GB"/>
        </w:rPr>
        <w:t xml:space="preserve"> lecture</w:t>
      </w:r>
      <w:r w:rsidR="0092361B">
        <w:rPr>
          <w:lang w:val="en-GB"/>
        </w:rPr>
        <w:t>s</w:t>
      </w:r>
      <w:r w:rsidR="00600630" w:rsidRPr="00600630">
        <w:rPr>
          <w:lang w:val="en-GB"/>
        </w:rPr>
        <w:t xml:space="preserve"> and described how they applied these models during the simulation:</w:t>
      </w:r>
    </w:p>
    <w:p w:rsidR="00600630" w:rsidRPr="00600630" w:rsidRDefault="00600630" w:rsidP="00600630">
      <w:pPr>
        <w:ind w:left="567" w:right="567"/>
        <w:rPr>
          <w:i/>
          <w:lang w:val="en-GB"/>
        </w:rPr>
      </w:pPr>
      <w:r w:rsidRPr="00600630">
        <w:rPr>
          <w:i/>
          <w:lang w:val="en-GB"/>
        </w:rPr>
        <w:t>“[I]t positively enhanced my understanding of Porter’s generic strategies because we analysed the benefits and drawbacks of each strategy in relation to our product.” (E15)</w:t>
      </w:r>
    </w:p>
    <w:p w:rsidR="00600630" w:rsidRPr="00600630" w:rsidRDefault="00600630" w:rsidP="00600630">
      <w:pPr>
        <w:ind w:left="567" w:right="567"/>
        <w:rPr>
          <w:i/>
          <w:lang w:val="en-GB"/>
        </w:rPr>
      </w:pPr>
      <w:r w:rsidRPr="00600630">
        <w:rPr>
          <w:i/>
          <w:lang w:val="en-GB"/>
        </w:rPr>
        <w:t>“Upon learning about marketing myopia in tutorial classes and in the lectures, we decided to change the way we made our tactical decisions and we formed a clear strategy for ourselves, which proved fruitful.” (E53)</w:t>
      </w:r>
    </w:p>
    <w:p w:rsidR="00600630" w:rsidRPr="00600630" w:rsidRDefault="00600630" w:rsidP="00600630">
      <w:pPr>
        <w:rPr>
          <w:lang w:val="en-GB"/>
        </w:rPr>
      </w:pPr>
      <w:r w:rsidRPr="00600630">
        <w:rPr>
          <w:lang w:val="en-GB"/>
        </w:rPr>
        <w:t xml:space="preserve">In 117 cases, there was </w:t>
      </w:r>
      <w:r w:rsidR="0092361B">
        <w:rPr>
          <w:lang w:val="en-GB"/>
        </w:rPr>
        <w:t>evidence of analysis activities</w:t>
      </w:r>
      <w:r w:rsidRPr="00600630">
        <w:rPr>
          <w:lang w:val="en-GB"/>
        </w:rPr>
        <w:t xml:space="preserve">. </w:t>
      </w:r>
      <w:r w:rsidR="0092361B">
        <w:rPr>
          <w:lang w:val="en-GB"/>
        </w:rPr>
        <w:t xml:space="preserve"> </w:t>
      </w:r>
      <w:r w:rsidRPr="00600630">
        <w:rPr>
          <w:lang w:val="en-GB"/>
        </w:rPr>
        <w:t>In th</w:t>
      </w:r>
      <w:r w:rsidR="0092361B">
        <w:rPr>
          <w:lang w:val="en-GB"/>
        </w:rPr>
        <w:t>e</w:t>
      </w:r>
      <w:r w:rsidRPr="00600630">
        <w:rPr>
          <w:lang w:val="en-GB"/>
        </w:rPr>
        <w:t>s</w:t>
      </w:r>
      <w:r w:rsidR="0092361B">
        <w:rPr>
          <w:lang w:val="en-GB"/>
        </w:rPr>
        <w:t>e</w:t>
      </w:r>
      <w:r w:rsidRPr="00600630">
        <w:rPr>
          <w:lang w:val="en-GB"/>
        </w:rPr>
        <w:t xml:space="preserve"> case</w:t>
      </w:r>
      <w:r w:rsidR="0092361B">
        <w:rPr>
          <w:lang w:val="en-GB"/>
        </w:rPr>
        <w:t>s</w:t>
      </w:r>
      <w:r w:rsidRPr="00600630">
        <w:rPr>
          <w:lang w:val="en-GB"/>
        </w:rPr>
        <w:t xml:space="preserve">, </w:t>
      </w:r>
      <w:r w:rsidR="0092361B">
        <w:rPr>
          <w:lang w:val="en-GB"/>
        </w:rPr>
        <w:t xml:space="preserve">students reported that </w:t>
      </w:r>
      <w:r w:rsidRPr="00600630">
        <w:rPr>
          <w:lang w:val="en-GB"/>
        </w:rPr>
        <w:t xml:space="preserve">the simulation allowed </w:t>
      </w:r>
      <w:r w:rsidR="0092361B">
        <w:rPr>
          <w:lang w:val="en-GB"/>
        </w:rPr>
        <w:t>them</w:t>
      </w:r>
      <w:r w:rsidRPr="00600630">
        <w:rPr>
          <w:lang w:val="en-GB"/>
        </w:rPr>
        <w:t xml:space="preserve"> to examine cause and </w:t>
      </w:r>
      <w:proofErr w:type="gramStart"/>
      <w:r w:rsidRPr="00600630">
        <w:rPr>
          <w:lang w:val="en-GB"/>
        </w:rPr>
        <w:t>effect</w:t>
      </w:r>
      <w:proofErr w:type="gramEnd"/>
      <w:r w:rsidRPr="00600630">
        <w:rPr>
          <w:lang w:val="en-GB"/>
        </w:rPr>
        <w:t xml:space="preserve"> relationships, make inferences and provide evidence with regards to the outcomes of their decisions: </w:t>
      </w:r>
    </w:p>
    <w:p w:rsidR="00600630" w:rsidRPr="00600630" w:rsidRDefault="00600630" w:rsidP="00600630">
      <w:pPr>
        <w:ind w:left="567" w:right="567"/>
        <w:rPr>
          <w:i/>
          <w:lang w:val="en-GB"/>
        </w:rPr>
      </w:pPr>
      <w:r w:rsidRPr="00600630">
        <w:rPr>
          <w:i/>
          <w:lang w:val="en-GB"/>
        </w:rPr>
        <w:t>“[W]</w:t>
      </w:r>
      <w:proofErr w:type="spellStart"/>
      <w:r w:rsidRPr="00600630">
        <w:rPr>
          <w:i/>
          <w:lang w:val="en-GB"/>
        </w:rPr>
        <w:t>hile</w:t>
      </w:r>
      <w:proofErr w:type="spellEnd"/>
      <w:r w:rsidRPr="00600630">
        <w:rPr>
          <w:i/>
          <w:lang w:val="en-GB"/>
        </w:rPr>
        <w:t xml:space="preserve"> theory would only tell us what internal or external factors to focus on and how each of those factors can influence our </w:t>
      </w:r>
      <w:proofErr w:type="gramStart"/>
      <w:r w:rsidRPr="00600630">
        <w:rPr>
          <w:i/>
          <w:lang w:val="en-GB"/>
        </w:rPr>
        <w:t>decision,</w:t>
      </w:r>
      <w:proofErr w:type="gramEnd"/>
      <w:r w:rsidRPr="00600630">
        <w:rPr>
          <w:i/>
          <w:lang w:val="en-GB"/>
        </w:rPr>
        <w:t xml:space="preserve"> the simulation has enhanced this experience by allowing us to see the consequences of our decisions.” (E9)</w:t>
      </w:r>
    </w:p>
    <w:p w:rsidR="00600630" w:rsidRPr="00600630" w:rsidRDefault="00600630" w:rsidP="00600630">
      <w:pPr>
        <w:ind w:left="567" w:right="567"/>
        <w:rPr>
          <w:i/>
          <w:lang w:val="en-GB"/>
        </w:rPr>
      </w:pPr>
      <w:r w:rsidRPr="00600630">
        <w:rPr>
          <w:i/>
          <w:lang w:val="en-GB"/>
        </w:rPr>
        <w:t>“[M]</w:t>
      </w:r>
      <w:proofErr w:type="spellStart"/>
      <w:r w:rsidRPr="00600630">
        <w:rPr>
          <w:i/>
          <w:lang w:val="en-GB"/>
        </w:rPr>
        <w:t>arketing</w:t>
      </w:r>
      <w:proofErr w:type="spellEnd"/>
      <w:r w:rsidRPr="00600630">
        <w:rPr>
          <w:i/>
          <w:lang w:val="en-GB"/>
        </w:rPr>
        <w:t xml:space="preserve"> simulation enhanced my abilities to analysis multiple variables and formulate strategies.” (E33)</w:t>
      </w:r>
    </w:p>
    <w:p w:rsidR="00600630" w:rsidRPr="00600630" w:rsidRDefault="00600630" w:rsidP="00600630">
      <w:pPr>
        <w:rPr>
          <w:lang w:val="en-GB"/>
        </w:rPr>
      </w:pPr>
      <w:r w:rsidRPr="00600630">
        <w:rPr>
          <w:lang w:val="en-GB"/>
        </w:rPr>
        <w:t>In 40 instances, the data showed evidence of students engaging in synthesis activities, through the combination of different theoretical models and the provision of alternative solutions when dealing with the</w:t>
      </w:r>
      <w:r w:rsidR="0092361B">
        <w:rPr>
          <w:lang w:val="en-GB"/>
        </w:rPr>
        <w:t xml:space="preserve"> tasks imposed by the software: </w:t>
      </w:r>
    </w:p>
    <w:p w:rsidR="00600630" w:rsidRPr="00600630" w:rsidRDefault="00600630" w:rsidP="00600630">
      <w:pPr>
        <w:ind w:left="567" w:right="567"/>
        <w:rPr>
          <w:i/>
          <w:lang w:val="en-GB"/>
        </w:rPr>
      </w:pPr>
      <w:r w:rsidRPr="00600630">
        <w:rPr>
          <w:i/>
          <w:lang w:val="en-GB"/>
        </w:rPr>
        <w:t>“I also learnt how to effectively apply different theories and themes discussed in lectures simultaneously, and how different aspects of the marketing mix work together to determine a particular outcome.” (E111)</w:t>
      </w:r>
    </w:p>
    <w:p w:rsidR="00600630" w:rsidRPr="00600630" w:rsidRDefault="00600630" w:rsidP="00600630">
      <w:pPr>
        <w:rPr>
          <w:lang w:val="en-GB"/>
        </w:rPr>
      </w:pPr>
      <w:r w:rsidRPr="00600630">
        <w:rPr>
          <w:lang w:val="en-GB"/>
        </w:rPr>
        <w:t>Particularly the relation between marketing theory and financial outcome figures was repeatedly reported as a manifestation of the synthesis activities:</w:t>
      </w:r>
    </w:p>
    <w:p w:rsidR="00600630" w:rsidRPr="00600630" w:rsidRDefault="00600630" w:rsidP="00600630">
      <w:pPr>
        <w:ind w:left="567" w:right="567"/>
        <w:rPr>
          <w:i/>
          <w:lang w:val="en-GB"/>
        </w:rPr>
      </w:pPr>
      <w:r w:rsidRPr="00600630">
        <w:rPr>
          <w:i/>
          <w:lang w:val="en-GB"/>
        </w:rPr>
        <w:t>“[T]he simulation game re-enhanced my financial skills and an ability to identify the connection between financial data and marketing strategy.” (E50)</w:t>
      </w:r>
    </w:p>
    <w:p w:rsidR="00600630" w:rsidRPr="00600630" w:rsidRDefault="00600630" w:rsidP="00600630">
      <w:pPr>
        <w:ind w:left="567" w:right="567"/>
        <w:rPr>
          <w:i/>
          <w:lang w:val="en-GB"/>
        </w:rPr>
      </w:pPr>
      <w:r w:rsidRPr="00600630">
        <w:rPr>
          <w:i/>
          <w:lang w:val="en-GB"/>
        </w:rPr>
        <w:t>“[T]he stock management in Q6 gave me a good lesson about analysing numerical data frequently encountered by marketing managers such as sales revenue and profit margin.” (E90)</w:t>
      </w:r>
    </w:p>
    <w:p w:rsidR="00600630" w:rsidRPr="00600630" w:rsidRDefault="00600630" w:rsidP="00600630">
      <w:pPr>
        <w:pStyle w:val="Heading3"/>
        <w:rPr>
          <w:lang w:val="en-GB"/>
        </w:rPr>
      </w:pPr>
      <w:r w:rsidRPr="00600630">
        <w:rPr>
          <w:lang w:val="en-GB"/>
        </w:rPr>
        <w:t>Cooperative Learning (275 Code Applications)</w:t>
      </w:r>
    </w:p>
    <w:p w:rsidR="00600630" w:rsidRPr="00600630" w:rsidRDefault="00600630" w:rsidP="00600630">
      <w:pPr>
        <w:rPr>
          <w:lang w:val="en-GB"/>
        </w:rPr>
      </w:pPr>
      <w:r w:rsidRPr="00600630">
        <w:rPr>
          <w:lang w:val="en-GB"/>
        </w:rPr>
        <w:t>Overall, students articulated positive experiences with regards to the impact of the</w:t>
      </w:r>
      <w:r w:rsidR="0092361B">
        <w:rPr>
          <w:lang w:val="en-GB"/>
        </w:rPr>
        <w:t xml:space="preserve"> simulation activity on their ability to work in a team.</w:t>
      </w:r>
      <w:r w:rsidRPr="00600630">
        <w:rPr>
          <w:lang w:val="en-GB"/>
        </w:rPr>
        <w:t xml:space="preserve"> </w:t>
      </w:r>
      <w:r w:rsidR="0092361B">
        <w:rPr>
          <w:lang w:val="en-GB"/>
        </w:rPr>
        <w:t xml:space="preserve"> </w:t>
      </w:r>
      <w:r w:rsidRPr="00600630">
        <w:rPr>
          <w:lang w:val="en-GB"/>
        </w:rPr>
        <w:t xml:space="preserve">Particularly interpersonal group skills, such as communication, negotiation, decision-making, leadership and conflict management were required and encouraged by the simulation (198 codes). </w:t>
      </w:r>
    </w:p>
    <w:p w:rsidR="00600630" w:rsidRPr="00600630" w:rsidRDefault="00600630" w:rsidP="00600630">
      <w:pPr>
        <w:ind w:left="567" w:right="567"/>
        <w:rPr>
          <w:i/>
          <w:lang w:val="en-GB"/>
        </w:rPr>
      </w:pPr>
      <w:r w:rsidRPr="00600630">
        <w:rPr>
          <w:i/>
          <w:lang w:val="en-GB"/>
        </w:rPr>
        <w:t>“I had to work with three people I did not know. I think that this allowed me to develop my communication skills with new people and allowed me to gain the confidence to put forward my ideas.” (E79)</w:t>
      </w:r>
    </w:p>
    <w:p w:rsidR="00600630" w:rsidRPr="00600630" w:rsidRDefault="00600630" w:rsidP="00600630">
      <w:pPr>
        <w:ind w:left="567" w:right="567"/>
        <w:rPr>
          <w:i/>
          <w:lang w:val="en-GB"/>
        </w:rPr>
      </w:pPr>
      <w:r w:rsidRPr="00600630">
        <w:rPr>
          <w:i/>
          <w:lang w:val="en-GB"/>
        </w:rPr>
        <w:t>“The simulation has not only taught me that it is crucial to have the ability to work with others when faced with obstacles, but it has also aided in developing my leadership skills as the key to overcoming the obstacles that we faced was to get the team to work as a whole rather than individuals.” (E76)</w:t>
      </w:r>
    </w:p>
    <w:p w:rsidR="00600630" w:rsidRPr="00600630" w:rsidRDefault="00600630" w:rsidP="00600630">
      <w:pPr>
        <w:rPr>
          <w:lang w:val="en-GB"/>
        </w:rPr>
      </w:pPr>
      <w:r w:rsidRPr="00600630">
        <w:rPr>
          <w:lang w:val="en-GB"/>
        </w:rPr>
        <w:t xml:space="preserve">Students often stated that this was their first time working as part of a group in a business context and that they were unaware of the challenges that could potentially arise. In several cases, students </w:t>
      </w:r>
      <w:r w:rsidRPr="00600630">
        <w:rPr>
          <w:lang w:val="en-GB"/>
        </w:rPr>
        <w:lastRenderedPageBreak/>
        <w:t>reported that through the simulation, they had discovered their strengths and weaknesses in group-based work, as well as discovering the role that did most likely suit them:</w:t>
      </w:r>
    </w:p>
    <w:p w:rsidR="00600630" w:rsidRPr="00600630" w:rsidRDefault="00600630" w:rsidP="00600630">
      <w:pPr>
        <w:ind w:left="567" w:right="567"/>
        <w:rPr>
          <w:i/>
          <w:lang w:val="en-GB"/>
        </w:rPr>
      </w:pPr>
      <w:r w:rsidRPr="00600630">
        <w:rPr>
          <w:i/>
          <w:lang w:val="en-GB"/>
        </w:rPr>
        <w:t>“It was evident from the outset that I took up the leadership role because of my willingness to make critical decisions.” (E93)</w:t>
      </w:r>
    </w:p>
    <w:p w:rsidR="00600630" w:rsidRPr="00600630" w:rsidRDefault="00600630" w:rsidP="00600630">
      <w:pPr>
        <w:ind w:left="567" w:right="567"/>
        <w:rPr>
          <w:i/>
          <w:lang w:val="en-GB"/>
        </w:rPr>
      </w:pPr>
      <w:r w:rsidRPr="00600630">
        <w:rPr>
          <w:i/>
          <w:lang w:val="en-GB"/>
        </w:rPr>
        <w:t>“I believe I am a strategic thinker in the team, analysing situations and coming up with solutions.” (E11)</w:t>
      </w:r>
    </w:p>
    <w:p w:rsidR="00600630" w:rsidRPr="00600630" w:rsidRDefault="00600630" w:rsidP="00600630">
      <w:pPr>
        <w:ind w:left="567" w:right="567"/>
        <w:rPr>
          <w:i/>
          <w:lang w:val="en-GB"/>
        </w:rPr>
      </w:pPr>
      <w:r w:rsidRPr="00600630">
        <w:rPr>
          <w:i/>
          <w:lang w:val="en-GB"/>
        </w:rPr>
        <w:t>“I learnt in regards to group decision making that I was very much a group spokesman or leader.” (E74)</w:t>
      </w:r>
    </w:p>
    <w:p w:rsidR="00600630" w:rsidRPr="00600630" w:rsidRDefault="00600630" w:rsidP="00600630">
      <w:pPr>
        <w:rPr>
          <w:lang w:val="en-GB"/>
        </w:rPr>
      </w:pPr>
      <w:r w:rsidRPr="00600630">
        <w:rPr>
          <w:lang w:val="en-GB"/>
        </w:rPr>
        <w:t xml:space="preserve">In most cases, the overall group experience was positive, and it was reflected in cooperative group behaviour, such as </w:t>
      </w:r>
      <w:proofErr w:type="spellStart"/>
      <w:r w:rsidRPr="00600630">
        <w:rPr>
          <w:lang w:val="en-GB"/>
        </w:rPr>
        <w:t>promotive</w:t>
      </w:r>
      <w:proofErr w:type="spellEnd"/>
      <w:r w:rsidRPr="00600630">
        <w:rPr>
          <w:lang w:val="en-GB"/>
        </w:rPr>
        <w:t xml:space="preserve"> interaction (26 codes), positive interdependence (19 codes) and a sense of accountability attached to the group and its members (14 codes). </w:t>
      </w:r>
    </w:p>
    <w:p w:rsidR="00600630" w:rsidRPr="00600630" w:rsidRDefault="00600630" w:rsidP="00600630">
      <w:pPr>
        <w:rPr>
          <w:lang w:val="en-GB"/>
        </w:rPr>
      </w:pPr>
      <w:r w:rsidRPr="00600630">
        <w:rPr>
          <w:lang w:val="en-GB"/>
        </w:rPr>
        <w:t>For example, students assisted each other’s learning, by actively supporting team members in solving the weekly tasks, but also by passively observing team members’ interpretation of theory (</w:t>
      </w:r>
      <w:proofErr w:type="spellStart"/>
      <w:r w:rsidRPr="00600630">
        <w:rPr>
          <w:lang w:val="en-GB"/>
        </w:rPr>
        <w:t>promotive</w:t>
      </w:r>
      <w:proofErr w:type="spellEnd"/>
      <w:r w:rsidRPr="00600630">
        <w:rPr>
          <w:lang w:val="en-GB"/>
        </w:rPr>
        <w:t xml:space="preserve"> interaction): </w:t>
      </w:r>
    </w:p>
    <w:p w:rsidR="00600630" w:rsidRPr="00600630" w:rsidRDefault="00600630" w:rsidP="00600630">
      <w:pPr>
        <w:ind w:left="567" w:right="567"/>
        <w:rPr>
          <w:i/>
          <w:lang w:val="en-GB"/>
        </w:rPr>
      </w:pPr>
      <w:r w:rsidRPr="00600630">
        <w:rPr>
          <w:i/>
          <w:lang w:val="en-GB"/>
        </w:rPr>
        <w:t>“I could make an observation of how the theories were interpreted by the other members, who allowed me to see different perspectives and hence, enhanced the way I thought about the theory</w:t>
      </w:r>
      <w:proofErr w:type="gramStart"/>
      <w:r w:rsidRPr="00600630">
        <w:rPr>
          <w:i/>
          <w:lang w:val="en-GB"/>
        </w:rPr>
        <w:t>.“</w:t>
      </w:r>
      <w:proofErr w:type="gramEnd"/>
      <w:r w:rsidRPr="00600630">
        <w:rPr>
          <w:i/>
          <w:lang w:val="en-GB"/>
        </w:rPr>
        <w:t xml:space="preserve"> (E68)</w:t>
      </w:r>
    </w:p>
    <w:p w:rsidR="00600630" w:rsidRPr="00600630" w:rsidRDefault="00600630" w:rsidP="00600630">
      <w:pPr>
        <w:rPr>
          <w:lang w:val="en-GB"/>
        </w:rPr>
      </w:pPr>
      <w:r w:rsidRPr="00600630">
        <w:rPr>
          <w:lang w:val="en-GB"/>
        </w:rPr>
        <w:t>Positive interdependence was reflected in the awareness of group members that in order to be successful, they have to work together and assist each other to solve their common tasks:</w:t>
      </w:r>
    </w:p>
    <w:p w:rsidR="00600630" w:rsidRPr="00046D6E" w:rsidRDefault="00600630" w:rsidP="00046D6E">
      <w:pPr>
        <w:ind w:left="567" w:right="567"/>
        <w:rPr>
          <w:i/>
          <w:lang w:val="en-GB"/>
        </w:rPr>
      </w:pPr>
      <w:r w:rsidRPr="00046D6E">
        <w:rPr>
          <w:i/>
          <w:lang w:val="en-GB"/>
        </w:rPr>
        <w:t>“An important part of this process has been the support of my team as we were all in the same boat, swamped with work but trying to give our best according to our abilities.” (E34)</w:t>
      </w:r>
    </w:p>
    <w:p w:rsidR="00600630" w:rsidRPr="00600630" w:rsidRDefault="00600630" w:rsidP="00600630">
      <w:pPr>
        <w:rPr>
          <w:lang w:val="en-GB"/>
        </w:rPr>
      </w:pPr>
      <w:r w:rsidRPr="00600630">
        <w:rPr>
          <w:lang w:val="en-GB"/>
        </w:rPr>
        <w:t>Finally, group accountability means that each group member was aware of the responsibility that they have towards completing their own workload and that competition occurs between groups rather than within groups:</w:t>
      </w:r>
    </w:p>
    <w:p w:rsidR="00600630" w:rsidRPr="00046D6E" w:rsidRDefault="00600630" w:rsidP="00046D6E">
      <w:pPr>
        <w:ind w:left="567" w:right="567"/>
        <w:rPr>
          <w:i/>
          <w:lang w:val="en-GB"/>
        </w:rPr>
      </w:pPr>
      <w:r w:rsidRPr="00046D6E">
        <w:rPr>
          <w:i/>
          <w:lang w:val="en-GB"/>
        </w:rPr>
        <w:t>“All members displayed high-levels of concentration and dedication in relation to our work and the deadlines we had to meet.” (E36)</w:t>
      </w:r>
    </w:p>
    <w:p w:rsidR="00600630" w:rsidRPr="00046D6E" w:rsidRDefault="00600630" w:rsidP="00046D6E">
      <w:pPr>
        <w:ind w:left="567" w:right="567"/>
        <w:rPr>
          <w:i/>
          <w:lang w:val="en-GB"/>
        </w:rPr>
      </w:pPr>
      <w:r w:rsidRPr="00046D6E">
        <w:rPr>
          <w:i/>
          <w:lang w:val="en-GB"/>
        </w:rPr>
        <w:t>“In a contrast to the groups I had worked with before, in this group everyone took part in equally, and through our Facebook group and weekly meetings we were able to reach the feeling of a genuine group.” (E73)</w:t>
      </w:r>
    </w:p>
    <w:p w:rsidR="00600630" w:rsidRPr="00600630" w:rsidRDefault="00600630" w:rsidP="00046D6E">
      <w:pPr>
        <w:pStyle w:val="Heading3"/>
        <w:rPr>
          <w:lang w:val="en-GB"/>
        </w:rPr>
      </w:pPr>
      <w:r w:rsidRPr="00600630">
        <w:rPr>
          <w:lang w:val="en-GB"/>
        </w:rPr>
        <w:t>Manifestations of Demotivation and Lack of Engagement (63 Code Applications)</w:t>
      </w:r>
    </w:p>
    <w:p w:rsidR="00600630" w:rsidRPr="00600630" w:rsidRDefault="00600630" w:rsidP="00600630">
      <w:pPr>
        <w:rPr>
          <w:lang w:val="en-GB"/>
        </w:rPr>
      </w:pPr>
      <w:r w:rsidRPr="00600630">
        <w:rPr>
          <w:lang w:val="en-GB"/>
        </w:rPr>
        <w:t>Motivation and engagement during the simulation were frequently mentioned in context with the software’s ability to provide feedback as well as the student’s ability to understand and comprehend the same. On the negative side, students reported that the software provided too little explan</w:t>
      </w:r>
      <w:r w:rsidR="0092361B">
        <w:rPr>
          <w:lang w:val="en-GB"/>
        </w:rPr>
        <w:t xml:space="preserve">ation for each rounds’ results: </w:t>
      </w:r>
    </w:p>
    <w:p w:rsidR="00600630" w:rsidRPr="00046D6E" w:rsidRDefault="00600630" w:rsidP="00046D6E">
      <w:pPr>
        <w:ind w:left="567" w:right="567"/>
        <w:rPr>
          <w:i/>
          <w:lang w:val="en-GB"/>
        </w:rPr>
      </w:pPr>
      <w:r w:rsidRPr="00046D6E">
        <w:rPr>
          <w:i/>
          <w:lang w:val="en-GB"/>
        </w:rPr>
        <w:t xml:space="preserve">“I also felt that in certain circumstances it was difficult to learn what went wrong and why. Quite often we </w:t>
      </w:r>
      <w:proofErr w:type="gramStart"/>
      <w:r w:rsidRPr="00046D6E">
        <w:rPr>
          <w:i/>
          <w:lang w:val="en-GB"/>
        </w:rPr>
        <w:t>were having</w:t>
      </w:r>
      <w:proofErr w:type="gramEnd"/>
      <w:r w:rsidRPr="00046D6E">
        <w:rPr>
          <w:i/>
          <w:lang w:val="en-GB"/>
        </w:rPr>
        <w:t xml:space="preserve"> to guess what went wrong as we struggled in most weeks and could not understand what was going wrong most weeks.” (E56)</w:t>
      </w:r>
    </w:p>
    <w:p w:rsidR="00600630" w:rsidRPr="00600630" w:rsidRDefault="00600630" w:rsidP="00600630">
      <w:pPr>
        <w:rPr>
          <w:lang w:val="en-GB"/>
        </w:rPr>
      </w:pPr>
      <w:r w:rsidRPr="00600630">
        <w:rPr>
          <w:lang w:val="en-GB"/>
        </w:rPr>
        <w:t xml:space="preserve">Also, students were frequently unable to comprehend why the results of other groups varied despite them seemingly following the same strategy. Students were missing a more detailed illustration of the link between their theory-based decisions and the outcome after each round, including an indication of the impact of each individual aspect of their decisions. This lack of feedback in some instances negatively affected motivation and engagement. </w:t>
      </w:r>
    </w:p>
    <w:p w:rsidR="00600630" w:rsidRPr="00046D6E" w:rsidRDefault="00600630" w:rsidP="00046D6E">
      <w:pPr>
        <w:ind w:left="567" w:right="567"/>
        <w:rPr>
          <w:i/>
          <w:lang w:val="en-GB"/>
        </w:rPr>
      </w:pPr>
      <w:r w:rsidRPr="00046D6E">
        <w:rPr>
          <w:i/>
          <w:lang w:val="en-GB"/>
        </w:rPr>
        <w:t>“[S]</w:t>
      </w:r>
      <w:proofErr w:type="spellStart"/>
      <w:r w:rsidRPr="00046D6E">
        <w:rPr>
          <w:i/>
          <w:lang w:val="en-GB"/>
        </w:rPr>
        <w:t>ome</w:t>
      </w:r>
      <w:proofErr w:type="spellEnd"/>
      <w:r w:rsidRPr="00046D6E">
        <w:rPr>
          <w:i/>
          <w:lang w:val="en-GB"/>
        </w:rPr>
        <w:t xml:space="preserve"> market phenomena do not comply with the theories. For example, our product had the same quality and lower price than our competitors, while their market share was twice as us.” (E33)</w:t>
      </w:r>
    </w:p>
    <w:p w:rsidR="00600630" w:rsidRPr="00046D6E" w:rsidRDefault="00600630" w:rsidP="00046D6E">
      <w:pPr>
        <w:ind w:left="567" w:right="567"/>
        <w:rPr>
          <w:i/>
          <w:lang w:val="en-GB"/>
        </w:rPr>
      </w:pPr>
      <w:r w:rsidRPr="00046D6E">
        <w:rPr>
          <w:i/>
          <w:lang w:val="en-GB"/>
        </w:rPr>
        <w:t>“We thought we had tried everything to enhance brand awareness, which contained that we opened more shops in different distribution channels, improve our product quality, and increase expense in window decoration (only these can be controlled in relation to brand awareness we believed in the first 4 quarters), but it does not make any difference.” (E51)</w:t>
      </w:r>
    </w:p>
    <w:p w:rsidR="00600630" w:rsidRPr="00046D6E" w:rsidRDefault="00600630" w:rsidP="00046D6E">
      <w:pPr>
        <w:ind w:left="567" w:right="567"/>
        <w:rPr>
          <w:i/>
          <w:lang w:val="en-GB"/>
        </w:rPr>
      </w:pPr>
      <w:r w:rsidRPr="00046D6E">
        <w:rPr>
          <w:i/>
          <w:lang w:val="en-GB"/>
        </w:rPr>
        <w:lastRenderedPageBreak/>
        <w:t>“[M]y learning was impeded by my lack of trust in the simulation, the feedback presented by it was unclear and I was left treating it like a spreadsheet.” (E81)</w:t>
      </w:r>
    </w:p>
    <w:p w:rsidR="00600630" w:rsidRPr="00600630" w:rsidRDefault="00600630" w:rsidP="00600630">
      <w:pPr>
        <w:rPr>
          <w:lang w:val="en-GB"/>
        </w:rPr>
      </w:pPr>
      <w:r w:rsidRPr="00600630">
        <w:rPr>
          <w:lang w:val="en-GB"/>
        </w:rPr>
        <w:t>Another source of demotivation was students’ perceived lack of choices that did not seem to reflect the range of marketing decisions discussed in marketing lectures and theory:</w:t>
      </w:r>
    </w:p>
    <w:p w:rsidR="00600630" w:rsidRPr="00046D6E" w:rsidRDefault="00600630" w:rsidP="00046D6E">
      <w:pPr>
        <w:ind w:left="567" w:right="567"/>
        <w:rPr>
          <w:i/>
          <w:lang w:val="en-GB"/>
        </w:rPr>
      </w:pPr>
      <w:r w:rsidRPr="00046D6E">
        <w:rPr>
          <w:i/>
          <w:lang w:val="en-GB"/>
        </w:rPr>
        <w:t>“I felt that due to restrictions in choices there was not the possibility to differentiate extensively from rival groups and to fully capture our own niche. For example, under the personality section, there was only a very limited amount of choice which restricted our ability to target a specific set of consumers comprehensively.” (E3)</w:t>
      </w:r>
    </w:p>
    <w:p w:rsidR="00600630" w:rsidRPr="00600630" w:rsidRDefault="00600630" w:rsidP="00600630">
      <w:pPr>
        <w:rPr>
          <w:lang w:val="en-GB"/>
        </w:rPr>
      </w:pPr>
      <w:r w:rsidRPr="00600630">
        <w:rPr>
          <w:lang w:val="en-GB"/>
        </w:rPr>
        <w:t>In many cases, however, the expression of negative feelings such as competitiveness and stress often led to an outcome that was ultimately perceived as being a positive experience:</w:t>
      </w:r>
    </w:p>
    <w:p w:rsidR="00600630" w:rsidRPr="00046D6E" w:rsidRDefault="00600630" w:rsidP="00046D6E">
      <w:pPr>
        <w:ind w:left="567" w:right="567"/>
        <w:rPr>
          <w:i/>
          <w:lang w:val="en-GB"/>
        </w:rPr>
      </w:pPr>
      <w:r w:rsidRPr="00046D6E">
        <w:rPr>
          <w:i/>
          <w:lang w:val="en-GB"/>
        </w:rPr>
        <w:t>“When I look back I recall that there was a lot of competitive stress. This feeling enhanced the possibilities for further reflection and learning because it taught me how I act under pressure of real world situations.” (E80)</w:t>
      </w:r>
    </w:p>
    <w:p w:rsidR="00600630" w:rsidRPr="00600630" w:rsidRDefault="00600630" w:rsidP="00600630">
      <w:pPr>
        <w:rPr>
          <w:lang w:val="en-GB"/>
        </w:rPr>
      </w:pPr>
      <w:r w:rsidRPr="00600630">
        <w:rPr>
          <w:lang w:val="en-GB"/>
        </w:rPr>
        <w:t>In most cases, engagement and motivation were triggered by alternative performance indicators as well as the ability to apply theory and engage in cooperative learning:</w:t>
      </w:r>
    </w:p>
    <w:p w:rsidR="00600630" w:rsidRPr="00046D6E" w:rsidRDefault="00600630" w:rsidP="00046D6E">
      <w:pPr>
        <w:ind w:left="567" w:right="567"/>
        <w:rPr>
          <w:i/>
          <w:lang w:val="en-GB"/>
        </w:rPr>
      </w:pPr>
      <w:r w:rsidRPr="00046D6E">
        <w:rPr>
          <w:i/>
          <w:lang w:val="en-GB"/>
        </w:rPr>
        <w:t>“Despite the unexpected outcomes, my group and I stayed positive and looked at the “bright side” [of] our performance such as obtaining high customer loyalty and moderate brand image. As a result, I felt satisfied working with my teammates and the skills I developed here including the ability to meet deadlines, cooperating with others.” (E63)</w:t>
      </w:r>
    </w:p>
    <w:p w:rsidR="00600630" w:rsidRPr="00046D6E" w:rsidRDefault="00600630" w:rsidP="00046D6E">
      <w:pPr>
        <w:ind w:left="567" w:right="567"/>
        <w:rPr>
          <w:i/>
          <w:lang w:val="en-GB"/>
        </w:rPr>
      </w:pPr>
      <w:r w:rsidRPr="00046D6E">
        <w:rPr>
          <w:i/>
          <w:lang w:val="en-GB"/>
        </w:rPr>
        <w:t>“Although too much focus on rankings and fortune factor seemed to negatively influence the effectiveness of marketing simulation, I thought it was helpful to my learning experience.” (E96)</w:t>
      </w:r>
    </w:p>
    <w:p w:rsidR="00600630" w:rsidRPr="00600630" w:rsidRDefault="00600630" w:rsidP="00046D6E">
      <w:pPr>
        <w:pStyle w:val="Heading3"/>
        <w:rPr>
          <w:lang w:val="en-GB"/>
        </w:rPr>
      </w:pPr>
      <w:r w:rsidRPr="00600630">
        <w:rPr>
          <w:lang w:val="en-GB"/>
        </w:rPr>
        <w:t>Outcome of the Learning Experience (362 Code Applications)</w:t>
      </w:r>
    </w:p>
    <w:p w:rsidR="00600630" w:rsidRPr="00600630" w:rsidRDefault="00600630" w:rsidP="00600630">
      <w:pPr>
        <w:rPr>
          <w:lang w:val="en-GB"/>
        </w:rPr>
      </w:pPr>
      <w:r w:rsidRPr="00600630">
        <w:rPr>
          <w:lang w:val="en-GB"/>
        </w:rPr>
        <w:t>Overall, students reported to be positively satisfied with their learning experience. The combination of factors adapted from the real world and the benefits of working in a simulation in sum provided a learning environment that was perceived as being novel, exciting and motivating:</w:t>
      </w:r>
    </w:p>
    <w:p w:rsidR="00600630" w:rsidRPr="00046D6E" w:rsidRDefault="00600630" w:rsidP="00046D6E">
      <w:pPr>
        <w:ind w:left="567" w:right="567"/>
        <w:rPr>
          <w:i/>
          <w:lang w:val="en-GB"/>
        </w:rPr>
      </w:pPr>
      <w:r w:rsidRPr="00046D6E">
        <w:rPr>
          <w:i/>
          <w:lang w:val="en-GB"/>
        </w:rPr>
        <w:t>“The compression of time in the simulation certainly enhanced our learning and understanding of repositioning theory by putting us in a scenario that is otherwise completely inaccessible to a group of second year undergraduates.” (E39)</w:t>
      </w:r>
    </w:p>
    <w:p w:rsidR="00600630" w:rsidRPr="00046D6E" w:rsidRDefault="00600630" w:rsidP="00046D6E">
      <w:pPr>
        <w:ind w:left="567" w:right="567"/>
        <w:rPr>
          <w:i/>
          <w:lang w:val="en-GB"/>
        </w:rPr>
      </w:pPr>
      <w:r w:rsidRPr="00046D6E">
        <w:rPr>
          <w:i/>
          <w:lang w:val="en-GB"/>
        </w:rPr>
        <w:t>“Healthy competition enhanced us to be motivated and determined to discuss each week till final round and finally rewarded 6th” (E117)</w:t>
      </w:r>
    </w:p>
    <w:p w:rsidR="00600630" w:rsidRPr="00600630" w:rsidRDefault="00600630" w:rsidP="00600630">
      <w:pPr>
        <w:rPr>
          <w:lang w:val="en-GB"/>
        </w:rPr>
      </w:pPr>
      <w:r w:rsidRPr="00600630">
        <w:rPr>
          <w:lang w:val="en-GB"/>
        </w:rPr>
        <w:t>Students’ self-reflective evaluation of learning exp</w:t>
      </w:r>
      <w:r w:rsidR="001E6684">
        <w:rPr>
          <w:lang w:val="en-GB"/>
        </w:rPr>
        <w:t xml:space="preserve">erience was characterised by a self-reported </w:t>
      </w:r>
      <w:r w:rsidRPr="00600630">
        <w:rPr>
          <w:lang w:val="en-GB"/>
        </w:rPr>
        <w:t>increase in critical thinking skills and productivity. As a result, the simulation was experienced to have a positive impact on students’ motivation:</w:t>
      </w:r>
    </w:p>
    <w:p w:rsidR="00600630" w:rsidRPr="00046D6E" w:rsidRDefault="00600630" w:rsidP="00046D6E">
      <w:pPr>
        <w:ind w:left="567" w:right="567"/>
        <w:rPr>
          <w:i/>
          <w:lang w:val="en-GB"/>
        </w:rPr>
      </w:pPr>
      <w:r w:rsidRPr="00046D6E">
        <w:rPr>
          <w:i/>
          <w:lang w:val="en-GB"/>
        </w:rPr>
        <w:t>“I found this experimental learning experience enhanced my critical thinking skills, increased motivation and productivity (…)” (E12)</w:t>
      </w:r>
    </w:p>
    <w:p w:rsidR="00600630" w:rsidRPr="00046D6E" w:rsidRDefault="00600630" w:rsidP="00046D6E">
      <w:pPr>
        <w:ind w:left="567" w:right="567"/>
        <w:rPr>
          <w:i/>
          <w:lang w:val="en-GB"/>
        </w:rPr>
      </w:pPr>
      <w:r w:rsidRPr="00046D6E">
        <w:rPr>
          <w:i/>
          <w:lang w:val="en-GB"/>
        </w:rPr>
        <w:t>“[I]t [marketing simulation] enhanced my skills such as critical thinking and the ability to assimilate the financial data which are valuable and cannot be taught by the traditional methods.” (E33)</w:t>
      </w:r>
    </w:p>
    <w:p w:rsidR="00600630" w:rsidRPr="00046D6E" w:rsidRDefault="00600630" w:rsidP="00046D6E">
      <w:pPr>
        <w:ind w:left="567" w:right="567"/>
        <w:rPr>
          <w:i/>
          <w:lang w:val="en-GB"/>
        </w:rPr>
      </w:pPr>
      <w:r w:rsidRPr="00046D6E">
        <w:rPr>
          <w:i/>
          <w:lang w:val="en-GB"/>
        </w:rPr>
        <w:t>“I was able to learn much more effectively by seeing how our decisions impacted the company’s ranking frequently in a ‘real-life’ simulation of marketing theory.” (E90)</w:t>
      </w:r>
    </w:p>
    <w:p w:rsidR="00600630" w:rsidRPr="00600630" w:rsidRDefault="00600630" w:rsidP="00600630">
      <w:pPr>
        <w:rPr>
          <w:lang w:val="en-GB"/>
        </w:rPr>
      </w:pPr>
      <w:r w:rsidRPr="00600630">
        <w:rPr>
          <w:lang w:val="en-GB"/>
        </w:rPr>
        <w:t>In an outlook to the future, students frequently valued the skillsets that they had gained during the simulation and expected their performance to benefit from this, both with regards to future simulations the real world:</w:t>
      </w:r>
    </w:p>
    <w:p w:rsidR="00600630" w:rsidRPr="00046D6E" w:rsidRDefault="00600630" w:rsidP="00046D6E">
      <w:pPr>
        <w:ind w:left="567" w:right="567"/>
        <w:rPr>
          <w:i/>
          <w:lang w:val="en-GB"/>
        </w:rPr>
      </w:pPr>
      <w:r w:rsidRPr="00046D6E">
        <w:rPr>
          <w:i/>
          <w:lang w:val="en-GB"/>
        </w:rPr>
        <w:t>“By reflecting on my experience I am aware of how I can make future improvements and will look towards challenging all group members to attend all meetings whilst additionally broadening the range of sources I obtain information from.” (E41)</w:t>
      </w:r>
    </w:p>
    <w:p w:rsidR="00600630" w:rsidRPr="00046D6E" w:rsidRDefault="00600630" w:rsidP="00046D6E">
      <w:pPr>
        <w:ind w:left="567" w:right="567"/>
        <w:rPr>
          <w:i/>
          <w:lang w:val="en-GB"/>
        </w:rPr>
      </w:pPr>
      <w:r w:rsidRPr="00046D6E">
        <w:rPr>
          <w:i/>
          <w:lang w:val="en-GB"/>
        </w:rPr>
        <w:t>“The delegation of work based on ability to complete that specific work, is certainly a concept I will carry from the marketing simulation into the ‘active experimentation’ phase, by using it both in group coursework at University, and eventually in employment.” (E69)</w:t>
      </w:r>
    </w:p>
    <w:p w:rsidR="00600630" w:rsidRPr="00046D6E" w:rsidRDefault="00600630" w:rsidP="00046D6E">
      <w:pPr>
        <w:ind w:left="567" w:right="567"/>
        <w:rPr>
          <w:i/>
          <w:lang w:val="en-GB"/>
        </w:rPr>
      </w:pPr>
      <w:r w:rsidRPr="00046D6E">
        <w:rPr>
          <w:i/>
          <w:lang w:val="en-GB"/>
        </w:rPr>
        <w:lastRenderedPageBreak/>
        <w:t>“To conclude whilst I believe there were some negative outcomes as a result of the Simulation itself, these were in most cases overshadowed by the positive learning experience provided through participation in the group based scenarios. It is my opinion that it has equipped the group with competencies transferrable to the remainder of this module, and also towards further studies and beyond.” (E48)</w:t>
      </w:r>
    </w:p>
    <w:p w:rsidR="00600630" w:rsidRPr="00705478" w:rsidRDefault="00600630" w:rsidP="00600630">
      <w:pPr>
        <w:pStyle w:val="Heading1"/>
        <w:rPr>
          <w:lang w:val="en-GB"/>
        </w:rPr>
      </w:pPr>
      <w:r>
        <w:rPr>
          <w:lang w:val="en-GB"/>
        </w:rPr>
        <w:t>Discussion</w:t>
      </w:r>
    </w:p>
    <w:p w:rsidR="007B2ABD" w:rsidRDefault="001E6684" w:rsidP="00AF06B9">
      <w:pPr>
        <w:rPr>
          <w:lang w:val="en-GB"/>
        </w:rPr>
      </w:pPr>
      <w:r>
        <w:rPr>
          <w:lang w:val="en-GB"/>
        </w:rPr>
        <w:t>The findings are very much aligned</w:t>
      </w:r>
      <w:r w:rsidR="000F572A">
        <w:rPr>
          <w:lang w:val="en-GB"/>
        </w:rPr>
        <w:t xml:space="preserve"> with the literature on </w:t>
      </w:r>
      <w:r>
        <w:rPr>
          <w:lang w:val="en-GB"/>
        </w:rPr>
        <w:t xml:space="preserve">learning in simulation games.  </w:t>
      </w:r>
      <w:r w:rsidR="00AF06B9" w:rsidRPr="006A111C">
        <w:rPr>
          <w:lang w:val="en-GB"/>
        </w:rPr>
        <w:t>The combination of real world factors in a safe</w:t>
      </w:r>
      <w:r w:rsidR="00AF06B9">
        <w:rPr>
          <w:lang w:val="en-GB"/>
        </w:rPr>
        <w:t>,</w:t>
      </w:r>
      <w:r w:rsidR="00AF06B9" w:rsidRPr="006A111C">
        <w:rPr>
          <w:lang w:val="en-GB"/>
        </w:rPr>
        <w:t xml:space="preserve"> simulated context provided a learning environment that was perceived as being novel, exciting and motivating</w:t>
      </w:r>
      <w:r>
        <w:rPr>
          <w:lang w:val="en-GB"/>
        </w:rPr>
        <w:t xml:space="preserve"> for students</w:t>
      </w:r>
      <w:r w:rsidR="000F572A">
        <w:rPr>
          <w:lang w:val="en-GB"/>
        </w:rPr>
        <w:t xml:space="preserve"> </w:t>
      </w:r>
      <w:r w:rsidR="000F572A">
        <w:rPr>
          <w:lang w:val="en-GB"/>
        </w:rPr>
        <w:fldChar w:fldCharType="begin"/>
      </w:r>
      <w:r w:rsidR="00A837AD">
        <w:rPr>
          <w:lang w:val="en-GB"/>
        </w:rPr>
        <w:instrText xml:space="preserve"> ADDIN ZOTERO_ITEM CSL_CITATION {"citationID":"nbsdjpu9p","properties":{"formattedCitation":"[35]","plainCitation":"[35]"},"citationItems":[{"id":7470,"uris":["http://zotero.org/users/local/FTZZFbAq/items/KTDTZMP3"],"uri":["http://zotero.org/users/local/FTZZFbAq/items/KTDTZMP3"],"itemData":{"id":7470,"type":"article-journal","title":"Using Simulation-Based Training to Enhance Management Education","container-title":"Academy of Management Learning &amp; Education","page":"559-573","volume":"8","issue":"4","source":"amle.aom.org","abstract":"We suggest that simulation-based training (SBT) offers many advantages as an approach for management education, and in an effort to guide and encourage its appropriate use, we provide several practical guidelines regarding how best to implement simulation-based training in the classroom. Our hope is that these guidelines will increase the use of high-quality SBT interventions in management education, and consequently, improve the performance of management and organizations alike.","ISSN":"1537-260X, 1944-9585","journalAbbreviation":"ACAD MANAG LEARN EDU","language":"en","author":[{"family":"Salas","given":"Eduardo"},{"family":"Wildman","given":"Jessica L."},{"family":"Piccolo","given":"Ronald F."}],"issued":{"date-parts":[["2009",12,1]]},"accessed":{"date-parts":[["2015",1,22]],"season":"21:29:13"}}}],"schema":"https://github.com/citation-style-language/schema/raw/master/csl-citation.json"} </w:instrText>
      </w:r>
      <w:r w:rsidR="000F572A">
        <w:rPr>
          <w:lang w:val="en-GB"/>
        </w:rPr>
        <w:fldChar w:fldCharType="separate"/>
      </w:r>
      <w:r w:rsidR="00A837AD" w:rsidRPr="00A837AD">
        <w:rPr>
          <w:rFonts w:cs="Arial"/>
        </w:rPr>
        <w:t>[35]</w:t>
      </w:r>
      <w:r w:rsidR="000F572A">
        <w:rPr>
          <w:lang w:val="en-GB"/>
        </w:rPr>
        <w:fldChar w:fldCharType="end"/>
      </w:r>
      <w:r w:rsidR="00AF06B9" w:rsidRPr="006A111C">
        <w:rPr>
          <w:lang w:val="en-GB"/>
        </w:rPr>
        <w:t xml:space="preserve">. </w:t>
      </w:r>
      <w:r w:rsidR="000F572A">
        <w:rPr>
          <w:lang w:val="en-GB"/>
        </w:rPr>
        <w:t>In terms of cognitive learning gains, t</w:t>
      </w:r>
      <w:r>
        <w:rPr>
          <w:lang w:val="en-GB"/>
        </w:rPr>
        <w:t xml:space="preserve">he simulation game experience seems to support students bridging the theory practice divide with </w:t>
      </w:r>
      <w:r w:rsidR="00AF06B9" w:rsidRPr="006A111C">
        <w:rPr>
          <w:lang w:val="en-GB"/>
        </w:rPr>
        <w:t>students referr</w:t>
      </w:r>
      <w:r>
        <w:rPr>
          <w:lang w:val="en-GB"/>
        </w:rPr>
        <w:t>ing</w:t>
      </w:r>
      <w:r w:rsidR="00AF06B9" w:rsidRPr="006A111C">
        <w:rPr>
          <w:lang w:val="en-GB"/>
        </w:rPr>
        <w:t xml:space="preserve"> to the application of marketing theory during the preparation and execution of </w:t>
      </w:r>
      <w:r w:rsidR="00AF06B9">
        <w:rPr>
          <w:lang w:val="en-GB"/>
        </w:rPr>
        <w:t xml:space="preserve">their </w:t>
      </w:r>
      <w:r w:rsidR="00AF06B9" w:rsidRPr="006A111C">
        <w:rPr>
          <w:lang w:val="en-GB"/>
        </w:rPr>
        <w:t>decisions. This process was often related to a positive learning experience, so that the application of theory enhanced the students’ understanding of the theoretical models</w:t>
      </w:r>
      <w:r>
        <w:rPr>
          <w:lang w:val="en-GB"/>
        </w:rPr>
        <w:t>.  This proved even to be the case where the experience was a negative one with students using their knowledge of theory to assess the fidelity of the simulated representation of the game</w:t>
      </w:r>
      <w:r w:rsidR="00AF06B9" w:rsidRPr="006A111C">
        <w:rPr>
          <w:lang w:val="en-GB"/>
        </w:rPr>
        <w:t xml:space="preserve">. </w:t>
      </w:r>
      <w:r>
        <w:rPr>
          <w:lang w:val="en-GB"/>
        </w:rPr>
        <w:t xml:space="preserve"> </w:t>
      </w:r>
      <w:r w:rsidR="00AF06B9" w:rsidRPr="006A111C">
        <w:rPr>
          <w:lang w:val="en-GB"/>
        </w:rPr>
        <w:t xml:space="preserve">Furthermore, there was evidence of analysis </w:t>
      </w:r>
      <w:r>
        <w:rPr>
          <w:lang w:val="en-GB"/>
        </w:rPr>
        <w:t xml:space="preserve">and synthesis </w:t>
      </w:r>
      <w:r w:rsidR="00AF06B9" w:rsidRPr="006A111C">
        <w:rPr>
          <w:lang w:val="en-GB"/>
        </w:rPr>
        <w:t xml:space="preserve">activities, </w:t>
      </w:r>
      <w:r>
        <w:rPr>
          <w:lang w:val="en-GB"/>
        </w:rPr>
        <w:t xml:space="preserve"> with students developing a better understanding of cause and effects and consequences of their actions, as in </w:t>
      </w:r>
      <w:r>
        <w:rPr>
          <w:lang w:val="en-GB"/>
        </w:rPr>
        <w:fldChar w:fldCharType="begin"/>
      </w:r>
      <w:r>
        <w:rPr>
          <w:lang w:val="en-GB"/>
        </w:rPr>
        <w:instrText xml:space="preserve"> ADDIN ZOTERO_ITEM CSL_CITATION {"citationID":"iui2fe0o8","properties":{"formattedCitation":"[10], [13], [14]","plainCitation":"[10], [13], [14]"},"citationItems":[{"id":157,"uris":["http://zotero.org/users/local/FTZZFbAq/items/XWDBPGV3"],"uri":["http://zotero.org/users/local/FTZZFbAq/items/XWDBPGV3"],"itemData":{"id":157,"type":"article-journal","title":"Foundation for problem-based gaming","container-title":"British Journal of Educational Technology","page":"394-404","volume":"38","issue":"3","source":"Wiley Online Library","abstract":"Educational games may offer a viable strategy for developing students' problem-solving skills. However, the state of art of educational game research does not provide an account for that. Thus, the aim of this research is to develop an empirically allocated model about problem-based gaming that can be utilised to design pedagogically meaningful games. The proposed model was evaluated through a business simulation game. The interviews indicated that authenticity, collaboration and learning by doing were found to be the most important characteristics of effective educational games. Results also showed that the proposed model describes well the problem-based gaming process in which the reflection phase seems to be a vital factor. The outcome of the reflection phase may be personal synthesis of knowledge, validation of hypothesis laid or a new playing strategy to be tested. However, because of the small sample size of this study, more research on the topic is recommended. Especially, ways to support reflection in games needs to be studied.","DOI":"10.1111/j.1467-8535.2007.00704.x","ISSN":"1467-8535","language":"en","author":[{"family":"Kiili","given":"Kristian"}],"issued":{"date-parts":[["2007"]]},"accessed":{"date-parts":[["2015",1,8]],"season":"16:55:12"}}},{"id":150,"uris":["http://zotero.org/users/local/FTZZFbAq/items/M9QI62J4"],"uri":["http://zotero.org/users/local/FTZZFbAq/items/M9QI62J4"],"itemData":{"id":150,"type":"article-journal","title":"Applying an authentic, dynamic learning environment in real world business","container-title":"Computers and Education","page":"94-115","volume":"47","issue":"1","archive":"Scopus","abstract":"This paper describes a dynamic computer-based business learning environment and the results from applying it in a real-world business organization. We argue for using learning tools, which not only provide realistic and complex models of reality, but are also are authentic, facilitate continuous problem solving and meaningful learning, and embed learning in social experience. We describe a continuously processed business simulation game, which differs from the majority of business games in the way it is processed. Two company in-house training sessions are then introduced. In these sessions the learning environment was configured to describe the real-world environment of the case company. The empirical part of the paper analyses the findings from these in-house training sessions. We conclude that dynamicity and interactivity of the business learning tool are valuable characteristics if we want to be able to authentically represent the complex, causal, time-bound nature of business organizations. © 2004 Elsevier Ltd. All rights reserved.","author":[{"family":"Lainema","given":"T."},{"family":"Nurmi","given":"S."}],"issued":{"date-parts":[["2006"]]}}},{"id":7419,"uris":["http://zotero.org/users/local/FTZZFbAq/items/7QZCFCTV"],"uri":["http://zotero.org/users/local/FTZZFbAq/items/7QZCFCTV"],"itemData":{"id":7419,"type":"article-journal","title":"Transparent-Box Business Simulators: An Aid to Manage the Complexity of Organizations","container-title":"Simulation &amp; Gaming","page":"230-239","volume":"31","issue":"2","source":"sag.sagepub.com","abstract":"The various methods and tools most commonly used for management training at the present time are insufficient to deal with the complexity of organizations. It seems clear that the system dynamics (SD) approach would allow the treatment of complexity in a more realistic way. The possibility of relating the system’s structure to its behavior is one of the main features of SD because it helps to understand the reasons behind this behavior and should favor decision making and an understanding of the phenomena observed. This possibility is offered by transparent-box business simulators that, in this way, help to overcome the deficiencies of other education tools.","DOI":"10.1177/104687810003100207","ISSN":"1046-8781, 1552-826X","shortTitle":"Transparent-Box Business Simulators","journalAbbreviation":"Simulation Gaming","language":"en","author":[{"family":"Machuca","given":"José A. D."}],"issued":{"date-parts":[["2000",6,1]]},"accessed":{"date-parts":[["2015",1,22]],"season":"15:16:45"}}}],"schema":"https://github.com/citation-style-language/schema/raw/master/csl-citation.json"} </w:instrText>
      </w:r>
      <w:r>
        <w:rPr>
          <w:lang w:val="en-GB"/>
        </w:rPr>
        <w:fldChar w:fldCharType="separate"/>
      </w:r>
      <w:r w:rsidRPr="001E6684">
        <w:rPr>
          <w:rFonts w:cs="Arial"/>
        </w:rPr>
        <w:t>[10], [13], [14]</w:t>
      </w:r>
      <w:r>
        <w:rPr>
          <w:lang w:val="en-GB"/>
        </w:rPr>
        <w:fldChar w:fldCharType="end"/>
      </w:r>
      <w:r w:rsidR="00A13F83">
        <w:rPr>
          <w:lang w:val="en-GB"/>
        </w:rPr>
        <w:t xml:space="preserve">.  This also extends to analysis of financial data to influence decisions which is a vital but challenging aspect of marketing for many students </w:t>
      </w:r>
      <w:r w:rsidR="00A13F83">
        <w:rPr>
          <w:lang w:val="en-GB"/>
        </w:rPr>
        <w:fldChar w:fldCharType="begin"/>
      </w:r>
      <w:r w:rsidR="00A13F83">
        <w:rPr>
          <w:lang w:val="en-GB"/>
        </w:rPr>
        <w:instrText xml:space="preserve"> ADDIN ZOTERO_ITEM CSL_CITATION {"citationID":"1uugods2fq","properties":{"formattedCitation":"[21]","plainCitation":"[21]"},"citationItems":[{"id":81,"uris":["http://zotero.org/users/local/FTZZFbAq/items/8WNPQC5X"],"uri":["http://zotero.org/users/local/FTZZFbAq/items/8WNPQC5X"],"itemData":{"id":81,"type":"article-journal","title":"Effects of Participation in a Simulation Game on Marketing Students' Numeracy and Financial Skills","container-title":"Journal of Marketing Education","page":"259-270","volume":"35","issue":"3","source":"Scopus","archive":"Scopus","abstract":"The need to endow marketing graduates with skills relevant to employability grows ever more important. Marketing math and elementary financial understanding are essential employability skills, particularly given the contemporary emphasis on marketing metrics, but the evidence is that marketing graduates are often relatively weak in such skills. This article suggests that one educational strategy to improve numeracy and financial skills may be through the use of a marketing simulation game. Through the simulation game, students are exposed to marketing calculations and financial data in an engaging context that simulates the real world. It is hypothesized that marketing students' numeracy and financial skills, and their self-efficacy with respect to marketing calculations, will improve following participation in a simulation game where numerical and financial analysis are necessary activities. Using a quasi-experimental research design, it is found that there are substantial and significant improvements in numerical and financial performance after participating in a simulation game, but that there is no improvement (and possibly a small decline) in self-efficacy related to these tasks. Marketing educators are advised that a marketing simulation game is a viable option to consider when seeking to improve students' numeracy and financial skills. © The Author(s) 2013.","DOI":"10.1177/0273475313482928","ISSN":"0273-4753","language":"English","author":[{"family":"Brennan","given":"R."},{"family":"Vos","given":"L."}],"issued":{"date-parts":[["2013"]]}}}],"schema":"https://github.com/citation-style-language/schema/raw/master/csl-citation.json"} </w:instrText>
      </w:r>
      <w:r w:rsidR="00A13F83">
        <w:rPr>
          <w:lang w:val="en-GB"/>
        </w:rPr>
        <w:fldChar w:fldCharType="separate"/>
      </w:r>
      <w:r w:rsidR="00A13F83" w:rsidRPr="00A13F83">
        <w:rPr>
          <w:rFonts w:cs="Arial"/>
        </w:rPr>
        <w:t>[21]</w:t>
      </w:r>
      <w:r w:rsidR="00A13F83">
        <w:rPr>
          <w:lang w:val="en-GB"/>
        </w:rPr>
        <w:fldChar w:fldCharType="end"/>
      </w:r>
      <w:r w:rsidR="00A13F83">
        <w:rPr>
          <w:lang w:val="en-GB"/>
        </w:rPr>
        <w:t>.  Again even the negative experiences of students in relation to the simulation game illustrate engagement of higher level cognitive processes.  In students’</w:t>
      </w:r>
      <w:r w:rsidR="007B2ABD">
        <w:rPr>
          <w:lang w:val="en-GB"/>
        </w:rPr>
        <w:t xml:space="preserve"> commentaries noted above on their relative position in the game, they indicate an analytic basis for their annoyance, i.e. that according to their calculations their position on the </w:t>
      </w:r>
      <w:proofErr w:type="spellStart"/>
      <w:r w:rsidR="007B2ABD">
        <w:rPr>
          <w:lang w:val="en-GB"/>
        </w:rPr>
        <w:t>leaderboard</w:t>
      </w:r>
      <w:proofErr w:type="spellEnd"/>
      <w:r w:rsidR="007B2ABD">
        <w:rPr>
          <w:lang w:val="en-GB"/>
        </w:rPr>
        <w:t xml:space="preserve"> should be different.  This raises questions about the students’ understanding of the marketing variables and the parameters of the game (how positions are calculated) but also possibly about the positioning algorithm used.  Given the motivational impact of these negative experiences</w:t>
      </w:r>
      <w:r w:rsidR="003C6EA5">
        <w:rPr>
          <w:lang w:val="en-GB"/>
        </w:rPr>
        <w:t xml:space="preserve"> </w:t>
      </w:r>
      <w:r w:rsidR="003C6EA5">
        <w:rPr>
          <w:lang w:val="en-GB"/>
        </w:rPr>
        <w:fldChar w:fldCharType="begin"/>
      </w:r>
      <w:r w:rsidR="003C6EA5">
        <w:rPr>
          <w:lang w:val="en-GB"/>
        </w:rPr>
        <w:instrText xml:space="preserve"> ADDIN ZOTERO_ITEM CSL_CITATION {"citationID":"2jo3glr7k7","properties":{"formattedCitation":"[36]","plainCitation":"[36]"},"citationItems":[{"id":7478,"uris":["http://zotero.org/users/local/FTZZFbAq/items/AJSJAS6R"],"uri":["http://zotero.org/users/local/FTZZFbAq/items/AJSJAS6R"],"itemData":{"id":7478,"type":"article-journal","title":"Management simulations: determining their effectiveness","container-title":"The Journal of Management Development","page":"151-168","volume":"25","issue":"2","source":"ProQuest","abstract":"The overall purpose of this research is to increase understanding of the factors that promote the effective use of simulations in management education. This study uses data from 49 teams of respondents performing a management simulation exercise to achieve the research purpose. The study showed that the nature of the simulation and team dynamics affected learning and performance. First, the extent to which users perceived the simulation as reflective of real life situations was positively associated with learning. Second, the ease of use of the simulation positively affected learning. Third, emotional conflict in the team was negatively associated with learning. Fourth, task conflict, measured by the degree of exchange of ideas, was positively associated with learning. Finally, the ease of use and task conflict in a team positively affected team performance, while emotional conflict had a negative relationship to team performance.","ISSN":"02621711","shortTitle":"Management simulations","language":"English","author":[{"family":"Adobor","given":"Henry"},{"family":"Daneshfar","given":"Alireza"}],"issued":{"date-parts":[["2006"]]},"accessed":{"date-parts":[["2015",1,22]],"season":"21:47:54"}}}],"schema":"https://github.com/citation-style-language/schema/raw/master/csl-citation.json"} </w:instrText>
      </w:r>
      <w:r w:rsidR="003C6EA5">
        <w:rPr>
          <w:lang w:val="en-GB"/>
        </w:rPr>
        <w:fldChar w:fldCharType="separate"/>
      </w:r>
      <w:r w:rsidR="003C6EA5" w:rsidRPr="003C6EA5">
        <w:rPr>
          <w:rFonts w:cs="Arial"/>
        </w:rPr>
        <w:t>[36]</w:t>
      </w:r>
      <w:r w:rsidR="003C6EA5">
        <w:rPr>
          <w:lang w:val="en-GB"/>
        </w:rPr>
        <w:fldChar w:fldCharType="end"/>
      </w:r>
      <w:r w:rsidR="00182A53">
        <w:rPr>
          <w:lang w:val="en-GB"/>
        </w:rPr>
        <w:t xml:space="preserve"> and that </w:t>
      </w:r>
      <w:r w:rsidR="00182A53">
        <w:rPr>
          <w:lang w:val="en-GB"/>
        </w:rPr>
        <w:t xml:space="preserve">affordances of virtual environments for learning depend on fidelity of the </w:t>
      </w:r>
      <w:r w:rsidR="00182A53">
        <w:rPr>
          <w:lang w:val="en-GB"/>
        </w:rPr>
        <w:t xml:space="preserve">virtual </w:t>
      </w:r>
      <w:r w:rsidR="00182A53">
        <w:rPr>
          <w:lang w:val="en-GB"/>
        </w:rPr>
        <w:t>representation</w:t>
      </w:r>
      <w:r w:rsidR="00182A53">
        <w:rPr>
          <w:lang w:val="en-GB"/>
        </w:rPr>
        <w:t xml:space="preserve"> </w:t>
      </w:r>
      <w:r w:rsidR="00182A53">
        <w:rPr>
          <w:lang w:val="en-GB"/>
        </w:rPr>
        <w:fldChar w:fldCharType="begin"/>
      </w:r>
      <w:r w:rsidR="00182A53">
        <w:rPr>
          <w:lang w:val="en-GB"/>
        </w:rPr>
        <w:instrText xml:space="preserve"> ADDIN ZOTERO_ITEM CSL_CITATION {"citationID":"5q2krvmms","properties":{"formattedCitation":"[7]","plainCitation":"[7]"},"citationItems":[{"id":39,"uris":["http://zotero.org/users/local/FTZZFbAq/items/I2ICWM3S"],"uri":["http://zotero.org/users/local/FTZZFbAq/items/I2ICWM3S"],"itemData":{"id":39,"type":"article-journal","title":"What are the learning affordances of 3-D virtual environments?","container-title":"British Journal of Educational Technology","page":"10-32","volume":"41","issue":"1","source":"Wiley Online Library","abstract":"This article explores the potential learning benefits of three-dimensional (3-D) virtual learning environments (VLEs). Drawing on published research spanning two decades, it identifies a set of unique characteristics of 3-D VLEs, which includes aspects of their representational fidelity and aspects of the learner–computer interactivity they facilitate. A review of applications of 3-D VLEs is presented, leading to the identification of a series of learning affordances of such environments. These affordances include the facilitation of tasks that lead to enhanced spatial knowledge representation, greater opportunities for experiential learning, increased motivation/engagement, improved contextualisation of learning and richer/more effective collaborative learning as compared to tasks made possible by 2-D alternatives. The authors contend that the continued development of and investment in 3-D games, simulations and virtual worlds for educational purposes should be considered contingent on further investigation into the precise relationships between the unique characteristics of 3-D VLEs and their potential learning benefits. To this end, they conclude by proposing an agenda or ‘roadmap’ for future research that encompasses empirical studies aimed at exploring these relationships, as well as those aimed at deriving principles and guidelines to inform the design, development and use of 3-D virtual environments for learning.","DOI":"10.1111/j.1467-8535.2009.01038.x","ISSN":"1467-8535","language":"en","author":[{"family":"Dalgarno","given":"Barney"},{"family":"Lee","given":"Mark J. W."}],"issued":{"date-parts":[["2010"]]},"accessed":{"date-parts":[["2014",12,15]]}}}],"schema":"https://github.com/citation-style-language/schema/raw/master/csl-citation.json"} </w:instrText>
      </w:r>
      <w:r w:rsidR="00182A53">
        <w:rPr>
          <w:lang w:val="en-GB"/>
        </w:rPr>
        <w:fldChar w:fldCharType="separate"/>
      </w:r>
      <w:r w:rsidR="00182A53" w:rsidRPr="00182A53">
        <w:rPr>
          <w:rFonts w:cs="Arial"/>
        </w:rPr>
        <w:t>[7]</w:t>
      </w:r>
      <w:r w:rsidR="00182A53">
        <w:rPr>
          <w:lang w:val="en-GB"/>
        </w:rPr>
        <w:fldChar w:fldCharType="end"/>
      </w:r>
      <w:r w:rsidR="007B2ABD">
        <w:rPr>
          <w:lang w:val="en-GB"/>
        </w:rPr>
        <w:t>, f</w:t>
      </w:r>
      <w:r w:rsidR="00182A53">
        <w:rPr>
          <w:lang w:val="en-GB"/>
        </w:rPr>
        <w:t>urther work sh</w:t>
      </w:r>
      <w:r w:rsidR="007B2ABD">
        <w:rPr>
          <w:lang w:val="en-GB"/>
        </w:rPr>
        <w:t>ould explore the accuracy of student analysis relative to the fidelity of the simulation game to determine w</w:t>
      </w:r>
      <w:r w:rsidR="000F572A">
        <w:rPr>
          <w:lang w:val="en-GB"/>
        </w:rPr>
        <w:t>hich</w:t>
      </w:r>
      <w:r w:rsidR="007B2ABD">
        <w:rPr>
          <w:lang w:val="en-GB"/>
        </w:rPr>
        <w:t xml:space="preserve"> aspects of reality can be simplified in the </w:t>
      </w:r>
      <w:r w:rsidR="000F572A">
        <w:rPr>
          <w:lang w:val="en-GB"/>
        </w:rPr>
        <w:t>representation</w:t>
      </w:r>
      <w:r w:rsidR="003C6EA5">
        <w:rPr>
          <w:lang w:val="en-GB"/>
        </w:rPr>
        <w:t xml:space="preserve">, in particular in relation to cognitive fidelity </w:t>
      </w:r>
      <w:r w:rsidR="003C6EA5">
        <w:rPr>
          <w:lang w:val="en-GB"/>
        </w:rPr>
        <w:fldChar w:fldCharType="begin"/>
      </w:r>
      <w:r w:rsidR="003C6EA5">
        <w:rPr>
          <w:lang w:val="en-GB"/>
        </w:rPr>
        <w:instrText xml:space="preserve"> ADDIN ZOTERO_ITEM CSL_CITATION {"citationID":"1e7kvqj0h9","properties":{"formattedCitation":"[35]","plainCitation":"[35]"},"citationItems":[{"id":7470,"uris":["http://zotero.org/users/local/FTZZFbAq/items/KTDTZMP3"],"uri":["http://zotero.org/users/local/FTZZFbAq/items/KTDTZMP3"],"itemData":{"id":7470,"type":"article-journal","title":"Using Simulation-Based Training to Enhance Management Education","container-title":"Academy of Management Learning &amp; Education","page":"559-573","volume":"8","issue":"4","source":"amle.aom.org","abstract":"We suggest that simulation-based training (SBT) offers many advantages as an approach for management education, and in an effort to guide and encourage its appropriate use, we provide several practical guidelines regarding how best to implement simulation-based training in the classroom. Our hope is that these guidelines will increase the use of high-quality SBT interventions in management education, and consequently, improve the performance of management and organizations alike.","ISSN":"1537-260X, 1944-9585","journalAbbreviation":"ACAD MANAG LEARN EDU","language":"en","author":[{"family":"Salas","given":"Eduardo"},{"family":"Wildman","given":"Jessica L."},{"family":"Piccolo","given":"Ronald F."}],"issued":{"date-parts":[["2009",12,1]]},"accessed":{"date-parts":[["2015",1,22]],"season":"21:29:13"}}}],"schema":"https://github.com/citation-style-language/schema/raw/master/csl-citation.json"} </w:instrText>
      </w:r>
      <w:r w:rsidR="003C6EA5">
        <w:rPr>
          <w:lang w:val="en-GB"/>
        </w:rPr>
        <w:fldChar w:fldCharType="separate"/>
      </w:r>
      <w:r w:rsidR="003C6EA5" w:rsidRPr="003C6EA5">
        <w:rPr>
          <w:rFonts w:cs="Arial"/>
        </w:rPr>
        <w:t>[35]</w:t>
      </w:r>
      <w:r w:rsidR="003C6EA5">
        <w:rPr>
          <w:lang w:val="en-GB"/>
        </w:rPr>
        <w:fldChar w:fldCharType="end"/>
      </w:r>
      <w:r w:rsidR="007B2ABD">
        <w:rPr>
          <w:lang w:val="en-GB"/>
        </w:rPr>
        <w:t xml:space="preserve">.  </w:t>
      </w:r>
    </w:p>
    <w:p w:rsidR="000F572A" w:rsidRDefault="00A837AD" w:rsidP="00AF06B9">
      <w:pPr>
        <w:rPr>
          <w:lang w:val="en-GB"/>
        </w:rPr>
      </w:pPr>
      <w:r w:rsidRPr="006A111C">
        <w:rPr>
          <w:lang w:val="en-GB"/>
        </w:rPr>
        <w:t xml:space="preserve">Overall, students articulated positive experiences with regards to the impact of </w:t>
      </w:r>
      <w:r w:rsidR="003C6EA5">
        <w:rPr>
          <w:lang w:val="en-GB"/>
        </w:rPr>
        <w:t>their group-work. In particular,</w:t>
      </w:r>
      <w:r w:rsidRPr="006A111C">
        <w:rPr>
          <w:lang w:val="en-GB"/>
        </w:rPr>
        <w:t xml:space="preserve"> they identified interpersonal group skills, including communication, negotiation, decision-making, leadership and conf</w:t>
      </w:r>
      <w:r w:rsidR="00627BA0">
        <w:rPr>
          <w:lang w:val="en-GB"/>
        </w:rPr>
        <w:t xml:space="preserve">lict management as </w:t>
      </w:r>
      <w:r w:rsidRPr="006A111C">
        <w:rPr>
          <w:lang w:val="en-GB"/>
        </w:rPr>
        <w:t>encouraged by the simulation.</w:t>
      </w:r>
      <w:r>
        <w:rPr>
          <w:lang w:val="en-GB"/>
        </w:rPr>
        <w:t xml:space="preserve">  </w:t>
      </w:r>
      <w:r>
        <w:rPr>
          <w:lang w:val="en-GB"/>
        </w:rPr>
        <w:t xml:space="preserve">The </w:t>
      </w:r>
      <w:r w:rsidR="000F572A">
        <w:rPr>
          <w:lang w:val="en-GB"/>
        </w:rPr>
        <w:t>use of the Cooperative Learning</w:t>
      </w:r>
      <w:r>
        <w:rPr>
          <w:lang w:val="en-GB"/>
        </w:rPr>
        <w:t xml:space="preserve"> principles in the thematic analysis provides a novel insight into the dimensions of group activity which support team work </w:t>
      </w:r>
      <w:r w:rsidR="00397D79">
        <w:rPr>
          <w:lang w:val="en-GB"/>
        </w:rPr>
        <w:t xml:space="preserve">and are advocated in the business </w:t>
      </w:r>
      <w:r w:rsidR="009950A7">
        <w:rPr>
          <w:lang w:val="en-GB"/>
        </w:rPr>
        <w:fldChar w:fldCharType="begin"/>
      </w:r>
      <w:r w:rsidR="009950A7">
        <w:rPr>
          <w:lang w:val="en-GB"/>
        </w:rPr>
        <w:instrText xml:space="preserve"> ADDIN ZOTERO_ITEM CSL_CITATION {"citationID":"k8kcd6ipe","properties":{"formattedCitation":"[37]","plainCitation":"[37]"},"citationItems":[{"id":7482,"uris":["http://zotero.org/users/local/FTZZFbAq/items/PXNT4TTM"],"uri":["http://zotero.org/users/local/FTZZFbAq/items/PXNT4TTM"],"itemData":{"id":7482,"type":"webpage","title":"7 Ways to Build Accountable Organizations","container-title":"Forbes","abstract":"By Henry Browning Don’t you love that employee who goes above and beyond? She takes responsibility, shows initiative and really owns her projects, processes and problems. Somewhere along the line, she learned that good things happen when you are accountable. But it’s largely up to you, her boss, to be sure she [...]","URL":"http://www.forbes.com/sites/ccl/2012/02/28/7-ways-to-build-accountable-organizations/","author":[{"family":"Browning","given":"Henry"}],"accessed":{"date-parts":[["2015",1,22]],"season":"21:55:17"}}}],"schema":"https://github.com/citation-style-language/schema/raw/master/csl-citation.json"} </w:instrText>
      </w:r>
      <w:r w:rsidR="009950A7">
        <w:rPr>
          <w:lang w:val="en-GB"/>
        </w:rPr>
        <w:fldChar w:fldCharType="separate"/>
      </w:r>
      <w:r w:rsidR="009950A7" w:rsidRPr="009950A7">
        <w:rPr>
          <w:rFonts w:cs="Arial"/>
        </w:rPr>
        <w:t>[37]</w:t>
      </w:r>
      <w:r w:rsidR="009950A7">
        <w:rPr>
          <w:lang w:val="en-GB"/>
        </w:rPr>
        <w:fldChar w:fldCharType="end"/>
      </w:r>
      <w:r w:rsidR="00397D79">
        <w:rPr>
          <w:lang w:val="en-GB"/>
        </w:rPr>
        <w:t xml:space="preserve"> as well as the educational world.  </w:t>
      </w:r>
      <w:r w:rsidR="00627BA0">
        <w:rPr>
          <w:lang w:val="en-GB"/>
        </w:rPr>
        <w:t xml:space="preserve">The simulation does not explicitly structure group cooperation through role assignment or resource allocation.  However, possibly the high cognitive load of the complex environment combined with tight time constraints effectively requires the engagement of all group members in order to manage the workload.  </w:t>
      </w:r>
    </w:p>
    <w:p w:rsidR="00F95D0B" w:rsidRDefault="00F95D0B" w:rsidP="00F95D0B">
      <w:pPr>
        <w:rPr>
          <w:lang w:val="en-GB"/>
        </w:rPr>
      </w:pPr>
      <w:r>
        <w:rPr>
          <w:lang w:val="en-GB"/>
        </w:rPr>
        <w:t xml:space="preserve">The findings also provide an interesting environment to explore the parameters of challenge and autonomy which according to the principles of Self-Determination Theory may drive learner motivation and engagement </w:t>
      </w:r>
      <w:r>
        <w:rPr>
          <w:lang w:val="en-GB"/>
        </w:rPr>
        <w:fldChar w:fldCharType="begin"/>
      </w:r>
      <w:r>
        <w:rPr>
          <w:lang w:val="en-GB"/>
        </w:rPr>
        <w:instrText xml:space="preserve"> ADDIN ZOTERO_ITEM CSL_CITATION {"citationID":"2h9a7e8jfa","properties":{"formattedCitation":"[15]","plainCitation":"[15]"},"citationItems":[{"id":169,"uris":["http://zotero.org/users/local/FTZZFbAq/items/D6XAMAQ9"],"uri":["http://zotero.org/users/local/FTZZFbAq/items/D6XAMAQ9"],"itemData":{"id":169,"type":"article-journal","title":"The Motivational Pull of Video Games: A Self-Determination Theory Approach","container-title":"Motivation &amp; Emotion","page":"344-360","volume":"30","issue":"4","source":"EBSCOhost","abstract":"Four studies apply self-determination theory (SDT; Ryan &amp; Deci, 2000) in investigating motivation for computer game play, and the effects of game play on well-being. Studies 1–3 examine individuals playing 1, 2 and 4 games, respectively and show that perceived in-game autonomy and competence are associated with game enjoyment, preferences, and changes in well-being pre- to post-play. Competence and autonomy perceptions are also related to the intuitive nature of game controls, and the sense of presence or immersion in participants’ game play experiences. Study 4 surveys an on-line community with experience in multi-player games. Results show that SDT’s theorized needs for autonomy, competence, and relatedness independently predict enjoyment and future game play. The SDT model is also compared with Yee’s (2005) motivation taxonomy of game play motivations. Results are discussed in terms of the relatively unexplored landscape of human motivation within virtual worlds.","DOI":"10.1007/s11031-006-9051-8","ISSN":"01467239","shortTitle":"The Motivational Pull of Video Games","journalAbbreviation":"Motivation &amp; Emotion","author":[{"family":"Ryan","given":"Richard"},{"family":"Rigby","given":"C."},{"family":"Przybylski","given":"Andrew"}],"issued":{"date-parts":[["2006",12]]},"accessed":{"date-parts":[["2015",1,13]],"season":"13:51:16"}}}],"schema":"https://github.com/citation-style-language/schema/raw/master/csl-citation.json"} </w:instrText>
      </w:r>
      <w:r>
        <w:rPr>
          <w:lang w:val="en-GB"/>
        </w:rPr>
        <w:fldChar w:fldCharType="separate"/>
      </w:r>
      <w:r w:rsidRPr="00F95D0B">
        <w:rPr>
          <w:rFonts w:cs="Arial"/>
        </w:rPr>
        <w:t>[15]</w:t>
      </w:r>
      <w:r>
        <w:rPr>
          <w:lang w:val="en-GB"/>
        </w:rPr>
        <w:fldChar w:fldCharType="end"/>
      </w:r>
      <w:r>
        <w:rPr>
          <w:lang w:val="en-GB"/>
        </w:rPr>
        <w:t>.  Students are motivated where they feel the simulation replicates the challenge of real life and where they can make choices and observe their consequences.  Motivation drops however where the autonomy to choose appears restricted by the simulation and where their choices do not appear to have expected consequences</w:t>
      </w:r>
      <w:r w:rsidR="00B22640">
        <w:rPr>
          <w:lang w:val="en-GB"/>
        </w:rPr>
        <w:t xml:space="preserve"> (see quotes above)</w:t>
      </w:r>
      <w:r>
        <w:rPr>
          <w:lang w:val="en-GB"/>
        </w:rPr>
        <w:t xml:space="preserve">.  This lack of power to effect change in the simulation had a demotivating effect on students.  In future work, we aim to explore which students continue to engage with learning and why when </w:t>
      </w:r>
      <w:r>
        <w:rPr>
          <w:lang w:val="en-GB"/>
        </w:rPr>
        <w:t xml:space="preserve">the extrinsic motivator of the game </w:t>
      </w:r>
      <w:r>
        <w:rPr>
          <w:lang w:val="en-GB"/>
        </w:rPr>
        <w:t xml:space="preserve">ceases to drive engagement.  </w:t>
      </w:r>
    </w:p>
    <w:p w:rsidR="001B0772" w:rsidRDefault="0078558F" w:rsidP="001B0772">
      <w:pPr>
        <w:rPr>
          <w:lang w:val="en-GB"/>
        </w:rPr>
      </w:pPr>
      <w:r>
        <w:rPr>
          <w:lang w:val="en-GB"/>
        </w:rPr>
        <w:t xml:space="preserve">With regard to the programme of instruction as a whole, the students’ reflections indicate the value of a blended approach where they apply concepts in the simulation which they have encountered in lectures leading to a greater understanding and integration of those concepts as in </w:t>
      </w:r>
      <w:proofErr w:type="spellStart"/>
      <w:r>
        <w:rPr>
          <w:lang w:val="en-GB"/>
        </w:rPr>
        <w:t>Sitzmann’s</w:t>
      </w:r>
      <w:proofErr w:type="spellEnd"/>
      <w:r>
        <w:rPr>
          <w:lang w:val="en-GB"/>
        </w:rPr>
        <w:t xml:space="preserve"> meta-analysis findings </w:t>
      </w:r>
      <w:r>
        <w:rPr>
          <w:lang w:val="en-GB"/>
        </w:rPr>
        <w:fldChar w:fldCharType="begin"/>
      </w:r>
      <w:r>
        <w:rPr>
          <w:lang w:val="en-GB"/>
        </w:rPr>
        <w:instrText xml:space="preserve"> ADDIN ZOTERO_ITEM CSL_CITATION {"citationID":"moo632u3l","properties":{"formattedCitation":"[5]","plainCitation":"[5]"},"citationItems":[{"id":162,"uris":["http://zotero.org/users/local/FTZZFbAq/items/NGQGT8HI"],"uri":["http://zotero.org/users/local/FTZZFbAq/items/NGQGT8HI"],"itemData":{"id":162,"type":"article-journal","title":"A Meta-Analytic Examination of the Instructional Effectiveness of Computer-Based Simulation Games","container-title":"Personnel Psychology","page":"489-528","volume":"64","issue":"2","source":"Wiley Online Library","abstract":"Interactive cognitive complexity theory suggests that simulation games are more effective than other instructional methods because they simultaneously engage trainees’ affective and cognitive processes (Tennyson &amp; Jorczak, 2008). Meta-analytic techniques were used to examine the instructional effectiveness of computer-based simulation games relative to a comparison group (k= 65, N= 6,476). Consistent with theory, posttraining self-efficacy was 20% higher, declarative knowledge was 11% higher, procedural knowledge was 14% higher, and retention was 9% higher for trainees taught with simulation games, relative to a comparison group. However, the results provide strong evidence of publication bias in simulation games research. Characteristics of simulation games and the instructional context also moderated the effectiveness of simulation games. Trainees learned more, relative to a comparison group, when simulation games conveyed course material actively rather than passively, trainees could access the simulation game as many times as desired, and the simulation game was a supplement to other instructional methods rather than stand-alone instruction. However, trainees learned less from simulation games than comparison instructional methods when the instruction the comparison group received as a substitute for the simulation game actively engaged them in the learning experience.","DOI":"10.1111/j.1744-6570.2011.01190.x","ISSN":"1744-6570","language":"en","author":[{"family":"Sitzmann","given":"Traci"}],"issued":{"date-parts":[["2011"]]},"accessed":{"date-parts":[["2015",1,8]],"season":"17:37:17"}}}],"schema":"https://github.com/citation-style-language/schema/raw/master/csl-citation.json"} </w:instrText>
      </w:r>
      <w:r>
        <w:rPr>
          <w:lang w:val="en-GB"/>
        </w:rPr>
        <w:fldChar w:fldCharType="separate"/>
      </w:r>
      <w:r w:rsidRPr="0078558F">
        <w:rPr>
          <w:rFonts w:cs="Arial"/>
        </w:rPr>
        <w:t>[5]</w:t>
      </w:r>
      <w:r>
        <w:rPr>
          <w:lang w:val="en-GB"/>
        </w:rPr>
        <w:fldChar w:fldCharType="end"/>
      </w:r>
      <w:r>
        <w:rPr>
          <w:lang w:val="en-GB"/>
        </w:rPr>
        <w:t xml:space="preserve">.  </w:t>
      </w:r>
      <w:r w:rsidR="001B0772">
        <w:rPr>
          <w:lang w:val="en-GB"/>
        </w:rPr>
        <w:t>Marketing educators have begun to explore the notion of threshold concepts in the discipline</w:t>
      </w:r>
      <w:r w:rsidR="00737A81">
        <w:rPr>
          <w:lang w:val="en-GB"/>
        </w:rPr>
        <w:t xml:space="preserve"> </w:t>
      </w:r>
      <w:r w:rsidR="00737A81">
        <w:rPr>
          <w:lang w:val="en-GB"/>
        </w:rPr>
        <w:fldChar w:fldCharType="begin"/>
      </w:r>
      <w:r w:rsidR="00737A81">
        <w:rPr>
          <w:lang w:val="en-GB"/>
        </w:rPr>
        <w:instrText xml:space="preserve"> ADDIN ZOTERO_ITEM CSL_CITATION {"citationID":"rqkjkbs4q","properties":{"formattedCitation":"[38]","plainCitation":"[38]"},"citationItems":[{"id":7486,"uris":["http://zotero.org/users/local/FTZZFbAq/items/AI42VQVV"],"uri":["http://zotero.org/users/local/FTZZFbAq/items/AI42VQVV"],"itemData":{"id":7486,"type":"paper-conference","title":"Threshold Concept: Reflections on Education in Marketing","event":"ANZMAC 2006 Conference","URL":"http://scholar.google.com/scholar?q=Threshold+Concept:+Reflections+on+Education+in+Marketing&amp;hl=en&amp;as_sdt=0&amp;as_vis=1&amp;oi=scholart&amp;sa=X&amp;ei=mIPBVP08q67uBq76gJgJ&amp;ved=0CB8QgQMwAA#","author":[{"family":"Lye","given":"Ashley"}],"issued":{"date-parts":[["2006"]]},"accessed":{"date-parts":[["2015",1,22]],"season":"23:12:27"}}}],"schema":"https://github.com/citation-style-language/schema/raw/master/csl-citation.json"} </w:instrText>
      </w:r>
      <w:r w:rsidR="00737A81">
        <w:rPr>
          <w:lang w:val="en-GB"/>
        </w:rPr>
        <w:fldChar w:fldCharType="separate"/>
      </w:r>
      <w:r w:rsidR="00737A81" w:rsidRPr="00737A81">
        <w:rPr>
          <w:rFonts w:cs="Arial"/>
        </w:rPr>
        <w:t>[38]</w:t>
      </w:r>
      <w:r w:rsidR="00737A81">
        <w:rPr>
          <w:lang w:val="en-GB"/>
        </w:rPr>
        <w:fldChar w:fldCharType="end"/>
      </w:r>
      <w:r w:rsidR="001B0772">
        <w:rPr>
          <w:lang w:val="en-GB"/>
        </w:rPr>
        <w:t>.  Threshold concepts are defined as those which are transformative, integrative and possibly troublesome which are crucial to the discipline and without which the student cannot progress</w:t>
      </w:r>
      <w:r w:rsidR="001B0772" w:rsidRPr="001B0772">
        <w:rPr>
          <w:lang w:val="en-GB"/>
        </w:rPr>
        <w:t xml:space="preserve">  </w:t>
      </w:r>
      <w:r w:rsidR="001B0772">
        <w:rPr>
          <w:lang w:val="en-GB"/>
        </w:rPr>
        <w:fldChar w:fldCharType="begin"/>
      </w:r>
      <w:r w:rsidR="00737A81">
        <w:rPr>
          <w:lang w:val="en-GB"/>
        </w:rPr>
        <w:instrText xml:space="preserve"> ADDIN ZOTERO_ITEM CSL_CITATION {"citationID":"15f70ogcdr","properties":{"formattedCitation":"[39]","plainCitation":"[39]"},"citationItems":[{"id":4938,"uris":["http://zotero.org/users/local/FTZZFbAq/items/RAJCG4DS"],"uri":["http://zotero.org/users/local/FTZZFbAq/items/RAJCG4DS"],"itemData":{"id":4938,"type":"chapter","title":"Threshold Concepts and Troublesome Knowledge: an Introduction","container-title":"Overcoming Barriers to Student Understanding: Threshold concepts and troublesome knowledge","publisher":"Routledge","publisher-place":"Abingdon, Oxon","page":"3-19","event-place":"Abingdon, Oxon","shortTitle":"Threshold Concepts and Troublesome Knowledge: an Introduction","editor":[{"family":"Meyer","given":"Jan H. F."},{"family":"Land","given":"Ray"}],"author":[{"family":"Meyer","given":"Jan H. F."},{"family":"Land","given":"Ray"}],"issued":{"date-parts":[["2006"]]}}}],"schema":"https://github.com/citation-style-language/schema/raw/master/csl-citation.json"} </w:instrText>
      </w:r>
      <w:r w:rsidR="001B0772">
        <w:rPr>
          <w:lang w:val="en-GB"/>
        </w:rPr>
        <w:fldChar w:fldCharType="separate"/>
      </w:r>
      <w:r w:rsidR="00737A81" w:rsidRPr="00737A81">
        <w:rPr>
          <w:rFonts w:cs="Arial"/>
        </w:rPr>
        <w:t>[39]</w:t>
      </w:r>
      <w:r w:rsidR="001B0772">
        <w:rPr>
          <w:lang w:val="en-GB"/>
        </w:rPr>
        <w:fldChar w:fldCharType="end"/>
      </w:r>
      <w:r w:rsidR="001B0772">
        <w:rPr>
          <w:lang w:val="en-GB"/>
        </w:rPr>
        <w:t xml:space="preserve">.  </w:t>
      </w:r>
      <w:r w:rsidR="00737A81">
        <w:rPr>
          <w:lang w:val="en-GB"/>
        </w:rPr>
        <w:t xml:space="preserve">Threshold concepts have been identified and used in other disciplines to focus teaching and learning strategies and curriculum development </w:t>
      </w:r>
      <w:r w:rsidR="00737A81">
        <w:rPr>
          <w:lang w:val="en-GB"/>
        </w:rPr>
        <w:fldChar w:fldCharType="begin"/>
      </w:r>
      <w:r w:rsidR="00737A81">
        <w:rPr>
          <w:lang w:val="en-GB"/>
        </w:rPr>
        <w:instrText xml:space="preserve"> ADDIN ZOTERO_ITEM CSL_CITATION {"citationID":"2mgrp1h60e","properties":{"formattedCitation":"[40]","plainCitation":"[40]"},"citationItems":[{"id":4271,"uris":["http://zotero.org/users/local/FTZZFbAq/items/2BE254VT"],"uri":["http://zotero.org/users/local/FTZZFbAq/items/2BE254VT"],"itemData":{"id":4271,"type":"book","title":"Threshold Concepts within the Disciplines","publisher":"Sense Publishers","publisher-place":"Rotterdam and Taipei","event-place":"Rotterdam and Taipei","shortTitle":"Threshold Concepts within the Disciplines","author":[{"family":"Land","given":"R."},{"family":"Meyer","given":"J.H.F."},{"family":"Smith","given":"J."}],"issued":{"date-parts":[["2008"]]}}}],"schema":"https://github.com/citation-style-language/schema/raw/master/csl-citation.json"} </w:instrText>
      </w:r>
      <w:r w:rsidR="00737A81">
        <w:rPr>
          <w:lang w:val="en-GB"/>
        </w:rPr>
        <w:fldChar w:fldCharType="separate"/>
      </w:r>
      <w:r w:rsidR="00737A81" w:rsidRPr="00737A81">
        <w:rPr>
          <w:rFonts w:cs="Arial"/>
        </w:rPr>
        <w:t>[40]</w:t>
      </w:r>
      <w:r w:rsidR="00737A81">
        <w:rPr>
          <w:lang w:val="en-GB"/>
        </w:rPr>
        <w:fldChar w:fldCharType="end"/>
      </w:r>
      <w:r w:rsidR="00737A81">
        <w:rPr>
          <w:lang w:val="en-GB"/>
        </w:rPr>
        <w:t xml:space="preserve">.  The quintessentially integrative nature of the simulation game offers an ideal environment for engaging students with troublesome such knowledge.  We aim to explore this research opportunity in future work.  </w:t>
      </w:r>
      <w:bookmarkStart w:id="0" w:name="_GoBack"/>
      <w:bookmarkEnd w:id="0"/>
    </w:p>
    <w:p w:rsidR="00600630" w:rsidRDefault="00576025" w:rsidP="00576025">
      <w:pPr>
        <w:pStyle w:val="Heading1"/>
        <w:rPr>
          <w:lang w:val="en-GB"/>
        </w:rPr>
      </w:pPr>
      <w:r>
        <w:rPr>
          <w:lang w:val="en-GB"/>
        </w:rPr>
        <w:lastRenderedPageBreak/>
        <w:t>conclusions</w:t>
      </w:r>
    </w:p>
    <w:p w:rsidR="00F95D0B" w:rsidRPr="00F95D0B" w:rsidRDefault="00F95D0B" w:rsidP="00F95D0B">
      <w:pPr>
        <w:rPr>
          <w:lang w:val="en-GB"/>
        </w:rPr>
      </w:pPr>
      <w:r>
        <w:rPr>
          <w:lang w:val="en-GB"/>
        </w:rPr>
        <w:t xml:space="preserve">This study highlights the </w:t>
      </w:r>
      <w:r w:rsidR="0078558F">
        <w:rPr>
          <w:lang w:val="en-GB"/>
        </w:rPr>
        <w:t>effectiveness</w:t>
      </w:r>
      <w:r>
        <w:rPr>
          <w:lang w:val="en-GB"/>
        </w:rPr>
        <w:t xml:space="preserve"> of simulation games for marketing education across a range of </w:t>
      </w:r>
      <w:r w:rsidR="0078558F">
        <w:rPr>
          <w:lang w:val="en-GB"/>
        </w:rPr>
        <w:t xml:space="preserve">dimensions.  It explores the cognitive and collaborative skills required within the context of the game and how structural properties and constraints of the game support these.  It also examines the notion of fidelity of representation, in terms of the team ranking algorithm and availability of marketing choices within the simulation and how this impacts on </w:t>
      </w:r>
      <w:r w:rsidR="00B22640">
        <w:rPr>
          <w:lang w:val="en-GB"/>
        </w:rPr>
        <w:t xml:space="preserve">motivation of learners.  It also notes how this does not necessarily adversely affect learning but rather may serve to illustrate students applying their cognitive skills to question the virtual environment.  This has clear implications for game designers in striking the optimum balance between maintaining student motivation and simplifying what is a very complex reality for simulation in the game.  </w:t>
      </w:r>
    </w:p>
    <w:p w:rsidR="00B55A17" w:rsidRDefault="00B55A17" w:rsidP="00DF1746">
      <w:pPr>
        <w:spacing w:before="360" w:after="60"/>
        <w:rPr>
          <w:b/>
          <w:sz w:val="24"/>
        </w:rPr>
      </w:pPr>
      <w:r w:rsidRPr="00DF1746">
        <w:rPr>
          <w:b/>
          <w:sz w:val="24"/>
        </w:rPr>
        <w:t>REFERENCES</w:t>
      </w:r>
    </w:p>
    <w:p w:rsidR="00737A81" w:rsidRPr="00737A81" w:rsidRDefault="003B4E83" w:rsidP="00737A81">
      <w:pPr>
        <w:pStyle w:val="Bibliography"/>
        <w:rPr>
          <w:rFonts w:cs="Arial"/>
        </w:rPr>
      </w:pPr>
      <w:r>
        <w:rPr>
          <w:b/>
        </w:rPr>
        <w:fldChar w:fldCharType="begin"/>
      </w:r>
      <w:r w:rsidR="00DE37A5">
        <w:rPr>
          <w:b/>
        </w:rPr>
        <w:instrText xml:space="preserve"> ADDIN ZOTERO_BIBL {"custom":[]} CSL_BIBLIOGRAPHY </w:instrText>
      </w:r>
      <w:r>
        <w:rPr>
          <w:b/>
        </w:rPr>
        <w:fldChar w:fldCharType="separate"/>
      </w:r>
      <w:proofErr w:type="gramStart"/>
      <w:r w:rsidR="00737A81" w:rsidRPr="00737A81">
        <w:rPr>
          <w:rFonts w:cs="Arial"/>
        </w:rPr>
        <w:t>[1]</w:t>
      </w:r>
      <w:r w:rsidR="00737A81" w:rsidRPr="00737A81">
        <w:rPr>
          <w:rFonts w:cs="Arial"/>
        </w:rPr>
        <w:tab/>
        <w:t xml:space="preserve">M. </w:t>
      </w:r>
      <w:proofErr w:type="spellStart"/>
      <w:r w:rsidR="00737A81" w:rsidRPr="00737A81">
        <w:rPr>
          <w:rFonts w:cs="Arial"/>
        </w:rPr>
        <w:t>Zyda</w:t>
      </w:r>
      <w:proofErr w:type="spellEnd"/>
      <w:r w:rsidR="00737A81" w:rsidRPr="00737A81">
        <w:rPr>
          <w:rFonts w:cs="Arial"/>
        </w:rPr>
        <w:t xml:space="preserve">, “From visual simulation to virtual reality to games,” </w:t>
      </w:r>
      <w:r w:rsidR="00737A81" w:rsidRPr="00737A81">
        <w:rPr>
          <w:rFonts w:cs="Arial"/>
          <w:i/>
          <w:iCs/>
        </w:rPr>
        <w:t>Computer</w:t>
      </w:r>
      <w:r w:rsidR="00737A81" w:rsidRPr="00737A81">
        <w:rPr>
          <w:rFonts w:cs="Arial"/>
        </w:rPr>
        <w:t>, vol. 38, no. 9, pp. 25–32, Sep. 2005.</w:t>
      </w:r>
      <w:proofErr w:type="gramEnd"/>
    </w:p>
    <w:p w:rsidR="00737A81" w:rsidRPr="00737A81" w:rsidRDefault="00737A81" w:rsidP="00737A81">
      <w:pPr>
        <w:pStyle w:val="Bibliography"/>
        <w:rPr>
          <w:rFonts w:cs="Arial"/>
        </w:rPr>
      </w:pPr>
      <w:r w:rsidRPr="00737A81">
        <w:rPr>
          <w:rFonts w:cs="Arial"/>
        </w:rPr>
        <w:t>[2]</w:t>
      </w:r>
      <w:r w:rsidRPr="00737A81">
        <w:rPr>
          <w:rFonts w:cs="Arial"/>
        </w:rPr>
        <w:tab/>
        <w:t xml:space="preserve">J. Andrews and H. Higson, “Graduate Employability, ‘Soft Skills’ Versus ‘Hard’ Business Knowledge: A European Study,” </w:t>
      </w:r>
      <w:r w:rsidRPr="00737A81">
        <w:rPr>
          <w:rFonts w:cs="Arial"/>
          <w:i/>
          <w:iCs/>
        </w:rPr>
        <w:t>Higher Education in Europe</w:t>
      </w:r>
      <w:r w:rsidRPr="00737A81">
        <w:rPr>
          <w:rFonts w:cs="Arial"/>
        </w:rPr>
        <w:t>, vol. 33, no. 4, pp. 411–422, Dec. 2008.</w:t>
      </w:r>
    </w:p>
    <w:p w:rsidR="00737A81" w:rsidRPr="00737A81" w:rsidRDefault="00737A81" w:rsidP="00737A81">
      <w:pPr>
        <w:pStyle w:val="Bibliography"/>
        <w:rPr>
          <w:rFonts w:cs="Arial"/>
        </w:rPr>
      </w:pPr>
      <w:r w:rsidRPr="00737A81">
        <w:rPr>
          <w:rFonts w:cs="Arial"/>
        </w:rPr>
        <w:t>[3]</w:t>
      </w:r>
      <w:r w:rsidRPr="00737A81">
        <w:rPr>
          <w:rFonts w:cs="Arial"/>
        </w:rPr>
        <w:tab/>
        <w:t xml:space="preserve">K. </w:t>
      </w:r>
      <w:proofErr w:type="spellStart"/>
      <w:r w:rsidRPr="00737A81">
        <w:rPr>
          <w:rFonts w:cs="Arial"/>
        </w:rPr>
        <w:t>Blashki</w:t>
      </w:r>
      <w:proofErr w:type="spellEnd"/>
      <w:r w:rsidRPr="00737A81">
        <w:rPr>
          <w:rFonts w:cs="Arial"/>
        </w:rPr>
        <w:t xml:space="preserve">, S. Nichol, D. </w:t>
      </w:r>
      <w:proofErr w:type="spellStart"/>
      <w:r w:rsidRPr="00737A81">
        <w:rPr>
          <w:rFonts w:cs="Arial"/>
        </w:rPr>
        <w:t>Jia</w:t>
      </w:r>
      <w:proofErr w:type="spellEnd"/>
      <w:r w:rsidRPr="00737A81">
        <w:rPr>
          <w:rFonts w:cs="Arial"/>
        </w:rPr>
        <w:t xml:space="preserve">, and S. </w:t>
      </w:r>
      <w:proofErr w:type="spellStart"/>
      <w:r w:rsidRPr="00737A81">
        <w:rPr>
          <w:rFonts w:cs="Arial"/>
        </w:rPr>
        <w:t>Prompramote</w:t>
      </w:r>
      <w:proofErr w:type="spellEnd"/>
      <w:r w:rsidRPr="00737A81">
        <w:rPr>
          <w:rFonts w:cs="Arial"/>
        </w:rPr>
        <w:t xml:space="preserve">, “‘The future is old’: immersive learning with generation Y engineering students,” </w:t>
      </w:r>
      <w:r w:rsidRPr="00737A81">
        <w:rPr>
          <w:rFonts w:cs="Arial"/>
          <w:i/>
          <w:iCs/>
        </w:rPr>
        <w:t>European Journal of Engineering Education</w:t>
      </w:r>
      <w:r w:rsidRPr="00737A81">
        <w:rPr>
          <w:rFonts w:cs="Arial"/>
        </w:rPr>
        <w:t>, vol. 32, no. 4, pp. 409–420, Aug. 2007.</w:t>
      </w:r>
    </w:p>
    <w:p w:rsidR="00737A81" w:rsidRPr="00737A81" w:rsidRDefault="00737A81" w:rsidP="00737A81">
      <w:pPr>
        <w:pStyle w:val="Bibliography"/>
        <w:rPr>
          <w:rFonts w:cs="Arial"/>
        </w:rPr>
      </w:pPr>
      <w:r w:rsidRPr="00737A81">
        <w:rPr>
          <w:rFonts w:cs="Arial"/>
        </w:rPr>
        <w:t>[4]</w:t>
      </w:r>
      <w:r w:rsidRPr="00737A81">
        <w:rPr>
          <w:rFonts w:cs="Arial"/>
        </w:rPr>
        <w:tab/>
        <w:t xml:space="preserve">T. M. Connolly, E. A. Boyle, E. MacArthur, T. </w:t>
      </w:r>
      <w:proofErr w:type="spellStart"/>
      <w:r w:rsidRPr="00737A81">
        <w:rPr>
          <w:rFonts w:cs="Arial"/>
        </w:rPr>
        <w:t>Hainey</w:t>
      </w:r>
      <w:proofErr w:type="spellEnd"/>
      <w:r w:rsidRPr="00737A81">
        <w:rPr>
          <w:rFonts w:cs="Arial"/>
        </w:rPr>
        <w:t xml:space="preserve">, and J. M. Boyle, “A systematic literature review of empirical evidence on computer games and serious games,” </w:t>
      </w:r>
      <w:r w:rsidRPr="00737A81">
        <w:rPr>
          <w:rFonts w:cs="Arial"/>
          <w:i/>
          <w:iCs/>
        </w:rPr>
        <w:t>Computers &amp; Education</w:t>
      </w:r>
      <w:r w:rsidRPr="00737A81">
        <w:rPr>
          <w:rFonts w:cs="Arial"/>
        </w:rPr>
        <w:t>, vol. 59, no. 2, pp. 661–686, Sep. 2012.</w:t>
      </w:r>
    </w:p>
    <w:p w:rsidR="00737A81" w:rsidRPr="00737A81" w:rsidRDefault="00737A81" w:rsidP="00737A81">
      <w:pPr>
        <w:pStyle w:val="Bibliography"/>
        <w:rPr>
          <w:rFonts w:cs="Arial"/>
        </w:rPr>
      </w:pPr>
      <w:proofErr w:type="gramStart"/>
      <w:r w:rsidRPr="00737A81">
        <w:rPr>
          <w:rFonts w:cs="Arial"/>
        </w:rPr>
        <w:t>[5]</w:t>
      </w:r>
      <w:r w:rsidRPr="00737A81">
        <w:rPr>
          <w:rFonts w:cs="Arial"/>
        </w:rPr>
        <w:tab/>
        <w:t xml:space="preserve">T. </w:t>
      </w:r>
      <w:proofErr w:type="spellStart"/>
      <w:r w:rsidRPr="00737A81">
        <w:rPr>
          <w:rFonts w:cs="Arial"/>
        </w:rPr>
        <w:t>Sitzmann</w:t>
      </w:r>
      <w:proofErr w:type="spellEnd"/>
      <w:r w:rsidRPr="00737A81">
        <w:rPr>
          <w:rFonts w:cs="Arial"/>
        </w:rPr>
        <w:t xml:space="preserve">, “A Meta-Analytic Examination of the Instructional Effectiveness of Computer-Based Simulation Games,” </w:t>
      </w:r>
      <w:r w:rsidRPr="00737A81">
        <w:rPr>
          <w:rFonts w:cs="Arial"/>
          <w:i/>
          <w:iCs/>
        </w:rPr>
        <w:t>Personnel Psychology</w:t>
      </w:r>
      <w:r w:rsidRPr="00737A81">
        <w:rPr>
          <w:rFonts w:cs="Arial"/>
        </w:rPr>
        <w:t>, vol. 64, no. 2, pp. 489–528, 2011.</w:t>
      </w:r>
      <w:proofErr w:type="gramEnd"/>
    </w:p>
    <w:p w:rsidR="00737A81" w:rsidRPr="00737A81" w:rsidRDefault="00737A81" w:rsidP="00737A81">
      <w:pPr>
        <w:pStyle w:val="Bibliography"/>
        <w:rPr>
          <w:rFonts w:cs="Arial"/>
        </w:rPr>
      </w:pPr>
      <w:proofErr w:type="gramStart"/>
      <w:r w:rsidRPr="00737A81">
        <w:rPr>
          <w:rFonts w:cs="Arial"/>
        </w:rPr>
        <w:t>[6]</w:t>
      </w:r>
      <w:r w:rsidRPr="00737A81">
        <w:rPr>
          <w:rFonts w:cs="Arial"/>
        </w:rPr>
        <w:tab/>
        <w:t xml:space="preserve">F. </w:t>
      </w:r>
      <w:proofErr w:type="spellStart"/>
      <w:r w:rsidRPr="00737A81">
        <w:rPr>
          <w:rFonts w:cs="Arial"/>
        </w:rPr>
        <w:t>Pasin</w:t>
      </w:r>
      <w:proofErr w:type="spellEnd"/>
      <w:r w:rsidRPr="00737A81">
        <w:rPr>
          <w:rFonts w:cs="Arial"/>
        </w:rPr>
        <w:t xml:space="preserve"> and H. Giroux, “The impact of a simulation game on operations management education,” </w:t>
      </w:r>
      <w:r w:rsidRPr="00737A81">
        <w:rPr>
          <w:rFonts w:cs="Arial"/>
          <w:i/>
          <w:iCs/>
        </w:rPr>
        <w:t>Computers &amp; Education</w:t>
      </w:r>
      <w:r w:rsidRPr="00737A81">
        <w:rPr>
          <w:rFonts w:cs="Arial"/>
        </w:rPr>
        <w:t>, vol. 57, no. 1, pp. 1240–1254, Aug. 2011.</w:t>
      </w:r>
      <w:proofErr w:type="gramEnd"/>
    </w:p>
    <w:p w:rsidR="00737A81" w:rsidRPr="00737A81" w:rsidRDefault="00737A81" w:rsidP="00737A81">
      <w:pPr>
        <w:pStyle w:val="Bibliography"/>
        <w:rPr>
          <w:rFonts w:cs="Arial"/>
        </w:rPr>
      </w:pPr>
      <w:r w:rsidRPr="00737A81">
        <w:rPr>
          <w:rFonts w:cs="Arial"/>
        </w:rPr>
        <w:t>[7]</w:t>
      </w:r>
      <w:r w:rsidRPr="00737A81">
        <w:rPr>
          <w:rFonts w:cs="Arial"/>
        </w:rPr>
        <w:tab/>
        <w:t xml:space="preserve">B. </w:t>
      </w:r>
      <w:proofErr w:type="spellStart"/>
      <w:r w:rsidRPr="00737A81">
        <w:rPr>
          <w:rFonts w:cs="Arial"/>
        </w:rPr>
        <w:t>Dalgarno</w:t>
      </w:r>
      <w:proofErr w:type="spellEnd"/>
      <w:r w:rsidRPr="00737A81">
        <w:rPr>
          <w:rFonts w:cs="Arial"/>
        </w:rPr>
        <w:t xml:space="preserve"> and M. J. W. Lee, “What are the learning affordances of 3-D virtual environments</w:t>
      </w:r>
      <w:proofErr w:type="gramStart"/>
      <w:r w:rsidRPr="00737A81">
        <w:rPr>
          <w:rFonts w:cs="Arial"/>
        </w:rPr>
        <w:t>?,</w:t>
      </w:r>
      <w:proofErr w:type="gramEnd"/>
      <w:r w:rsidRPr="00737A81">
        <w:rPr>
          <w:rFonts w:cs="Arial"/>
        </w:rPr>
        <w:t xml:space="preserve">” </w:t>
      </w:r>
      <w:r w:rsidRPr="00737A81">
        <w:rPr>
          <w:rFonts w:cs="Arial"/>
          <w:i/>
          <w:iCs/>
        </w:rPr>
        <w:t>British Journal of Educational Technology</w:t>
      </w:r>
      <w:r w:rsidRPr="00737A81">
        <w:rPr>
          <w:rFonts w:cs="Arial"/>
        </w:rPr>
        <w:t>, vol. 41, no. 1, pp. 10–32, 2010.</w:t>
      </w:r>
    </w:p>
    <w:p w:rsidR="00737A81" w:rsidRPr="00737A81" w:rsidRDefault="00737A81" w:rsidP="00737A81">
      <w:pPr>
        <w:pStyle w:val="Bibliography"/>
        <w:rPr>
          <w:rFonts w:cs="Arial"/>
        </w:rPr>
      </w:pPr>
      <w:r w:rsidRPr="00737A81">
        <w:rPr>
          <w:rFonts w:cs="Arial"/>
        </w:rPr>
        <w:t>[8]</w:t>
      </w:r>
      <w:r w:rsidRPr="00737A81">
        <w:rPr>
          <w:rFonts w:cs="Arial"/>
        </w:rPr>
        <w:tab/>
        <w:t xml:space="preserve">T. A. </w:t>
      </w:r>
      <w:proofErr w:type="spellStart"/>
      <w:r w:rsidRPr="00737A81">
        <w:rPr>
          <w:rFonts w:cs="Arial"/>
        </w:rPr>
        <w:t>Mikropoulos</w:t>
      </w:r>
      <w:proofErr w:type="spellEnd"/>
      <w:r w:rsidRPr="00737A81">
        <w:rPr>
          <w:rFonts w:cs="Arial"/>
        </w:rPr>
        <w:t xml:space="preserve"> and A. </w:t>
      </w:r>
      <w:proofErr w:type="spellStart"/>
      <w:r w:rsidRPr="00737A81">
        <w:rPr>
          <w:rFonts w:cs="Arial"/>
        </w:rPr>
        <w:t>Natsis</w:t>
      </w:r>
      <w:proofErr w:type="spellEnd"/>
      <w:r w:rsidRPr="00737A81">
        <w:rPr>
          <w:rFonts w:cs="Arial"/>
        </w:rPr>
        <w:t xml:space="preserve">, “Educational virtual environments: A ten-year review of empirical research (1999–2009),” </w:t>
      </w:r>
      <w:r w:rsidRPr="00737A81">
        <w:rPr>
          <w:rFonts w:cs="Arial"/>
          <w:i/>
          <w:iCs/>
        </w:rPr>
        <w:t>Computers &amp; Education</w:t>
      </w:r>
      <w:r w:rsidRPr="00737A81">
        <w:rPr>
          <w:rFonts w:cs="Arial"/>
        </w:rPr>
        <w:t>, vol. 56, no. 3, pp. 769–780, Apr. 2011.</w:t>
      </w:r>
    </w:p>
    <w:p w:rsidR="00737A81" w:rsidRPr="00737A81" w:rsidRDefault="00737A81" w:rsidP="00737A81">
      <w:pPr>
        <w:pStyle w:val="Bibliography"/>
        <w:rPr>
          <w:rFonts w:cs="Arial"/>
        </w:rPr>
      </w:pPr>
      <w:proofErr w:type="gramStart"/>
      <w:r w:rsidRPr="00737A81">
        <w:rPr>
          <w:rFonts w:cs="Arial"/>
        </w:rPr>
        <w:t>[9]</w:t>
      </w:r>
      <w:r w:rsidRPr="00737A81">
        <w:rPr>
          <w:rFonts w:cs="Arial"/>
        </w:rPr>
        <w:tab/>
        <w:t xml:space="preserve">H. Ellington, E. </w:t>
      </w:r>
      <w:proofErr w:type="spellStart"/>
      <w:r w:rsidRPr="00737A81">
        <w:rPr>
          <w:rFonts w:cs="Arial"/>
        </w:rPr>
        <w:t>Addinall</w:t>
      </w:r>
      <w:proofErr w:type="spellEnd"/>
      <w:r w:rsidRPr="00737A81">
        <w:rPr>
          <w:rFonts w:cs="Arial"/>
        </w:rPr>
        <w:t xml:space="preserve">, and F. Percival, </w:t>
      </w:r>
      <w:r w:rsidRPr="00737A81">
        <w:rPr>
          <w:rFonts w:cs="Arial"/>
          <w:i/>
          <w:iCs/>
        </w:rPr>
        <w:t>Games and Simulations in Science Education</w:t>
      </w:r>
      <w:r w:rsidRPr="00737A81">
        <w:rPr>
          <w:rFonts w:cs="Arial"/>
        </w:rPr>
        <w:t>.</w:t>
      </w:r>
      <w:proofErr w:type="gramEnd"/>
      <w:r w:rsidRPr="00737A81">
        <w:rPr>
          <w:rFonts w:cs="Arial"/>
        </w:rPr>
        <w:t xml:space="preserve"> London: </w:t>
      </w:r>
      <w:proofErr w:type="spellStart"/>
      <w:r w:rsidRPr="00737A81">
        <w:rPr>
          <w:rFonts w:cs="Arial"/>
        </w:rPr>
        <w:t>Kogan</w:t>
      </w:r>
      <w:proofErr w:type="spellEnd"/>
      <w:r w:rsidRPr="00737A81">
        <w:rPr>
          <w:rFonts w:cs="Arial"/>
        </w:rPr>
        <w:t xml:space="preserve"> Page, 1981.</w:t>
      </w:r>
    </w:p>
    <w:p w:rsidR="00737A81" w:rsidRPr="00737A81" w:rsidRDefault="00737A81" w:rsidP="00737A81">
      <w:pPr>
        <w:pStyle w:val="Bibliography"/>
        <w:rPr>
          <w:rFonts w:cs="Arial"/>
        </w:rPr>
      </w:pPr>
      <w:proofErr w:type="gramStart"/>
      <w:r w:rsidRPr="00737A81">
        <w:rPr>
          <w:rFonts w:cs="Arial"/>
        </w:rPr>
        <w:t>[10]</w:t>
      </w:r>
      <w:r w:rsidRPr="00737A81">
        <w:rPr>
          <w:rFonts w:cs="Arial"/>
        </w:rPr>
        <w:tab/>
        <w:t xml:space="preserve">K. </w:t>
      </w:r>
      <w:proofErr w:type="spellStart"/>
      <w:r w:rsidRPr="00737A81">
        <w:rPr>
          <w:rFonts w:cs="Arial"/>
        </w:rPr>
        <w:t>Kiili</w:t>
      </w:r>
      <w:proofErr w:type="spellEnd"/>
      <w:r w:rsidRPr="00737A81">
        <w:rPr>
          <w:rFonts w:cs="Arial"/>
        </w:rPr>
        <w:t xml:space="preserve">, “Foundation for problem-based gaming,” </w:t>
      </w:r>
      <w:r w:rsidRPr="00737A81">
        <w:rPr>
          <w:rFonts w:cs="Arial"/>
          <w:i/>
          <w:iCs/>
        </w:rPr>
        <w:t>British Journal of Educational Technology</w:t>
      </w:r>
      <w:r w:rsidRPr="00737A81">
        <w:rPr>
          <w:rFonts w:cs="Arial"/>
        </w:rPr>
        <w:t>, vol. 38, no. 3, pp. 394–404, 2007.</w:t>
      </w:r>
      <w:proofErr w:type="gramEnd"/>
    </w:p>
    <w:p w:rsidR="00737A81" w:rsidRPr="00737A81" w:rsidRDefault="00737A81" w:rsidP="00737A81">
      <w:pPr>
        <w:pStyle w:val="Bibliography"/>
        <w:rPr>
          <w:rFonts w:cs="Arial"/>
        </w:rPr>
      </w:pPr>
      <w:r w:rsidRPr="00737A81">
        <w:rPr>
          <w:rFonts w:cs="Arial"/>
        </w:rPr>
        <w:t>[11]</w:t>
      </w:r>
      <w:r w:rsidRPr="00737A81">
        <w:rPr>
          <w:rFonts w:cs="Arial"/>
        </w:rPr>
        <w:tab/>
        <w:t xml:space="preserve">Y.-L. </w:t>
      </w:r>
      <w:proofErr w:type="gramStart"/>
      <w:r w:rsidRPr="00737A81">
        <w:rPr>
          <w:rFonts w:cs="Arial"/>
        </w:rPr>
        <w:t>Lin and Y.-Z.</w:t>
      </w:r>
      <w:proofErr w:type="gramEnd"/>
      <w:r w:rsidRPr="00737A81">
        <w:rPr>
          <w:rFonts w:cs="Arial"/>
        </w:rPr>
        <w:t xml:space="preserve"> </w:t>
      </w:r>
      <w:proofErr w:type="spellStart"/>
      <w:r w:rsidRPr="00737A81">
        <w:rPr>
          <w:rFonts w:cs="Arial"/>
        </w:rPr>
        <w:t>Tu</w:t>
      </w:r>
      <w:proofErr w:type="spellEnd"/>
      <w:r w:rsidRPr="00737A81">
        <w:rPr>
          <w:rFonts w:cs="Arial"/>
        </w:rPr>
        <w:t xml:space="preserve">, “The values of college students in business simulation game: A means-end chain approach,” </w:t>
      </w:r>
      <w:r w:rsidRPr="00737A81">
        <w:rPr>
          <w:rFonts w:cs="Arial"/>
          <w:i/>
          <w:iCs/>
        </w:rPr>
        <w:t>Computers &amp; Education</w:t>
      </w:r>
      <w:r w:rsidRPr="00737A81">
        <w:rPr>
          <w:rFonts w:cs="Arial"/>
        </w:rPr>
        <w:t>, vol. 58, no. 4, pp. 1160–1170, May 2012.</w:t>
      </w:r>
    </w:p>
    <w:p w:rsidR="00737A81" w:rsidRPr="00737A81" w:rsidRDefault="00737A81" w:rsidP="00737A81">
      <w:pPr>
        <w:pStyle w:val="Bibliography"/>
        <w:rPr>
          <w:rFonts w:cs="Arial"/>
        </w:rPr>
      </w:pPr>
      <w:r w:rsidRPr="00737A81">
        <w:rPr>
          <w:rFonts w:cs="Arial"/>
        </w:rPr>
        <w:t>[12]</w:t>
      </w:r>
      <w:r w:rsidRPr="00737A81">
        <w:rPr>
          <w:rFonts w:cs="Arial"/>
        </w:rPr>
        <w:tab/>
        <w:t>T. Ben-</w:t>
      </w:r>
      <w:proofErr w:type="spellStart"/>
      <w:r w:rsidRPr="00737A81">
        <w:rPr>
          <w:rFonts w:cs="Arial"/>
        </w:rPr>
        <w:t>Zvi</w:t>
      </w:r>
      <w:proofErr w:type="spellEnd"/>
      <w:r w:rsidRPr="00737A81">
        <w:rPr>
          <w:rFonts w:cs="Arial"/>
        </w:rPr>
        <w:t xml:space="preserve">, “The efficacy of business simulation games in creating Decision Support Systems: An experimental investigation,” </w:t>
      </w:r>
      <w:r w:rsidRPr="00737A81">
        <w:rPr>
          <w:rFonts w:cs="Arial"/>
          <w:i/>
          <w:iCs/>
        </w:rPr>
        <w:t>Decision Support Systems</w:t>
      </w:r>
      <w:r w:rsidRPr="00737A81">
        <w:rPr>
          <w:rFonts w:cs="Arial"/>
        </w:rPr>
        <w:t>, vol. 49, no. 1, pp. 61–69, Apr. 2010.</w:t>
      </w:r>
    </w:p>
    <w:p w:rsidR="00737A81" w:rsidRPr="00737A81" w:rsidRDefault="00737A81" w:rsidP="00737A81">
      <w:pPr>
        <w:pStyle w:val="Bibliography"/>
        <w:rPr>
          <w:rFonts w:cs="Arial"/>
        </w:rPr>
      </w:pPr>
      <w:r w:rsidRPr="00737A81">
        <w:rPr>
          <w:rFonts w:cs="Arial"/>
        </w:rPr>
        <w:t>[13]</w:t>
      </w:r>
      <w:r w:rsidRPr="00737A81">
        <w:rPr>
          <w:rFonts w:cs="Arial"/>
        </w:rPr>
        <w:tab/>
        <w:t xml:space="preserve">J. A. D. </w:t>
      </w:r>
      <w:proofErr w:type="spellStart"/>
      <w:r w:rsidRPr="00737A81">
        <w:rPr>
          <w:rFonts w:cs="Arial"/>
        </w:rPr>
        <w:t>Machuca</w:t>
      </w:r>
      <w:proofErr w:type="spellEnd"/>
      <w:r w:rsidRPr="00737A81">
        <w:rPr>
          <w:rFonts w:cs="Arial"/>
        </w:rPr>
        <w:t xml:space="preserve">, “Transparent-Box Business Simulators: An Aid to Manage the Complexity of Organizations,” </w:t>
      </w:r>
      <w:r w:rsidRPr="00737A81">
        <w:rPr>
          <w:rFonts w:cs="Arial"/>
          <w:i/>
          <w:iCs/>
        </w:rPr>
        <w:t>Simulation Gaming</w:t>
      </w:r>
      <w:r w:rsidRPr="00737A81">
        <w:rPr>
          <w:rFonts w:cs="Arial"/>
        </w:rPr>
        <w:t>, vol. 31, no. 2, pp. 230–239, Jun. 2000.</w:t>
      </w:r>
    </w:p>
    <w:p w:rsidR="00737A81" w:rsidRPr="00737A81" w:rsidRDefault="00737A81" w:rsidP="00737A81">
      <w:pPr>
        <w:pStyle w:val="Bibliography"/>
        <w:rPr>
          <w:rFonts w:cs="Arial"/>
        </w:rPr>
      </w:pPr>
      <w:proofErr w:type="gramStart"/>
      <w:r w:rsidRPr="00737A81">
        <w:rPr>
          <w:rFonts w:cs="Arial"/>
        </w:rPr>
        <w:t>[14]</w:t>
      </w:r>
      <w:r w:rsidRPr="00737A81">
        <w:rPr>
          <w:rFonts w:cs="Arial"/>
        </w:rPr>
        <w:tab/>
        <w:t xml:space="preserve">T. </w:t>
      </w:r>
      <w:proofErr w:type="spellStart"/>
      <w:r w:rsidRPr="00737A81">
        <w:rPr>
          <w:rFonts w:cs="Arial"/>
        </w:rPr>
        <w:t>Lainema</w:t>
      </w:r>
      <w:proofErr w:type="spellEnd"/>
      <w:r w:rsidRPr="00737A81">
        <w:rPr>
          <w:rFonts w:cs="Arial"/>
        </w:rPr>
        <w:t xml:space="preserve"> and S. </w:t>
      </w:r>
      <w:proofErr w:type="spellStart"/>
      <w:r w:rsidRPr="00737A81">
        <w:rPr>
          <w:rFonts w:cs="Arial"/>
        </w:rPr>
        <w:t>Nurmi</w:t>
      </w:r>
      <w:proofErr w:type="spellEnd"/>
      <w:r w:rsidRPr="00737A81">
        <w:rPr>
          <w:rFonts w:cs="Arial"/>
        </w:rPr>
        <w:t xml:space="preserve">, “Applying an authentic, dynamic learning environment in real world business,” </w:t>
      </w:r>
      <w:r w:rsidRPr="00737A81">
        <w:rPr>
          <w:rFonts w:cs="Arial"/>
          <w:i/>
          <w:iCs/>
        </w:rPr>
        <w:t>Computers and Education</w:t>
      </w:r>
      <w:r w:rsidRPr="00737A81">
        <w:rPr>
          <w:rFonts w:cs="Arial"/>
        </w:rPr>
        <w:t>, vol. 47, no. 1, pp. 94–115, 2006.</w:t>
      </w:r>
      <w:proofErr w:type="gramEnd"/>
    </w:p>
    <w:p w:rsidR="00737A81" w:rsidRPr="00737A81" w:rsidRDefault="00737A81" w:rsidP="00737A81">
      <w:pPr>
        <w:pStyle w:val="Bibliography"/>
        <w:rPr>
          <w:rFonts w:cs="Arial"/>
        </w:rPr>
      </w:pPr>
      <w:r w:rsidRPr="00737A81">
        <w:rPr>
          <w:rFonts w:cs="Arial"/>
        </w:rPr>
        <w:t>[15]</w:t>
      </w:r>
      <w:r w:rsidRPr="00737A81">
        <w:rPr>
          <w:rFonts w:cs="Arial"/>
        </w:rPr>
        <w:tab/>
        <w:t xml:space="preserve">R. Ryan, C. Rigby, and A. </w:t>
      </w:r>
      <w:proofErr w:type="spellStart"/>
      <w:r w:rsidRPr="00737A81">
        <w:rPr>
          <w:rFonts w:cs="Arial"/>
        </w:rPr>
        <w:t>Przybylski</w:t>
      </w:r>
      <w:proofErr w:type="spellEnd"/>
      <w:r w:rsidRPr="00737A81">
        <w:rPr>
          <w:rFonts w:cs="Arial"/>
        </w:rPr>
        <w:t xml:space="preserve">, “The Motivational Pull of Video Games: A Self-Determination Theory Approach,” </w:t>
      </w:r>
      <w:r w:rsidRPr="00737A81">
        <w:rPr>
          <w:rFonts w:cs="Arial"/>
          <w:i/>
          <w:iCs/>
        </w:rPr>
        <w:t>Motivation &amp; Emotion</w:t>
      </w:r>
      <w:r w:rsidRPr="00737A81">
        <w:rPr>
          <w:rFonts w:cs="Arial"/>
        </w:rPr>
        <w:t>, vol. 30, no. 4, pp. 344–360, Dec. 2006.</w:t>
      </w:r>
    </w:p>
    <w:p w:rsidR="00737A81" w:rsidRPr="00737A81" w:rsidRDefault="00737A81" w:rsidP="00737A81">
      <w:pPr>
        <w:pStyle w:val="Bibliography"/>
        <w:rPr>
          <w:rFonts w:cs="Arial"/>
        </w:rPr>
      </w:pPr>
      <w:r w:rsidRPr="00737A81">
        <w:rPr>
          <w:rFonts w:cs="Arial"/>
        </w:rPr>
        <w:t>[16]</w:t>
      </w:r>
      <w:r w:rsidRPr="00737A81">
        <w:rPr>
          <w:rFonts w:cs="Arial"/>
        </w:rPr>
        <w:tab/>
        <w:t xml:space="preserve">R. </w:t>
      </w:r>
      <w:proofErr w:type="spellStart"/>
      <w:r w:rsidRPr="00737A81">
        <w:rPr>
          <w:rFonts w:cs="Arial"/>
        </w:rPr>
        <w:t>Garris</w:t>
      </w:r>
      <w:proofErr w:type="spellEnd"/>
      <w:r w:rsidRPr="00737A81">
        <w:rPr>
          <w:rFonts w:cs="Arial"/>
        </w:rPr>
        <w:t xml:space="preserve">, R. </w:t>
      </w:r>
      <w:proofErr w:type="spellStart"/>
      <w:r w:rsidRPr="00737A81">
        <w:rPr>
          <w:rFonts w:cs="Arial"/>
        </w:rPr>
        <w:t>Ahlers</w:t>
      </w:r>
      <w:proofErr w:type="spellEnd"/>
      <w:r w:rsidRPr="00737A81">
        <w:rPr>
          <w:rFonts w:cs="Arial"/>
        </w:rPr>
        <w:t xml:space="preserve">, and J. E. </w:t>
      </w:r>
      <w:proofErr w:type="spellStart"/>
      <w:r w:rsidRPr="00737A81">
        <w:rPr>
          <w:rFonts w:cs="Arial"/>
        </w:rPr>
        <w:t>Driskell</w:t>
      </w:r>
      <w:proofErr w:type="spellEnd"/>
      <w:r w:rsidRPr="00737A81">
        <w:rPr>
          <w:rFonts w:cs="Arial"/>
        </w:rPr>
        <w:t xml:space="preserve">, “Games, Motivation, and Learning: A Research and Practice Model,” </w:t>
      </w:r>
      <w:r w:rsidRPr="00737A81">
        <w:rPr>
          <w:rFonts w:cs="Arial"/>
          <w:i/>
          <w:iCs/>
        </w:rPr>
        <w:t>Simulation Gaming</w:t>
      </w:r>
      <w:r w:rsidRPr="00737A81">
        <w:rPr>
          <w:rFonts w:cs="Arial"/>
        </w:rPr>
        <w:t>, vol. 33, no. 4, pp. 441–467, Dec. 2002.</w:t>
      </w:r>
    </w:p>
    <w:p w:rsidR="00737A81" w:rsidRPr="00737A81" w:rsidRDefault="00737A81" w:rsidP="00737A81">
      <w:pPr>
        <w:pStyle w:val="Bibliography"/>
        <w:rPr>
          <w:rFonts w:cs="Arial"/>
        </w:rPr>
      </w:pPr>
      <w:r w:rsidRPr="00737A81">
        <w:rPr>
          <w:rFonts w:cs="Arial"/>
        </w:rPr>
        <w:t>[17]</w:t>
      </w:r>
      <w:r w:rsidRPr="00737A81">
        <w:rPr>
          <w:rFonts w:cs="Arial"/>
        </w:rPr>
        <w:tab/>
        <w:t xml:space="preserve">G. </w:t>
      </w:r>
      <w:proofErr w:type="spellStart"/>
      <w:r w:rsidRPr="00737A81">
        <w:rPr>
          <w:rFonts w:cs="Arial"/>
        </w:rPr>
        <w:t>Alinier</w:t>
      </w:r>
      <w:proofErr w:type="spellEnd"/>
      <w:r w:rsidRPr="00737A81">
        <w:rPr>
          <w:rFonts w:cs="Arial"/>
        </w:rPr>
        <w:t xml:space="preserve">, “Nursing students’ and lecturers’ perspectives of objective structured clinical examination incorporating simulation,” </w:t>
      </w:r>
      <w:r w:rsidRPr="00737A81">
        <w:rPr>
          <w:rFonts w:cs="Arial"/>
          <w:i/>
          <w:iCs/>
        </w:rPr>
        <w:t xml:space="preserve">Nurse </w:t>
      </w:r>
      <w:proofErr w:type="spellStart"/>
      <w:r w:rsidRPr="00737A81">
        <w:rPr>
          <w:rFonts w:cs="Arial"/>
          <w:i/>
          <w:iCs/>
        </w:rPr>
        <w:t>Educ</w:t>
      </w:r>
      <w:proofErr w:type="spellEnd"/>
      <w:r w:rsidRPr="00737A81">
        <w:rPr>
          <w:rFonts w:cs="Arial"/>
          <w:i/>
          <w:iCs/>
        </w:rPr>
        <w:t xml:space="preserve"> Today</w:t>
      </w:r>
      <w:r w:rsidRPr="00737A81">
        <w:rPr>
          <w:rFonts w:cs="Arial"/>
        </w:rPr>
        <w:t>, vol. 23, no. 6, pp. 419–426, Aug. 2003.</w:t>
      </w:r>
    </w:p>
    <w:p w:rsidR="00737A81" w:rsidRPr="00737A81" w:rsidRDefault="00737A81" w:rsidP="00737A81">
      <w:pPr>
        <w:pStyle w:val="Bibliography"/>
        <w:rPr>
          <w:rFonts w:cs="Arial"/>
        </w:rPr>
      </w:pPr>
      <w:r w:rsidRPr="00737A81">
        <w:rPr>
          <w:rFonts w:cs="Arial"/>
        </w:rPr>
        <w:lastRenderedPageBreak/>
        <w:t>[18]</w:t>
      </w:r>
      <w:r w:rsidRPr="00737A81">
        <w:rPr>
          <w:rFonts w:cs="Arial"/>
        </w:rPr>
        <w:tab/>
        <w:t xml:space="preserve">Lean Jonathan, </w:t>
      </w:r>
      <w:proofErr w:type="spellStart"/>
      <w:r w:rsidRPr="00737A81">
        <w:rPr>
          <w:rFonts w:cs="Arial"/>
        </w:rPr>
        <w:t>Moizer</w:t>
      </w:r>
      <w:proofErr w:type="spellEnd"/>
      <w:r w:rsidRPr="00737A81">
        <w:rPr>
          <w:rFonts w:cs="Arial"/>
        </w:rPr>
        <w:t xml:space="preserve"> Jonathan, and Newbery Robert, “Enhancing the impact of online simulations through blended learning,” </w:t>
      </w:r>
      <w:r w:rsidRPr="00737A81">
        <w:rPr>
          <w:rFonts w:cs="Arial"/>
          <w:i/>
          <w:iCs/>
        </w:rPr>
        <w:t>Education + Training</w:t>
      </w:r>
      <w:r w:rsidRPr="00737A81">
        <w:rPr>
          <w:rFonts w:cs="Arial"/>
        </w:rPr>
        <w:t>, vol. 56, no. 2/3, pp. 208–218, Apr. 2014.</w:t>
      </w:r>
    </w:p>
    <w:p w:rsidR="00737A81" w:rsidRPr="00737A81" w:rsidRDefault="00737A81" w:rsidP="00737A81">
      <w:pPr>
        <w:pStyle w:val="Bibliography"/>
        <w:rPr>
          <w:rFonts w:cs="Arial"/>
        </w:rPr>
      </w:pPr>
      <w:r w:rsidRPr="00737A81">
        <w:rPr>
          <w:rFonts w:cs="Arial"/>
        </w:rPr>
        <w:t>[19]</w:t>
      </w:r>
      <w:r w:rsidRPr="00737A81">
        <w:rPr>
          <w:rFonts w:cs="Arial"/>
        </w:rPr>
        <w:tab/>
        <w:t xml:space="preserve">J. Dewey, </w:t>
      </w:r>
      <w:r w:rsidRPr="00737A81">
        <w:rPr>
          <w:rFonts w:cs="Arial"/>
          <w:i/>
          <w:iCs/>
        </w:rPr>
        <w:t>How we think : a restatement of the relation of reflective thinking to the educative process</w:t>
      </w:r>
      <w:r w:rsidRPr="00737A81">
        <w:rPr>
          <w:rFonts w:cs="Arial"/>
        </w:rPr>
        <w:t xml:space="preserve">. Boston, </w:t>
      </w:r>
      <w:proofErr w:type="spellStart"/>
      <w:r w:rsidRPr="00737A81">
        <w:rPr>
          <w:rFonts w:cs="Arial"/>
        </w:rPr>
        <w:t>Massachussets</w:t>
      </w:r>
      <w:proofErr w:type="spellEnd"/>
      <w:r w:rsidRPr="00737A81">
        <w:rPr>
          <w:rFonts w:cs="Arial"/>
        </w:rPr>
        <w:t xml:space="preserve"> ; London: </w:t>
      </w:r>
      <w:proofErr w:type="spellStart"/>
      <w:r w:rsidRPr="00737A81">
        <w:rPr>
          <w:rFonts w:cs="Arial"/>
        </w:rPr>
        <w:t>D.C.Heath</w:t>
      </w:r>
      <w:proofErr w:type="spellEnd"/>
      <w:r w:rsidRPr="00737A81">
        <w:rPr>
          <w:rFonts w:cs="Arial"/>
        </w:rPr>
        <w:t>, 1933.</w:t>
      </w:r>
    </w:p>
    <w:p w:rsidR="00737A81" w:rsidRPr="00737A81" w:rsidRDefault="00737A81" w:rsidP="00737A81">
      <w:pPr>
        <w:pStyle w:val="Bibliography"/>
        <w:rPr>
          <w:rFonts w:cs="Arial"/>
        </w:rPr>
      </w:pPr>
      <w:r w:rsidRPr="00737A81">
        <w:rPr>
          <w:rFonts w:cs="Arial"/>
        </w:rPr>
        <w:t>[20]</w:t>
      </w:r>
      <w:r w:rsidRPr="00737A81">
        <w:rPr>
          <w:rFonts w:cs="Arial"/>
        </w:rPr>
        <w:tab/>
        <w:t xml:space="preserve">D. Kolb, </w:t>
      </w:r>
      <w:r w:rsidRPr="00737A81">
        <w:rPr>
          <w:rFonts w:cs="Arial"/>
          <w:i/>
          <w:iCs/>
        </w:rPr>
        <w:t>Experiential learning</w:t>
      </w:r>
      <w:r w:rsidRPr="00737A81">
        <w:rPr>
          <w:rFonts w:cs="Arial"/>
        </w:rPr>
        <w:t xml:space="preserve">. Englewood Cliffs, </w:t>
      </w:r>
      <w:proofErr w:type="gramStart"/>
      <w:r w:rsidRPr="00737A81">
        <w:rPr>
          <w:rFonts w:cs="Arial"/>
        </w:rPr>
        <w:t>NJ.:</w:t>
      </w:r>
      <w:proofErr w:type="gramEnd"/>
      <w:r w:rsidRPr="00737A81">
        <w:rPr>
          <w:rFonts w:cs="Arial"/>
        </w:rPr>
        <w:t xml:space="preserve"> Prentice-Hall, 1984.</w:t>
      </w:r>
    </w:p>
    <w:p w:rsidR="00737A81" w:rsidRPr="00737A81" w:rsidRDefault="00737A81" w:rsidP="00737A81">
      <w:pPr>
        <w:pStyle w:val="Bibliography"/>
        <w:rPr>
          <w:rFonts w:cs="Arial"/>
        </w:rPr>
      </w:pPr>
      <w:r w:rsidRPr="00737A81">
        <w:rPr>
          <w:rFonts w:cs="Arial"/>
        </w:rPr>
        <w:t>[21]</w:t>
      </w:r>
      <w:r w:rsidRPr="00737A81">
        <w:rPr>
          <w:rFonts w:cs="Arial"/>
        </w:rPr>
        <w:tab/>
        <w:t xml:space="preserve">R. Brennan and L. </w:t>
      </w:r>
      <w:proofErr w:type="spellStart"/>
      <w:r w:rsidRPr="00737A81">
        <w:rPr>
          <w:rFonts w:cs="Arial"/>
        </w:rPr>
        <w:t>Vos</w:t>
      </w:r>
      <w:proofErr w:type="spellEnd"/>
      <w:r w:rsidRPr="00737A81">
        <w:rPr>
          <w:rFonts w:cs="Arial"/>
        </w:rPr>
        <w:t xml:space="preserve">, “Effects of Participation in a Simulation Game on Marketing Students’ Numeracy and Financial Skills,” </w:t>
      </w:r>
      <w:r w:rsidRPr="00737A81">
        <w:rPr>
          <w:rFonts w:cs="Arial"/>
          <w:i/>
          <w:iCs/>
        </w:rPr>
        <w:t>Journal of Marketing Education</w:t>
      </w:r>
      <w:r w:rsidRPr="00737A81">
        <w:rPr>
          <w:rFonts w:cs="Arial"/>
        </w:rPr>
        <w:t>, vol. 35, no. 3, pp. 259–270, 2013.</w:t>
      </w:r>
    </w:p>
    <w:p w:rsidR="00737A81" w:rsidRPr="00737A81" w:rsidRDefault="00737A81" w:rsidP="00737A81">
      <w:pPr>
        <w:pStyle w:val="Bibliography"/>
        <w:rPr>
          <w:rFonts w:cs="Arial"/>
        </w:rPr>
      </w:pPr>
      <w:r w:rsidRPr="00737A81">
        <w:rPr>
          <w:rFonts w:cs="Arial"/>
        </w:rPr>
        <w:t>[22]</w:t>
      </w:r>
      <w:r w:rsidRPr="00737A81">
        <w:rPr>
          <w:rFonts w:cs="Arial"/>
        </w:rPr>
        <w:tab/>
        <w:t xml:space="preserve">A. J. </w:t>
      </w:r>
      <w:proofErr w:type="spellStart"/>
      <w:r w:rsidRPr="00737A81">
        <w:rPr>
          <w:rFonts w:cs="Arial"/>
        </w:rPr>
        <w:t>Faria</w:t>
      </w:r>
      <w:proofErr w:type="spellEnd"/>
      <w:r w:rsidRPr="00737A81">
        <w:rPr>
          <w:rFonts w:cs="Arial"/>
        </w:rPr>
        <w:t xml:space="preserve"> and W. J. Wellington, “A Survey of Simulation Game Users, Former-Users, and Never-Users,” </w:t>
      </w:r>
      <w:r w:rsidRPr="00737A81">
        <w:rPr>
          <w:rFonts w:cs="Arial"/>
          <w:i/>
          <w:iCs/>
        </w:rPr>
        <w:t>Simulation Gaming</w:t>
      </w:r>
      <w:r w:rsidRPr="00737A81">
        <w:rPr>
          <w:rFonts w:cs="Arial"/>
        </w:rPr>
        <w:t>, vol. 35, no. 2, pp. 178–207, Jun. 2004.</w:t>
      </w:r>
    </w:p>
    <w:p w:rsidR="00737A81" w:rsidRPr="00737A81" w:rsidRDefault="00737A81" w:rsidP="00737A81">
      <w:pPr>
        <w:pStyle w:val="Bibliography"/>
        <w:rPr>
          <w:rFonts w:cs="Arial"/>
        </w:rPr>
      </w:pPr>
      <w:r w:rsidRPr="00737A81">
        <w:rPr>
          <w:rFonts w:cs="Arial"/>
        </w:rPr>
        <w:t>[23]</w:t>
      </w:r>
      <w:r w:rsidRPr="00737A81">
        <w:rPr>
          <w:rFonts w:cs="Arial"/>
        </w:rPr>
        <w:tab/>
        <w:t xml:space="preserve">A. J. </w:t>
      </w:r>
      <w:proofErr w:type="spellStart"/>
      <w:r w:rsidRPr="00737A81">
        <w:rPr>
          <w:rFonts w:cs="Arial"/>
        </w:rPr>
        <w:t>Faria</w:t>
      </w:r>
      <w:proofErr w:type="spellEnd"/>
      <w:r w:rsidRPr="00737A81">
        <w:rPr>
          <w:rFonts w:cs="Arial"/>
        </w:rPr>
        <w:t xml:space="preserve">, “The changing nature of business simulation/ gaming research: A brief history,” </w:t>
      </w:r>
      <w:r w:rsidRPr="00737A81">
        <w:rPr>
          <w:rFonts w:cs="Arial"/>
          <w:i/>
          <w:iCs/>
        </w:rPr>
        <w:t>Simulation and Gaming</w:t>
      </w:r>
      <w:r w:rsidRPr="00737A81">
        <w:rPr>
          <w:rFonts w:cs="Arial"/>
        </w:rPr>
        <w:t>, vol. 32, no. 1, pp. 97–110, 2001.</w:t>
      </w:r>
    </w:p>
    <w:p w:rsidR="00737A81" w:rsidRPr="00737A81" w:rsidRDefault="00737A81" w:rsidP="00737A81">
      <w:pPr>
        <w:pStyle w:val="Bibliography"/>
        <w:rPr>
          <w:rFonts w:cs="Arial"/>
        </w:rPr>
      </w:pPr>
      <w:r w:rsidRPr="00737A81">
        <w:rPr>
          <w:rFonts w:cs="Arial"/>
        </w:rPr>
        <w:t>[24]</w:t>
      </w:r>
      <w:r w:rsidRPr="00737A81">
        <w:rPr>
          <w:rFonts w:cs="Arial"/>
        </w:rPr>
        <w:tab/>
        <w:t xml:space="preserve">J. A. </w:t>
      </w:r>
      <w:proofErr w:type="spellStart"/>
      <w:r w:rsidRPr="00737A81">
        <w:rPr>
          <w:rFonts w:cs="Arial"/>
        </w:rPr>
        <w:t>Schibrowsky</w:t>
      </w:r>
      <w:proofErr w:type="spellEnd"/>
      <w:r w:rsidRPr="00737A81">
        <w:rPr>
          <w:rFonts w:cs="Arial"/>
        </w:rPr>
        <w:t xml:space="preserve">, J. W. </w:t>
      </w:r>
      <w:proofErr w:type="spellStart"/>
      <w:r w:rsidRPr="00737A81">
        <w:rPr>
          <w:rFonts w:cs="Arial"/>
        </w:rPr>
        <w:t>Peltier</w:t>
      </w:r>
      <w:proofErr w:type="spellEnd"/>
      <w:r w:rsidRPr="00737A81">
        <w:rPr>
          <w:rFonts w:cs="Arial"/>
        </w:rPr>
        <w:t xml:space="preserve">, and T. E. </w:t>
      </w:r>
      <w:proofErr w:type="spellStart"/>
      <w:r w:rsidRPr="00737A81">
        <w:rPr>
          <w:rFonts w:cs="Arial"/>
        </w:rPr>
        <w:t>Boyt</w:t>
      </w:r>
      <w:proofErr w:type="spellEnd"/>
      <w:r w:rsidRPr="00737A81">
        <w:rPr>
          <w:rFonts w:cs="Arial"/>
        </w:rPr>
        <w:t xml:space="preserve">, “A Professional School Approach to Marketing Education,” </w:t>
      </w:r>
      <w:r w:rsidRPr="00737A81">
        <w:rPr>
          <w:rFonts w:cs="Arial"/>
          <w:i/>
          <w:iCs/>
        </w:rPr>
        <w:t>Journal of Marketing Education</w:t>
      </w:r>
      <w:r w:rsidRPr="00737A81">
        <w:rPr>
          <w:rFonts w:cs="Arial"/>
        </w:rPr>
        <w:t>, vol. 24, no. 1, pp. 43–55, Apr. 2002.</w:t>
      </w:r>
    </w:p>
    <w:p w:rsidR="00737A81" w:rsidRPr="00737A81" w:rsidRDefault="00737A81" w:rsidP="00737A81">
      <w:pPr>
        <w:pStyle w:val="Bibliography"/>
        <w:rPr>
          <w:rFonts w:cs="Arial"/>
        </w:rPr>
      </w:pPr>
      <w:r w:rsidRPr="00737A81">
        <w:rPr>
          <w:rFonts w:cs="Arial"/>
        </w:rPr>
        <w:t>[25]</w:t>
      </w:r>
      <w:r w:rsidRPr="00737A81">
        <w:rPr>
          <w:rFonts w:cs="Arial"/>
        </w:rPr>
        <w:tab/>
        <w:t xml:space="preserve">L. W. Smith and D. C. V. </w:t>
      </w:r>
      <w:proofErr w:type="spellStart"/>
      <w:r w:rsidRPr="00737A81">
        <w:rPr>
          <w:rFonts w:cs="Arial"/>
        </w:rPr>
        <w:t>Doren</w:t>
      </w:r>
      <w:proofErr w:type="spellEnd"/>
      <w:r w:rsidRPr="00737A81">
        <w:rPr>
          <w:rFonts w:cs="Arial"/>
        </w:rPr>
        <w:t xml:space="preserve">, “The Reality-Based Learning Method: A Simple Method for Keeping Teaching Activities Relevant and Effective,” </w:t>
      </w:r>
      <w:r w:rsidRPr="00737A81">
        <w:rPr>
          <w:rFonts w:cs="Arial"/>
          <w:i/>
          <w:iCs/>
        </w:rPr>
        <w:t>Journal of Marketing Education</w:t>
      </w:r>
      <w:r w:rsidRPr="00737A81">
        <w:rPr>
          <w:rFonts w:cs="Arial"/>
        </w:rPr>
        <w:t>, vol. 26, no. 1, pp. 66–74, Apr. 2004.</w:t>
      </w:r>
    </w:p>
    <w:p w:rsidR="00737A81" w:rsidRPr="00737A81" w:rsidRDefault="00737A81" w:rsidP="00737A81">
      <w:pPr>
        <w:pStyle w:val="Bibliography"/>
        <w:rPr>
          <w:rFonts w:cs="Arial"/>
        </w:rPr>
      </w:pPr>
      <w:r w:rsidRPr="00737A81">
        <w:rPr>
          <w:rFonts w:cs="Arial"/>
        </w:rPr>
        <w:t>[26]</w:t>
      </w:r>
      <w:r w:rsidRPr="00737A81">
        <w:rPr>
          <w:rFonts w:cs="Arial"/>
        </w:rPr>
        <w:tab/>
        <w:t xml:space="preserve">N. T. </w:t>
      </w:r>
      <w:proofErr w:type="spellStart"/>
      <w:r w:rsidRPr="00737A81">
        <w:rPr>
          <w:rFonts w:cs="Arial"/>
        </w:rPr>
        <w:t>Frontczak</w:t>
      </w:r>
      <w:proofErr w:type="spellEnd"/>
      <w:r w:rsidRPr="00737A81">
        <w:rPr>
          <w:rFonts w:cs="Arial"/>
        </w:rPr>
        <w:t xml:space="preserve"> and C. A. Kelley, “The Editor’s Corner,” </w:t>
      </w:r>
      <w:r w:rsidRPr="00737A81">
        <w:rPr>
          <w:rFonts w:cs="Arial"/>
          <w:i/>
          <w:iCs/>
        </w:rPr>
        <w:t>Journal of Marketing Education</w:t>
      </w:r>
      <w:r w:rsidRPr="00737A81">
        <w:rPr>
          <w:rFonts w:cs="Arial"/>
        </w:rPr>
        <w:t>, vol. 22, no. 1, pp. 3–4, Apr. 2000.</w:t>
      </w:r>
    </w:p>
    <w:p w:rsidR="00737A81" w:rsidRPr="00737A81" w:rsidRDefault="00737A81" w:rsidP="00737A81">
      <w:pPr>
        <w:pStyle w:val="Bibliography"/>
        <w:rPr>
          <w:rFonts w:cs="Arial"/>
        </w:rPr>
      </w:pPr>
      <w:r w:rsidRPr="00737A81">
        <w:rPr>
          <w:rFonts w:cs="Arial"/>
        </w:rPr>
        <w:t>[27]</w:t>
      </w:r>
      <w:r w:rsidRPr="00737A81">
        <w:rPr>
          <w:rFonts w:cs="Arial"/>
        </w:rPr>
        <w:tab/>
        <w:t xml:space="preserve">G. Ganesh and Qin Sun, “Using Simulations in the Undergraduate Marketing Capstone Case Course,” </w:t>
      </w:r>
      <w:r w:rsidRPr="00737A81">
        <w:rPr>
          <w:rFonts w:cs="Arial"/>
          <w:i/>
          <w:iCs/>
        </w:rPr>
        <w:t>Marketing Education Review</w:t>
      </w:r>
      <w:r w:rsidRPr="00737A81">
        <w:rPr>
          <w:rFonts w:cs="Arial"/>
        </w:rPr>
        <w:t>, vol. 19, no. 1, pp. 7–16, Spring 2009.</w:t>
      </w:r>
    </w:p>
    <w:p w:rsidR="00737A81" w:rsidRPr="00737A81" w:rsidRDefault="00737A81" w:rsidP="00737A81">
      <w:pPr>
        <w:pStyle w:val="Bibliography"/>
        <w:rPr>
          <w:rFonts w:cs="Arial"/>
        </w:rPr>
      </w:pPr>
      <w:r w:rsidRPr="00737A81">
        <w:rPr>
          <w:rFonts w:cs="Arial"/>
        </w:rPr>
        <w:t>[28]</w:t>
      </w:r>
      <w:r w:rsidRPr="00737A81">
        <w:rPr>
          <w:rFonts w:cs="Arial"/>
        </w:rPr>
        <w:tab/>
        <w:t xml:space="preserve">Lynn </w:t>
      </w:r>
      <w:proofErr w:type="spellStart"/>
      <w:r w:rsidRPr="00737A81">
        <w:rPr>
          <w:rFonts w:cs="Arial"/>
        </w:rPr>
        <w:t>Vos</w:t>
      </w:r>
      <w:proofErr w:type="spellEnd"/>
      <w:r w:rsidRPr="00737A81">
        <w:rPr>
          <w:rFonts w:cs="Arial"/>
        </w:rPr>
        <w:t xml:space="preserve"> and Ross Brennan, “Marketing simulation games: student and lecturer perspectives,” </w:t>
      </w:r>
      <w:proofErr w:type="spellStart"/>
      <w:r w:rsidRPr="00737A81">
        <w:rPr>
          <w:rFonts w:cs="Arial"/>
          <w:i/>
          <w:iCs/>
        </w:rPr>
        <w:t>Mrkting</w:t>
      </w:r>
      <w:proofErr w:type="spellEnd"/>
      <w:r w:rsidRPr="00737A81">
        <w:rPr>
          <w:rFonts w:cs="Arial"/>
          <w:i/>
          <w:iCs/>
        </w:rPr>
        <w:t xml:space="preserve"> Intelligence &amp; Plan</w:t>
      </w:r>
      <w:r w:rsidRPr="00737A81">
        <w:rPr>
          <w:rFonts w:cs="Arial"/>
        </w:rPr>
        <w:t>, vol. 28, no. 7, pp. 882–897, Oct. 2010.</w:t>
      </w:r>
    </w:p>
    <w:p w:rsidR="00737A81" w:rsidRPr="00737A81" w:rsidRDefault="00737A81" w:rsidP="00737A81">
      <w:pPr>
        <w:pStyle w:val="Bibliography"/>
        <w:rPr>
          <w:rFonts w:cs="Arial"/>
        </w:rPr>
      </w:pPr>
      <w:r w:rsidRPr="00737A81">
        <w:rPr>
          <w:rFonts w:cs="Arial"/>
        </w:rPr>
        <w:t>[29]</w:t>
      </w:r>
      <w:r w:rsidRPr="00737A81">
        <w:rPr>
          <w:rFonts w:cs="Arial"/>
        </w:rPr>
        <w:tab/>
        <w:t xml:space="preserve">G. L. </w:t>
      </w:r>
      <w:proofErr w:type="spellStart"/>
      <w:r w:rsidRPr="00737A81">
        <w:rPr>
          <w:rFonts w:cs="Arial"/>
        </w:rPr>
        <w:t>Karns</w:t>
      </w:r>
      <w:proofErr w:type="spellEnd"/>
      <w:r w:rsidRPr="00737A81">
        <w:rPr>
          <w:rFonts w:cs="Arial"/>
        </w:rPr>
        <w:t xml:space="preserve">, “An Update of Marketing Student Perceptions of Learning Activities: Structure, Preferences, and Effectiveness,” </w:t>
      </w:r>
      <w:r w:rsidRPr="00737A81">
        <w:rPr>
          <w:rFonts w:cs="Arial"/>
          <w:i/>
          <w:iCs/>
        </w:rPr>
        <w:t>Journal of Marketing Education</w:t>
      </w:r>
      <w:r w:rsidRPr="00737A81">
        <w:rPr>
          <w:rFonts w:cs="Arial"/>
        </w:rPr>
        <w:t>, vol. 27, no. 2, pp. 163–171, Aug. 2005.</w:t>
      </w:r>
    </w:p>
    <w:p w:rsidR="00737A81" w:rsidRPr="00737A81" w:rsidRDefault="00737A81" w:rsidP="00737A81">
      <w:pPr>
        <w:pStyle w:val="Bibliography"/>
        <w:rPr>
          <w:rFonts w:cs="Arial"/>
        </w:rPr>
      </w:pPr>
      <w:r w:rsidRPr="00737A81">
        <w:rPr>
          <w:rFonts w:cs="Arial"/>
        </w:rPr>
        <w:t>[30]</w:t>
      </w:r>
      <w:r w:rsidRPr="00737A81">
        <w:rPr>
          <w:rFonts w:cs="Arial"/>
        </w:rPr>
        <w:tab/>
        <w:t xml:space="preserve">T. Li, B. A. Greenberg, and J. a. F. Nicholls, “Teaching Experiential Learning: Adoption of an Innovative Course in an MBA Marketing Curriculum,” </w:t>
      </w:r>
      <w:r w:rsidRPr="00737A81">
        <w:rPr>
          <w:rFonts w:cs="Arial"/>
          <w:i/>
          <w:iCs/>
        </w:rPr>
        <w:t>Journal of Marketing Education</w:t>
      </w:r>
      <w:r w:rsidRPr="00737A81">
        <w:rPr>
          <w:rFonts w:cs="Arial"/>
        </w:rPr>
        <w:t>, vol. 29, no. 1, pp. 25–33, Apr. 2007.</w:t>
      </w:r>
    </w:p>
    <w:p w:rsidR="00737A81" w:rsidRPr="00737A81" w:rsidRDefault="00737A81" w:rsidP="00737A81">
      <w:pPr>
        <w:pStyle w:val="Bibliography"/>
        <w:rPr>
          <w:rFonts w:cs="Arial"/>
        </w:rPr>
      </w:pPr>
      <w:r w:rsidRPr="00737A81">
        <w:rPr>
          <w:rFonts w:cs="Arial"/>
        </w:rPr>
        <w:t>[31]</w:t>
      </w:r>
      <w:r w:rsidRPr="00737A81">
        <w:rPr>
          <w:rFonts w:cs="Arial"/>
        </w:rPr>
        <w:tab/>
        <w:t xml:space="preserve">F. </w:t>
      </w:r>
      <w:proofErr w:type="spellStart"/>
      <w:r w:rsidRPr="00737A81">
        <w:rPr>
          <w:rFonts w:cs="Arial"/>
        </w:rPr>
        <w:t>Paas</w:t>
      </w:r>
      <w:proofErr w:type="spellEnd"/>
      <w:r w:rsidRPr="00737A81">
        <w:rPr>
          <w:rFonts w:cs="Arial"/>
        </w:rPr>
        <w:t xml:space="preserve">, J. E. </w:t>
      </w:r>
      <w:proofErr w:type="spellStart"/>
      <w:r w:rsidRPr="00737A81">
        <w:rPr>
          <w:rFonts w:cs="Arial"/>
        </w:rPr>
        <w:t>Tuovinen</w:t>
      </w:r>
      <w:proofErr w:type="spellEnd"/>
      <w:r w:rsidRPr="00737A81">
        <w:rPr>
          <w:rFonts w:cs="Arial"/>
        </w:rPr>
        <w:t xml:space="preserve">, J. J. G. van </w:t>
      </w:r>
      <w:proofErr w:type="spellStart"/>
      <w:r w:rsidRPr="00737A81">
        <w:rPr>
          <w:rFonts w:cs="Arial"/>
        </w:rPr>
        <w:t>Merriënboer</w:t>
      </w:r>
      <w:proofErr w:type="spellEnd"/>
      <w:r w:rsidRPr="00737A81">
        <w:rPr>
          <w:rFonts w:cs="Arial"/>
        </w:rPr>
        <w:t xml:space="preserve">, and A. A. </w:t>
      </w:r>
      <w:proofErr w:type="spellStart"/>
      <w:r w:rsidRPr="00737A81">
        <w:rPr>
          <w:rFonts w:cs="Arial"/>
        </w:rPr>
        <w:t>Darabi</w:t>
      </w:r>
      <w:proofErr w:type="spellEnd"/>
      <w:r w:rsidRPr="00737A81">
        <w:rPr>
          <w:rFonts w:cs="Arial"/>
        </w:rPr>
        <w:t xml:space="preserve">, “A motivational perspective on the relation between mental effort and performance: Optimizing learner involvement in instruction,” </w:t>
      </w:r>
      <w:r w:rsidRPr="00737A81">
        <w:rPr>
          <w:rFonts w:cs="Arial"/>
          <w:i/>
          <w:iCs/>
        </w:rPr>
        <w:t>ETR&amp;D</w:t>
      </w:r>
      <w:r w:rsidRPr="00737A81">
        <w:rPr>
          <w:rFonts w:cs="Arial"/>
        </w:rPr>
        <w:t>, vol. 53, no. 3, pp. 25–34, Sep. 2005.</w:t>
      </w:r>
    </w:p>
    <w:p w:rsidR="00737A81" w:rsidRPr="00737A81" w:rsidRDefault="00737A81" w:rsidP="00737A81">
      <w:pPr>
        <w:pStyle w:val="Bibliography"/>
        <w:rPr>
          <w:rFonts w:cs="Arial"/>
        </w:rPr>
      </w:pPr>
      <w:r w:rsidRPr="00737A81">
        <w:rPr>
          <w:rFonts w:cs="Arial"/>
        </w:rPr>
        <w:t>[32]</w:t>
      </w:r>
      <w:r w:rsidRPr="00737A81">
        <w:rPr>
          <w:rFonts w:cs="Arial"/>
        </w:rPr>
        <w:tab/>
        <w:t xml:space="preserve">J. J. G. van </w:t>
      </w:r>
      <w:proofErr w:type="spellStart"/>
      <w:r w:rsidRPr="00737A81">
        <w:rPr>
          <w:rFonts w:cs="Arial"/>
        </w:rPr>
        <w:t>Merriënboer</w:t>
      </w:r>
      <w:proofErr w:type="spellEnd"/>
      <w:r w:rsidRPr="00737A81">
        <w:rPr>
          <w:rFonts w:cs="Arial"/>
        </w:rPr>
        <w:t xml:space="preserve"> and J. </w:t>
      </w:r>
      <w:proofErr w:type="spellStart"/>
      <w:r w:rsidRPr="00737A81">
        <w:rPr>
          <w:rFonts w:cs="Arial"/>
        </w:rPr>
        <w:t>Sweller</w:t>
      </w:r>
      <w:proofErr w:type="spellEnd"/>
      <w:r w:rsidRPr="00737A81">
        <w:rPr>
          <w:rFonts w:cs="Arial"/>
        </w:rPr>
        <w:t xml:space="preserve">, “Cognitive Load Theory and Complex Learning: Recent Developments and Future Directions,” </w:t>
      </w:r>
      <w:proofErr w:type="spellStart"/>
      <w:r w:rsidRPr="00737A81">
        <w:rPr>
          <w:rFonts w:cs="Arial"/>
          <w:i/>
          <w:iCs/>
        </w:rPr>
        <w:t>Educ</w:t>
      </w:r>
      <w:proofErr w:type="spellEnd"/>
      <w:r w:rsidRPr="00737A81">
        <w:rPr>
          <w:rFonts w:cs="Arial"/>
          <w:i/>
          <w:iCs/>
        </w:rPr>
        <w:t xml:space="preserve"> </w:t>
      </w:r>
      <w:proofErr w:type="spellStart"/>
      <w:r w:rsidRPr="00737A81">
        <w:rPr>
          <w:rFonts w:cs="Arial"/>
          <w:i/>
          <w:iCs/>
        </w:rPr>
        <w:t>Psychol</w:t>
      </w:r>
      <w:proofErr w:type="spellEnd"/>
      <w:r w:rsidRPr="00737A81">
        <w:rPr>
          <w:rFonts w:cs="Arial"/>
          <w:i/>
          <w:iCs/>
        </w:rPr>
        <w:t xml:space="preserve"> Rev</w:t>
      </w:r>
      <w:r w:rsidRPr="00737A81">
        <w:rPr>
          <w:rFonts w:cs="Arial"/>
        </w:rPr>
        <w:t>, vol. 17, no. 2, pp. 147–177, Jun. 2005.</w:t>
      </w:r>
    </w:p>
    <w:p w:rsidR="00737A81" w:rsidRPr="00737A81" w:rsidRDefault="00737A81" w:rsidP="00737A81">
      <w:pPr>
        <w:pStyle w:val="Bibliography"/>
        <w:rPr>
          <w:rFonts w:cs="Arial"/>
        </w:rPr>
      </w:pPr>
      <w:r w:rsidRPr="00737A81">
        <w:rPr>
          <w:rFonts w:cs="Arial"/>
        </w:rPr>
        <w:t>[33]</w:t>
      </w:r>
      <w:r w:rsidRPr="00737A81">
        <w:rPr>
          <w:rFonts w:cs="Arial"/>
        </w:rPr>
        <w:tab/>
        <w:t xml:space="preserve">B. S. Bloom, M. D. </w:t>
      </w:r>
      <w:proofErr w:type="spellStart"/>
      <w:r w:rsidRPr="00737A81">
        <w:rPr>
          <w:rFonts w:cs="Arial"/>
        </w:rPr>
        <w:t>Engelhart</w:t>
      </w:r>
      <w:proofErr w:type="spellEnd"/>
      <w:r w:rsidRPr="00737A81">
        <w:rPr>
          <w:rFonts w:cs="Arial"/>
        </w:rPr>
        <w:t xml:space="preserve">, E. J. </w:t>
      </w:r>
      <w:proofErr w:type="spellStart"/>
      <w:r w:rsidRPr="00737A81">
        <w:rPr>
          <w:rFonts w:cs="Arial"/>
        </w:rPr>
        <w:t>Furst</w:t>
      </w:r>
      <w:proofErr w:type="spellEnd"/>
      <w:r w:rsidRPr="00737A81">
        <w:rPr>
          <w:rFonts w:cs="Arial"/>
        </w:rPr>
        <w:t xml:space="preserve">, W. H. Hill, and D. R. </w:t>
      </w:r>
      <w:proofErr w:type="spellStart"/>
      <w:r w:rsidRPr="00737A81">
        <w:rPr>
          <w:rFonts w:cs="Arial"/>
        </w:rPr>
        <w:t>Krathwohl</w:t>
      </w:r>
      <w:proofErr w:type="spellEnd"/>
      <w:r w:rsidRPr="00737A81">
        <w:rPr>
          <w:rFonts w:cs="Arial"/>
        </w:rPr>
        <w:t xml:space="preserve">, </w:t>
      </w:r>
      <w:r w:rsidRPr="00737A81">
        <w:rPr>
          <w:rFonts w:cs="Arial"/>
          <w:i/>
          <w:iCs/>
        </w:rPr>
        <w:t>Taxonomy of educational objectives: the classification of educational goals</w:t>
      </w:r>
      <w:r w:rsidRPr="00737A81">
        <w:rPr>
          <w:rFonts w:cs="Arial"/>
        </w:rPr>
        <w:t>. D. McKay, 1956.</w:t>
      </w:r>
    </w:p>
    <w:p w:rsidR="00737A81" w:rsidRPr="00737A81" w:rsidRDefault="00737A81" w:rsidP="00737A81">
      <w:pPr>
        <w:pStyle w:val="Bibliography"/>
        <w:rPr>
          <w:rFonts w:cs="Arial"/>
        </w:rPr>
      </w:pPr>
      <w:r w:rsidRPr="00737A81">
        <w:rPr>
          <w:rFonts w:cs="Arial"/>
        </w:rPr>
        <w:t>[34]</w:t>
      </w:r>
      <w:r w:rsidRPr="00737A81">
        <w:rPr>
          <w:rFonts w:cs="Arial"/>
        </w:rPr>
        <w:tab/>
        <w:t xml:space="preserve">D. W. Johnson, R. T. Johnson, and E. J. </w:t>
      </w:r>
      <w:proofErr w:type="spellStart"/>
      <w:r w:rsidRPr="00737A81">
        <w:rPr>
          <w:rFonts w:cs="Arial"/>
        </w:rPr>
        <w:t>Holubec</w:t>
      </w:r>
      <w:proofErr w:type="spellEnd"/>
      <w:r w:rsidRPr="00737A81">
        <w:rPr>
          <w:rFonts w:cs="Arial"/>
        </w:rPr>
        <w:t xml:space="preserve">, </w:t>
      </w:r>
      <w:r w:rsidRPr="00737A81">
        <w:rPr>
          <w:rFonts w:cs="Arial"/>
          <w:i/>
          <w:iCs/>
        </w:rPr>
        <w:t>Cooperation in the Classroom</w:t>
      </w:r>
      <w:r w:rsidRPr="00737A81">
        <w:rPr>
          <w:rFonts w:cs="Arial"/>
        </w:rPr>
        <w:t>, Eighth edition. Edina, Minn.: Interaction Book Co., 2008.</w:t>
      </w:r>
    </w:p>
    <w:p w:rsidR="00737A81" w:rsidRPr="00737A81" w:rsidRDefault="00737A81" w:rsidP="00737A81">
      <w:pPr>
        <w:pStyle w:val="Bibliography"/>
        <w:rPr>
          <w:rFonts w:cs="Arial"/>
        </w:rPr>
      </w:pPr>
      <w:r w:rsidRPr="00737A81">
        <w:rPr>
          <w:rFonts w:cs="Arial"/>
        </w:rPr>
        <w:t>[35]</w:t>
      </w:r>
      <w:r w:rsidRPr="00737A81">
        <w:rPr>
          <w:rFonts w:cs="Arial"/>
        </w:rPr>
        <w:tab/>
        <w:t xml:space="preserve">E. Salas, J. L. Wildman, and R. F. Piccolo, “Using Simulation-Based Training to Enhance Management Education,” </w:t>
      </w:r>
      <w:r w:rsidRPr="00737A81">
        <w:rPr>
          <w:rFonts w:cs="Arial"/>
          <w:i/>
          <w:iCs/>
        </w:rPr>
        <w:t>ACAD MANAG LEARN EDU</w:t>
      </w:r>
      <w:r w:rsidRPr="00737A81">
        <w:rPr>
          <w:rFonts w:cs="Arial"/>
        </w:rPr>
        <w:t>, vol. 8, no. 4, pp. 559–573, Dec. 2009.</w:t>
      </w:r>
    </w:p>
    <w:p w:rsidR="00737A81" w:rsidRPr="00737A81" w:rsidRDefault="00737A81" w:rsidP="00737A81">
      <w:pPr>
        <w:pStyle w:val="Bibliography"/>
        <w:rPr>
          <w:rFonts w:cs="Arial"/>
        </w:rPr>
      </w:pPr>
      <w:r w:rsidRPr="00737A81">
        <w:rPr>
          <w:rFonts w:cs="Arial"/>
        </w:rPr>
        <w:t>[36]</w:t>
      </w:r>
      <w:r w:rsidRPr="00737A81">
        <w:rPr>
          <w:rFonts w:cs="Arial"/>
        </w:rPr>
        <w:tab/>
        <w:t xml:space="preserve">H. </w:t>
      </w:r>
      <w:proofErr w:type="spellStart"/>
      <w:r w:rsidRPr="00737A81">
        <w:rPr>
          <w:rFonts w:cs="Arial"/>
        </w:rPr>
        <w:t>Adobor</w:t>
      </w:r>
      <w:proofErr w:type="spellEnd"/>
      <w:r w:rsidRPr="00737A81">
        <w:rPr>
          <w:rFonts w:cs="Arial"/>
        </w:rPr>
        <w:t xml:space="preserve"> and A. </w:t>
      </w:r>
      <w:proofErr w:type="spellStart"/>
      <w:r w:rsidRPr="00737A81">
        <w:rPr>
          <w:rFonts w:cs="Arial"/>
        </w:rPr>
        <w:t>Daneshfar</w:t>
      </w:r>
      <w:proofErr w:type="spellEnd"/>
      <w:r w:rsidRPr="00737A81">
        <w:rPr>
          <w:rFonts w:cs="Arial"/>
        </w:rPr>
        <w:t xml:space="preserve">, “Management simulations: determining their effectiveness,” </w:t>
      </w:r>
      <w:r w:rsidRPr="00737A81">
        <w:rPr>
          <w:rFonts w:cs="Arial"/>
          <w:i/>
          <w:iCs/>
        </w:rPr>
        <w:t>The Journal of Management Development</w:t>
      </w:r>
      <w:r w:rsidRPr="00737A81">
        <w:rPr>
          <w:rFonts w:cs="Arial"/>
        </w:rPr>
        <w:t>, vol. 25, no. 2, pp. 151–168, 2006.</w:t>
      </w:r>
    </w:p>
    <w:p w:rsidR="00737A81" w:rsidRPr="00737A81" w:rsidRDefault="00737A81" w:rsidP="00737A81">
      <w:pPr>
        <w:pStyle w:val="Bibliography"/>
        <w:rPr>
          <w:rFonts w:cs="Arial"/>
        </w:rPr>
      </w:pPr>
      <w:proofErr w:type="gramStart"/>
      <w:r w:rsidRPr="00737A81">
        <w:rPr>
          <w:rFonts w:cs="Arial"/>
        </w:rPr>
        <w:t>[37]</w:t>
      </w:r>
      <w:r w:rsidRPr="00737A81">
        <w:rPr>
          <w:rFonts w:cs="Arial"/>
        </w:rPr>
        <w:tab/>
        <w:t xml:space="preserve">H. Browning, “7 Ways to Build Accountable Organizations,” </w:t>
      </w:r>
      <w:r w:rsidRPr="00737A81">
        <w:rPr>
          <w:rFonts w:cs="Arial"/>
          <w:i/>
          <w:iCs/>
        </w:rPr>
        <w:t>Forbes</w:t>
      </w:r>
      <w:r w:rsidRPr="00737A81">
        <w:rPr>
          <w:rFonts w:cs="Arial"/>
        </w:rPr>
        <w:t>.</w:t>
      </w:r>
      <w:proofErr w:type="gramEnd"/>
      <w:r w:rsidRPr="00737A81">
        <w:rPr>
          <w:rFonts w:cs="Arial"/>
        </w:rPr>
        <w:t xml:space="preserve"> </w:t>
      </w:r>
      <w:proofErr w:type="gramStart"/>
      <w:r w:rsidRPr="00737A81">
        <w:rPr>
          <w:rFonts w:cs="Arial"/>
        </w:rPr>
        <w:t>[Online].</w:t>
      </w:r>
      <w:proofErr w:type="gramEnd"/>
      <w:r w:rsidRPr="00737A81">
        <w:rPr>
          <w:rFonts w:cs="Arial"/>
        </w:rPr>
        <w:t xml:space="preserve"> Available: http://www.forbes.com/sites/ccl/2012/02/28/7-ways-to-build-accountable-organizations/. </w:t>
      </w:r>
      <w:proofErr w:type="gramStart"/>
      <w:r w:rsidRPr="00737A81">
        <w:rPr>
          <w:rFonts w:cs="Arial"/>
        </w:rPr>
        <w:t>[Accessed: 22-Jan-2015].</w:t>
      </w:r>
      <w:proofErr w:type="gramEnd"/>
    </w:p>
    <w:p w:rsidR="00737A81" w:rsidRPr="00737A81" w:rsidRDefault="00737A81" w:rsidP="00737A81">
      <w:pPr>
        <w:pStyle w:val="Bibliography"/>
        <w:rPr>
          <w:rFonts w:cs="Arial"/>
        </w:rPr>
      </w:pPr>
      <w:r w:rsidRPr="00737A81">
        <w:rPr>
          <w:rFonts w:cs="Arial"/>
        </w:rPr>
        <w:t>[38]</w:t>
      </w:r>
      <w:r w:rsidRPr="00737A81">
        <w:rPr>
          <w:rFonts w:cs="Arial"/>
        </w:rPr>
        <w:tab/>
        <w:t>A. Lye, “Threshold Concept: Reflections on Education in Marketing,” presented at the ANZMAC 2006 Conference, 2006.</w:t>
      </w:r>
    </w:p>
    <w:p w:rsidR="00737A81" w:rsidRPr="00737A81" w:rsidRDefault="00737A81" w:rsidP="00737A81">
      <w:pPr>
        <w:pStyle w:val="Bibliography"/>
        <w:rPr>
          <w:rFonts w:cs="Arial"/>
        </w:rPr>
      </w:pPr>
      <w:r w:rsidRPr="00737A81">
        <w:rPr>
          <w:rFonts w:cs="Arial"/>
        </w:rPr>
        <w:lastRenderedPageBreak/>
        <w:t>[39]</w:t>
      </w:r>
      <w:r w:rsidRPr="00737A81">
        <w:rPr>
          <w:rFonts w:cs="Arial"/>
        </w:rPr>
        <w:tab/>
        <w:t xml:space="preserve">J. H. F. Meyer and R. Land, “Threshold Concepts and Troublesome Knowledge: an Introduction,” in </w:t>
      </w:r>
      <w:r w:rsidRPr="00737A81">
        <w:rPr>
          <w:rFonts w:cs="Arial"/>
          <w:i/>
          <w:iCs/>
        </w:rPr>
        <w:t>Overcoming Barriers to Student Understanding: Threshold concepts and troublesome knowledge</w:t>
      </w:r>
      <w:r w:rsidRPr="00737A81">
        <w:rPr>
          <w:rFonts w:cs="Arial"/>
        </w:rPr>
        <w:t>, J. H. F. Meyer and R. Land, Eds. Abingdon, Oxon: Routledge, 2006, pp. 3–19.</w:t>
      </w:r>
    </w:p>
    <w:p w:rsidR="00737A81" w:rsidRPr="00737A81" w:rsidRDefault="00737A81" w:rsidP="00737A81">
      <w:pPr>
        <w:pStyle w:val="Bibliography"/>
        <w:rPr>
          <w:rFonts w:cs="Arial"/>
        </w:rPr>
      </w:pPr>
      <w:r w:rsidRPr="00737A81">
        <w:rPr>
          <w:rFonts w:cs="Arial"/>
        </w:rPr>
        <w:t>[40]</w:t>
      </w:r>
      <w:r w:rsidRPr="00737A81">
        <w:rPr>
          <w:rFonts w:cs="Arial"/>
        </w:rPr>
        <w:tab/>
        <w:t xml:space="preserve">R. Land, J. H. F. Meyer, and J. Smith, </w:t>
      </w:r>
      <w:r w:rsidRPr="00737A81">
        <w:rPr>
          <w:rFonts w:cs="Arial"/>
          <w:i/>
          <w:iCs/>
        </w:rPr>
        <w:t>Threshold Concepts within the Disciplines</w:t>
      </w:r>
      <w:r w:rsidRPr="00737A81">
        <w:rPr>
          <w:rFonts w:cs="Arial"/>
        </w:rPr>
        <w:t>. Rotterdam and Taipei: Sense Publishers, 2008.</w:t>
      </w:r>
    </w:p>
    <w:p w:rsidR="003B4E83" w:rsidRPr="00DF1746" w:rsidRDefault="003B4E83" w:rsidP="00DF1746">
      <w:pPr>
        <w:spacing w:before="360" w:after="60"/>
        <w:rPr>
          <w:b/>
          <w:sz w:val="24"/>
        </w:rPr>
      </w:pPr>
      <w:r>
        <w:rPr>
          <w:b/>
          <w:sz w:val="24"/>
        </w:rPr>
        <w:fldChar w:fldCharType="end"/>
      </w:r>
    </w:p>
    <w:sectPr w:rsidR="003B4E83" w:rsidRPr="00DF1746">
      <w:pgSz w:w="11906" w:h="16838" w:code="9"/>
      <w:pgMar w:top="1418" w:right="1418" w:bottom="1418"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DFCE1D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930230A0"/>
    <w:lvl w:ilvl="0">
      <w:start w:val="1"/>
      <w:numFmt w:val="decimal"/>
      <w:lvlText w:val="%1."/>
      <w:lvlJc w:val="left"/>
      <w:pPr>
        <w:tabs>
          <w:tab w:val="num" w:pos="1492"/>
        </w:tabs>
        <w:ind w:left="1492" w:hanging="360"/>
      </w:pPr>
    </w:lvl>
  </w:abstractNum>
  <w:abstractNum w:abstractNumId="2">
    <w:nsid w:val="FFFFFF7D"/>
    <w:multiLevelType w:val="singleLevel"/>
    <w:tmpl w:val="7D48CE36"/>
    <w:lvl w:ilvl="0">
      <w:start w:val="1"/>
      <w:numFmt w:val="decimal"/>
      <w:lvlText w:val="%1."/>
      <w:lvlJc w:val="left"/>
      <w:pPr>
        <w:tabs>
          <w:tab w:val="num" w:pos="1209"/>
        </w:tabs>
        <w:ind w:left="1209" w:hanging="360"/>
      </w:pPr>
    </w:lvl>
  </w:abstractNum>
  <w:abstractNum w:abstractNumId="3">
    <w:nsid w:val="FFFFFF7E"/>
    <w:multiLevelType w:val="singleLevel"/>
    <w:tmpl w:val="559A8C78"/>
    <w:lvl w:ilvl="0">
      <w:start w:val="1"/>
      <w:numFmt w:val="decimal"/>
      <w:lvlText w:val="%1."/>
      <w:lvlJc w:val="left"/>
      <w:pPr>
        <w:tabs>
          <w:tab w:val="num" w:pos="926"/>
        </w:tabs>
        <w:ind w:left="926" w:hanging="360"/>
      </w:pPr>
    </w:lvl>
  </w:abstractNum>
  <w:abstractNum w:abstractNumId="4">
    <w:nsid w:val="FFFFFF7F"/>
    <w:multiLevelType w:val="singleLevel"/>
    <w:tmpl w:val="5212D3AE"/>
    <w:lvl w:ilvl="0">
      <w:start w:val="1"/>
      <w:numFmt w:val="decimal"/>
      <w:lvlText w:val="%1."/>
      <w:lvlJc w:val="left"/>
      <w:pPr>
        <w:tabs>
          <w:tab w:val="num" w:pos="643"/>
        </w:tabs>
        <w:ind w:left="643" w:hanging="360"/>
      </w:pPr>
    </w:lvl>
  </w:abstractNum>
  <w:abstractNum w:abstractNumId="5">
    <w:nsid w:val="FFFFFF80"/>
    <w:multiLevelType w:val="singleLevel"/>
    <w:tmpl w:val="83A847AA"/>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E026A80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0B4228F0"/>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834C7B8E"/>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DD40334"/>
    <w:lvl w:ilvl="0">
      <w:start w:val="1"/>
      <w:numFmt w:val="decimal"/>
      <w:lvlText w:val="%1."/>
      <w:lvlJc w:val="left"/>
      <w:pPr>
        <w:tabs>
          <w:tab w:val="num" w:pos="360"/>
        </w:tabs>
        <w:ind w:left="360" w:hanging="360"/>
      </w:pPr>
    </w:lvl>
  </w:abstractNum>
  <w:abstractNum w:abstractNumId="10">
    <w:nsid w:val="FFFFFF89"/>
    <w:multiLevelType w:val="singleLevel"/>
    <w:tmpl w:val="C40A6D1E"/>
    <w:lvl w:ilvl="0">
      <w:start w:val="1"/>
      <w:numFmt w:val="bullet"/>
      <w:lvlText w:val=""/>
      <w:lvlJc w:val="left"/>
      <w:pPr>
        <w:tabs>
          <w:tab w:val="num" w:pos="360"/>
        </w:tabs>
        <w:ind w:left="360" w:hanging="360"/>
      </w:pPr>
      <w:rPr>
        <w:rFonts w:ascii="Symbol" w:hAnsi="Symbol" w:hint="default"/>
      </w:rPr>
    </w:lvl>
  </w:abstractNum>
  <w:abstractNum w:abstractNumId="11">
    <w:nsid w:val="00515694"/>
    <w:multiLevelType w:val="multilevel"/>
    <w:tmpl w:val="B36A799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04E621A7"/>
    <w:multiLevelType w:val="multilevel"/>
    <w:tmpl w:val="9BEAEA0A"/>
    <w:lvl w:ilvl="0">
      <w:start w:val="1"/>
      <w:numFmt w:val="none"/>
      <w:suff w:val="space"/>
      <w:lvlText w:val="Keywords - "/>
      <w:lvlJc w:val="left"/>
      <w:pPr>
        <w:ind w:left="0" w:firstLine="567"/>
      </w:pPr>
      <w:rPr>
        <w:rFonts w:ascii="Arial" w:hAnsi="Arial" w:hint="default"/>
        <w:b/>
        <w:i/>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0973255A"/>
    <w:multiLevelType w:val="multilevel"/>
    <w:tmpl w:val="88EEAB6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0F73588A"/>
    <w:multiLevelType w:val="hybridMultilevel"/>
    <w:tmpl w:val="D41CD24A"/>
    <w:lvl w:ilvl="0" w:tplc="C088DD10">
      <w:start w:val="1"/>
      <w:numFmt w:val="decimal"/>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03F6DB4"/>
    <w:multiLevelType w:val="multilevel"/>
    <w:tmpl w:val="55C6EB36"/>
    <w:lvl w:ilvl="0">
      <w:start w:val="1"/>
      <w:numFmt w:val="none"/>
      <w:suff w:val="space"/>
      <w:lvlText w:val="Keywords - "/>
      <w:lvlJc w:val="left"/>
      <w:pPr>
        <w:ind w:left="0" w:firstLine="340"/>
      </w:pPr>
      <w:rPr>
        <w:rFonts w:ascii="Arial" w:hAnsi="Arial" w:hint="default"/>
        <w:b/>
        <w:i/>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nsid w:val="1715341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5197BA8"/>
    <w:multiLevelType w:val="multilevel"/>
    <w:tmpl w:val="3104B88E"/>
    <w:lvl w:ilvl="0">
      <w:start w:val="1"/>
      <w:numFmt w:val="none"/>
      <w:suff w:val="space"/>
      <w:lvlText w:val="Abstracts - "/>
      <w:lvlJc w:val="left"/>
      <w:pPr>
        <w:ind w:left="0" w:firstLine="0"/>
      </w:pPr>
      <w:rPr>
        <w:rFonts w:ascii="Arial" w:hAnsi="Arial" w:hint="default"/>
        <w:b/>
        <w:i w:val="0"/>
        <w:sz w:val="22"/>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2762267A"/>
    <w:multiLevelType w:val="multilevel"/>
    <w:tmpl w:val="89506A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288128C4"/>
    <w:multiLevelType w:val="multilevel"/>
    <w:tmpl w:val="5C5CCD1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305A3A1D"/>
    <w:multiLevelType w:val="hybridMultilevel"/>
    <w:tmpl w:val="A59CE6D8"/>
    <w:lvl w:ilvl="0" w:tplc="6C103D60">
      <w:start w:val="1"/>
      <w:numFmt w:val="decimal"/>
      <w:pStyle w:val="IATED-References"/>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BE4551C"/>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3420A79"/>
    <w:multiLevelType w:val="hybridMultilevel"/>
    <w:tmpl w:val="0CCC67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nsid w:val="47EA2D20"/>
    <w:multiLevelType w:val="multilevel"/>
    <w:tmpl w:val="7A4A061E"/>
    <w:lvl w:ilvl="0">
      <w:start w:val="1"/>
      <w:numFmt w:val="none"/>
      <w:suff w:val="space"/>
      <w:lvlText w:val="Keywords - "/>
      <w:lvlJc w:val="left"/>
      <w:pPr>
        <w:ind w:left="567" w:firstLine="0"/>
      </w:pPr>
      <w:rPr>
        <w:rFonts w:ascii="Arial" w:hAnsi="Arial" w:hint="default"/>
        <w:b/>
        <w:i/>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49841C1C"/>
    <w:multiLevelType w:val="hybridMultilevel"/>
    <w:tmpl w:val="42D4254C"/>
    <w:lvl w:ilvl="0" w:tplc="43381630">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22178B8"/>
    <w:multiLevelType w:val="multilevel"/>
    <w:tmpl w:val="71A2BCCA"/>
    <w:lvl w:ilvl="0">
      <w:start w:val="1"/>
      <w:numFmt w:val="none"/>
      <w:suff w:val="space"/>
      <w:lvlText w:val="Abstracts - "/>
      <w:lvlJc w:val="left"/>
      <w:pPr>
        <w:ind w:left="0" w:firstLine="0"/>
      </w:pPr>
      <w:rPr>
        <w:rFonts w:ascii="Arial" w:hAnsi="Arial" w:hint="default"/>
        <w:b/>
        <w:i w:val="0"/>
        <w:sz w:val="22"/>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590E345F"/>
    <w:multiLevelType w:val="hybridMultilevel"/>
    <w:tmpl w:val="D41CD24A"/>
    <w:lvl w:ilvl="0" w:tplc="4542615E">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3E47E8A"/>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5902524"/>
    <w:multiLevelType w:val="multilevel"/>
    <w:tmpl w:val="402A187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nsid w:val="675C7D47"/>
    <w:multiLevelType w:val="multilevel"/>
    <w:tmpl w:val="88EEAB6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nsid w:val="677E18D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39F7C15"/>
    <w:multiLevelType w:val="hybridMultilevel"/>
    <w:tmpl w:val="0F6AA0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7F960400"/>
    <w:multiLevelType w:val="multilevel"/>
    <w:tmpl w:val="9C0E516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28"/>
  </w:num>
  <w:num w:numId="2">
    <w:abstractNumId w:val="24"/>
  </w:num>
  <w:num w:numId="3">
    <w:abstractNumId w:val="26"/>
  </w:num>
  <w:num w:numId="4">
    <w:abstractNumId w:val="14"/>
  </w:num>
  <w:num w:numId="5">
    <w:abstractNumId w:val="20"/>
  </w:num>
  <w:num w:numId="6">
    <w:abstractNumId w:val="19"/>
  </w:num>
  <w:num w:numId="7">
    <w:abstractNumId w:val="15"/>
  </w:num>
  <w:num w:numId="8">
    <w:abstractNumId w:val="21"/>
  </w:num>
  <w:num w:numId="9">
    <w:abstractNumId w:val="27"/>
  </w:num>
  <w:num w:numId="10">
    <w:abstractNumId w:val="25"/>
  </w:num>
  <w:num w:numId="11">
    <w:abstractNumId w:val="16"/>
  </w:num>
  <w:num w:numId="12">
    <w:abstractNumId w:val="23"/>
  </w:num>
  <w:num w:numId="13">
    <w:abstractNumId w:val="12"/>
  </w:num>
  <w:num w:numId="14">
    <w:abstractNumId w:val="17"/>
  </w:num>
  <w:num w:numId="15">
    <w:abstractNumId w:val="11"/>
  </w:num>
  <w:num w:numId="16">
    <w:abstractNumId w:val="18"/>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9"/>
  </w:num>
  <w:num w:numId="20">
    <w:abstractNumId w:val="32"/>
  </w:num>
  <w:num w:numId="21">
    <w:abstractNumId w:val="30"/>
  </w:num>
  <w:num w:numId="22">
    <w:abstractNumId w:val="9"/>
  </w:num>
  <w:num w:numId="23">
    <w:abstractNumId w:val="4"/>
  </w:num>
  <w:num w:numId="24">
    <w:abstractNumId w:val="3"/>
  </w:num>
  <w:num w:numId="25">
    <w:abstractNumId w:val="2"/>
  </w:num>
  <w:num w:numId="26">
    <w:abstractNumId w:val="7"/>
  </w:num>
  <w:num w:numId="27">
    <w:abstractNumId w:val="6"/>
  </w:num>
  <w:num w:numId="28">
    <w:abstractNumId w:val="5"/>
  </w:num>
  <w:num w:numId="29">
    <w:abstractNumId w:val="0"/>
  </w:num>
  <w:num w:numId="30">
    <w:abstractNumId w:val="1"/>
  </w:num>
  <w:num w:numId="31">
    <w:abstractNumId w:val="10"/>
  </w:num>
  <w:num w:numId="32">
    <w:abstractNumId w:val="8"/>
  </w:num>
  <w:num w:numId="33">
    <w:abstractNumId w:val="22"/>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removePersonalInformation/>
  <w:removeDateAndTime/>
  <w:embedSystemFonts/>
  <w:proofState w:spelling="clean" w:grammar="clean"/>
  <w:stylePaneSortMethod w:val="000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8BC"/>
    <w:rsid w:val="00006C05"/>
    <w:rsid w:val="00040B5A"/>
    <w:rsid w:val="00042F07"/>
    <w:rsid w:val="00046D6E"/>
    <w:rsid w:val="000473F5"/>
    <w:rsid w:val="00063C8C"/>
    <w:rsid w:val="000769AF"/>
    <w:rsid w:val="000F572A"/>
    <w:rsid w:val="00114BC7"/>
    <w:rsid w:val="00117BB0"/>
    <w:rsid w:val="00182A53"/>
    <w:rsid w:val="001B0772"/>
    <w:rsid w:val="001C50E1"/>
    <w:rsid w:val="001D34FF"/>
    <w:rsid w:val="001E6684"/>
    <w:rsid w:val="002D5B8C"/>
    <w:rsid w:val="002E1DCB"/>
    <w:rsid w:val="003912D1"/>
    <w:rsid w:val="00397D79"/>
    <w:rsid w:val="003B4E83"/>
    <w:rsid w:val="003B7819"/>
    <w:rsid w:val="003B7C0B"/>
    <w:rsid w:val="003C6EA5"/>
    <w:rsid w:val="0045328B"/>
    <w:rsid w:val="004845CD"/>
    <w:rsid w:val="005132FA"/>
    <w:rsid w:val="005157B1"/>
    <w:rsid w:val="0057436E"/>
    <w:rsid w:val="00576025"/>
    <w:rsid w:val="005E1742"/>
    <w:rsid w:val="005F18B6"/>
    <w:rsid w:val="00600630"/>
    <w:rsid w:val="0061080D"/>
    <w:rsid w:val="00627BA0"/>
    <w:rsid w:val="006377FB"/>
    <w:rsid w:val="00641792"/>
    <w:rsid w:val="00644ED2"/>
    <w:rsid w:val="0067625B"/>
    <w:rsid w:val="006A111C"/>
    <w:rsid w:val="00715DF4"/>
    <w:rsid w:val="00737A81"/>
    <w:rsid w:val="00774377"/>
    <w:rsid w:val="007757F3"/>
    <w:rsid w:val="0077762A"/>
    <w:rsid w:val="0078558F"/>
    <w:rsid w:val="007870C4"/>
    <w:rsid w:val="00790AEC"/>
    <w:rsid w:val="007A750B"/>
    <w:rsid w:val="007B2ABD"/>
    <w:rsid w:val="007B68E0"/>
    <w:rsid w:val="007C72B8"/>
    <w:rsid w:val="007D0341"/>
    <w:rsid w:val="008018BC"/>
    <w:rsid w:val="00844D3A"/>
    <w:rsid w:val="008764E5"/>
    <w:rsid w:val="008B5AF6"/>
    <w:rsid w:val="0092361B"/>
    <w:rsid w:val="009554B0"/>
    <w:rsid w:val="009572FC"/>
    <w:rsid w:val="00962818"/>
    <w:rsid w:val="0098306E"/>
    <w:rsid w:val="009950A7"/>
    <w:rsid w:val="00A13F83"/>
    <w:rsid w:val="00A578C9"/>
    <w:rsid w:val="00A66B9A"/>
    <w:rsid w:val="00A837AD"/>
    <w:rsid w:val="00A86817"/>
    <w:rsid w:val="00A94D6A"/>
    <w:rsid w:val="00AA5FDD"/>
    <w:rsid w:val="00AF06B9"/>
    <w:rsid w:val="00B22640"/>
    <w:rsid w:val="00B3038E"/>
    <w:rsid w:val="00B368AB"/>
    <w:rsid w:val="00B55A17"/>
    <w:rsid w:val="00B80CA6"/>
    <w:rsid w:val="00BC110C"/>
    <w:rsid w:val="00C350BB"/>
    <w:rsid w:val="00C5404B"/>
    <w:rsid w:val="00CC019E"/>
    <w:rsid w:val="00CD463E"/>
    <w:rsid w:val="00CD5A8C"/>
    <w:rsid w:val="00D11012"/>
    <w:rsid w:val="00D2351C"/>
    <w:rsid w:val="00D374AB"/>
    <w:rsid w:val="00D57BC9"/>
    <w:rsid w:val="00DE37A5"/>
    <w:rsid w:val="00DF1746"/>
    <w:rsid w:val="00DF67C4"/>
    <w:rsid w:val="00E07776"/>
    <w:rsid w:val="00E134A7"/>
    <w:rsid w:val="00E2591A"/>
    <w:rsid w:val="00E35C13"/>
    <w:rsid w:val="00E41633"/>
    <w:rsid w:val="00E65189"/>
    <w:rsid w:val="00EB6FDC"/>
    <w:rsid w:val="00F14888"/>
    <w:rsid w:val="00F16A5E"/>
    <w:rsid w:val="00F60875"/>
    <w:rsid w:val="00F80F6E"/>
    <w:rsid w:val="00F9497B"/>
    <w:rsid w:val="00F95526"/>
    <w:rsid w:val="00F95D0B"/>
    <w:rsid w:val="00FA4736"/>
  </w:rsids>
  <m:mathPr>
    <m:mathFont m:val="Cambria Math"/>
    <m:brkBin m:val="before"/>
    <m:brkBinSub m:val="--"/>
    <m:smallFrac m:val="0"/>
    <m:dispDef m:val="0"/>
    <m:lMargin m:val="0"/>
    <m:rMargin m:val="0"/>
    <m:defJc m:val="centerGroup"/>
    <m:wrapRight/>
    <m:intLim m:val="subSup"/>
    <m:naryLim m:val="subSup"/>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aliases w:val="IATED-Text"/>
    <w:qFormat/>
    <w:rsid w:val="005E1742"/>
    <w:pPr>
      <w:spacing w:before="120" w:after="120"/>
      <w:jc w:val="both"/>
    </w:pPr>
    <w:rPr>
      <w:rFonts w:ascii="Arial" w:hAnsi="Arial"/>
      <w:szCs w:val="24"/>
      <w:lang w:val="en-US" w:eastAsia="es-ES"/>
    </w:rPr>
  </w:style>
  <w:style w:type="paragraph" w:styleId="Heading1">
    <w:name w:val="heading 1"/>
    <w:aliases w:val="IATED-Section"/>
    <w:next w:val="Normal"/>
    <w:link w:val="Heading1Char"/>
    <w:qFormat/>
    <w:rsid w:val="005E1742"/>
    <w:pPr>
      <w:keepNext/>
      <w:numPr>
        <w:numId w:val="15"/>
      </w:numPr>
      <w:spacing w:before="360" w:after="60"/>
      <w:outlineLvl w:val="0"/>
    </w:pPr>
    <w:rPr>
      <w:rFonts w:ascii="Arial" w:hAnsi="Arial"/>
      <w:b/>
      <w:bCs/>
      <w:caps/>
      <w:kern w:val="32"/>
      <w:sz w:val="24"/>
      <w:szCs w:val="32"/>
      <w:lang w:val="en-US" w:eastAsia="es-ES"/>
    </w:rPr>
  </w:style>
  <w:style w:type="paragraph" w:styleId="Heading2">
    <w:name w:val="heading 2"/>
    <w:aliases w:val="IATED-Subsection"/>
    <w:next w:val="Normal"/>
    <w:link w:val="Heading2Char"/>
    <w:qFormat/>
    <w:rsid w:val="005E1742"/>
    <w:pPr>
      <w:keepNext/>
      <w:numPr>
        <w:ilvl w:val="1"/>
        <w:numId w:val="15"/>
      </w:numPr>
      <w:spacing w:before="240" w:after="60"/>
      <w:outlineLvl w:val="1"/>
    </w:pPr>
    <w:rPr>
      <w:rFonts w:ascii="Arial" w:hAnsi="Arial"/>
      <w:b/>
      <w:bCs/>
      <w:iCs/>
      <w:sz w:val="24"/>
      <w:szCs w:val="28"/>
      <w:lang w:val="en-US" w:eastAsia="es-ES"/>
    </w:rPr>
  </w:style>
  <w:style w:type="paragraph" w:styleId="Heading3">
    <w:name w:val="heading 3"/>
    <w:aliases w:val="IATED-Subsubsection"/>
    <w:basedOn w:val="Normal"/>
    <w:next w:val="Normal"/>
    <w:link w:val="Heading3Char"/>
    <w:qFormat/>
    <w:rsid w:val="005E1742"/>
    <w:pPr>
      <w:keepNext/>
      <w:numPr>
        <w:ilvl w:val="2"/>
        <w:numId w:val="15"/>
      </w:numPr>
      <w:spacing w:before="180" w:after="60"/>
      <w:outlineLvl w:val="2"/>
    </w:pPr>
    <w:rPr>
      <w:bCs/>
      <w:i/>
      <w:sz w:val="22"/>
      <w:szCs w:val="26"/>
    </w:rPr>
  </w:style>
  <w:style w:type="paragraph" w:styleId="Heading4">
    <w:name w:val="heading 4"/>
    <w:basedOn w:val="Normal"/>
    <w:next w:val="Normal"/>
    <w:link w:val="Heading4Char"/>
    <w:qFormat/>
    <w:rsid w:val="00996EF6"/>
    <w:pPr>
      <w:keepNext/>
      <w:numPr>
        <w:ilvl w:val="3"/>
        <w:numId w:val="15"/>
      </w:numPr>
      <w:spacing w:before="240" w:after="60"/>
      <w:outlineLvl w:val="3"/>
    </w:pPr>
    <w:rPr>
      <w:rFonts w:ascii="Cambria" w:hAnsi="Cambria"/>
      <w:b/>
      <w:bCs/>
      <w:sz w:val="28"/>
      <w:szCs w:val="28"/>
    </w:rPr>
  </w:style>
  <w:style w:type="paragraph" w:styleId="Heading5">
    <w:name w:val="heading 5"/>
    <w:basedOn w:val="Normal"/>
    <w:next w:val="Normal"/>
    <w:link w:val="Heading5Char"/>
    <w:qFormat/>
    <w:rsid w:val="00996EF6"/>
    <w:pPr>
      <w:numPr>
        <w:ilvl w:val="4"/>
        <w:numId w:val="15"/>
      </w:numPr>
      <w:spacing w:before="240" w:after="60"/>
      <w:outlineLvl w:val="4"/>
    </w:pPr>
    <w:rPr>
      <w:rFonts w:ascii="Cambria" w:hAnsi="Cambria"/>
      <w:b/>
      <w:bCs/>
      <w:i/>
      <w:iCs/>
      <w:sz w:val="26"/>
      <w:szCs w:val="26"/>
    </w:rPr>
  </w:style>
  <w:style w:type="paragraph" w:styleId="Heading6">
    <w:name w:val="heading 6"/>
    <w:basedOn w:val="Normal"/>
    <w:next w:val="Normal"/>
    <w:link w:val="Heading6Char"/>
    <w:qFormat/>
    <w:rsid w:val="00996EF6"/>
    <w:pPr>
      <w:numPr>
        <w:ilvl w:val="5"/>
        <w:numId w:val="15"/>
      </w:numPr>
      <w:spacing w:before="240" w:after="60"/>
      <w:outlineLvl w:val="5"/>
    </w:pPr>
    <w:rPr>
      <w:rFonts w:ascii="Cambria" w:hAnsi="Cambria"/>
      <w:b/>
      <w:bCs/>
      <w:sz w:val="22"/>
      <w:szCs w:val="22"/>
    </w:rPr>
  </w:style>
  <w:style w:type="paragraph" w:styleId="Heading7">
    <w:name w:val="heading 7"/>
    <w:basedOn w:val="Normal"/>
    <w:next w:val="Normal"/>
    <w:link w:val="Heading7Char"/>
    <w:qFormat/>
    <w:rsid w:val="00996EF6"/>
    <w:pPr>
      <w:numPr>
        <w:ilvl w:val="6"/>
        <w:numId w:val="15"/>
      </w:numPr>
      <w:spacing w:before="240" w:after="60"/>
      <w:outlineLvl w:val="6"/>
    </w:pPr>
    <w:rPr>
      <w:rFonts w:ascii="Cambria" w:hAnsi="Cambria"/>
    </w:rPr>
  </w:style>
  <w:style w:type="paragraph" w:styleId="Heading8">
    <w:name w:val="heading 8"/>
    <w:basedOn w:val="Normal"/>
    <w:next w:val="Normal"/>
    <w:link w:val="Heading8Char"/>
    <w:qFormat/>
    <w:rsid w:val="00996EF6"/>
    <w:pPr>
      <w:numPr>
        <w:ilvl w:val="7"/>
        <w:numId w:val="15"/>
      </w:numPr>
      <w:spacing w:before="240" w:after="60"/>
      <w:outlineLvl w:val="7"/>
    </w:pPr>
    <w:rPr>
      <w:rFonts w:ascii="Cambria" w:hAnsi="Cambria"/>
      <w:i/>
      <w:iCs/>
    </w:rPr>
  </w:style>
  <w:style w:type="paragraph" w:styleId="Heading9">
    <w:name w:val="heading 9"/>
    <w:basedOn w:val="Normal"/>
    <w:next w:val="Normal"/>
    <w:link w:val="Heading9Char"/>
    <w:qFormat/>
    <w:rsid w:val="00996EF6"/>
    <w:pPr>
      <w:numPr>
        <w:ilvl w:val="8"/>
        <w:numId w:val="15"/>
      </w:numPr>
      <w:spacing w:before="240" w:after="60"/>
      <w:outlineLvl w:val="8"/>
    </w:pPr>
    <w:rPr>
      <w:rFonts w:ascii="Calibri" w:hAnsi="Calibr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ATED-Title"/>
    <w:basedOn w:val="Normal"/>
    <w:qFormat/>
    <w:rsid w:val="00D57BC9"/>
    <w:pPr>
      <w:spacing w:before="480"/>
      <w:jc w:val="center"/>
    </w:pPr>
    <w:rPr>
      <w:b/>
      <w:bCs/>
      <w:sz w:val="24"/>
    </w:rPr>
  </w:style>
  <w:style w:type="paragraph" w:customStyle="1" w:styleId="IATED-PaperTitle">
    <w:name w:val="IATED-Paper Title"/>
    <w:next w:val="IATED-Authors"/>
    <w:qFormat/>
    <w:rsid w:val="005E1742"/>
    <w:pPr>
      <w:spacing w:before="240" w:after="240"/>
      <w:jc w:val="center"/>
    </w:pPr>
    <w:rPr>
      <w:rFonts w:ascii="Arial" w:hAnsi="Arial" w:cs="Arial"/>
      <w:b/>
      <w:bCs/>
      <w:caps/>
      <w:sz w:val="28"/>
      <w:szCs w:val="24"/>
      <w:lang w:val="en-US" w:eastAsia="es-ES"/>
    </w:rPr>
  </w:style>
  <w:style w:type="paragraph" w:customStyle="1" w:styleId="IATED-Authors">
    <w:name w:val="IATED-Authors"/>
    <w:next w:val="IATED-Affiliation"/>
    <w:qFormat/>
    <w:rsid w:val="005E1742"/>
    <w:pPr>
      <w:spacing w:after="120"/>
      <w:jc w:val="center"/>
    </w:pPr>
    <w:rPr>
      <w:rFonts w:ascii="Arial" w:hAnsi="Arial" w:cs="Arial"/>
      <w:b/>
      <w:bCs/>
      <w:sz w:val="24"/>
      <w:szCs w:val="24"/>
      <w:lang w:val="en-US" w:eastAsia="es-ES"/>
    </w:rPr>
  </w:style>
  <w:style w:type="paragraph" w:customStyle="1" w:styleId="IATED-Affiliation">
    <w:name w:val="IATED-Affiliation"/>
    <w:qFormat/>
    <w:rsid w:val="005E1742"/>
    <w:pPr>
      <w:jc w:val="center"/>
    </w:pPr>
    <w:rPr>
      <w:rFonts w:ascii="Arial" w:hAnsi="Arial" w:cs="Arial"/>
      <w:i/>
      <w:sz w:val="22"/>
      <w:szCs w:val="24"/>
      <w:lang w:val="en-US" w:eastAsia="es-ES"/>
    </w:rPr>
  </w:style>
  <w:style w:type="paragraph" w:styleId="FootnoteText">
    <w:name w:val="footnote text"/>
    <w:basedOn w:val="Normal"/>
    <w:link w:val="FootnoteTextChar"/>
    <w:rsid w:val="005E1742"/>
    <w:rPr>
      <w:sz w:val="16"/>
    </w:rPr>
  </w:style>
  <w:style w:type="paragraph" w:customStyle="1" w:styleId="IATED-email">
    <w:name w:val="IATED-email"/>
    <w:qFormat/>
    <w:rsid w:val="005E1742"/>
    <w:pPr>
      <w:spacing w:after="480"/>
      <w:jc w:val="center"/>
    </w:pPr>
    <w:rPr>
      <w:rFonts w:ascii="Arial" w:hAnsi="Arial" w:cs="Arial"/>
      <w:i/>
      <w:iCs/>
      <w:sz w:val="22"/>
      <w:szCs w:val="24"/>
      <w:lang w:val="en-US" w:eastAsia="es-ES"/>
    </w:rPr>
  </w:style>
  <w:style w:type="paragraph" w:customStyle="1" w:styleId="IATED-References">
    <w:name w:val="IATED-References"/>
    <w:basedOn w:val="Title"/>
    <w:autoRedefine/>
    <w:qFormat/>
    <w:rsid w:val="005E1742"/>
    <w:pPr>
      <w:numPr>
        <w:numId w:val="5"/>
      </w:numPr>
      <w:tabs>
        <w:tab w:val="clear" w:pos="360"/>
        <w:tab w:val="left" w:pos="567"/>
      </w:tabs>
      <w:spacing w:before="120"/>
      <w:ind w:left="567" w:hanging="567"/>
      <w:jc w:val="left"/>
    </w:pPr>
    <w:rPr>
      <w:rFonts w:cs="Arial"/>
      <w:b w:val="0"/>
      <w:bCs w:val="0"/>
      <w:sz w:val="20"/>
    </w:rPr>
  </w:style>
  <w:style w:type="character" w:customStyle="1" w:styleId="FootnoteTextChar">
    <w:name w:val="Footnote Text Char"/>
    <w:link w:val="FootnoteText"/>
    <w:rsid w:val="005E1742"/>
    <w:rPr>
      <w:rFonts w:ascii="Arial" w:hAnsi="Arial"/>
      <w:sz w:val="16"/>
      <w:szCs w:val="24"/>
    </w:rPr>
  </w:style>
  <w:style w:type="character" w:customStyle="1" w:styleId="Heading2Char">
    <w:name w:val="Heading 2 Char"/>
    <w:aliases w:val="IATED-Subsection Char"/>
    <w:link w:val="Heading2"/>
    <w:rsid w:val="005E1742"/>
    <w:rPr>
      <w:rFonts w:ascii="Arial" w:hAnsi="Arial"/>
      <w:b/>
      <w:bCs/>
      <w:iCs/>
      <w:sz w:val="24"/>
      <w:szCs w:val="28"/>
    </w:rPr>
  </w:style>
  <w:style w:type="character" w:customStyle="1" w:styleId="Heading3Char">
    <w:name w:val="Heading 3 Char"/>
    <w:aliases w:val="IATED-Subsubsection Char"/>
    <w:link w:val="Heading3"/>
    <w:rsid w:val="005E1742"/>
    <w:rPr>
      <w:rFonts w:ascii="Arial" w:hAnsi="Arial"/>
      <w:bCs/>
      <w:i/>
      <w:sz w:val="22"/>
      <w:szCs w:val="26"/>
    </w:rPr>
  </w:style>
  <w:style w:type="character" w:customStyle="1" w:styleId="Heading4Char">
    <w:name w:val="Heading 4 Char"/>
    <w:link w:val="Heading4"/>
    <w:rsid w:val="00996EF6"/>
    <w:rPr>
      <w:rFonts w:ascii="Cambria" w:hAnsi="Cambria"/>
      <w:b/>
      <w:bCs/>
      <w:sz w:val="28"/>
      <w:szCs w:val="28"/>
      <w:lang w:val="es-ES" w:eastAsia="es-ES"/>
    </w:rPr>
  </w:style>
  <w:style w:type="character" w:customStyle="1" w:styleId="Heading5Char">
    <w:name w:val="Heading 5 Char"/>
    <w:link w:val="Heading5"/>
    <w:rsid w:val="00996EF6"/>
    <w:rPr>
      <w:rFonts w:ascii="Cambria" w:hAnsi="Cambria"/>
      <w:b/>
      <w:bCs/>
      <w:i/>
      <w:iCs/>
      <w:sz w:val="26"/>
      <w:szCs w:val="26"/>
      <w:lang w:val="es-ES" w:eastAsia="es-ES"/>
    </w:rPr>
  </w:style>
  <w:style w:type="character" w:customStyle="1" w:styleId="Heading6Char">
    <w:name w:val="Heading 6 Char"/>
    <w:link w:val="Heading6"/>
    <w:rsid w:val="00996EF6"/>
    <w:rPr>
      <w:rFonts w:ascii="Cambria" w:hAnsi="Cambria"/>
      <w:b/>
      <w:bCs/>
      <w:sz w:val="22"/>
      <w:szCs w:val="22"/>
      <w:lang w:val="es-ES" w:eastAsia="es-ES"/>
    </w:rPr>
  </w:style>
  <w:style w:type="character" w:customStyle="1" w:styleId="Heading7Char">
    <w:name w:val="Heading 7 Char"/>
    <w:link w:val="Heading7"/>
    <w:rsid w:val="00996EF6"/>
    <w:rPr>
      <w:rFonts w:ascii="Cambria" w:hAnsi="Cambria"/>
      <w:szCs w:val="24"/>
      <w:lang w:val="es-ES" w:eastAsia="es-ES"/>
    </w:rPr>
  </w:style>
  <w:style w:type="character" w:customStyle="1" w:styleId="Heading8Char">
    <w:name w:val="Heading 8 Char"/>
    <w:link w:val="Heading8"/>
    <w:rsid w:val="00996EF6"/>
    <w:rPr>
      <w:rFonts w:ascii="Cambria" w:hAnsi="Cambria"/>
      <w:i/>
      <w:iCs/>
      <w:szCs w:val="24"/>
      <w:lang w:val="es-ES" w:eastAsia="es-ES"/>
    </w:rPr>
  </w:style>
  <w:style w:type="character" w:customStyle="1" w:styleId="Heading9Char">
    <w:name w:val="Heading 9 Char"/>
    <w:link w:val="Heading9"/>
    <w:rsid w:val="00996EF6"/>
    <w:rPr>
      <w:rFonts w:ascii="Calibri" w:hAnsi="Calibri"/>
      <w:sz w:val="22"/>
      <w:szCs w:val="22"/>
      <w:lang w:val="es-ES" w:eastAsia="es-ES"/>
    </w:rPr>
  </w:style>
  <w:style w:type="character" w:customStyle="1" w:styleId="Heading1Char">
    <w:name w:val="Heading 1 Char"/>
    <w:aliases w:val="IATED-Section Char"/>
    <w:link w:val="Heading1"/>
    <w:rsid w:val="005E1742"/>
    <w:rPr>
      <w:rFonts w:ascii="Arial" w:hAnsi="Arial"/>
      <w:b/>
      <w:bCs/>
      <w:caps/>
      <w:kern w:val="32"/>
      <w:sz w:val="24"/>
      <w:szCs w:val="32"/>
    </w:rPr>
  </w:style>
  <w:style w:type="paragraph" w:styleId="DocumentMap">
    <w:name w:val="Document Map"/>
    <w:basedOn w:val="Normal"/>
    <w:link w:val="DocumentMapChar"/>
    <w:rsid w:val="001D548D"/>
    <w:rPr>
      <w:rFonts w:ascii="Lucida Grande" w:hAnsi="Lucida Grande"/>
      <w:sz w:val="24"/>
    </w:rPr>
  </w:style>
  <w:style w:type="character" w:customStyle="1" w:styleId="DocumentMapChar">
    <w:name w:val="Document Map Char"/>
    <w:link w:val="DocumentMap"/>
    <w:rsid w:val="001D548D"/>
    <w:rPr>
      <w:rFonts w:ascii="Lucida Grande" w:hAnsi="Lucida Grande"/>
      <w:sz w:val="24"/>
      <w:szCs w:val="24"/>
      <w:lang w:val="es-ES" w:eastAsia="es-ES"/>
    </w:rPr>
  </w:style>
  <w:style w:type="character" w:styleId="FootnoteReference">
    <w:name w:val="footnote reference"/>
    <w:rsid w:val="005E1742"/>
    <w:rPr>
      <w:noProof w:val="0"/>
      <w:vertAlign w:val="superscript"/>
      <w:lang w:val="en-US"/>
    </w:rPr>
  </w:style>
  <w:style w:type="paragraph" w:styleId="ListParagraph">
    <w:name w:val="List Paragraph"/>
    <w:basedOn w:val="Normal"/>
    <w:qFormat/>
    <w:rsid w:val="00600630"/>
    <w:pPr>
      <w:ind w:left="720"/>
      <w:contextualSpacing/>
    </w:pPr>
  </w:style>
  <w:style w:type="character" w:styleId="CommentReference">
    <w:name w:val="annotation reference"/>
    <w:basedOn w:val="DefaultParagraphFont"/>
    <w:rsid w:val="00E07776"/>
    <w:rPr>
      <w:sz w:val="16"/>
      <w:szCs w:val="16"/>
    </w:rPr>
  </w:style>
  <w:style w:type="paragraph" w:styleId="CommentText">
    <w:name w:val="annotation text"/>
    <w:basedOn w:val="Normal"/>
    <w:link w:val="CommentTextChar"/>
    <w:rsid w:val="00E07776"/>
    <w:rPr>
      <w:szCs w:val="20"/>
    </w:rPr>
  </w:style>
  <w:style w:type="character" w:customStyle="1" w:styleId="CommentTextChar">
    <w:name w:val="Comment Text Char"/>
    <w:basedOn w:val="DefaultParagraphFont"/>
    <w:link w:val="CommentText"/>
    <w:rsid w:val="00E07776"/>
    <w:rPr>
      <w:rFonts w:ascii="Arial" w:hAnsi="Arial"/>
      <w:lang w:val="en-US" w:eastAsia="es-ES"/>
    </w:rPr>
  </w:style>
  <w:style w:type="paragraph" w:styleId="CommentSubject">
    <w:name w:val="annotation subject"/>
    <w:basedOn w:val="CommentText"/>
    <w:next w:val="CommentText"/>
    <w:link w:val="CommentSubjectChar"/>
    <w:rsid w:val="00E07776"/>
    <w:rPr>
      <w:b/>
      <w:bCs/>
    </w:rPr>
  </w:style>
  <w:style w:type="character" w:customStyle="1" w:styleId="CommentSubjectChar">
    <w:name w:val="Comment Subject Char"/>
    <w:basedOn w:val="CommentTextChar"/>
    <w:link w:val="CommentSubject"/>
    <w:rsid w:val="00E07776"/>
    <w:rPr>
      <w:rFonts w:ascii="Arial" w:hAnsi="Arial"/>
      <w:b/>
      <w:bCs/>
      <w:lang w:val="en-US" w:eastAsia="es-ES"/>
    </w:rPr>
  </w:style>
  <w:style w:type="paragraph" w:styleId="BalloonText">
    <w:name w:val="Balloon Text"/>
    <w:basedOn w:val="Normal"/>
    <w:link w:val="BalloonTextChar"/>
    <w:rsid w:val="00E07776"/>
    <w:pPr>
      <w:spacing w:before="0" w:after="0"/>
    </w:pPr>
    <w:rPr>
      <w:rFonts w:ascii="Tahoma" w:hAnsi="Tahoma" w:cs="Tahoma"/>
      <w:sz w:val="16"/>
      <w:szCs w:val="16"/>
    </w:rPr>
  </w:style>
  <w:style w:type="character" w:customStyle="1" w:styleId="BalloonTextChar">
    <w:name w:val="Balloon Text Char"/>
    <w:basedOn w:val="DefaultParagraphFont"/>
    <w:link w:val="BalloonText"/>
    <w:rsid w:val="00E07776"/>
    <w:rPr>
      <w:rFonts w:ascii="Tahoma" w:hAnsi="Tahoma" w:cs="Tahoma"/>
      <w:sz w:val="16"/>
      <w:szCs w:val="16"/>
      <w:lang w:val="en-US" w:eastAsia="es-ES"/>
    </w:rPr>
  </w:style>
  <w:style w:type="paragraph" w:styleId="Bibliography">
    <w:name w:val="Bibliography"/>
    <w:basedOn w:val="Normal"/>
    <w:next w:val="Normal"/>
    <w:rsid w:val="003B4E83"/>
    <w:pPr>
      <w:tabs>
        <w:tab w:val="left" w:pos="384"/>
      </w:tabs>
      <w:spacing w:after="0"/>
      <w:ind w:left="384" w:hanging="38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aliases w:val="IATED-Text"/>
    <w:qFormat/>
    <w:rsid w:val="005E1742"/>
    <w:pPr>
      <w:spacing w:before="120" w:after="120"/>
      <w:jc w:val="both"/>
    </w:pPr>
    <w:rPr>
      <w:rFonts w:ascii="Arial" w:hAnsi="Arial"/>
      <w:szCs w:val="24"/>
      <w:lang w:val="en-US" w:eastAsia="es-ES"/>
    </w:rPr>
  </w:style>
  <w:style w:type="paragraph" w:styleId="Heading1">
    <w:name w:val="heading 1"/>
    <w:aliases w:val="IATED-Section"/>
    <w:next w:val="Normal"/>
    <w:link w:val="Heading1Char"/>
    <w:qFormat/>
    <w:rsid w:val="005E1742"/>
    <w:pPr>
      <w:keepNext/>
      <w:numPr>
        <w:numId w:val="15"/>
      </w:numPr>
      <w:spacing w:before="360" w:after="60"/>
      <w:outlineLvl w:val="0"/>
    </w:pPr>
    <w:rPr>
      <w:rFonts w:ascii="Arial" w:hAnsi="Arial"/>
      <w:b/>
      <w:bCs/>
      <w:caps/>
      <w:kern w:val="32"/>
      <w:sz w:val="24"/>
      <w:szCs w:val="32"/>
      <w:lang w:val="en-US" w:eastAsia="es-ES"/>
    </w:rPr>
  </w:style>
  <w:style w:type="paragraph" w:styleId="Heading2">
    <w:name w:val="heading 2"/>
    <w:aliases w:val="IATED-Subsection"/>
    <w:next w:val="Normal"/>
    <w:link w:val="Heading2Char"/>
    <w:qFormat/>
    <w:rsid w:val="005E1742"/>
    <w:pPr>
      <w:keepNext/>
      <w:numPr>
        <w:ilvl w:val="1"/>
        <w:numId w:val="15"/>
      </w:numPr>
      <w:spacing w:before="240" w:after="60"/>
      <w:outlineLvl w:val="1"/>
    </w:pPr>
    <w:rPr>
      <w:rFonts w:ascii="Arial" w:hAnsi="Arial"/>
      <w:b/>
      <w:bCs/>
      <w:iCs/>
      <w:sz w:val="24"/>
      <w:szCs w:val="28"/>
      <w:lang w:val="en-US" w:eastAsia="es-ES"/>
    </w:rPr>
  </w:style>
  <w:style w:type="paragraph" w:styleId="Heading3">
    <w:name w:val="heading 3"/>
    <w:aliases w:val="IATED-Subsubsection"/>
    <w:basedOn w:val="Normal"/>
    <w:next w:val="Normal"/>
    <w:link w:val="Heading3Char"/>
    <w:qFormat/>
    <w:rsid w:val="005E1742"/>
    <w:pPr>
      <w:keepNext/>
      <w:numPr>
        <w:ilvl w:val="2"/>
        <w:numId w:val="15"/>
      </w:numPr>
      <w:spacing w:before="180" w:after="60"/>
      <w:outlineLvl w:val="2"/>
    </w:pPr>
    <w:rPr>
      <w:bCs/>
      <w:i/>
      <w:sz w:val="22"/>
      <w:szCs w:val="26"/>
    </w:rPr>
  </w:style>
  <w:style w:type="paragraph" w:styleId="Heading4">
    <w:name w:val="heading 4"/>
    <w:basedOn w:val="Normal"/>
    <w:next w:val="Normal"/>
    <w:link w:val="Heading4Char"/>
    <w:qFormat/>
    <w:rsid w:val="00996EF6"/>
    <w:pPr>
      <w:keepNext/>
      <w:numPr>
        <w:ilvl w:val="3"/>
        <w:numId w:val="15"/>
      </w:numPr>
      <w:spacing w:before="240" w:after="60"/>
      <w:outlineLvl w:val="3"/>
    </w:pPr>
    <w:rPr>
      <w:rFonts w:ascii="Cambria" w:hAnsi="Cambria"/>
      <w:b/>
      <w:bCs/>
      <w:sz w:val="28"/>
      <w:szCs w:val="28"/>
    </w:rPr>
  </w:style>
  <w:style w:type="paragraph" w:styleId="Heading5">
    <w:name w:val="heading 5"/>
    <w:basedOn w:val="Normal"/>
    <w:next w:val="Normal"/>
    <w:link w:val="Heading5Char"/>
    <w:qFormat/>
    <w:rsid w:val="00996EF6"/>
    <w:pPr>
      <w:numPr>
        <w:ilvl w:val="4"/>
        <w:numId w:val="15"/>
      </w:numPr>
      <w:spacing w:before="240" w:after="60"/>
      <w:outlineLvl w:val="4"/>
    </w:pPr>
    <w:rPr>
      <w:rFonts w:ascii="Cambria" w:hAnsi="Cambria"/>
      <w:b/>
      <w:bCs/>
      <w:i/>
      <w:iCs/>
      <w:sz w:val="26"/>
      <w:szCs w:val="26"/>
    </w:rPr>
  </w:style>
  <w:style w:type="paragraph" w:styleId="Heading6">
    <w:name w:val="heading 6"/>
    <w:basedOn w:val="Normal"/>
    <w:next w:val="Normal"/>
    <w:link w:val="Heading6Char"/>
    <w:qFormat/>
    <w:rsid w:val="00996EF6"/>
    <w:pPr>
      <w:numPr>
        <w:ilvl w:val="5"/>
        <w:numId w:val="15"/>
      </w:numPr>
      <w:spacing w:before="240" w:after="60"/>
      <w:outlineLvl w:val="5"/>
    </w:pPr>
    <w:rPr>
      <w:rFonts w:ascii="Cambria" w:hAnsi="Cambria"/>
      <w:b/>
      <w:bCs/>
      <w:sz w:val="22"/>
      <w:szCs w:val="22"/>
    </w:rPr>
  </w:style>
  <w:style w:type="paragraph" w:styleId="Heading7">
    <w:name w:val="heading 7"/>
    <w:basedOn w:val="Normal"/>
    <w:next w:val="Normal"/>
    <w:link w:val="Heading7Char"/>
    <w:qFormat/>
    <w:rsid w:val="00996EF6"/>
    <w:pPr>
      <w:numPr>
        <w:ilvl w:val="6"/>
        <w:numId w:val="15"/>
      </w:numPr>
      <w:spacing w:before="240" w:after="60"/>
      <w:outlineLvl w:val="6"/>
    </w:pPr>
    <w:rPr>
      <w:rFonts w:ascii="Cambria" w:hAnsi="Cambria"/>
    </w:rPr>
  </w:style>
  <w:style w:type="paragraph" w:styleId="Heading8">
    <w:name w:val="heading 8"/>
    <w:basedOn w:val="Normal"/>
    <w:next w:val="Normal"/>
    <w:link w:val="Heading8Char"/>
    <w:qFormat/>
    <w:rsid w:val="00996EF6"/>
    <w:pPr>
      <w:numPr>
        <w:ilvl w:val="7"/>
        <w:numId w:val="15"/>
      </w:numPr>
      <w:spacing w:before="240" w:after="60"/>
      <w:outlineLvl w:val="7"/>
    </w:pPr>
    <w:rPr>
      <w:rFonts w:ascii="Cambria" w:hAnsi="Cambria"/>
      <w:i/>
      <w:iCs/>
    </w:rPr>
  </w:style>
  <w:style w:type="paragraph" w:styleId="Heading9">
    <w:name w:val="heading 9"/>
    <w:basedOn w:val="Normal"/>
    <w:next w:val="Normal"/>
    <w:link w:val="Heading9Char"/>
    <w:qFormat/>
    <w:rsid w:val="00996EF6"/>
    <w:pPr>
      <w:numPr>
        <w:ilvl w:val="8"/>
        <w:numId w:val="15"/>
      </w:numPr>
      <w:spacing w:before="240" w:after="60"/>
      <w:outlineLvl w:val="8"/>
    </w:pPr>
    <w:rPr>
      <w:rFonts w:ascii="Calibri" w:hAnsi="Calibr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ATED-Title"/>
    <w:basedOn w:val="Normal"/>
    <w:qFormat/>
    <w:rsid w:val="00D57BC9"/>
    <w:pPr>
      <w:spacing w:before="480"/>
      <w:jc w:val="center"/>
    </w:pPr>
    <w:rPr>
      <w:b/>
      <w:bCs/>
      <w:sz w:val="24"/>
    </w:rPr>
  </w:style>
  <w:style w:type="paragraph" w:customStyle="1" w:styleId="IATED-PaperTitle">
    <w:name w:val="IATED-Paper Title"/>
    <w:next w:val="IATED-Authors"/>
    <w:qFormat/>
    <w:rsid w:val="005E1742"/>
    <w:pPr>
      <w:spacing w:before="240" w:after="240"/>
      <w:jc w:val="center"/>
    </w:pPr>
    <w:rPr>
      <w:rFonts w:ascii="Arial" w:hAnsi="Arial" w:cs="Arial"/>
      <w:b/>
      <w:bCs/>
      <w:caps/>
      <w:sz w:val="28"/>
      <w:szCs w:val="24"/>
      <w:lang w:val="en-US" w:eastAsia="es-ES"/>
    </w:rPr>
  </w:style>
  <w:style w:type="paragraph" w:customStyle="1" w:styleId="IATED-Authors">
    <w:name w:val="IATED-Authors"/>
    <w:next w:val="IATED-Affiliation"/>
    <w:qFormat/>
    <w:rsid w:val="005E1742"/>
    <w:pPr>
      <w:spacing w:after="120"/>
      <w:jc w:val="center"/>
    </w:pPr>
    <w:rPr>
      <w:rFonts w:ascii="Arial" w:hAnsi="Arial" w:cs="Arial"/>
      <w:b/>
      <w:bCs/>
      <w:sz w:val="24"/>
      <w:szCs w:val="24"/>
      <w:lang w:val="en-US" w:eastAsia="es-ES"/>
    </w:rPr>
  </w:style>
  <w:style w:type="paragraph" w:customStyle="1" w:styleId="IATED-Affiliation">
    <w:name w:val="IATED-Affiliation"/>
    <w:qFormat/>
    <w:rsid w:val="005E1742"/>
    <w:pPr>
      <w:jc w:val="center"/>
    </w:pPr>
    <w:rPr>
      <w:rFonts w:ascii="Arial" w:hAnsi="Arial" w:cs="Arial"/>
      <w:i/>
      <w:sz w:val="22"/>
      <w:szCs w:val="24"/>
      <w:lang w:val="en-US" w:eastAsia="es-ES"/>
    </w:rPr>
  </w:style>
  <w:style w:type="paragraph" w:styleId="FootnoteText">
    <w:name w:val="footnote text"/>
    <w:basedOn w:val="Normal"/>
    <w:link w:val="FootnoteTextChar"/>
    <w:rsid w:val="005E1742"/>
    <w:rPr>
      <w:sz w:val="16"/>
    </w:rPr>
  </w:style>
  <w:style w:type="paragraph" w:customStyle="1" w:styleId="IATED-email">
    <w:name w:val="IATED-email"/>
    <w:qFormat/>
    <w:rsid w:val="005E1742"/>
    <w:pPr>
      <w:spacing w:after="480"/>
      <w:jc w:val="center"/>
    </w:pPr>
    <w:rPr>
      <w:rFonts w:ascii="Arial" w:hAnsi="Arial" w:cs="Arial"/>
      <w:i/>
      <w:iCs/>
      <w:sz w:val="22"/>
      <w:szCs w:val="24"/>
      <w:lang w:val="en-US" w:eastAsia="es-ES"/>
    </w:rPr>
  </w:style>
  <w:style w:type="paragraph" w:customStyle="1" w:styleId="IATED-References">
    <w:name w:val="IATED-References"/>
    <w:basedOn w:val="Title"/>
    <w:autoRedefine/>
    <w:qFormat/>
    <w:rsid w:val="005E1742"/>
    <w:pPr>
      <w:numPr>
        <w:numId w:val="5"/>
      </w:numPr>
      <w:tabs>
        <w:tab w:val="clear" w:pos="360"/>
        <w:tab w:val="left" w:pos="567"/>
      </w:tabs>
      <w:spacing w:before="120"/>
      <w:ind w:left="567" w:hanging="567"/>
      <w:jc w:val="left"/>
    </w:pPr>
    <w:rPr>
      <w:rFonts w:cs="Arial"/>
      <w:b w:val="0"/>
      <w:bCs w:val="0"/>
      <w:sz w:val="20"/>
    </w:rPr>
  </w:style>
  <w:style w:type="character" w:customStyle="1" w:styleId="FootnoteTextChar">
    <w:name w:val="Footnote Text Char"/>
    <w:link w:val="FootnoteText"/>
    <w:rsid w:val="005E1742"/>
    <w:rPr>
      <w:rFonts w:ascii="Arial" w:hAnsi="Arial"/>
      <w:sz w:val="16"/>
      <w:szCs w:val="24"/>
    </w:rPr>
  </w:style>
  <w:style w:type="character" w:customStyle="1" w:styleId="Heading2Char">
    <w:name w:val="Heading 2 Char"/>
    <w:aliases w:val="IATED-Subsection Char"/>
    <w:link w:val="Heading2"/>
    <w:rsid w:val="005E1742"/>
    <w:rPr>
      <w:rFonts w:ascii="Arial" w:hAnsi="Arial"/>
      <w:b/>
      <w:bCs/>
      <w:iCs/>
      <w:sz w:val="24"/>
      <w:szCs w:val="28"/>
    </w:rPr>
  </w:style>
  <w:style w:type="character" w:customStyle="1" w:styleId="Heading3Char">
    <w:name w:val="Heading 3 Char"/>
    <w:aliases w:val="IATED-Subsubsection Char"/>
    <w:link w:val="Heading3"/>
    <w:rsid w:val="005E1742"/>
    <w:rPr>
      <w:rFonts w:ascii="Arial" w:hAnsi="Arial"/>
      <w:bCs/>
      <w:i/>
      <w:sz w:val="22"/>
      <w:szCs w:val="26"/>
    </w:rPr>
  </w:style>
  <w:style w:type="character" w:customStyle="1" w:styleId="Heading4Char">
    <w:name w:val="Heading 4 Char"/>
    <w:link w:val="Heading4"/>
    <w:rsid w:val="00996EF6"/>
    <w:rPr>
      <w:rFonts w:ascii="Cambria" w:hAnsi="Cambria"/>
      <w:b/>
      <w:bCs/>
      <w:sz w:val="28"/>
      <w:szCs w:val="28"/>
      <w:lang w:val="es-ES" w:eastAsia="es-ES"/>
    </w:rPr>
  </w:style>
  <w:style w:type="character" w:customStyle="1" w:styleId="Heading5Char">
    <w:name w:val="Heading 5 Char"/>
    <w:link w:val="Heading5"/>
    <w:rsid w:val="00996EF6"/>
    <w:rPr>
      <w:rFonts w:ascii="Cambria" w:hAnsi="Cambria"/>
      <w:b/>
      <w:bCs/>
      <w:i/>
      <w:iCs/>
      <w:sz w:val="26"/>
      <w:szCs w:val="26"/>
      <w:lang w:val="es-ES" w:eastAsia="es-ES"/>
    </w:rPr>
  </w:style>
  <w:style w:type="character" w:customStyle="1" w:styleId="Heading6Char">
    <w:name w:val="Heading 6 Char"/>
    <w:link w:val="Heading6"/>
    <w:rsid w:val="00996EF6"/>
    <w:rPr>
      <w:rFonts w:ascii="Cambria" w:hAnsi="Cambria"/>
      <w:b/>
      <w:bCs/>
      <w:sz w:val="22"/>
      <w:szCs w:val="22"/>
      <w:lang w:val="es-ES" w:eastAsia="es-ES"/>
    </w:rPr>
  </w:style>
  <w:style w:type="character" w:customStyle="1" w:styleId="Heading7Char">
    <w:name w:val="Heading 7 Char"/>
    <w:link w:val="Heading7"/>
    <w:rsid w:val="00996EF6"/>
    <w:rPr>
      <w:rFonts w:ascii="Cambria" w:hAnsi="Cambria"/>
      <w:szCs w:val="24"/>
      <w:lang w:val="es-ES" w:eastAsia="es-ES"/>
    </w:rPr>
  </w:style>
  <w:style w:type="character" w:customStyle="1" w:styleId="Heading8Char">
    <w:name w:val="Heading 8 Char"/>
    <w:link w:val="Heading8"/>
    <w:rsid w:val="00996EF6"/>
    <w:rPr>
      <w:rFonts w:ascii="Cambria" w:hAnsi="Cambria"/>
      <w:i/>
      <w:iCs/>
      <w:szCs w:val="24"/>
      <w:lang w:val="es-ES" w:eastAsia="es-ES"/>
    </w:rPr>
  </w:style>
  <w:style w:type="character" w:customStyle="1" w:styleId="Heading9Char">
    <w:name w:val="Heading 9 Char"/>
    <w:link w:val="Heading9"/>
    <w:rsid w:val="00996EF6"/>
    <w:rPr>
      <w:rFonts w:ascii="Calibri" w:hAnsi="Calibri"/>
      <w:sz w:val="22"/>
      <w:szCs w:val="22"/>
      <w:lang w:val="es-ES" w:eastAsia="es-ES"/>
    </w:rPr>
  </w:style>
  <w:style w:type="character" w:customStyle="1" w:styleId="Heading1Char">
    <w:name w:val="Heading 1 Char"/>
    <w:aliases w:val="IATED-Section Char"/>
    <w:link w:val="Heading1"/>
    <w:rsid w:val="005E1742"/>
    <w:rPr>
      <w:rFonts w:ascii="Arial" w:hAnsi="Arial"/>
      <w:b/>
      <w:bCs/>
      <w:caps/>
      <w:kern w:val="32"/>
      <w:sz w:val="24"/>
      <w:szCs w:val="32"/>
    </w:rPr>
  </w:style>
  <w:style w:type="paragraph" w:styleId="DocumentMap">
    <w:name w:val="Document Map"/>
    <w:basedOn w:val="Normal"/>
    <w:link w:val="DocumentMapChar"/>
    <w:rsid w:val="001D548D"/>
    <w:rPr>
      <w:rFonts w:ascii="Lucida Grande" w:hAnsi="Lucida Grande"/>
      <w:sz w:val="24"/>
    </w:rPr>
  </w:style>
  <w:style w:type="character" w:customStyle="1" w:styleId="DocumentMapChar">
    <w:name w:val="Document Map Char"/>
    <w:link w:val="DocumentMap"/>
    <w:rsid w:val="001D548D"/>
    <w:rPr>
      <w:rFonts w:ascii="Lucida Grande" w:hAnsi="Lucida Grande"/>
      <w:sz w:val="24"/>
      <w:szCs w:val="24"/>
      <w:lang w:val="es-ES" w:eastAsia="es-ES"/>
    </w:rPr>
  </w:style>
  <w:style w:type="character" w:styleId="FootnoteReference">
    <w:name w:val="footnote reference"/>
    <w:rsid w:val="005E1742"/>
    <w:rPr>
      <w:noProof w:val="0"/>
      <w:vertAlign w:val="superscript"/>
      <w:lang w:val="en-US"/>
    </w:rPr>
  </w:style>
  <w:style w:type="paragraph" w:styleId="ListParagraph">
    <w:name w:val="List Paragraph"/>
    <w:basedOn w:val="Normal"/>
    <w:qFormat/>
    <w:rsid w:val="00600630"/>
    <w:pPr>
      <w:ind w:left="720"/>
      <w:contextualSpacing/>
    </w:pPr>
  </w:style>
  <w:style w:type="character" w:styleId="CommentReference">
    <w:name w:val="annotation reference"/>
    <w:basedOn w:val="DefaultParagraphFont"/>
    <w:rsid w:val="00E07776"/>
    <w:rPr>
      <w:sz w:val="16"/>
      <w:szCs w:val="16"/>
    </w:rPr>
  </w:style>
  <w:style w:type="paragraph" w:styleId="CommentText">
    <w:name w:val="annotation text"/>
    <w:basedOn w:val="Normal"/>
    <w:link w:val="CommentTextChar"/>
    <w:rsid w:val="00E07776"/>
    <w:rPr>
      <w:szCs w:val="20"/>
    </w:rPr>
  </w:style>
  <w:style w:type="character" w:customStyle="1" w:styleId="CommentTextChar">
    <w:name w:val="Comment Text Char"/>
    <w:basedOn w:val="DefaultParagraphFont"/>
    <w:link w:val="CommentText"/>
    <w:rsid w:val="00E07776"/>
    <w:rPr>
      <w:rFonts w:ascii="Arial" w:hAnsi="Arial"/>
      <w:lang w:val="en-US" w:eastAsia="es-ES"/>
    </w:rPr>
  </w:style>
  <w:style w:type="paragraph" w:styleId="CommentSubject">
    <w:name w:val="annotation subject"/>
    <w:basedOn w:val="CommentText"/>
    <w:next w:val="CommentText"/>
    <w:link w:val="CommentSubjectChar"/>
    <w:rsid w:val="00E07776"/>
    <w:rPr>
      <w:b/>
      <w:bCs/>
    </w:rPr>
  </w:style>
  <w:style w:type="character" w:customStyle="1" w:styleId="CommentSubjectChar">
    <w:name w:val="Comment Subject Char"/>
    <w:basedOn w:val="CommentTextChar"/>
    <w:link w:val="CommentSubject"/>
    <w:rsid w:val="00E07776"/>
    <w:rPr>
      <w:rFonts w:ascii="Arial" w:hAnsi="Arial"/>
      <w:b/>
      <w:bCs/>
      <w:lang w:val="en-US" w:eastAsia="es-ES"/>
    </w:rPr>
  </w:style>
  <w:style w:type="paragraph" w:styleId="BalloonText">
    <w:name w:val="Balloon Text"/>
    <w:basedOn w:val="Normal"/>
    <w:link w:val="BalloonTextChar"/>
    <w:rsid w:val="00E07776"/>
    <w:pPr>
      <w:spacing w:before="0" w:after="0"/>
    </w:pPr>
    <w:rPr>
      <w:rFonts w:ascii="Tahoma" w:hAnsi="Tahoma" w:cs="Tahoma"/>
      <w:sz w:val="16"/>
      <w:szCs w:val="16"/>
    </w:rPr>
  </w:style>
  <w:style w:type="character" w:customStyle="1" w:styleId="BalloonTextChar">
    <w:name w:val="Balloon Text Char"/>
    <w:basedOn w:val="DefaultParagraphFont"/>
    <w:link w:val="BalloonText"/>
    <w:rsid w:val="00E07776"/>
    <w:rPr>
      <w:rFonts w:ascii="Tahoma" w:hAnsi="Tahoma" w:cs="Tahoma"/>
      <w:sz w:val="16"/>
      <w:szCs w:val="16"/>
      <w:lang w:val="en-US" w:eastAsia="es-ES"/>
    </w:rPr>
  </w:style>
  <w:style w:type="paragraph" w:styleId="Bibliography">
    <w:name w:val="Bibliography"/>
    <w:basedOn w:val="Normal"/>
    <w:next w:val="Normal"/>
    <w:rsid w:val="003B4E83"/>
    <w:pPr>
      <w:tabs>
        <w:tab w:val="left" w:pos="384"/>
      </w:tabs>
      <w:spacing w:after="0"/>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20839</Words>
  <Characters>114411</Characters>
  <Application>Microsoft Office Word</Application>
  <DocSecurity>0</DocSecurity>
  <Lines>1707</Lines>
  <Paragraphs>686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IATED PAPER Template</vt:lpstr>
      <vt:lpstr>IATED PAPER Template</vt:lpstr>
    </vt:vector>
  </TitlesOfParts>
  <LinksUpToDate>false</LinksUpToDate>
  <CharactersWithSpaces>134564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IATED PAPER Template</dc:title>
  <dc:creator/>
  <cp:lastModifiedBy/>
  <cp:revision>1</cp:revision>
  <cp:lastPrinted>2004-03-29T19:30:00Z</cp:lastPrinted>
  <dcterms:created xsi:type="dcterms:W3CDTF">2015-01-08T09:37:00Z</dcterms:created>
  <dcterms:modified xsi:type="dcterms:W3CDTF">2015-01-22T23:18:00Z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zotero-version="4.0.25.2"&gt;&lt;session id="alvF113b"/&gt;&lt;style id="http://www.zotero.org/styles/ieee" hasBibliography="1" bibliographyStyleHasBeenSet="1"/&gt;&lt;prefs&gt;&lt;pref name="fieldType" value="Field"/&gt;&lt;pref name="storeReferences" value="tr</vt:lpwstr>
  </property>
  <property fmtid="{D5CDD505-2E9C-101B-9397-08002B2CF9AE}" pid="3" name="ZOTERO_PREF_2">
    <vt:lpwstr>ue"/&gt;&lt;pref name="automaticJournalAbbreviations" value="false"/&gt;&lt;pref name="noteType" value="0"/&gt;&lt;/prefs&gt;&lt;/data&gt;</vt:lpwstr>
  </property>
</Properties>
</file>