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F39FB" w14:textId="1D816DEA" w:rsidR="00E519FE" w:rsidRDefault="00E519FE" w:rsidP="005D3A15">
      <w:pPr>
        <w:pStyle w:val="Heading1"/>
      </w:pPr>
      <w:r>
        <w:rPr>
          <w:rFonts w:ascii="Arial" w:hAnsi="Arial" w:cs="Arial"/>
          <w:color w:val="222222"/>
          <w:sz w:val="20"/>
          <w:szCs w:val="20"/>
          <w:shd w:val="clear" w:color="auto" w:fill="FFFFFF"/>
        </w:rPr>
        <w:t>O'Hagan-Luff, Martha, Jenny Berrill, and Brian Lucey. "Should we invest more in multinational companies when domestic markets decline?." </w:t>
      </w:r>
      <w:r>
        <w:rPr>
          <w:rFonts w:ascii="Arial" w:hAnsi="Arial" w:cs="Arial"/>
          <w:i/>
          <w:iCs/>
          <w:color w:val="222222"/>
          <w:sz w:val="20"/>
          <w:szCs w:val="20"/>
          <w:shd w:val="clear" w:color="auto" w:fill="FFFFFF"/>
        </w:rPr>
        <w:t>Journal of Investment Strategies</w:t>
      </w:r>
      <w:r>
        <w:rPr>
          <w:rFonts w:ascii="Arial" w:hAnsi="Arial" w:cs="Arial"/>
          <w:color w:val="222222"/>
          <w:sz w:val="20"/>
          <w:szCs w:val="20"/>
          <w:shd w:val="clear" w:color="auto" w:fill="FFFFFF"/>
        </w:rPr>
        <w:t> (2020).</w:t>
      </w:r>
    </w:p>
    <w:p w14:paraId="4456A08C" w14:textId="0F046339" w:rsidR="00F114C5" w:rsidRDefault="002B2076" w:rsidP="005D3A15">
      <w:pPr>
        <w:pStyle w:val="Heading1"/>
      </w:pPr>
      <w:r>
        <w:t>Should W</w:t>
      </w:r>
      <w:r w:rsidR="00516DB3">
        <w:t xml:space="preserve">e Invest </w:t>
      </w:r>
      <w:r>
        <w:t xml:space="preserve">More </w:t>
      </w:r>
      <w:r w:rsidR="00516DB3">
        <w:t xml:space="preserve">in </w:t>
      </w:r>
      <w:r>
        <w:t>Multinational Companies (</w:t>
      </w:r>
      <w:r w:rsidR="00516DB3">
        <w:t>MNCs</w:t>
      </w:r>
      <w:r>
        <w:t>)</w:t>
      </w:r>
      <w:r w:rsidR="00516DB3">
        <w:t xml:space="preserve"> when Domestic Markets Decline</w:t>
      </w:r>
      <w:r w:rsidR="00F219EF">
        <w:t>?</w:t>
      </w:r>
    </w:p>
    <w:p w14:paraId="1EA8ABA7" w14:textId="77777777" w:rsidR="00BA4902" w:rsidRPr="00BA4902" w:rsidRDefault="00BA4902" w:rsidP="00BA4902"/>
    <w:p w14:paraId="77F369DC" w14:textId="4F579F1E" w:rsidR="00F219EF" w:rsidRDefault="00F219EF" w:rsidP="00D0467D">
      <w:pPr>
        <w:pStyle w:val="Heading1"/>
      </w:pPr>
      <w:r>
        <w:t>Abstract</w:t>
      </w:r>
      <w:r w:rsidR="0072231C">
        <w:t xml:space="preserve"> </w:t>
      </w:r>
    </w:p>
    <w:p w14:paraId="7F6C8501" w14:textId="77777777" w:rsidR="00D0467D" w:rsidRDefault="00D0467D" w:rsidP="00D9108B">
      <w:pPr>
        <w:spacing w:after="0" w:line="480" w:lineRule="auto"/>
        <w:jc w:val="both"/>
        <w:rPr>
          <w:rStyle w:val="apple-style-span"/>
          <w:rFonts w:ascii="Times New Roman" w:hAnsi="Times New Roman" w:cs="Times New Roman"/>
          <w:sz w:val="24"/>
          <w:szCs w:val="24"/>
          <w:shd w:val="clear" w:color="auto" w:fill="FFFFFF"/>
        </w:rPr>
      </w:pPr>
    </w:p>
    <w:p w14:paraId="1C86CFCE" w14:textId="29140A43" w:rsidR="00492C1C" w:rsidRDefault="007E73BE" w:rsidP="00845836">
      <w:pPr>
        <w:spacing w:after="0" w:line="360" w:lineRule="auto"/>
        <w:jc w:val="both"/>
        <w:rPr>
          <w:rStyle w:val="apple-style-span"/>
          <w:rFonts w:ascii="Times New Roman" w:hAnsi="Times New Roman" w:cs="Times New Roman"/>
          <w:sz w:val="24"/>
          <w:szCs w:val="24"/>
          <w:shd w:val="clear" w:color="auto" w:fill="FFFFFF"/>
        </w:rPr>
      </w:pPr>
      <w:r>
        <w:rPr>
          <w:rStyle w:val="apple-style-span"/>
          <w:rFonts w:ascii="Times New Roman" w:hAnsi="Times New Roman" w:cs="Times New Roman"/>
          <w:sz w:val="24"/>
          <w:szCs w:val="24"/>
          <w:shd w:val="clear" w:color="auto" w:fill="FFFFFF"/>
        </w:rPr>
        <w:t xml:space="preserve">Investments in domestic </w:t>
      </w:r>
      <w:r w:rsidR="00F808BF">
        <w:rPr>
          <w:rStyle w:val="apple-style-span"/>
          <w:rFonts w:ascii="Times New Roman" w:hAnsi="Times New Roman" w:cs="Times New Roman"/>
          <w:sz w:val="24"/>
          <w:szCs w:val="24"/>
          <w:shd w:val="clear" w:color="auto" w:fill="FFFFFF"/>
        </w:rPr>
        <w:t>multinational companies (MNCs)</w:t>
      </w:r>
      <w:r>
        <w:rPr>
          <w:rStyle w:val="apple-style-span"/>
          <w:rFonts w:ascii="Times New Roman" w:hAnsi="Times New Roman" w:cs="Times New Roman"/>
          <w:sz w:val="24"/>
          <w:szCs w:val="24"/>
          <w:shd w:val="clear" w:color="auto" w:fill="FFFFFF"/>
        </w:rPr>
        <w:t xml:space="preserve"> </w:t>
      </w:r>
      <w:r w:rsidR="00F41E4E">
        <w:rPr>
          <w:rStyle w:val="apple-style-span"/>
          <w:rFonts w:ascii="Times New Roman" w:hAnsi="Times New Roman" w:cs="Times New Roman"/>
          <w:sz w:val="24"/>
          <w:szCs w:val="24"/>
          <w:shd w:val="clear" w:color="auto" w:fill="FFFFFF"/>
        </w:rPr>
        <w:t>may</w:t>
      </w:r>
      <w:r w:rsidR="0072231C">
        <w:rPr>
          <w:rStyle w:val="apple-style-span"/>
          <w:rFonts w:ascii="Times New Roman" w:hAnsi="Times New Roman" w:cs="Times New Roman"/>
          <w:sz w:val="24"/>
          <w:szCs w:val="24"/>
          <w:shd w:val="clear" w:color="auto" w:fill="FFFFFF"/>
        </w:rPr>
        <w:t xml:space="preserve"> </w:t>
      </w:r>
      <w:r>
        <w:rPr>
          <w:rStyle w:val="apple-style-span"/>
          <w:rFonts w:ascii="Times New Roman" w:hAnsi="Times New Roman" w:cs="Times New Roman"/>
          <w:sz w:val="24"/>
          <w:szCs w:val="24"/>
          <w:shd w:val="clear" w:color="auto" w:fill="FFFFFF"/>
        </w:rPr>
        <w:t>provide an indirect route for investors to diversify internationally. Therefore, a</w:t>
      </w:r>
      <w:r w:rsidR="00A26E55">
        <w:rPr>
          <w:rStyle w:val="apple-style-span"/>
          <w:rFonts w:ascii="Times New Roman" w:hAnsi="Times New Roman" w:cs="Times New Roman"/>
          <w:sz w:val="24"/>
          <w:szCs w:val="24"/>
          <w:shd w:val="clear" w:color="auto" w:fill="FFFFFF"/>
        </w:rPr>
        <w:t xml:space="preserve"> priori, one would expect investors to</w:t>
      </w:r>
      <w:r w:rsidR="004C2DC0">
        <w:rPr>
          <w:rStyle w:val="apple-style-span"/>
          <w:rFonts w:ascii="Times New Roman" w:hAnsi="Times New Roman" w:cs="Times New Roman"/>
          <w:sz w:val="24"/>
          <w:szCs w:val="24"/>
          <w:shd w:val="clear" w:color="auto" w:fill="FFFFFF"/>
        </w:rPr>
        <w:t xml:space="preserve"> increase their exposure to </w:t>
      </w:r>
      <w:r w:rsidR="002B2076">
        <w:rPr>
          <w:rStyle w:val="apple-style-span"/>
          <w:rFonts w:ascii="Times New Roman" w:hAnsi="Times New Roman" w:cs="Times New Roman"/>
          <w:sz w:val="24"/>
          <w:szCs w:val="24"/>
          <w:shd w:val="clear" w:color="auto" w:fill="FFFFFF"/>
        </w:rPr>
        <w:t xml:space="preserve">MNCs </w:t>
      </w:r>
      <w:r w:rsidR="004C2DC0">
        <w:rPr>
          <w:rStyle w:val="apple-style-span"/>
          <w:rFonts w:ascii="Times New Roman" w:hAnsi="Times New Roman" w:cs="Times New Roman"/>
          <w:sz w:val="24"/>
          <w:szCs w:val="24"/>
          <w:shd w:val="clear" w:color="auto" w:fill="FFFFFF"/>
        </w:rPr>
        <w:t xml:space="preserve">when the domestic market is declining, and decrease their exposure to </w:t>
      </w:r>
      <w:r w:rsidR="002B2076">
        <w:rPr>
          <w:rStyle w:val="apple-style-span"/>
          <w:rFonts w:ascii="Times New Roman" w:hAnsi="Times New Roman" w:cs="Times New Roman"/>
          <w:sz w:val="24"/>
          <w:szCs w:val="24"/>
          <w:shd w:val="clear" w:color="auto" w:fill="FFFFFF"/>
        </w:rPr>
        <w:t xml:space="preserve">domestic </w:t>
      </w:r>
      <w:r w:rsidR="004C2DC0">
        <w:rPr>
          <w:rStyle w:val="apple-style-span"/>
          <w:rFonts w:ascii="Times New Roman" w:hAnsi="Times New Roman" w:cs="Times New Roman"/>
          <w:sz w:val="24"/>
          <w:szCs w:val="24"/>
          <w:shd w:val="clear" w:color="auto" w:fill="FFFFFF"/>
        </w:rPr>
        <w:t xml:space="preserve">firms.  </w:t>
      </w:r>
      <w:r w:rsidR="00F808BF" w:rsidRPr="00F808BF">
        <w:rPr>
          <w:rStyle w:val="apple-style-span"/>
          <w:rFonts w:ascii="Times New Roman" w:hAnsi="Times New Roman" w:cs="Times New Roman"/>
          <w:sz w:val="24"/>
          <w:szCs w:val="24"/>
          <w:shd w:val="clear" w:color="auto" w:fill="FFFFFF"/>
        </w:rPr>
        <w:t xml:space="preserve">We </w:t>
      </w:r>
      <w:r w:rsidR="0002596F">
        <w:rPr>
          <w:rStyle w:val="apple-style-span"/>
          <w:rFonts w:ascii="Times New Roman" w:hAnsi="Times New Roman" w:cs="Times New Roman"/>
          <w:sz w:val="24"/>
          <w:szCs w:val="24"/>
          <w:shd w:val="clear" w:color="auto" w:fill="FFFFFF"/>
        </w:rPr>
        <w:t xml:space="preserve">use a 20 year dataset of all </w:t>
      </w:r>
      <w:proofErr w:type="spellStart"/>
      <w:r w:rsidR="0002596F">
        <w:rPr>
          <w:rStyle w:val="apple-style-span"/>
          <w:rFonts w:ascii="Times New Roman" w:hAnsi="Times New Roman" w:cs="Times New Roman"/>
          <w:sz w:val="24"/>
          <w:szCs w:val="24"/>
          <w:shd w:val="clear" w:color="auto" w:fill="FFFFFF"/>
        </w:rPr>
        <w:t>publically</w:t>
      </w:r>
      <w:proofErr w:type="spellEnd"/>
      <w:r w:rsidR="0002596F">
        <w:rPr>
          <w:rStyle w:val="apple-style-span"/>
          <w:rFonts w:ascii="Times New Roman" w:hAnsi="Times New Roman" w:cs="Times New Roman"/>
          <w:sz w:val="24"/>
          <w:szCs w:val="24"/>
          <w:shd w:val="clear" w:color="auto" w:fill="FFFFFF"/>
        </w:rPr>
        <w:t xml:space="preserve"> listed US firms</w:t>
      </w:r>
      <w:r w:rsidR="00205BA4">
        <w:rPr>
          <w:rStyle w:val="apple-style-span"/>
          <w:rFonts w:ascii="Times New Roman" w:hAnsi="Times New Roman" w:cs="Times New Roman"/>
          <w:sz w:val="24"/>
          <w:szCs w:val="24"/>
          <w:shd w:val="clear" w:color="auto" w:fill="FFFFFF"/>
        </w:rPr>
        <w:t xml:space="preserve"> from 1995 to 2014</w:t>
      </w:r>
      <w:r w:rsidR="0002596F">
        <w:rPr>
          <w:rStyle w:val="apple-style-span"/>
          <w:rFonts w:ascii="Times New Roman" w:hAnsi="Times New Roman" w:cs="Times New Roman"/>
          <w:sz w:val="24"/>
          <w:szCs w:val="24"/>
          <w:shd w:val="clear" w:color="auto" w:fill="FFFFFF"/>
        </w:rPr>
        <w:t xml:space="preserve"> to </w:t>
      </w:r>
      <w:r w:rsidR="00F808BF" w:rsidRPr="00F808BF">
        <w:rPr>
          <w:rStyle w:val="apple-style-span"/>
          <w:rFonts w:ascii="Times New Roman" w:hAnsi="Times New Roman" w:cs="Times New Roman"/>
          <w:sz w:val="24"/>
          <w:szCs w:val="24"/>
          <w:shd w:val="clear" w:color="auto" w:fill="FFFFFF"/>
        </w:rPr>
        <w:t xml:space="preserve">create a unique </w:t>
      </w:r>
      <w:r w:rsidR="0002596F">
        <w:rPr>
          <w:rStyle w:val="apple-style-span"/>
          <w:rFonts w:ascii="Times New Roman" w:hAnsi="Times New Roman" w:cs="Times New Roman"/>
          <w:sz w:val="24"/>
          <w:szCs w:val="24"/>
          <w:shd w:val="clear" w:color="auto" w:fill="FFFFFF"/>
        </w:rPr>
        <w:t xml:space="preserve">measure of </w:t>
      </w:r>
      <w:r w:rsidR="00F808BF" w:rsidRPr="00F808BF">
        <w:rPr>
          <w:rStyle w:val="apple-style-span"/>
          <w:rFonts w:ascii="Times New Roman" w:hAnsi="Times New Roman" w:cs="Times New Roman"/>
          <w:sz w:val="24"/>
          <w:szCs w:val="24"/>
          <w:shd w:val="clear" w:color="auto" w:fill="FFFFFF"/>
        </w:rPr>
        <w:t>both the extent and scope of</w:t>
      </w:r>
      <w:r w:rsidR="00EC324C">
        <w:rPr>
          <w:rStyle w:val="apple-style-span"/>
          <w:rFonts w:ascii="Times New Roman" w:hAnsi="Times New Roman" w:cs="Times New Roman"/>
          <w:sz w:val="24"/>
          <w:szCs w:val="24"/>
          <w:shd w:val="clear" w:color="auto" w:fill="FFFFFF"/>
        </w:rPr>
        <w:t xml:space="preserve"> </w:t>
      </w:r>
      <w:r w:rsidR="006D53C2">
        <w:rPr>
          <w:rStyle w:val="apple-style-span"/>
          <w:rFonts w:ascii="Times New Roman" w:hAnsi="Times New Roman" w:cs="Times New Roman"/>
          <w:sz w:val="24"/>
          <w:szCs w:val="24"/>
          <w:shd w:val="clear" w:color="auto" w:fill="FFFFFF"/>
        </w:rPr>
        <w:t>firm level</w:t>
      </w:r>
      <w:r w:rsidR="00F808BF" w:rsidRPr="00F808BF">
        <w:rPr>
          <w:rStyle w:val="apple-style-span"/>
          <w:rFonts w:ascii="Times New Roman" w:hAnsi="Times New Roman" w:cs="Times New Roman"/>
          <w:sz w:val="24"/>
          <w:szCs w:val="24"/>
          <w:shd w:val="clear" w:color="auto" w:fill="FFFFFF"/>
        </w:rPr>
        <w:t xml:space="preserve"> </w:t>
      </w:r>
      <w:proofErr w:type="spellStart"/>
      <w:r w:rsidR="0002596F">
        <w:rPr>
          <w:rStyle w:val="apple-style-span"/>
          <w:rFonts w:ascii="Times New Roman" w:hAnsi="Times New Roman" w:cs="Times New Roman"/>
          <w:sz w:val="24"/>
          <w:szCs w:val="24"/>
          <w:shd w:val="clear" w:color="auto" w:fill="FFFFFF"/>
        </w:rPr>
        <w:t>multinationality</w:t>
      </w:r>
      <w:proofErr w:type="spellEnd"/>
      <w:r w:rsidR="0002596F">
        <w:rPr>
          <w:rStyle w:val="apple-style-span"/>
          <w:rFonts w:ascii="Times New Roman" w:hAnsi="Times New Roman" w:cs="Times New Roman"/>
          <w:sz w:val="24"/>
          <w:szCs w:val="24"/>
          <w:shd w:val="clear" w:color="auto" w:fill="FFFFFF"/>
        </w:rPr>
        <w:t>. We</w:t>
      </w:r>
      <w:r w:rsidR="00F808BF" w:rsidRPr="00F808BF">
        <w:rPr>
          <w:rStyle w:val="apple-style-span"/>
          <w:rFonts w:ascii="Times New Roman" w:hAnsi="Times New Roman" w:cs="Times New Roman"/>
          <w:sz w:val="24"/>
          <w:szCs w:val="24"/>
          <w:shd w:val="clear" w:color="auto" w:fill="FFFFFF"/>
        </w:rPr>
        <w:t xml:space="preserve"> estimate a modified version of the </w:t>
      </w:r>
      <w:proofErr w:type="spellStart"/>
      <w:r w:rsidR="00F808BF" w:rsidRPr="00F808BF">
        <w:rPr>
          <w:rStyle w:val="apple-style-span"/>
          <w:rFonts w:ascii="Times New Roman" w:hAnsi="Times New Roman" w:cs="Times New Roman"/>
          <w:sz w:val="24"/>
          <w:szCs w:val="24"/>
          <w:shd w:val="clear" w:color="auto" w:fill="FFFFFF"/>
        </w:rPr>
        <w:t>Fama</w:t>
      </w:r>
      <w:proofErr w:type="spellEnd"/>
      <w:r w:rsidR="00F808BF" w:rsidRPr="00F808BF">
        <w:rPr>
          <w:rStyle w:val="apple-style-span"/>
          <w:rFonts w:ascii="Times New Roman" w:hAnsi="Times New Roman" w:cs="Times New Roman"/>
          <w:sz w:val="24"/>
          <w:szCs w:val="24"/>
          <w:shd w:val="clear" w:color="auto" w:fill="FFFFFF"/>
        </w:rPr>
        <w:t>-French three and five factor models.</w:t>
      </w:r>
      <w:r w:rsidR="00F808BF">
        <w:rPr>
          <w:rStyle w:val="apple-style-span"/>
          <w:rFonts w:ascii="Times New Roman" w:hAnsi="Times New Roman" w:cs="Times New Roman"/>
          <w:sz w:val="24"/>
          <w:szCs w:val="24"/>
          <w:shd w:val="clear" w:color="auto" w:fill="FFFFFF"/>
        </w:rPr>
        <w:t xml:space="preserve"> </w:t>
      </w:r>
      <w:r w:rsidR="004C2DC0">
        <w:rPr>
          <w:rStyle w:val="apple-style-span"/>
          <w:rFonts w:ascii="Times New Roman" w:hAnsi="Times New Roman" w:cs="Times New Roman"/>
          <w:sz w:val="24"/>
          <w:szCs w:val="24"/>
          <w:shd w:val="clear" w:color="auto" w:fill="FFFFFF"/>
        </w:rPr>
        <w:t>We find that</w:t>
      </w:r>
      <w:r w:rsidR="0002596F">
        <w:rPr>
          <w:rStyle w:val="apple-style-span"/>
          <w:rFonts w:ascii="Times New Roman" w:hAnsi="Times New Roman" w:cs="Times New Roman"/>
          <w:sz w:val="24"/>
          <w:szCs w:val="24"/>
          <w:shd w:val="clear" w:color="auto" w:fill="FFFFFF"/>
        </w:rPr>
        <w:t>, contrary to expectations,</w:t>
      </w:r>
      <w:r w:rsidR="004C2DC0">
        <w:rPr>
          <w:rStyle w:val="apple-style-span"/>
          <w:rFonts w:ascii="Times New Roman" w:hAnsi="Times New Roman" w:cs="Times New Roman"/>
          <w:sz w:val="24"/>
          <w:szCs w:val="24"/>
          <w:shd w:val="clear" w:color="auto" w:fill="FFFFFF"/>
        </w:rPr>
        <w:t xml:space="preserve"> </w:t>
      </w:r>
      <w:r w:rsidR="00F219EF" w:rsidRPr="00040340">
        <w:rPr>
          <w:rStyle w:val="apple-style-span"/>
          <w:rFonts w:ascii="Times New Roman" w:hAnsi="Times New Roman" w:cs="Times New Roman"/>
          <w:sz w:val="24"/>
          <w:szCs w:val="24"/>
          <w:shd w:val="clear" w:color="auto" w:fill="FFFFFF"/>
        </w:rPr>
        <w:t xml:space="preserve">investors </w:t>
      </w:r>
      <w:proofErr w:type="spellStart"/>
      <w:r w:rsidR="00AE2CCF">
        <w:rPr>
          <w:rStyle w:val="apple-style-span"/>
          <w:rFonts w:ascii="Times New Roman" w:hAnsi="Times New Roman" w:cs="Times New Roman"/>
          <w:sz w:val="24"/>
          <w:szCs w:val="24"/>
          <w:shd w:val="clear" w:color="auto" w:fill="FFFFFF"/>
        </w:rPr>
        <w:t>favour</w:t>
      </w:r>
      <w:proofErr w:type="spellEnd"/>
      <w:r w:rsidR="00F219EF" w:rsidRPr="00040340">
        <w:rPr>
          <w:rStyle w:val="apple-style-span"/>
          <w:rFonts w:ascii="Times New Roman" w:hAnsi="Times New Roman" w:cs="Times New Roman"/>
          <w:sz w:val="24"/>
          <w:szCs w:val="24"/>
          <w:shd w:val="clear" w:color="auto" w:fill="FFFFFF"/>
        </w:rPr>
        <w:t xml:space="preserve"> domestic firms to </w:t>
      </w:r>
      <w:r w:rsidR="002B2076">
        <w:rPr>
          <w:rStyle w:val="apple-style-span"/>
          <w:rFonts w:ascii="Times New Roman" w:hAnsi="Times New Roman" w:cs="Times New Roman"/>
          <w:sz w:val="24"/>
          <w:szCs w:val="24"/>
          <w:shd w:val="clear" w:color="auto" w:fill="FFFFFF"/>
        </w:rPr>
        <w:t xml:space="preserve">MNCs </w:t>
      </w:r>
      <w:r w:rsidR="00A4530A">
        <w:rPr>
          <w:rStyle w:val="apple-style-span"/>
          <w:rFonts w:ascii="Times New Roman" w:hAnsi="Times New Roman" w:cs="Times New Roman"/>
          <w:sz w:val="24"/>
          <w:szCs w:val="24"/>
          <w:shd w:val="clear" w:color="auto" w:fill="FFFFFF"/>
        </w:rPr>
        <w:t>in declining markets</w:t>
      </w:r>
      <w:r w:rsidR="00756263">
        <w:rPr>
          <w:rStyle w:val="apple-style-span"/>
          <w:rFonts w:ascii="Times New Roman" w:hAnsi="Times New Roman" w:cs="Times New Roman"/>
          <w:sz w:val="24"/>
          <w:szCs w:val="24"/>
          <w:shd w:val="clear" w:color="auto" w:fill="FFFFFF"/>
        </w:rPr>
        <w:t>. We propose that our</w:t>
      </w:r>
      <w:r w:rsidR="00DC73E4">
        <w:rPr>
          <w:rStyle w:val="apple-style-span"/>
          <w:rFonts w:ascii="Times New Roman" w:hAnsi="Times New Roman" w:cs="Times New Roman"/>
          <w:sz w:val="24"/>
          <w:szCs w:val="24"/>
          <w:shd w:val="clear" w:color="auto" w:fill="FFFFFF"/>
        </w:rPr>
        <w:t xml:space="preserve"> results are driven by one of two factors – either</w:t>
      </w:r>
      <w:r w:rsidR="006D53C2">
        <w:rPr>
          <w:rStyle w:val="apple-style-span"/>
          <w:rFonts w:ascii="Times New Roman" w:hAnsi="Times New Roman" w:cs="Times New Roman"/>
          <w:sz w:val="24"/>
          <w:szCs w:val="24"/>
          <w:shd w:val="clear" w:color="auto" w:fill="FFFFFF"/>
        </w:rPr>
        <w:t xml:space="preserve"> </w:t>
      </w:r>
      <w:r w:rsidR="00DC73E4">
        <w:rPr>
          <w:rStyle w:val="apple-style-span"/>
          <w:rFonts w:ascii="Times New Roman" w:hAnsi="Times New Roman" w:cs="Times New Roman"/>
          <w:sz w:val="24"/>
          <w:szCs w:val="24"/>
          <w:shd w:val="clear" w:color="auto" w:fill="FFFFFF"/>
        </w:rPr>
        <w:t>investors do not recognize the indirect diversification benefits from investing in MNCs or investors are behaving irrationally.</w:t>
      </w:r>
      <w:r w:rsidR="00492C1C">
        <w:rPr>
          <w:rStyle w:val="apple-style-span"/>
          <w:rFonts w:ascii="Times New Roman" w:hAnsi="Times New Roman" w:cs="Times New Roman"/>
          <w:sz w:val="24"/>
          <w:szCs w:val="24"/>
          <w:shd w:val="clear" w:color="auto" w:fill="FFFFFF"/>
        </w:rPr>
        <w:t xml:space="preserve"> </w:t>
      </w:r>
      <w:r w:rsidR="00F808BF">
        <w:rPr>
          <w:rStyle w:val="apple-style-span"/>
          <w:rFonts w:ascii="Times New Roman" w:hAnsi="Times New Roman" w:cs="Times New Roman"/>
          <w:sz w:val="24"/>
          <w:szCs w:val="24"/>
          <w:shd w:val="clear" w:color="auto" w:fill="FFFFFF"/>
        </w:rPr>
        <w:t>Finally, w</w:t>
      </w:r>
      <w:r w:rsidR="00492C1C" w:rsidRPr="00492C1C">
        <w:rPr>
          <w:rStyle w:val="apple-style-span"/>
          <w:rFonts w:ascii="Times New Roman" w:hAnsi="Times New Roman" w:cs="Times New Roman"/>
          <w:sz w:val="24"/>
          <w:szCs w:val="24"/>
          <w:shd w:val="clear" w:color="auto" w:fill="FFFFFF"/>
        </w:rPr>
        <w:t>e investigate if our results are</w:t>
      </w:r>
      <w:r w:rsidR="00492C1C">
        <w:rPr>
          <w:rStyle w:val="apple-style-span"/>
          <w:rFonts w:ascii="Times New Roman" w:hAnsi="Times New Roman" w:cs="Times New Roman"/>
          <w:sz w:val="24"/>
          <w:szCs w:val="24"/>
          <w:shd w:val="clear" w:color="auto" w:fill="FFFFFF"/>
        </w:rPr>
        <w:t xml:space="preserve"> influenced by share ownership </w:t>
      </w:r>
      <w:r w:rsidR="00492C1C" w:rsidRPr="00492C1C">
        <w:rPr>
          <w:rStyle w:val="apple-style-span"/>
          <w:rFonts w:ascii="Times New Roman" w:hAnsi="Times New Roman" w:cs="Times New Roman"/>
          <w:sz w:val="24"/>
          <w:szCs w:val="24"/>
          <w:shd w:val="clear" w:color="auto" w:fill="FFFFFF"/>
        </w:rPr>
        <w:t xml:space="preserve">but find that </w:t>
      </w:r>
      <w:r w:rsidR="00492C1C">
        <w:rPr>
          <w:rStyle w:val="apple-style-span"/>
          <w:rFonts w:ascii="Times New Roman" w:hAnsi="Times New Roman" w:cs="Times New Roman"/>
          <w:sz w:val="24"/>
          <w:szCs w:val="24"/>
          <w:shd w:val="clear" w:color="auto" w:fill="FFFFFF"/>
        </w:rPr>
        <w:t xml:space="preserve">they </w:t>
      </w:r>
      <w:r w:rsidR="00492C1C" w:rsidRPr="00492C1C">
        <w:rPr>
          <w:rStyle w:val="apple-style-span"/>
          <w:rFonts w:ascii="Times New Roman" w:hAnsi="Times New Roman" w:cs="Times New Roman"/>
          <w:sz w:val="24"/>
          <w:szCs w:val="24"/>
          <w:shd w:val="clear" w:color="auto" w:fill="FFFFFF"/>
        </w:rPr>
        <w:t>apply to both institutional and retail investors.</w:t>
      </w:r>
    </w:p>
    <w:p w14:paraId="48630BEB" w14:textId="77777777" w:rsidR="00845836" w:rsidRDefault="00845836" w:rsidP="00845836">
      <w:pPr>
        <w:spacing w:after="0" w:line="360" w:lineRule="auto"/>
        <w:jc w:val="center"/>
        <w:rPr>
          <w:rFonts w:ascii="Times New Roman" w:hAnsi="Times New Roman" w:cs="Times New Roman"/>
          <w:i/>
          <w:sz w:val="24"/>
          <w:szCs w:val="24"/>
        </w:rPr>
      </w:pPr>
    </w:p>
    <w:p w14:paraId="4915A61D" w14:textId="77777777" w:rsidR="00845836" w:rsidRDefault="00845836" w:rsidP="00845836">
      <w:pPr>
        <w:spacing w:after="0" w:line="360" w:lineRule="auto"/>
        <w:jc w:val="center"/>
        <w:rPr>
          <w:rFonts w:ascii="Times New Roman" w:hAnsi="Times New Roman" w:cs="Times New Roman"/>
          <w:i/>
          <w:sz w:val="24"/>
          <w:szCs w:val="24"/>
        </w:rPr>
      </w:pPr>
    </w:p>
    <w:p w14:paraId="5230A76E" w14:textId="08589340" w:rsidR="00B81CA5" w:rsidRPr="00B81CA5" w:rsidRDefault="00D42A90" w:rsidP="00845836">
      <w:pPr>
        <w:spacing w:after="0" w:line="360" w:lineRule="auto"/>
        <w:jc w:val="center"/>
        <w:rPr>
          <w:rFonts w:ascii="Times New Roman" w:hAnsi="Times New Roman" w:cs="Times New Roman"/>
          <w:i/>
          <w:sz w:val="24"/>
          <w:szCs w:val="24"/>
        </w:rPr>
      </w:pPr>
      <w:r w:rsidRPr="00B81CA5">
        <w:rPr>
          <w:rFonts w:ascii="Times New Roman" w:hAnsi="Times New Roman" w:cs="Times New Roman"/>
          <w:i/>
          <w:sz w:val="24"/>
          <w:szCs w:val="24"/>
        </w:rPr>
        <w:t xml:space="preserve">Keywords: </w:t>
      </w:r>
    </w:p>
    <w:p w14:paraId="58107BAC" w14:textId="5007B17B" w:rsidR="00D42A90" w:rsidRPr="00433AEA" w:rsidRDefault="00D42A90" w:rsidP="00845836">
      <w:pPr>
        <w:spacing w:after="0" w:line="360" w:lineRule="auto"/>
        <w:jc w:val="center"/>
        <w:rPr>
          <w:rFonts w:ascii="Times New Roman" w:eastAsiaTheme="majorEastAsia" w:hAnsi="Times New Roman" w:cs="Times New Roman"/>
          <w:bCs/>
          <w:sz w:val="24"/>
          <w:szCs w:val="24"/>
        </w:rPr>
      </w:pPr>
      <w:r w:rsidRPr="00433AEA">
        <w:rPr>
          <w:rFonts w:ascii="Times New Roman" w:hAnsi="Times New Roman" w:cs="Times New Roman"/>
          <w:sz w:val="24"/>
          <w:szCs w:val="24"/>
        </w:rPr>
        <w:t xml:space="preserve">Multinational Companies (MNCs), </w:t>
      </w:r>
      <w:r w:rsidR="005C1558">
        <w:rPr>
          <w:rFonts w:ascii="Times New Roman" w:hAnsi="Times New Roman" w:cs="Times New Roman"/>
          <w:sz w:val="24"/>
          <w:szCs w:val="24"/>
        </w:rPr>
        <w:t>International Diversification</w:t>
      </w:r>
      <w:r w:rsidR="00B46EA5">
        <w:rPr>
          <w:rFonts w:ascii="Times New Roman" w:hAnsi="Times New Roman" w:cs="Times New Roman"/>
          <w:sz w:val="24"/>
          <w:szCs w:val="24"/>
        </w:rPr>
        <w:t>, Investor Sentiment, Declining Markets.</w:t>
      </w:r>
    </w:p>
    <w:p w14:paraId="530B02E2" w14:textId="77777777" w:rsidR="00845836" w:rsidRDefault="00845836" w:rsidP="00845836">
      <w:pPr>
        <w:spacing w:after="0" w:line="360" w:lineRule="auto"/>
        <w:jc w:val="center"/>
        <w:rPr>
          <w:rStyle w:val="apple-style-span"/>
          <w:rFonts w:ascii="Times New Roman" w:hAnsi="Times New Roman" w:cs="Times New Roman"/>
          <w:i/>
          <w:sz w:val="24"/>
          <w:szCs w:val="24"/>
          <w:shd w:val="clear" w:color="auto" w:fill="FFFFFF"/>
        </w:rPr>
      </w:pPr>
    </w:p>
    <w:p w14:paraId="101C2FA6" w14:textId="77777777" w:rsidR="00845836" w:rsidRDefault="00845836" w:rsidP="00845836">
      <w:pPr>
        <w:spacing w:after="0" w:line="360" w:lineRule="auto"/>
        <w:jc w:val="center"/>
        <w:rPr>
          <w:rStyle w:val="apple-style-span"/>
          <w:rFonts w:ascii="Times New Roman" w:hAnsi="Times New Roman" w:cs="Times New Roman"/>
          <w:i/>
          <w:sz w:val="24"/>
          <w:szCs w:val="24"/>
          <w:shd w:val="clear" w:color="auto" w:fill="FFFFFF"/>
        </w:rPr>
      </w:pPr>
    </w:p>
    <w:p w14:paraId="547499AB" w14:textId="235ED718" w:rsidR="00E222AB" w:rsidRDefault="00E222AB">
      <w:pPr>
        <w:spacing w:after="160" w:line="259" w:lineRule="auto"/>
        <w:rPr>
          <w:rStyle w:val="apple-style-span"/>
          <w:rFonts w:ascii="Times New Roman" w:hAnsi="Times New Roman" w:cs="Times New Roman"/>
          <w:sz w:val="24"/>
          <w:szCs w:val="24"/>
          <w:shd w:val="clear" w:color="auto" w:fill="FFFFFF"/>
        </w:rPr>
      </w:pPr>
      <w:r>
        <w:rPr>
          <w:rStyle w:val="apple-style-span"/>
          <w:rFonts w:ascii="Times New Roman" w:hAnsi="Times New Roman" w:cs="Times New Roman"/>
          <w:sz w:val="24"/>
          <w:szCs w:val="24"/>
          <w:shd w:val="clear" w:color="auto" w:fill="FFFFFF"/>
        </w:rPr>
        <w:br w:type="page"/>
      </w:r>
    </w:p>
    <w:p w14:paraId="14F52120" w14:textId="0D7E3114" w:rsidR="001F1D61" w:rsidRPr="00E24315" w:rsidRDefault="001F1D61" w:rsidP="001F1D61">
      <w:pPr>
        <w:spacing w:after="0" w:line="480" w:lineRule="auto"/>
        <w:jc w:val="both"/>
        <w:rPr>
          <w:rStyle w:val="apple-style-span"/>
          <w:rFonts w:ascii="Times New Roman" w:hAnsi="Times New Roman" w:cs="Times New Roman"/>
          <w:b/>
          <w:sz w:val="28"/>
          <w:szCs w:val="28"/>
          <w:shd w:val="clear" w:color="auto" w:fill="FFFFFF"/>
        </w:rPr>
      </w:pPr>
      <w:r w:rsidRPr="00E24315">
        <w:rPr>
          <w:rStyle w:val="apple-style-span"/>
          <w:rFonts w:ascii="Times New Roman" w:hAnsi="Times New Roman" w:cs="Times New Roman"/>
          <w:b/>
          <w:sz w:val="28"/>
          <w:szCs w:val="28"/>
          <w:shd w:val="clear" w:color="auto" w:fill="FFFFFF"/>
        </w:rPr>
        <w:lastRenderedPageBreak/>
        <w:t>1.  Introduction</w:t>
      </w:r>
    </w:p>
    <w:p w14:paraId="318EB248" w14:textId="051485FE" w:rsidR="001C2666" w:rsidRPr="0082223F" w:rsidRDefault="00472B4E" w:rsidP="001F730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C4430">
        <w:rPr>
          <w:rFonts w:ascii="Times New Roman" w:hAnsi="Times New Roman" w:cs="Times New Roman"/>
          <w:sz w:val="24"/>
          <w:szCs w:val="24"/>
        </w:rPr>
        <w:t>benefits of</w:t>
      </w:r>
      <w:r>
        <w:rPr>
          <w:rFonts w:ascii="Times New Roman" w:hAnsi="Times New Roman" w:cs="Times New Roman"/>
          <w:sz w:val="24"/>
          <w:szCs w:val="24"/>
        </w:rPr>
        <w:t xml:space="preserve"> investing in multinational companies (MNCs) has long been debated throughout the literature. </w:t>
      </w:r>
      <w:r w:rsidR="00DC4430">
        <w:rPr>
          <w:rFonts w:ascii="Times New Roman" w:hAnsi="Times New Roman" w:cs="Times New Roman"/>
          <w:sz w:val="24"/>
          <w:szCs w:val="24"/>
        </w:rPr>
        <w:t>However, results from</w:t>
      </w:r>
      <w:r w:rsidR="00A524D6">
        <w:rPr>
          <w:rFonts w:ascii="Times New Roman" w:hAnsi="Times New Roman" w:cs="Times New Roman"/>
          <w:sz w:val="24"/>
          <w:szCs w:val="24"/>
        </w:rPr>
        <w:t xml:space="preserve"> previous studies have been mixed</w:t>
      </w:r>
      <w:r w:rsidR="0082223F">
        <w:rPr>
          <w:rFonts w:ascii="Times New Roman" w:hAnsi="Times New Roman" w:cs="Times New Roman"/>
          <w:sz w:val="24"/>
          <w:szCs w:val="24"/>
        </w:rPr>
        <w:t>, with some studies finding that MNCs offer substantial benefits while others finding that they do not</w:t>
      </w:r>
      <w:r w:rsidR="00F94568">
        <w:rPr>
          <w:rFonts w:ascii="Times New Roman" w:hAnsi="Times New Roman" w:cs="Times New Roman"/>
          <w:sz w:val="24"/>
          <w:szCs w:val="24"/>
        </w:rPr>
        <w:t xml:space="preserve"> (Berrill et al., 2019)</w:t>
      </w:r>
      <w:r w:rsidR="0082223F">
        <w:rPr>
          <w:rFonts w:ascii="Times New Roman" w:hAnsi="Times New Roman" w:cs="Times New Roman"/>
          <w:sz w:val="24"/>
          <w:szCs w:val="24"/>
        </w:rPr>
        <w:t xml:space="preserve">. </w:t>
      </w:r>
      <w:r w:rsidR="00074B5E" w:rsidRPr="00FE54A9">
        <w:rPr>
          <w:rFonts w:ascii="Times New Roman" w:hAnsi="Times New Roman" w:cs="Times New Roman"/>
          <w:sz w:val="24"/>
          <w:szCs w:val="24"/>
        </w:rPr>
        <w:t xml:space="preserve">We add a new dimension to this debate by investigating </w:t>
      </w:r>
      <w:r w:rsidR="00FD4A4A" w:rsidRPr="00CB1B13">
        <w:rPr>
          <w:rFonts w:ascii="Times New Roman" w:hAnsi="Times New Roman" w:cs="Times New Roman"/>
          <w:sz w:val="24"/>
          <w:szCs w:val="24"/>
        </w:rPr>
        <w:t>if</w:t>
      </w:r>
      <w:r w:rsidR="00B572FE" w:rsidRPr="00CB1B13">
        <w:rPr>
          <w:rFonts w:ascii="Times New Roman" w:hAnsi="Times New Roman" w:cs="Times New Roman"/>
          <w:sz w:val="24"/>
          <w:szCs w:val="24"/>
        </w:rPr>
        <w:t xml:space="preserve"> </w:t>
      </w:r>
      <w:r w:rsidR="00B6198E">
        <w:rPr>
          <w:rFonts w:ascii="Times New Roman" w:hAnsi="Times New Roman" w:cs="Times New Roman"/>
          <w:sz w:val="24"/>
          <w:szCs w:val="24"/>
        </w:rPr>
        <w:t xml:space="preserve">MNCs and </w:t>
      </w:r>
      <w:r w:rsidR="00A4530A">
        <w:rPr>
          <w:rFonts w:ascii="Times New Roman" w:hAnsi="Times New Roman" w:cs="Times New Roman"/>
          <w:sz w:val="24"/>
          <w:szCs w:val="24"/>
        </w:rPr>
        <w:t xml:space="preserve">domestic firms </w:t>
      </w:r>
      <w:r w:rsidR="001F1D61">
        <w:rPr>
          <w:rFonts w:ascii="Times New Roman" w:hAnsi="Times New Roman" w:cs="Times New Roman"/>
          <w:sz w:val="24"/>
          <w:szCs w:val="24"/>
        </w:rPr>
        <w:t xml:space="preserve">behave </w:t>
      </w:r>
      <w:r w:rsidR="00A4530A">
        <w:rPr>
          <w:rFonts w:ascii="Times New Roman" w:hAnsi="Times New Roman" w:cs="Times New Roman"/>
          <w:sz w:val="24"/>
          <w:szCs w:val="24"/>
        </w:rPr>
        <w:t>differ</w:t>
      </w:r>
      <w:r w:rsidR="001F1D61">
        <w:rPr>
          <w:rFonts w:ascii="Times New Roman" w:hAnsi="Times New Roman" w:cs="Times New Roman"/>
          <w:sz w:val="24"/>
          <w:szCs w:val="24"/>
        </w:rPr>
        <w:t>ently</w:t>
      </w:r>
      <w:r w:rsidR="00FD4A4A" w:rsidRPr="00CB1B13">
        <w:rPr>
          <w:rFonts w:ascii="Times New Roman" w:hAnsi="Times New Roman" w:cs="Times New Roman"/>
          <w:sz w:val="24"/>
          <w:szCs w:val="24"/>
        </w:rPr>
        <w:t xml:space="preserve"> </w:t>
      </w:r>
      <w:r w:rsidR="00FE54A9" w:rsidRPr="00CB1B13">
        <w:rPr>
          <w:rFonts w:ascii="Times New Roman" w:hAnsi="Times New Roman" w:cs="Times New Roman"/>
          <w:sz w:val="24"/>
          <w:szCs w:val="24"/>
        </w:rPr>
        <w:t xml:space="preserve">in </w:t>
      </w:r>
      <w:r w:rsidR="00CB1B13">
        <w:rPr>
          <w:rFonts w:ascii="Times New Roman" w:hAnsi="Times New Roman" w:cs="Times New Roman"/>
          <w:sz w:val="24"/>
          <w:szCs w:val="24"/>
        </w:rPr>
        <w:t xml:space="preserve">varying </w:t>
      </w:r>
      <w:r w:rsidR="00074B5E" w:rsidRPr="00CB1B13">
        <w:rPr>
          <w:rFonts w:ascii="Times New Roman" w:hAnsi="Times New Roman" w:cs="Times New Roman"/>
          <w:sz w:val="24"/>
          <w:szCs w:val="24"/>
        </w:rPr>
        <w:t>market conditions</w:t>
      </w:r>
      <w:r w:rsidR="003E6430" w:rsidRPr="00CB1B13">
        <w:rPr>
          <w:rFonts w:ascii="Times New Roman" w:hAnsi="Times New Roman" w:cs="Times New Roman"/>
          <w:sz w:val="24"/>
          <w:szCs w:val="24"/>
        </w:rPr>
        <w:t>.</w:t>
      </w:r>
      <w:r w:rsidR="003E6430" w:rsidRPr="00FE54A9">
        <w:rPr>
          <w:rFonts w:ascii="Times New Roman" w:hAnsi="Times New Roman" w:cs="Times New Roman"/>
          <w:sz w:val="24"/>
          <w:szCs w:val="24"/>
        </w:rPr>
        <w:t xml:space="preserve"> </w:t>
      </w:r>
      <w:r w:rsidR="00FD4A4A" w:rsidRPr="00FE54A9">
        <w:rPr>
          <w:rFonts w:ascii="Times New Roman" w:hAnsi="Times New Roman" w:cs="Times New Roman"/>
          <w:sz w:val="24"/>
          <w:szCs w:val="24"/>
        </w:rPr>
        <w:t xml:space="preserve"> </w:t>
      </w:r>
      <w:r w:rsidR="008B35E9">
        <w:rPr>
          <w:rFonts w:ascii="Times New Roman" w:eastAsia="Times New Roman" w:hAnsi="Times New Roman" w:cs="Times New Roman"/>
          <w:color w:val="000000"/>
          <w:sz w:val="24"/>
          <w:szCs w:val="24"/>
        </w:rPr>
        <w:t>We</w:t>
      </w:r>
      <w:r w:rsidR="00E4502E">
        <w:rPr>
          <w:rFonts w:ascii="Times New Roman" w:eastAsia="Times New Roman" w:hAnsi="Times New Roman" w:cs="Times New Roman"/>
          <w:color w:val="000000"/>
          <w:sz w:val="24"/>
          <w:szCs w:val="24"/>
        </w:rPr>
        <w:t xml:space="preserve"> hypothesize that</w:t>
      </w:r>
      <w:r w:rsidR="00E4502E" w:rsidRPr="00326D1D">
        <w:rPr>
          <w:rFonts w:ascii="Times New Roman" w:eastAsia="Times New Roman" w:hAnsi="Times New Roman" w:cs="Times New Roman"/>
          <w:color w:val="000000"/>
          <w:sz w:val="24"/>
          <w:szCs w:val="24"/>
        </w:rPr>
        <w:t xml:space="preserve"> investors may </w:t>
      </w:r>
      <w:r w:rsidR="00E4502E">
        <w:rPr>
          <w:rFonts w:ascii="Times New Roman" w:eastAsia="Times New Roman" w:hAnsi="Times New Roman" w:cs="Times New Roman"/>
          <w:color w:val="000000"/>
          <w:sz w:val="24"/>
          <w:szCs w:val="24"/>
        </w:rPr>
        <w:t>choose to invest to a greater or lesser extent in</w:t>
      </w:r>
      <w:r w:rsidR="00E4502E" w:rsidRPr="00326D1D">
        <w:rPr>
          <w:rFonts w:ascii="Times New Roman" w:eastAsia="Times New Roman" w:hAnsi="Times New Roman" w:cs="Times New Roman"/>
          <w:color w:val="000000"/>
          <w:sz w:val="24"/>
          <w:szCs w:val="24"/>
        </w:rPr>
        <w:t xml:space="preserve"> </w:t>
      </w:r>
      <w:r w:rsidR="00E4502E">
        <w:rPr>
          <w:rFonts w:ascii="Times New Roman" w:eastAsia="Times New Roman" w:hAnsi="Times New Roman" w:cs="Times New Roman"/>
          <w:sz w:val="24"/>
          <w:szCs w:val="24"/>
        </w:rPr>
        <w:t xml:space="preserve">domestically-oriented </w:t>
      </w:r>
      <w:r w:rsidR="00A40564">
        <w:rPr>
          <w:rFonts w:ascii="Times New Roman" w:eastAsia="Times New Roman" w:hAnsi="Times New Roman" w:cs="Times New Roman"/>
          <w:sz w:val="24"/>
          <w:szCs w:val="24"/>
        </w:rPr>
        <w:t>or internationally-oriented</w:t>
      </w:r>
      <w:r w:rsidR="00E4502E" w:rsidRPr="005F29FD">
        <w:rPr>
          <w:rFonts w:ascii="Times New Roman" w:eastAsia="Times New Roman" w:hAnsi="Times New Roman" w:cs="Times New Roman"/>
          <w:sz w:val="24"/>
          <w:szCs w:val="24"/>
        </w:rPr>
        <w:t xml:space="preserve"> firms depending on </w:t>
      </w:r>
      <w:r w:rsidR="003E6430">
        <w:rPr>
          <w:rFonts w:ascii="Times New Roman" w:eastAsia="Times New Roman" w:hAnsi="Times New Roman" w:cs="Times New Roman"/>
          <w:sz w:val="24"/>
          <w:szCs w:val="24"/>
        </w:rPr>
        <w:t xml:space="preserve">the domestic </w:t>
      </w:r>
      <w:r w:rsidR="00E4502E" w:rsidRPr="005F29FD">
        <w:rPr>
          <w:rFonts w:ascii="Times New Roman" w:eastAsia="Times New Roman" w:hAnsi="Times New Roman" w:cs="Times New Roman"/>
          <w:sz w:val="24"/>
          <w:szCs w:val="24"/>
        </w:rPr>
        <w:t xml:space="preserve">market.  </w:t>
      </w:r>
      <w:r w:rsidR="00270CA3">
        <w:rPr>
          <w:rFonts w:ascii="Times New Roman" w:eastAsia="Times New Roman" w:hAnsi="Times New Roman" w:cs="Times New Roman"/>
          <w:color w:val="000000"/>
          <w:sz w:val="24"/>
          <w:szCs w:val="24"/>
        </w:rPr>
        <w:t>Previous studies investigate</w:t>
      </w:r>
      <w:r w:rsidR="008B35E9">
        <w:rPr>
          <w:rFonts w:ascii="Times New Roman" w:eastAsia="Times New Roman" w:hAnsi="Times New Roman" w:cs="Times New Roman"/>
          <w:color w:val="000000"/>
          <w:sz w:val="24"/>
          <w:szCs w:val="24"/>
        </w:rPr>
        <w:t xml:space="preserve"> i</w:t>
      </w:r>
      <w:r w:rsidR="00A40564">
        <w:rPr>
          <w:rFonts w:ascii="Times New Roman" w:eastAsia="Times New Roman" w:hAnsi="Times New Roman" w:cs="Times New Roman"/>
          <w:color w:val="000000"/>
          <w:sz w:val="24"/>
          <w:szCs w:val="24"/>
        </w:rPr>
        <w:t>nvestor preference for dividend-</w:t>
      </w:r>
      <w:r w:rsidR="008B35E9">
        <w:rPr>
          <w:rFonts w:ascii="Times New Roman" w:eastAsia="Times New Roman" w:hAnsi="Times New Roman" w:cs="Times New Roman"/>
          <w:color w:val="000000"/>
          <w:sz w:val="24"/>
          <w:szCs w:val="24"/>
        </w:rPr>
        <w:t xml:space="preserve">paying stocks in varying market conditions.  </w:t>
      </w:r>
      <w:r w:rsidR="00DA0250">
        <w:rPr>
          <w:rStyle w:val="FootnoteReference"/>
          <w:rFonts w:ascii="Times New Roman" w:eastAsia="Times New Roman" w:hAnsi="Times New Roman" w:cs="Times New Roman"/>
          <w:color w:val="000000"/>
          <w:sz w:val="24"/>
          <w:szCs w:val="24"/>
        </w:rPr>
        <w:fldChar w:fldCharType="begin" w:fldLock="1"/>
      </w:r>
      <w:r w:rsidR="001E4568">
        <w:rPr>
          <w:rFonts w:ascii="Times New Roman" w:eastAsia="Times New Roman" w:hAnsi="Times New Roman" w:cs="Times New Roman"/>
          <w:color w:val="000000"/>
          <w:sz w:val="24"/>
          <w:szCs w:val="24"/>
        </w:rPr>
        <w:instrText>ADDIN CSL_CITATION {"citationItems":[{"id":"ITEM-1","itemData":{"ISBN":"0929-1199","ISSN":"09291199","abstract":"We find dividends do matter to shareholders, but more in declining markets than advancing ones. Dividend-paying stocks outperform non-dividend-paying stocks by 1 to 2% more per month in declining markets than in advancing markets. These results are economically and statistically significant and robust to many risk adjustments and across industries. In addition, we find an asymmetric response to dividend changes based on market conditions: dividend increases matter more in declining markets than advancing ones. Tests indicate that results are not due to more profitable firms and appear not to be caused either by free cash flow or signaling explanations. We also find that it is the existence of dividends, and not the dividend yield, that drives returns' asymmetric behavior relative to market movements. ?? 2011 Elsevier B.V.","author":[{"dropping-particle":"","family":"Fuller","given":"Kathleen P.","non-dropping-particle":"","parse-names":false,"suffix":""},{"dropping-particle":"","family":"Goldstein","given":"Michael a.","non-dropping-particle":"","parse-names":false,"suffix":""}],"container-title":"Journal of Corporate Finance","id":"ITEM-1","issue":"3","issued":{"date-parts":[["2011"]]},"page":"457-473","title":"Do dividends matter more in declining markets?","type":"article-journal","volume":"17"},"uris":["http://www.mendeley.com/documents/?uuid=dbbe866e-260c-4cc1-981e-579a49308260"]},{"id":"ITEM-2","itemData":{"ISSN":"1556-5068","abstract":"We find that investors across the globe differentially prefer dividend-paying stocks over non-dividend-paying stocks more in declining markets than in advancing markets, whether in developed or emerging markets or before or after the 2008 global crisis, even accounting for growth opportunities, size and risk effects. Dividend paying stocks outperform non-dividend paying stocks, by between 0.63% (China) to 3.79% (Canada) more per month in declining markets than in advancing markets. In declining markets, dividend paying firms outperform by more than any underperformance in advancing markets. Our findings show the relative outperformance of dividend paying firms, both prior to and after the 2008 sub-prime crisis, separately assuming a segmented and a fully integrated global equity market, and excluding the month of dividend declaration. The result is also robust across subsets of emerging and developed markets, across legal environments and in respect to high and low levels of dividend payer participation. In summary, we find that it is a global result that dividends do matter to shareholders, but especially so in declining markets.","author":[{"dropping-particle":"","family":"Goldstein","given":"Michael A.","non-dropping-particle":"","parse-names":false,"suffix":""},{"dropping-particle":"","family":"Goyal","given":"Abhinav","non-dropping-particle":"","parse-names":false,"suffix":""},{"dropping-particle":"","family":"Lucey","given":"Brian M.","non-dropping-particle":"","parse-names":false,"suffix":""},{"dropping-particle":"","family":"Muckley","given":"Cal B.","non-dropping-particle":"","parse-names":false,"suffix":""}],"container-title":"SSRN Electronic Journal","id":"ITEM-2","issued":{"date-parts":[["2014","6"]]},"title":"The Global Preference for Dividends in Declining Markets","type":"article-journal"},"uris":["http://www.mendeley.com/documents/?uuid=58ab152e-d9a7-4ba0-bbae-7e4b1aca67eb","http://www.mendeley.com/documents/?uuid=1b93009c-39dc-4323-ab83-2b404dbd40df"]}],"mendeley":{"formattedCitation":"(Fuller &amp; Goldstein, 2011; Goldstein, Goyal, Lucey, &amp; Muckley, 2014)","manualFormatting":"Fuller &amp; Goldstein (2011) ","plainTextFormattedCitation":"(Fuller &amp; Goldstein, 2011; Goldstein, Goyal, Lucey, &amp; Muckley, 2014)","previouslyFormattedCitation":"(Fuller &amp; Goldstein, 2011; Goldstein, Goyal, Lucey, &amp; Muckley, 2014)"},"properties":{"noteIndex":0},"schema":"https://github.com/citation-style-language/schema/raw/master/csl-citation.json"}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DA0250">
        <w:rPr>
          <w:rFonts w:ascii="Times New Roman" w:eastAsia="Times New Roman" w:hAnsi="Times New Roman" w:cs="Times New Roman"/>
          <w:noProof/>
          <w:color w:val="000000"/>
          <w:sz w:val="24"/>
          <w:szCs w:val="24"/>
        </w:rPr>
        <w:t xml:space="preserve">Fuller &amp; Goldstein (2011) </w:t>
      </w:r>
      <w:r w:rsidR="00DA0250">
        <w:rPr>
          <w:rStyle w:val="FootnoteReference"/>
          <w:rFonts w:ascii="Times New Roman" w:eastAsia="Times New Roman" w:hAnsi="Times New Roman" w:cs="Times New Roman"/>
          <w:color w:val="000000"/>
          <w:sz w:val="24"/>
          <w:szCs w:val="24"/>
        </w:rPr>
        <w:fldChar w:fldCharType="end"/>
      </w:r>
      <w:r w:rsidR="00270CA3">
        <w:rPr>
          <w:rFonts w:ascii="Times New Roman" w:eastAsia="Times New Roman" w:hAnsi="Times New Roman" w:cs="Times New Roman"/>
          <w:color w:val="000000"/>
          <w:sz w:val="24"/>
          <w:szCs w:val="24"/>
        </w:rPr>
        <w:t>and</w:t>
      </w:r>
      <w:r w:rsidR="00270CA3" w:rsidRPr="00270CA3">
        <w:rPr>
          <w:rFonts w:ascii="Times New Roman" w:eastAsia="Times New Roman" w:hAnsi="Times New Roman" w:cs="Times New Roman"/>
          <w:color w:val="000000"/>
          <w:sz w:val="24"/>
          <w:szCs w:val="24"/>
        </w:rPr>
        <w:t xml:space="preserve"> </w:t>
      </w:r>
      <w:r w:rsidR="00DA0250">
        <w:rPr>
          <w:rStyle w:val="FootnoteReference"/>
          <w:rFonts w:ascii="Times New Roman" w:eastAsia="Times New Roman" w:hAnsi="Times New Roman" w:cs="Times New Roman"/>
          <w:color w:val="000000"/>
          <w:sz w:val="24"/>
          <w:szCs w:val="24"/>
        </w:rPr>
        <w:fldChar w:fldCharType="begin" w:fldLock="1"/>
      </w:r>
      <w:r w:rsidR="001E4568">
        <w:rPr>
          <w:rFonts w:ascii="Times New Roman" w:eastAsia="Times New Roman" w:hAnsi="Times New Roman" w:cs="Times New Roman"/>
          <w:color w:val="000000"/>
          <w:sz w:val="24"/>
          <w:szCs w:val="24"/>
        </w:rPr>
        <w:instrText>ADDIN CSL_CITATION {"citationItems":[{"id":"ITEM-1","itemData":{"ISSN":"1556-5068","abstract":"We find that investors across the globe differentially prefer dividend-paying stocks over non-dividend-paying stocks more in declining markets than in advancing markets, whether in developed or emerging markets or before or after the 2008 global crisis, even accounting for growth opportunities, size and risk effects. Dividend paying stocks outperform non-dividend paying stocks, by between 0.63% (China) to 3.79% (Canada) more per month in declining markets than in advancing markets. In declining markets, dividend paying firms outperform by more than any underperformance in advancing markets. Our findings show the relative outperformance of dividend paying firms, both prior to and after the 2008 sub-prime crisis, separately assuming a segmented and a fully integrated global equity market, and excluding the month of dividend declaration. The result is also robust across subsets of emerging and developed markets, across legal environments and in respect to high and low levels of dividend payer participation. In summary, we find that it is a global result that dividends do matter to shareholders, but especially so in declining markets.","author":[{"dropping-particle":"","family":"Goldstein","given":"Michael A.","non-dropping-particle":"","parse-names":false,"suffix":""},{"dropping-particle":"","family":"Goyal","given":"Abhinav","non-dropping-particle":"","parse-names":false,"suffix":""},{"dropping-particle":"","family":"Lucey","given":"Brian M.","non-dropping-particle":"","parse-names":false,"suffix":""},{"dropping-particle":"","family":"Muckley","given":"Cal B.","non-dropping-particle":"","parse-names":false,"suffix":""}],"container-title":"SSRN Electronic Journal","id":"ITEM-1","issued":{"date-parts":[["2014","6"]]},"title":"The Global Preference for Dividends in Declining Markets","type":"article-journal"},"uris":["http://www.mendeley.com/documents/?uuid=1b93009c-39dc-4323-ab83-2b404dbd40df"]}],"mendeley":{"formattedCitation":"(Goldstein et al., 2014)","manualFormatting":"Goldstein et al. (2014)","plainTextFormattedCitation":"(Goldstein et al., 2014)","previouslyFormattedCitation":"(Goldstein et al., 2014)"},"properties":{"noteIndex":0},"schema":"https://github.com/citation-style-language/schema/raw/master/csl-citation.json"}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BD3355">
        <w:rPr>
          <w:rFonts w:ascii="Times New Roman" w:eastAsia="Times New Roman" w:hAnsi="Times New Roman" w:cs="Times New Roman"/>
          <w:noProof/>
          <w:color w:val="000000"/>
          <w:sz w:val="24"/>
          <w:szCs w:val="24"/>
        </w:rPr>
        <w:t>Goldstein et al. (2015</w:t>
      </w:r>
      <w:r w:rsidR="00DA0250">
        <w:rPr>
          <w:rFonts w:ascii="Times New Roman" w:eastAsia="Times New Roman" w:hAnsi="Times New Roman" w:cs="Times New Roman"/>
          <w:noProof/>
          <w:color w:val="000000"/>
          <w:sz w:val="24"/>
          <w:szCs w:val="24"/>
        </w:rPr>
        <w:t>)</w:t>
      </w:r>
      <w:r w:rsidR="00DA0250">
        <w:rPr>
          <w:rStyle w:val="FootnoteReference"/>
          <w:rFonts w:ascii="Times New Roman" w:eastAsia="Times New Roman" w:hAnsi="Times New Roman" w:cs="Times New Roman"/>
          <w:color w:val="000000"/>
          <w:sz w:val="24"/>
          <w:szCs w:val="24"/>
        </w:rPr>
        <w:fldChar w:fldCharType="end"/>
      </w:r>
      <w:r w:rsidR="00270CA3">
        <w:rPr>
          <w:rFonts w:ascii="Times New Roman" w:eastAsia="Times New Roman" w:hAnsi="Times New Roman" w:cs="Times New Roman"/>
          <w:color w:val="000000"/>
          <w:sz w:val="24"/>
          <w:szCs w:val="24"/>
        </w:rPr>
        <w:t xml:space="preserve"> </w:t>
      </w:r>
      <w:r w:rsidR="008B35E9" w:rsidRPr="00326D1D">
        <w:rPr>
          <w:rFonts w:ascii="Times New Roman" w:eastAsia="Times New Roman" w:hAnsi="Times New Roman" w:cs="Times New Roman"/>
          <w:color w:val="000000"/>
          <w:sz w:val="24"/>
          <w:szCs w:val="24"/>
        </w:rPr>
        <w:t xml:space="preserve">find that investors </w:t>
      </w:r>
      <w:r w:rsidR="008B35E9">
        <w:rPr>
          <w:rFonts w:ascii="Times New Roman" w:eastAsia="Times New Roman" w:hAnsi="Times New Roman" w:cs="Times New Roman"/>
          <w:color w:val="000000"/>
          <w:sz w:val="24"/>
          <w:szCs w:val="24"/>
        </w:rPr>
        <w:t>display a greater preference for</w:t>
      </w:r>
      <w:r w:rsidR="008B35E9" w:rsidRPr="00326D1D">
        <w:rPr>
          <w:rFonts w:ascii="Times New Roman" w:eastAsia="Times New Roman" w:hAnsi="Times New Roman" w:cs="Times New Roman"/>
          <w:color w:val="000000"/>
          <w:sz w:val="24"/>
          <w:szCs w:val="24"/>
        </w:rPr>
        <w:t xml:space="preserve"> dividend-paying stocks in declining </w:t>
      </w:r>
      <w:r w:rsidR="00577751">
        <w:rPr>
          <w:rFonts w:ascii="Times New Roman" w:eastAsia="Times New Roman" w:hAnsi="Times New Roman" w:cs="Times New Roman"/>
          <w:color w:val="000000"/>
          <w:sz w:val="24"/>
          <w:szCs w:val="24"/>
        </w:rPr>
        <w:t xml:space="preserve">rather than </w:t>
      </w:r>
      <w:r w:rsidR="008B35E9">
        <w:rPr>
          <w:rFonts w:ascii="Times New Roman" w:eastAsia="Times New Roman" w:hAnsi="Times New Roman" w:cs="Times New Roman"/>
          <w:color w:val="000000"/>
          <w:sz w:val="24"/>
          <w:szCs w:val="24"/>
        </w:rPr>
        <w:t>in advancing markets.</w:t>
      </w:r>
      <w:r w:rsidR="008B35E9" w:rsidRPr="00326D1D">
        <w:rPr>
          <w:rFonts w:ascii="Times New Roman" w:eastAsia="Times New Roman" w:hAnsi="Times New Roman" w:cs="Times New Roman"/>
          <w:color w:val="000000"/>
          <w:sz w:val="24"/>
          <w:szCs w:val="24"/>
        </w:rPr>
        <w:t xml:space="preserve"> </w:t>
      </w:r>
      <w:r w:rsidR="008B35E9">
        <w:rPr>
          <w:rFonts w:ascii="Times New Roman" w:eastAsia="Times New Roman" w:hAnsi="Times New Roman" w:cs="Times New Roman"/>
          <w:color w:val="000000"/>
          <w:sz w:val="24"/>
          <w:szCs w:val="24"/>
        </w:rPr>
        <w:t xml:space="preserve"> </w:t>
      </w:r>
      <w:r w:rsidR="008B35E9" w:rsidRPr="00326D1D">
        <w:rPr>
          <w:rFonts w:ascii="Times New Roman" w:eastAsia="Times New Roman" w:hAnsi="Times New Roman" w:cs="Times New Roman"/>
          <w:sz w:val="24"/>
          <w:szCs w:val="24"/>
        </w:rPr>
        <w:t>Anecdotal evide</w:t>
      </w:r>
      <w:r w:rsidR="008B35E9">
        <w:rPr>
          <w:rFonts w:ascii="Times New Roman" w:eastAsia="Times New Roman" w:hAnsi="Times New Roman" w:cs="Times New Roman"/>
          <w:sz w:val="24"/>
          <w:szCs w:val="24"/>
        </w:rPr>
        <w:t xml:space="preserve">nce from the Financial Times suggests that the FTSE 250 </w:t>
      </w:r>
      <w:r w:rsidR="008B35E9" w:rsidRPr="00326D1D">
        <w:rPr>
          <w:rFonts w:ascii="Times New Roman" w:eastAsia="Times New Roman" w:hAnsi="Times New Roman" w:cs="Times New Roman"/>
          <w:sz w:val="24"/>
          <w:szCs w:val="24"/>
        </w:rPr>
        <w:t>and S&amp;P500 have at times operated in a two tier manner, with prices of ‘domestic’ and ‘international’ firms reacting differently to foreign and domestic economic conditions.</w:t>
      </w:r>
      <w:r w:rsidR="008B35E9" w:rsidRPr="0080161D">
        <w:rPr>
          <w:rStyle w:val="FootnoteReference"/>
        </w:rPr>
        <w:footnoteReference w:id="1"/>
      </w:r>
      <w:r w:rsidR="008B35E9" w:rsidRPr="00326D1D">
        <w:rPr>
          <w:rFonts w:ascii="Times New Roman" w:eastAsia="Times New Roman" w:hAnsi="Times New Roman" w:cs="Times New Roman"/>
          <w:sz w:val="24"/>
          <w:szCs w:val="24"/>
        </w:rPr>
        <w:t xml:space="preserve">  </w:t>
      </w:r>
      <w:r w:rsidR="008B35E9">
        <w:rPr>
          <w:rFonts w:ascii="Times New Roman" w:eastAsia="Times New Roman" w:hAnsi="Times New Roman" w:cs="Times New Roman"/>
          <w:sz w:val="24"/>
          <w:szCs w:val="24"/>
        </w:rPr>
        <w:t xml:space="preserve">However, to the best of our knowledge, this has not been tested empirically.  </w:t>
      </w:r>
      <w:r w:rsidR="008B35E9">
        <w:rPr>
          <w:rFonts w:ascii="Times New Roman" w:eastAsia="Times New Roman" w:hAnsi="Times New Roman" w:cs="Times New Roman"/>
          <w:color w:val="000000"/>
          <w:sz w:val="24"/>
          <w:szCs w:val="24"/>
        </w:rPr>
        <w:t>We address this gap in the literature and</w:t>
      </w:r>
      <w:r w:rsidR="009C5B69">
        <w:rPr>
          <w:rFonts w:ascii="Times New Roman" w:eastAsia="Times New Roman" w:hAnsi="Times New Roman" w:cs="Times New Roman"/>
          <w:color w:val="000000"/>
          <w:sz w:val="24"/>
          <w:szCs w:val="24"/>
        </w:rPr>
        <w:t xml:space="preserve"> investigate whether </w:t>
      </w:r>
      <w:r w:rsidR="007D4327" w:rsidRPr="00326D1D">
        <w:rPr>
          <w:rFonts w:ascii="Times New Roman" w:eastAsia="Times New Roman" w:hAnsi="Times New Roman" w:cs="Times New Roman"/>
          <w:color w:val="000000"/>
          <w:sz w:val="24"/>
          <w:szCs w:val="24"/>
        </w:rPr>
        <w:t xml:space="preserve">investors </w:t>
      </w:r>
      <w:r w:rsidR="007D4327">
        <w:rPr>
          <w:rFonts w:ascii="Times New Roman" w:eastAsia="Times New Roman" w:hAnsi="Times New Roman" w:cs="Times New Roman"/>
          <w:color w:val="000000"/>
          <w:sz w:val="24"/>
          <w:szCs w:val="24"/>
        </w:rPr>
        <w:t xml:space="preserve">differentiate between </w:t>
      </w:r>
      <w:r w:rsidR="00401CB9">
        <w:rPr>
          <w:rFonts w:ascii="Times New Roman" w:eastAsia="Times New Roman" w:hAnsi="Times New Roman" w:cs="Times New Roman"/>
          <w:color w:val="000000"/>
          <w:sz w:val="24"/>
          <w:szCs w:val="24"/>
        </w:rPr>
        <w:t>multinational and domestic firms</w:t>
      </w:r>
      <w:r w:rsidR="008D05DC">
        <w:rPr>
          <w:rFonts w:ascii="Times New Roman" w:eastAsia="Times New Roman" w:hAnsi="Times New Roman" w:cs="Times New Roman"/>
          <w:color w:val="000000"/>
          <w:sz w:val="24"/>
          <w:szCs w:val="24"/>
        </w:rPr>
        <w:t xml:space="preserve"> in advancing and declining markets</w:t>
      </w:r>
      <w:r w:rsidR="00CB1B1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w:t>
      </w:r>
      <w:r w:rsidR="00577751">
        <w:rPr>
          <w:rFonts w:ascii="Times New Roman" w:eastAsia="Times New Roman" w:hAnsi="Times New Roman" w:cs="Times New Roman"/>
          <w:color w:val="000000"/>
          <w:sz w:val="24"/>
          <w:szCs w:val="24"/>
        </w:rPr>
        <w:t>e</w:t>
      </w:r>
      <w:r w:rsidR="007E63B2">
        <w:rPr>
          <w:rFonts w:ascii="Times New Roman" w:eastAsia="Times New Roman" w:hAnsi="Times New Roman" w:cs="Times New Roman"/>
          <w:color w:val="000000"/>
          <w:sz w:val="24"/>
          <w:szCs w:val="24"/>
        </w:rPr>
        <w:t xml:space="preserve"> expect, a prio</w:t>
      </w:r>
      <w:r w:rsidR="000D1AC8">
        <w:rPr>
          <w:rFonts w:ascii="Times New Roman" w:eastAsia="Times New Roman" w:hAnsi="Times New Roman" w:cs="Times New Roman"/>
          <w:color w:val="000000"/>
          <w:sz w:val="24"/>
          <w:szCs w:val="24"/>
        </w:rPr>
        <w:t xml:space="preserve">ri, </w:t>
      </w:r>
      <w:r w:rsidR="009C5B69">
        <w:rPr>
          <w:rFonts w:ascii="Times New Roman" w:eastAsia="Times New Roman" w:hAnsi="Times New Roman" w:cs="Times New Roman"/>
          <w:color w:val="000000"/>
          <w:sz w:val="24"/>
          <w:szCs w:val="24"/>
        </w:rPr>
        <w:t xml:space="preserve">investors </w:t>
      </w:r>
      <w:r w:rsidR="000D1AC8">
        <w:rPr>
          <w:rFonts w:ascii="Times New Roman" w:eastAsia="Times New Roman" w:hAnsi="Times New Roman" w:cs="Times New Roman"/>
          <w:color w:val="000000"/>
          <w:sz w:val="24"/>
          <w:szCs w:val="24"/>
        </w:rPr>
        <w:t>to</w:t>
      </w:r>
      <w:r w:rsidR="007E63B2">
        <w:rPr>
          <w:rFonts w:ascii="Times New Roman" w:eastAsia="Times New Roman" w:hAnsi="Times New Roman" w:cs="Times New Roman"/>
          <w:color w:val="000000"/>
          <w:sz w:val="24"/>
          <w:szCs w:val="24"/>
        </w:rPr>
        <w:t xml:space="preserve"> </w:t>
      </w:r>
      <w:proofErr w:type="spellStart"/>
      <w:r w:rsidR="008D05DC">
        <w:rPr>
          <w:rFonts w:ascii="Times New Roman" w:eastAsia="Times New Roman" w:hAnsi="Times New Roman" w:cs="Times New Roman"/>
          <w:color w:val="000000"/>
          <w:sz w:val="24"/>
          <w:szCs w:val="24"/>
        </w:rPr>
        <w:t>favour</w:t>
      </w:r>
      <w:proofErr w:type="spellEnd"/>
      <w:r w:rsidR="009C5B69">
        <w:rPr>
          <w:rFonts w:ascii="Times New Roman" w:eastAsia="Times New Roman" w:hAnsi="Times New Roman" w:cs="Times New Roman"/>
          <w:color w:val="000000"/>
          <w:sz w:val="24"/>
          <w:szCs w:val="24"/>
        </w:rPr>
        <w:t xml:space="preserve"> </w:t>
      </w:r>
      <w:r w:rsidR="00F41804">
        <w:rPr>
          <w:rFonts w:ascii="Times New Roman" w:eastAsia="Times New Roman" w:hAnsi="Times New Roman" w:cs="Times New Roman"/>
          <w:color w:val="000000"/>
          <w:sz w:val="24"/>
          <w:szCs w:val="24"/>
        </w:rPr>
        <w:t xml:space="preserve">MNCs </w:t>
      </w:r>
      <w:r w:rsidR="009C5B69">
        <w:rPr>
          <w:rFonts w:ascii="Times New Roman" w:eastAsia="Times New Roman" w:hAnsi="Times New Roman" w:cs="Times New Roman"/>
          <w:color w:val="000000"/>
          <w:sz w:val="24"/>
          <w:szCs w:val="24"/>
        </w:rPr>
        <w:t xml:space="preserve">in periods of negative domestic returns, when </w:t>
      </w:r>
      <w:r w:rsidR="00401CB9">
        <w:rPr>
          <w:rFonts w:ascii="Times New Roman" w:eastAsia="Times New Roman" w:hAnsi="Times New Roman" w:cs="Times New Roman"/>
          <w:color w:val="000000"/>
          <w:sz w:val="24"/>
          <w:szCs w:val="24"/>
        </w:rPr>
        <w:t xml:space="preserve">internationally </w:t>
      </w:r>
      <w:r w:rsidR="009C5B69">
        <w:rPr>
          <w:rFonts w:ascii="Times New Roman" w:eastAsia="Times New Roman" w:hAnsi="Times New Roman" w:cs="Times New Roman"/>
          <w:color w:val="000000"/>
          <w:sz w:val="24"/>
          <w:szCs w:val="24"/>
        </w:rPr>
        <w:t xml:space="preserve">diversified investments </w:t>
      </w:r>
      <w:r w:rsidR="00577751">
        <w:rPr>
          <w:rFonts w:ascii="Times New Roman" w:eastAsia="Times New Roman" w:hAnsi="Times New Roman" w:cs="Times New Roman"/>
          <w:color w:val="000000"/>
          <w:sz w:val="24"/>
          <w:szCs w:val="24"/>
        </w:rPr>
        <w:t>may</w:t>
      </w:r>
      <w:r w:rsidR="009C5B69">
        <w:rPr>
          <w:rFonts w:ascii="Times New Roman" w:eastAsia="Times New Roman" w:hAnsi="Times New Roman" w:cs="Times New Roman"/>
          <w:color w:val="000000"/>
          <w:sz w:val="24"/>
          <w:szCs w:val="24"/>
        </w:rPr>
        <w:t xml:space="preserve"> be considered more valuable.  </w:t>
      </w:r>
    </w:p>
    <w:p w14:paraId="50A427DB" w14:textId="77777777" w:rsidR="001F7305" w:rsidRDefault="001F7305" w:rsidP="001F7305">
      <w:pPr>
        <w:spacing w:after="0" w:line="480" w:lineRule="auto"/>
        <w:jc w:val="both"/>
        <w:rPr>
          <w:rFonts w:ascii="Times New Roman" w:eastAsia="Times New Roman" w:hAnsi="Times New Roman" w:cs="Times New Roman"/>
          <w:color w:val="000000"/>
          <w:sz w:val="24"/>
          <w:szCs w:val="24"/>
        </w:rPr>
      </w:pPr>
    </w:p>
    <w:p w14:paraId="0D1F31E3" w14:textId="06644B29" w:rsidR="000D1AC8" w:rsidRDefault="007C5BD7" w:rsidP="001F7305">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test our hypothesis empirically using</w:t>
      </w:r>
      <w:r>
        <w:rPr>
          <w:rFonts w:ascii="Times New Roman" w:hAnsi="Times New Roman" w:cs="Times New Roman"/>
          <w:sz w:val="24"/>
          <w:szCs w:val="24"/>
        </w:rPr>
        <w:t xml:space="preserve"> two measures of firm-</w:t>
      </w:r>
      <w:r w:rsidR="000A7DE9">
        <w:rPr>
          <w:rFonts w:ascii="Times New Roman" w:hAnsi="Times New Roman" w:cs="Times New Roman"/>
          <w:sz w:val="24"/>
          <w:szCs w:val="24"/>
        </w:rPr>
        <w:t xml:space="preserve">level internationalization, </w:t>
      </w:r>
      <w:r>
        <w:rPr>
          <w:rFonts w:ascii="Times New Roman" w:hAnsi="Times New Roman" w:cs="Times New Roman"/>
          <w:sz w:val="24"/>
          <w:szCs w:val="24"/>
        </w:rPr>
        <w:t xml:space="preserve">the extent of foreign operations, measured as </w:t>
      </w:r>
      <w:r w:rsidR="000A7DE9">
        <w:rPr>
          <w:rFonts w:ascii="Times New Roman" w:hAnsi="Times New Roman" w:cs="Times New Roman"/>
          <w:sz w:val="24"/>
          <w:szCs w:val="24"/>
        </w:rPr>
        <w:t xml:space="preserve">foreign sales as a percentage of total sales and </w:t>
      </w:r>
      <w:r>
        <w:rPr>
          <w:rFonts w:ascii="Times New Roman" w:hAnsi="Times New Roman" w:cs="Times New Roman"/>
          <w:sz w:val="24"/>
          <w:szCs w:val="24"/>
        </w:rPr>
        <w:t xml:space="preserve">the scope </w:t>
      </w:r>
      <w:r>
        <w:rPr>
          <w:rFonts w:ascii="Times New Roman" w:hAnsi="Times New Roman" w:cs="Times New Roman"/>
          <w:sz w:val="24"/>
          <w:szCs w:val="24"/>
        </w:rPr>
        <w:lastRenderedPageBreak/>
        <w:t xml:space="preserve">of those foreign operations, measured as </w:t>
      </w:r>
      <w:r w:rsidR="000A7DE9">
        <w:rPr>
          <w:rFonts w:ascii="Times New Roman" w:hAnsi="Times New Roman" w:cs="Times New Roman"/>
          <w:sz w:val="24"/>
          <w:szCs w:val="24"/>
        </w:rPr>
        <w:t xml:space="preserve">the </w:t>
      </w:r>
      <w:r w:rsidR="001C2666">
        <w:rPr>
          <w:rFonts w:ascii="Times New Roman" w:hAnsi="Times New Roman" w:cs="Times New Roman"/>
          <w:sz w:val="24"/>
          <w:szCs w:val="24"/>
        </w:rPr>
        <w:t xml:space="preserve">number of regions of the world in which a firm </w:t>
      </w:r>
      <w:r>
        <w:rPr>
          <w:rFonts w:ascii="Times New Roman" w:hAnsi="Times New Roman" w:cs="Times New Roman"/>
          <w:sz w:val="24"/>
          <w:szCs w:val="24"/>
        </w:rPr>
        <w:t>reports</w:t>
      </w:r>
      <w:r w:rsidR="001C2666">
        <w:rPr>
          <w:rFonts w:ascii="Times New Roman" w:hAnsi="Times New Roman" w:cs="Times New Roman"/>
          <w:sz w:val="24"/>
          <w:szCs w:val="24"/>
        </w:rPr>
        <w:t xml:space="preserve"> sales</w:t>
      </w:r>
      <w:r w:rsidR="000A7DE9">
        <w:rPr>
          <w:rFonts w:ascii="Times New Roman" w:hAnsi="Times New Roman" w:cs="Times New Roman"/>
          <w:sz w:val="24"/>
          <w:szCs w:val="24"/>
        </w:rPr>
        <w:t xml:space="preserve">. </w:t>
      </w:r>
      <w:r>
        <w:rPr>
          <w:rFonts w:ascii="Times New Roman" w:hAnsi="Times New Roman" w:cs="Times New Roman"/>
          <w:sz w:val="24"/>
          <w:szCs w:val="24"/>
        </w:rPr>
        <w:t xml:space="preserve"> </w:t>
      </w:r>
      <w:r w:rsidR="00971893">
        <w:rPr>
          <w:rFonts w:ascii="Times New Roman" w:hAnsi="Times New Roman" w:cs="Times New Roman"/>
          <w:sz w:val="24"/>
          <w:szCs w:val="24"/>
        </w:rPr>
        <w:t xml:space="preserve">This creates a unique </w:t>
      </w:r>
      <w:r w:rsidR="00E27279">
        <w:rPr>
          <w:rFonts w:ascii="Times New Roman" w:hAnsi="Times New Roman" w:cs="Times New Roman"/>
          <w:sz w:val="24"/>
          <w:szCs w:val="24"/>
        </w:rPr>
        <w:t xml:space="preserve">longitudinal </w:t>
      </w:r>
      <w:r w:rsidR="00971893">
        <w:rPr>
          <w:rFonts w:ascii="Times New Roman" w:hAnsi="Times New Roman" w:cs="Times New Roman"/>
          <w:sz w:val="24"/>
          <w:szCs w:val="24"/>
        </w:rPr>
        <w:t xml:space="preserve">dataset capturing both the extent and scope of foreign operations </w:t>
      </w:r>
      <w:r w:rsidR="00450E8A">
        <w:rPr>
          <w:rFonts w:ascii="Times New Roman" w:hAnsi="Times New Roman" w:cs="Times New Roman"/>
          <w:sz w:val="24"/>
          <w:szCs w:val="24"/>
        </w:rPr>
        <w:t>as proposed by Agga</w:t>
      </w:r>
      <w:r w:rsidR="00971893">
        <w:rPr>
          <w:rFonts w:ascii="Times New Roman" w:hAnsi="Times New Roman" w:cs="Times New Roman"/>
          <w:sz w:val="24"/>
          <w:szCs w:val="24"/>
        </w:rPr>
        <w:t xml:space="preserve">rwal et al (2011). </w:t>
      </w:r>
      <w:r w:rsidR="001E1404">
        <w:rPr>
          <w:rFonts w:ascii="Times New Roman" w:hAnsi="Times New Roman" w:cs="Times New Roman"/>
          <w:sz w:val="24"/>
          <w:szCs w:val="24"/>
        </w:rPr>
        <w:t xml:space="preserve"> </w:t>
      </w:r>
      <w:r w:rsidR="009C5B69">
        <w:rPr>
          <w:rFonts w:ascii="Times New Roman" w:eastAsia="Times New Roman" w:hAnsi="Times New Roman" w:cs="Times New Roman"/>
          <w:color w:val="000000"/>
          <w:sz w:val="24"/>
          <w:szCs w:val="24"/>
        </w:rPr>
        <w:t xml:space="preserve">Using </w:t>
      </w:r>
      <w:r w:rsidR="002A40E3">
        <w:rPr>
          <w:rFonts w:ascii="Times New Roman" w:eastAsia="Times New Roman" w:hAnsi="Times New Roman" w:cs="Times New Roman"/>
          <w:color w:val="000000"/>
          <w:sz w:val="24"/>
          <w:szCs w:val="24"/>
        </w:rPr>
        <w:t xml:space="preserve">a sample of 9,564 </w:t>
      </w:r>
      <w:r w:rsidR="00F114C5">
        <w:rPr>
          <w:rFonts w:ascii="Times New Roman" w:eastAsia="Times New Roman" w:hAnsi="Times New Roman" w:cs="Times New Roman"/>
          <w:color w:val="000000"/>
          <w:sz w:val="24"/>
          <w:szCs w:val="24"/>
        </w:rPr>
        <w:t>US firms betwe</w:t>
      </w:r>
      <w:r w:rsidR="009C5B69">
        <w:rPr>
          <w:rFonts w:ascii="Times New Roman" w:eastAsia="Times New Roman" w:hAnsi="Times New Roman" w:cs="Times New Roman"/>
          <w:color w:val="000000"/>
          <w:sz w:val="24"/>
          <w:szCs w:val="24"/>
        </w:rPr>
        <w:t>en 1995 and 2014,</w:t>
      </w:r>
      <w:r w:rsidR="00F114C5">
        <w:rPr>
          <w:rFonts w:ascii="Times New Roman" w:eastAsia="Times New Roman" w:hAnsi="Times New Roman" w:cs="Times New Roman"/>
          <w:color w:val="000000"/>
          <w:sz w:val="24"/>
          <w:szCs w:val="24"/>
        </w:rPr>
        <w:t xml:space="preserve"> we </w:t>
      </w:r>
      <w:r w:rsidR="007E63B2">
        <w:rPr>
          <w:rFonts w:ascii="Times New Roman" w:eastAsia="Times New Roman" w:hAnsi="Times New Roman" w:cs="Times New Roman"/>
          <w:color w:val="000000"/>
          <w:sz w:val="24"/>
          <w:szCs w:val="24"/>
        </w:rPr>
        <w:t>compare the returns of firm</w:t>
      </w:r>
      <w:r w:rsidR="000A7DE9">
        <w:rPr>
          <w:rFonts w:ascii="Times New Roman" w:eastAsia="Times New Roman" w:hAnsi="Times New Roman" w:cs="Times New Roman"/>
          <w:color w:val="000000"/>
          <w:sz w:val="24"/>
          <w:szCs w:val="24"/>
        </w:rPr>
        <w:t>s</w:t>
      </w:r>
      <w:r w:rsidR="001C2666">
        <w:rPr>
          <w:rFonts w:ascii="Times New Roman" w:eastAsia="Times New Roman" w:hAnsi="Times New Roman" w:cs="Times New Roman"/>
          <w:color w:val="000000"/>
          <w:sz w:val="24"/>
          <w:szCs w:val="24"/>
        </w:rPr>
        <w:t xml:space="preserve"> categorized by these</w:t>
      </w:r>
      <w:r w:rsidR="00F114C5">
        <w:rPr>
          <w:rFonts w:ascii="Times New Roman" w:eastAsia="Times New Roman" w:hAnsi="Times New Roman" w:cs="Times New Roman"/>
          <w:color w:val="000000"/>
          <w:sz w:val="24"/>
          <w:szCs w:val="24"/>
        </w:rPr>
        <w:t xml:space="preserve"> </w:t>
      </w:r>
      <w:r w:rsidR="00CA6885">
        <w:rPr>
          <w:rFonts w:ascii="Times New Roman" w:eastAsia="Times New Roman" w:hAnsi="Times New Roman" w:cs="Times New Roman"/>
          <w:color w:val="000000"/>
          <w:sz w:val="24"/>
          <w:szCs w:val="24"/>
        </w:rPr>
        <w:t>measures</w:t>
      </w:r>
      <w:r w:rsidR="00F114C5">
        <w:rPr>
          <w:rFonts w:ascii="Times New Roman" w:eastAsia="Times New Roman" w:hAnsi="Times New Roman" w:cs="Times New Roman"/>
          <w:color w:val="000000"/>
          <w:sz w:val="24"/>
          <w:szCs w:val="24"/>
        </w:rPr>
        <w:t xml:space="preserve"> of internationalization, in periods of positive and negative </w:t>
      </w:r>
      <w:r w:rsidR="009A7847">
        <w:rPr>
          <w:rFonts w:ascii="Times New Roman" w:eastAsia="Times New Roman" w:hAnsi="Times New Roman" w:cs="Times New Roman"/>
          <w:color w:val="000000"/>
          <w:sz w:val="24"/>
          <w:szCs w:val="24"/>
        </w:rPr>
        <w:t xml:space="preserve">US market </w:t>
      </w:r>
      <w:r w:rsidR="00F114C5">
        <w:rPr>
          <w:rFonts w:ascii="Times New Roman" w:eastAsia="Times New Roman" w:hAnsi="Times New Roman" w:cs="Times New Roman"/>
          <w:color w:val="000000"/>
          <w:sz w:val="24"/>
          <w:szCs w:val="24"/>
        </w:rPr>
        <w:t>returns</w:t>
      </w:r>
      <w:r w:rsidR="009A7847">
        <w:rPr>
          <w:rFonts w:ascii="Times New Roman" w:eastAsia="Times New Roman" w:hAnsi="Times New Roman" w:cs="Times New Roman"/>
          <w:color w:val="000000"/>
          <w:sz w:val="24"/>
          <w:szCs w:val="24"/>
        </w:rPr>
        <w:t>.</w:t>
      </w:r>
      <w:r w:rsidR="001C2666">
        <w:rPr>
          <w:rFonts w:ascii="Times New Roman" w:eastAsia="Times New Roman" w:hAnsi="Times New Roman" w:cs="Times New Roman"/>
          <w:color w:val="000000"/>
          <w:sz w:val="24"/>
          <w:szCs w:val="24"/>
        </w:rPr>
        <w:t xml:space="preserve"> </w:t>
      </w:r>
      <w:r w:rsidR="00E978E4">
        <w:rPr>
          <w:rFonts w:ascii="Times New Roman" w:eastAsia="Times New Roman" w:hAnsi="Times New Roman" w:cs="Times New Roman"/>
          <w:color w:val="000000"/>
          <w:sz w:val="24"/>
          <w:szCs w:val="24"/>
        </w:rPr>
        <w:t xml:space="preserve"> </w:t>
      </w:r>
      <w:r w:rsidR="00E978E4" w:rsidRPr="002E2B35">
        <w:rPr>
          <w:rFonts w:ascii="Times New Roman" w:eastAsia="Times New Roman" w:hAnsi="Times New Roman" w:cs="Times New Roman"/>
          <w:color w:val="000000"/>
          <w:sz w:val="24"/>
          <w:szCs w:val="24"/>
        </w:rPr>
        <w:t xml:space="preserve">We estimate a modified version of the </w:t>
      </w:r>
      <w:proofErr w:type="spellStart"/>
      <w:r w:rsidR="00E978E4" w:rsidRPr="002E2B35">
        <w:rPr>
          <w:rFonts w:ascii="Times New Roman" w:eastAsia="Times New Roman" w:hAnsi="Times New Roman" w:cs="Times New Roman"/>
          <w:color w:val="000000"/>
          <w:sz w:val="24"/>
          <w:szCs w:val="24"/>
        </w:rPr>
        <w:t>Fama</w:t>
      </w:r>
      <w:proofErr w:type="spellEnd"/>
      <w:r w:rsidR="00E978E4" w:rsidRPr="002E2B35">
        <w:rPr>
          <w:rFonts w:ascii="Times New Roman" w:eastAsia="Times New Roman" w:hAnsi="Times New Roman" w:cs="Times New Roman"/>
          <w:color w:val="000000"/>
          <w:sz w:val="24"/>
          <w:szCs w:val="24"/>
        </w:rPr>
        <w:t xml:space="preserve">-French three and five factor models and test the robustness of our results to </w:t>
      </w:r>
      <w:r w:rsidR="00E978E4" w:rsidRPr="00E80013">
        <w:rPr>
          <w:rFonts w:ascii="Times New Roman" w:eastAsia="Times New Roman" w:hAnsi="Times New Roman" w:cs="Times New Roman"/>
          <w:color w:val="000000"/>
          <w:sz w:val="24"/>
          <w:szCs w:val="24"/>
        </w:rPr>
        <w:t>size, liquidity and growth factors.</w:t>
      </w:r>
    </w:p>
    <w:p w14:paraId="0DBE4109" w14:textId="77777777" w:rsidR="00BB7C58" w:rsidRDefault="00BB7C58" w:rsidP="001F7305">
      <w:pPr>
        <w:spacing w:after="0" w:line="480" w:lineRule="auto"/>
        <w:jc w:val="both"/>
        <w:rPr>
          <w:rFonts w:ascii="Times New Roman" w:eastAsia="Times New Roman" w:hAnsi="Times New Roman" w:cs="Times New Roman"/>
          <w:color w:val="000000"/>
          <w:sz w:val="24"/>
          <w:szCs w:val="24"/>
        </w:rPr>
      </w:pPr>
    </w:p>
    <w:p w14:paraId="2B7F1957" w14:textId="7AC466C3" w:rsidR="00CA0DE5" w:rsidRDefault="00373E03" w:rsidP="001F7305">
      <w:pPr>
        <w:spacing w:after="0" w:line="48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Contrary to what prevailing theories</w:t>
      </w:r>
      <w:r w:rsidR="005733A3">
        <w:rPr>
          <w:rFonts w:ascii="Times New Roman" w:eastAsia="Times New Roman" w:hAnsi="Times New Roman" w:cs="Times New Roman"/>
          <w:color w:val="000000"/>
          <w:sz w:val="24"/>
          <w:szCs w:val="24"/>
        </w:rPr>
        <w:t xml:space="preserve"> predict</w:t>
      </w:r>
      <w:r>
        <w:rPr>
          <w:rFonts w:ascii="Times New Roman" w:eastAsia="Times New Roman" w:hAnsi="Times New Roman" w:cs="Times New Roman"/>
          <w:color w:val="000000"/>
          <w:sz w:val="24"/>
          <w:szCs w:val="24"/>
        </w:rPr>
        <w:t>, w</w:t>
      </w:r>
      <w:r w:rsidR="006075F2">
        <w:rPr>
          <w:rFonts w:ascii="Times New Roman" w:eastAsia="Times New Roman" w:hAnsi="Times New Roman" w:cs="Times New Roman"/>
          <w:color w:val="000000"/>
          <w:sz w:val="24"/>
          <w:szCs w:val="24"/>
        </w:rPr>
        <w:t xml:space="preserve">e find that </w:t>
      </w:r>
      <w:r w:rsidR="00083613" w:rsidRPr="00083613">
        <w:rPr>
          <w:rFonts w:ascii="Times New Roman" w:eastAsia="Times New Roman" w:hAnsi="Times New Roman" w:cs="Times New Roman"/>
          <w:color w:val="000000"/>
          <w:sz w:val="24"/>
          <w:szCs w:val="24"/>
        </w:rPr>
        <w:t xml:space="preserve">domestic firms outperform </w:t>
      </w:r>
      <w:r w:rsidR="002E2B35">
        <w:rPr>
          <w:rFonts w:ascii="Times New Roman" w:eastAsia="Times New Roman" w:hAnsi="Times New Roman" w:cs="Times New Roman"/>
          <w:color w:val="000000"/>
          <w:sz w:val="24"/>
          <w:szCs w:val="24"/>
        </w:rPr>
        <w:t xml:space="preserve">MNCs </w:t>
      </w:r>
      <w:r w:rsidR="00083613" w:rsidRPr="00083613">
        <w:rPr>
          <w:rFonts w:ascii="Times New Roman" w:eastAsia="Times New Roman" w:hAnsi="Times New Roman" w:cs="Times New Roman"/>
          <w:color w:val="000000"/>
          <w:sz w:val="24"/>
          <w:szCs w:val="24"/>
        </w:rPr>
        <w:t xml:space="preserve">in declining markets </w:t>
      </w:r>
      <w:r w:rsidR="00083613">
        <w:rPr>
          <w:rFonts w:ascii="Times New Roman" w:eastAsia="Times New Roman" w:hAnsi="Times New Roman" w:cs="Times New Roman"/>
          <w:color w:val="000000"/>
          <w:sz w:val="24"/>
          <w:szCs w:val="24"/>
        </w:rPr>
        <w:t xml:space="preserve">by more </w:t>
      </w:r>
      <w:r w:rsidR="00083613" w:rsidRPr="00083613">
        <w:rPr>
          <w:rFonts w:ascii="Times New Roman" w:eastAsia="Times New Roman" w:hAnsi="Times New Roman" w:cs="Times New Roman"/>
          <w:color w:val="000000"/>
          <w:sz w:val="24"/>
          <w:szCs w:val="24"/>
        </w:rPr>
        <w:t xml:space="preserve">than </w:t>
      </w:r>
      <w:r w:rsidR="00083613">
        <w:rPr>
          <w:rFonts w:ascii="Times New Roman" w:eastAsia="Times New Roman" w:hAnsi="Times New Roman" w:cs="Times New Roman"/>
          <w:color w:val="000000"/>
          <w:sz w:val="24"/>
          <w:szCs w:val="24"/>
        </w:rPr>
        <w:t xml:space="preserve">they underperform </w:t>
      </w:r>
      <w:r w:rsidR="002E2B35">
        <w:rPr>
          <w:rFonts w:ascii="Times New Roman" w:eastAsia="Times New Roman" w:hAnsi="Times New Roman" w:cs="Times New Roman"/>
          <w:color w:val="000000"/>
          <w:sz w:val="24"/>
          <w:szCs w:val="24"/>
        </w:rPr>
        <w:t xml:space="preserve">MNCs </w:t>
      </w:r>
      <w:r w:rsidR="00083613">
        <w:rPr>
          <w:rFonts w:ascii="Times New Roman" w:eastAsia="Times New Roman" w:hAnsi="Times New Roman" w:cs="Times New Roman"/>
          <w:color w:val="000000"/>
          <w:sz w:val="24"/>
          <w:szCs w:val="24"/>
        </w:rPr>
        <w:t xml:space="preserve">in advancing markets, </w:t>
      </w:r>
      <w:r w:rsidR="00083613" w:rsidRPr="00083613">
        <w:rPr>
          <w:rFonts w:ascii="Times New Roman" w:eastAsia="Times New Roman" w:hAnsi="Times New Roman" w:cs="Times New Roman"/>
          <w:color w:val="000000"/>
          <w:sz w:val="24"/>
          <w:szCs w:val="24"/>
        </w:rPr>
        <w:t xml:space="preserve">and </w:t>
      </w:r>
      <w:r w:rsidR="00E945BD">
        <w:rPr>
          <w:rFonts w:ascii="Times New Roman" w:eastAsia="Times New Roman" w:hAnsi="Times New Roman" w:cs="Times New Roman"/>
          <w:color w:val="000000"/>
          <w:sz w:val="24"/>
          <w:szCs w:val="24"/>
        </w:rPr>
        <w:t xml:space="preserve">we find that </w:t>
      </w:r>
      <w:r w:rsidR="00083613" w:rsidRPr="00083613">
        <w:rPr>
          <w:rFonts w:ascii="Times New Roman" w:eastAsia="Times New Roman" w:hAnsi="Times New Roman" w:cs="Times New Roman"/>
          <w:color w:val="000000"/>
          <w:sz w:val="24"/>
          <w:szCs w:val="24"/>
        </w:rPr>
        <w:t xml:space="preserve">the difference increases as </w:t>
      </w:r>
      <w:r>
        <w:rPr>
          <w:rFonts w:ascii="Times New Roman" w:eastAsia="Times New Roman" w:hAnsi="Times New Roman" w:cs="Times New Roman"/>
          <w:color w:val="000000"/>
          <w:sz w:val="24"/>
          <w:szCs w:val="24"/>
        </w:rPr>
        <w:t xml:space="preserve">the degree of </w:t>
      </w:r>
      <w:r w:rsidR="00083613" w:rsidRPr="00083613">
        <w:rPr>
          <w:rFonts w:ascii="Times New Roman" w:eastAsia="Times New Roman" w:hAnsi="Times New Roman" w:cs="Times New Roman"/>
          <w:color w:val="000000"/>
          <w:sz w:val="24"/>
          <w:szCs w:val="24"/>
        </w:rPr>
        <w:t>firm internationalization increases.</w:t>
      </w:r>
      <w:r w:rsidR="00E705A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That is, when returns of the US equity market are negative, investors are selling domestic firms </w:t>
      </w:r>
      <w:r w:rsidRPr="00373E03">
        <w:rPr>
          <w:rFonts w:ascii="Times New Roman" w:eastAsia="Times New Roman" w:hAnsi="Times New Roman" w:cs="Times New Roman"/>
          <w:i/>
          <w:color w:val="000000"/>
          <w:sz w:val="24"/>
          <w:szCs w:val="24"/>
        </w:rPr>
        <w:t>less</w:t>
      </w:r>
      <w:r>
        <w:rPr>
          <w:rFonts w:ascii="Times New Roman" w:eastAsia="Times New Roman" w:hAnsi="Times New Roman" w:cs="Times New Roman"/>
          <w:color w:val="000000"/>
          <w:sz w:val="24"/>
          <w:szCs w:val="24"/>
        </w:rPr>
        <w:t xml:space="preserve"> than they are selling</w:t>
      </w:r>
      <w:r w:rsidR="002E2B35">
        <w:rPr>
          <w:rFonts w:ascii="Times New Roman" w:eastAsia="Times New Roman" w:hAnsi="Times New Roman" w:cs="Times New Roman"/>
          <w:color w:val="000000"/>
          <w:sz w:val="24"/>
          <w:szCs w:val="24"/>
        </w:rPr>
        <w:t xml:space="preserve"> MNCs</w:t>
      </w:r>
      <w:r>
        <w:rPr>
          <w:rFonts w:ascii="Times New Roman" w:eastAsia="Times New Roman" w:hAnsi="Times New Roman" w:cs="Times New Roman"/>
          <w:color w:val="000000"/>
          <w:sz w:val="24"/>
          <w:szCs w:val="24"/>
        </w:rPr>
        <w:t xml:space="preserve">.  </w:t>
      </w:r>
      <w:r w:rsidR="00BB7C58">
        <w:rPr>
          <w:rFonts w:ascii="Times New Roman" w:eastAsia="Times New Roman" w:hAnsi="Times New Roman" w:cs="Times New Roman"/>
          <w:color w:val="000000"/>
          <w:sz w:val="24"/>
          <w:szCs w:val="24"/>
        </w:rPr>
        <w:t>Our findings are</w:t>
      </w:r>
      <w:r w:rsidR="00C811CD" w:rsidRPr="00EF3E0D">
        <w:rPr>
          <w:rFonts w:ascii="Times New Roman" w:eastAsia="Times New Roman" w:hAnsi="Times New Roman" w:cs="Times New Roman"/>
          <w:color w:val="000000"/>
          <w:sz w:val="24"/>
          <w:szCs w:val="24"/>
        </w:rPr>
        <w:t xml:space="preserve"> robust to </w:t>
      </w:r>
      <w:r w:rsidR="001F754F">
        <w:rPr>
          <w:rFonts w:ascii="Times New Roman" w:eastAsia="Times New Roman" w:hAnsi="Times New Roman" w:cs="Times New Roman"/>
          <w:color w:val="000000"/>
          <w:sz w:val="24"/>
          <w:szCs w:val="24"/>
        </w:rPr>
        <w:t xml:space="preserve">a variety of adjustments including </w:t>
      </w:r>
      <w:r w:rsidR="00C811CD" w:rsidRPr="00EF3E0D">
        <w:rPr>
          <w:rFonts w:ascii="Times New Roman" w:eastAsia="Times New Roman" w:hAnsi="Times New Roman" w:cs="Times New Roman"/>
          <w:color w:val="000000"/>
          <w:sz w:val="24"/>
          <w:szCs w:val="24"/>
        </w:rPr>
        <w:t>firm s</w:t>
      </w:r>
      <w:r w:rsidR="001F754F">
        <w:rPr>
          <w:rFonts w:ascii="Times New Roman" w:eastAsia="Times New Roman" w:hAnsi="Times New Roman" w:cs="Times New Roman"/>
          <w:color w:val="000000"/>
          <w:sz w:val="24"/>
          <w:szCs w:val="24"/>
        </w:rPr>
        <w:t>ize and market to book ratios,</w:t>
      </w:r>
      <w:r w:rsidR="002B3BCB">
        <w:rPr>
          <w:rFonts w:ascii="Times New Roman" w:eastAsia="Times New Roman" w:hAnsi="Times New Roman" w:cs="Times New Roman"/>
          <w:color w:val="000000"/>
          <w:sz w:val="24"/>
          <w:szCs w:val="24"/>
        </w:rPr>
        <w:t xml:space="preserve"> </w:t>
      </w:r>
      <w:r w:rsidR="001F754F">
        <w:rPr>
          <w:rFonts w:ascii="Times New Roman" w:hAnsi="Times New Roman" w:cs="Times New Roman"/>
          <w:sz w:val="24"/>
          <w:szCs w:val="24"/>
        </w:rPr>
        <w:t xml:space="preserve">the </w:t>
      </w:r>
      <w:proofErr w:type="spellStart"/>
      <w:r w:rsidR="001F754F" w:rsidRPr="00EF3E0D">
        <w:rPr>
          <w:rFonts w:ascii="Times New Roman" w:hAnsi="Times New Roman" w:cs="Times New Roman"/>
          <w:sz w:val="24"/>
          <w:szCs w:val="24"/>
        </w:rPr>
        <w:t>Fama</w:t>
      </w:r>
      <w:proofErr w:type="spellEnd"/>
      <w:r w:rsidR="001F754F" w:rsidRPr="00EF3E0D">
        <w:rPr>
          <w:rFonts w:ascii="Times New Roman" w:hAnsi="Times New Roman" w:cs="Times New Roman"/>
          <w:sz w:val="24"/>
          <w:szCs w:val="24"/>
        </w:rPr>
        <w:t xml:space="preserve">-French </w:t>
      </w:r>
      <w:r w:rsidR="001F754F">
        <w:rPr>
          <w:rFonts w:ascii="Times New Roman" w:hAnsi="Times New Roman" w:cs="Times New Roman"/>
          <w:sz w:val="24"/>
          <w:szCs w:val="24"/>
        </w:rPr>
        <w:t>three and five</w:t>
      </w:r>
      <w:r w:rsidR="00C811CD" w:rsidRPr="00EF3E0D">
        <w:rPr>
          <w:rFonts w:ascii="Times New Roman" w:hAnsi="Times New Roman" w:cs="Times New Roman"/>
          <w:sz w:val="24"/>
          <w:szCs w:val="24"/>
        </w:rPr>
        <w:t xml:space="preserve">-factor models, </w:t>
      </w:r>
      <w:r w:rsidR="001F754F">
        <w:rPr>
          <w:rFonts w:ascii="Times New Roman" w:hAnsi="Times New Roman" w:cs="Times New Roman"/>
          <w:sz w:val="24"/>
          <w:szCs w:val="24"/>
        </w:rPr>
        <w:t xml:space="preserve">as well as alternative definitions of firm </w:t>
      </w:r>
      <w:r w:rsidR="00E30B22">
        <w:rPr>
          <w:rFonts w:ascii="Times New Roman" w:hAnsi="Times New Roman" w:cs="Times New Roman"/>
          <w:sz w:val="24"/>
          <w:szCs w:val="24"/>
        </w:rPr>
        <w:t xml:space="preserve">level </w:t>
      </w:r>
      <w:r w:rsidR="001F754F">
        <w:rPr>
          <w:rFonts w:ascii="Times New Roman" w:hAnsi="Times New Roman" w:cs="Times New Roman"/>
          <w:sz w:val="24"/>
          <w:szCs w:val="24"/>
        </w:rPr>
        <w:t xml:space="preserve">internationalization. </w:t>
      </w:r>
    </w:p>
    <w:p w14:paraId="6AD0E01E" w14:textId="77777777" w:rsidR="00CA0DE5" w:rsidRDefault="00CA0DE5" w:rsidP="00D9108B">
      <w:pPr>
        <w:spacing w:after="0" w:line="480" w:lineRule="auto"/>
        <w:jc w:val="both"/>
        <w:rPr>
          <w:rFonts w:ascii="Times New Roman" w:hAnsi="Times New Roman" w:cs="Times New Roman"/>
          <w:sz w:val="24"/>
          <w:szCs w:val="24"/>
        </w:rPr>
      </w:pPr>
    </w:p>
    <w:p w14:paraId="3B1B85A9" w14:textId="040451CB" w:rsidR="00CA0DE5" w:rsidRPr="00CA0DE5" w:rsidRDefault="00CA0DE5" w:rsidP="00CA0DE5">
      <w:pPr>
        <w:spacing w:after="0" w:line="480" w:lineRule="auto"/>
        <w:jc w:val="both"/>
        <w:rPr>
          <w:rFonts w:ascii="Times New Roman" w:eastAsia="Times New Roman" w:hAnsi="Times New Roman" w:cs="Times New Roman"/>
          <w:color w:val="FF0000"/>
          <w:sz w:val="24"/>
          <w:szCs w:val="24"/>
        </w:rPr>
      </w:pPr>
      <w:r>
        <w:rPr>
          <w:rFonts w:ascii="Times New Roman" w:hAnsi="Times New Roman" w:cs="Times New Roman"/>
          <w:sz w:val="24"/>
          <w:szCs w:val="24"/>
        </w:rPr>
        <w:t>We offer two possible</w:t>
      </w:r>
      <w:r w:rsidR="005A5EAE">
        <w:rPr>
          <w:rFonts w:ascii="Times New Roman" w:hAnsi="Times New Roman" w:cs="Times New Roman"/>
          <w:sz w:val="24"/>
          <w:szCs w:val="24"/>
        </w:rPr>
        <w:t xml:space="preserve"> explanations for our results</w:t>
      </w:r>
      <w:r>
        <w:rPr>
          <w:rFonts w:ascii="Times New Roman" w:hAnsi="Times New Roman" w:cs="Times New Roman"/>
          <w:sz w:val="24"/>
          <w:szCs w:val="24"/>
        </w:rPr>
        <w:t xml:space="preserve">. First, </w:t>
      </w:r>
      <w:r w:rsidR="00957FD7">
        <w:rPr>
          <w:rFonts w:ascii="Times New Roman" w:hAnsi="Times New Roman" w:cs="Times New Roman"/>
          <w:sz w:val="24"/>
          <w:szCs w:val="24"/>
        </w:rPr>
        <w:t>our findings</w:t>
      </w:r>
      <w:r w:rsidR="005A5EAE">
        <w:rPr>
          <w:rFonts w:ascii="Times New Roman" w:hAnsi="Times New Roman" w:cs="Times New Roman"/>
          <w:sz w:val="24"/>
          <w:szCs w:val="24"/>
        </w:rPr>
        <w:t xml:space="preserve"> </w:t>
      </w:r>
      <w:r>
        <w:rPr>
          <w:rFonts w:ascii="Times New Roman" w:hAnsi="Times New Roman" w:cs="Times New Roman"/>
          <w:sz w:val="24"/>
          <w:szCs w:val="24"/>
        </w:rPr>
        <w:t xml:space="preserve">suggest that while the academic evidence on the </w:t>
      </w:r>
      <w:r w:rsidR="008E0BEF">
        <w:rPr>
          <w:rFonts w:ascii="Times New Roman" w:hAnsi="Times New Roman" w:cs="Times New Roman"/>
          <w:sz w:val="24"/>
          <w:szCs w:val="24"/>
        </w:rPr>
        <w:t xml:space="preserve">indirect international </w:t>
      </w:r>
      <w:r>
        <w:rPr>
          <w:rFonts w:ascii="Times New Roman" w:hAnsi="Times New Roman" w:cs="Times New Roman"/>
          <w:sz w:val="24"/>
          <w:szCs w:val="24"/>
        </w:rPr>
        <w:t>benefits of investing in MNCs is mixed, investors believe that MNCs do not provide these benefits. We posit that investor sentiment may be playing a role and investors believe MNCs do not provide</w:t>
      </w:r>
      <w:r w:rsidR="005A5EAE">
        <w:rPr>
          <w:rFonts w:ascii="Times New Roman" w:hAnsi="Times New Roman" w:cs="Times New Roman"/>
          <w:sz w:val="24"/>
          <w:szCs w:val="24"/>
        </w:rPr>
        <w:t xml:space="preserve"> international exposure</w:t>
      </w:r>
      <w:r>
        <w:rPr>
          <w:rFonts w:ascii="Times New Roman" w:hAnsi="Times New Roman" w:cs="Times New Roman"/>
          <w:sz w:val="24"/>
          <w:szCs w:val="24"/>
        </w:rPr>
        <w:t>. A second explanation may be that investors are behaving irrationally</w:t>
      </w:r>
      <w:r w:rsidR="004518E8">
        <w:rPr>
          <w:rFonts w:ascii="Times New Roman" w:hAnsi="Times New Roman" w:cs="Times New Roman"/>
          <w:sz w:val="24"/>
          <w:szCs w:val="24"/>
        </w:rPr>
        <w:t xml:space="preserve"> </w:t>
      </w:r>
      <w:r w:rsidR="00DA0250">
        <w:rPr>
          <w:rStyle w:val="FootnoteReference"/>
          <w:rFonts w:ascii="Times New Roman" w:hAnsi="Times New Roman" w:cs="Times New Roman"/>
          <w:sz w:val="24"/>
          <w:szCs w:val="24"/>
        </w:rPr>
        <w:fldChar w:fldCharType="begin" w:fldLock="1"/>
      </w:r>
      <w:r w:rsidR="001E4568">
        <w:rPr>
          <w:rFonts w:ascii="Times New Roman" w:hAnsi="Times New Roman" w:cs="Times New Roman"/>
          <w:sz w:val="24"/>
          <w:szCs w:val="24"/>
        </w:rPr>
        <w:instrText>ADDIN CSL_CITATION {"citationItems":[{"id":"ITEM-1","itemData":{"DOI":"10.1080/09603100701704272","ISSN":"09603107","abstract":"We examine the relative effects of rational and irrational investor sentiments on Dow Jones Industrial Average and S&amp;P500 returns. The impact of rational sentiments on stock market returns is found to be greater than that of irrational sentiments. There are immediate positive responses of stock market returns to irrational sentiments corrected by negative responses in the upcoming periods. There are positive effects of past stock market returns on irrational sentiments but not on rational sentiments. The results support the economic fundamentals-based arguments of stock returns. Evidence in favour of irrational sentiments is consistent with the view that investor error is a significant determinant of stock returns. [ABSTRACT FROM AUTHOR]","author":[{"dropping-particle":"","family":"Verma","given":"Rahul","non-dropping-particle":"","parse-names":false,"suffix":""},{"dropping-particle":"","family":"Baklaci","given":"Hasan","non-dropping-particle":"","parse-names":false,"suffix":""},{"dropping-particle":"","family":"Soydemir","given":"Gökçe","non-dropping-particle":"","parse-names":false,"suffix":""}],"container-title":"Applied Financial Economics","id":"ITEM-1","issued":{"date-parts":[["2008"]]},"title":"The impact of rational and irrational sentiments of individual and institutional investors on DJIA and S &amp; P500 index returns","type":"article-journal"},"uris":["http://www.mendeley.com/documents/?uuid=80dbb105-1bac-4e6b-bf87-33d6a0e70761"]}],"mendeley":{"formattedCitation":"(Verma, Baklaci, &amp; Soydemir, 2008)","plainTextFormattedCitation":"(Verma, Baklaci, &amp; Soydemir, 2008)","previouslyFormattedCitation":"(Verma, Baklaci, &amp; Soydemir, 2008)"},"properties":{"noteIndex":0},"schema":"https://github.com/citation-style-language/schema/raw/master/csl-citation.json"}</w:instrText>
      </w:r>
      <w:r w:rsidR="00DA0250">
        <w:rPr>
          <w:rStyle w:val="FootnoteReference"/>
          <w:rFonts w:ascii="Times New Roman" w:hAnsi="Times New Roman" w:cs="Times New Roman"/>
          <w:sz w:val="24"/>
          <w:szCs w:val="24"/>
        </w:rPr>
        <w:fldChar w:fldCharType="separate"/>
      </w:r>
      <w:r w:rsidR="00DA0250" w:rsidRPr="00DA0250">
        <w:rPr>
          <w:rFonts w:ascii="Times New Roman" w:hAnsi="Times New Roman" w:cs="Times New Roman"/>
          <w:noProof/>
          <w:sz w:val="24"/>
          <w:szCs w:val="24"/>
        </w:rPr>
        <w:t>(Verma, Baklaci, &amp; Soydemir, 2008)</w:t>
      </w:r>
      <w:r w:rsidR="00DA0250">
        <w:rPr>
          <w:rStyle w:val="FootnoteReference"/>
          <w:rFonts w:ascii="Times New Roman" w:hAnsi="Times New Roman" w:cs="Times New Roman"/>
          <w:sz w:val="24"/>
          <w:szCs w:val="24"/>
        </w:rPr>
        <w:fldChar w:fldCharType="end"/>
      </w:r>
      <w:r w:rsidR="008E0BEF">
        <w:rPr>
          <w:rFonts w:ascii="Times New Roman" w:hAnsi="Times New Roman" w:cs="Times New Roman"/>
          <w:sz w:val="24"/>
          <w:szCs w:val="24"/>
        </w:rPr>
        <w:t xml:space="preserve">, thereby supporting </w:t>
      </w:r>
      <w:r>
        <w:rPr>
          <w:rFonts w:ascii="Times New Roman" w:hAnsi="Times New Roman" w:cs="Times New Roman"/>
          <w:color w:val="1C1D1E"/>
          <w:sz w:val="24"/>
          <w:szCs w:val="24"/>
          <w:lang w:val="en"/>
        </w:rPr>
        <w:t xml:space="preserve">Kumar and Lee (2006), who conclude that there is </w:t>
      </w:r>
      <w:r w:rsidRPr="0024147D">
        <w:rPr>
          <w:rFonts w:ascii="Times New Roman" w:hAnsi="Times New Roman" w:cs="Times New Roman"/>
          <w:color w:val="1C1D1E"/>
          <w:sz w:val="24"/>
          <w:szCs w:val="24"/>
          <w:lang w:val="en"/>
        </w:rPr>
        <w:t>a role for investor sentiment in the formation of returns.</w:t>
      </w:r>
      <w:r w:rsidR="008E0BEF" w:rsidRPr="008E0BEF">
        <w:rPr>
          <w:rFonts w:ascii="Times New Roman" w:eastAsia="Times New Roman" w:hAnsi="Times New Roman" w:cs="Times New Roman"/>
          <w:sz w:val="24"/>
          <w:szCs w:val="24"/>
        </w:rPr>
        <w:t xml:space="preserve"> </w:t>
      </w:r>
      <w:r w:rsidR="00840228">
        <w:rPr>
          <w:rFonts w:ascii="Times New Roman" w:eastAsia="Times New Roman" w:hAnsi="Times New Roman" w:cs="Times New Roman"/>
          <w:sz w:val="24"/>
          <w:szCs w:val="24"/>
        </w:rPr>
        <w:t>To complete our analysis, w</w:t>
      </w:r>
      <w:r w:rsidR="008E0BEF" w:rsidRPr="00DE764B">
        <w:rPr>
          <w:rFonts w:ascii="Times New Roman" w:eastAsia="Times New Roman" w:hAnsi="Times New Roman" w:cs="Times New Roman"/>
          <w:sz w:val="24"/>
          <w:szCs w:val="24"/>
        </w:rPr>
        <w:t xml:space="preserve">e </w:t>
      </w:r>
      <w:r w:rsidR="008E0BEF">
        <w:rPr>
          <w:rFonts w:ascii="Times New Roman" w:eastAsia="Times New Roman" w:hAnsi="Times New Roman" w:cs="Times New Roman"/>
          <w:sz w:val="24"/>
          <w:szCs w:val="24"/>
        </w:rPr>
        <w:t>investigate if our results are</w:t>
      </w:r>
      <w:r w:rsidR="008E0BEF" w:rsidRPr="0019316D">
        <w:rPr>
          <w:rFonts w:ascii="Times New Roman" w:eastAsia="Times New Roman" w:hAnsi="Times New Roman" w:cs="Times New Roman"/>
          <w:sz w:val="24"/>
          <w:szCs w:val="24"/>
        </w:rPr>
        <w:t xml:space="preserve"> influenced by share </w:t>
      </w:r>
      <w:r w:rsidR="008E0BEF" w:rsidRPr="00E80013">
        <w:rPr>
          <w:rFonts w:ascii="Times New Roman" w:eastAsia="Times New Roman" w:hAnsi="Times New Roman" w:cs="Times New Roman"/>
          <w:sz w:val="24"/>
          <w:szCs w:val="24"/>
        </w:rPr>
        <w:lastRenderedPageBreak/>
        <w:t>ownership.</w:t>
      </w:r>
      <w:r w:rsidR="008E0BEF" w:rsidRPr="008E0BEF">
        <w:rPr>
          <w:rFonts w:ascii="Times New Roman" w:hAnsi="Times New Roman" w:cs="Times New Roman"/>
          <w:sz w:val="24"/>
          <w:szCs w:val="24"/>
        </w:rPr>
        <w:t xml:space="preserve"> </w:t>
      </w:r>
      <w:r w:rsidR="008E0BEF" w:rsidRPr="00E80013">
        <w:rPr>
          <w:rFonts w:ascii="Times New Roman" w:hAnsi="Times New Roman" w:cs="Times New Roman"/>
          <w:sz w:val="24"/>
          <w:szCs w:val="24"/>
        </w:rPr>
        <w:t xml:space="preserve">We compile a unique </w:t>
      </w:r>
      <w:r w:rsidR="008E0BEF">
        <w:rPr>
          <w:rFonts w:ascii="Times New Roman" w:hAnsi="Times New Roman" w:cs="Times New Roman"/>
          <w:sz w:val="24"/>
          <w:szCs w:val="24"/>
        </w:rPr>
        <w:t xml:space="preserve">annual </w:t>
      </w:r>
      <w:r w:rsidR="008E0BEF" w:rsidRPr="00E80013">
        <w:rPr>
          <w:rFonts w:ascii="Times New Roman" w:hAnsi="Times New Roman" w:cs="Times New Roman"/>
          <w:sz w:val="24"/>
          <w:szCs w:val="24"/>
        </w:rPr>
        <w:t>dataset on share ownership</w:t>
      </w:r>
      <w:r w:rsidR="00450E8A">
        <w:rPr>
          <w:rFonts w:ascii="Times New Roman" w:hAnsi="Times New Roman" w:cs="Times New Roman"/>
          <w:sz w:val="24"/>
          <w:szCs w:val="24"/>
        </w:rPr>
        <w:t xml:space="preserve"> but</w:t>
      </w:r>
      <w:r w:rsidR="008E0BEF">
        <w:rPr>
          <w:rFonts w:ascii="Times New Roman" w:hAnsi="Times New Roman" w:cs="Times New Roman"/>
          <w:sz w:val="24"/>
          <w:szCs w:val="24"/>
        </w:rPr>
        <w:t xml:space="preserve"> find </w:t>
      </w:r>
      <w:r w:rsidR="00840228">
        <w:rPr>
          <w:rFonts w:ascii="Times New Roman" w:hAnsi="Times New Roman" w:cs="Times New Roman"/>
          <w:sz w:val="24"/>
          <w:szCs w:val="24"/>
        </w:rPr>
        <w:t xml:space="preserve">that </w:t>
      </w:r>
      <w:r w:rsidR="008E0BEF">
        <w:rPr>
          <w:rFonts w:ascii="Times New Roman" w:hAnsi="Times New Roman" w:cs="Times New Roman"/>
          <w:sz w:val="24"/>
          <w:szCs w:val="24"/>
        </w:rPr>
        <w:t>our results apply to both institutional and retail investors.</w:t>
      </w:r>
    </w:p>
    <w:p w14:paraId="78E66E1F" w14:textId="77777777" w:rsidR="00CA0DE5" w:rsidRDefault="00CA0DE5" w:rsidP="00D9108B">
      <w:pPr>
        <w:spacing w:after="0" w:line="480" w:lineRule="auto"/>
        <w:jc w:val="both"/>
        <w:rPr>
          <w:rFonts w:ascii="Times New Roman" w:eastAsia="Times New Roman" w:hAnsi="Times New Roman" w:cs="Times New Roman"/>
          <w:color w:val="000000"/>
          <w:sz w:val="24"/>
          <w:szCs w:val="24"/>
        </w:rPr>
      </w:pPr>
    </w:p>
    <w:p w14:paraId="25253573" w14:textId="6A4EFA4B" w:rsidR="00F114C5" w:rsidRDefault="00F114C5" w:rsidP="00D9108B">
      <w:pPr>
        <w:spacing w:after="0" w:line="480" w:lineRule="auto"/>
        <w:jc w:val="both"/>
        <w:rPr>
          <w:rFonts w:ascii="Times New Roman" w:eastAsia="Times New Roman" w:hAnsi="Times New Roman" w:cs="Times New Roman"/>
          <w:color w:val="000000"/>
          <w:sz w:val="24"/>
          <w:szCs w:val="24"/>
        </w:rPr>
      </w:pPr>
      <w:r w:rsidRPr="00326D1D">
        <w:rPr>
          <w:rFonts w:ascii="Times New Roman" w:eastAsia="Times New Roman" w:hAnsi="Times New Roman" w:cs="Times New Roman"/>
          <w:color w:val="000000"/>
          <w:sz w:val="24"/>
          <w:szCs w:val="24"/>
        </w:rPr>
        <w:t xml:space="preserve">The remainder of the paper is organized as follows. </w:t>
      </w:r>
      <w:r w:rsidR="001F7305">
        <w:rPr>
          <w:rFonts w:ascii="Times New Roman" w:eastAsia="Times New Roman" w:hAnsi="Times New Roman" w:cs="Times New Roman"/>
          <w:color w:val="000000"/>
          <w:sz w:val="24"/>
          <w:szCs w:val="24"/>
        </w:rPr>
        <w:t>Section 2 reviews the literature and states our main hypothesis. Section 3</w:t>
      </w:r>
      <w:r w:rsidR="0019316D">
        <w:rPr>
          <w:rFonts w:ascii="Times New Roman" w:eastAsia="Times New Roman" w:hAnsi="Times New Roman" w:cs="Times New Roman"/>
          <w:color w:val="000000"/>
          <w:sz w:val="24"/>
          <w:szCs w:val="24"/>
        </w:rPr>
        <w:t xml:space="preserve"> </w:t>
      </w:r>
      <w:r w:rsidR="008D05DC">
        <w:rPr>
          <w:rFonts w:ascii="Times New Roman" w:eastAsia="Times New Roman" w:hAnsi="Times New Roman" w:cs="Times New Roman"/>
          <w:color w:val="000000"/>
          <w:sz w:val="24"/>
          <w:szCs w:val="24"/>
        </w:rPr>
        <w:t>describes</w:t>
      </w:r>
      <w:r w:rsidRPr="00326D1D">
        <w:rPr>
          <w:rFonts w:ascii="Times New Roman" w:eastAsia="Times New Roman" w:hAnsi="Times New Roman" w:cs="Times New Roman"/>
          <w:color w:val="000000"/>
          <w:sz w:val="24"/>
          <w:szCs w:val="24"/>
        </w:rPr>
        <w:t xml:space="preserve"> the data and methodology</w:t>
      </w:r>
      <w:r w:rsidR="008D05DC">
        <w:rPr>
          <w:rFonts w:ascii="Times New Roman" w:eastAsia="Times New Roman" w:hAnsi="Times New Roman" w:cs="Times New Roman"/>
          <w:color w:val="000000"/>
          <w:sz w:val="24"/>
          <w:szCs w:val="24"/>
        </w:rPr>
        <w:t xml:space="preserve">.  Section </w:t>
      </w:r>
      <w:r w:rsidR="001F7305">
        <w:rPr>
          <w:rFonts w:ascii="Times New Roman" w:eastAsia="Times New Roman" w:hAnsi="Times New Roman" w:cs="Times New Roman"/>
          <w:color w:val="000000"/>
          <w:sz w:val="24"/>
          <w:szCs w:val="24"/>
        </w:rPr>
        <w:t>4</w:t>
      </w:r>
      <w:r w:rsidR="005733A3">
        <w:rPr>
          <w:rFonts w:ascii="Times New Roman" w:eastAsia="Times New Roman" w:hAnsi="Times New Roman" w:cs="Times New Roman"/>
          <w:color w:val="000000"/>
          <w:sz w:val="24"/>
          <w:szCs w:val="24"/>
        </w:rPr>
        <w:t xml:space="preserve"> outlines</w:t>
      </w:r>
      <w:r w:rsidR="00840228">
        <w:rPr>
          <w:rFonts w:ascii="Times New Roman" w:eastAsia="Times New Roman" w:hAnsi="Times New Roman" w:cs="Times New Roman"/>
          <w:color w:val="000000"/>
          <w:sz w:val="24"/>
          <w:szCs w:val="24"/>
        </w:rPr>
        <w:t xml:space="preserve"> our</w:t>
      </w:r>
      <w:r w:rsidR="005B04E5">
        <w:rPr>
          <w:rFonts w:ascii="Times New Roman" w:eastAsia="Times New Roman" w:hAnsi="Times New Roman" w:cs="Times New Roman"/>
          <w:color w:val="000000"/>
          <w:sz w:val="24"/>
          <w:szCs w:val="24"/>
        </w:rPr>
        <w:t xml:space="preserve"> empirical results. Finally, S</w:t>
      </w:r>
      <w:r w:rsidR="008D05DC">
        <w:rPr>
          <w:rFonts w:ascii="Times New Roman" w:eastAsia="Times New Roman" w:hAnsi="Times New Roman" w:cs="Times New Roman"/>
          <w:color w:val="000000"/>
          <w:sz w:val="24"/>
          <w:szCs w:val="24"/>
        </w:rPr>
        <w:t xml:space="preserve">ection </w:t>
      </w:r>
      <w:r w:rsidR="001F7305">
        <w:rPr>
          <w:rFonts w:ascii="Times New Roman" w:eastAsia="Times New Roman" w:hAnsi="Times New Roman" w:cs="Times New Roman"/>
          <w:color w:val="000000"/>
          <w:sz w:val="24"/>
          <w:szCs w:val="24"/>
        </w:rPr>
        <w:t>5</w:t>
      </w:r>
      <w:r w:rsidRPr="00326D1D">
        <w:rPr>
          <w:rFonts w:ascii="Times New Roman" w:eastAsia="Times New Roman" w:hAnsi="Times New Roman" w:cs="Times New Roman"/>
          <w:color w:val="000000"/>
          <w:sz w:val="24"/>
          <w:szCs w:val="24"/>
        </w:rPr>
        <w:t xml:space="preserve"> concludes.</w:t>
      </w:r>
    </w:p>
    <w:p w14:paraId="19DA341F" w14:textId="77777777" w:rsidR="0082223F" w:rsidRDefault="0082223F" w:rsidP="0082223F">
      <w:pPr>
        <w:pStyle w:val="Heading1"/>
        <w:spacing w:before="0" w:line="480" w:lineRule="auto"/>
        <w:jc w:val="left"/>
        <w:rPr>
          <w:b/>
        </w:rPr>
      </w:pPr>
    </w:p>
    <w:p w14:paraId="5FE4432C" w14:textId="3A4705F8" w:rsidR="0082223F" w:rsidRPr="004C11E6" w:rsidRDefault="0001242F" w:rsidP="0082223F">
      <w:pPr>
        <w:pStyle w:val="Heading1"/>
        <w:spacing w:before="0" w:line="480" w:lineRule="auto"/>
        <w:jc w:val="left"/>
        <w:rPr>
          <w:b/>
        </w:rPr>
      </w:pPr>
      <w:r>
        <w:rPr>
          <w:b/>
        </w:rPr>
        <w:t>2</w:t>
      </w:r>
      <w:r w:rsidR="004C11E6" w:rsidRPr="004C11E6">
        <w:rPr>
          <w:b/>
        </w:rPr>
        <w:t xml:space="preserve">. </w:t>
      </w:r>
      <w:r w:rsidR="0082223F">
        <w:rPr>
          <w:b/>
        </w:rPr>
        <w:t>L</w:t>
      </w:r>
      <w:r w:rsidR="0082223F" w:rsidRPr="004C11E6">
        <w:rPr>
          <w:b/>
        </w:rPr>
        <w:t>iterature</w:t>
      </w:r>
      <w:r w:rsidR="0082223F">
        <w:rPr>
          <w:b/>
        </w:rPr>
        <w:t xml:space="preserve"> Review and Hypothesis Development</w:t>
      </w:r>
    </w:p>
    <w:p w14:paraId="235599EF" w14:textId="4A9C8FB6" w:rsidR="0082223F" w:rsidRDefault="0082223F" w:rsidP="0082223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Home bias in portfolio investment was first documented by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"abstract" : "Since the fortunes of different nations do not always move together, investors can di- versify their portfolios by holding assets in several countries. The benefits of interna- tional diversification have been recognized for decades. In spite of this, most investors hold nearly all of their wealth in domestic assets. In this paper we use a simple model of investor preferences and behavior to show that current portfolio patterns imply that investors in each nation expect returns in their domestic equity market to be several hundred basis points higher than returns in other markets. The lack of diversification appears to be the result of investor choices, rather than institutional constraints.", "author" : [ { "dropping-particle" : "", "family" : "French", "given" : "Kenneth R.", "non-dropping-particle" : "", "parse-names" : false, "suffix" : "" }, { "dropping-particle" : "", "family" : "Poterba", "given" : "James M.", "non-dropping-particle" : "", "parse-names" : false, "suffix" : "" } ], "container-title" : "The American Economic Review", "id" : "ITEM-1", "issue" : "2", "issued" : { "date-parts" : [ [ "1991" ] ] }, "page" : "222-226", "title" : "Investor Diversification and International Equity Markets", "type" : "article-journal", "volume" : "81" }, "uris" : [ "http://www.mendeley.com/documents/?uuid=6feb7cc6-c84b-428f-a776-6b250528f51f" ] } ], "mendeley" : { "formattedCitation" : "(French and Poterba 1991)", "manualFormatting" : "French and Poterba (1991)", "plainTextFormattedCitation" : "(French and Poterba 1991)", "previouslyFormattedCitation" : "(French and Poterba 1991)"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French and Poterba (1991)</w:t>
      </w:r>
      <w:r>
        <w:rPr>
          <w:rFonts w:ascii="Times New Roman" w:hAnsi="Times New Roman" w:cs="Times New Roman"/>
          <w:sz w:val="24"/>
          <w:szCs w:val="24"/>
        </w:rPr>
        <w:fldChar w:fldCharType="end"/>
      </w:r>
      <w:r>
        <w:rPr>
          <w:rFonts w:ascii="Times New Roman" w:hAnsi="Times New Roman" w:cs="Times New Roman"/>
          <w:sz w:val="24"/>
          <w:szCs w:val="24"/>
        </w:rPr>
        <w:t xml:space="preserve"> and subsequently by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"abstract" : "This article examines U.S. equity flows to emerging stock markets from 1978 to 1991 and draws three main conclusions. First, despite the recent increase in U.S. equity investment in emerging stock markets, the U.S. portfolio remains strongly biased toward domestic equities. Second, of the fraction of the U.S. portfolio that is allocated to foreign equity investment, the share invested in emerging stock markets is roughly proportional to the share of the emerging stock markets in the global market capitalization value. Third, the volatility of U.S. transactions in emerging-market equities is higher than in other foreign equities. The normalized volatility of U.S. transactions appears to be falling over time, however, and we find no relation between the volume of U.S. transactions in foreign equity and local turnover rates or volatility of stock returns.", "author" : [ { "dropping-particle" : "", "family" : "Tesar", "given" : "Linda L.", "non-dropping-particle" : "", "parse-names" : false, "suffix" : "" }, { "dropping-particle" : "", "family" : "Werner", "given" : "Ingrid M.", "non-dropping-particle" : "", "parse-names" : false, "suffix" : "" } ], "container-title" : "World Bank Econ. Rev.", "id" : "ITEM-1", "issue" : "1", "issued" : { "date-parts" : [ [ "1995" ] ] }, "page" : "109-129", "title" : "U.S. Equity Investment in Emerging Stock Markets", "type" : "article-journal", "volume" : "9" }, "uris" : [ "http://www.mendeley.com/documents/?uuid=963f6fa6-413d-40f4-b519-172233bb2d43" ] } ], "mendeley" : { "formattedCitation" : "(Tesar and Werner 1995)", "manualFormatting" : "Tesar and Werner (1995)", "plainTextFormattedCitation" : "(Tesar and Werner 1995)", "previouslyFormattedCitation" : "(Tesar and Werner 1995)"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Tesar and Werner (1995)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"abstract" : "More patriotic countries have greater equity home bias. In a panel of World Values Surveys covering 53 countries, measures of patriotism are positively related to home bias measures after controlling for transaction barriers, diversification benefits, information and familiarity. Changes in patriotism vary with changes in the home bias. The results are robust to using ISSP measures of patriotism covering 24 countries and within-U.S. data from the Survey of Consumer Finances. Instrumenting patriotism with social variables uncorrelated with economic and political factors confirms that patriotism affects investment. The average country invests $18 to $30 billion more abroad with a one standard deviation drop in patriotism.", "author" : [ { "dropping-particle" : "", "family" : "Morse", "given" : "Adair", "non-dropping-particle" : "", "parse-names" : false, "suffix" : "" }, { "dropping-particle" : "", "family" : "Shive", "given" : "Sophie", "non-dropping-particle" : "", "parse-names" : false, "suffix" : "" } ], "container-title" : "Journal of Financial Markets", "id" : "ITEM-1", "issue" : "2", "issued" : { "date-parts" : [ [ "2011" ] ] }, "page" : "411-440", "publisher" : "SSRN", "title" : "Patriotism in Your Portfolio", "type" : "article-journal", "volume" : "14" }, "uris" : [ "http://www.mendeley.com/documents/?uuid=ccbfe800-ddac-4377-8d14-db7e0189dd74" ] }, { "id" : "ITEM-2", "itemData" : { "ISSN" : "00221996", "abstract" : "We test extant hypotheses of the home bias in equity holdings using high quality cross-border holdings data and quantitative measures of barriers to international investment. The effects of direct barriers to international investment, when statistically significant, are not economically meaningful. More important are information asymmetries that owe to the poor quality and low credibility of financial information in many countries. While a direct measure of information costs is not available, some foreign firms have reduced these costs by publicly listing their securities in the United States, where investor protection regulations elicit standardized, credible financial information. A proxy for the reduction in information asymmetries\u2014the portion of a country\u2019s market that has a public US listing\u2014is a major determinant of a country\u2019s weight in US investors\u2019 portfolios. Foreign countries whose firms do not alleviate information costs by opting into the US regulatory environment are more severely underweighted in US equity portfolios.", "author" : [ { "dropping-particle" : "", "family" : "Ahearne", "given" : "Alan G.", "non-dropping-particle" : "", "parse-names" : false, "suffix" : "" }, { "dropping-particle" : "", "family" : "Griever", "given" : "William L.", "non-dropping-particle" : "", "parse-names" : false, "suffix" : "" }, { "dropping-particle" : "", "family" : "Warnock", "given" : "Francis E.", "non-dropping-particle" : "", "parse-names" : false, "suffix" : "" } ], "container-title" : "Journal of International Economics", "id" : "ITEM-2", "issue" : "2", "issued" : { "date-parts" : [ [ "2004", "3" ] ] }, "page" : "313-336", "title" : "Information costs and home bias: an analysis of US holdings of foreign equities", "type" : "article-journal", "volume" : "62" }, "uris" : [ "http://www.mendeley.com/documents/?uuid=eaad110a-61a9-4344-95e8-5c57e150b181" ] }, { "id" : "ITEM-3", "itemData" : { "ISSN" : "00221082", "author" : [ { "dropping-particle" : "", "family" : "VanNieuwerburgh", "given" : "Sjtin", "non-dropping-particle" : "", "parse-names" : false, "suffix" : "" }, { "dropping-particle" : "", "family" : "Veldkamp", "given" : "Laura", "non-dropping-particle" : "", "parse-names" : false, "suffix" : "" } ], "container-title" : "The Journal of Finance", "id" : "ITEM-3", "issue" : "3", "issued" : { "date-parts" : [ [ "2009", "6" ] ] }, "page" : "1187-1215", "title" : "Information Immobility and the Home Bias Puzzle", "type" : "article-journal", "volume" : "64" }, "uris" : [ "http://www.mendeley.com/documents/?uuid=f94e57fd-01b0-40f5-b3db-44a04425e487" ] } ], "mendeley" : { "formattedCitation" : "(Ahearne et al. 2004; Morse and Shive 2011; VanNieuwerburgh and Veldkamp 2009)", "manualFormatting" : "Ahearne et al. (2004) and ", "plainTextFormattedCitation" : "(Ahearne et al. 2004; Morse and Shive 2011; VanNieuwerburgh and Veldkamp 2009)", "previouslyFormattedCitation" : "(Ahearne, Griever, and Warnock 2004; Morse and Shive 2011; VanNieuwerburgh and Veldkamp 2009)"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Ahearne et al. (2004) and </w:t>
      </w:r>
      <w:r>
        <w:rPr>
          <w:rFonts w:ascii="Times New Roman" w:hAnsi="Times New Roman" w:cs="Times New Roman"/>
          <w:sz w:val="24"/>
          <w:szCs w:val="24"/>
        </w:rPr>
        <w:fldChar w:fldCharType="end"/>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"ISSN" : "00221082", "author" : [ { "dropping-particle" : "", "family" : "VanNieuwerburgh", "given" : "Sjtin", "non-dropping-particle" : "", "parse-names" : false, "suffix" : "" }, { "dropping-particle" : "", "family" : "Veldkamp", "given" : "Laura", "non-dropping-particle" : "", "parse-names" : false, "suffix" : "" } ], "container-title" : "The Journal of Finance", "id" : "ITEM-1", "issue" : "3", "issued" : { "date-parts" : [ [ "2009", "6" ] ] }, "page" : "1187-1215", "title" : "Information Immobility and the Home Bias Puzzle", "type" : "article-journal", "volume" : "64" }, "uris" : [ "http://www.mendeley.com/documents/?uuid=f94e57fd-01b0-40f5-b3db-44a04425e487" ] }, { "id" : "ITEM-2", "itemData" : { "abstract" : "More patriotic countries have greater equity home bias. In a panel of World Values Surveys covering 53 countries, measures of patriotism are positively related to home bias measures after controlling for transaction barriers, diversification benefits, information and familiarity. Changes in patriotism vary with changes in the home bias. The results are robust to using ISSP measures of patriotism covering 24 countries and within-U.S. data from the Survey of Consumer Finances. Instrumenting patriotism with social variables uncorrelated with economic and political factors confirms that patriotism affects investment. The average country invests $18 to $30 billion more abroad with a one standard deviation drop in patriotism.", "author" : [ { "dropping-particle" : "", "family" : "Morse", "given" : "Adair", "non-dropping-particle" : "", "parse-names" : false, "suffix" : "" }, { "dropping-particle" : "", "family" : "Shive", "given" : "Sophie", "non-dropping-particle" : "", "parse-names" : false, "suffix" : "" } ], "container-title" : "Journal of Financial Markets", "id" : "ITEM-2", "issue" : "2", "issued" : { "date-parts" : [ [ "2011" ] ] }, "page" : "411-440", "publisher" : "SSRN", "title" : "Patriotism in Your Portfolio", "type" : "article-journal", "volume" : "14" }, "uris" : [ "http://www.mendeley.com/documents/?uuid=ccbfe800-ddac-4377-8d14-db7e0189dd74" ] } ], "mendeley" : { "formattedCitation" : "(Morse and Shive 2011; VanNieuwerburgh and Veldkamp 2009)", "manualFormatting" : "VanNieuwerburgh and Veldkamp (2009)", "plainTextFormattedCitation" : "(Morse and Shive 2011; VanNieuwerburgh and Veldkamp 2009)", "previouslyFormattedCitation" : "(Morse and Shive 2011; VanNieuwerburgh and Veldkamp 2009)"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VanNieuwerburgh and Veldkamp (2009)</w:t>
      </w:r>
      <w:r>
        <w:rPr>
          <w:rFonts w:ascii="Times New Roman" w:hAnsi="Times New Roman" w:cs="Times New Roman"/>
          <w:sz w:val="24"/>
          <w:szCs w:val="24"/>
        </w:rPr>
        <w:fldChar w:fldCharType="end"/>
      </w:r>
      <w:r>
        <w:rPr>
          <w:rFonts w:ascii="Times New Roman" w:hAnsi="Times New Roman" w:cs="Times New Roman"/>
          <w:sz w:val="24"/>
          <w:szCs w:val="24"/>
        </w:rPr>
        <w:t xml:space="preserve">.  Despite a dramatic reduction of many previous barriers to international investment, investors persistently overweight domestic stocks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"abstract" : "More patriotic countries have greater equity home bias. In a panel of World Values Surveys covering 53 countries, measures of patriotism are positively related to home bias measures after controlling for transaction barriers, diversification benefits, information and familiarity. Changes in patriotism vary with changes in the home bias. The results are robust to using ISSP measures of patriotism covering 24 countries and within-U.S. data from the Survey of Consumer Finances. Instrumenting patriotism with social variables uncorrelated with economic and political factors confirms that patriotism affects investment. The average country invests $18 to $30 billion more abroad with a one standard deviation drop in patriotism.", "author" : [ { "dropping-particle" : "", "family" : "Morse", "given" : "Adair", "non-dropping-particle" : "", "parse-names" : false, "suffix" : "" }, { "dropping-particle" : "", "family" : "Shive", "given" : "Sophie", "non-dropping-particle" : "", "parse-names" : false, "suffix" : "" } ], "container-title" : "Journal of Financial Markets", "id" : "ITEM-1", "issue" : "2", "issued" : { "date-parts" : [ [ "2011" ] ] }, "page" : "411-440", "publisher" : "SSRN", "title" : "Patriotism in Your Portfolio", "type" : "article-journal", "volume" : "14" }, "uris" : [ "http://www.mendeley.com/documents/?uuid=ccbfe800-ddac-4377-8d14-db7e0189dd74" ] } ], "mendeley" : { "formattedCitation" : "(Morse and Shive 2011)", "plainTextFormattedCitation" : "(Morse and Shive 2011)", "previouslyFormattedCitation" : "(Morse and Shive 2011)" }, "properties" : {  }, "schema" : "https://github.com/citation-style-language/schema/raw/master/csl-citation.json" }</w:instrText>
      </w:r>
      <w:r>
        <w:rPr>
          <w:rFonts w:ascii="Times New Roman" w:hAnsi="Times New Roman" w:cs="Times New Roman"/>
          <w:sz w:val="24"/>
          <w:szCs w:val="24"/>
        </w:rPr>
        <w:fldChar w:fldCharType="separate"/>
      </w:r>
      <w:r w:rsidRPr="00DC35B1">
        <w:rPr>
          <w:rFonts w:ascii="Times New Roman" w:hAnsi="Times New Roman" w:cs="Times New Roman"/>
          <w:noProof/>
          <w:sz w:val="24"/>
          <w:szCs w:val="24"/>
        </w:rPr>
        <w:t>(Morse and Shive 2011)</w:t>
      </w:r>
      <w:r>
        <w:rPr>
          <w:rFonts w:ascii="Times New Roman" w:hAnsi="Times New Roman" w:cs="Times New Roman"/>
          <w:sz w:val="24"/>
          <w:szCs w:val="24"/>
        </w:rPr>
        <w:fldChar w:fldCharType="end"/>
      </w:r>
      <w:r>
        <w:rPr>
          <w:rFonts w:ascii="Times New Roman" w:hAnsi="Times New Roman" w:cs="Times New Roman"/>
          <w:sz w:val="24"/>
          <w:szCs w:val="24"/>
        </w:rPr>
        <w:t xml:space="preserve">, relative to foreign holdings as predicted by the International CAPM, where in order to diversify away idiosyncratic country risk, </w:t>
      </w:r>
      <w:r w:rsidRPr="00D01151">
        <w:rPr>
          <w:rFonts w:ascii="Times New Roman" w:hAnsi="Times New Roman" w:cs="Times New Roman"/>
          <w:sz w:val="24"/>
          <w:szCs w:val="24"/>
        </w:rPr>
        <w:t>investors are predicted to hold positions in foreign countries equal to the proportion of the foreign market’s share in global equity market capitalization</w:t>
      </w:r>
      <w:r>
        <w:rPr>
          <w:rFonts w:ascii="Times New Roman" w:hAnsi="Times New Roman" w:cs="Times New Roman"/>
          <w:sz w:val="24"/>
          <w:szCs w:val="24"/>
        </w:rPr>
        <w:t xml:space="preserve">.  The reasons for home bias may be host country related such as lower standards of investor protection, stock market development or investment restrictions, or home country related due to </w:t>
      </w:r>
      <w:r w:rsidRPr="00E9624A">
        <w:rPr>
          <w:rFonts w:ascii="Times New Roman" w:hAnsi="Times New Roman" w:cs="Times New Roman"/>
          <w:sz w:val="24"/>
          <w:szCs w:val="24"/>
        </w:rPr>
        <w:t xml:space="preserve">information </w:t>
      </w:r>
      <w:r>
        <w:rPr>
          <w:rFonts w:ascii="Times New Roman" w:hAnsi="Times New Roman" w:cs="Times New Roman"/>
          <w:sz w:val="24"/>
          <w:szCs w:val="24"/>
        </w:rPr>
        <w:t>asymmetries</w:t>
      </w:r>
      <w:r w:rsidRPr="00E9624A">
        <w:rPr>
          <w:rFonts w:ascii="Times New Roman" w:hAnsi="Times New Roman" w:cs="Times New Roman"/>
          <w:sz w:val="24"/>
          <w:szCs w:val="24"/>
        </w:rPr>
        <w:t xml:space="preserve"> (Ahe</w:t>
      </w:r>
      <w:r>
        <w:rPr>
          <w:rFonts w:ascii="Times New Roman" w:hAnsi="Times New Roman" w:cs="Times New Roman"/>
          <w:sz w:val="24"/>
          <w:szCs w:val="24"/>
        </w:rPr>
        <w:t>arne, Griever and Warnock, 2004</w:t>
      </w:r>
      <w:r w:rsidRPr="00E9624A">
        <w:rPr>
          <w:rFonts w:ascii="Times New Roman" w:hAnsi="Times New Roman" w:cs="Times New Roman"/>
          <w:sz w:val="24"/>
          <w:szCs w:val="24"/>
        </w:rPr>
        <w:t xml:space="preserve">) </w:t>
      </w:r>
      <w:r>
        <w:rPr>
          <w:rFonts w:ascii="Times New Roman" w:hAnsi="Times New Roman" w:cs="Times New Roman"/>
          <w:sz w:val="24"/>
          <w:szCs w:val="24"/>
        </w:rPr>
        <w:t>or lack of</w:t>
      </w:r>
      <w:r w:rsidRPr="00E9624A">
        <w:rPr>
          <w:rFonts w:ascii="Times New Roman" w:hAnsi="Times New Roman" w:cs="Times New Roman"/>
          <w:sz w:val="24"/>
          <w:szCs w:val="24"/>
        </w:rPr>
        <w:t xml:space="preserve"> familiarity (</w:t>
      </w:r>
      <w:proofErr w:type="spellStart"/>
      <w:r w:rsidRPr="00E9624A">
        <w:rPr>
          <w:rFonts w:ascii="Times New Roman" w:hAnsi="Times New Roman" w:cs="Times New Roman"/>
          <w:sz w:val="24"/>
          <w:szCs w:val="24"/>
        </w:rPr>
        <w:t>Portes</w:t>
      </w:r>
      <w:proofErr w:type="spellEnd"/>
      <w:r w:rsidRPr="00E9624A">
        <w:rPr>
          <w:rFonts w:ascii="Times New Roman" w:hAnsi="Times New Roman" w:cs="Times New Roman"/>
          <w:sz w:val="24"/>
          <w:szCs w:val="24"/>
        </w:rPr>
        <w:t xml:space="preserve"> and Rey,</w:t>
      </w:r>
      <w:r>
        <w:rPr>
          <w:rFonts w:ascii="Times New Roman" w:hAnsi="Times New Roman" w:cs="Times New Roman"/>
          <w:sz w:val="24"/>
          <w:szCs w:val="24"/>
        </w:rPr>
        <w:t xml:space="preserve"> 2005).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"abstract" : "Drawing on a novel database of the 401(k) plans of 296 firms, we examine the international equity allocations of 3.8 million individuals over the 2005\u20132011 period. We find enormous cross-individual variation, ranging from zero to more than 75%, and strong cohort effects, with younger cohorts investing more internationally than older ones and each cohort investing more internationally over time. Access to financial advice, lower fees, and more international fund choices are associated with higher international allocations, suggesting a role for plan design and policy. Education, financial literacy, and the fraction of foreign-born population in the ZIP code also have positive effects on international diversification, consistent with explanations based on familiarity bias and information barriers.", "author" : [ { "dropping-particle" : "", "family" : "Bekaert", "given" : "Geert", "non-dropping-particle" : "", "parse-names" : false, "suffix" : "" }, { "dropping-particle" : "", "family" : "Hoyem", "given" : "Kenton", "non-dropping-particle" : "", "parse-names" : false, "suffix" : "" }, { "dropping-particle" : "", "family" : "Hu", "given" : "Wei-Yin", "non-dropping-particle" : "", "parse-names" : false, "suffix" : "" }, { "dropping-particle" : "", "family" : "Ravina", "given" : "Enrichetta", "non-dropping-particle" : "", "parse-names" : false, "suffix" : "" } ], "container-title" : "Journal of Financial Economics", "id" : "ITEM-1", "issue" : "1", "issued" : { "date-parts" : [ [ "2017" ] ] }, "page" : "86-112", "title" : "Who is internationally diversified? Evidence from the 401(k) plans of 296 firms", "type" : "article-journal", "volume" : "124" }, "uris" : [ "http://www.mendeley.com/documents/?uuid=9f2e7988-8980-3f4d-aa64-e1246f0426d1", "http://www.mendeley.com/documents/?uuid=68b64b26-9e62-47af-b4fb-7e20766d07a0" ] } ], "mendeley" : { "formattedCitation" : "(Bekaert et al. 2017)", "manualFormatting" : "Bekaert, Hoyem, Hu, &amp; Ravina (2017)", "plainTextFormattedCitation" : "(Bekaert et al. 2017)", "previouslyFormattedCitation" : "(Bekaert et al. 2017)" }, "properties" : {  }, "schema" : "https://github.com/citation-style-language/schema/raw/master/csl-citation.json" }</w:instrText>
      </w:r>
      <w:r>
        <w:rPr>
          <w:rFonts w:ascii="Times New Roman" w:hAnsi="Times New Roman" w:cs="Times New Roman"/>
          <w:sz w:val="24"/>
          <w:szCs w:val="24"/>
        </w:rPr>
        <w:fldChar w:fldCharType="separate"/>
      </w:r>
      <w:r w:rsidR="007123DE">
        <w:rPr>
          <w:rFonts w:ascii="Times New Roman" w:hAnsi="Times New Roman" w:cs="Times New Roman"/>
          <w:noProof/>
          <w:sz w:val="24"/>
          <w:szCs w:val="24"/>
        </w:rPr>
        <w:t xml:space="preserve">Bekaert et al. </w:t>
      </w:r>
      <w:r>
        <w:rPr>
          <w:rFonts w:ascii="Times New Roman" w:hAnsi="Times New Roman" w:cs="Times New Roman"/>
          <w:noProof/>
          <w:sz w:val="24"/>
          <w:szCs w:val="24"/>
        </w:rPr>
        <w:t>(</w:t>
      </w:r>
      <w:r w:rsidRPr="00E7057D">
        <w:rPr>
          <w:rFonts w:ascii="Times New Roman" w:hAnsi="Times New Roman" w:cs="Times New Roman"/>
          <w:noProof/>
          <w:sz w:val="24"/>
          <w:szCs w:val="24"/>
        </w:rPr>
        <w:t>2017)</w:t>
      </w:r>
      <w:r>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the equity allocations of individuals and find that factors such as age, education, financial literacy, availability of investment options and the proportion of foreign-born population affect the tendency for portfolio home bias.  </w:t>
      </w:r>
    </w:p>
    <w:p w14:paraId="25FF35D9" w14:textId="77777777" w:rsidR="0082223F" w:rsidRDefault="0082223F" w:rsidP="0082223F">
      <w:pPr>
        <w:spacing w:after="0" w:line="480" w:lineRule="auto"/>
        <w:jc w:val="both"/>
        <w:rPr>
          <w:rFonts w:ascii="Times New Roman" w:hAnsi="Times New Roman" w:cs="Times New Roman"/>
          <w:sz w:val="24"/>
          <w:szCs w:val="24"/>
        </w:rPr>
      </w:pPr>
    </w:p>
    <w:p w14:paraId="4AC19F5F" w14:textId="77777777" w:rsidR="0082223F" w:rsidRDefault="0082223F" w:rsidP="0082223F">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However, another explanation may be that i</w:t>
      </w:r>
      <w:proofErr w:type="spellStart"/>
      <w:r>
        <w:rPr>
          <w:rFonts w:ascii="Times New Roman" w:hAnsi="Times New Roman" w:cs="Times New Roman"/>
          <w:sz w:val="24"/>
          <w:szCs w:val="24"/>
          <w:lang w:val="en-GB"/>
        </w:rPr>
        <w:t>nvestors</w:t>
      </w:r>
      <w:proofErr w:type="spellEnd"/>
      <w:r>
        <w:rPr>
          <w:rFonts w:ascii="Times New Roman" w:hAnsi="Times New Roman" w:cs="Times New Roman"/>
          <w:sz w:val="24"/>
          <w:szCs w:val="24"/>
          <w:lang w:val="en-GB"/>
        </w:rPr>
        <w:t xml:space="preserve">’ tendencies to overinvest domestically reflect a preference for </w:t>
      </w:r>
      <w:r>
        <w:rPr>
          <w:rFonts w:ascii="Times New Roman" w:hAnsi="Times New Roman" w:cs="Times New Roman"/>
          <w:i/>
          <w:sz w:val="24"/>
          <w:szCs w:val="24"/>
          <w:lang w:val="en-GB"/>
        </w:rPr>
        <w:t>indirect</w:t>
      </w:r>
      <w:r>
        <w:rPr>
          <w:rFonts w:ascii="Times New Roman" w:hAnsi="Times New Roman" w:cs="Times New Roman"/>
          <w:sz w:val="24"/>
          <w:szCs w:val="24"/>
          <w:lang w:val="en-GB"/>
        </w:rPr>
        <w:t xml:space="preserve"> foreign exposure, whereby investors recognise the foreign exposure that they can achieve indirectly via MNCs.  </w:t>
      </w:r>
      <w:proofErr w:type="spellStart"/>
      <w:r>
        <w:rPr>
          <w:rFonts w:ascii="Times New Roman" w:hAnsi="Times New Roman" w:cs="Times New Roman"/>
          <w:sz w:val="24"/>
          <w:szCs w:val="24"/>
        </w:rPr>
        <w:t>Errunza</w:t>
      </w:r>
      <w:proofErr w:type="spellEnd"/>
      <w:r>
        <w:rPr>
          <w:rFonts w:ascii="Times New Roman" w:hAnsi="Times New Roman" w:cs="Times New Roman"/>
          <w:sz w:val="24"/>
          <w:szCs w:val="24"/>
        </w:rPr>
        <w:t xml:space="preserve">, Hogan and Hung (1999) first introduced the concept of home-based international diversification and argue that the gains from international diversification are overstated and should only be measured beyond those attainable through domestically traded equity products. MNCs, although headquartered in one country have substantial exposure to other markets through foreign activity such as trading and investments. </w:t>
      </w:r>
    </w:p>
    <w:p w14:paraId="240B72D7" w14:textId="77777777" w:rsidR="0082223F" w:rsidRDefault="0082223F" w:rsidP="0082223F">
      <w:pPr>
        <w:spacing w:after="0" w:line="480" w:lineRule="auto"/>
        <w:jc w:val="both"/>
        <w:rPr>
          <w:rFonts w:ascii="Times New Roman" w:hAnsi="Times New Roman" w:cs="Times New Roman"/>
          <w:sz w:val="24"/>
          <w:szCs w:val="24"/>
        </w:rPr>
      </w:pPr>
    </w:p>
    <w:p w14:paraId="3EF73F5C" w14:textId="24EAE1F5" w:rsidR="0082223F" w:rsidRDefault="0082223F" w:rsidP="0082223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However, the results of previous studies investigating the international diversification benefits of investing in MNCs have been mixed.  Early studies by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"author" : [ { "dropping-particle" : "", "family" : "Jacquillat", "given" : "Bertrand", "non-dropping-particle" : "", "parse-names" : false, "suffix" : "" }, { "dropping-particle" : "", "family" : "Solnik", "given" : "Bruno H.", "non-dropping-particle" : "", "parse-names" : false, "suffix" : "" } ], "container-title" : "Journal of Portfolio Management", "id" : "ITEM-1", "issue" : "2", "issued" : { "date-parts" : [ [ "1978" ] ] }, "page" : "8-12", "title" : "Multinationals are poor tools for diversification", "type" : "article-journal", "volume" : "4" }, "uris" : [ "http://www.mendeley.com/documents/?uuid=9ba477f5-561d-453c-b876-240e32cd4c90" ] }, { "id" : "ITEM-2", "itemData" : { "author" : [ { "dropping-particle" : "", "family" : "Brewer", "given" : "H. L.", "non-dropping-particle" : "", "parse-names" : false, "suffix" : "" } ], "container-title" : "The Journal of Financial and Quantitative Analysis", "id" : "ITEM-2", "issue" : "1", "issued" : { "date-parts" : [ [ "1981" ] ] }, "page" : "113-126", "publisher" : "University of Washington School of Business Administration", "title" : "Investor Benefits from Corporate International Diversification", "type" : "article-journal", "volume" : "16" }, "uris" : [ "http://www.mendeley.com/documents/?uuid=41cd3337-1a44-41d1-9047-e00943a66866" ] }, { "id" : "ITEM-3", "itemData" : { "abstract" : "Abstract. The analysis in this paper is composed of two segments. First, the flnancial performance of a sample of multinational corporations (MNCs) is compared with that derived for a control group of domestic corporations (DMCs) using market-based performance measures. Then, the paper presents a comparison of selected financial characteristics of the firms in the two groups. The results suggest the DMCs appear to have a significantly superior risk-adjusted market-based performance, are significantly less capitalized, and have higher total risk as well as higher systematic risk. The fact that MNCs are substantially larger than DMCs is not found to be a significant factor in explaining the observed difference between the two groups' performance.", "author" : [ { "dropping-particle" : "", "family" : "Michel", "given" : "Allen", "non-dropping-particle" : "", "parse-names" : false, "suffix" : "" }, { "dropping-particle" : "", "family" : "Shaked", "given" : "Israel", "non-dropping-particle" : "", "parse-names" : false, "suffix" : "" } ], "container-title" : "Journal of International Business Studies", "id" : "ITEM-3", "issue" : "3", "issued" : { "date-parts" : [ [ "1986" ] ] }, "page" : "89-100", "publisher" : "Palgrave Macmillan Journals", "title" : "Multinational Corporations vs. Domestic Corporations: Financial Performance and Characteristics", "type" : "article-journal", "volume" : "17" }, "uris" : [ "http://www.mendeley.com/documents/?uuid=abc29ce2-499e-46fb-8037-188d8a058e10" ] }, { "id" : "ITEM-4", "itemData" : { "ISSN" : "10440283", "abstract" : "While international portfolio investment has become much more common among U.S. investors, prior research has shown that they continue to exhibit a home bias in equity holdings. Hence, to gain the potential benefits of international diversification, they must turn to U.S. multinationals (MNCs), among other alternatives. The literature, however, contains mixed evidence on this, leading us to reexamine the issue here through the use of daily data covering the period of January 31, 1995, through May 31, 2001. Various tests applied to dollar returns for major U.S. and international stock market indices show weak correlations and no long-term cointegrating relationships between the U.S. sets and the foreign indices that exclude U.S. and Canadian stocks. The strong results obtained here imply that U.S. investors' portfolios can benefit from international diversification. To see if U.S. MNCs can provide such a benefit, a portfolio based on dollar returns of 47 U.S. multinationals, as well as a base portfolio represented by the broad S&amp;P 500 index, are subjected to correlation tests vis-\u00e0-vis non-U.S. stock indices. Again, the findings provide strong evidence in favor of an internationally diversified portfolio. It appears that U.S. MNCs are not the reason for the continued existence of the home bias puzzle.", "author" : [ { "dropping-particle" : "", "family" : "Salehizadeh", "given" : "Mehdi", "non-dropping-particle" : "", "parse-names" : false, "suffix" : "" } ], "container-title" : "Global Finance Journal", "id" : "ITEM-4", "issue" : "3", "issued" : { "date-parts" : [ [ "2003", "12" ] ] }, "page" : "303-318", "title" : "U.S. multinationals and the home bias puzzle: an empirical analysis", "type" : "article-journal", "volume" : "14" }, "uris" : [ "http://www.mendeley.com/documents/?uuid=5049c25e-5ccf-47a8-9d47-918847e18232" ] } ], "mendeley" : { "formattedCitation" : "(Brewer 1981; Jacquillat and Solnik 1978; Michel and Shaked 1986; Salehizadeh 2003)", "manualFormatting" : "Jacquillat &amp; Solnik (1978), Brewer (1981), Michel &amp; Shaked, (1986) and Salehizadeh (2003)", "plainTextFormattedCitation" : "(Brewer 1981; Jacquillat and Solnik 1978; Michel and Shaked 1986; Salehizadeh 2003)", "previouslyFormattedCitation" : "(Brewer 1981; Jacquillat and Solnik 1978; Michel and Shaked 1986; Salehizadeh 2003)"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Jacquillat &amp; Solnik (1978), Brewer (1981), Michel &amp; Shaked, (1986) and Salehizadeh (2003)</w:t>
      </w:r>
      <w:r>
        <w:rPr>
          <w:rFonts w:ascii="Times New Roman" w:hAnsi="Times New Roman" w:cs="Times New Roman"/>
          <w:sz w:val="24"/>
          <w:szCs w:val="24"/>
        </w:rPr>
        <w:fldChar w:fldCharType="end"/>
      </w:r>
      <w:r>
        <w:rPr>
          <w:rFonts w:ascii="Times New Roman" w:hAnsi="Times New Roman" w:cs="Times New Roman"/>
          <w:sz w:val="24"/>
          <w:szCs w:val="24"/>
        </w:rPr>
        <w:t xml:space="preserve"> found that US MNCs do not mimic international returns, but more recent literature including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"abstract" : "This paper employs mean\u2013variance spanning tests to examine the diversification potential of multinational firms and foreign market indices from the perspective of investors in the G7 countries over the 1984\u20131995 period. We find evidence that multinational corporations may have provided diversification benefits for investors in Germany and the United States. We find that the addition of foreign market indices to a domestic portfolio\u2014inclusive of multinationals\u2014provided substantial diversification benefits in all countries. The economic importance of the shift of the portfolio frontier varied considerably across markets.", "author" : [ { "dropping-particle" : "", "family" : "Rowland", "given" : "Patrick F", "non-dropping-particle" : "", "parse-names" : false, "suffix" : "" }, { "dropping-particle" : "", "family" : "Tesar", "given" : "Linda L", "non-dropping-particle" : "", "parse-names" : false, "suffix" : "" } ], "container-title" : "Review of Economic Dynamics", "id" : "ITEM-1", "issue" : "4", "issued" : { "date-parts" : [ [ "2004" ] ] }, "page" : "789-826", "title" : "Multinationals and the gains from international diversification", "type" : "article-journal", "volume" : "7" }, "uris" : [ "http://www.mendeley.com/documents/?uuid=8840c3ed-027f-4c78-90b7-36148a83e925" ] } ], "mendeley" : { "formattedCitation" : "(Rowland and Tesar 2004)", "manualFormatting" : "Rowland &amp; Tesar (2004)", "plainTextFormattedCitation" : "(Rowland and Tesar 2004)", "previouslyFormattedCitation" : "(Rowland and Tesar 2004)"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Rowland &amp; Tesar (</w:t>
      </w:r>
      <w:r w:rsidRPr="00904739">
        <w:rPr>
          <w:rFonts w:ascii="Times New Roman" w:hAnsi="Times New Roman" w:cs="Times New Roman"/>
          <w:noProof/>
          <w:sz w:val="24"/>
          <w:szCs w:val="24"/>
        </w:rPr>
        <w:t>2004)</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"abstract" : "The extent to which internationalising MNEs create value, and the extent to which investors can reap the benefits of firm-level internationalisation remain controversial issues. Using a multi-country dataset with over 3 million observations, we classify 1143 firms listed on the exchanges of the G7 countries according to the geographical spread of their sales and subsidiaries. We show that more internationalised firms provide greater diversification benefits. By investing in home-based internationalised firms, investors can 'free ride' the costs and risks associated with internationalisation at the level of the firm and exhibit home bias while availing of international diversification benefits. \u00a9 2010 Elsevier Inc.", "author" : [ { "dropping-particle" : "", "family" : "Berrill", "given" : "Jenny", "non-dropping-particle" : "", "parse-names" : false, "suffix" : "" }, { "dropping-particle" : "", "family" : "Kearney", "given" : "Colm", "non-dropping-particle" : "", "parse-names" : false, "suffix" : "" } ], "container-title" : "Journal of Economics and Business", "id" : "ITEM-1", "issued" : { "date-parts" : [ [ "2010" ] ] }, "page" : "235-236", "title" : "Firm-level internationalisation and the home bias puzzle", "type" : "article-journal", "volume" : "62" }, "uris" : [ "http://www.mendeley.com/documents/?uuid=b5af14a6-65c0-4bec-a414-b7b6c22708fb" ] } ], "mendeley" : { "formattedCitation" : "(Berrill and Kearney 2010)", "manualFormatting" : "Berrill and Kearney (2010)", "plainTextFormattedCitation" : "(Berrill and Kearney 2010)", "previouslyFormattedCitation" : "(Berrill and Kearney 2010)"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Berrill and Kearney (2010)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Style w:val="FootnoteReference"/>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O'Hagan-Luff","given":"Martha","non-dropping-particle":"","parse-names":false,"suffix":""},{"dropping-particle":"","family":"Berrill","given":"Jenny","non-dropping-particle":"","parse-names":false,"suffix":""},{"dropping-particle":"","family":"Kearney","given":"Colm","non-dropping-particle":"","parse-names":false,"suffix":""}],"container-title":"Working Paper","id":"ITEM-1","issued":{"date-parts":[["2014"]]},"title":"A Longitudinal Investigation into the International Diversification Benefits of US MNCs","type":"article-journal"},"uris":["http://www.mendeley.com/documents/?uuid=b367c453-781d-4e2e-b0ec-c89dd15e7dae","http://www.mendeley.com/documents/?uuid=1868cffc-9e6f-4f1e-afb8-b765534bd3eb"]},{"id":"ITEM-2","itemData":{"abstract":"This paper examines whether investor-made international diversification outperforms corporate international diversification. Our results indicate that internationally diversified firms yield higher returns relative to investor-made internationally diversified portfolios. Our results partially offer an explanation for the ‘home bias puzzle’, which argues that international asset holdings in individual portfolios remain significantly lower than forecasted by analysts despite the integration of global capital markets. However, as firms increase the number of geographic segments, the excess returns are lower. Additionally, firms that belong to durables, energy, manufacturing, shops and telecommunication industries have higher excess returns relative to other industries. Overall, our results suggest that investors will earn higher returns by investing in globally diversified MNCs rather than by attempting to build mimicking internationally diversified portfolios.","author":[{"dropping-particle":"","family":"Farooqi","given":"Javeria","non-dropping-particle":"","parse-names":false,"suffix":""},{"dropping-particle":"","family":"Huerta","given":"Daniel","non-dropping-particle":"","parse-names":false,"suffix":""},{"dropping-particle":"","family":"Ngo","given":"Thanh","non-dropping-particle":"","parse-names":false,"suffix":""}],"container-title":"The Quarterly Review of Economics and Finance","id":"ITEM-2","issued":{"date-parts":[["2015","8"]]},"page":"75-85","title":"Should you globally diversify or let the globally diversified firm do it for you?","type":"article-journal","volume":"57"},"uris":["http://www.mendeley.com/documents/?uuid=a3d53f4f-e1e9-4805-ae8a-837ee57554c0"]}],"mendeley":{"formattedCitation":"(Farooqi, Huerta, &amp; Ngo, 2015; O’Hagan-Luff, Berrill, &amp; Kearney, 2014)","manualFormatting":"Cai &amp; Warnock (2012), O’Hagan-Luff &amp; Berrill (2015),","plainTextFormattedCitation":"(Farooqi, Huerta, &amp; Ngo, 2015; O’Hagan-Luff, Berrill, &amp; Kearney, 2014)","previouslyFormattedCitation":"(Farooqi, Huerta, &amp; Ngo, 2015; O’Hagan-Luff, Berrill, &amp; Kearney, 2014)"},"properties":{"noteIndex":0},"schema":"https://github.com/citation-style-language/schema/raw/master/csl-citation.json"}</w:instrText>
      </w:r>
      <w:r>
        <w:rPr>
          <w:rStyle w:val="FootnoteReference"/>
          <w:rFonts w:ascii="Times New Roman" w:hAnsi="Times New Roman" w:cs="Times New Roman"/>
          <w:sz w:val="24"/>
          <w:szCs w:val="24"/>
        </w:rPr>
        <w:fldChar w:fldCharType="separate"/>
      </w:r>
      <w:r>
        <w:rPr>
          <w:rFonts w:ascii="Times New Roman" w:hAnsi="Times New Roman" w:cs="Times New Roman"/>
          <w:noProof/>
          <w:sz w:val="24"/>
          <w:szCs w:val="24"/>
        </w:rPr>
        <w:t>Cai &amp; Warnock (2012), O’Hagan-Luff &amp; Berrill (2015),</w:t>
      </w:r>
      <w:r>
        <w:rPr>
          <w:rStyle w:val="FootnoteReference"/>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"abstract" : "This paper examines whether investor-made international diversification outperforms corporate international diversification. Our results indicate that internationally diversified firms yield higher returns relative to investor-made internationally diversified portfolios. Our results partially offer an explanation for the \u2018home bias puzzle\u2019, which argues that international asset holdings in individual portfolios remain significantly lower than forecasted by analysts despite the integration of global capital markets. However, as firms increase the number of geographic segments, the excess returns are lower. Additionally, firms that belong to durables, energy, manufacturing, shops and telecommunication industries have higher excess returns relative to other industries. Overall, our results suggest that investors will earn higher returns by investing in globally diversified MNCs rather than by attempting to build mimicking internationally diversified portfolios.", "author" : [ { "dropping-particle" : "", "family" : "Farooqi", "given" : "Javeria", "non-dropping-particle" : "", "parse-names" : false, "suffix" : "" }, { "dropping-particle" : "", "family" : "Huerta", "given" : "Daniel", "non-dropping-particle" : "", "parse-names" : false, "suffix" : "" }, { "dropping-particle" : "", "family" : "Ngo", "given" : "Thanh", "non-dropping-particle" : "", "parse-names" : false, "suffix" : "" } ], "container-title" : "The Quarterly Review of Economics and Finance", "id" : "ITEM-1", "issued" : { "date-parts" : [ [ "2015", "8" ] ] }, "page" : "75-85", "title" : "Should you globally diversify or let the globally diversified firm do it for you?", "type" : "article-journal", "volume" : "57" }, "uris" : [ "http://www.mendeley.com/documents/?uuid=a3d53f4f-e1e9-4805-ae8a-837ee57554c0" ] } ], "mendeley" : { "formattedCitation" : "(Farooqi et al. 2015)", "manualFormatting" : "Farooqi, Huerta, &amp; Ngo (2015)", "plainTextFormattedCitation" : "(Farooqi et al. 2015)", "previouslyFormattedCitation" : "(Farooqi, Huerta, and Ngo 2015)"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Farooqi, Huerta, &amp; Ngo (2015)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"ISSN" : "10575219", "abstract" : "This study analyzes the effects of corporate international diversification (CID) on risk. Results document a mostly positive relation between CID, as measured by four different empirical proxy variables, and equity risk. I also find that diversification increases the volatility of cash flows and earnings. There is no empirical support of a reduction in correlations between firm-level and domestic market-level cash flows of internationally diversified firms. Finally, this study shows that the risk-increasing effects of CID are stronger for firms that are in more advanced stages of the internationalization process. The latter finding would be consistent with firms expanding to more risky countries in their latter stages of CID.", "author" : [ { "dropping-particle" : "", "family" : "Krapl", "given" : "Alain A.", "non-dropping-particle" : "", "parse-names" : false, "suffix" : "" } ], "container-title" : "International Review of Financial Analysis", "id" : "ITEM-1", "issued" : { "date-parts" : [ [ "2015" ] ] }, "page" : "1-13", "title" : "Corporate international diversification and risk", "type" : "article-journal", "volume" : "37" }, "uris" : [ "http://www.mendeley.com/documents/?uuid=6a0fb8d6-e1ad-4123-a8b0-9964035cb909" ] } ], "mendeley" : { "formattedCitation" : "(Krapl 2015)", "manualFormatting" : "Krapl (2015)", "plainTextFormattedCitation" : "(Krapl 2015)", "previouslyFormattedCitation" : "(Krapl 2015)"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Krapl (2015)</w:t>
      </w:r>
      <w:r>
        <w:rPr>
          <w:rFonts w:ascii="Times New Roman" w:hAnsi="Times New Roman" w:cs="Times New Roman"/>
          <w:sz w:val="24"/>
          <w:szCs w:val="24"/>
        </w:rPr>
        <w:fldChar w:fldCharType="end"/>
      </w:r>
      <w:r>
        <w:rPr>
          <w:rFonts w:ascii="Times New Roman" w:hAnsi="Times New Roman" w:cs="Times New Roman"/>
          <w:sz w:val="24"/>
          <w:szCs w:val="24"/>
        </w:rPr>
        <w:t xml:space="preserve"> and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"ISSN" : "00221996", "abstract" : "We investigate theoretically and empirically the relationship between the geographic structure of a multinational corporation and its risk premium. Our structural model suggests two channels. On the one hand, multinational activity offers diversification benefits: risk premia should be higher for firms operating in countries where shocks co-vary more with the domestic ones. Second, hysteresis and operating leverage induced by fixed and sunk costs of production imply that risk premia should be higher for firms operating in countries where it is costlier to enter and produce. Our empirical analysis confirms these predictions and delivers a decomposition of firm-level risk premia into individual countries' contributions.", "author" : [ { "dropping-particle" : "", "family" : "Fillat", "given" : "Jos\u00e9 L.", "non-dropping-particle" : "", "parse-names" : false, "suffix" : "" }, { "dropping-particle" : "", "family" : "Garetto", "given" : "Stefania", "non-dropping-particle" : "", "parse-names" : false, "suffix" : "" }, { "dropping-particle" : "", "family" : "Oldenski", "given" : "Lindsay", "non-dropping-particle" : "", "parse-names" : false, "suffix" : "" } ], "container-title" : "Journal of International Economics", "id" : "ITEM-1", "issue" : "1", "issued" : { "date-parts" : [ [ "2015", "1" ] ] }, "page" : "37-54", "title" : "Diversification, cost structure, and the risk premium of multinational corporations", "type" : "article-journal", "volume" : "96" }, "uris" : [ "http://www.mendeley.com/documents/?uuid=3151f931-f38f-4f6d-889b-528422837588" ] } ], "mendeley" : { "formattedCitation" : "(Fillat et al. 2015)", "manualFormatting" : "Fillat, Garetto, &amp; Oldenski (2015)", "plainTextFormattedCitation" : "(Fillat et al. 2015)", "previouslyFormattedCitation" : "(Fillat, Garetto, and Oldenski 2015)" }, "properties" : {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Fillat, Garetto, &amp; Oldenski (2015)</w:t>
      </w:r>
      <w:r>
        <w:rPr>
          <w:rFonts w:ascii="Times New Roman" w:hAnsi="Times New Roman" w:cs="Times New Roman"/>
          <w:sz w:val="24"/>
          <w:szCs w:val="24"/>
        </w:rPr>
        <w:fldChar w:fldCharType="end"/>
      </w:r>
      <w:r>
        <w:rPr>
          <w:rFonts w:ascii="Times New Roman" w:hAnsi="Times New Roman" w:cs="Times New Roman"/>
          <w:sz w:val="24"/>
          <w:szCs w:val="24"/>
        </w:rPr>
        <w:t xml:space="preserve"> find more positive results, most likely due to the increasing levels of firm internationalization, offering greater levels of foreign exposure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"author" : [ { "dropping-particle" : "", "family" : "O'Hagan-Luff", "given" : "Martha", "non-dropping-particle" : "", "parse-names" : false, "suffix" : "" }, { "dropping-particle" : "", "family" : "Berrill", "given" : "Jenny", "non-dropping-particle" : "", "parse-names" : false, "suffix" : "" }, { "dropping-particle" : "", "family" : "Kearney", "given" : "Colm", "non-dropping-particle" : "", "parse-names" : false, "suffix" : "" } ], "container-title" : "Working Paper", "id" : "ITEM-1", "issued" : { "date-parts" : [ [ "2014" ] ] }, "title" : "A Longitudinal Investigation into the International Diversification Benefits of US MNCs", "type" : "article-journal" }, "uris" : [ "http://www.mendeley.com/documents/?uuid=1868cffc-9e6f-4f1e-afb8-b765534bd3eb" ] } ], "mendeley" : { "formattedCitation" : "(O\u2019Hagan-Luff et al. 2014)", "manualFormatting" : "(O\u2019Hagan-Luff et al., 2017)", "plainTextFormattedCitation" : "(O\u2019Hagan-Luff et al. 2014)", "previouslyFormattedCitation" : "(O\u2019Hagan-Luff, Berrill, and Kearney 2014)" }, "properties" : {  }, "schema" : "https://github.com/citation-style-language/schema/raw/master/csl-citation.json" }</w:instrText>
      </w:r>
      <w:r>
        <w:rPr>
          <w:rFonts w:ascii="Times New Roman" w:hAnsi="Times New Roman" w:cs="Times New Roman"/>
          <w:sz w:val="24"/>
          <w:szCs w:val="24"/>
        </w:rPr>
        <w:fldChar w:fldCharType="separate"/>
      </w:r>
      <w:r w:rsidRPr="007C10FF">
        <w:rPr>
          <w:rFonts w:ascii="Times New Roman" w:hAnsi="Times New Roman" w:cs="Times New Roman"/>
          <w:noProof/>
          <w:sz w:val="24"/>
          <w:szCs w:val="24"/>
        </w:rPr>
        <w:t>(</w:t>
      </w:r>
      <w:r>
        <w:rPr>
          <w:rFonts w:ascii="Times New Roman" w:hAnsi="Times New Roman" w:cs="Times New Roman"/>
          <w:noProof/>
          <w:sz w:val="24"/>
          <w:szCs w:val="24"/>
        </w:rPr>
        <w:t>Berrill et al., 2019</w:t>
      </w:r>
      <w:r w:rsidRPr="007C10FF">
        <w:rPr>
          <w:rFonts w:ascii="Times New Roman" w:hAnsi="Times New Roman" w:cs="Times New Roman"/>
          <w:noProof/>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0D332F">
        <w:rPr>
          <w:rFonts w:ascii="Times New Roman" w:hAnsi="Times New Roman" w:cs="Times New Roman"/>
          <w:sz w:val="24"/>
          <w:szCs w:val="24"/>
        </w:rPr>
        <w:t xml:space="preserve">Most estimates of investors’ exposure to foreign markets include only direct international portfolio investments, ignoring the indirect exposure that can be achieved via domestic equity products. </w:t>
      </w:r>
      <w:r w:rsidRPr="000D332F">
        <w:rPr>
          <w:rFonts w:ascii="Times New Roman" w:hAnsi="Times New Roman" w:cs="Times New Roman"/>
          <w:sz w:val="24"/>
          <w:szCs w:val="24"/>
        </w:rPr>
        <w:fldChar w:fldCharType="begin" w:fldLock="1"/>
      </w:r>
      <w:r w:rsidRPr="000D332F">
        <w:rPr>
          <w:rFonts w:ascii="Times New Roman" w:hAnsi="Times New Roman" w:cs="Times New Roman"/>
          <w:sz w:val="24"/>
          <w:szCs w:val="24"/>
        </w:rPr>
        <w:instrText>ADDIN CSL_CITATION { "citationItems" : [ { "id" : "ITEM-1", "itemData" : { "ISSN" : "15446123", "abstract" : "We show that US investors obtain substantial foreign exposure through their holdings of domestic equities. Domestic multinationals, in particular, provide significant foreign exposure. We also find that, although the average US investor is less tilted toward domestic multinationals, institutional investors do overweight domestic firms that are more internationally oriented. \u2018Indirect\u2019 foreign holdings through domestic multinationals are shown to be substantial; combining them with reported data on international positions almost doubles US investors\u2019 total \u2018foreign\u2019 holdings. Our findings indicate that the home bias is not as severe as assessments based on reported international investment statistics suggest.", "author" : [ { "dropping-particle" : "", "family" : "Cai", "given" : "Fang", "non-dropping-particle" : "", "parse-names" : false, "suffix" : "" }, { "dropping-particle" : "", "family" : "Warnock", "given" : "Francis E.", "non-dropping-particle" : "", "parse-names" : false, "suffix" : "" } ], "container-title" : "Finance Research Letters", "id" : "ITEM-1", "issue" : "1", "issued" : { "date-parts" : [ [ "2012", "3" ] ] }, "page" : "8-20", "title" : "Foreign exposure through domestic equities", "type" : "article-journal", "volume" : "9" }, "uris" : [ "http://www.mendeley.com/documents/?uuid=d40ced0f-3106-4f13-8471-8ef9acf95086" ] } ], "mendeley" : { "formattedCitation" : "(Cai and Warnock 2012)", "manualFormatting" : "Cai &amp; Warnock (2012)", "plainTextFormattedCitation" : "(Cai and Warnock 2012)", "previouslyFormattedCitation" : "(Cai and Warnock 2012)" }, "properties" : {  }, "schema" : "https://github.com/citation-style-language/schema/raw/master/csl-citation.json" }</w:instrText>
      </w:r>
      <w:r w:rsidRPr="000D332F">
        <w:rPr>
          <w:rFonts w:ascii="Times New Roman" w:hAnsi="Times New Roman" w:cs="Times New Roman"/>
          <w:sz w:val="24"/>
          <w:szCs w:val="24"/>
        </w:rPr>
        <w:fldChar w:fldCharType="separate"/>
      </w:r>
      <w:r w:rsidRPr="000D332F">
        <w:rPr>
          <w:rFonts w:ascii="Times New Roman" w:hAnsi="Times New Roman" w:cs="Times New Roman"/>
          <w:noProof/>
          <w:sz w:val="24"/>
          <w:szCs w:val="24"/>
        </w:rPr>
        <w:t>Cai &amp; Warnock (2012)</w:t>
      </w:r>
      <w:r w:rsidRPr="000D332F">
        <w:rPr>
          <w:rFonts w:ascii="Times New Roman" w:hAnsi="Times New Roman" w:cs="Times New Roman"/>
          <w:sz w:val="24"/>
          <w:szCs w:val="24"/>
        </w:rPr>
        <w:fldChar w:fldCharType="end"/>
      </w:r>
      <w:r w:rsidRPr="000D332F">
        <w:rPr>
          <w:rFonts w:ascii="Times New Roman" w:hAnsi="Times New Roman" w:cs="Times New Roman"/>
          <w:sz w:val="24"/>
          <w:szCs w:val="24"/>
        </w:rPr>
        <w:t xml:space="preserve"> suggest that home bias is being overstated due to the fact that the international exposure of US MNCs is not counted as foreign equity holdings.  They find that domestic investors’ preference for MNCs, even after controlling for size and other characteristics, is consistent with a “safe diversification” hypothesis.</w:t>
      </w:r>
      <w:r w:rsidRPr="000D2679">
        <w:rPr>
          <w:rFonts w:ascii="Times New Roman" w:hAnsi="Times New Roman" w:cs="Times New Roman"/>
          <w:sz w:val="24"/>
          <w:szCs w:val="24"/>
        </w:rPr>
        <w:t xml:space="preserve"> </w:t>
      </w:r>
    </w:p>
    <w:p w14:paraId="5EE4951D" w14:textId="43B49A82" w:rsidR="001A56A3" w:rsidRDefault="001A56A3" w:rsidP="0082223F">
      <w:pPr>
        <w:spacing w:after="0" w:line="480" w:lineRule="auto"/>
        <w:jc w:val="both"/>
        <w:rPr>
          <w:rFonts w:ascii="Times New Roman" w:hAnsi="Times New Roman" w:cs="Times New Roman"/>
          <w:sz w:val="24"/>
          <w:szCs w:val="24"/>
        </w:rPr>
      </w:pPr>
    </w:p>
    <w:p w14:paraId="0298402D" w14:textId="59A589D5" w:rsidR="001A56A3" w:rsidRDefault="001A56A3" w:rsidP="0082223F">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We hypothesize that</w:t>
      </w:r>
      <w:r w:rsidRPr="00326D1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domestic market conditions may influence </w:t>
      </w:r>
      <w:r w:rsidRPr="00326D1D">
        <w:rPr>
          <w:rFonts w:ascii="Times New Roman" w:eastAsia="Times New Roman" w:hAnsi="Times New Roman" w:cs="Times New Roman"/>
          <w:color w:val="000000"/>
          <w:sz w:val="24"/>
          <w:szCs w:val="24"/>
        </w:rPr>
        <w:t>investors</w:t>
      </w:r>
      <w:r>
        <w:rPr>
          <w:rFonts w:ascii="Times New Roman" w:eastAsia="Times New Roman" w:hAnsi="Times New Roman" w:cs="Times New Roman"/>
          <w:color w:val="000000"/>
          <w:sz w:val="24"/>
          <w:szCs w:val="24"/>
        </w:rPr>
        <w:t>’</w:t>
      </w:r>
      <w:r w:rsidRPr="00326D1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decisions to invest in domestic firms versus MNCs. We investigate whether </w:t>
      </w:r>
      <w:r w:rsidRPr="00326D1D">
        <w:rPr>
          <w:rFonts w:ascii="Times New Roman" w:eastAsia="Times New Roman" w:hAnsi="Times New Roman" w:cs="Times New Roman"/>
          <w:color w:val="000000"/>
          <w:sz w:val="24"/>
          <w:szCs w:val="24"/>
        </w:rPr>
        <w:t xml:space="preserve">investors </w:t>
      </w:r>
      <w:r>
        <w:rPr>
          <w:rFonts w:ascii="Times New Roman" w:eastAsia="Times New Roman" w:hAnsi="Times New Roman" w:cs="Times New Roman"/>
          <w:color w:val="000000"/>
          <w:sz w:val="24"/>
          <w:szCs w:val="24"/>
        </w:rPr>
        <w:t>differentiate between multinational and domestic firms in advancing and declining markets. We formally state our hypothesis as follows:</w:t>
      </w:r>
    </w:p>
    <w:p w14:paraId="066BD611" w14:textId="77777777" w:rsidR="001A56A3" w:rsidRDefault="001A56A3" w:rsidP="0082223F">
      <w:pPr>
        <w:spacing w:after="0" w:line="480" w:lineRule="auto"/>
        <w:jc w:val="both"/>
        <w:rPr>
          <w:rFonts w:ascii="Times New Roman" w:eastAsia="Times New Roman" w:hAnsi="Times New Roman" w:cs="Times New Roman"/>
          <w:color w:val="000000"/>
          <w:sz w:val="24"/>
          <w:szCs w:val="24"/>
        </w:rPr>
      </w:pPr>
    </w:p>
    <w:p w14:paraId="3EA5A0D9" w14:textId="74D19C64" w:rsidR="001A56A3" w:rsidRDefault="001A56A3" w:rsidP="0082223F">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Hypothesis 1</w:t>
      </w:r>
      <w:r w:rsidR="0002190F">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 Investors increase their investment in MNCs when domestic markets decline</w:t>
      </w:r>
      <w:r w:rsidR="007123DE">
        <w:rPr>
          <w:rFonts w:ascii="Times New Roman" w:eastAsia="Times New Roman" w:hAnsi="Times New Roman" w:cs="Times New Roman"/>
          <w:color w:val="000000"/>
          <w:sz w:val="24"/>
          <w:szCs w:val="24"/>
        </w:rPr>
        <w:t>.</w:t>
      </w:r>
    </w:p>
    <w:p w14:paraId="28699221" w14:textId="5E0D185B" w:rsidR="0002190F" w:rsidRDefault="0002190F" w:rsidP="0082223F">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Hypothesis 1b: Investors increase their investment in MNCs with increasing levels of firm level internationalization when domestic markets decline.</w:t>
      </w:r>
    </w:p>
    <w:p w14:paraId="25D194E2" w14:textId="12E53401" w:rsidR="007A2B02" w:rsidRPr="004C11E6" w:rsidRDefault="0082223F" w:rsidP="004C11E6">
      <w:pPr>
        <w:pStyle w:val="Heading1"/>
        <w:spacing w:line="480" w:lineRule="auto"/>
        <w:jc w:val="left"/>
        <w:rPr>
          <w:b/>
        </w:rPr>
      </w:pPr>
      <w:r>
        <w:rPr>
          <w:b/>
        </w:rPr>
        <w:t xml:space="preserve">3. </w:t>
      </w:r>
      <w:r w:rsidR="004C11E6" w:rsidRPr="004C11E6">
        <w:rPr>
          <w:b/>
        </w:rPr>
        <w:t>Data and m</w:t>
      </w:r>
      <w:r w:rsidR="007A2B02" w:rsidRPr="004C11E6">
        <w:rPr>
          <w:b/>
        </w:rPr>
        <w:t>ethod</w:t>
      </w:r>
      <w:r w:rsidR="00166C53" w:rsidRPr="004C11E6">
        <w:rPr>
          <w:b/>
        </w:rPr>
        <w:t>s</w:t>
      </w:r>
    </w:p>
    <w:p w14:paraId="327A2DA1" w14:textId="451318B9" w:rsidR="0088675D" w:rsidRPr="004C11E6" w:rsidRDefault="0082223F" w:rsidP="00D9108B">
      <w:pPr>
        <w:pStyle w:val="Heading2"/>
        <w:spacing w:line="480" w:lineRule="auto"/>
        <w:rPr>
          <w:i/>
          <w:u w:val="none"/>
          <w:lang w:val="en-GB"/>
        </w:rPr>
      </w:pPr>
      <w:r>
        <w:rPr>
          <w:i/>
          <w:u w:val="none"/>
          <w:lang w:val="en-GB"/>
        </w:rPr>
        <w:t>3</w:t>
      </w:r>
      <w:r w:rsidR="00D42A90" w:rsidRPr="004C11E6">
        <w:rPr>
          <w:i/>
          <w:u w:val="none"/>
          <w:lang w:val="en-GB"/>
        </w:rPr>
        <w:t xml:space="preserve">.1 </w:t>
      </w:r>
      <w:r w:rsidR="0088675D" w:rsidRPr="004C11E6">
        <w:rPr>
          <w:i/>
          <w:u w:val="none"/>
          <w:lang w:val="en-GB"/>
        </w:rPr>
        <w:t>Data</w:t>
      </w:r>
    </w:p>
    <w:p w14:paraId="2BC2431A" w14:textId="362FC591" w:rsidR="00DA45A4" w:rsidRDefault="00C13047" w:rsidP="00DA45A4">
      <w:pPr>
        <w:spacing w:after="0"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 identify our</w:t>
      </w:r>
      <w:r w:rsidRPr="00315A90">
        <w:rPr>
          <w:rFonts w:ascii="Times New Roman" w:hAnsi="Times New Roman" w:cs="Times New Roman"/>
          <w:sz w:val="24"/>
          <w:szCs w:val="24"/>
          <w:lang w:val="en-GB"/>
        </w:rPr>
        <w:t xml:space="preserve"> sample of firms by examining all NYSE, AMEX and NASDAQ listed stocks over the 20 year period between </w:t>
      </w:r>
      <w:r w:rsidR="00DA45A4">
        <w:rPr>
          <w:rFonts w:ascii="Times New Roman" w:hAnsi="Times New Roman" w:cs="Times New Roman"/>
          <w:sz w:val="24"/>
          <w:szCs w:val="24"/>
          <w:lang w:val="en-GB"/>
        </w:rPr>
        <w:t>January 1995 and</w:t>
      </w:r>
      <w:r w:rsidRPr="00315A90">
        <w:rPr>
          <w:rFonts w:ascii="Times New Roman" w:hAnsi="Times New Roman" w:cs="Times New Roman"/>
          <w:sz w:val="24"/>
          <w:szCs w:val="24"/>
          <w:lang w:val="en-GB"/>
        </w:rPr>
        <w:t xml:space="preserve"> </w:t>
      </w:r>
      <w:r w:rsidR="00DA45A4">
        <w:rPr>
          <w:rFonts w:ascii="Times New Roman" w:hAnsi="Times New Roman" w:cs="Times New Roman"/>
          <w:sz w:val="24"/>
          <w:szCs w:val="24"/>
          <w:lang w:val="en-GB"/>
        </w:rPr>
        <w:t xml:space="preserve">December </w:t>
      </w:r>
      <w:r w:rsidRPr="00315A90">
        <w:rPr>
          <w:rFonts w:ascii="Times New Roman" w:hAnsi="Times New Roman" w:cs="Times New Roman"/>
          <w:sz w:val="24"/>
          <w:szCs w:val="24"/>
          <w:lang w:val="en-GB"/>
        </w:rPr>
        <w:t xml:space="preserve">2014.  </w:t>
      </w:r>
      <w:r w:rsidR="001A281F" w:rsidRPr="00315A90">
        <w:rPr>
          <w:rFonts w:ascii="Times New Roman" w:hAnsi="Times New Roman" w:cs="Times New Roman"/>
          <w:sz w:val="24"/>
          <w:szCs w:val="24"/>
          <w:lang w:val="en-GB"/>
        </w:rPr>
        <w:t xml:space="preserve">We remove firms </w:t>
      </w:r>
      <w:r w:rsidR="0068438B">
        <w:rPr>
          <w:rFonts w:ascii="Times New Roman" w:hAnsi="Times New Roman" w:cs="Times New Roman"/>
          <w:sz w:val="24"/>
          <w:szCs w:val="24"/>
          <w:lang w:val="en-GB"/>
        </w:rPr>
        <w:t xml:space="preserve">with no data available </w:t>
      </w:r>
      <w:r w:rsidR="001A281F" w:rsidRPr="00315A90">
        <w:rPr>
          <w:rFonts w:ascii="Times New Roman" w:hAnsi="Times New Roman" w:cs="Times New Roman"/>
          <w:sz w:val="24"/>
          <w:szCs w:val="24"/>
          <w:lang w:val="en-GB"/>
        </w:rPr>
        <w:t>on</w:t>
      </w:r>
      <w:r w:rsidR="0078668B">
        <w:rPr>
          <w:rFonts w:ascii="Times New Roman" w:hAnsi="Times New Roman" w:cs="Times New Roman"/>
          <w:sz w:val="24"/>
          <w:szCs w:val="24"/>
          <w:lang w:val="en-GB"/>
        </w:rPr>
        <w:t xml:space="preserve"> price or</w:t>
      </w:r>
      <w:r w:rsidR="001A281F" w:rsidRPr="00315A90">
        <w:rPr>
          <w:rFonts w:ascii="Times New Roman" w:hAnsi="Times New Roman" w:cs="Times New Roman"/>
          <w:sz w:val="24"/>
          <w:szCs w:val="24"/>
          <w:lang w:val="en-GB"/>
        </w:rPr>
        <w:t xml:space="preserve"> internationalization</w:t>
      </w:r>
      <w:r w:rsidR="001A281F">
        <w:rPr>
          <w:rFonts w:ascii="Times New Roman" w:hAnsi="Times New Roman" w:cs="Times New Roman"/>
          <w:sz w:val="24"/>
          <w:szCs w:val="24"/>
          <w:lang w:val="en-GB"/>
        </w:rPr>
        <w:t xml:space="preserve"> </w:t>
      </w:r>
      <w:r w:rsidR="0068438B">
        <w:rPr>
          <w:rFonts w:ascii="Times New Roman" w:hAnsi="Times New Roman" w:cs="Times New Roman"/>
          <w:sz w:val="24"/>
          <w:szCs w:val="24"/>
          <w:lang w:val="en-GB"/>
        </w:rPr>
        <w:t>at any time during</w:t>
      </w:r>
      <w:r w:rsidR="00DA45A4">
        <w:rPr>
          <w:rFonts w:ascii="Times New Roman" w:hAnsi="Times New Roman" w:cs="Times New Roman"/>
          <w:sz w:val="24"/>
          <w:szCs w:val="24"/>
          <w:lang w:val="en-GB"/>
        </w:rPr>
        <w:t xml:space="preserve"> our period.  This results in a final sample of</w:t>
      </w:r>
      <w:r w:rsidR="001A281F" w:rsidRPr="00315A90">
        <w:rPr>
          <w:rFonts w:ascii="Times New Roman" w:hAnsi="Times New Roman" w:cs="Times New Roman"/>
          <w:sz w:val="24"/>
          <w:szCs w:val="24"/>
          <w:lang w:val="en-GB"/>
        </w:rPr>
        <w:t xml:space="preserve"> 9,564 firms</w:t>
      </w:r>
      <w:r w:rsidR="00DA45A4">
        <w:rPr>
          <w:rFonts w:ascii="Times New Roman" w:hAnsi="Times New Roman" w:cs="Times New Roman"/>
          <w:sz w:val="24"/>
          <w:szCs w:val="24"/>
          <w:lang w:val="en-GB"/>
        </w:rPr>
        <w:t>.</w:t>
      </w:r>
      <w:r w:rsidR="001A281F" w:rsidRPr="00315A90">
        <w:rPr>
          <w:rFonts w:ascii="Times New Roman" w:hAnsi="Times New Roman" w:cs="Times New Roman"/>
          <w:sz w:val="24"/>
          <w:szCs w:val="24"/>
          <w:lang w:val="en-GB"/>
        </w:rPr>
        <w:t xml:space="preserve"> </w:t>
      </w:r>
      <w:r w:rsidR="00DA45A4" w:rsidRPr="00315A90">
        <w:rPr>
          <w:rFonts w:ascii="Times New Roman" w:hAnsi="Times New Roman" w:cs="Times New Roman"/>
          <w:sz w:val="24"/>
          <w:szCs w:val="24"/>
          <w:lang w:val="en-GB"/>
        </w:rPr>
        <w:t xml:space="preserve">For each firm, we collect its monthly </w:t>
      </w:r>
      <w:r w:rsidR="0068438B">
        <w:rPr>
          <w:rFonts w:ascii="Times New Roman" w:hAnsi="Times New Roman" w:cs="Times New Roman"/>
          <w:sz w:val="24"/>
          <w:szCs w:val="24"/>
          <w:lang w:val="en-GB"/>
        </w:rPr>
        <w:t>return,</w:t>
      </w:r>
      <w:r w:rsidR="00DA45A4" w:rsidRPr="00315A90">
        <w:rPr>
          <w:rFonts w:ascii="Times New Roman" w:hAnsi="Times New Roman" w:cs="Times New Roman"/>
          <w:sz w:val="24"/>
          <w:szCs w:val="24"/>
          <w:lang w:val="en-GB"/>
        </w:rPr>
        <w:t xml:space="preserve"> foreign sales as a percentage of total sales, and the 10 geographic segment descriptions for which it reports material sales, as reported annually by the firm.  In addition we collect data on </w:t>
      </w:r>
      <w:r w:rsidR="003D6F42">
        <w:rPr>
          <w:rFonts w:ascii="Times New Roman" w:hAnsi="Times New Roman" w:cs="Times New Roman"/>
          <w:sz w:val="24"/>
          <w:szCs w:val="24"/>
          <w:lang w:val="en-GB"/>
        </w:rPr>
        <w:t xml:space="preserve">the firm’s beta, </w:t>
      </w:r>
      <w:r w:rsidR="00DA45A4" w:rsidRPr="00315A90">
        <w:rPr>
          <w:rFonts w:ascii="Times New Roman" w:hAnsi="Times New Roman" w:cs="Times New Roman"/>
          <w:sz w:val="24"/>
          <w:szCs w:val="24"/>
          <w:lang w:val="en-GB"/>
        </w:rPr>
        <w:t>market capi</w:t>
      </w:r>
      <w:r w:rsidR="00DA45A4">
        <w:rPr>
          <w:rFonts w:ascii="Times New Roman" w:hAnsi="Times New Roman" w:cs="Times New Roman"/>
          <w:sz w:val="24"/>
          <w:szCs w:val="24"/>
          <w:lang w:val="en-GB"/>
        </w:rPr>
        <w:t>talization (monthly and annual)</w:t>
      </w:r>
      <w:r w:rsidR="00DA45A4" w:rsidRPr="00315A90">
        <w:rPr>
          <w:rFonts w:ascii="Times New Roman" w:hAnsi="Times New Roman" w:cs="Times New Roman"/>
          <w:sz w:val="24"/>
          <w:szCs w:val="24"/>
          <w:lang w:val="en-GB"/>
        </w:rPr>
        <w:t xml:space="preserve"> to measure firm size, annual market to book ratio, to measure income versus growth effects, annual operating profit margin as a measure of profitability, annual growth in total assets, as a measure of investment, the number of shares traded annually, as a measure of trading volume</w:t>
      </w:r>
      <w:r w:rsidR="00DA45A4">
        <w:rPr>
          <w:rFonts w:ascii="Times New Roman" w:hAnsi="Times New Roman" w:cs="Times New Roman"/>
          <w:sz w:val="24"/>
          <w:szCs w:val="24"/>
          <w:lang w:val="en-GB"/>
        </w:rPr>
        <w:t>,</w:t>
      </w:r>
      <w:r w:rsidR="003D6F42">
        <w:rPr>
          <w:rFonts w:ascii="Times New Roman" w:hAnsi="Times New Roman" w:cs="Times New Roman"/>
          <w:sz w:val="24"/>
          <w:szCs w:val="24"/>
          <w:lang w:val="en-GB"/>
        </w:rPr>
        <w:t xml:space="preserve"> and the annual dividend yield</w:t>
      </w:r>
      <w:r w:rsidR="00DA45A4" w:rsidRPr="00315A90">
        <w:rPr>
          <w:rFonts w:ascii="Times New Roman" w:hAnsi="Times New Roman" w:cs="Times New Roman"/>
          <w:sz w:val="24"/>
          <w:szCs w:val="24"/>
          <w:lang w:val="en-GB"/>
        </w:rPr>
        <w:t>.</w:t>
      </w:r>
      <w:r w:rsidR="00DA45A4" w:rsidRPr="0080161D">
        <w:rPr>
          <w:rStyle w:val="FootnoteReference"/>
        </w:rPr>
        <w:footnoteReference w:id="2"/>
      </w:r>
      <w:r w:rsidR="00DA45A4" w:rsidRPr="00315A90">
        <w:rPr>
          <w:rFonts w:ascii="Times New Roman" w:hAnsi="Times New Roman" w:cs="Times New Roman"/>
          <w:sz w:val="24"/>
          <w:szCs w:val="24"/>
          <w:lang w:val="en-GB"/>
        </w:rPr>
        <w:t xml:space="preserve">  </w:t>
      </w:r>
      <w:r w:rsidR="00A4530A">
        <w:rPr>
          <w:rFonts w:ascii="Times New Roman" w:hAnsi="Times New Roman" w:cs="Times New Roman"/>
          <w:sz w:val="24"/>
          <w:szCs w:val="24"/>
          <w:lang w:val="en-GB"/>
        </w:rPr>
        <w:t>We use the 1-month T-Bill rate as the risk-free rate.</w:t>
      </w:r>
    </w:p>
    <w:p w14:paraId="0F1B3529" w14:textId="00F88206" w:rsidR="006F4ACA" w:rsidRDefault="00C13047" w:rsidP="00D9108B">
      <w:pPr>
        <w:spacing w:after="0" w:line="480" w:lineRule="auto"/>
        <w:jc w:val="both"/>
        <w:rPr>
          <w:rFonts w:ascii="Times New Roman" w:hAnsi="Times New Roman"/>
          <w:sz w:val="24"/>
          <w:szCs w:val="24"/>
          <w:lang w:val="en-GB"/>
        </w:rPr>
      </w:pPr>
      <w:r w:rsidRPr="00326D1D">
        <w:rPr>
          <w:rFonts w:ascii="Times New Roman" w:eastAsia="Times New Roman" w:hAnsi="Times New Roman" w:cs="Times New Roman"/>
          <w:color w:val="000000"/>
          <w:sz w:val="24"/>
          <w:szCs w:val="24"/>
        </w:rPr>
        <w:lastRenderedPageBreak/>
        <w:t>We measure firm level internationalizati</w:t>
      </w:r>
      <w:r>
        <w:rPr>
          <w:rFonts w:ascii="Times New Roman" w:eastAsia="Times New Roman" w:hAnsi="Times New Roman" w:cs="Times New Roman"/>
          <w:color w:val="000000"/>
          <w:sz w:val="24"/>
          <w:szCs w:val="24"/>
        </w:rPr>
        <w:t xml:space="preserve">on using two metrics.  </w:t>
      </w:r>
      <w:r w:rsidR="00C2739C" w:rsidRPr="00326D1D">
        <w:rPr>
          <w:rFonts w:ascii="Times New Roman" w:hAnsi="Times New Roman" w:cs="Times New Roman"/>
          <w:sz w:val="24"/>
          <w:szCs w:val="24"/>
          <w:lang w:val="en-GB"/>
        </w:rPr>
        <w:t xml:space="preserve">A firm’s foreign sales as a percentage of its total sales is the most </w:t>
      </w:r>
      <w:r>
        <w:rPr>
          <w:rFonts w:ascii="Times New Roman" w:hAnsi="Times New Roman" w:cs="Times New Roman"/>
          <w:sz w:val="24"/>
          <w:szCs w:val="24"/>
          <w:lang w:val="en-GB"/>
        </w:rPr>
        <w:t xml:space="preserve">widely </w:t>
      </w:r>
      <w:r w:rsidR="00C2739C" w:rsidRPr="00326D1D">
        <w:rPr>
          <w:rFonts w:ascii="Times New Roman" w:hAnsi="Times New Roman" w:cs="Times New Roman"/>
          <w:sz w:val="24"/>
          <w:szCs w:val="24"/>
          <w:lang w:val="en-GB"/>
        </w:rPr>
        <w:t xml:space="preserve">used measure of firm-level internationalisation </w:t>
      </w:r>
      <w:r>
        <w:rPr>
          <w:rFonts w:ascii="Times New Roman" w:hAnsi="Times New Roman" w:cs="Times New Roman"/>
          <w:sz w:val="24"/>
          <w:szCs w:val="24"/>
          <w:lang w:val="en-GB"/>
        </w:rPr>
        <w:t xml:space="preserve">in studies of portfolio </w:t>
      </w:r>
      <w:r w:rsidRPr="00971893">
        <w:rPr>
          <w:rFonts w:ascii="Times New Roman" w:hAnsi="Times New Roman" w:cs="Times New Roman"/>
          <w:sz w:val="24"/>
          <w:szCs w:val="24"/>
          <w:lang w:val="en-GB"/>
        </w:rPr>
        <w:t xml:space="preserve">diversification </w:t>
      </w:r>
      <w:r w:rsidR="00C2739C" w:rsidRPr="00971893">
        <w:rPr>
          <w:rFonts w:ascii="Times New Roman" w:hAnsi="Times New Roman" w:cs="Times New Roman"/>
          <w:sz w:val="24"/>
          <w:szCs w:val="24"/>
          <w:lang w:val="en-GB"/>
        </w:rPr>
        <w:t>(</w:t>
      </w:r>
      <w:r w:rsidR="00971893" w:rsidRPr="00971893">
        <w:rPr>
          <w:rFonts w:ascii="Times New Roman" w:hAnsi="Times New Roman" w:cs="Times New Roman"/>
          <w:sz w:val="24"/>
          <w:szCs w:val="24"/>
        </w:rPr>
        <w:t>Cai &amp; Warnock</w:t>
      </w:r>
      <w:r w:rsidR="00971893" w:rsidRPr="00971893">
        <w:rPr>
          <w:rFonts w:ascii="Times New Roman" w:hAnsi="Times New Roman" w:cs="Times New Roman"/>
          <w:sz w:val="24"/>
          <w:szCs w:val="24"/>
          <w:lang w:val="en-GB"/>
        </w:rPr>
        <w:t xml:space="preserve"> </w:t>
      </w:r>
      <w:r w:rsidR="00DA0250">
        <w:rPr>
          <w:rStyle w:val="FootnoteReference"/>
          <w:rFonts w:ascii="Times New Roman" w:hAnsi="Times New Roman" w:cs="Times New Roman"/>
          <w:sz w:val="24"/>
          <w:szCs w:val="24"/>
          <w:lang w:val="en-GB"/>
        </w:rPr>
        <w:fldChar w:fldCharType="begin" w:fldLock="1"/>
      </w:r>
      <w:r w:rsidR="001E4568">
        <w:rPr>
          <w:rFonts w:ascii="Times New Roman" w:hAnsi="Times New Roman" w:cs="Times New Roman"/>
          <w:sz w:val="24"/>
          <w:szCs w:val="24"/>
          <w:lang w:val="en-GB"/>
        </w:rPr>
        <w:instrText>ADDIN CSL_CITATION {"citationItems":[{"id":"ITEM-1","itemData":{"ISSN":"15446123","abstract":"We show that US investors obtain substantial foreign exposure through their holdings of domestic equities. Domestic multinationals, in particular, provide significant foreign exposure. We also find that, although the average US investor is less tilted toward domestic multinationals, institutional investors do overweight domestic firms that are more internationally oriented. ‘Indirect’ foreign holdings through domestic multinationals are shown to be substantial; combining them with reported data on international positions almost doubles US investors’ total ‘foreign’ holdings. Our findings indicate that the home bias is not as severe as assessments based on reported international investment statistics suggest.","author":[{"dropping-particle":"","family":"Cai","given":"Fang","non-dropping-particle":"","parse-names":false,"suffix":""},{"dropping-particle":"","family":"Warnock","given":"Francis E.","non-dropping-particle":"","parse-names":false,"suffix":""}],"container-title":"Finance Research Letters","id":"ITEM-1","issue":"1","issued":{"date-parts":[["2012","3"]]},"page":"8-20","title":"Foreign exposure through domestic equities","type":"article-journal","volume":"9"},"uris":["http://www.mendeley.com/documents/?uuid=d40ced0f-3106-4f13-8471-8ef9acf95086"]}],"mendeley":{"formattedCitation":"(Cai &amp; Warnock, 2012)","manualFormatting":"2012","plainTextFormattedCitation":"(Cai &amp; Warnock, 2012)","previouslyFormattedCitation":"(Cai &amp; Warnock, 2012)"},"properties":{"noteIndex":0},"schema":"https://github.com/citation-style-language/schema/raw/master/csl-citation.json"}</w:instrText>
      </w:r>
      <w:r w:rsidR="00DA0250">
        <w:rPr>
          <w:rStyle w:val="FootnoteReference"/>
          <w:rFonts w:ascii="Times New Roman" w:hAnsi="Times New Roman" w:cs="Times New Roman"/>
          <w:sz w:val="24"/>
          <w:szCs w:val="24"/>
          <w:lang w:val="en-GB"/>
        </w:rPr>
        <w:fldChar w:fldCharType="separate"/>
      </w:r>
      <w:r w:rsidR="00DA0250">
        <w:rPr>
          <w:rFonts w:ascii="Times New Roman" w:hAnsi="Times New Roman" w:cs="Times New Roman"/>
          <w:noProof/>
          <w:sz w:val="24"/>
          <w:szCs w:val="24"/>
          <w:lang w:val="en-GB"/>
        </w:rPr>
        <w:t>2012</w:t>
      </w:r>
      <w:r w:rsidR="00DA0250">
        <w:rPr>
          <w:rStyle w:val="FootnoteReference"/>
          <w:rFonts w:ascii="Times New Roman" w:hAnsi="Times New Roman" w:cs="Times New Roman"/>
          <w:sz w:val="24"/>
          <w:szCs w:val="24"/>
          <w:lang w:val="en-GB"/>
        </w:rPr>
        <w:fldChar w:fldCharType="end"/>
      </w:r>
      <w:r w:rsidR="00971893" w:rsidRPr="00971893">
        <w:rPr>
          <w:rFonts w:ascii="Times New Roman" w:hAnsi="Times New Roman" w:cs="Times New Roman"/>
          <w:sz w:val="24"/>
          <w:szCs w:val="24"/>
          <w:lang w:val="en-GB"/>
        </w:rPr>
        <w:t xml:space="preserve">, </w:t>
      </w:r>
      <w:proofErr w:type="spellStart"/>
      <w:r w:rsidR="00971893" w:rsidRPr="00971893">
        <w:rPr>
          <w:rFonts w:ascii="Times New Roman" w:hAnsi="Times New Roman" w:cs="Times New Roman"/>
          <w:sz w:val="24"/>
          <w:szCs w:val="24"/>
          <w:lang w:val="en-GB"/>
        </w:rPr>
        <w:t>Krapl</w:t>
      </w:r>
      <w:proofErr w:type="spellEnd"/>
      <w:r w:rsidR="00971893" w:rsidRPr="00971893">
        <w:rPr>
          <w:rFonts w:ascii="Times New Roman" w:hAnsi="Times New Roman" w:cs="Times New Roman"/>
          <w:sz w:val="24"/>
          <w:szCs w:val="24"/>
          <w:lang w:val="en-GB"/>
        </w:rPr>
        <w:t xml:space="preserve"> </w:t>
      </w:r>
      <w:r w:rsidR="00DA0250">
        <w:rPr>
          <w:rStyle w:val="FootnoteReference"/>
          <w:rFonts w:ascii="Times New Roman" w:hAnsi="Times New Roman" w:cs="Times New Roman"/>
          <w:sz w:val="24"/>
          <w:szCs w:val="24"/>
          <w:lang w:val="en-GB"/>
        </w:rPr>
        <w:fldChar w:fldCharType="begin" w:fldLock="1"/>
      </w:r>
      <w:r w:rsidR="00DA0250">
        <w:rPr>
          <w:rFonts w:ascii="Times New Roman" w:hAnsi="Times New Roman" w:cs="Times New Roman"/>
          <w:sz w:val="24"/>
          <w:szCs w:val="24"/>
          <w:lang w:val="en-GB"/>
        </w:rPr>
        <w:instrText>ADDIN CSL_CITATION {"citationItems":[{"id":"ITEM-1","itemData":{"ISSN":"10575219","abstract":"This study analyzes the effects of corporate international diversification (CID) on risk. Results document a mostly positive relation between CID, as measured by four different empirical proxy variables, and equity risk. I also find that diversification increases the volatility of cash flows and earnings. There is no empirical support of a reduction in correlations between firm-level and domestic market-level cash flows of internationally diversified firms. Finally, this study shows that the risk-increasing effects of CID are stronger for firms that are in more advanced stages of the internationalization process. The latter finding would be consistent with firms expanding to more risky countries in their latter stages of CID.","author":[{"dropping-particle":"","family":"Krapl","given":"Alain A.","non-dropping-particle":"","parse-names":false,"suffix":""}],"container-title":"International Review of Financial Analysis","id":"ITEM-1","issued":{"date-parts":[["2015"]]},"page":"1-13","title":"Corporate international diversification and risk","type":"article-journal","volume":"37"},"uris":["http://www.mendeley.com/documents/?uuid=6a0fb8d6-e1ad-4123-a8b0-9964035cb909"]}],"mendeley":{"formattedCitation":"(Krapl, 2015)","manualFormatting":"2015)","plainTextFormattedCitation":"(Krapl, 2015)","previouslyFormattedCitation":"(Krapl, 2015)"},"properties":{"noteIndex":0},"schema":"https://github.com/citation-style-language/schema/raw/master/csl-citation.json"}</w:instrText>
      </w:r>
      <w:r w:rsidR="00DA0250">
        <w:rPr>
          <w:rStyle w:val="FootnoteReference"/>
          <w:rFonts w:ascii="Times New Roman" w:hAnsi="Times New Roman" w:cs="Times New Roman"/>
          <w:sz w:val="24"/>
          <w:szCs w:val="24"/>
          <w:lang w:val="en-GB"/>
        </w:rPr>
        <w:fldChar w:fldCharType="separate"/>
      </w:r>
      <w:r w:rsidR="00DA0250">
        <w:rPr>
          <w:rFonts w:ascii="Times New Roman" w:hAnsi="Times New Roman" w:cs="Times New Roman"/>
          <w:noProof/>
          <w:sz w:val="24"/>
          <w:szCs w:val="24"/>
          <w:lang w:val="en-GB"/>
        </w:rPr>
        <w:t>2015)</w:t>
      </w:r>
      <w:r w:rsidR="00DA0250">
        <w:rPr>
          <w:rStyle w:val="FootnoteReference"/>
          <w:rFonts w:ascii="Times New Roman" w:hAnsi="Times New Roman" w:cs="Times New Roman"/>
          <w:sz w:val="24"/>
          <w:szCs w:val="24"/>
          <w:lang w:val="en-GB"/>
        </w:rPr>
        <w:fldChar w:fldCharType="end"/>
      </w:r>
      <w:r w:rsidR="00C2739C" w:rsidRPr="00971893">
        <w:rPr>
          <w:rFonts w:ascii="Times New Roman" w:hAnsi="Times New Roman" w:cs="Times New Roman"/>
          <w:sz w:val="24"/>
          <w:szCs w:val="24"/>
          <w:lang w:val="en-GB"/>
        </w:rPr>
        <w:t>.  It</w:t>
      </w:r>
      <w:r w:rsidR="00C2739C">
        <w:rPr>
          <w:rFonts w:ascii="Times New Roman" w:hAnsi="Times New Roman" w:cs="Times New Roman"/>
          <w:sz w:val="24"/>
          <w:szCs w:val="24"/>
          <w:lang w:val="en-GB"/>
        </w:rPr>
        <w:t xml:space="preserve"> </w:t>
      </w:r>
      <w:r w:rsidR="00C2739C" w:rsidRPr="00326D1D">
        <w:rPr>
          <w:rFonts w:ascii="Times New Roman" w:hAnsi="Times New Roman" w:cs="Times New Roman"/>
          <w:sz w:val="24"/>
          <w:szCs w:val="24"/>
          <w:lang w:val="en-GB"/>
        </w:rPr>
        <w:t xml:space="preserve">gives </w:t>
      </w:r>
      <w:r w:rsidR="00C2739C">
        <w:rPr>
          <w:rFonts w:ascii="Times New Roman" w:hAnsi="Times New Roman" w:cs="Times New Roman"/>
          <w:sz w:val="24"/>
          <w:szCs w:val="24"/>
          <w:lang w:val="en-GB"/>
        </w:rPr>
        <w:t>a reliable quantifiable measure</w:t>
      </w:r>
      <w:r w:rsidR="00C2739C" w:rsidRPr="00326D1D">
        <w:rPr>
          <w:rFonts w:ascii="Times New Roman" w:hAnsi="Times New Roman" w:cs="Times New Roman"/>
          <w:sz w:val="24"/>
          <w:szCs w:val="24"/>
          <w:lang w:val="en-GB"/>
        </w:rPr>
        <w:t xml:space="preserve"> of the </w:t>
      </w:r>
      <w:r w:rsidR="00C2739C">
        <w:rPr>
          <w:rFonts w:ascii="Times New Roman" w:hAnsi="Times New Roman" w:cs="Times New Roman"/>
          <w:sz w:val="24"/>
          <w:szCs w:val="24"/>
          <w:lang w:val="en-GB"/>
        </w:rPr>
        <w:t xml:space="preserve">level of internationalisation </w:t>
      </w:r>
      <w:r w:rsidR="00C2739C" w:rsidRPr="00326D1D">
        <w:rPr>
          <w:rFonts w:ascii="Times New Roman" w:hAnsi="Times New Roman" w:cs="Times New Roman"/>
          <w:sz w:val="24"/>
          <w:szCs w:val="24"/>
          <w:lang w:val="en-GB"/>
        </w:rPr>
        <w:t xml:space="preserve">but does not </w:t>
      </w:r>
      <w:r w:rsidR="00C2739C">
        <w:rPr>
          <w:rFonts w:ascii="Times New Roman" w:hAnsi="Times New Roman" w:cs="Times New Roman"/>
          <w:sz w:val="24"/>
          <w:szCs w:val="24"/>
          <w:lang w:val="en-GB"/>
        </w:rPr>
        <w:t>inform us</w:t>
      </w:r>
      <w:r w:rsidR="001C621B">
        <w:rPr>
          <w:rFonts w:ascii="Times New Roman" w:hAnsi="Times New Roman" w:cs="Times New Roman"/>
          <w:sz w:val="24"/>
          <w:szCs w:val="24"/>
          <w:lang w:val="en-GB"/>
        </w:rPr>
        <w:t xml:space="preserve"> about where those sales occur.</w:t>
      </w:r>
      <w:r w:rsidR="00C2739C" w:rsidRPr="00326D1D">
        <w:rPr>
          <w:rFonts w:ascii="Times New Roman" w:hAnsi="Times New Roman" w:cs="Times New Roman"/>
          <w:sz w:val="24"/>
          <w:szCs w:val="24"/>
          <w:lang w:val="en-GB"/>
        </w:rPr>
        <w:t xml:space="preserve">  </w:t>
      </w:r>
      <w:r w:rsidR="001C621B">
        <w:rPr>
          <w:rFonts w:ascii="Times New Roman" w:hAnsi="Times New Roman" w:cs="Times New Roman"/>
          <w:sz w:val="24"/>
          <w:szCs w:val="24"/>
          <w:lang w:val="en-GB"/>
        </w:rPr>
        <w:t xml:space="preserve">For example, </w:t>
      </w:r>
      <w:r w:rsidR="00561E07">
        <w:rPr>
          <w:rFonts w:ascii="Times New Roman" w:hAnsi="Times New Roman" w:cs="Times New Roman"/>
          <w:sz w:val="24"/>
          <w:szCs w:val="24"/>
          <w:lang w:val="en-GB"/>
        </w:rPr>
        <w:t xml:space="preserve">it does not distinguish between </w:t>
      </w:r>
      <w:r w:rsidR="001C621B">
        <w:rPr>
          <w:rFonts w:ascii="Times New Roman" w:hAnsi="Times New Roman" w:cs="Times New Roman"/>
          <w:sz w:val="24"/>
          <w:szCs w:val="24"/>
          <w:lang w:val="en-GB"/>
        </w:rPr>
        <w:t>a</w:t>
      </w:r>
      <w:r>
        <w:rPr>
          <w:rFonts w:ascii="Times New Roman" w:hAnsi="Times New Roman" w:cs="Times New Roman"/>
          <w:sz w:val="24"/>
          <w:szCs w:val="24"/>
        </w:rPr>
        <w:t xml:space="preserve"> firm with 70 percent foreign sales in a </w:t>
      </w:r>
      <w:proofErr w:type="spellStart"/>
      <w:r>
        <w:rPr>
          <w:rFonts w:ascii="Times New Roman" w:hAnsi="Times New Roman" w:cs="Times New Roman"/>
          <w:sz w:val="24"/>
          <w:szCs w:val="24"/>
        </w:rPr>
        <w:t>neighbouring</w:t>
      </w:r>
      <w:proofErr w:type="spellEnd"/>
      <w:r>
        <w:rPr>
          <w:rFonts w:ascii="Times New Roman" w:hAnsi="Times New Roman" w:cs="Times New Roman"/>
          <w:sz w:val="24"/>
          <w:szCs w:val="24"/>
        </w:rPr>
        <w:t xml:space="preserve"> country </w:t>
      </w:r>
      <w:r w:rsidR="00561E07">
        <w:rPr>
          <w:rFonts w:ascii="Times New Roman" w:hAnsi="Times New Roman" w:cs="Times New Roman"/>
          <w:sz w:val="24"/>
          <w:szCs w:val="24"/>
        </w:rPr>
        <w:t xml:space="preserve">and </w:t>
      </w:r>
      <w:r>
        <w:rPr>
          <w:rFonts w:ascii="Times New Roman" w:hAnsi="Times New Roman" w:cs="Times New Roman"/>
          <w:sz w:val="24"/>
          <w:szCs w:val="24"/>
        </w:rPr>
        <w:t xml:space="preserve">a firm with </w:t>
      </w:r>
      <w:r w:rsidR="00561E07">
        <w:rPr>
          <w:rFonts w:ascii="Times New Roman" w:hAnsi="Times New Roman" w:cs="Times New Roman"/>
          <w:sz w:val="24"/>
          <w:szCs w:val="24"/>
        </w:rPr>
        <w:t xml:space="preserve">70 percent </w:t>
      </w:r>
      <w:r>
        <w:rPr>
          <w:rFonts w:ascii="Times New Roman" w:hAnsi="Times New Roman" w:cs="Times New Roman"/>
          <w:sz w:val="24"/>
          <w:szCs w:val="24"/>
        </w:rPr>
        <w:t>foreign sales spread across</w:t>
      </w:r>
      <w:r w:rsidR="0013615A">
        <w:rPr>
          <w:rFonts w:ascii="Times New Roman" w:hAnsi="Times New Roman" w:cs="Times New Roman"/>
          <w:sz w:val="24"/>
          <w:szCs w:val="24"/>
        </w:rPr>
        <w:t xml:space="preserve"> </w:t>
      </w:r>
      <w:r w:rsidR="00133E02">
        <w:rPr>
          <w:rFonts w:ascii="Times New Roman" w:hAnsi="Times New Roman" w:cs="Times New Roman"/>
          <w:sz w:val="24"/>
          <w:szCs w:val="24"/>
        </w:rPr>
        <w:t>several continents</w:t>
      </w:r>
      <w:r w:rsidR="0013615A">
        <w:rPr>
          <w:rFonts w:ascii="Times New Roman" w:hAnsi="Times New Roman" w:cs="Times New Roman"/>
          <w:sz w:val="24"/>
          <w:szCs w:val="24"/>
        </w:rPr>
        <w:t>.</w:t>
      </w:r>
      <w:r>
        <w:rPr>
          <w:rFonts w:ascii="Times New Roman" w:hAnsi="Times New Roman" w:cs="Times New Roman"/>
          <w:sz w:val="24"/>
          <w:szCs w:val="24"/>
        </w:rPr>
        <w:t xml:space="preserve"> </w:t>
      </w:r>
      <w:r w:rsidR="00C0583D">
        <w:rPr>
          <w:rFonts w:ascii="Times New Roman" w:hAnsi="Times New Roman" w:cs="Times New Roman"/>
          <w:sz w:val="24"/>
          <w:szCs w:val="24"/>
        </w:rPr>
        <w:t xml:space="preserve">Given </w:t>
      </w:r>
      <w:r w:rsidR="00C0583D">
        <w:rPr>
          <w:rFonts w:ascii="Times New Roman" w:eastAsia="Times New Roman" w:hAnsi="Times New Roman" w:cs="Times New Roman"/>
          <w:color w:val="000000"/>
          <w:sz w:val="24"/>
          <w:szCs w:val="24"/>
        </w:rPr>
        <w:t>that</w:t>
      </w:r>
      <w:r w:rsidR="00C0583D" w:rsidRPr="00BC569D">
        <w:rPr>
          <w:rFonts w:ascii="Times New Roman" w:eastAsia="Times New Roman" w:hAnsi="Times New Roman" w:cs="Times New Roman"/>
          <w:color w:val="000000"/>
          <w:sz w:val="24"/>
          <w:szCs w:val="24"/>
        </w:rPr>
        <w:t xml:space="preserve"> diversification benefits rely increasingly on investment</w:t>
      </w:r>
      <w:r w:rsidR="00C0583D">
        <w:rPr>
          <w:rFonts w:ascii="Times New Roman" w:eastAsia="Times New Roman" w:hAnsi="Times New Roman" w:cs="Times New Roman"/>
          <w:color w:val="000000"/>
          <w:sz w:val="24"/>
          <w:szCs w:val="24"/>
        </w:rPr>
        <w:t>s</w:t>
      </w:r>
      <w:r w:rsidR="00C0583D" w:rsidRPr="00BC569D">
        <w:rPr>
          <w:rFonts w:ascii="Times New Roman" w:eastAsia="Times New Roman" w:hAnsi="Times New Roman" w:cs="Times New Roman"/>
          <w:color w:val="000000"/>
          <w:sz w:val="24"/>
          <w:szCs w:val="24"/>
        </w:rPr>
        <w:t xml:space="preserve"> in peripheral markets</w:t>
      </w:r>
      <w:r w:rsidR="004518E8">
        <w:rPr>
          <w:rFonts w:ascii="Times New Roman" w:eastAsia="Times New Roman" w:hAnsi="Times New Roman" w:cs="Times New Roman"/>
          <w:color w:val="000000"/>
          <w:sz w:val="24"/>
          <w:szCs w:val="24"/>
        </w:rPr>
        <w:t xml:space="preserve"> </w:t>
      </w:r>
      <w:r w:rsidR="00DA0250">
        <w:rPr>
          <w:rStyle w:val="FootnoteReference"/>
          <w:rFonts w:ascii="Times New Roman" w:eastAsia="Times New Roman" w:hAnsi="Times New Roman" w:cs="Times New Roman"/>
          <w:color w:val="000000"/>
          <w:sz w:val="24"/>
          <w:szCs w:val="24"/>
        </w:rPr>
        <w:fldChar w:fldCharType="begin" w:fldLock="1"/>
      </w:r>
      <w:r w:rsidR="001C7F79">
        <w:rPr>
          <w:rFonts w:ascii="Times New Roman" w:eastAsia="Times New Roman" w:hAnsi="Times New Roman" w:cs="Times New Roman"/>
          <w:color w:val="000000"/>
          <w:sz w:val="24"/>
          <w:szCs w:val="24"/>
        </w:rPr>
        <w:instrText>ADDIN CSL_CITATION {"citationItems":[{"id":"ITEM-1","itemData":{"author":[{"dropping-particle":"","family":"Goetzmann","given":"W","non-dropping-particle":"","parse-names":false,"suffix":""},{"dropping-particle":"","family":"Li","given":"L","non-dropping-particle":"","parse-names":false,"suffix":""},{"dropping-particle":"","family":"Rouwenhorst","given":"K. G.","non-dropping-particle":"","parse-names":false,"suffix":""}],"container-title":"NBER Working Paper No. 8612","id":"ITEM-1","issued":{"date-parts":[["2001","11"]]},"title":"Long-Term Global Market Correlations","type":"article-journal"},"uris":["http://www.mendeley.com/documents/?uuid=bdf6164e-93a7-4fc3-9797-a78198e8606f"]}],"mendeley":{"formattedCitation":"(Goetzmann, Li, &amp; Rouwenhorst, 2001)","manualFormatting":"(Goetzman et al., 2001)","plainTextFormattedCitation":"(Goetzmann, Li, &amp; Rouwenhorst, 2001)","previouslyFormattedCitation":"(Goetzmann, Li, &amp; Rouwenhorst, 2001)"},"properties":{"noteIndex":0},"schema":"https://github.com/citation-style-language/schema/raw/master/csl-citation.json"}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1C7F79">
        <w:rPr>
          <w:rFonts w:ascii="Times New Roman" w:eastAsia="Times New Roman" w:hAnsi="Times New Roman" w:cs="Times New Roman"/>
          <w:noProof/>
          <w:color w:val="000000"/>
          <w:sz w:val="24"/>
          <w:szCs w:val="24"/>
        </w:rPr>
        <w:t>(Goetzman et al.</w:t>
      </w:r>
      <w:r w:rsidR="00DA0250" w:rsidRPr="00DA0250">
        <w:rPr>
          <w:rFonts w:ascii="Times New Roman" w:eastAsia="Times New Roman" w:hAnsi="Times New Roman" w:cs="Times New Roman"/>
          <w:noProof/>
          <w:color w:val="000000"/>
          <w:sz w:val="24"/>
          <w:szCs w:val="24"/>
        </w:rPr>
        <w:t>, 2001)</w:t>
      </w:r>
      <w:r w:rsidR="00DA0250">
        <w:rPr>
          <w:rStyle w:val="FootnoteReference"/>
          <w:rFonts w:ascii="Times New Roman" w:eastAsia="Times New Roman" w:hAnsi="Times New Roman" w:cs="Times New Roman"/>
          <w:color w:val="000000"/>
          <w:sz w:val="24"/>
          <w:szCs w:val="24"/>
        </w:rPr>
        <w:fldChar w:fldCharType="end"/>
      </w:r>
      <w:r w:rsidR="00C0583D">
        <w:rPr>
          <w:rFonts w:ascii="Times New Roman" w:eastAsia="Times New Roman" w:hAnsi="Times New Roman" w:cs="Times New Roman"/>
          <w:color w:val="000000"/>
          <w:sz w:val="24"/>
          <w:szCs w:val="24"/>
        </w:rPr>
        <w:t xml:space="preserve">, distinguishing between firms operating internationally but in </w:t>
      </w:r>
      <w:r w:rsidR="00561E07">
        <w:rPr>
          <w:rFonts w:ascii="Times New Roman" w:eastAsia="Times New Roman" w:hAnsi="Times New Roman" w:cs="Times New Roman"/>
          <w:color w:val="000000"/>
          <w:sz w:val="24"/>
          <w:szCs w:val="24"/>
        </w:rPr>
        <w:t xml:space="preserve">nearby markets </w:t>
      </w:r>
      <w:r w:rsidR="00C0583D">
        <w:rPr>
          <w:rFonts w:ascii="Times New Roman" w:eastAsia="Times New Roman" w:hAnsi="Times New Roman" w:cs="Times New Roman"/>
          <w:color w:val="000000"/>
          <w:sz w:val="24"/>
          <w:szCs w:val="24"/>
        </w:rPr>
        <w:t>and firms operating globally is</w:t>
      </w:r>
      <w:r w:rsidR="006F4ACA">
        <w:rPr>
          <w:rFonts w:ascii="Times New Roman" w:eastAsia="Times New Roman" w:hAnsi="Times New Roman" w:cs="Times New Roman"/>
          <w:color w:val="000000"/>
          <w:sz w:val="24"/>
          <w:szCs w:val="24"/>
        </w:rPr>
        <w:t xml:space="preserve"> </w:t>
      </w:r>
      <w:r w:rsidR="0013615A">
        <w:rPr>
          <w:rFonts w:ascii="Times New Roman" w:eastAsia="Times New Roman" w:hAnsi="Times New Roman" w:cs="Times New Roman"/>
          <w:color w:val="000000"/>
          <w:sz w:val="24"/>
          <w:szCs w:val="24"/>
        </w:rPr>
        <w:t>of vital importance</w:t>
      </w:r>
      <w:r w:rsidR="00C0583D" w:rsidRPr="00BC569D">
        <w:rPr>
          <w:rFonts w:ascii="Times New Roman" w:eastAsia="Times New Roman" w:hAnsi="Times New Roman" w:cs="Times New Roman"/>
          <w:color w:val="000000"/>
          <w:sz w:val="24"/>
          <w:szCs w:val="24"/>
        </w:rPr>
        <w:t>.</w:t>
      </w:r>
      <w:r w:rsidR="00C0583D">
        <w:rPr>
          <w:rFonts w:ascii="Times New Roman" w:eastAsia="Times New Roman" w:hAnsi="Times New Roman" w:cs="Times New Roman"/>
          <w:color w:val="000000"/>
          <w:sz w:val="24"/>
          <w:szCs w:val="24"/>
        </w:rPr>
        <w:t xml:space="preserve">  </w:t>
      </w:r>
      <w:r w:rsidR="00C0583D">
        <w:rPr>
          <w:rFonts w:ascii="Times New Roman" w:hAnsi="Times New Roman"/>
          <w:sz w:val="24"/>
          <w:szCs w:val="24"/>
          <w:lang w:val="en-GB"/>
        </w:rPr>
        <w:t>Some studies have incorporated measures of scope such as the number of countries in whi</w:t>
      </w:r>
      <w:r w:rsidR="004518E8">
        <w:rPr>
          <w:rFonts w:ascii="Times New Roman" w:hAnsi="Times New Roman"/>
          <w:sz w:val="24"/>
          <w:szCs w:val="24"/>
          <w:lang w:val="en-GB"/>
        </w:rPr>
        <w:t xml:space="preserve">ch a firm has foreign operations </w:t>
      </w:r>
      <w:r w:rsidR="00DA0250">
        <w:rPr>
          <w:rStyle w:val="FootnoteReference"/>
          <w:rFonts w:ascii="Times New Roman" w:hAnsi="Times New Roman"/>
          <w:sz w:val="24"/>
          <w:szCs w:val="24"/>
          <w:lang w:val="en-GB"/>
        </w:rPr>
        <w:fldChar w:fldCharType="begin" w:fldLock="1"/>
      </w:r>
      <w:r w:rsidR="001E4568">
        <w:rPr>
          <w:rFonts w:ascii="Times New Roman" w:hAnsi="Times New Roman"/>
          <w:sz w:val="24"/>
          <w:szCs w:val="24"/>
          <w:lang w:val="en-GB"/>
        </w:rPr>
        <w:instrText>ADDIN CSL_CITATION {"citationItems":[{"id":"ITEM-1","itemData":{"ISSN":"1525-383X","abstract":"Previous theoretical explanations and empirical analyses of the multinationality‐performance relationship have produced mixed arguments and results. Linear and inverted U‐shaped relationships have been theorized and confirmed empirically. Recent research has theorized that there is a three‐stage, sigmoid relationship between multinationality and performance. We contribute to the debate by showing that the impact of multinationality depends on the time dimension incorporated in the performance measure; that is, the net benefits from multinationality are likely to be higher in the longer term. The results from our sample of US manufacturing multinationals indicate that there is a three‐stage, sigmoid multinationality‐performance relationship.","author":[{"dropping-particle":"","family":"Thomas","given":"Douglas E.","non-dropping-particle":"","parse-names":false,"suffix":""},{"dropping-particle":"","family":"Eden","given":"Lorraine","non-dropping-particle":"","parse-names":false,"suffix":""}],"container-title":"Multinational Business Review","id":"ITEM-1","issue":"1","issued":{"date-parts":[["2004","3"]]},"language":"en","page":"89-110","publisher":"Emerald Group Publishing Limited","title":"What is the Shape of the Multinationality‐Performance Relationship?","type":"article-journal","volume":"12"},"uris":["http://www.mendeley.com/documents/?uuid=a4519d38-9c58-4595-936c-be594e391f63"]},{"id":"ITEM-2","itemData":{"ISSN":"0143-2095","author":[{"dropping-particle":"","family":"Goerzen","given":"Anthony","non-dropping-particle":"","parse-names":false,"suffix":""},{"dropping-particle":"","family":"Beamish","given":"Paul W.","non-dropping-particle":"","parse-names":false,"suffix":""}],"container-title":"Strategic Management Journal","id":"ITEM-2","issue":"13","issued":{"date-parts":[["2003","12"]]},"page":"1289-1306","title":"Geographic scope and multinational enterprise performance","type":"article-journal","volume":"24"},"uris":["http://www.mendeley.com/documents/?uuid=6348ed96-1316-44d8-8813-c8901ab799d7"]}],"mendeley":{"formattedCitation":"(Goerzen &amp; Beamish, 2003; Thomas &amp; Eden, 2004)","plainTextFormattedCitation":"(Goerzen &amp; Beamish, 2003; Thomas &amp; Eden, 2004)","previouslyFormattedCitation":"(Goerzen &amp; Beamish, 2003; Thomas &amp; Eden, 2004)"},"properties":{"noteIndex":0},"schema":"https://github.com/citation-style-language/schema/raw/master/csl-citation.json"}</w:instrText>
      </w:r>
      <w:r w:rsidR="00DA0250">
        <w:rPr>
          <w:rStyle w:val="FootnoteReference"/>
          <w:rFonts w:ascii="Times New Roman" w:hAnsi="Times New Roman"/>
          <w:sz w:val="24"/>
          <w:szCs w:val="24"/>
          <w:lang w:val="en-GB"/>
        </w:rPr>
        <w:fldChar w:fldCharType="separate"/>
      </w:r>
      <w:r w:rsidR="00DA0250" w:rsidRPr="00DA0250">
        <w:rPr>
          <w:rFonts w:ascii="Times New Roman" w:hAnsi="Times New Roman"/>
          <w:noProof/>
          <w:sz w:val="24"/>
          <w:szCs w:val="24"/>
          <w:lang w:val="en-GB"/>
        </w:rPr>
        <w:t>(Goerzen &amp; Beamish, 2003; Thomas &amp; Eden, 2004)</w:t>
      </w:r>
      <w:r w:rsidR="00DA0250">
        <w:rPr>
          <w:rStyle w:val="FootnoteReference"/>
          <w:rFonts w:ascii="Times New Roman" w:hAnsi="Times New Roman"/>
          <w:sz w:val="24"/>
          <w:szCs w:val="24"/>
          <w:lang w:val="en-GB"/>
        </w:rPr>
        <w:fldChar w:fldCharType="end"/>
      </w:r>
      <w:r w:rsidR="004518E8">
        <w:rPr>
          <w:rFonts w:ascii="Times New Roman" w:hAnsi="Times New Roman"/>
          <w:sz w:val="24"/>
          <w:szCs w:val="24"/>
          <w:lang w:val="en-GB"/>
        </w:rPr>
        <w:t xml:space="preserve">, </w:t>
      </w:r>
      <w:r w:rsidR="00C0583D">
        <w:rPr>
          <w:rFonts w:ascii="Times New Roman" w:hAnsi="Times New Roman"/>
          <w:sz w:val="24"/>
          <w:szCs w:val="24"/>
          <w:lang w:val="en-GB"/>
        </w:rPr>
        <w:t xml:space="preserve"> but few have categorised firms by the location of those countries.  As business cycles tend to be inversely correlated with distance</w:t>
      </w:r>
      <w:r w:rsidR="004518E8">
        <w:rPr>
          <w:rFonts w:ascii="Times New Roman" w:hAnsi="Times New Roman"/>
          <w:sz w:val="24"/>
          <w:szCs w:val="24"/>
          <w:lang w:val="en-GB"/>
        </w:rPr>
        <w:t xml:space="preserve"> </w:t>
      </w:r>
      <w:r w:rsidR="00DA0250">
        <w:rPr>
          <w:rStyle w:val="FootnoteReference"/>
          <w:rFonts w:ascii="Times New Roman" w:hAnsi="Times New Roman"/>
          <w:sz w:val="24"/>
          <w:szCs w:val="24"/>
          <w:lang w:val="en-GB"/>
        </w:rPr>
        <w:fldChar w:fldCharType="begin" w:fldLock="1"/>
      </w:r>
      <w:r w:rsidR="001E4568">
        <w:rPr>
          <w:rFonts w:ascii="Times New Roman" w:hAnsi="Times New Roman"/>
          <w:sz w:val="24"/>
          <w:szCs w:val="24"/>
          <w:lang w:val="en-GB"/>
        </w:rPr>
        <w:instrText>ADDIN CSL_CITATION {"citationItems":[{"id":"ITEM-1","itemData":{"ISSN":"03043932","abstract":"This paper investigates the determinants of business cycle comovement between countries. Our dataset includes over 100 countries, both developed and developing. We search for variables that are “robust” in explaining comovement, using the approach of Leamer (Amer. Econom. Rev. 73 (1983) 31). Variables considered are (i) bilateral trade between countries; (ii) total trade in each country; (iii) sectoral structure; (iv) similarity in export and import baskets; (v) factor endowments; and (vi) gravity variables. We find that bilateral trade is robust. However, two variables that the literature has argued are important for business cycles—industrial structure and currency unions—are found not to be robust.","author":[{"dropping-particle":"","family":"Baxter","given":"Marianne","non-dropping-particle":"","parse-names":false,"suffix":""},{"dropping-particle":"","family":"Kouparitsas","given":"Michael","non-dropping-particle":"","parse-names":false,"suffix":""}],"container-title":"Journal of Monetary Economics","id":"ITEM-1","issue":"1","issued":{"date-parts":[["2005","1"]]},"page":"113-157","title":"Determinants of business cycle comovement: a robust analysis","type":"article-journal","volume":"52"},"uris":["http://www.mendeley.com/documents/?uuid=05585d35-bd92-4e59-8f1c-c8e59ea6ade3"]}],"mendeley":{"formattedCitation":"(Baxter &amp; Kouparitsas, 2005)","plainTextFormattedCitation":"(Baxter &amp; Kouparitsas, 2005)","previouslyFormattedCitation":"(Baxter &amp; Kouparitsas, 2005)"},"properties":{"noteIndex":0},"schema":"https://github.com/citation-style-language/schema/raw/master/csl-citation.json"}</w:instrText>
      </w:r>
      <w:r w:rsidR="00DA0250">
        <w:rPr>
          <w:rStyle w:val="FootnoteReference"/>
          <w:rFonts w:ascii="Times New Roman" w:hAnsi="Times New Roman"/>
          <w:sz w:val="24"/>
          <w:szCs w:val="24"/>
          <w:lang w:val="en-GB"/>
        </w:rPr>
        <w:fldChar w:fldCharType="separate"/>
      </w:r>
      <w:r w:rsidR="00DA0250" w:rsidRPr="00DA0250">
        <w:rPr>
          <w:rFonts w:ascii="Times New Roman" w:hAnsi="Times New Roman"/>
          <w:noProof/>
          <w:sz w:val="24"/>
          <w:szCs w:val="24"/>
          <w:lang w:val="en-GB"/>
        </w:rPr>
        <w:t>(Baxter &amp; Kouparitsas, 2005)</w:t>
      </w:r>
      <w:r w:rsidR="00DA0250">
        <w:rPr>
          <w:rStyle w:val="FootnoteReference"/>
          <w:rFonts w:ascii="Times New Roman" w:hAnsi="Times New Roman"/>
          <w:sz w:val="24"/>
          <w:szCs w:val="24"/>
          <w:lang w:val="en-GB"/>
        </w:rPr>
        <w:fldChar w:fldCharType="end"/>
      </w:r>
      <w:r w:rsidR="004518E8">
        <w:rPr>
          <w:rFonts w:ascii="Times New Roman" w:hAnsi="Times New Roman"/>
          <w:sz w:val="24"/>
          <w:szCs w:val="24"/>
          <w:lang w:val="en-GB"/>
        </w:rPr>
        <w:t xml:space="preserve">, </w:t>
      </w:r>
      <w:r w:rsidR="00C0583D">
        <w:rPr>
          <w:rFonts w:ascii="Times New Roman" w:hAnsi="Times New Roman"/>
          <w:sz w:val="24"/>
          <w:szCs w:val="24"/>
          <w:lang w:val="en-GB"/>
        </w:rPr>
        <w:t xml:space="preserve"> categorising firms by the regions in which their foreign sales occur adds an important dimension to the measure of scope.  </w:t>
      </w:r>
    </w:p>
    <w:p w14:paraId="3B41BA85" w14:textId="77777777" w:rsidR="006F4ACA" w:rsidRDefault="006F4ACA" w:rsidP="00D9108B">
      <w:pPr>
        <w:spacing w:after="0" w:line="480" w:lineRule="auto"/>
        <w:jc w:val="both"/>
        <w:rPr>
          <w:rFonts w:ascii="Times New Roman" w:hAnsi="Times New Roman"/>
          <w:sz w:val="24"/>
          <w:szCs w:val="24"/>
          <w:lang w:val="en-GB"/>
        </w:rPr>
      </w:pPr>
    </w:p>
    <w:p w14:paraId="71F45DC0" w14:textId="4E6F289E" w:rsidR="000217D6" w:rsidRDefault="00561E07" w:rsidP="000217D6">
      <w:pPr>
        <w:spacing w:after="0" w:line="480" w:lineRule="auto"/>
        <w:jc w:val="both"/>
        <w:rPr>
          <w:rFonts w:ascii="Times New Roman" w:hAnsi="Times New Roman" w:cs="Times New Roman"/>
          <w:sz w:val="24"/>
          <w:szCs w:val="24"/>
          <w:lang w:val="en-GB"/>
        </w:rPr>
      </w:pPr>
      <w:r>
        <w:rPr>
          <w:rFonts w:ascii="Times New Roman" w:hAnsi="Times New Roman"/>
          <w:sz w:val="24"/>
          <w:szCs w:val="24"/>
          <w:lang w:val="en-GB"/>
        </w:rPr>
        <w:t>W</w:t>
      </w:r>
      <w:r w:rsidR="006F4ACA">
        <w:rPr>
          <w:rFonts w:ascii="Times New Roman" w:hAnsi="Times New Roman"/>
          <w:sz w:val="24"/>
          <w:szCs w:val="24"/>
          <w:lang w:val="en-GB"/>
        </w:rPr>
        <w:t xml:space="preserve">e </w:t>
      </w:r>
      <w:r w:rsidR="0013615A">
        <w:rPr>
          <w:rFonts w:ascii="Times New Roman" w:hAnsi="Times New Roman"/>
          <w:sz w:val="24"/>
          <w:szCs w:val="24"/>
          <w:lang w:val="en-GB"/>
        </w:rPr>
        <w:t>measure the scope of each firm’s internationalisation using</w:t>
      </w:r>
      <w:r w:rsidR="006F4ACA">
        <w:rPr>
          <w:rFonts w:ascii="Times New Roman" w:hAnsi="Times New Roman"/>
          <w:sz w:val="24"/>
          <w:szCs w:val="24"/>
          <w:lang w:val="en-GB"/>
        </w:rPr>
        <w:t xml:space="preserve"> a modified version of the </w:t>
      </w:r>
      <w:r w:rsidR="00DA0250">
        <w:rPr>
          <w:rStyle w:val="FootnoteReference"/>
          <w:rFonts w:ascii="Times New Roman" w:hAnsi="Times New Roman" w:cs="Times New Roman"/>
          <w:sz w:val="24"/>
          <w:szCs w:val="24"/>
        </w:rPr>
        <w:fldChar w:fldCharType="begin" w:fldLock="1"/>
      </w:r>
      <w:r w:rsidR="001E4568">
        <w:rPr>
          <w:rFonts w:ascii="Times New Roman" w:hAnsi="Times New Roman" w:cs="Times New Roman"/>
          <w:sz w:val="24"/>
          <w:szCs w:val="24"/>
        </w:rPr>
        <w:instrText>ADDIN CSL_CITATION {"citationItems":[{"id":"ITEM-1","itemData":{"abstract":"The degree of firm-level multinationality is a key dimension that spans all theoretical frameworks, levels of empirical analysis and domains of investigation in international business research. There is, however, no agreed approach to defining or measuring firm-level multinationality. This is reflected in inconsistent approaches to sample selection and empirical testing, and it has curtailed the advancement of the discipline. We propose that instead of searching for the elusive, all-encompassing definition of an MNC, international business scholars should instead agree on a classification system for the degree of firm-level multinationality. We illustrate the advantages of this approach by constructing a simple classification system that takes into account the firm's breadth and depth of multinational engagements. We illustrate our matrix of firm multinationality by classifying a novel sample of over 1000 firms from seven countries, and we demonstrate how it can guide theory development and empirical testing. We also provide examples of potential future research directions. © 2010 Elsevier Ltd.","author":[{"dropping-particle":"","family":"Aggarwal","given":"Raj","non-dropping-particle":"","parse-names":false,"suffix":""},{"dropping-particle":"","family":"Berrill","given":"Jenny","non-dropping-particle":"","parse-names":false,"suffix":""},{"dropping-particle":"","family":"Hutson","given":"Elaine","non-dropping-particle":"","parse-names":false,"suffix":""},{"dropping-particle":"","family":"Kearney","given":"Colm","non-dropping-particle":"","parse-names":false,"suffix":""}],"container-title":"International Business Review","id":"ITEM-1","issue":"5","issued":{"date-parts":[["2011"]]},"page":"557-577","publisher":"Elsevier Ltd","title":"What is a multinational corporation? Classifying the degree of firm-level multinationality","type":"article-journal","volume":"20"},"uris":["http://www.mendeley.com/documents/?uuid=043c4efd-6e97-4b62-a692-63736746472a"]}],"mendeley":{"formattedCitation":"(Aggarwal, Berrill, Hutson, &amp; Kearney, 2011)","manualFormatting":"Aggarwal, Berrill, Hutson, &amp; Kearney (2011)","plainTextFormattedCitation":"(Aggarwal, Berrill, Hutson, &amp; Kearney, 2011)","previouslyFormattedCitation":"(Aggarwal, Berrill, Hutson, &amp; Kearney, 2011)"},"properties":{"noteIndex":0},"schema":"https://github.com/citation-style-language/schema/raw/master/csl-citation.json"}</w:instrText>
      </w:r>
      <w:r w:rsidR="00DA0250">
        <w:rPr>
          <w:rStyle w:val="FootnoteReference"/>
          <w:rFonts w:ascii="Times New Roman" w:hAnsi="Times New Roman" w:cs="Times New Roman"/>
          <w:sz w:val="24"/>
          <w:szCs w:val="24"/>
        </w:rPr>
        <w:fldChar w:fldCharType="separate"/>
      </w:r>
      <w:r w:rsidR="00DA0250">
        <w:rPr>
          <w:rFonts w:ascii="Times New Roman" w:hAnsi="Times New Roman" w:cs="Times New Roman"/>
          <w:noProof/>
          <w:sz w:val="24"/>
          <w:szCs w:val="24"/>
        </w:rPr>
        <w:t>Aggarwal, Berrill, Hutson, &amp; Kearney (2011)</w:t>
      </w:r>
      <w:r w:rsidR="00DA0250">
        <w:rPr>
          <w:rStyle w:val="FootnoteReference"/>
          <w:rFonts w:ascii="Times New Roman" w:hAnsi="Times New Roman" w:cs="Times New Roman"/>
          <w:sz w:val="24"/>
          <w:szCs w:val="24"/>
        </w:rPr>
        <w:fldChar w:fldCharType="end"/>
      </w:r>
      <w:r w:rsidR="006F4ACA">
        <w:rPr>
          <w:rFonts w:ascii="Times New Roman" w:hAnsi="Times New Roman" w:cs="Times New Roman"/>
          <w:sz w:val="24"/>
          <w:szCs w:val="24"/>
          <w:lang w:val="en-GB"/>
        </w:rPr>
        <w:t xml:space="preserve"> </w:t>
      </w:r>
      <w:r w:rsidR="0013615A">
        <w:rPr>
          <w:rFonts w:ascii="Times New Roman" w:hAnsi="Times New Roman"/>
          <w:sz w:val="24"/>
          <w:szCs w:val="24"/>
          <w:lang w:val="en-GB"/>
        </w:rPr>
        <w:t xml:space="preserve">classification system </w:t>
      </w:r>
      <w:r w:rsidR="00C2739C">
        <w:rPr>
          <w:rFonts w:ascii="Times New Roman" w:hAnsi="Times New Roman" w:cs="Times New Roman"/>
          <w:sz w:val="24"/>
          <w:szCs w:val="24"/>
        </w:rPr>
        <w:t>(hereafter referred to as the ABHK measure)</w:t>
      </w:r>
      <w:r w:rsidR="00C2739C" w:rsidRPr="00326D1D">
        <w:rPr>
          <w:rFonts w:ascii="Times New Roman" w:eastAsia="Times New Roman" w:hAnsi="Times New Roman" w:cs="Times New Roman"/>
          <w:color w:val="000000"/>
          <w:sz w:val="24"/>
          <w:szCs w:val="24"/>
        </w:rPr>
        <w:t xml:space="preserve">.  </w:t>
      </w:r>
      <w:r w:rsidR="00C2739C">
        <w:rPr>
          <w:rFonts w:ascii="Times New Roman" w:hAnsi="Times New Roman" w:cs="Times New Roman"/>
          <w:sz w:val="24"/>
          <w:szCs w:val="24"/>
          <w:lang w:val="en-GB"/>
        </w:rPr>
        <w:t>We</w:t>
      </w:r>
      <w:r w:rsidR="00C2739C">
        <w:rPr>
          <w:rFonts w:ascii="Times New Roman" w:hAnsi="Times New Roman"/>
          <w:sz w:val="24"/>
          <w:szCs w:val="24"/>
          <w:lang w:val="en-GB"/>
        </w:rPr>
        <w:t xml:space="preserve"> </w:t>
      </w:r>
      <w:r w:rsidR="006F4ACA">
        <w:rPr>
          <w:rFonts w:ascii="Times New Roman" w:hAnsi="Times New Roman"/>
          <w:sz w:val="24"/>
          <w:szCs w:val="24"/>
          <w:lang w:val="en-GB"/>
        </w:rPr>
        <w:t>use the</w:t>
      </w:r>
      <w:r w:rsidR="0013615A">
        <w:rPr>
          <w:rFonts w:ascii="Times New Roman" w:hAnsi="Times New Roman"/>
          <w:sz w:val="24"/>
          <w:szCs w:val="24"/>
          <w:lang w:val="en-GB"/>
        </w:rPr>
        <w:t>ir</w:t>
      </w:r>
      <w:r w:rsidR="00C2739C">
        <w:rPr>
          <w:rFonts w:ascii="Times New Roman" w:hAnsi="Times New Roman"/>
          <w:sz w:val="24"/>
          <w:szCs w:val="24"/>
          <w:lang w:val="en-GB"/>
        </w:rPr>
        <w:t xml:space="preserve"> </w:t>
      </w:r>
      <w:r w:rsidR="00A35EA0">
        <w:rPr>
          <w:rFonts w:ascii="Times New Roman" w:hAnsi="Times New Roman" w:cs="Times New Roman"/>
          <w:sz w:val="24"/>
          <w:szCs w:val="24"/>
        </w:rPr>
        <w:t>six</w:t>
      </w:r>
      <w:r w:rsidR="00C2739C" w:rsidRPr="00326D1D">
        <w:rPr>
          <w:rFonts w:ascii="Times New Roman" w:hAnsi="Times New Roman" w:cs="Times New Roman"/>
          <w:sz w:val="24"/>
          <w:szCs w:val="24"/>
        </w:rPr>
        <w:t xml:space="preserve"> geographic regions</w:t>
      </w:r>
      <w:r w:rsidR="0013615A">
        <w:rPr>
          <w:rFonts w:ascii="Times New Roman" w:hAnsi="Times New Roman" w:cs="Times New Roman"/>
          <w:sz w:val="24"/>
          <w:szCs w:val="24"/>
        </w:rPr>
        <w:t xml:space="preserve">; </w:t>
      </w:r>
      <w:r w:rsidR="00C2739C" w:rsidRPr="00326D1D">
        <w:rPr>
          <w:rFonts w:ascii="Times New Roman" w:hAnsi="Times New Roman" w:cs="Times New Roman"/>
          <w:sz w:val="24"/>
          <w:szCs w:val="24"/>
        </w:rPr>
        <w:t>Africa, Asia, Europe, North Ame</w:t>
      </w:r>
      <w:r w:rsidR="00C2739C">
        <w:rPr>
          <w:rFonts w:ascii="Times New Roman" w:hAnsi="Times New Roman" w:cs="Times New Roman"/>
          <w:sz w:val="24"/>
          <w:szCs w:val="24"/>
        </w:rPr>
        <w:t xml:space="preserve">rica, Oceania and South America.  </w:t>
      </w:r>
      <w:r w:rsidR="00414A68" w:rsidRPr="00326D1D">
        <w:rPr>
          <w:rFonts w:ascii="Times New Roman" w:hAnsi="Times New Roman" w:cs="Times New Roman"/>
          <w:sz w:val="24"/>
          <w:szCs w:val="24"/>
          <w:lang w:val="en-GB"/>
        </w:rPr>
        <w:t xml:space="preserve">We give each firm a score in each year based on the </w:t>
      </w:r>
      <w:r w:rsidR="0013615A">
        <w:rPr>
          <w:rFonts w:ascii="Times New Roman" w:hAnsi="Times New Roman" w:cs="Times New Roman"/>
          <w:sz w:val="24"/>
          <w:szCs w:val="24"/>
          <w:lang w:val="en-GB"/>
        </w:rPr>
        <w:t>geographic segments</w:t>
      </w:r>
      <w:r w:rsidR="00C13047">
        <w:rPr>
          <w:rFonts w:ascii="Times New Roman" w:hAnsi="Times New Roman" w:cs="Times New Roman"/>
          <w:sz w:val="24"/>
          <w:szCs w:val="24"/>
          <w:lang w:val="en-GB"/>
        </w:rPr>
        <w:t xml:space="preserve"> </w:t>
      </w:r>
      <w:r w:rsidR="0013615A">
        <w:rPr>
          <w:rFonts w:ascii="Times New Roman" w:hAnsi="Times New Roman" w:cs="Times New Roman"/>
          <w:sz w:val="24"/>
          <w:szCs w:val="24"/>
          <w:lang w:val="en-GB"/>
        </w:rPr>
        <w:t>it reports in</w:t>
      </w:r>
      <w:r w:rsidR="00C13047">
        <w:rPr>
          <w:rFonts w:ascii="Times New Roman" w:hAnsi="Times New Roman" w:cs="Times New Roman"/>
          <w:sz w:val="24"/>
          <w:szCs w:val="24"/>
          <w:lang w:val="en-GB"/>
        </w:rPr>
        <w:t xml:space="preserve"> its annual accounts</w:t>
      </w:r>
      <w:r w:rsidR="00414A68" w:rsidRPr="00326D1D">
        <w:rPr>
          <w:rFonts w:ascii="Times New Roman" w:hAnsi="Times New Roman" w:cs="Times New Roman"/>
          <w:sz w:val="24"/>
          <w:szCs w:val="24"/>
          <w:lang w:val="en-GB"/>
        </w:rPr>
        <w:t>.   If a firm has no foreign sales it is given a score of 0 (domestic), if it has sales outside its home country but within its home region</w:t>
      </w:r>
      <w:r>
        <w:rPr>
          <w:rFonts w:ascii="Times New Roman" w:hAnsi="Times New Roman" w:cs="Times New Roman"/>
          <w:sz w:val="24"/>
          <w:szCs w:val="24"/>
          <w:lang w:val="en-GB"/>
        </w:rPr>
        <w:t xml:space="preserve"> (North America)</w:t>
      </w:r>
      <w:r w:rsidR="00414A68" w:rsidRPr="00326D1D">
        <w:rPr>
          <w:rFonts w:ascii="Times New Roman" w:hAnsi="Times New Roman" w:cs="Times New Roman"/>
          <w:sz w:val="24"/>
          <w:szCs w:val="24"/>
          <w:lang w:val="en-GB"/>
        </w:rPr>
        <w:t xml:space="preserve">, it is given a score of 1 (regional), if it has sales in its home country plus one other region it is given </w:t>
      </w:r>
      <w:r w:rsidR="00414A68" w:rsidRPr="00326D1D">
        <w:rPr>
          <w:rFonts w:ascii="Times New Roman" w:hAnsi="Times New Roman" w:cs="Times New Roman"/>
          <w:sz w:val="24"/>
          <w:szCs w:val="24"/>
          <w:lang w:val="en-GB"/>
        </w:rPr>
        <w:lastRenderedPageBreak/>
        <w:t xml:space="preserve">a score of 2, if it has sales in its home country plus two other continents it is given a score of 3 and so on until a maximum score of 6 (global), which indicates that a firm has sales in all 6 regions. </w:t>
      </w:r>
      <w:r w:rsidR="00C0583D">
        <w:rPr>
          <w:rFonts w:ascii="Times New Roman" w:hAnsi="Times New Roman" w:cs="Times New Roman"/>
          <w:sz w:val="24"/>
          <w:szCs w:val="24"/>
          <w:lang w:val="en-GB"/>
        </w:rPr>
        <w:t xml:space="preserve"> </w:t>
      </w:r>
    </w:p>
    <w:p w14:paraId="65EF5623" w14:textId="77777777" w:rsidR="00E12394" w:rsidRDefault="00E12394" w:rsidP="000217D6">
      <w:pPr>
        <w:spacing w:after="0" w:line="480" w:lineRule="auto"/>
        <w:jc w:val="both"/>
        <w:rPr>
          <w:rFonts w:ascii="Times New Roman" w:hAnsi="Times New Roman" w:cs="Times New Roman"/>
          <w:sz w:val="24"/>
          <w:szCs w:val="24"/>
          <w:lang w:val="en-GB"/>
        </w:rPr>
      </w:pPr>
    </w:p>
    <w:p w14:paraId="4300697D" w14:textId="77777777" w:rsidR="00E12394" w:rsidRDefault="00E12394" w:rsidP="00E12394">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also collect data on firm ownership from the Thomson Reuters Eikon database. All institutional investment managers with </w:t>
      </w:r>
      <w:r w:rsidRPr="00A71810">
        <w:rPr>
          <w:rFonts w:ascii="Times New Roman" w:eastAsia="Times New Roman" w:hAnsi="Times New Roman" w:cs="Times New Roman"/>
          <w:color w:val="000000"/>
          <w:sz w:val="24"/>
          <w:szCs w:val="24"/>
        </w:rPr>
        <w:t xml:space="preserve">investment discretion over $100 million </w:t>
      </w:r>
      <w:r>
        <w:rPr>
          <w:rFonts w:ascii="Times New Roman" w:eastAsia="Times New Roman" w:hAnsi="Times New Roman" w:cs="Times New Roman"/>
          <w:color w:val="000000"/>
          <w:sz w:val="24"/>
          <w:szCs w:val="24"/>
        </w:rPr>
        <w:t>must report their</w:t>
      </w:r>
      <w:r w:rsidRPr="00A71810">
        <w:rPr>
          <w:rFonts w:ascii="Times New Roman" w:eastAsia="Times New Roman" w:hAnsi="Times New Roman" w:cs="Times New Roman"/>
          <w:color w:val="000000"/>
          <w:sz w:val="24"/>
          <w:szCs w:val="24"/>
        </w:rPr>
        <w:t xml:space="preserve"> holdings </w:t>
      </w:r>
      <w:r>
        <w:rPr>
          <w:rFonts w:ascii="Times New Roman" w:eastAsia="Times New Roman" w:hAnsi="Times New Roman" w:cs="Times New Roman"/>
          <w:color w:val="000000"/>
          <w:sz w:val="24"/>
          <w:szCs w:val="24"/>
        </w:rPr>
        <w:t>to</w:t>
      </w:r>
      <w:r w:rsidRPr="00A71810">
        <w:rPr>
          <w:rFonts w:ascii="Times New Roman" w:eastAsia="Times New Roman" w:hAnsi="Times New Roman" w:cs="Times New Roman"/>
          <w:color w:val="000000"/>
          <w:sz w:val="24"/>
          <w:szCs w:val="24"/>
        </w:rPr>
        <w:t xml:space="preserve"> the Securities and Exchange Commission. </w:t>
      </w:r>
      <w:r>
        <w:rPr>
          <w:rFonts w:ascii="Times New Roman" w:eastAsia="Times New Roman" w:hAnsi="Times New Roman" w:cs="Times New Roman"/>
          <w:color w:val="000000"/>
          <w:sz w:val="24"/>
          <w:szCs w:val="24"/>
        </w:rPr>
        <w:t>Reuters divide investor types into two groups, Institutional and Strategic.  They classify Corporates, Government Agencies, Individual Investors, Inside Investors and Holding Companies as strategic investors, and the remainder as Institutional Investors. For each year between 1997 and 2014 we calculate the percentage ownership of each of our stocks by Institutional Investors, Strategic Investors and the residual, which we assume to be retail investors</w:t>
      </w:r>
      <w:r w:rsidRPr="0080161D">
        <w:rPr>
          <w:rStyle w:val="FootnoteReference"/>
        </w:rPr>
        <w:footnoteReference w:id="3"/>
      </w:r>
      <w:r>
        <w:rPr>
          <w:rFonts w:ascii="Times New Roman" w:eastAsia="Times New Roman" w:hAnsi="Times New Roman" w:cs="Times New Roman"/>
          <w:color w:val="000000"/>
          <w:sz w:val="24"/>
          <w:szCs w:val="24"/>
        </w:rPr>
        <w:t xml:space="preserve">.  </w:t>
      </w:r>
    </w:p>
    <w:p w14:paraId="65D02331" w14:textId="77777777" w:rsidR="005A5E35" w:rsidRDefault="005A5E35" w:rsidP="00D9108B">
      <w:pPr>
        <w:spacing w:after="0" w:line="480" w:lineRule="auto"/>
        <w:jc w:val="both"/>
        <w:rPr>
          <w:rFonts w:ascii="Times New Roman" w:hAnsi="Times New Roman" w:cs="Times New Roman"/>
          <w:sz w:val="24"/>
          <w:szCs w:val="24"/>
          <w:lang w:val="en-GB"/>
        </w:rPr>
      </w:pPr>
    </w:p>
    <w:p w14:paraId="7A21FE10" w14:textId="19E043BE" w:rsidR="005A5E35" w:rsidRDefault="007B5134" w:rsidP="00D9108B">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order to investigate</w:t>
      </w:r>
      <w:r w:rsidR="009E5627">
        <w:rPr>
          <w:rFonts w:ascii="Times New Roman" w:eastAsia="Times New Roman" w:hAnsi="Times New Roman" w:cs="Times New Roman"/>
          <w:color w:val="000000"/>
          <w:sz w:val="24"/>
          <w:szCs w:val="24"/>
        </w:rPr>
        <w:t xml:space="preserve"> investors</w:t>
      </w:r>
      <w:r w:rsidR="001A281F">
        <w:rPr>
          <w:rFonts w:ascii="Times New Roman" w:eastAsia="Times New Roman" w:hAnsi="Times New Roman" w:cs="Times New Roman"/>
          <w:color w:val="000000"/>
          <w:sz w:val="24"/>
          <w:szCs w:val="24"/>
        </w:rPr>
        <w:t>’</w:t>
      </w:r>
      <w:r w:rsidR="009E5627">
        <w:rPr>
          <w:rFonts w:ascii="Times New Roman" w:eastAsia="Times New Roman" w:hAnsi="Times New Roman" w:cs="Times New Roman"/>
          <w:color w:val="000000"/>
          <w:sz w:val="24"/>
          <w:szCs w:val="24"/>
        </w:rPr>
        <w:t xml:space="preserve"> </w:t>
      </w:r>
      <w:r w:rsidR="00A96880">
        <w:rPr>
          <w:rFonts w:ascii="Times New Roman" w:eastAsia="Times New Roman" w:hAnsi="Times New Roman" w:cs="Times New Roman"/>
          <w:color w:val="000000"/>
          <w:sz w:val="24"/>
          <w:szCs w:val="24"/>
        </w:rPr>
        <w:t>prefer</w:t>
      </w:r>
      <w:r w:rsidR="001A281F">
        <w:rPr>
          <w:rFonts w:ascii="Times New Roman" w:eastAsia="Times New Roman" w:hAnsi="Times New Roman" w:cs="Times New Roman"/>
          <w:color w:val="000000"/>
          <w:sz w:val="24"/>
          <w:szCs w:val="24"/>
        </w:rPr>
        <w:t>ence for</w:t>
      </w:r>
      <w:r w:rsidR="001138BB">
        <w:rPr>
          <w:rFonts w:ascii="Times New Roman" w:eastAsia="Times New Roman" w:hAnsi="Times New Roman" w:cs="Times New Roman"/>
          <w:color w:val="000000"/>
          <w:sz w:val="24"/>
          <w:szCs w:val="24"/>
        </w:rPr>
        <w:t xml:space="preserve"> MNCs</w:t>
      </w:r>
      <w:r w:rsidR="009E5627">
        <w:rPr>
          <w:rFonts w:ascii="Times New Roman" w:eastAsia="Times New Roman" w:hAnsi="Times New Roman" w:cs="Times New Roman"/>
          <w:color w:val="000000"/>
          <w:sz w:val="24"/>
          <w:szCs w:val="24"/>
        </w:rPr>
        <w:t xml:space="preserve">, we </w:t>
      </w:r>
      <w:r w:rsidR="00C2739C">
        <w:rPr>
          <w:rFonts w:ascii="Times New Roman" w:eastAsia="Times New Roman" w:hAnsi="Times New Roman" w:cs="Times New Roman"/>
          <w:color w:val="000000"/>
          <w:sz w:val="24"/>
          <w:szCs w:val="24"/>
        </w:rPr>
        <w:t>examine</w:t>
      </w:r>
      <w:r w:rsidR="009E5627">
        <w:rPr>
          <w:rFonts w:ascii="Times New Roman" w:eastAsia="Times New Roman" w:hAnsi="Times New Roman" w:cs="Times New Roman"/>
          <w:color w:val="000000"/>
          <w:sz w:val="24"/>
          <w:szCs w:val="24"/>
        </w:rPr>
        <w:t xml:space="preserve"> the conditions in wh</w:t>
      </w:r>
      <w:r w:rsidR="00052211">
        <w:rPr>
          <w:rFonts w:ascii="Times New Roman" w:eastAsia="Times New Roman" w:hAnsi="Times New Roman" w:cs="Times New Roman"/>
          <w:color w:val="000000"/>
          <w:sz w:val="24"/>
          <w:szCs w:val="24"/>
        </w:rPr>
        <w:t>ich</w:t>
      </w:r>
      <w:r w:rsidR="009E5627">
        <w:rPr>
          <w:rFonts w:ascii="Times New Roman" w:eastAsia="Times New Roman" w:hAnsi="Times New Roman" w:cs="Times New Roman"/>
          <w:color w:val="000000"/>
          <w:sz w:val="24"/>
          <w:szCs w:val="24"/>
        </w:rPr>
        <w:t xml:space="preserve"> internationalization should be of most value.  We use downturns in domestic markets as proxies for those times when investors </w:t>
      </w:r>
      <w:r w:rsidR="00E173CA">
        <w:rPr>
          <w:rFonts w:ascii="Times New Roman" w:eastAsia="Times New Roman" w:hAnsi="Times New Roman" w:cs="Times New Roman"/>
          <w:color w:val="000000"/>
          <w:sz w:val="24"/>
          <w:szCs w:val="24"/>
        </w:rPr>
        <w:t xml:space="preserve">may </w:t>
      </w:r>
      <w:r w:rsidR="005F29FD">
        <w:rPr>
          <w:rFonts w:ascii="Times New Roman" w:eastAsia="Times New Roman" w:hAnsi="Times New Roman" w:cs="Times New Roman"/>
          <w:color w:val="000000"/>
          <w:sz w:val="24"/>
          <w:szCs w:val="24"/>
        </w:rPr>
        <w:t>display a stronger preference for</w:t>
      </w:r>
      <w:r w:rsidR="001138BB">
        <w:rPr>
          <w:rFonts w:ascii="Times New Roman" w:eastAsia="Times New Roman" w:hAnsi="Times New Roman" w:cs="Times New Roman"/>
          <w:color w:val="000000"/>
          <w:sz w:val="24"/>
          <w:szCs w:val="24"/>
        </w:rPr>
        <w:t xml:space="preserve"> MNCs</w:t>
      </w:r>
      <w:r w:rsidR="009E5627">
        <w:rPr>
          <w:rFonts w:ascii="Times New Roman" w:eastAsia="Times New Roman" w:hAnsi="Times New Roman" w:cs="Times New Roman"/>
          <w:color w:val="000000"/>
          <w:sz w:val="24"/>
          <w:szCs w:val="24"/>
        </w:rPr>
        <w:t>.</w:t>
      </w:r>
      <w:r w:rsidR="00A96880">
        <w:rPr>
          <w:rFonts w:ascii="Times New Roman" w:eastAsia="Times New Roman" w:hAnsi="Times New Roman" w:cs="Times New Roman"/>
          <w:color w:val="000000"/>
          <w:sz w:val="24"/>
          <w:szCs w:val="24"/>
        </w:rPr>
        <w:t xml:space="preserve"> </w:t>
      </w:r>
      <w:r w:rsidR="00DA0250">
        <w:rPr>
          <w:rStyle w:val="FootnoteReference"/>
          <w:rFonts w:ascii="Times New Roman" w:eastAsia="Times New Roman" w:hAnsi="Times New Roman" w:cs="Times New Roman"/>
          <w:color w:val="000000"/>
          <w:sz w:val="24"/>
          <w:szCs w:val="24"/>
        </w:rPr>
        <w:fldChar w:fldCharType="begin" w:fldLock="1"/>
      </w:r>
      <w:r w:rsidR="001C7F79">
        <w:rPr>
          <w:rFonts w:ascii="Times New Roman" w:eastAsia="Times New Roman" w:hAnsi="Times New Roman" w:cs="Times New Roman"/>
          <w:color w:val="000000"/>
          <w:sz w:val="24"/>
          <w:szCs w:val="24"/>
        </w:rPr>
        <w:instrText>ADDIN CSL_CITATION {"citationItems":[{"id":"ITEM-1","itemData":{"ISSN":"1556-5068","abstract":"We find that investors across the globe differentially prefer dividend-paying stocks over non-dividend-paying stocks more in declining markets than in advancing markets, whether in developed or emerging markets or before or after the 2008 global crisis, even accounting for growth opportunities, size and risk effects. Dividend paying stocks outperform non-dividend paying stocks, by between 0.63% (China) to 3.79% (Canada) more per month in declining markets than in advancing markets. In declining markets, dividend paying firms outperform by more than any underperformance in advancing markets. Our findings show the relative outperformance of dividend paying firms, both prior to and after the 2008 sub-prime crisis, separately assuming a segmented and a fully integrated global equity market, and excluding the month of dividend declaration. The result is also robust across subsets of emerging and developed markets, across legal environments and in respect to high and low levels of dividend payer participation. In summary, we find that it is a global result that dividends do matter to shareholders, but especially so in declining markets.","author":[{"dropping-particle":"","family":"Goldstein","given":"Michael A.","non-dropping-particle":"","parse-names":false,"suffix":""},{"dropping-particle":"","family":"Goyal","given":"Abhinav","non-dropping-particle":"","parse-names":false,"suffix":""},{"dropping-particle":"","family":"Lucey","given":"Brian M.","non-dropping-particle":"","parse-names":false,"suffix":""},{"dropping-particle":"","family":"Muckley","given":"Cal B.","non-dropping-particle":"","parse-names":false,"suffix":""}],"container-title":"SSRN Electronic Journal","id":"ITEM-1","issued":{"date-parts":[["2014","6"]]},"title":"The Global Preference for Dividends in Declining Markets","type":"article-journal"},"uris":["http://www.mendeley.com/documents/?uuid=1b93009c-39dc-4323-ab83-2b404dbd40df"]},{"id":"ITEM-2","itemData":{"ISBN":"0929-1199","ISSN":"09291199","abstract":"We find dividends do matter to shareholders, but more in declining markets than advancing ones. Dividend-paying stocks outperform non-dividend-paying stocks by 1 to 2% more per month in declining markets than in advancing markets. These results are economically and statistically significant and robust to many risk adjustments and across industries. In addition, we find an asymmetric response to dividend changes based on market conditions: dividend increases matter more in declining markets than advancing ones. Tests indicate that results are not due to more profitable firms and appear not to be caused either by free cash flow or signaling explanations. We also find that it is the existence of dividends, and not the dividend yield, that drives returns' asymmetric behavior relative to market movements. ?? 2011 Elsevier B.V.","author":[{"dropping-particle":"","family":"Fuller","given":"Kathleen P.","non-dropping-particle":"","parse-names":false,"suffix":""},{"dropping-particle":"","family":"Goldstein","given":"Michael a.","non-dropping-particle":"","parse-names":false,"suffix":""}],"container-title":"Journal of Corporate Finance","id":"ITEM-2","issue":"3","issued":{"date-parts":[["2011"]]},"page":"457-473","title":"Do dividends matter more in declining markets?","type":"article-journal","volume":"17"},"uris":["http://www.mendeley.com/documents/?uuid=dbbe866e-260c-4cc1-981e-579a49308260"]}],"mendeley":{"formattedCitation":"(Fuller &amp; Goldstein, 2011; Goldstein et al., 2014)","manualFormatting":"Fuller &amp; Goldstein (2011) and Goldstein et al. (2015)","plainTextFormattedCitation":"(Fuller &amp; Goldstein, 2011; Goldstein et al., 2014)","previouslyFormattedCitation":"(Fuller &amp; Goldstein, 2011; Goldstein et al., 2014)"},"properties":{"noteIndex":0},"schema":"https://github.com/citation-style-language/schema/raw/master/csl-citation.json"}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DA0250">
        <w:rPr>
          <w:rFonts w:ascii="Times New Roman" w:eastAsia="Times New Roman" w:hAnsi="Times New Roman" w:cs="Times New Roman"/>
          <w:noProof/>
          <w:color w:val="000000"/>
          <w:sz w:val="24"/>
          <w:szCs w:val="24"/>
        </w:rPr>
        <w:t>Fuller &amp; Goldstein (2011) and Goldstei</w:t>
      </w:r>
      <w:r w:rsidR="001C7F79">
        <w:rPr>
          <w:rFonts w:ascii="Times New Roman" w:eastAsia="Times New Roman" w:hAnsi="Times New Roman" w:cs="Times New Roman"/>
          <w:noProof/>
          <w:color w:val="000000"/>
          <w:sz w:val="24"/>
          <w:szCs w:val="24"/>
        </w:rPr>
        <w:t xml:space="preserve">n et al. </w:t>
      </w:r>
      <w:r w:rsidR="00BD3355">
        <w:rPr>
          <w:rFonts w:ascii="Times New Roman" w:eastAsia="Times New Roman" w:hAnsi="Times New Roman" w:cs="Times New Roman"/>
          <w:noProof/>
          <w:color w:val="000000"/>
          <w:sz w:val="24"/>
          <w:szCs w:val="24"/>
        </w:rPr>
        <w:t>(2015</w:t>
      </w:r>
      <w:r w:rsidR="00DA0250">
        <w:rPr>
          <w:rFonts w:ascii="Times New Roman" w:eastAsia="Times New Roman" w:hAnsi="Times New Roman" w:cs="Times New Roman"/>
          <w:noProof/>
          <w:color w:val="000000"/>
          <w:sz w:val="24"/>
          <w:szCs w:val="24"/>
        </w:rPr>
        <w:t>)</w:t>
      </w:r>
      <w:r w:rsidR="00DA0250">
        <w:rPr>
          <w:rStyle w:val="FootnoteReference"/>
          <w:rFonts w:ascii="Times New Roman" w:eastAsia="Times New Roman" w:hAnsi="Times New Roman" w:cs="Times New Roman"/>
          <w:color w:val="000000"/>
          <w:sz w:val="24"/>
          <w:szCs w:val="24"/>
        </w:rPr>
        <w:fldChar w:fldCharType="end"/>
      </w:r>
      <w:r w:rsidR="009E5627">
        <w:rPr>
          <w:rFonts w:ascii="Times New Roman" w:eastAsia="Times New Roman" w:hAnsi="Times New Roman" w:cs="Times New Roman"/>
          <w:color w:val="000000"/>
          <w:sz w:val="24"/>
          <w:szCs w:val="24"/>
        </w:rPr>
        <w:t xml:space="preserve"> classify an up market as a month during which the</w:t>
      </w:r>
      <w:r w:rsidR="00E173CA">
        <w:rPr>
          <w:rFonts w:ascii="Times New Roman" w:eastAsia="Times New Roman" w:hAnsi="Times New Roman" w:cs="Times New Roman"/>
          <w:color w:val="000000"/>
          <w:sz w:val="24"/>
          <w:szCs w:val="24"/>
        </w:rPr>
        <w:t xml:space="preserve"> monthly return of the S&amp;P500 i</w:t>
      </w:r>
      <w:r w:rsidR="009E5627">
        <w:rPr>
          <w:rFonts w:ascii="Times New Roman" w:eastAsia="Times New Roman" w:hAnsi="Times New Roman" w:cs="Times New Roman"/>
          <w:color w:val="000000"/>
          <w:sz w:val="24"/>
          <w:szCs w:val="24"/>
        </w:rPr>
        <w:t>s positive, while a down mark</w:t>
      </w:r>
      <w:r w:rsidR="00E173CA">
        <w:rPr>
          <w:rFonts w:ascii="Times New Roman" w:eastAsia="Times New Roman" w:hAnsi="Times New Roman" w:cs="Times New Roman"/>
          <w:color w:val="000000"/>
          <w:sz w:val="24"/>
          <w:szCs w:val="24"/>
        </w:rPr>
        <w:t>et is one where the index posts</w:t>
      </w:r>
      <w:r w:rsidR="009E5627">
        <w:rPr>
          <w:rFonts w:ascii="Times New Roman" w:eastAsia="Times New Roman" w:hAnsi="Times New Roman" w:cs="Times New Roman"/>
          <w:color w:val="000000"/>
          <w:sz w:val="24"/>
          <w:szCs w:val="24"/>
        </w:rPr>
        <w:t xml:space="preserve"> a negative monthly return.  </w:t>
      </w:r>
      <w:r w:rsidR="004A3EF5">
        <w:rPr>
          <w:rFonts w:ascii="Times New Roman" w:eastAsia="Times New Roman" w:hAnsi="Times New Roman" w:cs="Times New Roman"/>
          <w:color w:val="000000"/>
          <w:sz w:val="24"/>
          <w:szCs w:val="24"/>
        </w:rPr>
        <w:t>We take a similar approach but use the Russell 3000</w:t>
      </w:r>
      <w:r w:rsidR="001A281F" w:rsidRPr="001A281F">
        <w:rPr>
          <w:rFonts w:ascii="Times New Roman" w:eastAsia="Times New Roman" w:hAnsi="Times New Roman" w:cs="Times New Roman"/>
          <w:color w:val="000000"/>
          <w:sz w:val="24"/>
          <w:szCs w:val="24"/>
        </w:rPr>
        <w:t xml:space="preserve"> </w:t>
      </w:r>
      <w:r w:rsidR="001A281F">
        <w:rPr>
          <w:rFonts w:ascii="Times New Roman" w:eastAsia="Times New Roman" w:hAnsi="Times New Roman" w:cs="Times New Roman"/>
          <w:color w:val="000000"/>
          <w:sz w:val="24"/>
          <w:szCs w:val="24"/>
        </w:rPr>
        <w:t>as a broader proxy of the US equity market</w:t>
      </w:r>
      <w:r w:rsidR="000217D6">
        <w:rPr>
          <w:rFonts w:ascii="Times New Roman" w:eastAsia="Times New Roman" w:hAnsi="Times New Roman" w:cs="Times New Roman"/>
          <w:color w:val="000000"/>
          <w:sz w:val="24"/>
          <w:szCs w:val="24"/>
        </w:rPr>
        <w:t xml:space="preserve">. </w:t>
      </w:r>
      <w:r w:rsidR="00DA0250">
        <w:rPr>
          <w:rStyle w:val="FootnoteReference"/>
          <w:rFonts w:ascii="Times New Roman" w:eastAsia="Times New Roman" w:hAnsi="Times New Roman" w:cs="Times New Roman"/>
          <w:color w:val="000000"/>
          <w:sz w:val="24"/>
          <w:szCs w:val="24"/>
        </w:rPr>
        <w:fldChar w:fldCharType="begin" w:fldLock="1"/>
      </w:r>
      <w:r w:rsidR="001E4568">
        <w:rPr>
          <w:rFonts w:ascii="Times New Roman" w:eastAsia="Times New Roman" w:hAnsi="Times New Roman" w:cs="Times New Roman"/>
          <w:color w:val="000000"/>
          <w:sz w:val="24"/>
          <w:szCs w:val="24"/>
        </w:rPr>
        <w:instrText>ADDIN CSL_CITATION {"citationItems":[{"id":"ITEM-1","itemData":{"abstract":"Correlations between U.S. stocks and the aggregate U.S. market are much greater for downside moves, especially for extreme downside moves, than for upside moves. We develop a new statistic for measuring, comparing, and testing asymmetries in conditional correlations. Conditional on the downside, correlations in the data differ from the conditional correlations implied by a normal distribution by 11.6%. We find that conditional asymmetric correlations are fundamentally different from other measures of asymmetries, such as skewness and co-skewness. We find that small stocks, value stocks, and past loser stocks have more asymmetric movements. Controlling for size, we find that stocks with lower betas exhibit greater correlation asymmetries, and we find no relationship between leverage and correlation asymmetries. Correlation asymmetries in the data reject the null hypothesis of multivariate normal distributions at daily, weekly, and monthly frequencies. However, several empirical models with greater flexibility, particularly regime-switching models, perform better at capturing correlation asymmetries.","author":[{"dropping-particle":"","family":"Ang","given":"Andrew","non-dropping-particle":"","parse-names":false,"suffix":""},{"dropping-particle":"","family":"Chen","given":"Joseph","non-dropping-particle":"","parse-names":false,"suffix":""}],"container-title":"Journal of Financial Economics","id":"ITEM-1","issue":"3","issued":{"date-parts":[["2002","3"]]},"page":"443-494","title":"Asymmetric correlations of equity portfolios","type":"article-journal","volume":"63"},"uris":["http://www.mendeley.com/documents/?uuid=63d9d1fd-8efd-4d63-99b3-99d1a0ba6f01"]}],"mendeley":{"formattedCitation":"(Ang &amp; Chen, 2002)","manualFormatting":" Ang &amp; Chen (2002)","plainTextFormattedCitation":"(Ang &amp; Chen, 2002)","previouslyFormattedCitation":"(Ang &amp; Chen, 2002)"},"properties":{"noteIndex":0},"schema":"https://github.com/citation-style-language/schema/raw/master/csl-citation.json"}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DA0250">
        <w:rPr>
          <w:rFonts w:ascii="Times New Roman" w:eastAsia="Times New Roman" w:hAnsi="Times New Roman" w:cs="Times New Roman"/>
          <w:noProof/>
          <w:color w:val="000000"/>
          <w:sz w:val="24"/>
          <w:szCs w:val="24"/>
        </w:rPr>
        <w:t xml:space="preserve"> Ang &amp; Chen (2002)</w:t>
      </w:r>
      <w:r w:rsidR="00DA0250">
        <w:rPr>
          <w:rStyle w:val="FootnoteReference"/>
          <w:rFonts w:ascii="Times New Roman" w:eastAsia="Times New Roman" w:hAnsi="Times New Roman" w:cs="Times New Roman"/>
          <w:color w:val="000000"/>
          <w:sz w:val="24"/>
          <w:szCs w:val="24"/>
        </w:rPr>
        <w:fldChar w:fldCharType="end"/>
      </w:r>
      <w:r w:rsidR="009E5627">
        <w:rPr>
          <w:rFonts w:ascii="Times New Roman" w:eastAsia="Times New Roman" w:hAnsi="Times New Roman" w:cs="Times New Roman"/>
          <w:color w:val="000000"/>
          <w:sz w:val="24"/>
          <w:szCs w:val="24"/>
        </w:rPr>
        <w:t xml:space="preserve"> use excess returns to define up and down markets but this result</w:t>
      </w:r>
      <w:r w:rsidR="00E173CA">
        <w:rPr>
          <w:rFonts w:ascii="Times New Roman" w:eastAsia="Times New Roman" w:hAnsi="Times New Roman" w:cs="Times New Roman"/>
          <w:color w:val="000000"/>
          <w:sz w:val="24"/>
          <w:szCs w:val="24"/>
        </w:rPr>
        <w:t>s</w:t>
      </w:r>
      <w:r w:rsidR="009E5627">
        <w:rPr>
          <w:rFonts w:ascii="Times New Roman" w:eastAsia="Times New Roman" w:hAnsi="Times New Roman" w:cs="Times New Roman"/>
          <w:color w:val="000000"/>
          <w:sz w:val="24"/>
          <w:szCs w:val="24"/>
        </w:rPr>
        <w:t xml:space="preserve"> in a greater number of down months, there</w:t>
      </w:r>
      <w:r w:rsidR="00E173CA">
        <w:rPr>
          <w:rFonts w:ascii="Times New Roman" w:eastAsia="Times New Roman" w:hAnsi="Times New Roman" w:cs="Times New Roman"/>
          <w:color w:val="000000"/>
          <w:sz w:val="24"/>
          <w:szCs w:val="24"/>
        </w:rPr>
        <w:t>fore we use the more restrictive</w:t>
      </w:r>
      <w:r w:rsidR="009E5627">
        <w:rPr>
          <w:rFonts w:ascii="Times New Roman" w:eastAsia="Times New Roman" w:hAnsi="Times New Roman" w:cs="Times New Roman"/>
          <w:color w:val="000000"/>
          <w:sz w:val="24"/>
          <w:szCs w:val="24"/>
        </w:rPr>
        <w:t xml:space="preserve"> def</w:t>
      </w:r>
      <w:r w:rsidR="00052211">
        <w:rPr>
          <w:rFonts w:ascii="Times New Roman" w:eastAsia="Times New Roman" w:hAnsi="Times New Roman" w:cs="Times New Roman"/>
          <w:color w:val="000000"/>
          <w:sz w:val="24"/>
          <w:szCs w:val="24"/>
        </w:rPr>
        <w:t xml:space="preserve">inition of a down market.  </w:t>
      </w:r>
    </w:p>
    <w:p w14:paraId="330C54B0" w14:textId="77777777" w:rsidR="003D6F42" w:rsidRDefault="003D6F42" w:rsidP="00D9108B">
      <w:pPr>
        <w:spacing w:after="0" w:line="480" w:lineRule="auto"/>
        <w:jc w:val="both"/>
        <w:rPr>
          <w:rFonts w:ascii="Times New Roman" w:eastAsia="Times New Roman" w:hAnsi="Times New Roman" w:cs="Times New Roman"/>
          <w:color w:val="000000"/>
          <w:sz w:val="24"/>
          <w:szCs w:val="24"/>
        </w:rPr>
      </w:pPr>
    </w:p>
    <w:p w14:paraId="5E9C7B56" w14:textId="75E54BF8" w:rsidR="0088675D" w:rsidRPr="004C11E6" w:rsidRDefault="0082223F" w:rsidP="00D9108B">
      <w:pPr>
        <w:pStyle w:val="Heading2"/>
        <w:spacing w:line="480" w:lineRule="auto"/>
        <w:rPr>
          <w:i/>
          <w:u w:val="none"/>
          <w:lang w:val="en-IE"/>
        </w:rPr>
      </w:pPr>
      <w:r>
        <w:rPr>
          <w:i/>
          <w:u w:val="none"/>
          <w:lang w:val="en-IE"/>
        </w:rPr>
        <w:lastRenderedPageBreak/>
        <w:t>3</w:t>
      </w:r>
      <w:r w:rsidR="00D42A90" w:rsidRPr="004C11E6">
        <w:rPr>
          <w:i/>
          <w:u w:val="none"/>
          <w:lang w:val="en-IE"/>
        </w:rPr>
        <w:t xml:space="preserve">.2 </w:t>
      </w:r>
      <w:r w:rsidR="0088675D" w:rsidRPr="004C11E6">
        <w:rPr>
          <w:i/>
          <w:u w:val="none"/>
          <w:lang w:val="en-IE"/>
        </w:rPr>
        <w:t>Methods</w:t>
      </w:r>
    </w:p>
    <w:p w14:paraId="28CEC947" w14:textId="3C0FAAB0" w:rsidR="0067129D" w:rsidRPr="00A11A6D" w:rsidRDefault="00A11A6D" w:rsidP="00A11A6D">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sidR="00E173CA" w:rsidRPr="00437FE3">
        <w:rPr>
          <w:rFonts w:ascii="Times New Roman" w:hAnsi="Times New Roman" w:cs="Times New Roman"/>
          <w:sz w:val="24"/>
          <w:szCs w:val="24"/>
        </w:rPr>
        <w:t>Fama</w:t>
      </w:r>
      <w:proofErr w:type="spellEnd"/>
      <w:r w:rsidR="00E173CA" w:rsidRPr="00437FE3">
        <w:rPr>
          <w:rFonts w:ascii="Times New Roman" w:hAnsi="Times New Roman" w:cs="Times New Roman"/>
          <w:sz w:val="24"/>
          <w:szCs w:val="24"/>
        </w:rPr>
        <w:t xml:space="preserve">-French </w:t>
      </w:r>
      <w:r w:rsidR="0067129D" w:rsidRPr="00437FE3">
        <w:rPr>
          <w:rFonts w:ascii="Times New Roman" w:hAnsi="Times New Roman" w:cs="Times New Roman"/>
          <w:sz w:val="24"/>
          <w:szCs w:val="24"/>
        </w:rPr>
        <w:t>three-factor model</w:t>
      </w:r>
      <w:r>
        <w:rPr>
          <w:rFonts w:ascii="Times New Roman" w:hAnsi="Times New Roman" w:cs="Times New Roman"/>
          <w:sz w:val="24"/>
          <w:szCs w:val="24"/>
        </w:rPr>
        <w:t xml:space="preserve"> states that a shares’ return is determined by three factors, market risk, size and value (</w:t>
      </w:r>
      <w:proofErr w:type="spellStart"/>
      <w:r w:rsidR="00DA0250">
        <w:rPr>
          <w:rStyle w:val="FootnoteReference"/>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{"citationItems":[{"id":"ITEM-1","itemData":{"ISBN":"0304405X","ISSN":"0304405X","PMID":"295138","abstract":"This paper identifies five common risk factors in the returns on stocks and bonds. There are three stock-market factors: an overall market factor and factors related to firm size and book-to-market equity. There are two bond-market factors, related to maturity and default risks. Stock returns have shared variation due to the stock-market factors, and they are linked to bond returns through shared variation in the bond-market factors. Except for low-grade corporates, the bond-market factors capture the common variation in bond returns. Most important, the five factors seem to explain average returns on stocks and bonds. © 1993.","author":[{"dropping-particle":"","family":"Fama","given":"Eugene F.","non-dropping-particle":"","parse-names":false,"suffix":""},{"dropping-particle":"","family":"French","given":"Kenneth R.","non-dropping-particle":"","parse-names":false,"suffix":""}],"container-title":"Journal of Financial Economics","id":"ITEM-1","issue":"1","issued":{"date-parts":[["1993"]]},"page":"3-56","title":"Common risk factors in the returns on stocks and bonds","type":"article-journal","volume":"33"},"uris":["http://www.mendeley.com/documents/?uuid=2687913b-021a-4954-b567-5c4497a64065"]}],"mendeley":{"formattedCitation":"(Fama &amp; French, 1993)","manualFormatting":"Fama &amp; French, 1993)","plainTextFormattedCitation":"(Fama &amp; French, 1993)","previouslyFormattedCitation":"(Fama &amp; French, 1993)"},"properties":{"noteIndex":0},"schema":"https://github.com/citation-style-language/schema/raw/master/csl-citation.json"}</w:instrText>
      </w:r>
      <w:r w:rsidR="00DA0250">
        <w:rPr>
          <w:rStyle w:val="FootnoteReference"/>
          <w:rFonts w:ascii="Times New Roman" w:hAnsi="Times New Roman" w:cs="Times New Roman"/>
          <w:sz w:val="24"/>
          <w:szCs w:val="24"/>
        </w:rPr>
        <w:fldChar w:fldCharType="separate"/>
      </w:r>
      <w:r>
        <w:rPr>
          <w:rFonts w:ascii="Times New Roman" w:hAnsi="Times New Roman" w:cs="Times New Roman"/>
          <w:noProof/>
          <w:sz w:val="24"/>
          <w:szCs w:val="24"/>
        </w:rPr>
        <w:t>Fama</w:t>
      </w:r>
      <w:proofErr w:type="spellEnd"/>
      <w:r>
        <w:rPr>
          <w:rFonts w:ascii="Times New Roman" w:hAnsi="Times New Roman" w:cs="Times New Roman"/>
          <w:noProof/>
          <w:sz w:val="24"/>
          <w:szCs w:val="24"/>
        </w:rPr>
        <w:t xml:space="preserve"> &amp; French, </w:t>
      </w:r>
      <w:r w:rsidR="00DA0250">
        <w:rPr>
          <w:rFonts w:ascii="Times New Roman" w:hAnsi="Times New Roman" w:cs="Times New Roman"/>
          <w:noProof/>
          <w:sz w:val="24"/>
          <w:szCs w:val="24"/>
        </w:rPr>
        <w:t>1993)</w:t>
      </w:r>
      <w:r w:rsidR="00DA0250">
        <w:rPr>
          <w:rStyle w:val="FootnoteReference"/>
          <w:rFonts w:ascii="Times New Roman" w:hAnsi="Times New Roman" w:cs="Times New Roman"/>
          <w:sz w:val="24"/>
          <w:szCs w:val="24"/>
        </w:rPr>
        <w:fldChar w:fldCharType="end"/>
      </w:r>
      <w:r>
        <w:rPr>
          <w:rStyle w:val="FootnoteReference"/>
          <w:rFonts w:ascii="Times New Roman" w:hAnsi="Times New Roman" w:cs="Times New Roman"/>
          <w:sz w:val="24"/>
          <w:szCs w:val="24"/>
          <w:vertAlign w:val="baseline"/>
        </w:rPr>
        <w:t>.</w:t>
      </w:r>
      <w:r w:rsidR="0067129D" w:rsidRPr="00437FE3">
        <w:rPr>
          <w:rFonts w:ascii="Times New Roman" w:hAnsi="Times New Roman" w:cs="Times New Roman"/>
          <w:sz w:val="24"/>
          <w:szCs w:val="24"/>
        </w:rPr>
        <w:t xml:space="preserve"> A broad body of literature challenges and extends this model</w:t>
      </w:r>
      <w:r w:rsidR="007712CC">
        <w:rPr>
          <w:rFonts w:ascii="Times New Roman" w:hAnsi="Times New Roman" w:cs="Times New Roman"/>
          <w:sz w:val="24"/>
          <w:szCs w:val="24"/>
        </w:rPr>
        <w:t xml:space="preserve"> </w:t>
      </w:r>
      <w:r w:rsidR="00DA0250">
        <w:rPr>
          <w:rStyle w:val="FootnoteReference"/>
          <w:rFonts w:ascii="Times New Roman" w:hAnsi="Times New Roman" w:cs="Times New Roman"/>
          <w:sz w:val="24"/>
          <w:szCs w:val="24"/>
        </w:rPr>
        <w:fldChar w:fldCharType="begin" w:fldLock="1"/>
      </w:r>
      <w:r w:rsidR="00DA0250">
        <w:rPr>
          <w:rFonts w:ascii="Times New Roman" w:hAnsi="Times New Roman" w:cs="Times New Roman"/>
          <w:sz w:val="24"/>
          <w:szCs w:val="24"/>
        </w:rPr>
        <w:instrText>ADDIN CSL_CITATION {"citationItems":[{"id":"ITEM-1","itemData":{"DOI":"http://www.blackwellpublishing.com/journal.asp?ref=0022-1082","ISBN":"00221082","ISSN":"00221082","PMID":"413200","abstract":"Using a sample free of survivor bias, I demonstrate that common factors in stock returns and investment expenses almost completely explain persistence in equity mutual funds' mean and risk-adjusted returns. Hendricks, Patel and Zuckhauser's (1993) \"hot hands\" result is mostly driven by the one-year momentum effect of Jegadeesh and Titman (1993), but individual funds do not earn higher returns from following the momentum strategy in stocks. The only significant persistence not explained is concentrated in strong underperformance by the worst-return mutual funds. The results do not support the existence of skilled or informed mutual fund portfolio managers.","author":[{"dropping-particle":"","family":"Carhart","given":"Mark M","non-dropping-particle":"","parse-names":false,"suffix":""}],"container-title":"Journal of finance","id":"ITEM-1","issue":"1","issued":{"date-parts":[["1997"]]},"page":"57-82","title":"On Persistence in Mutual Fund Performance","type":"article","volume":"52"},"uris":["http://www.mendeley.com/documents/?uuid=5047f888-7475-47b4-9e04-ca56bfae4228"]}],"mendeley":{"formattedCitation":"(Carhart, 1997)","plainTextFormattedCitation":"(Carhart, 1997)","previouslyFormattedCitation":"(Carhart, 1997)"},"properties":{"noteIndex":0},"schema":"https://github.com/citation-style-language/schema/raw/master/csl-citation.json"}</w:instrText>
      </w:r>
      <w:r w:rsidR="00DA0250">
        <w:rPr>
          <w:rStyle w:val="FootnoteReference"/>
          <w:rFonts w:ascii="Times New Roman" w:hAnsi="Times New Roman" w:cs="Times New Roman"/>
          <w:sz w:val="24"/>
          <w:szCs w:val="24"/>
        </w:rPr>
        <w:fldChar w:fldCharType="separate"/>
      </w:r>
      <w:r w:rsidR="00DA0250" w:rsidRPr="00DA0250">
        <w:rPr>
          <w:rFonts w:ascii="Times New Roman" w:hAnsi="Times New Roman" w:cs="Times New Roman"/>
          <w:noProof/>
          <w:sz w:val="24"/>
          <w:szCs w:val="24"/>
        </w:rPr>
        <w:t>(Carhart, 1997)</w:t>
      </w:r>
      <w:r w:rsidR="00DA0250">
        <w:rPr>
          <w:rStyle w:val="FootnoteReference"/>
          <w:rFonts w:ascii="Times New Roman" w:hAnsi="Times New Roman" w:cs="Times New Roman"/>
          <w:sz w:val="24"/>
          <w:szCs w:val="24"/>
        </w:rPr>
        <w:fldChar w:fldCharType="end"/>
      </w:r>
      <w:r w:rsidR="007712CC">
        <w:rPr>
          <w:rFonts w:ascii="Times New Roman" w:hAnsi="Times New Roman" w:cs="Times New Roman"/>
          <w:sz w:val="24"/>
          <w:szCs w:val="24"/>
        </w:rPr>
        <w:t>.</w:t>
      </w:r>
      <w:r w:rsidR="0067129D" w:rsidRPr="00437FE3">
        <w:rPr>
          <w:rFonts w:ascii="Times New Roman" w:hAnsi="Times New Roman" w:cs="Times New Roman"/>
          <w:sz w:val="24"/>
          <w:szCs w:val="24"/>
        </w:rPr>
        <w:t xml:space="preserve"> </w:t>
      </w:r>
      <w:r w:rsidR="00271162" w:rsidRPr="00437FE3">
        <w:rPr>
          <w:rFonts w:ascii="Times New Roman" w:hAnsi="Times New Roman" w:cs="Times New Roman"/>
          <w:sz w:val="24"/>
          <w:szCs w:val="24"/>
        </w:rPr>
        <w:t xml:space="preserve"> </w:t>
      </w:r>
      <w:r w:rsidR="0067129D" w:rsidRPr="00437FE3">
        <w:rPr>
          <w:rFonts w:ascii="Times New Roman" w:hAnsi="Times New Roman" w:cs="Times New Roman"/>
          <w:sz w:val="24"/>
          <w:szCs w:val="24"/>
        </w:rPr>
        <w:t>More recently</w:t>
      </w:r>
      <w:r w:rsidR="000217D6">
        <w:rPr>
          <w:rFonts w:ascii="Times New Roman" w:hAnsi="Times New Roman" w:cs="Times New Roman"/>
          <w:sz w:val="24"/>
          <w:szCs w:val="24"/>
        </w:rPr>
        <w:t>,</w:t>
      </w:r>
      <w:r w:rsidR="0067129D" w:rsidRPr="00437FE3">
        <w:rPr>
          <w:rFonts w:ascii="Times New Roman" w:hAnsi="Times New Roman" w:cs="Times New Roman"/>
          <w:sz w:val="24"/>
          <w:szCs w:val="24"/>
        </w:rPr>
        <w:t xml:space="preserve"> </w:t>
      </w:r>
      <w:r w:rsidR="00DA0250">
        <w:rPr>
          <w:rStyle w:val="FootnoteReference"/>
          <w:rFonts w:ascii="Times New Roman" w:hAnsi="Times New Roman" w:cs="Times New Roman"/>
          <w:sz w:val="24"/>
          <w:szCs w:val="24"/>
        </w:rPr>
        <w:fldChar w:fldCharType="begin" w:fldLock="1"/>
      </w:r>
      <w:r w:rsidR="001E4568">
        <w:rPr>
          <w:rFonts w:ascii="Times New Roman" w:hAnsi="Times New Roman" w:cs="Times New Roman"/>
          <w:sz w:val="24"/>
          <w:szCs w:val="24"/>
        </w:rPr>
        <w:instrText>ADDIN CSL_CITATION {"citationItems":[{"id":"ITEM-1","itemData":{"abstract":"A five-factor model directed at capturing the size, value, profitability, and investment patterns in average stock returns performs better than the three-factor model of Fama and French (FF, 1993). The five-factor model׳s main problem is its failure to capture the low average returns on small stocks whose returns behave like those of firms that invest a lot despite low profitability. The model׳s performance is not sensitive to the way its factors are defined. With the addition of profitability and investment factors, the value factor of the FF three-factor model becomes redundant for describing average returns in the sample we examine.","author":[{"dropping-particle":"","family":"Fama","given":"Eugene F.","non-dropping-particle":"","parse-names":false,"suffix":""},{"dropping-particle":"","family":"French","given":"Kenneth R.","non-dropping-particle":"","parse-names":false,"suffix":""}],"container-title":"Journal of Financial Economics","id":"ITEM-1","issue":"1","issued":{"date-parts":[["2014","10"]]},"page":"1-22","title":"A five-factor asset pricing model","type":"article-journal","volume":"116"},"uris":["http://www.mendeley.com/documents/?uuid=208eefb6-1dae-438d-a729-113bf75dbe9e"]}],"mendeley":{"formattedCitation":"(Fama &amp; French, 2014)","manualFormatting":"Fama &amp; French (2014)","plainTextFormattedCitation":"(Fama &amp; French, 2014)","previouslyFormattedCitation":"(Fama &amp; French, 2014)"},"properties":{"noteIndex":0},"schema":"https://github.com/citation-style-language/schema/raw/master/csl-citation.json"}</w:instrText>
      </w:r>
      <w:r w:rsidR="00DA0250">
        <w:rPr>
          <w:rStyle w:val="FootnoteReference"/>
          <w:rFonts w:ascii="Times New Roman" w:hAnsi="Times New Roman" w:cs="Times New Roman"/>
          <w:sz w:val="24"/>
          <w:szCs w:val="24"/>
        </w:rPr>
        <w:fldChar w:fldCharType="separate"/>
      </w:r>
      <w:r w:rsidR="00DA0250">
        <w:rPr>
          <w:rFonts w:ascii="Times New Roman" w:hAnsi="Times New Roman" w:cs="Times New Roman"/>
          <w:noProof/>
          <w:sz w:val="24"/>
          <w:szCs w:val="24"/>
        </w:rPr>
        <w:t>Fama &amp; French (2014)</w:t>
      </w:r>
      <w:r w:rsidR="00DA0250">
        <w:rPr>
          <w:rStyle w:val="FootnoteReference"/>
          <w:rFonts w:ascii="Times New Roman" w:hAnsi="Times New Roman" w:cs="Times New Roman"/>
          <w:sz w:val="24"/>
          <w:szCs w:val="24"/>
        </w:rPr>
        <w:fldChar w:fldCharType="end"/>
      </w:r>
      <w:r w:rsidR="0067129D" w:rsidRPr="00437FE3">
        <w:rPr>
          <w:rFonts w:ascii="Times New Roman" w:hAnsi="Times New Roman" w:cs="Times New Roman"/>
          <w:sz w:val="24"/>
          <w:szCs w:val="24"/>
        </w:rPr>
        <w:t xml:space="preserve"> propose a five-factor model which </w:t>
      </w:r>
      <w:r>
        <w:rPr>
          <w:rFonts w:ascii="Times New Roman" w:hAnsi="Times New Roman" w:cs="Times New Roman"/>
          <w:sz w:val="24"/>
          <w:szCs w:val="24"/>
        </w:rPr>
        <w:t xml:space="preserve"> adds </w:t>
      </w:r>
      <w:r w:rsidR="0067129D" w:rsidRPr="00437FE3">
        <w:rPr>
          <w:rFonts w:ascii="Times New Roman" w:hAnsi="Times New Roman" w:cs="Times New Roman"/>
          <w:sz w:val="24"/>
          <w:szCs w:val="24"/>
        </w:rPr>
        <w:t>profitability and investment patterns</w:t>
      </w:r>
      <w:r>
        <w:rPr>
          <w:rFonts w:ascii="Times New Roman" w:hAnsi="Times New Roman" w:cs="Times New Roman"/>
          <w:sz w:val="24"/>
          <w:szCs w:val="24"/>
        </w:rPr>
        <w:t xml:space="preserve"> to the original</w:t>
      </w:r>
      <w:r w:rsidR="000D332F">
        <w:rPr>
          <w:rFonts w:ascii="Times New Roman" w:hAnsi="Times New Roman" w:cs="Times New Roman"/>
          <w:sz w:val="24"/>
          <w:szCs w:val="24"/>
        </w:rPr>
        <w:t xml:space="preserve"> three factors</w:t>
      </w:r>
      <w:r w:rsidR="0067129D" w:rsidRPr="00437FE3">
        <w:rPr>
          <w:rFonts w:ascii="Times New Roman" w:hAnsi="Times New Roman" w:cs="Times New Roman"/>
          <w:sz w:val="24"/>
          <w:szCs w:val="24"/>
        </w:rPr>
        <w:t>.</w:t>
      </w:r>
      <w:r>
        <w:rPr>
          <w:rFonts w:ascii="Times New Roman" w:hAnsi="Times New Roman" w:cs="Times New Roman"/>
          <w:sz w:val="24"/>
          <w:szCs w:val="24"/>
        </w:rPr>
        <w:t xml:space="preserve"> </w:t>
      </w:r>
      <w:r w:rsidR="0067129D" w:rsidRPr="00437FE3">
        <w:rPr>
          <w:rFonts w:ascii="Times New Roman" w:hAnsi="Times New Roman" w:cs="Times New Roman"/>
          <w:bCs/>
          <w:color w:val="000000" w:themeColor="text1"/>
          <w:sz w:val="24"/>
          <w:szCs w:val="24"/>
        </w:rPr>
        <w:t xml:space="preserve">We add a dummy factor for </w:t>
      </w:r>
      <w:r w:rsidR="005A6903" w:rsidRPr="00437FE3">
        <w:rPr>
          <w:rFonts w:ascii="Times New Roman" w:hAnsi="Times New Roman" w:cs="Times New Roman"/>
          <w:bCs/>
          <w:color w:val="000000" w:themeColor="text1"/>
          <w:sz w:val="24"/>
          <w:szCs w:val="24"/>
        </w:rPr>
        <w:t>months of negative returns in the Russell 3000</w:t>
      </w:r>
      <w:r w:rsidR="0067129D" w:rsidRPr="00437FE3">
        <w:rPr>
          <w:rFonts w:ascii="Times New Roman" w:hAnsi="Times New Roman" w:cs="Times New Roman"/>
          <w:bCs/>
          <w:color w:val="000000" w:themeColor="text1"/>
          <w:sz w:val="24"/>
          <w:szCs w:val="24"/>
        </w:rPr>
        <w:t xml:space="preserve"> to the </w:t>
      </w:r>
      <w:proofErr w:type="spellStart"/>
      <w:r w:rsidR="00155CE6" w:rsidRPr="00437FE3">
        <w:rPr>
          <w:rFonts w:ascii="Times New Roman" w:hAnsi="Times New Roman" w:cs="Times New Roman"/>
          <w:bCs/>
          <w:color w:val="000000" w:themeColor="text1"/>
          <w:sz w:val="24"/>
          <w:szCs w:val="24"/>
        </w:rPr>
        <w:t>Fama</w:t>
      </w:r>
      <w:proofErr w:type="spellEnd"/>
      <w:r w:rsidR="00155CE6" w:rsidRPr="00437FE3">
        <w:rPr>
          <w:rFonts w:ascii="Times New Roman" w:hAnsi="Times New Roman" w:cs="Times New Roman"/>
          <w:bCs/>
          <w:color w:val="000000" w:themeColor="text1"/>
          <w:sz w:val="24"/>
          <w:szCs w:val="24"/>
        </w:rPr>
        <w:t>-French three and five</w:t>
      </w:r>
      <w:r w:rsidR="0067129D" w:rsidRPr="00437FE3">
        <w:rPr>
          <w:rFonts w:ascii="Times New Roman" w:hAnsi="Times New Roman" w:cs="Times New Roman"/>
          <w:bCs/>
          <w:color w:val="000000" w:themeColor="text1"/>
          <w:sz w:val="24"/>
          <w:szCs w:val="24"/>
        </w:rPr>
        <w:t xml:space="preserve">-factor models and estimate these models for </w:t>
      </w:r>
      <w:r w:rsidR="0046061C" w:rsidRPr="00437FE3">
        <w:rPr>
          <w:rFonts w:ascii="Times New Roman" w:hAnsi="Times New Roman" w:cs="Times New Roman"/>
          <w:bCs/>
          <w:color w:val="000000" w:themeColor="text1"/>
          <w:sz w:val="24"/>
          <w:szCs w:val="24"/>
        </w:rPr>
        <w:t>portfolios</w:t>
      </w:r>
      <w:r w:rsidR="0067129D" w:rsidRPr="00437FE3">
        <w:rPr>
          <w:rFonts w:ascii="Times New Roman" w:hAnsi="Times New Roman" w:cs="Times New Roman"/>
          <w:bCs/>
          <w:color w:val="000000" w:themeColor="text1"/>
          <w:sz w:val="24"/>
          <w:szCs w:val="24"/>
        </w:rPr>
        <w:t xml:space="preserve"> of firms </w:t>
      </w:r>
      <w:r w:rsidR="0046061C" w:rsidRPr="00437FE3">
        <w:rPr>
          <w:rFonts w:ascii="Times New Roman" w:hAnsi="Times New Roman" w:cs="Times New Roman"/>
          <w:bCs/>
          <w:color w:val="000000" w:themeColor="text1"/>
          <w:sz w:val="24"/>
          <w:szCs w:val="24"/>
        </w:rPr>
        <w:t xml:space="preserve">with varying levels of internationalization.  </w:t>
      </w:r>
      <w:r w:rsidR="0067129D" w:rsidRPr="00437FE3">
        <w:rPr>
          <w:rFonts w:ascii="Times New Roman" w:hAnsi="Times New Roman" w:cs="Times New Roman"/>
          <w:bCs/>
          <w:color w:val="000000" w:themeColor="text1"/>
          <w:sz w:val="24"/>
          <w:szCs w:val="24"/>
        </w:rPr>
        <w:t xml:space="preserve">Following </w:t>
      </w:r>
      <w:r w:rsidR="00DA0250">
        <w:rPr>
          <w:rStyle w:val="FootnoteReference"/>
          <w:rFonts w:ascii="Times New Roman" w:hAnsi="Times New Roman" w:cs="Times New Roman"/>
          <w:bCs/>
          <w:color w:val="000000" w:themeColor="text1"/>
          <w:sz w:val="24"/>
          <w:szCs w:val="24"/>
        </w:rPr>
        <w:fldChar w:fldCharType="begin" w:fldLock="1"/>
      </w:r>
      <w:r w:rsidR="001E4568">
        <w:rPr>
          <w:rFonts w:ascii="Times New Roman" w:hAnsi="Times New Roman" w:cs="Times New Roman"/>
          <w:bCs/>
          <w:color w:val="000000" w:themeColor="text1"/>
          <w:sz w:val="24"/>
          <w:szCs w:val="24"/>
        </w:rPr>
        <w:instrText>ADDIN CSL_CITATION {"citationItems":[{"id":"ITEM-1","itemData":{"ISBN":"0929-1199","ISSN":"09291199","abstract":"We find dividends do matter to shareholders, but more in declining markets than advancing ones. Dividend-paying stocks outperform non-dividend-paying stocks by 1 to 2% more per month in declining markets than in advancing markets. These results are economically and statistically significant and robust to many risk adjustments and across industries. In addition, we find an asymmetric response to dividend changes based on market conditions: dividend increases matter more in declining markets than advancing ones. Tests indicate that results are not due to more profitable firms and appear not to be caused either by free cash flow or signaling explanations. We also find that it is the existence of dividends, and not the dividend yield, that drives returns' asymmetric behavior relative to market movements. ?? 2011 Elsevier B.V.","author":[{"dropping-particle":"","family":"Fuller","given":"Kathleen P.","non-dropping-particle":"","parse-names":false,"suffix":""},{"dropping-particle":"","family":"Goldstein","given":"Michael a.","non-dropping-particle":"","parse-names":false,"suffix":""}],"container-title":"Journal of Corporate Finance","id":"ITEM-1","issue":"3","issued":{"date-parts":[["2011"]]},"page":"457-473","title":"Do dividends matter more in declining markets?","type":"article-journal","volume":"17"},"uris":["http://www.mendeley.com/documents/?uuid=dbbe866e-260c-4cc1-981e-579a49308260"]}],"mendeley":{"formattedCitation":"(Fuller &amp; Goldstein, 2011)","manualFormatting":"Fuller &amp; Goldstein (2011)","plainTextFormattedCitation":"(Fuller &amp; Goldstein, 2011)","previouslyFormattedCitation":"(Fuller &amp; Goldstein, 2011)"},"properties":{"noteIndex":0},"schema":"https://github.com/citation-style-language/schema/raw/master/csl-citation.json"}</w:instrText>
      </w:r>
      <w:r w:rsidR="00DA0250">
        <w:rPr>
          <w:rStyle w:val="FootnoteReference"/>
          <w:rFonts w:ascii="Times New Roman" w:hAnsi="Times New Roman" w:cs="Times New Roman"/>
          <w:bCs/>
          <w:color w:val="000000" w:themeColor="text1"/>
          <w:sz w:val="24"/>
          <w:szCs w:val="24"/>
        </w:rPr>
        <w:fldChar w:fldCharType="separate"/>
      </w:r>
      <w:r w:rsidR="00DA0250">
        <w:rPr>
          <w:rFonts w:ascii="Times New Roman" w:hAnsi="Times New Roman" w:cs="Times New Roman"/>
          <w:bCs/>
          <w:noProof/>
          <w:color w:val="000000" w:themeColor="text1"/>
          <w:sz w:val="24"/>
          <w:szCs w:val="24"/>
        </w:rPr>
        <w:t>Fuller &amp; Goldstein (2011)</w:t>
      </w:r>
      <w:r w:rsidR="00DA0250">
        <w:rPr>
          <w:rStyle w:val="FootnoteReference"/>
          <w:rFonts w:ascii="Times New Roman" w:hAnsi="Times New Roman" w:cs="Times New Roman"/>
          <w:bCs/>
          <w:color w:val="000000" w:themeColor="text1"/>
          <w:sz w:val="24"/>
          <w:szCs w:val="24"/>
        </w:rPr>
        <w:fldChar w:fldCharType="end"/>
      </w:r>
      <w:r w:rsidR="0067129D" w:rsidRPr="00437FE3">
        <w:rPr>
          <w:rFonts w:ascii="Times New Roman" w:hAnsi="Times New Roman" w:cs="Times New Roman"/>
          <w:bCs/>
          <w:color w:val="000000" w:themeColor="text1"/>
          <w:sz w:val="24"/>
          <w:szCs w:val="24"/>
        </w:rPr>
        <w:t xml:space="preserve">, we estimate a modified version of the </w:t>
      </w:r>
      <w:r w:rsidR="00DA0250">
        <w:rPr>
          <w:rStyle w:val="FootnoteReference"/>
          <w:rFonts w:ascii="Times New Roman" w:hAnsi="Times New Roman" w:cs="Times New Roman"/>
          <w:bCs/>
          <w:color w:val="000000" w:themeColor="text1"/>
          <w:sz w:val="24"/>
          <w:szCs w:val="24"/>
        </w:rPr>
        <w:fldChar w:fldCharType="begin" w:fldLock="1"/>
      </w:r>
      <w:r w:rsidR="001E4568">
        <w:rPr>
          <w:rFonts w:ascii="Times New Roman" w:hAnsi="Times New Roman" w:cs="Times New Roman"/>
          <w:bCs/>
          <w:color w:val="000000" w:themeColor="text1"/>
          <w:sz w:val="24"/>
          <w:szCs w:val="24"/>
        </w:rPr>
        <w:instrText>ADDIN CSL_CITATION {"citationItems":[{"id":"ITEM-1","itemData":{"ISBN":"0304405X","ISSN":"0304405X","PMID":"295138","abstract":"This paper identifies five common risk factors in the returns on stocks and bonds. There are three stock-market factors: an overall market factor and factors related to firm size and book-to-market equity. There are two bond-market factors, related to maturity and default risks. Stock returns have shared variation due to the stock-market factors, and they are linked to bond returns through shared variation in the bond-market factors. Except for low-grade corporates, the bond-market factors capture the common variation in bond returns. Most important, the five factors seem to explain average returns on stocks and bonds. © 1993.","author":[{"dropping-particle":"","family":"Fama","given":"Eugene F.","non-dropping-particle":"","parse-names":false,"suffix":""},{"dropping-particle":"","family":"French","given":"Kenneth R.","non-dropping-particle":"","parse-names":false,"suffix":""}],"container-title":"Journal of Financial Economics","id":"ITEM-1","issue":"1","issued":{"date-parts":[["1993"]]},"page":"3-56","title":"Common risk factors in the returns on stocks and bonds","type":"article-journal","volume":"33"},"uris":["http://www.mendeley.com/documents/?uuid=2687913b-021a-4954-b567-5c4497a64065"]}],"mendeley":{"formattedCitation":"(Fama &amp; French, 1993)","manualFormatting":"Fama &amp; French (1993)","plainTextFormattedCitation":"(Fama &amp; French, 1993)","previouslyFormattedCitation":"(Fama &amp; French, 1993)"},"properties":{"noteIndex":0},"schema":"https://github.com/citation-style-language/schema/raw/master/csl-citation.json"}</w:instrText>
      </w:r>
      <w:r w:rsidR="00DA0250">
        <w:rPr>
          <w:rStyle w:val="FootnoteReference"/>
          <w:rFonts w:ascii="Times New Roman" w:hAnsi="Times New Roman" w:cs="Times New Roman"/>
          <w:bCs/>
          <w:color w:val="000000" w:themeColor="text1"/>
          <w:sz w:val="24"/>
          <w:szCs w:val="24"/>
        </w:rPr>
        <w:fldChar w:fldCharType="separate"/>
      </w:r>
      <w:r w:rsidR="00DA0250">
        <w:rPr>
          <w:rFonts w:ascii="Times New Roman" w:hAnsi="Times New Roman" w:cs="Times New Roman"/>
          <w:bCs/>
          <w:noProof/>
          <w:color w:val="000000" w:themeColor="text1"/>
          <w:sz w:val="24"/>
          <w:szCs w:val="24"/>
        </w:rPr>
        <w:t>Fama &amp; French (1993)</w:t>
      </w:r>
      <w:r w:rsidR="00DA0250">
        <w:rPr>
          <w:rStyle w:val="FootnoteReference"/>
          <w:rFonts w:ascii="Times New Roman" w:hAnsi="Times New Roman" w:cs="Times New Roman"/>
          <w:bCs/>
          <w:color w:val="000000" w:themeColor="text1"/>
          <w:sz w:val="24"/>
          <w:szCs w:val="24"/>
        </w:rPr>
        <w:fldChar w:fldCharType="end"/>
      </w:r>
      <w:r w:rsidR="0067129D" w:rsidRPr="00437FE3">
        <w:rPr>
          <w:rFonts w:ascii="Times New Roman" w:hAnsi="Times New Roman" w:cs="Times New Roman"/>
          <w:bCs/>
          <w:color w:val="000000" w:themeColor="text1"/>
          <w:sz w:val="24"/>
          <w:szCs w:val="24"/>
        </w:rPr>
        <w:t xml:space="preserve"> model as follows:</w:t>
      </w:r>
    </w:p>
    <w:p w14:paraId="200C6D0E" w14:textId="77777777" w:rsidR="0067129D" w:rsidRPr="00437FE3" w:rsidRDefault="0067129D" w:rsidP="00D9108B">
      <w:pPr>
        <w:spacing w:after="0" w:line="480" w:lineRule="auto"/>
        <w:jc w:val="both"/>
        <w:rPr>
          <w:rFonts w:ascii="Times New Roman" w:hAnsi="Times New Roman" w:cs="Times New Roman"/>
          <w:bCs/>
          <w:color w:val="000000" w:themeColor="text1"/>
          <w:sz w:val="24"/>
          <w:szCs w:val="24"/>
        </w:rPr>
      </w:pPr>
    </w:p>
    <w:p w14:paraId="17C077C6" w14:textId="487B6452" w:rsidR="0067129D" w:rsidRPr="00437FE3" w:rsidRDefault="0067129D" w:rsidP="00D9108B">
      <w:pPr>
        <w:spacing w:after="0" w:line="480" w:lineRule="auto"/>
        <w:jc w:val="both"/>
        <w:rPr>
          <w:rFonts w:ascii="Times New Roman" w:hAnsi="Times New Roman" w:cs="Times New Roman"/>
          <w:color w:val="000000" w:themeColor="text1"/>
          <w:sz w:val="24"/>
          <w:szCs w:val="24"/>
        </w:rPr>
      </w:pPr>
      <w:r w:rsidRPr="00437FE3">
        <w:rPr>
          <w:rFonts w:ascii="Times New Roman" w:hAnsi="Times New Roman" w:cs="Times New Roman"/>
          <w:position w:val="-14"/>
          <w:sz w:val="24"/>
          <w:szCs w:val="24"/>
        </w:rPr>
        <w:object w:dxaOrig="6880" w:dyaOrig="380" w14:anchorId="4314C1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75pt;height:21.75pt" o:ole="">
            <v:imagedata r:id="rId8" o:title=""/>
          </v:shape>
          <o:OLEObject Type="Embed" ProgID="Equation.3" ShapeID="_x0000_i1025" DrawAspect="Content" ObjectID="_1717240234" r:id="rId9"/>
        </w:object>
      </w:r>
      <w:r w:rsidRPr="00437FE3">
        <w:rPr>
          <w:rFonts w:ascii="Times New Roman" w:hAnsi="Times New Roman" w:cs="Times New Roman"/>
          <w:sz w:val="24"/>
          <w:szCs w:val="24"/>
        </w:rPr>
        <w:tab/>
      </w:r>
      <w:r w:rsidR="001138BB">
        <w:rPr>
          <w:rFonts w:ascii="Times New Roman" w:hAnsi="Times New Roman" w:cs="Times New Roman"/>
          <w:sz w:val="24"/>
          <w:szCs w:val="24"/>
        </w:rPr>
        <w:t xml:space="preserve">                            (1)</w:t>
      </w:r>
    </w:p>
    <w:p w14:paraId="4DBF978F" w14:textId="77777777" w:rsidR="0067129D" w:rsidRPr="00326D1D" w:rsidRDefault="0067129D" w:rsidP="00D9108B">
      <w:pPr>
        <w:spacing w:after="0" w:line="480" w:lineRule="auto"/>
        <w:jc w:val="both"/>
        <w:rPr>
          <w:rFonts w:ascii="Times New Roman" w:hAnsi="Times New Roman" w:cs="Times New Roman"/>
          <w:sz w:val="24"/>
          <w:szCs w:val="24"/>
        </w:rPr>
      </w:pPr>
    </w:p>
    <w:p w14:paraId="4A261E5E" w14:textId="050340E5" w:rsidR="0067129D" w:rsidRDefault="00513C68" w:rsidP="00D9108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w:t>
      </w:r>
      <w:r w:rsidR="0067129D" w:rsidRPr="00326D1D">
        <w:rPr>
          <w:rFonts w:ascii="Times New Roman" w:hAnsi="Times New Roman" w:cs="Times New Roman"/>
          <w:sz w:val="24"/>
          <w:szCs w:val="24"/>
        </w:rPr>
        <w:t xml:space="preserve">here </w:t>
      </w:r>
      <w:proofErr w:type="spellStart"/>
      <w:r w:rsidR="0067129D" w:rsidRPr="00326D1D">
        <w:rPr>
          <w:rFonts w:ascii="Times New Roman" w:hAnsi="Times New Roman" w:cs="Times New Roman"/>
          <w:i/>
          <w:iCs/>
          <w:sz w:val="24"/>
          <w:szCs w:val="24"/>
        </w:rPr>
        <w:t>Rit</w:t>
      </w:r>
      <w:proofErr w:type="spellEnd"/>
      <w:r w:rsidR="0067129D" w:rsidRPr="00326D1D">
        <w:rPr>
          <w:rFonts w:ascii="Times New Roman" w:hAnsi="Times New Roman" w:cs="Times New Roman"/>
          <w:i/>
          <w:iCs/>
          <w:sz w:val="24"/>
          <w:szCs w:val="24"/>
        </w:rPr>
        <w:t xml:space="preserve"> </w:t>
      </w:r>
      <w:r w:rsidR="0067129D" w:rsidRPr="00326D1D">
        <w:rPr>
          <w:rFonts w:ascii="Times New Roman" w:hAnsi="Times New Roman" w:cs="Times New Roman"/>
          <w:sz w:val="24"/>
          <w:szCs w:val="24"/>
        </w:rPr>
        <w:t>are the returns on portfolios</w:t>
      </w:r>
      <w:r w:rsidR="0067129D" w:rsidRPr="00326D1D">
        <w:rPr>
          <w:rFonts w:ascii="Times New Roman" w:hAnsi="Times New Roman" w:cs="Times New Roman"/>
          <w:i/>
          <w:iCs/>
          <w:sz w:val="24"/>
          <w:szCs w:val="24"/>
        </w:rPr>
        <w:t xml:space="preserve"> </w:t>
      </w:r>
      <w:r w:rsidR="0067129D" w:rsidRPr="00326D1D">
        <w:rPr>
          <w:rFonts w:ascii="Times New Roman" w:hAnsi="Times New Roman" w:cs="Times New Roman"/>
          <w:sz w:val="24"/>
          <w:szCs w:val="24"/>
        </w:rPr>
        <w:t xml:space="preserve">of firms with varying </w:t>
      </w:r>
      <w:r w:rsidR="00155CE6">
        <w:rPr>
          <w:rFonts w:ascii="Times New Roman" w:hAnsi="Times New Roman" w:cs="Times New Roman"/>
          <w:sz w:val="24"/>
          <w:szCs w:val="24"/>
        </w:rPr>
        <w:t xml:space="preserve">internationalization </w:t>
      </w:r>
      <w:r w:rsidR="0067129D" w:rsidRPr="00326D1D">
        <w:rPr>
          <w:rFonts w:ascii="Times New Roman" w:hAnsi="Times New Roman" w:cs="Times New Roman"/>
          <w:sz w:val="24"/>
          <w:szCs w:val="24"/>
        </w:rPr>
        <w:t xml:space="preserve">categories, </w:t>
      </w:r>
      <w:proofErr w:type="spellStart"/>
      <w:r w:rsidR="008173E9">
        <w:rPr>
          <w:rFonts w:ascii="Times New Roman" w:hAnsi="Times New Roman" w:cs="Times New Roman"/>
          <w:sz w:val="24"/>
          <w:szCs w:val="24"/>
        </w:rPr>
        <w:t>R</w:t>
      </w:r>
      <w:r w:rsidR="008173E9">
        <w:rPr>
          <w:rFonts w:ascii="Times New Roman" w:hAnsi="Times New Roman" w:cs="Times New Roman"/>
          <w:i/>
          <w:iCs/>
          <w:sz w:val="24"/>
          <w:szCs w:val="24"/>
          <w:vertAlign w:val="subscript"/>
        </w:rPr>
        <w:t>f,</w:t>
      </w:r>
      <w:r w:rsidR="0067129D" w:rsidRPr="00326D1D">
        <w:rPr>
          <w:rFonts w:ascii="Times New Roman" w:hAnsi="Times New Roman" w:cs="Times New Roman"/>
          <w:i/>
          <w:iCs/>
          <w:sz w:val="24"/>
          <w:szCs w:val="24"/>
          <w:vertAlign w:val="subscript"/>
        </w:rPr>
        <w:t>t</w:t>
      </w:r>
      <w:proofErr w:type="spellEnd"/>
      <w:r w:rsidR="0067129D" w:rsidRPr="00326D1D">
        <w:rPr>
          <w:rFonts w:ascii="Times New Roman" w:hAnsi="Times New Roman" w:cs="Times New Roman"/>
          <w:i/>
          <w:iCs/>
          <w:sz w:val="24"/>
          <w:szCs w:val="24"/>
        </w:rPr>
        <w:t xml:space="preserve"> </w:t>
      </w:r>
      <w:r w:rsidR="00155CE6">
        <w:rPr>
          <w:rFonts w:ascii="Times New Roman" w:hAnsi="Times New Roman" w:cs="Times New Roman"/>
          <w:sz w:val="24"/>
          <w:szCs w:val="24"/>
        </w:rPr>
        <w:t>is the risk free rate</w:t>
      </w:r>
      <w:r w:rsidR="0067129D" w:rsidRPr="00326D1D">
        <w:rPr>
          <w:rFonts w:ascii="Times New Roman" w:hAnsi="Times New Roman" w:cs="Times New Roman"/>
          <w:sz w:val="24"/>
          <w:szCs w:val="24"/>
        </w:rPr>
        <w:t>, RMRF is the excess return on a value-weighted aggregate market proxy, SMB</w:t>
      </w:r>
      <w:r w:rsidR="000217D6">
        <w:rPr>
          <w:rFonts w:ascii="Times New Roman" w:hAnsi="Times New Roman" w:cs="Times New Roman"/>
          <w:sz w:val="24"/>
          <w:szCs w:val="24"/>
        </w:rPr>
        <w:t xml:space="preserve"> (Small minus Big)</w:t>
      </w:r>
      <w:r w:rsidR="0067129D" w:rsidRPr="00326D1D">
        <w:rPr>
          <w:rFonts w:ascii="Times New Roman" w:hAnsi="Times New Roman" w:cs="Times New Roman"/>
          <w:sz w:val="24"/>
          <w:szCs w:val="24"/>
        </w:rPr>
        <w:t xml:space="preserve"> is the difference in the returns of a value weighted portfolio of small and large stocks, HML</w:t>
      </w:r>
      <w:r w:rsidR="001138BB">
        <w:rPr>
          <w:rFonts w:ascii="Times New Roman" w:hAnsi="Times New Roman" w:cs="Times New Roman"/>
          <w:sz w:val="24"/>
          <w:szCs w:val="24"/>
        </w:rPr>
        <w:t xml:space="preserve"> (H</w:t>
      </w:r>
      <w:r w:rsidR="000217D6">
        <w:rPr>
          <w:rFonts w:ascii="Times New Roman" w:hAnsi="Times New Roman" w:cs="Times New Roman"/>
          <w:sz w:val="24"/>
          <w:szCs w:val="24"/>
        </w:rPr>
        <w:t>igh minus Low)</w:t>
      </w:r>
      <w:r w:rsidR="0067129D" w:rsidRPr="00326D1D">
        <w:rPr>
          <w:rFonts w:ascii="Times New Roman" w:hAnsi="Times New Roman" w:cs="Times New Roman"/>
          <w:sz w:val="24"/>
          <w:szCs w:val="24"/>
        </w:rPr>
        <w:t xml:space="preserve"> is the difference in the returns of a value-weighted portfolio of high and low book-to-market stocks as in </w:t>
      </w:r>
      <w:proofErr w:type="spellStart"/>
      <w:r w:rsidR="0067129D" w:rsidRPr="00326D1D">
        <w:rPr>
          <w:rFonts w:ascii="Times New Roman" w:hAnsi="Times New Roman" w:cs="Times New Roman"/>
          <w:sz w:val="24"/>
          <w:szCs w:val="24"/>
        </w:rPr>
        <w:t>Fama</w:t>
      </w:r>
      <w:proofErr w:type="spellEnd"/>
      <w:r w:rsidR="0067129D" w:rsidRPr="00326D1D">
        <w:rPr>
          <w:rFonts w:ascii="Times New Roman" w:hAnsi="Times New Roman" w:cs="Times New Roman"/>
          <w:sz w:val="24"/>
          <w:szCs w:val="24"/>
        </w:rPr>
        <w:t xml:space="preserve"> and French (1993), and DOWN is a dummy variable which takes on the value one if the </w:t>
      </w:r>
      <w:r w:rsidR="005168DB">
        <w:rPr>
          <w:rFonts w:ascii="Times New Roman" w:hAnsi="Times New Roman" w:cs="Times New Roman"/>
          <w:sz w:val="24"/>
          <w:szCs w:val="24"/>
        </w:rPr>
        <w:t>Russell 3000 has a negative return in that month and zero if it has a positive return</w:t>
      </w:r>
      <w:r w:rsidR="0067129D" w:rsidRPr="00326D1D">
        <w:rPr>
          <w:rFonts w:ascii="Times New Roman" w:hAnsi="Times New Roman" w:cs="Times New Roman"/>
          <w:sz w:val="24"/>
          <w:szCs w:val="24"/>
        </w:rPr>
        <w:t xml:space="preserve">. </w:t>
      </w:r>
      <w:r w:rsidR="0067129D" w:rsidRPr="00326D1D">
        <w:rPr>
          <w:rFonts w:ascii="Times New Roman" w:hAnsi="Times New Roman" w:cs="Times New Roman"/>
          <w:color w:val="000000" w:themeColor="text1"/>
          <w:position w:val="-12"/>
          <w:sz w:val="24"/>
          <w:szCs w:val="24"/>
        </w:rPr>
        <w:object w:dxaOrig="240" w:dyaOrig="360" w14:anchorId="0E481CA3">
          <v:shape id="_x0000_i1026" type="#_x0000_t75" style="width:14.25pt;height:21.75pt" o:ole="">
            <v:imagedata r:id="rId10" o:title=""/>
          </v:shape>
          <o:OLEObject Type="Embed" ProgID="Equation.3" ShapeID="_x0000_i1026" DrawAspect="Content" ObjectID="_1717240235" r:id="rId11"/>
        </w:object>
      </w:r>
      <w:r w:rsidR="0067129D" w:rsidRPr="00326D1D">
        <w:rPr>
          <w:rFonts w:ascii="Times New Roman" w:hAnsi="Times New Roman" w:cs="Times New Roman"/>
          <w:color w:val="000000" w:themeColor="text1"/>
          <w:sz w:val="24"/>
          <w:szCs w:val="24"/>
        </w:rPr>
        <w:t xml:space="preserve"> is an error term assumed to be a normal random variable with </w:t>
      </w:r>
      <w:r w:rsidR="0067129D" w:rsidRPr="00326D1D">
        <w:rPr>
          <w:rFonts w:ascii="Times New Roman" w:hAnsi="Times New Roman" w:cs="Times New Roman"/>
          <w:color w:val="000000" w:themeColor="text1"/>
          <w:position w:val="-12"/>
          <w:sz w:val="24"/>
          <w:szCs w:val="24"/>
        </w:rPr>
        <w:object w:dxaOrig="940" w:dyaOrig="360" w14:anchorId="7F7F4A24">
          <v:shape id="_x0000_i1027" type="#_x0000_t75" style="width:50.25pt;height:21.75pt" o:ole="">
            <v:imagedata r:id="rId12" o:title=""/>
          </v:shape>
          <o:OLEObject Type="Embed" ProgID="Equation.3" ShapeID="_x0000_i1027" DrawAspect="Content" ObjectID="_1717240236" r:id="rId13"/>
        </w:object>
      </w:r>
      <w:r w:rsidR="0067129D" w:rsidRPr="00326D1D">
        <w:rPr>
          <w:rFonts w:ascii="Times New Roman" w:hAnsi="Times New Roman" w:cs="Times New Roman"/>
          <w:color w:val="000000" w:themeColor="text1"/>
          <w:sz w:val="24"/>
          <w:szCs w:val="24"/>
        </w:rPr>
        <w:t xml:space="preserve">. </w:t>
      </w:r>
      <w:r w:rsidR="0067129D">
        <w:rPr>
          <w:rFonts w:ascii="Times New Roman" w:hAnsi="Times New Roman" w:cs="Times New Roman"/>
          <w:sz w:val="24"/>
          <w:szCs w:val="24"/>
        </w:rPr>
        <w:t>W</w:t>
      </w:r>
      <w:r w:rsidR="0067129D" w:rsidRPr="00326D1D">
        <w:rPr>
          <w:rFonts w:ascii="Times New Roman" w:hAnsi="Times New Roman" w:cs="Times New Roman"/>
          <w:sz w:val="24"/>
          <w:szCs w:val="24"/>
        </w:rPr>
        <w:t xml:space="preserve">e </w:t>
      </w:r>
      <w:r w:rsidR="0067129D">
        <w:rPr>
          <w:rFonts w:ascii="Times New Roman" w:hAnsi="Times New Roman" w:cs="Times New Roman"/>
          <w:sz w:val="24"/>
          <w:szCs w:val="24"/>
        </w:rPr>
        <w:t xml:space="preserve">also </w:t>
      </w:r>
      <w:r w:rsidR="0067129D" w:rsidRPr="00326D1D">
        <w:rPr>
          <w:rFonts w:ascii="Times New Roman" w:hAnsi="Times New Roman" w:cs="Times New Roman"/>
          <w:sz w:val="24"/>
          <w:szCs w:val="24"/>
        </w:rPr>
        <w:t>estima</w:t>
      </w:r>
      <w:r w:rsidR="0067129D">
        <w:rPr>
          <w:rFonts w:ascii="Times New Roman" w:hAnsi="Times New Roman" w:cs="Times New Roman"/>
          <w:sz w:val="24"/>
          <w:szCs w:val="24"/>
        </w:rPr>
        <w:t xml:space="preserve">te a modified version of the </w:t>
      </w:r>
      <w:proofErr w:type="spellStart"/>
      <w:r w:rsidR="0067129D">
        <w:rPr>
          <w:rFonts w:ascii="Times New Roman" w:hAnsi="Times New Roman" w:cs="Times New Roman"/>
          <w:sz w:val="24"/>
          <w:szCs w:val="24"/>
        </w:rPr>
        <w:t>Fama</w:t>
      </w:r>
      <w:proofErr w:type="spellEnd"/>
      <w:r w:rsidR="0067129D">
        <w:rPr>
          <w:rFonts w:ascii="Times New Roman" w:hAnsi="Times New Roman" w:cs="Times New Roman"/>
          <w:sz w:val="24"/>
          <w:szCs w:val="24"/>
        </w:rPr>
        <w:t xml:space="preserve">-French </w:t>
      </w:r>
      <w:r>
        <w:rPr>
          <w:rFonts w:ascii="Times New Roman" w:hAnsi="Times New Roman" w:cs="Times New Roman"/>
          <w:sz w:val="24"/>
          <w:szCs w:val="24"/>
        </w:rPr>
        <w:t>five</w:t>
      </w:r>
      <w:r w:rsidR="0067129D">
        <w:rPr>
          <w:rFonts w:ascii="Times New Roman" w:hAnsi="Times New Roman" w:cs="Times New Roman"/>
          <w:sz w:val="24"/>
          <w:szCs w:val="24"/>
        </w:rPr>
        <w:t xml:space="preserve">-factor </w:t>
      </w:r>
      <w:r w:rsidR="0067129D" w:rsidRPr="00326D1D">
        <w:rPr>
          <w:rFonts w:ascii="Times New Roman" w:hAnsi="Times New Roman" w:cs="Times New Roman"/>
          <w:sz w:val="24"/>
          <w:szCs w:val="24"/>
        </w:rPr>
        <w:t>model as follows:</w:t>
      </w:r>
    </w:p>
    <w:p w14:paraId="3F5E5CF1" w14:textId="77777777" w:rsidR="00873E40" w:rsidRDefault="00873E40" w:rsidP="00D9108B">
      <w:pPr>
        <w:spacing w:after="0" w:line="480" w:lineRule="auto"/>
        <w:jc w:val="both"/>
        <w:rPr>
          <w:rFonts w:ascii="Times New Roman" w:hAnsi="Times New Roman" w:cs="Times New Roman"/>
          <w:sz w:val="24"/>
          <w:szCs w:val="24"/>
        </w:rPr>
      </w:pPr>
    </w:p>
    <w:p w14:paraId="31F097ED" w14:textId="68DD420B" w:rsidR="0067129D" w:rsidRDefault="0067129D" w:rsidP="00D9108B">
      <w:pPr>
        <w:spacing w:after="0" w:line="480" w:lineRule="auto"/>
        <w:jc w:val="both"/>
        <w:rPr>
          <w:rFonts w:ascii="Times New Roman" w:hAnsi="Times New Roman" w:cs="Times New Roman"/>
          <w:sz w:val="24"/>
          <w:szCs w:val="24"/>
        </w:rPr>
      </w:pPr>
      <w:r w:rsidRPr="00326D1D">
        <w:rPr>
          <w:rFonts w:ascii="Times New Roman" w:hAnsi="Times New Roman" w:cs="Times New Roman"/>
          <w:position w:val="-14"/>
          <w:sz w:val="24"/>
          <w:szCs w:val="24"/>
        </w:rPr>
        <w:object w:dxaOrig="9200" w:dyaOrig="380" w14:anchorId="514C385E">
          <v:shape id="_x0000_i1028" type="#_x0000_t75" style="width:463.5pt;height:21.75pt" o:ole="">
            <v:imagedata r:id="rId14" o:title=""/>
          </v:shape>
          <o:OLEObject Type="Embed" ProgID="Equation.3" ShapeID="_x0000_i1028" DrawAspect="Content" ObjectID="_1717240237" r:id="rId15"/>
        </w:object>
      </w:r>
      <w:r w:rsidR="00181353">
        <w:rPr>
          <w:rFonts w:ascii="Times New Roman" w:hAnsi="Times New Roman" w:cs="Times New Roman"/>
          <w:sz w:val="24"/>
          <w:szCs w:val="24"/>
        </w:rPr>
        <w:t xml:space="preserve"> (2)</w:t>
      </w:r>
    </w:p>
    <w:p w14:paraId="22205A67" w14:textId="77777777" w:rsidR="00873E40" w:rsidRDefault="00873E40" w:rsidP="00D9108B">
      <w:pPr>
        <w:autoSpaceDE w:val="0"/>
        <w:autoSpaceDN w:val="0"/>
        <w:adjustRightInd w:val="0"/>
        <w:spacing w:after="0" w:line="480" w:lineRule="auto"/>
        <w:jc w:val="both"/>
        <w:rPr>
          <w:rFonts w:ascii="Times New Roman" w:hAnsi="Times New Roman" w:cs="Times New Roman"/>
          <w:sz w:val="24"/>
          <w:szCs w:val="24"/>
        </w:rPr>
      </w:pPr>
    </w:p>
    <w:p w14:paraId="28A458D8" w14:textId="1EBDA16F" w:rsidR="0067129D" w:rsidRPr="0053709E" w:rsidRDefault="0067129D" w:rsidP="00634378">
      <w:pPr>
        <w:spacing w:after="0" w:line="480" w:lineRule="auto"/>
        <w:jc w:val="both"/>
        <w:rPr>
          <w:rFonts w:ascii="Times New Roman" w:hAnsi="Times New Roman" w:cs="Times New Roman"/>
          <w:color w:val="FF0000"/>
          <w:sz w:val="24"/>
          <w:szCs w:val="24"/>
        </w:rPr>
      </w:pPr>
      <w:r w:rsidRPr="00326D1D">
        <w:rPr>
          <w:rFonts w:ascii="Times New Roman" w:hAnsi="Times New Roman" w:cs="Times New Roman"/>
          <w:sz w:val="24"/>
          <w:szCs w:val="24"/>
        </w:rPr>
        <w:t>where RMW</w:t>
      </w:r>
      <w:r w:rsidR="000217D6">
        <w:rPr>
          <w:rFonts w:ascii="Times New Roman" w:hAnsi="Times New Roman" w:cs="Times New Roman"/>
          <w:sz w:val="24"/>
          <w:szCs w:val="24"/>
        </w:rPr>
        <w:t xml:space="preserve"> (Robust minus Weak)</w:t>
      </w:r>
      <w:r w:rsidRPr="00326D1D">
        <w:rPr>
          <w:rFonts w:ascii="Times New Roman" w:hAnsi="Times New Roman" w:cs="Times New Roman"/>
          <w:sz w:val="24"/>
          <w:szCs w:val="24"/>
        </w:rPr>
        <w:t xml:space="preserve"> is the difference between the returns on a portfolio of stocks with rob</w:t>
      </w:r>
      <w:r w:rsidR="008173E9">
        <w:rPr>
          <w:rFonts w:ascii="Times New Roman" w:hAnsi="Times New Roman" w:cs="Times New Roman"/>
          <w:sz w:val="24"/>
          <w:szCs w:val="24"/>
        </w:rPr>
        <w:t xml:space="preserve">ust and weak profitability, </w:t>
      </w:r>
      <w:r w:rsidRPr="00326D1D">
        <w:rPr>
          <w:rFonts w:ascii="Times New Roman" w:hAnsi="Times New Roman" w:cs="Times New Roman"/>
          <w:sz w:val="24"/>
          <w:szCs w:val="24"/>
        </w:rPr>
        <w:t>CMA</w:t>
      </w:r>
      <w:r w:rsidR="000217D6">
        <w:rPr>
          <w:rFonts w:ascii="Times New Roman" w:hAnsi="Times New Roman" w:cs="Times New Roman"/>
          <w:sz w:val="24"/>
          <w:szCs w:val="24"/>
        </w:rPr>
        <w:t xml:space="preserve"> </w:t>
      </w:r>
      <w:r w:rsidR="000217D6">
        <w:rPr>
          <w:rFonts w:ascii="Times New Roman" w:hAnsi="Times New Roman" w:cs="Times New Roman"/>
          <w:sz w:val="24"/>
          <w:szCs w:val="24"/>
          <w:lang w:val="en-GB"/>
        </w:rPr>
        <w:t>(Conservative Minus Aggressive)</w:t>
      </w:r>
      <w:r w:rsidRPr="00326D1D">
        <w:rPr>
          <w:rFonts w:ascii="Times New Roman" w:hAnsi="Times New Roman" w:cs="Times New Roman"/>
          <w:sz w:val="24"/>
          <w:szCs w:val="24"/>
        </w:rPr>
        <w:t xml:space="preserve"> is the difference between the returns on diversified portfolios of the stocks of low and high investment firms, </w:t>
      </w:r>
      <w:r w:rsidR="008173E9">
        <w:rPr>
          <w:rFonts w:ascii="Times New Roman" w:hAnsi="Times New Roman" w:cs="Times New Roman"/>
          <w:sz w:val="24"/>
          <w:szCs w:val="24"/>
        </w:rPr>
        <w:t xml:space="preserve">termed conservative minus aggressive and all other variables are as previously </w:t>
      </w:r>
      <w:r w:rsidR="008173E9" w:rsidRPr="000D332F">
        <w:rPr>
          <w:rFonts w:ascii="Times New Roman" w:hAnsi="Times New Roman" w:cs="Times New Roman"/>
          <w:sz w:val="24"/>
          <w:szCs w:val="24"/>
        </w:rPr>
        <w:t>defined.</w:t>
      </w:r>
      <w:r w:rsidR="00CF72C5" w:rsidRPr="000D332F">
        <w:rPr>
          <w:rFonts w:ascii="Times New Roman" w:hAnsi="Times New Roman" w:cs="Times New Roman"/>
          <w:sz w:val="24"/>
          <w:szCs w:val="24"/>
        </w:rPr>
        <w:t xml:space="preserve"> </w:t>
      </w:r>
      <w:r w:rsidR="00591670" w:rsidRPr="000D332F">
        <w:rPr>
          <w:rFonts w:ascii="Times New Roman" w:hAnsi="Times New Roman" w:cs="Times New Roman"/>
          <w:sz w:val="24"/>
          <w:szCs w:val="24"/>
        </w:rPr>
        <w:t xml:space="preserve">We test our hypothesis by comparing the coefficient on the DOWN dummy variable for domestic firms and MNCs. </w:t>
      </w:r>
      <w:r w:rsidR="00634378" w:rsidRPr="000D332F">
        <w:rPr>
          <w:rFonts w:ascii="Times New Roman" w:hAnsi="Times New Roman" w:cs="Times New Roman"/>
          <w:sz w:val="24"/>
          <w:szCs w:val="24"/>
        </w:rPr>
        <w:t xml:space="preserve">The coefficient on the DOWN dummy variable measures the reaction of firms when </w:t>
      </w:r>
      <w:r w:rsidR="0053709E" w:rsidRPr="000D332F">
        <w:rPr>
          <w:rFonts w:ascii="Times New Roman" w:hAnsi="Times New Roman" w:cs="Times New Roman"/>
          <w:sz w:val="24"/>
          <w:szCs w:val="24"/>
        </w:rPr>
        <w:t>the domestic market</w:t>
      </w:r>
      <w:r w:rsidR="00634378" w:rsidRPr="000D332F">
        <w:rPr>
          <w:rFonts w:ascii="Times New Roman" w:hAnsi="Times New Roman" w:cs="Times New Roman"/>
          <w:sz w:val="24"/>
          <w:szCs w:val="24"/>
        </w:rPr>
        <w:t xml:space="preserve"> decline</w:t>
      </w:r>
      <w:r w:rsidR="0053709E" w:rsidRPr="000D332F">
        <w:rPr>
          <w:rFonts w:ascii="Times New Roman" w:hAnsi="Times New Roman" w:cs="Times New Roman"/>
          <w:sz w:val="24"/>
          <w:szCs w:val="24"/>
        </w:rPr>
        <w:t>s</w:t>
      </w:r>
      <w:r w:rsidR="00634378" w:rsidRPr="000D332F">
        <w:rPr>
          <w:rFonts w:ascii="Times New Roman" w:hAnsi="Times New Roman" w:cs="Times New Roman"/>
          <w:sz w:val="24"/>
          <w:szCs w:val="24"/>
        </w:rPr>
        <w:t xml:space="preserve">. Therefore, we expect this coefficient to be significant and increasingly negative as firm level </w:t>
      </w:r>
      <w:proofErr w:type="spellStart"/>
      <w:r w:rsidR="00634378" w:rsidRPr="000D332F">
        <w:rPr>
          <w:rFonts w:ascii="Times New Roman" w:hAnsi="Times New Roman" w:cs="Times New Roman"/>
          <w:sz w:val="24"/>
          <w:szCs w:val="24"/>
        </w:rPr>
        <w:t>multinationality</w:t>
      </w:r>
      <w:proofErr w:type="spellEnd"/>
      <w:r w:rsidR="00634378" w:rsidRPr="000D332F">
        <w:rPr>
          <w:rFonts w:ascii="Times New Roman" w:hAnsi="Times New Roman" w:cs="Times New Roman"/>
          <w:sz w:val="24"/>
          <w:szCs w:val="24"/>
        </w:rPr>
        <w:t xml:space="preserve"> increases.</w:t>
      </w:r>
      <w:r w:rsidR="0053709E" w:rsidRPr="000D332F">
        <w:rPr>
          <w:rFonts w:ascii="Times New Roman" w:hAnsi="Times New Roman" w:cs="Times New Roman"/>
          <w:sz w:val="24"/>
          <w:szCs w:val="24"/>
        </w:rPr>
        <w:t xml:space="preserve"> </w:t>
      </w:r>
      <w:r w:rsidR="0053709E" w:rsidRPr="000D332F">
        <w:rPr>
          <w:rFonts w:ascii="Times New Roman" w:eastAsia="Times New Roman" w:hAnsi="Times New Roman" w:cs="Times New Roman"/>
          <w:sz w:val="24"/>
          <w:szCs w:val="24"/>
        </w:rPr>
        <w:t>That is, when US equity market returns are negative, investors sell domestic firms more than they sell</w:t>
      </w:r>
      <w:r w:rsidR="0053709E" w:rsidRPr="000D332F">
        <w:rPr>
          <w:rFonts w:ascii="Times New Roman" w:eastAsia="Times New Roman" w:hAnsi="Times New Roman" w:cs="Times New Roman"/>
          <w:i/>
          <w:sz w:val="24"/>
          <w:szCs w:val="24"/>
        </w:rPr>
        <w:t xml:space="preserve"> </w:t>
      </w:r>
      <w:r w:rsidR="0053709E" w:rsidRPr="000D332F">
        <w:rPr>
          <w:rFonts w:ascii="Times New Roman" w:eastAsia="Times New Roman" w:hAnsi="Times New Roman" w:cs="Times New Roman"/>
          <w:sz w:val="24"/>
          <w:szCs w:val="24"/>
        </w:rPr>
        <w:t xml:space="preserve">MNCs.  </w:t>
      </w:r>
      <w:r w:rsidR="00634378" w:rsidRPr="000D332F">
        <w:rPr>
          <w:rFonts w:ascii="Times New Roman" w:hAnsi="Times New Roman" w:cs="Times New Roman"/>
          <w:sz w:val="24"/>
          <w:szCs w:val="24"/>
        </w:rPr>
        <w:t xml:space="preserve"> </w:t>
      </w:r>
      <w:r w:rsidR="00873E40" w:rsidRPr="000D332F">
        <w:rPr>
          <w:rFonts w:ascii="Times New Roman" w:hAnsi="Times New Roman" w:cs="Times New Roman"/>
          <w:sz w:val="24"/>
          <w:szCs w:val="24"/>
        </w:rPr>
        <w:t xml:space="preserve">Data on </w:t>
      </w:r>
      <w:r w:rsidR="00873E40">
        <w:rPr>
          <w:rFonts w:ascii="Times New Roman" w:hAnsi="Times New Roman" w:cs="Times New Roman"/>
          <w:sz w:val="24"/>
          <w:szCs w:val="24"/>
        </w:rPr>
        <w:t xml:space="preserve">all factors are obtained </w:t>
      </w:r>
      <w:r w:rsidR="00873E40">
        <w:rPr>
          <w:rFonts w:ascii="Times New Roman" w:hAnsi="Times New Roman" w:cs="Times New Roman"/>
          <w:sz w:val="24"/>
          <w:szCs w:val="24"/>
          <w:lang w:val="en-GB"/>
        </w:rPr>
        <w:t>from the Kenneth French website</w:t>
      </w:r>
      <w:r w:rsidR="00873E40" w:rsidRPr="0080161D">
        <w:rPr>
          <w:rStyle w:val="FootnoteReference"/>
        </w:rPr>
        <w:footnoteReference w:id="4"/>
      </w:r>
      <w:r w:rsidR="00873E40">
        <w:rPr>
          <w:rFonts w:ascii="Times New Roman" w:hAnsi="Times New Roman" w:cs="Times New Roman"/>
          <w:sz w:val="24"/>
          <w:szCs w:val="24"/>
          <w:lang w:val="en-GB"/>
        </w:rPr>
        <w:t>.</w:t>
      </w:r>
    </w:p>
    <w:p w14:paraId="43F11688" w14:textId="7856FBDF" w:rsidR="008B1C29" w:rsidRPr="004C11E6" w:rsidRDefault="0082223F" w:rsidP="004C11E6">
      <w:pPr>
        <w:pStyle w:val="Heading1"/>
        <w:spacing w:line="480" w:lineRule="auto"/>
        <w:jc w:val="left"/>
        <w:rPr>
          <w:rFonts w:eastAsia="Times New Roman"/>
          <w:b/>
        </w:rPr>
      </w:pPr>
      <w:r>
        <w:rPr>
          <w:rFonts w:eastAsia="Times New Roman"/>
          <w:b/>
        </w:rPr>
        <w:t>4</w:t>
      </w:r>
      <w:r w:rsidR="007A2B02" w:rsidRPr="004C11E6">
        <w:rPr>
          <w:rFonts w:eastAsia="Times New Roman"/>
          <w:b/>
        </w:rPr>
        <w:t xml:space="preserve">. </w:t>
      </w:r>
      <w:r w:rsidR="008B1C29" w:rsidRPr="004C11E6">
        <w:rPr>
          <w:rFonts w:eastAsia="Times New Roman"/>
          <w:b/>
        </w:rPr>
        <w:t>Results</w:t>
      </w:r>
    </w:p>
    <w:p w14:paraId="26308384" w14:textId="0D7678D9" w:rsidR="008173E9" w:rsidRPr="004C11E6" w:rsidRDefault="0082223F" w:rsidP="00D9108B">
      <w:pPr>
        <w:pStyle w:val="Heading2"/>
        <w:spacing w:line="480" w:lineRule="auto"/>
        <w:rPr>
          <w:i/>
          <w:u w:val="none"/>
        </w:rPr>
      </w:pPr>
      <w:r>
        <w:rPr>
          <w:i/>
          <w:u w:val="none"/>
        </w:rPr>
        <w:t>4</w:t>
      </w:r>
      <w:r w:rsidR="00D42A90" w:rsidRPr="004C11E6">
        <w:rPr>
          <w:i/>
          <w:u w:val="none"/>
        </w:rPr>
        <w:t xml:space="preserve">.1 </w:t>
      </w:r>
      <w:r w:rsidR="00700CD4" w:rsidRPr="004C11E6">
        <w:rPr>
          <w:i/>
          <w:u w:val="none"/>
        </w:rPr>
        <w:t>Preliminary Analysis</w:t>
      </w:r>
    </w:p>
    <w:p w14:paraId="2E321F65" w14:textId="47D2317D" w:rsidR="00FD5383" w:rsidRDefault="009E5627" w:rsidP="00D9108B">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Table 1 lists the </w:t>
      </w:r>
      <w:r w:rsidR="004A3EF5">
        <w:rPr>
          <w:rFonts w:ascii="Times New Roman" w:eastAsia="Times New Roman" w:hAnsi="Times New Roman" w:cs="Times New Roman"/>
          <w:color w:val="000000"/>
          <w:sz w:val="24"/>
          <w:szCs w:val="24"/>
        </w:rPr>
        <w:t xml:space="preserve">number of firms categorized </w:t>
      </w:r>
      <w:r w:rsidR="00705D7B">
        <w:rPr>
          <w:rFonts w:ascii="Times New Roman" w:eastAsia="Times New Roman" w:hAnsi="Times New Roman" w:cs="Times New Roman"/>
          <w:color w:val="000000"/>
          <w:sz w:val="24"/>
          <w:szCs w:val="24"/>
        </w:rPr>
        <w:t>each year using our two</w:t>
      </w:r>
      <w:r w:rsidR="004A3EF5">
        <w:rPr>
          <w:rFonts w:ascii="Times New Roman" w:eastAsia="Times New Roman" w:hAnsi="Times New Roman" w:cs="Times New Roman"/>
          <w:color w:val="000000"/>
          <w:sz w:val="24"/>
          <w:szCs w:val="24"/>
        </w:rPr>
        <w:t xml:space="preserve"> measures of</w:t>
      </w:r>
      <w:r>
        <w:rPr>
          <w:rFonts w:ascii="Times New Roman" w:eastAsia="Times New Roman" w:hAnsi="Times New Roman" w:cs="Times New Roman"/>
          <w:color w:val="000000"/>
          <w:sz w:val="24"/>
          <w:szCs w:val="24"/>
        </w:rPr>
        <w:t xml:space="preserve"> internationalization</w:t>
      </w:r>
      <w:r w:rsidR="0090343E">
        <w:rPr>
          <w:rFonts w:ascii="Times New Roman" w:eastAsia="Times New Roman" w:hAnsi="Times New Roman" w:cs="Times New Roman"/>
          <w:color w:val="000000"/>
          <w:sz w:val="24"/>
          <w:szCs w:val="24"/>
        </w:rPr>
        <w:t>,</w:t>
      </w:r>
      <w:r w:rsidR="00705D7B">
        <w:rPr>
          <w:rFonts w:ascii="Times New Roman" w:eastAsia="Times New Roman" w:hAnsi="Times New Roman" w:cs="Times New Roman"/>
          <w:color w:val="000000"/>
          <w:sz w:val="24"/>
          <w:szCs w:val="24"/>
        </w:rPr>
        <w:t xml:space="preserve"> </w:t>
      </w:r>
      <w:r w:rsidR="00715DF6">
        <w:rPr>
          <w:rFonts w:ascii="Times New Roman" w:eastAsia="Times New Roman" w:hAnsi="Times New Roman" w:cs="Times New Roman"/>
          <w:color w:val="000000"/>
          <w:sz w:val="24"/>
          <w:szCs w:val="24"/>
        </w:rPr>
        <w:t>percentage foreign sales and the ABHK method</w:t>
      </w:r>
      <w:r w:rsidR="00705D7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715DF6">
        <w:rPr>
          <w:rFonts w:ascii="Times New Roman" w:eastAsia="Times New Roman" w:hAnsi="Times New Roman" w:cs="Times New Roman"/>
          <w:color w:val="000000"/>
          <w:sz w:val="24"/>
          <w:szCs w:val="24"/>
        </w:rPr>
        <w:t>We categorize firms in each year as having no foreign sales, up to 25 percent, between 25 and 50 percent and greater than 50 percent foreign sales.  Although these are arbitrary thresholds, they give us a sense of how the levels of firm internationalization are changing over time.  We also list</w:t>
      </w:r>
      <w:r w:rsidR="00715DF6" w:rsidRPr="00715DF6">
        <w:rPr>
          <w:rFonts w:ascii="Times New Roman" w:eastAsia="Times New Roman" w:hAnsi="Times New Roman" w:cs="Times New Roman"/>
          <w:color w:val="000000"/>
          <w:sz w:val="24"/>
          <w:szCs w:val="24"/>
        </w:rPr>
        <w:t xml:space="preserve"> </w:t>
      </w:r>
      <w:r w:rsidR="00715DF6">
        <w:rPr>
          <w:rFonts w:ascii="Times New Roman" w:eastAsia="Times New Roman" w:hAnsi="Times New Roman" w:cs="Times New Roman"/>
          <w:color w:val="000000"/>
          <w:sz w:val="24"/>
          <w:szCs w:val="24"/>
        </w:rPr>
        <w:t>the numb</w:t>
      </w:r>
      <w:r w:rsidR="007C6640">
        <w:rPr>
          <w:rFonts w:ascii="Times New Roman" w:eastAsia="Times New Roman" w:hAnsi="Times New Roman" w:cs="Times New Roman"/>
          <w:color w:val="000000"/>
          <w:sz w:val="24"/>
          <w:szCs w:val="24"/>
        </w:rPr>
        <w:t xml:space="preserve">er of firms in each </w:t>
      </w:r>
      <w:r w:rsidR="007C6640">
        <w:rPr>
          <w:rFonts w:ascii="Times New Roman" w:eastAsia="Times New Roman" w:hAnsi="Times New Roman" w:cs="Times New Roman"/>
          <w:color w:val="000000"/>
          <w:sz w:val="24"/>
          <w:szCs w:val="24"/>
        </w:rPr>
        <w:lastRenderedPageBreak/>
        <w:t>year with</w:t>
      </w:r>
      <w:r w:rsidR="00715DF6">
        <w:rPr>
          <w:rFonts w:ascii="Times New Roman" w:eastAsia="Times New Roman" w:hAnsi="Times New Roman" w:cs="Times New Roman"/>
          <w:color w:val="000000"/>
          <w:sz w:val="24"/>
          <w:szCs w:val="24"/>
        </w:rPr>
        <w:t xml:space="preserve"> ABHK score</w:t>
      </w:r>
      <w:r w:rsidR="007C6640">
        <w:rPr>
          <w:rFonts w:ascii="Times New Roman" w:eastAsia="Times New Roman" w:hAnsi="Times New Roman" w:cs="Times New Roman"/>
          <w:color w:val="000000"/>
          <w:sz w:val="24"/>
          <w:szCs w:val="24"/>
        </w:rPr>
        <w:t>s</w:t>
      </w:r>
      <w:r w:rsidR="00715DF6">
        <w:rPr>
          <w:rFonts w:ascii="Times New Roman" w:eastAsia="Times New Roman" w:hAnsi="Times New Roman" w:cs="Times New Roman"/>
          <w:color w:val="000000"/>
          <w:sz w:val="24"/>
          <w:szCs w:val="24"/>
        </w:rPr>
        <w:t xml:space="preserve"> from 0 to 6.  </w:t>
      </w:r>
      <w:r w:rsidR="00E210EE">
        <w:rPr>
          <w:rFonts w:ascii="Times New Roman" w:eastAsia="Times New Roman" w:hAnsi="Times New Roman" w:cs="Times New Roman"/>
          <w:color w:val="000000"/>
          <w:sz w:val="24"/>
          <w:szCs w:val="24"/>
        </w:rPr>
        <w:t xml:space="preserve">For </w:t>
      </w:r>
      <w:r w:rsidR="00715DF6">
        <w:rPr>
          <w:rFonts w:ascii="Times New Roman" w:eastAsia="Times New Roman" w:hAnsi="Times New Roman" w:cs="Times New Roman"/>
          <w:color w:val="000000"/>
          <w:sz w:val="24"/>
          <w:szCs w:val="24"/>
        </w:rPr>
        <w:t xml:space="preserve">percentage </w:t>
      </w:r>
      <w:r w:rsidR="00E210EE">
        <w:rPr>
          <w:rFonts w:ascii="Times New Roman" w:eastAsia="Times New Roman" w:hAnsi="Times New Roman" w:cs="Times New Roman"/>
          <w:color w:val="000000"/>
          <w:sz w:val="24"/>
          <w:szCs w:val="24"/>
        </w:rPr>
        <w:t xml:space="preserve">foreign sales, 202 firms or 5 percent of our </w:t>
      </w:r>
      <w:r w:rsidR="00715DF6">
        <w:rPr>
          <w:rFonts w:ascii="Times New Roman" w:eastAsia="Times New Roman" w:hAnsi="Times New Roman" w:cs="Times New Roman"/>
          <w:sz w:val="24"/>
          <w:szCs w:val="24"/>
        </w:rPr>
        <w:t xml:space="preserve">sample </w:t>
      </w:r>
      <w:r w:rsidR="00E210EE" w:rsidRPr="00E210EE">
        <w:rPr>
          <w:rFonts w:ascii="Times New Roman" w:eastAsia="Times New Roman" w:hAnsi="Times New Roman" w:cs="Times New Roman"/>
          <w:sz w:val="24"/>
          <w:szCs w:val="24"/>
        </w:rPr>
        <w:t xml:space="preserve">have </w:t>
      </w:r>
      <w:r w:rsidR="00715DF6">
        <w:rPr>
          <w:rFonts w:ascii="Times New Roman" w:eastAsia="Times New Roman" w:hAnsi="Times New Roman" w:cs="Times New Roman"/>
          <w:sz w:val="24"/>
          <w:szCs w:val="24"/>
        </w:rPr>
        <w:t>over</w:t>
      </w:r>
      <w:r w:rsidR="00E210EE" w:rsidRPr="00E210EE">
        <w:rPr>
          <w:rFonts w:ascii="Times New Roman" w:eastAsia="Times New Roman" w:hAnsi="Times New Roman" w:cs="Times New Roman"/>
          <w:sz w:val="24"/>
          <w:szCs w:val="24"/>
        </w:rPr>
        <w:t xml:space="preserve"> 50 percent foreign sales</w:t>
      </w:r>
      <w:r w:rsidR="00715DF6">
        <w:rPr>
          <w:rFonts w:ascii="Times New Roman" w:eastAsia="Times New Roman" w:hAnsi="Times New Roman" w:cs="Times New Roman"/>
          <w:sz w:val="24"/>
          <w:szCs w:val="24"/>
        </w:rPr>
        <w:t xml:space="preserve"> in 1995</w:t>
      </w:r>
      <w:r w:rsidR="00E210EE" w:rsidRPr="00E210EE">
        <w:rPr>
          <w:rFonts w:ascii="Times New Roman" w:eastAsia="Times New Roman" w:hAnsi="Times New Roman" w:cs="Times New Roman"/>
          <w:sz w:val="24"/>
          <w:szCs w:val="24"/>
        </w:rPr>
        <w:t xml:space="preserve">, </w:t>
      </w:r>
      <w:r w:rsidR="00E210EE">
        <w:rPr>
          <w:rFonts w:ascii="Times New Roman" w:eastAsia="Times New Roman" w:hAnsi="Times New Roman" w:cs="Times New Roman"/>
          <w:sz w:val="24"/>
          <w:szCs w:val="24"/>
        </w:rPr>
        <w:t>while by</w:t>
      </w:r>
      <w:r w:rsidR="00E210EE" w:rsidRPr="00E210EE">
        <w:rPr>
          <w:rFonts w:ascii="Times New Roman" w:eastAsia="Times New Roman" w:hAnsi="Times New Roman" w:cs="Times New Roman"/>
          <w:sz w:val="24"/>
          <w:szCs w:val="24"/>
        </w:rPr>
        <w:t xml:space="preserve"> 2014 25 percent of firms </w:t>
      </w:r>
      <w:r w:rsidR="00E210EE">
        <w:rPr>
          <w:rFonts w:ascii="Times New Roman" w:eastAsia="Times New Roman" w:hAnsi="Times New Roman" w:cs="Times New Roman"/>
          <w:sz w:val="24"/>
          <w:szCs w:val="24"/>
        </w:rPr>
        <w:t>are reporting at least</w:t>
      </w:r>
      <w:r w:rsidR="00E210EE" w:rsidRPr="00E210EE">
        <w:rPr>
          <w:rFonts w:ascii="Times New Roman" w:eastAsia="Times New Roman" w:hAnsi="Times New Roman" w:cs="Times New Roman"/>
          <w:sz w:val="24"/>
          <w:szCs w:val="24"/>
        </w:rPr>
        <w:t xml:space="preserve"> 50 percent of their sales overseas.  </w:t>
      </w:r>
      <w:r w:rsidR="00715DF6">
        <w:rPr>
          <w:rFonts w:ascii="Times New Roman" w:eastAsia="Times New Roman" w:hAnsi="Times New Roman" w:cs="Times New Roman"/>
          <w:sz w:val="24"/>
          <w:szCs w:val="24"/>
        </w:rPr>
        <w:t xml:space="preserve">For the highest ABHK score of 6, </w:t>
      </w:r>
      <w:r w:rsidR="00C051D9">
        <w:rPr>
          <w:rFonts w:ascii="Times New Roman" w:eastAsia="Times New Roman" w:hAnsi="Times New Roman" w:cs="Times New Roman"/>
          <w:sz w:val="24"/>
          <w:szCs w:val="24"/>
        </w:rPr>
        <w:t>the number rises from</w:t>
      </w:r>
      <w:r w:rsidR="00715DF6">
        <w:rPr>
          <w:rFonts w:ascii="Times New Roman" w:eastAsia="Times New Roman" w:hAnsi="Times New Roman" w:cs="Times New Roman"/>
          <w:sz w:val="24"/>
          <w:szCs w:val="24"/>
        </w:rPr>
        <w:t xml:space="preserve"> </w:t>
      </w:r>
      <w:r w:rsidR="00C051D9">
        <w:rPr>
          <w:rFonts w:ascii="Times New Roman" w:hAnsi="Times New Roman" w:cs="Times New Roman"/>
          <w:sz w:val="24"/>
          <w:szCs w:val="24"/>
        </w:rPr>
        <w:t>42</w:t>
      </w:r>
      <w:r w:rsidR="00715DF6">
        <w:rPr>
          <w:rFonts w:ascii="Times New Roman" w:hAnsi="Times New Roman" w:cs="Times New Roman"/>
          <w:sz w:val="24"/>
          <w:szCs w:val="24"/>
        </w:rPr>
        <w:t xml:space="preserve"> to 245</w:t>
      </w:r>
      <w:r w:rsidR="00C051D9">
        <w:rPr>
          <w:rFonts w:ascii="Times New Roman" w:hAnsi="Times New Roman" w:cs="Times New Roman"/>
          <w:sz w:val="24"/>
          <w:szCs w:val="24"/>
        </w:rPr>
        <w:t xml:space="preserve"> firms</w:t>
      </w:r>
      <w:r w:rsidR="00715DF6">
        <w:rPr>
          <w:rFonts w:ascii="Times New Roman" w:hAnsi="Times New Roman" w:cs="Times New Roman"/>
          <w:sz w:val="24"/>
          <w:szCs w:val="24"/>
        </w:rPr>
        <w:t>.  In 1995 70</w:t>
      </w:r>
      <w:r w:rsidR="00715DF6" w:rsidRPr="009540DF">
        <w:rPr>
          <w:rFonts w:ascii="Times New Roman" w:hAnsi="Times New Roman" w:cs="Times New Roman"/>
          <w:sz w:val="24"/>
          <w:szCs w:val="24"/>
        </w:rPr>
        <w:t xml:space="preserve"> percent of the firms in our samp</w:t>
      </w:r>
      <w:r w:rsidR="00715DF6">
        <w:rPr>
          <w:rFonts w:ascii="Times New Roman" w:hAnsi="Times New Roman" w:cs="Times New Roman"/>
          <w:sz w:val="24"/>
          <w:szCs w:val="24"/>
        </w:rPr>
        <w:t>le report no foreign sales</w:t>
      </w:r>
      <w:r w:rsidR="00715DF6" w:rsidRPr="009540DF">
        <w:rPr>
          <w:rFonts w:ascii="Times New Roman" w:hAnsi="Times New Roman" w:cs="Times New Roman"/>
          <w:sz w:val="24"/>
          <w:szCs w:val="24"/>
        </w:rPr>
        <w:t>,</w:t>
      </w:r>
      <w:r w:rsidR="00715DF6">
        <w:rPr>
          <w:rFonts w:ascii="Times New Roman" w:hAnsi="Times New Roman" w:cs="Times New Roman"/>
          <w:sz w:val="24"/>
          <w:szCs w:val="24"/>
        </w:rPr>
        <w:t xml:space="preserve"> by</w:t>
      </w:r>
      <w:r w:rsidR="00715DF6" w:rsidRPr="009540DF">
        <w:rPr>
          <w:rFonts w:ascii="Times New Roman" w:hAnsi="Times New Roman" w:cs="Times New Roman"/>
          <w:sz w:val="24"/>
          <w:szCs w:val="24"/>
        </w:rPr>
        <w:t xml:space="preserve"> 2014 </w:t>
      </w:r>
      <w:r w:rsidR="00C051D9">
        <w:rPr>
          <w:rFonts w:ascii="Times New Roman" w:hAnsi="Times New Roman" w:cs="Times New Roman"/>
          <w:sz w:val="24"/>
          <w:szCs w:val="24"/>
        </w:rPr>
        <w:t xml:space="preserve">just 35 percent report </w:t>
      </w:r>
      <w:r w:rsidR="00715DF6" w:rsidRPr="009540DF">
        <w:rPr>
          <w:rFonts w:ascii="Times New Roman" w:hAnsi="Times New Roman" w:cs="Times New Roman"/>
          <w:sz w:val="24"/>
          <w:szCs w:val="24"/>
        </w:rPr>
        <w:t>no foreign s</w:t>
      </w:r>
      <w:r w:rsidR="00C051D9">
        <w:rPr>
          <w:rFonts w:ascii="Times New Roman" w:hAnsi="Times New Roman" w:cs="Times New Roman"/>
          <w:sz w:val="24"/>
          <w:szCs w:val="24"/>
        </w:rPr>
        <w:t>ales</w:t>
      </w:r>
      <w:r w:rsidR="00715DF6" w:rsidRPr="009540DF">
        <w:rPr>
          <w:rFonts w:ascii="Times New Roman" w:hAnsi="Times New Roman" w:cs="Times New Roman"/>
          <w:sz w:val="24"/>
          <w:szCs w:val="24"/>
        </w:rPr>
        <w:t xml:space="preserve">.  </w:t>
      </w:r>
      <w:r w:rsidR="00E210EE" w:rsidRPr="00E210EE">
        <w:rPr>
          <w:rFonts w:ascii="Times New Roman" w:eastAsia="Times New Roman" w:hAnsi="Times New Roman" w:cs="Times New Roman"/>
          <w:sz w:val="24"/>
          <w:szCs w:val="24"/>
        </w:rPr>
        <w:t>As well as a dramatic increase in firm internationalization, w</w:t>
      </w:r>
      <w:r w:rsidR="00D31BCB" w:rsidRPr="00E210EE">
        <w:rPr>
          <w:rFonts w:ascii="Times New Roman" w:eastAsia="Times New Roman" w:hAnsi="Times New Roman" w:cs="Times New Roman"/>
          <w:sz w:val="24"/>
          <w:szCs w:val="24"/>
        </w:rPr>
        <w:t xml:space="preserve">hat is also evident is the decrease in the number of </w:t>
      </w:r>
      <w:r w:rsidR="00C051D9">
        <w:rPr>
          <w:rFonts w:ascii="Times New Roman" w:eastAsia="Times New Roman" w:hAnsi="Times New Roman" w:cs="Times New Roman"/>
          <w:sz w:val="24"/>
          <w:szCs w:val="24"/>
        </w:rPr>
        <w:t xml:space="preserve">listed </w:t>
      </w:r>
      <w:r w:rsidR="00D31BCB" w:rsidRPr="00E210EE">
        <w:rPr>
          <w:rFonts w:ascii="Times New Roman" w:eastAsia="Times New Roman" w:hAnsi="Times New Roman" w:cs="Times New Roman"/>
          <w:sz w:val="24"/>
          <w:szCs w:val="24"/>
        </w:rPr>
        <w:t xml:space="preserve">firms, </w:t>
      </w:r>
      <w:r w:rsidR="00E210EE" w:rsidRPr="00E210EE">
        <w:rPr>
          <w:rFonts w:ascii="Times New Roman" w:eastAsia="Times New Roman" w:hAnsi="Times New Roman" w:cs="Times New Roman"/>
          <w:sz w:val="24"/>
          <w:szCs w:val="24"/>
        </w:rPr>
        <w:t xml:space="preserve">due to </w:t>
      </w:r>
      <w:r w:rsidR="009B445C">
        <w:rPr>
          <w:rFonts w:ascii="Times New Roman" w:eastAsia="Times New Roman" w:hAnsi="Times New Roman" w:cs="Times New Roman"/>
          <w:sz w:val="24"/>
          <w:szCs w:val="24"/>
        </w:rPr>
        <w:t>high rates of</w:t>
      </w:r>
      <w:r w:rsidR="00E210EE" w:rsidRPr="00E210EE">
        <w:rPr>
          <w:rFonts w:ascii="Times New Roman" w:eastAsia="Times New Roman" w:hAnsi="Times New Roman" w:cs="Times New Roman"/>
          <w:sz w:val="24"/>
          <w:szCs w:val="24"/>
        </w:rPr>
        <w:t xml:space="preserve"> </w:t>
      </w:r>
      <w:r w:rsidR="009B445C">
        <w:rPr>
          <w:rFonts w:ascii="Times New Roman" w:eastAsia="Times New Roman" w:hAnsi="Times New Roman" w:cs="Times New Roman"/>
          <w:sz w:val="24"/>
          <w:szCs w:val="24"/>
        </w:rPr>
        <w:t xml:space="preserve">acquisition </w:t>
      </w:r>
      <w:r w:rsidR="00E210EE" w:rsidRPr="00E210EE">
        <w:rPr>
          <w:rFonts w:ascii="Times New Roman" w:eastAsia="Times New Roman" w:hAnsi="Times New Roman" w:cs="Times New Roman"/>
          <w:sz w:val="24"/>
          <w:szCs w:val="24"/>
        </w:rPr>
        <w:t>of public companies</w:t>
      </w:r>
      <w:r w:rsidR="007712CC">
        <w:rPr>
          <w:rFonts w:ascii="Times New Roman" w:eastAsia="Times New Roman" w:hAnsi="Times New Roman" w:cs="Times New Roman"/>
          <w:sz w:val="24"/>
          <w:szCs w:val="24"/>
        </w:rPr>
        <w:t xml:space="preserve"> </w:t>
      </w:r>
      <w:r w:rsidR="00DA0250">
        <w:rPr>
          <w:rStyle w:val="FootnoteReference"/>
          <w:rFonts w:ascii="Times New Roman" w:eastAsia="Times New Roman" w:hAnsi="Times New Roman" w:cs="Times New Roman"/>
          <w:sz w:val="24"/>
          <w:szCs w:val="24"/>
        </w:rPr>
        <w:fldChar w:fldCharType="begin" w:fldLock="1"/>
      </w:r>
      <w:r w:rsidR="001E4568">
        <w:rPr>
          <w:rFonts w:ascii="Times New Roman" w:eastAsia="Times New Roman" w:hAnsi="Times New Roman" w:cs="Times New Roman"/>
          <w:sz w:val="24"/>
          <w:szCs w:val="24"/>
        </w:rPr>
        <w:instrText>ADDIN CSL_CITATION {"citationItems":[{"id":"ITEM-1","itemData":{"DOI":"10.1016/j.jfineco.2016.12.002","ISSN":"0304405X","abstract":"Relative to other countries, the U.S. now has abnormally few listed firms. This “U.S. listing gap” is consistent with a decrease in the net benefit of a listing for U.S. firms. Since the listing peak in 1996, the propensity to be listed is lower for all firm size categories and industries, the new list rate is low, and the delist rate is high. The high delist rate accounts for 46% of the listing gap and the low new list rate for 54%. The high delist rate is explained by an unusually high rate of acquisitions of publicly listed firms.","author":[{"dropping-particle":"","family":"Doidge","given":"Craig","non-dropping-particle":"","parse-names":false,"suffix":""},{"dropping-particle":"","family":"Karolyi","given":"G. Andrew","non-dropping-particle":"","parse-names":false,"suffix":""},{"dropping-particle":"","family":"Stulz","given":"René M.","non-dropping-particle":"","parse-names":false,"suffix":""}],"container-title":"Journal of Financial Economics","id":"ITEM-1","issue":"3","issued":{"date-parts":[["2017"]]},"page":"464-487","title":"The U.S. listing gap","type":"article-journal","volume":"123"},"uris":["http://www.mendeley.com/documents/?uuid=a4d5ac66-94c2-48e7-9b4e-c05336183924"]}],"mendeley":{"formattedCitation":"(Doidge, Karolyi, &amp; Stulz, 2017)","plainTextFormattedCitation":"(Doidge, Karolyi, &amp; Stulz, 2017)","previouslyFormattedCitation":"(Doidge, Karolyi, &amp; Stulz, 2017)"},"properties":{"noteIndex":0},"schema":"https://github.com/citation-style-language/schema/raw/master/csl-citation.json"}</w:instrText>
      </w:r>
      <w:r w:rsidR="00DA0250">
        <w:rPr>
          <w:rStyle w:val="FootnoteReference"/>
          <w:rFonts w:ascii="Times New Roman" w:eastAsia="Times New Roman" w:hAnsi="Times New Roman" w:cs="Times New Roman"/>
          <w:sz w:val="24"/>
          <w:szCs w:val="24"/>
        </w:rPr>
        <w:fldChar w:fldCharType="separate"/>
      </w:r>
      <w:r w:rsidR="00DA0250" w:rsidRPr="00DA0250">
        <w:rPr>
          <w:rFonts w:ascii="Times New Roman" w:eastAsia="Times New Roman" w:hAnsi="Times New Roman" w:cs="Times New Roman"/>
          <w:noProof/>
          <w:sz w:val="24"/>
          <w:szCs w:val="24"/>
        </w:rPr>
        <w:t>(Doidge, Karolyi, &amp; Stulz, 2017)</w:t>
      </w:r>
      <w:r w:rsidR="00DA0250">
        <w:rPr>
          <w:rStyle w:val="FootnoteReference"/>
          <w:rFonts w:ascii="Times New Roman" w:eastAsia="Times New Roman" w:hAnsi="Times New Roman" w:cs="Times New Roman"/>
          <w:sz w:val="24"/>
          <w:szCs w:val="24"/>
        </w:rPr>
        <w:fldChar w:fldCharType="end"/>
      </w:r>
      <w:r w:rsidR="00D31BCB" w:rsidRPr="00E210EE">
        <w:rPr>
          <w:rFonts w:ascii="Times New Roman" w:eastAsia="Times New Roman" w:hAnsi="Times New Roman" w:cs="Times New Roman"/>
          <w:sz w:val="24"/>
          <w:szCs w:val="24"/>
        </w:rPr>
        <w:t>.</w:t>
      </w:r>
    </w:p>
    <w:p w14:paraId="06C520C8" w14:textId="60C32C02" w:rsidR="004518E8" w:rsidRDefault="004518E8" w:rsidP="00D9108B">
      <w:pPr>
        <w:spacing w:after="0" w:line="480" w:lineRule="auto"/>
        <w:jc w:val="both"/>
        <w:rPr>
          <w:rFonts w:ascii="Times New Roman" w:eastAsia="Times New Roman" w:hAnsi="Times New Roman" w:cs="Times New Roman"/>
          <w:sz w:val="24"/>
          <w:szCs w:val="24"/>
        </w:rPr>
      </w:pPr>
    </w:p>
    <w:p w14:paraId="3A7C300E" w14:textId="3788A452" w:rsidR="004518E8" w:rsidRPr="00715DF6" w:rsidRDefault="004518E8" w:rsidP="004518E8">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INSERT TABLE 1 HERE</w:t>
      </w:r>
    </w:p>
    <w:p w14:paraId="53EB2142" w14:textId="77777777" w:rsidR="00FD5383" w:rsidRDefault="00FD5383" w:rsidP="00D9108B">
      <w:pPr>
        <w:spacing w:after="0" w:line="480" w:lineRule="auto"/>
        <w:jc w:val="both"/>
        <w:rPr>
          <w:rFonts w:ascii="Times New Roman" w:eastAsia="Times New Roman" w:hAnsi="Times New Roman" w:cs="Times New Roman"/>
          <w:color w:val="000000"/>
          <w:sz w:val="24"/>
          <w:szCs w:val="24"/>
        </w:rPr>
      </w:pPr>
    </w:p>
    <w:p w14:paraId="7E67CA52" w14:textId="6EC73F49" w:rsidR="00444894" w:rsidRDefault="00444894" w:rsidP="00D9108B">
      <w:pPr>
        <w:spacing w:after="0" w:line="480" w:lineRule="auto"/>
        <w:jc w:val="both"/>
        <w:rPr>
          <w:rFonts w:ascii="Times New Roman" w:eastAsia="Times New Roman" w:hAnsi="Times New Roman" w:cs="Times New Roman"/>
          <w:color w:val="000000"/>
          <w:sz w:val="24"/>
          <w:szCs w:val="24"/>
        </w:rPr>
      </w:pPr>
      <w:r w:rsidRPr="00415811">
        <w:rPr>
          <w:rFonts w:ascii="Times New Roman" w:eastAsia="Times New Roman" w:hAnsi="Times New Roman" w:cs="Times New Roman"/>
          <w:color w:val="000000"/>
          <w:sz w:val="24"/>
          <w:szCs w:val="24"/>
        </w:rPr>
        <w:t>In Table 2 we list the average market capitalization, beta</w:t>
      </w:r>
      <w:r>
        <w:rPr>
          <w:rFonts w:ascii="Times New Roman" w:eastAsia="Times New Roman" w:hAnsi="Times New Roman" w:cs="Times New Roman"/>
          <w:color w:val="000000"/>
          <w:sz w:val="24"/>
          <w:szCs w:val="24"/>
        </w:rPr>
        <w:t>,</w:t>
      </w:r>
      <w:r w:rsidRPr="004A3EF5">
        <w:rPr>
          <w:rFonts w:ascii="Times New Roman" w:eastAsia="Times New Roman" w:hAnsi="Times New Roman" w:cs="Times New Roman"/>
          <w:color w:val="000000"/>
          <w:sz w:val="24"/>
          <w:szCs w:val="24"/>
        </w:rPr>
        <w:t xml:space="preserve"> </w:t>
      </w:r>
      <w:r w:rsidRPr="00415811">
        <w:rPr>
          <w:rFonts w:ascii="Times New Roman" w:eastAsia="Times New Roman" w:hAnsi="Times New Roman" w:cs="Times New Roman"/>
          <w:color w:val="000000"/>
          <w:sz w:val="24"/>
          <w:szCs w:val="24"/>
        </w:rPr>
        <w:t xml:space="preserve">market to book ratio, </w:t>
      </w:r>
      <w:r w:rsidR="006E633A">
        <w:rPr>
          <w:rFonts w:ascii="Times New Roman" w:eastAsia="Times New Roman" w:hAnsi="Times New Roman" w:cs="Times New Roman"/>
          <w:color w:val="000000"/>
          <w:sz w:val="24"/>
          <w:szCs w:val="24"/>
        </w:rPr>
        <w:t xml:space="preserve">investment, profitability, </w:t>
      </w:r>
      <w:r>
        <w:rPr>
          <w:rFonts w:ascii="Times New Roman" w:eastAsia="Times New Roman" w:hAnsi="Times New Roman" w:cs="Times New Roman"/>
          <w:color w:val="000000"/>
          <w:sz w:val="24"/>
          <w:szCs w:val="24"/>
        </w:rPr>
        <w:t>trading volume and dividend yield for firms by each category of internationalization.</w:t>
      </w:r>
      <w:r w:rsidR="00FD5383">
        <w:rPr>
          <w:rFonts w:ascii="Times New Roman" w:eastAsia="Times New Roman" w:hAnsi="Times New Roman" w:cs="Times New Roman"/>
          <w:color w:val="000000"/>
          <w:sz w:val="24"/>
          <w:szCs w:val="24"/>
        </w:rPr>
        <w:t xml:space="preserve">  </w:t>
      </w:r>
      <w:r w:rsidR="00FD5383">
        <w:rPr>
          <w:rFonts w:ascii="Times New Roman" w:hAnsi="Times New Roman" w:cs="Times New Roman"/>
          <w:sz w:val="24"/>
          <w:szCs w:val="24"/>
        </w:rPr>
        <w:t>The average firm size, measured as</w:t>
      </w:r>
      <w:r w:rsidRPr="009540DF">
        <w:rPr>
          <w:rFonts w:ascii="Times New Roman" w:hAnsi="Times New Roman" w:cs="Times New Roman"/>
          <w:sz w:val="24"/>
          <w:szCs w:val="24"/>
        </w:rPr>
        <w:t xml:space="preserve"> </w:t>
      </w:r>
      <w:r w:rsidR="00FD5383">
        <w:rPr>
          <w:rFonts w:ascii="Times New Roman" w:hAnsi="Times New Roman" w:cs="Times New Roman"/>
          <w:sz w:val="24"/>
          <w:szCs w:val="24"/>
        </w:rPr>
        <w:t xml:space="preserve">the </w:t>
      </w:r>
      <w:r>
        <w:rPr>
          <w:rFonts w:ascii="Times New Roman" w:hAnsi="Times New Roman" w:cs="Times New Roman"/>
          <w:sz w:val="24"/>
          <w:szCs w:val="24"/>
        </w:rPr>
        <w:t xml:space="preserve">market </w:t>
      </w:r>
      <w:r w:rsidR="00FD5383">
        <w:rPr>
          <w:rFonts w:ascii="Times New Roman" w:hAnsi="Times New Roman" w:cs="Times New Roman"/>
          <w:sz w:val="24"/>
          <w:szCs w:val="24"/>
        </w:rPr>
        <w:t>capitalization,</w:t>
      </w:r>
      <w:r w:rsidRPr="009540DF">
        <w:rPr>
          <w:rFonts w:ascii="Times New Roman" w:hAnsi="Times New Roman" w:cs="Times New Roman"/>
          <w:sz w:val="24"/>
          <w:szCs w:val="24"/>
        </w:rPr>
        <w:t xml:space="preserve"> of domestic firms is </w:t>
      </w:r>
      <w:r w:rsidR="00705D7B">
        <w:rPr>
          <w:rFonts w:ascii="Times New Roman" w:hAnsi="Times New Roman" w:cs="Times New Roman"/>
          <w:sz w:val="24"/>
          <w:szCs w:val="24"/>
        </w:rPr>
        <w:t xml:space="preserve">considerably </w:t>
      </w:r>
      <w:r w:rsidRPr="009540DF">
        <w:rPr>
          <w:rFonts w:ascii="Times New Roman" w:hAnsi="Times New Roman" w:cs="Times New Roman"/>
          <w:sz w:val="24"/>
          <w:szCs w:val="24"/>
        </w:rPr>
        <w:t xml:space="preserve">smaller than that of </w:t>
      </w:r>
      <w:r w:rsidR="006E633A">
        <w:rPr>
          <w:rFonts w:ascii="Times New Roman" w:hAnsi="Times New Roman" w:cs="Times New Roman"/>
          <w:sz w:val="24"/>
          <w:szCs w:val="24"/>
        </w:rPr>
        <w:t xml:space="preserve">MNCs </w:t>
      </w:r>
      <w:r w:rsidRPr="009540DF">
        <w:rPr>
          <w:rFonts w:ascii="Times New Roman" w:hAnsi="Times New Roman" w:cs="Times New Roman"/>
          <w:sz w:val="24"/>
          <w:szCs w:val="24"/>
        </w:rPr>
        <w:t>and</w:t>
      </w:r>
      <w:r w:rsidR="00FD5383">
        <w:rPr>
          <w:rFonts w:ascii="Times New Roman" w:hAnsi="Times New Roman" w:cs="Times New Roman"/>
          <w:sz w:val="24"/>
          <w:szCs w:val="24"/>
        </w:rPr>
        <w:t xml:space="preserve"> firm</w:t>
      </w:r>
      <w:r w:rsidRPr="009540DF">
        <w:rPr>
          <w:rFonts w:ascii="Times New Roman" w:hAnsi="Times New Roman" w:cs="Times New Roman"/>
          <w:sz w:val="24"/>
          <w:szCs w:val="24"/>
        </w:rPr>
        <w:t xml:space="preserve"> size rises almost linearly with </w:t>
      </w:r>
      <w:r w:rsidR="00FD5383">
        <w:rPr>
          <w:rFonts w:ascii="Times New Roman" w:hAnsi="Times New Roman" w:cs="Times New Roman"/>
          <w:sz w:val="24"/>
          <w:szCs w:val="24"/>
        </w:rPr>
        <w:t xml:space="preserve">increasing </w:t>
      </w:r>
      <w:r w:rsidR="008173E9">
        <w:rPr>
          <w:rFonts w:ascii="Times New Roman" w:hAnsi="Times New Roman" w:cs="Times New Roman"/>
          <w:sz w:val="24"/>
          <w:szCs w:val="24"/>
        </w:rPr>
        <w:t>internationalization.</w:t>
      </w:r>
      <w:r w:rsidRPr="009540DF">
        <w:rPr>
          <w:rFonts w:ascii="Times New Roman" w:hAnsi="Times New Roman" w:cs="Times New Roman"/>
          <w:sz w:val="24"/>
          <w:szCs w:val="24"/>
        </w:rPr>
        <w:t xml:space="preserve"> </w:t>
      </w:r>
      <w:r w:rsidRPr="00FD5383">
        <w:rPr>
          <w:rFonts w:ascii="Times New Roman" w:hAnsi="Times New Roman" w:cs="Times New Roman"/>
          <w:sz w:val="24"/>
          <w:szCs w:val="24"/>
        </w:rPr>
        <w:t>The average beta of domestic firms is lowe</w:t>
      </w:r>
      <w:r w:rsidR="00FD5383">
        <w:rPr>
          <w:rFonts w:ascii="Times New Roman" w:hAnsi="Times New Roman" w:cs="Times New Roman"/>
          <w:sz w:val="24"/>
          <w:szCs w:val="24"/>
        </w:rPr>
        <w:t>r than</w:t>
      </w:r>
      <w:r w:rsidR="006E633A">
        <w:rPr>
          <w:rFonts w:ascii="Times New Roman" w:hAnsi="Times New Roman" w:cs="Times New Roman"/>
          <w:sz w:val="24"/>
          <w:szCs w:val="24"/>
        </w:rPr>
        <w:t xml:space="preserve"> MNCs</w:t>
      </w:r>
      <w:r w:rsidR="00FD5383">
        <w:rPr>
          <w:rFonts w:ascii="Times New Roman" w:hAnsi="Times New Roman" w:cs="Times New Roman"/>
          <w:sz w:val="24"/>
          <w:szCs w:val="24"/>
        </w:rPr>
        <w:t xml:space="preserve">.  This too increases with the level of internationalization, but not for firms with an ABHK score of 5 or 6, their beta is slightly lower than for ABHK 4 firms.  </w:t>
      </w:r>
      <w:r w:rsidRPr="009540DF">
        <w:rPr>
          <w:rFonts w:ascii="Times New Roman" w:hAnsi="Times New Roman" w:cs="Times New Roman"/>
          <w:sz w:val="24"/>
          <w:szCs w:val="24"/>
        </w:rPr>
        <w:t xml:space="preserve">The market to book ratio for </w:t>
      </w:r>
      <w:r w:rsidR="006E633A">
        <w:rPr>
          <w:rFonts w:ascii="Times New Roman" w:hAnsi="Times New Roman" w:cs="Times New Roman"/>
          <w:sz w:val="24"/>
          <w:szCs w:val="24"/>
        </w:rPr>
        <w:t xml:space="preserve">MNCs </w:t>
      </w:r>
      <w:r w:rsidRPr="009540DF">
        <w:rPr>
          <w:rFonts w:ascii="Times New Roman" w:hAnsi="Times New Roman" w:cs="Times New Roman"/>
          <w:sz w:val="24"/>
          <w:szCs w:val="24"/>
        </w:rPr>
        <w:t xml:space="preserve">is higher than that of </w:t>
      </w:r>
      <w:r>
        <w:rPr>
          <w:rFonts w:ascii="Times New Roman" w:hAnsi="Times New Roman" w:cs="Times New Roman"/>
          <w:sz w:val="24"/>
          <w:szCs w:val="24"/>
        </w:rPr>
        <w:t>domestic</w:t>
      </w:r>
      <w:r w:rsidRPr="009540DF">
        <w:rPr>
          <w:rFonts w:ascii="Times New Roman" w:hAnsi="Times New Roman" w:cs="Times New Roman"/>
          <w:sz w:val="24"/>
          <w:szCs w:val="24"/>
        </w:rPr>
        <w:t xml:space="preserve"> firms</w:t>
      </w:r>
      <w:r w:rsidR="00FD5383">
        <w:rPr>
          <w:rFonts w:ascii="Times New Roman" w:hAnsi="Times New Roman" w:cs="Times New Roman"/>
          <w:sz w:val="24"/>
          <w:szCs w:val="24"/>
        </w:rPr>
        <w:t xml:space="preserve">, and increases </w:t>
      </w:r>
      <w:r w:rsidRPr="009540DF">
        <w:rPr>
          <w:rFonts w:ascii="Times New Roman" w:hAnsi="Times New Roman" w:cs="Times New Roman"/>
          <w:sz w:val="24"/>
          <w:szCs w:val="24"/>
        </w:rPr>
        <w:t>consistently with internationalization.</w:t>
      </w:r>
      <w:r w:rsidR="00FD5383">
        <w:rPr>
          <w:rFonts w:ascii="Times New Roman" w:hAnsi="Times New Roman" w:cs="Times New Roman"/>
          <w:sz w:val="24"/>
          <w:szCs w:val="24"/>
        </w:rPr>
        <w:t xml:space="preserve"> </w:t>
      </w:r>
      <w:r>
        <w:rPr>
          <w:rFonts w:ascii="Times New Roman" w:hAnsi="Times New Roman" w:cs="Times New Roman"/>
          <w:sz w:val="24"/>
          <w:szCs w:val="24"/>
        </w:rPr>
        <w:t>I</w:t>
      </w:r>
      <w:r w:rsidRPr="009540DF">
        <w:rPr>
          <w:rFonts w:ascii="Times New Roman" w:hAnsi="Times New Roman" w:cs="Times New Roman"/>
          <w:sz w:val="24"/>
          <w:szCs w:val="24"/>
        </w:rPr>
        <w:t>nvestment</w:t>
      </w:r>
      <w:r w:rsidR="00946BD0">
        <w:rPr>
          <w:rFonts w:ascii="Times New Roman" w:hAnsi="Times New Roman" w:cs="Times New Roman"/>
          <w:sz w:val="24"/>
          <w:szCs w:val="24"/>
        </w:rPr>
        <w:t xml:space="preserve"> growth</w:t>
      </w:r>
      <w:r w:rsidR="005B1B63">
        <w:rPr>
          <w:rFonts w:ascii="Times New Roman" w:hAnsi="Times New Roman" w:cs="Times New Roman"/>
          <w:sz w:val="24"/>
          <w:szCs w:val="24"/>
        </w:rPr>
        <w:t>, surprisingly,</w:t>
      </w:r>
      <w:r w:rsidRPr="009540DF">
        <w:rPr>
          <w:rFonts w:ascii="Times New Roman" w:hAnsi="Times New Roman" w:cs="Times New Roman"/>
          <w:sz w:val="24"/>
          <w:szCs w:val="24"/>
        </w:rPr>
        <w:t xml:space="preserve"> </w:t>
      </w:r>
      <w:r w:rsidR="00FD5383">
        <w:rPr>
          <w:rFonts w:ascii="Times New Roman" w:hAnsi="Times New Roman" w:cs="Times New Roman"/>
          <w:sz w:val="24"/>
          <w:szCs w:val="24"/>
        </w:rPr>
        <w:t xml:space="preserve">is smaller for </w:t>
      </w:r>
      <w:r w:rsidR="00072800">
        <w:rPr>
          <w:rFonts w:ascii="Times New Roman" w:hAnsi="Times New Roman" w:cs="Times New Roman"/>
          <w:sz w:val="24"/>
          <w:szCs w:val="24"/>
        </w:rPr>
        <w:t xml:space="preserve">MNCs </w:t>
      </w:r>
      <w:r w:rsidR="00FD5383">
        <w:rPr>
          <w:rFonts w:ascii="Times New Roman" w:hAnsi="Times New Roman" w:cs="Times New Roman"/>
          <w:sz w:val="24"/>
          <w:szCs w:val="24"/>
        </w:rPr>
        <w:t xml:space="preserve">than </w:t>
      </w:r>
      <w:r w:rsidRPr="009540DF">
        <w:rPr>
          <w:rFonts w:ascii="Times New Roman" w:hAnsi="Times New Roman" w:cs="Times New Roman"/>
          <w:sz w:val="24"/>
          <w:szCs w:val="24"/>
        </w:rPr>
        <w:t>for domestic firms.</w:t>
      </w:r>
      <w:r>
        <w:rPr>
          <w:rFonts w:ascii="Times New Roman" w:hAnsi="Times New Roman" w:cs="Times New Roman"/>
          <w:sz w:val="24"/>
          <w:szCs w:val="24"/>
        </w:rPr>
        <w:t xml:space="preserve">  </w:t>
      </w:r>
      <w:r w:rsidRPr="00FD5383">
        <w:rPr>
          <w:rFonts w:ascii="Times New Roman" w:hAnsi="Times New Roman" w:cs="Times New Roman"/>
          <w:sz w:val="24"/>
          <w:szCs w:val="24"/>
        </w:rPr>
        <w:t>The</w:t>
      </w:r>
      <w:r w:rsidR="001E5D1D">
        <w:rPr>
          <w:rFonts w:ascii="Times New Roman" w:hAnsi="Times New Roman" w:cs="Times New Roman"/>
          <w:sz w:val="24"/>
          <w:szCs w:val="24"/>
        </w:rPr>
        <w:t>re does not appear to be a consistent pattern between</w:t>
      </w:r>
      <w:r w:rsidRPr="00FD5383">
        <w:rPr>
          <w:rFonts w:ascii="Times New Roman" w:hAnsi="Times New Roman" w:cs="Times New Roman"/>
          <w:sz w:val="24"/>
          <w:szCs w:val="24"/>
        </w:rPr>
        <w:t xml:space="preserve"> </w:t>
      </w:r>
      <w:r w:rsidR="00C912DF">
        <w:rPr>
          <w:rFonts w:ascii="Times New Roman" w:hAnsi="Times New Roman" w:cs="Times New Roman"/>
          <w:sz w:val="24"/>
          <w:szCs w:val="24"/>
        </w:rPr>
        <w:t xml:space="preserve">operating </w:t>
      </w:r>
      <w:r w:rsidRPr="00FD5383">
        <w:rPr>
          <w:rFonts w:ascii="Times New Roman" w:hAnsi="Times New Roman" w:cs="Times New Roman"/>
          <w:sz w:val="24"/>
          <w:szCs w:val="24"/>
        </w:rPr>
        <w:t xml:space="preserve">profitability </w:t>
      </w:r>
      <w:r w:rsidR="001E5D1D">
        <w:rPr>
          <w:rFonts w:ascii="Times New Roman" w:hAnsi="Times New Roman" w:cs="Times New Roman"/>
          <w:sz w:val="24"/>
          <w:szCs w:val="24"/>
        </w:rPr>
        <w:t>and internationalization, but</w:t>
      </w:r>
      <w:r w:rsidRPr="00FD5383">
        <w:rPr>
          <w:rFonts w:ascii="Times New Roman" w:hAnsi="Times New Roman" w:cs="Times New Roman"/>
          <w:sz w:val="24"/>
          <w:szCs w:val="24"/>
        </w:rPr>
        <w:t xml:space="preserve"> ABHK 6 firms have a substantially higher avera</w:t>
      </w:r>
      <w:r w:rsidR="001E5D1D">
        <w:rPr>
          <w:rFonts w:ascii="Times New Roman" w:hAnsi="Times New Roman" w:cs="Times New Roman"/>
          <w:sz w:val="24"/>
          <w:szCs w:val="24"/>
        </w:rPr>
        <w:t>ge profitability.  This is consistent</w:t>
      </w:r>
      <w:r w:rsidRPr="00FD5383">
        <w:rPr>
          <w:rFonts w:ascii="Times New Roman" w:hAnsi="Times New Roman" w:cs="Times New Roman"/>
          <w:sz w:val="24"/>
          <w:szCs w:val="24"/>
        </w:rPr>
        <w:t xml:space="preserve"> with many previous studies finding mixed results between internationalization and performance</w:t>
      </w:r>
      <w:r w:rsidR="0082161A">
        <w:rPr>
          <w:rFonts w:ascii="Times New Roman" w:hAnsi="Times New Roman" w:cs="Times New Roman"/>
          <w:sz w:val="24"/>
          <w:szCs w:val="24"/>
        </w:rPr>
        <w:t xml:space="preserve"> </w:t>
      </w:r>
      <w:r w:rsidR="00DA0250">
        <w:rPr>
          <w:rStyle w:val="FootnoteReference"/>
          <w:rFonts w:ascii="Times New Roman" w:hAnsi="Times New Roman" w:cs="Times New Roman"/>
          <w:sz w:val="24"/>
          <w:szCs w:val="24"/>
        </w:rPr>
        <w:fldChar w:fldCharType="begin" w:fldLock="1"/>
      </w:r>
      <w:r w:rsidR="001E4568">
        <w:rPr>
          <w:rFonts w:ascii="Times New Roman" w:hAnsi="Times New Roman" w:cs="Times New Roman"/>
          <w:sz w:val="24"/>
          <w:szCs w:val="24"/>
        </w:rPr>
        <w:instrText>ADDIN CSL_CITATION {"citationItems":[{"id":"ITEM-1","itemData":{"ISSN":"0938-8249","author":[{"dropping-particle":"","family":"Glaum","given":"Martin","non-dropping-particle":"","parse-names":false,"suffix":""},{"dropping-particle":"","family":"Oesterle","given":"Michael-Jörg","non-dropping-particle":"","parse-names":false,"suffix":""}],"container-title":"Management International Review","id":"ITEM-1","issue":"3","issued":{"date-parts":[["2007","6"]]},"page":"307-317","title":"40 years of research on internationalization and firm performance: More questions than answers?","type":"article-journal","volume":"47"},"uris":["http://www.mendeley.com/documents/?uuid=8c4ae983-232f-495b-bfc8-65f58d56f937"]},{"id":"ITEM-2","itemData":{"ISSN":"0938-8249","author":[{"dropping-particle":"","family":"Hennart","given":"Jean-François","non-dropping-particle":"","parse-names":false,"suffix":""}],"container-title":"Management International Review","id":"ITEM-2","issue":"3","issued":{"date-parts":[["2007","6"]]},"page":"423-452","title":"The theoretical rationale for a multinationality-performance relationship","type":"article-journal","volume":"47"},"uris":["http://www.mendeley.com/documents/?uuid=22127065-121e-41e3-ac83-b1e23c3ec0c2"]},{"id":"ITEM-3","itemData":{"author":[{"dropping-particle":"","family":"Lu","given":"J. W.","non-dropping-particle":"","parse-names":false,"suffix":""},{"dropping-particle":"","family":"Beamish","given":"P. W.","non-dropping-particle":"","parse-names":false,"suffix":""}],"container-title":"Academy of Management Journal","id":"ITEM-3","issue":"4","issued":{"date-parts":[["2004","8"]]},"language":"en","page":"598-609","publisher":"Academy of Management","title":"International Diversification and Firm Performance: The S-Curve Hypothesis.","type":"article-journal","volume":"47"},"uris":["http://www.mendeley.com/documents/?uuid=fdd4c355-33e2-4a66-a022-efdd978e1ed7","http://www.mendeley.com/documents/?uuid=92844b5c-43ae-495b-ad40-77d5e15e1e71"]},{"id":"ITEM-4","itemData":{"author":[{"dropping-particle":"","family":"Yang","given":"Yong","non-dropping-particle":"","parse-names":false,"suffix":""},{"dropping-particle":"","family":"Driffield","given":"Nigel","non-dropping-particle":"","parse-names":false,"suffix":""}],"container-title":"Management International Review","id":"ITEM-4","issue":"1","issued":{"date-parts":[["2011","10"]]},"page":"23-47","title":"Multinationality-Performance Relationship","type":"article-journal","volume":"52"},"uris":["http://www.mendeley.com/documents/?uuid=b0ea1976-c5f4-46ab-abbc-b5a032ae94dd"]},{"id":"ITEM-5","itemData":{"abstract":"Purpose This paper aims to contribute to the core research in international business (IB), namely, the relationship between multinationality and performance and is concerned with the quality of past empirical research designs. Design/methodology/approach On the basis of 49 studies, given in a literature review, the match between performance measures used in empirical studies and the underlying theoretical streams that explain the effects on benefits and costs of multinationality is critically evaluated. Findings Findings indicate that authors still largely rely on overall financial performance measures. Theoretical arguments, in contrast, refer to specific benefit and cost positions that might be better reflected in operational performance indicators. The idiosyncratic choice of the performance measures used might contribute to the varying results in past studies. Originality/value Suggestions for improving future research designs are offered.","author":[{"dropping-particle":"","family":"Richter","given":"Nicole Franziska","non-dropping-particle":"","parse-names":false,"suffix":""},{"dropping-particle":"","family":"Schmidt","given":"Robert","non-dropping-particle":"","parse-names":false,"suffix":""},{"dropping-particle":"","family":"Ladwig","given":"Tina Jessica","non-dropping-particle":"","parse-names":false,"suffix":""},{"dropping-particle":"","family":"Wulhorst","given":"Fabian","non-dropping-particle":"","parse-names":false,"suffix":""}],"container-title":"Critical perspectives on international business","id":"ITEM-5","issue":"2","issued":{"date-parts":[["2017","5"]]},"page":"94-118","publisher":"Emerald Publishing Limited","title":"A critical perspective on the measurement of performance in the empirical multinationality and performance literature","type":"article-journal","volume":"13"},"uris":["http://www.mendeley.com/documents/?uuid=20df8a84-d63d-4cc6-af6f-b43d5b6b962b"]}],"mendeley":{"formattedCitation":"(Glaum &amp; Oesterle, 2007; Hennart, 2007; Lu &amp; Beamish, 2004; Richter et al., 2017; Yang &amp; Driffield, 2011)","plainTextFormattedCitation":"(Glaum &amp; Oesterle, 2007; Hennart, 2007; Lu &amp; Beamish, 2004; Richter et al., 2017; Yang &amp; Driffield, 2011)","previouslyFormattedCitation":"(Glaum &amp; Oesterle, 2007; Hennart, 2007; Lu &amp; Beamish, 2004; Richter et al., 2017; Yang &amp; Driffield, 2011)"},"properties":{"noteIndex":0},"schema":"https://github.com/citation-style-language/schema/raw/master/csl-citation.json"}</w:instrText>
      </w:r>
      <w:r w:rsidR="00DA0250">
        <w:rPr>
          <w:rStyle w:val="FootnoteReference"/>
          <w:rFonts w:ascii="Times New Roman" w:hAnsi="Times New Roman" w:cs="Times New Roman"/>
          <w:sz w:val="24"/>
          <w:szCs w:val="24"/>
        </w:rPr>
        <w:fldChar w:fldCharType="separate"/>
      </w:r>
      <w:r w:rsidR="00DA0250" w:rsidRPr="00DA0250">
        <w:rPr>
          <w:rFonts w:ascii="Times New Roman" w:hAnsi="Times New Roman" w:cs="Times New Roman"/>
          <w:noProof/>
          <w:sz w:val="24"/>
          <w:szCs w:val="24"/>
        </w:rPr>
        <w:t>(Glaum &amp; Oesterle, 2007; Hennart, 2007; Lu &amp; Beamish, 2004; Richter et al., 2017; Yang &amp; Driffield, 2011)</w:t>
      </w:r>
      <w:r w:rsidR="00DA0250">
        <w:rPr>
          <w:rStyle w:val="FootnoteReference"/>
          <w:rFonts w:ascii="Times New Roman" w:hAnsi="Times New Roman" w:cs="Times New Roman"/>
          <w:sz w:val="24"/>
          <w:szCs w:val="24"/>
        </w:rPr>
        <w:fldChar w:fldCharType="end"/>
      </w:r>
      <w:r w:rsidR="0082161A">
        <w:rPr>
          <w:rFonts w:ascii="Times New Roman" w:hAnsi="Times New Roman" w:cs="Times New Roman"/>
          <w:sz w:val="24"/>
          <w:szCs w:val="24"/>
        </w:rPr>
        <w:t>.</w:t>
      </w:r>
      <w:r w:rsidRPr="00FD5383">
        <w:rPr>
          <w:rFonts w:ascii="Times New Roman" w:hAnsi="Times New Roman" w:cs="Times New Roman"/>
          <w:sz w:val="24"/>
          <w:szCs w:val="24"/>
        </w:rPr>
        <w:t xml:space="preserve">  </w:t>
      </w:r>
      <w:r w:rsidRPr="009540DF">
        <w:rPr>
          <w:rFonts w:ascii="Times New Roman" w:hAnsi="Times New Roman" w:cs="Times New Roman"/>
          <w:sz w:val="24"/>
          <w:szCs w:val="24"/>
        </w:rPr>
        <w:t xml:space="preserve">The volume </w:t>
      </w:r>
      <w:r w:rsidR="0090343E">
        <w:rPr>
          <w:rFonts w:ascii="Times New Roman" w:hAnsi="Times New Roman" w:cs="Times New Roman"/>
          <w:sz w:val="24"/>
          <w:szCs w:val="24"/>
        </w:rPr>
        <w:t xml:space="preserve">of shares </w:t>
      </w:r>
      <w:r w:rsidRPr="009540DF">
        <w:rPr>
          <w:rFonts w:ascii="Times New Roman" w:hAnsi="Times New Roman" w:cs="Times New Roman"/>
          <w:sz w:val="24"/>
          <w:szCs w:val="24"/>
        </w:rPr>
        <w:t xml:space="preserve">traded </w:t>
      </w:r>
      <w:r w:rsidR="00C912DF">
        <w:rPr>
          <w:rFonts w:ascii="Times New Roman" w:hAnsi="Times New Roman" w:cs="Times New Roman"/>
          <w:sz w:val="24"/>
          <w:szCs w:val="24"/>
        </w:rPr>
        <w:t xml:space="preserve">of </w:t>
      </w:r>
      <w:r w:rsidRPr="009540DF">
        <w:rPr>
          <w:rFonts w:ascii="Times New Roman" w:hAnsi="Times New Roman" w:cs="Times New Roman"/>
          <w:sz w:val="24"/>
          <w:szCs w:val="24"/>
        </w:rPr>
        <w:t xml:space="preserve">domestic </w:t>
      </w:r>
      <w:r w:rsidRPr="009540DF">
        <w:rPr>
          <w:rFonts w:ascii="Times New Roman" w:hAnsi="Times New Roman" w:cs="Times New Roman"/>
          <w:sz w:val="24"/>
          <w:szCs w:val="24"/>
        </w:rPr>
        <w:lastRenderedPageBreak/>
        <w:t>firms is smaller than that of</w:t>
      </w:r>
      <w:r w:rsidR="00072800">
        <w:rPr>
          <w:rFonts w:ascii="Times New Roman" w:hAnsi="Times New Roman" w:cs="Times New Roman"/>
          <w:sz w:val="24"/>
          <w:szCs w:val="24"/>
        </w:rPr>
        <w:t xml:space="preserve"> MNCs</w:t>
      </w:r>
      <w:r w:rsidRPr="009540DF">
        <w:rPr>
          <w:rFonts w:ascii="Times New Roman" w:hAnsi="Times New Roman" w:cs="Times New Roman"/>
          <w:sz w:val="24"/>
          <w:szCs w:val="24"/>
        </w:rPr>
        <w:t xml:space="preserve">. </w:t>
      </w:r>
      <w:r w:rsidRPr="005B1B63">
        <w:rPr>
          <w:rFonts w:ascii="Times New Roman" w:hAnsi="Times New Roman" w:cs="Times New Roman"/>
          <w:sz w:val="24"/>
          <w:szCs w:val="24"/>
        </w:rPr>
        <w:t xml:space="preserve"> The volume increases consistently as internationalization increases.  </w:t>
      </w:r>
      <w:r w:rsidRPr="00970BE2">
        <w:rPr>
          <w:rFonts w:ascii="Times New Roman" w:hAnsi="Times New Roman" w:cs="Times New Roman"/>
          <w:sz w:val="24"/>
          <w:szCs w:val="24"/>
        </w:rPr>
        <w:t>The average dividend yield is substant</w:t>
      </w:r>
      <w:r w:rsidR="001E5D1D">
        <w:rPr>
          <w:rFonts w:ascii="Times New Roman" w:hAnsi="Times New Roman" w:cs="Times New Roman"/>
          <w:sz w:val="24"/>
          <w:szCs w:val="24"/>
        </w:rPr>
        <w:t>ially higher for domestic firms</w:t>
      </w:r>
      <w:r w:rsidRPr="00970BE2">
        <w:rPr>
          <w:rFonts w:ascii="Times New Roman" w:hAnsi="Times New Roman" w:cs="Times New Roman"/>
          <w:sz w:val="24"/>
          <w:szCs w:val="24"/>
        </w:rPr>
        <w:t xml:space="preserve">.  </w:t>
      </w:r>
      <w:r w:rsidRPr="00970BE2">
        <w:rPr>
          <w:rFonts w:ascii="Times New Roman" w:eastAsia="Times New Roman" w:hAnsi="Times New Roman" w:cs="Times New Roman"/>
          <w:color w:val="000000"/>
          <w:sz w:val="24"/>
          <w:szCs w:val="24"/>
        </w:rPr>
        <w:t xml:space="preserve">Although domestic firms have higher dividend yield, </w:t>
      </w:r>
      <w:r w:rsidR="00DA0250">
        <w:rPr>
          <w:rStyle w:val="FootnoteReference"/>
          <w:rFonts w:ascii="Times New Roman" w:eastAsia="Times New Roman" w:hAnsi="Times New Roman" w:cs="Times New Roman"/>
          <w:color w:val="000000"/>
          <w:sz w:val="24"/>
          <w:szCs w:val="24"/>
        </w:rPr>
        <w:fldChar w:fldCharType="begin" w:fldLock="1"/>
      </w:r>
      <w:r w:rsidR="001E4568">
        <w:rPr>
          <w:rFonts w:ascii="Times New Roman" w:eastAsia="Times New Roman" w:hAnsi="Times New Roman" w:cs="Times New Roman"/>
          <w:color w:val="000000"/>
          <w:sz w:val="24"/>
          <w:szCs w:val="24"/>
        </w:rPr>
        <w:instrText>ADDIN CSL_CITATION {"citationItems":[{"id":"ITEM-1","itemData":{"ISBN":"0929-1199","ISSN":"09291199","abstract":"We find dividends do matter to shareholders, but more in declining markets than advancing ones. Dividend-paying stocks outperform non-dividend-paying stocks by 1 to 2% more per month in declining markets than in advancing markets. These results are economically and statistically significant and robust to many risk adjustments and across industries. In addition, we find an asymmetric response to dividend changes based on market conditions: dividend increases matter more in declining markets than advancing ones. Tests indicate that results are not due to more profitable firms and appear not to be caused either by free cash flow or signaling explanations. We also find that it is the existence of dividends, and not the dividend yield, that drives returns' asymmetric behavior relative to market movements. ?? 2011 Elsevier B.V.","author":[{"dropping-particle":"","family":"Fuller","given":"Kathleen P.","non-dropping-particle":"","parse-names":false,"suffix":""},{"dropping-particle":"","family":"Goldstein","given":"Michael a.","non-dropping-particle":"","parse-names":false,"suffix":""}],"container-title":"Journal of Corporate Finance","id":"ITEM-1","issue":"3","issued":{"date-parts":[["2011"]]},"page":"457-473","title":"Do dividends matter more in declining markets?","type":"article-journal","volume":"17"},"uris":["http://www.mendeley.com/documents/?uuid=dbbe866e-260c-4cc1-981e-579a49308260"]}],"mendeley":{"formattedCitation":"(Fuller &amp; Goldstein, 2011)","manualFormatting":"Fuller &amp; Goldstein (2011)","plainTextFormattedCitation":"(Fuller &amp; Goldstein, 2011)","previouslyFormattedCitation":"(Fuller &amp; Goldstein, 2011)"},"properties":{"noteIndex":0},"schema":"https://github.com/citation-style-language/schema/raw/master/csl-citation.json"}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DA0250">
        <w:rPr>
          <w:rFonts w:ascii="Times New Roman" w:eastAsia="Times New Roman" w:hAnsi="Times New Roman" w:cs="Times New Roman"/>
          <w:noProof/>
          <w:color w:val="000000"/>
          <w:sz w:val="24"/>
          <w:szCs w:val="24"/>
        </w:rPr>
        <w:t>Fuller &amp; Goldstein (2011)</w:t>
      </w:r>
      <w:r w:rsidR="00DA0250">
        <w:rPr>
          <w:rStyle w:val="FootnoteReference"/>
          <w:rFonts w:ascii="Times New Roman" w:eastAsia="Times New Roman" w:hAnsi="Times New Roman" w:cs="Times New Roman"/>
          <w:color w:val="000000"/>
          <w:sz w:val="24"/>
          <w:szCs w:val="24"/>
        </w:rPr>
        <w:fldChar w:fldCharType="end"/>
      </w:r>
      <w:r w:rsidRPr="00970BE2">
        <w:rPr>
          <w:rFonts w:ascii="Times New Roman" w:eastAsia="Times New Roman" w:hAnsi="Times New Roman" w:cs="Times New Roman"/>
          <w:color w:val="000000"/>
          <w:sz w:val="24"/>
          <w:szCs w:val="24"/>
        </w:rPr>
        <w:t xml:space="preserve"> find that it is the existence of dividends and not the size of the dividend payment that causes investors to </w:t>
      </w:r>
      <w:proofErr w:type="spellStart"/>
      <w:r w:rsidRPr="00970BE2">
        <w:rPr>
          <w:rFonts w:ascii="Times New Roman" w:eastAsia="Times New Roman" w:hAnsi="Times New Roman" w:cs="Times New Roman"/>
          <w:color w:val="000000"/>
          <w:sz w:val="24"/>
          <w:szCs w:val="24"/>
        </w:rPr>
        <w:t>favour</w:t>
      </w:r>
      <w:proofErr w:type="spellEnd"/>
      <w:r w:rsidRPr="00970BE2">
        <w:rPr>
          <w:rFonts w:ascii="Times New Roman" w:eastAsia="Times New Roman" w:hAnsi="Times New Roman" w:cs="Times New Roman"/>
          <w:color w:val="000000"/>
          <w:sz w:val="24"/>
          <w:szCs w:val="24"/>
        </w:rPr>
        <w:t xml:space="preserve"> dividend payi</w:t>
      </w:r>
      <w:r w:rsidR="00072800">
        <w:rPr>
          <w:rFonts w:ascii="Times New Roman" w:eastAsia="Times New Roman" w:hAnsi="Times New Roman" w:cs="Times New Roman"/>
          <w:color w:val="000000"/>
          <w:sz w:val="24"/>
          <w:szCs w:val="24"/>
        </w:rPr>
        <w:t xml:space="preserve">ng firms in declining markets. </w:t>
      </w:r>
      <w:r w:rsidRPr="00970BE2">
        <w:rPr>
          <w:rFonts w:ascii="Times New Roman" w:eastAsia="Times New Roman" w:hAnsi="Times New Roman" w:cs="Times New Roman"/>
          <w:color w:val="000000"/>
          <w:sz w:val="24"/>
          <w:szCs w:val="24"/>
        </w:rPr>
        <w:t>The proportion of domestic and internationa</w:t>
      </w:r>
      <w:r w:rsidR="005B1B63">
        <w:rPr>
          <w:rFonts w:ascii="Times New Roman" w:eastAsia="Times New Roman" w:hAnsi="Times New Roman" w:cs="Times New Roman"/>
          <w:color w:val="000000"/>
          <w:sz w:val="24"/>
          <w:szCs w:val="24"/>
        </w:rPr>
        <w:t>lized firms paying a dividend</w:t>
      </w:r>
      <w:r w:rsidRPr="00970BE2">
        <w:rPr>
          <w:rFonts w:ascii="Times New Roman" w:eastAsia="Times New Roman" w:hAnsi="Times New Roman" w:cs="Times New Roman"/>
          <w:color w:val="000000"/>
          <w:sz w:val="24"/>
          <w:szCs w:val="24"/>
        </w:rPr>
        <w:t xml:space="preserve"> is very similar.</w:t>
      </w:r>
    </w:p>
    <w:p w14:paraId="2BDE2BCE" w14:textId="3358FEA9" w:rsidR="004518E8" w:rsidRDefault="004518E8" w:rsidP="00D9108B">
      <w:pPr>
        <w:spacing w:after="0" w:line="480" w:lineRule="auto"/>
        <w:jc w:val="both"/>
        <w:rPr>
          <w:rFonts w:ascii="Times New Roman" w:eastAsia="Times New Roman" w:hAnsi="Times New Roman" w:cs="Times New Roman"/>
          <w:color w:val="000000"/>
          <w:sz w:val="24"/>
          <w:szCs w:val="24"/>
        </w:rPr>
      </w:pPr>
    </w:p>
    <w:p w14:paraId="782E6944" w14:textId="1FBC0B74" w:rsidR="004518E8" w:rsidRDefault="004518E8" w:rsidP="004518E8">
      <w:pP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INSERT TABLE 2 HERE</w:t>
      </w:r>
    </w:p>
    <w:p w14:paraId="6EC9BAD3" w14:textId="77777777" w:rsidR="009D0F99" w:rsidRDefault="009D0F99" w:rsidP="00D9108B">
      <w:pPr>
        <w:spacing w:after="0" w:line="480" w:lineRule="auto"/>
        <w:jc w:val="both"/>
        <w:rPr>
          <w:rFonts w:ascii="Times New Roman" w:eastAsia="Times New Roman" w:hAnsi="Times New Roman" w:cs="Times New Roman"/>
          <w:color w:val="000000"/>
          <w:sz w:val="24"/>
          <w:szCs w:val="24"/>
        </w:rPr>
      </w:pPr>
    </w:p>
    <w:p w14:paraId="26ABCD35" w14:textId="41C240C2" w:rsidR="005857C5" w:rsidRDefault="00705D7B" w:rsidP="00D9108B">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next </w:t>
      </w:r>
      <w:r w:rsidR="009D0F99">
        <w:rPr>
          <w:rFonts w:ascii="Times New Roman" w:eastAsia="Times New Roman" w:hAnsi="Times New Roman" w:cs="Times New Roman"/>
          <w:color w:val="000000"/>
          <w:sz w:val="24"/>
          <w:szCs w:val="24"/>
        </w:rPr>
        <w:t>examine the average monthly return</w:t>
      </w:r>
      <w:r w:rsidR="00835681">
        <w:rPr>
          <w:rFonts w:ascii="Times New Roman" w:eastAsia="Times New Roman" w:hAnsi="Times New Roman" w:cs="Times New Roman"/>
          <w:color w:val="000000"/>
          <w:sz w:val="24"/>
          <w:szCs w:val="24"/>
        </w:rPr>
        <w:t>s</w:t>
      </w:r>
      <w:r w:rsidR="009D0F99">
        <w:rPr>
          <w:rFonts w:ascii="Times New Roman" w:eastAsia="Times New Roman" w:hAnsi="Times New Roman" w:cs="Times New Roman"/>
          <w:color w:val="000000"/>
          <w:sz w:val="24"/>
          <w:szCs w:val="24"/>
        </w:rPr>
        <w:t xml:space="preserve"> of firms within each category of </w:t>
      </w:r>
      <w:proofErr w:type="spellStart"/>
      <w:r w:rsidR="009D0F99">
        <w:rPr>
          <w:rFonts w:ascii="Times New Roman" w:eastAsia="Times New Roman" w:hAnsi="Times New Roman" w:cs="Times New Roman"/>
          <w:color w:val="000000"/>
          <w:sz w:val="24"/>
          <w:szCs w:val="24"/>
        </w:rPr>
        <w:t>internationalisation</w:t>
      </w:r>
      <w:proofErr w:type="spellEnd"/>
      <w:r w:rsidR="009D0F99">
        <w:rPr>
          <w:rFonts w:ascii="Times New Roman" w:eastAsia="Times New Roman" w:hAnsi="Times New Roman" w:cs="Times New Roman"/>
          <w:color w:val="000000"/>
          <w:sz w:val="24"/>
          <w:szCs w:val="24"/>
        </w:rPr>
        <w:t xml:space="preserve"> o</w:t>
      </w:r>
      <w:r w:rsidR="008F1A9F">
        <w:rPr>
          <w:rFonts w:ascii="Times New Roman" w:eastAsia="Times New Roman" w:hAnsi="Times New Roman" w:cs="Times New Roman"/>
          <w:color w:val="000000"/>
          <w:sz w:val="24"/>
          <w:szCs w:val="24"/>
        </w:rPr>
        <w:t xml:space="preserve">ver our time period. </w:t>
      </w:r>
      <w:r w:rsidR="0088675D">
        <w:rPr>
          <w:rFonts w:ascii="Times New Roman" w:eastAsia="Times New Roman" w:hAnsi="Times New Roman" w:cs="Times New Roman"/>
          <w:color w:val="000000"/>
          <w:sz w:val="24"/>
          <w:szCs w:val="24"/>
        </w:rPr>
        <w:t xml:space="preserve">We </w:t>
      </w:r>
      <w:proofErr w:type="spellStart"/>
      <w:r w:rsidR="0088675D">
        <w:rPr>
          <w:rFonts w:ascii="Times New Roman" w:eastAsia="Times New Roman" w:hAnsi="Times New Roman" w:cs="Times New Roman"/>
          <w:color w:val="000000"/>
          <w:sz w:val="24"/>
          <w:szCs w:val="24"/>
        </w:rPr>
        <w:t>categorise</w:t>
      </w:r>
      <w:proofErr w:type="spellEnd"/>
      <w:r w:rsidR="0088675D">
        <w:rPr>
          <w:rFonts w:ascii="Times New Roman" w:eastAsia="Times New Roman" w:hAnsi="Times New Roman" w:cs="Times New Roman"/>
          <w:color w:val="000000"/>
          <w:sz w:val="24"/>
          <w:szCs w:val="24"/>
        </w:rPr>
        <w:t xml:space="preserve"> firms by their level of </w:t>
      </w:r>
      <w:proofErr w:type="spellStart"/>
      <w:r w:rsidR="0088675D">
        <w:rPr>
          <w:rFonts w:ascii="Times New Roman" w:eastAsia="Times New Roman" w:hAnsi="Times New Roman" w:cs="Times New Roman"/>
          <w:color w:val="000000"/>
          <w:sz w:val="24"/>
          <w:szCs w:val="24"/>
        </w:rPr>
        <w:t>internationalisation</w:t>
      </w:r>
      <w:proofErr w:type="spellEnd"/>
      <w:r w:rsidR="0088675D">
        <w:rPr>
          <w:rFonts w:ascii="Times New Roman" w:eastAsia="Times New Roman" w:hAnsi="Times New Roman" w:cs="Times New Roman"/>
          <w:color w:val="000000"/>
          <w:sz w:val="24"/>
          <w:szCs w:val="24"/>
        </w:rPr>
        <w:t xml:space="preserve"> in each month, therefore the number of firms in each category changes in each period.   </w:t>
      </w:r>
      <w:r w:rsidR="00835681">
        <w:rPr>
          <w:rFonts w:ascii="Times New Roman" w:eastAsia="Times New Roman" w:hAnsi="Times New Roman" w:cs="Times New Roman"/>
          <w:color w:val="000000"/>
          <w:sz w:val="24"/>
          <w:szCs w:val="24"/>
        </w:rPr>
        <w:t>We first</w:t>
      </w:r>
      <w:r w:rsidR="009D0F99">
        <w:rPr>
          <w:rFonts w:ascii="Times New Roman" w:eastAsia="Times New Roman" w:hAnsi="Times New Roman" w:cs="Times New Roman"/>
          <w:color w:val="000000"/>
          <w:sz w:val="24"/>
          <w:szCs w:val="24"/>
        </w:rPr>
        <w:t xml:space="preserve"> calculate the average monthly return for </w:t>
      </w:r>
      <w:r w:rsidR="00835681">
        <w:rPr>
          <w:rFonts w:ascii="Times New Roman" w:eastAsia="Times New Roman" w:hAnsi="Times New Roman" w:cs="Times New Roman"/>
          <w:color w:val="000000"/>
          <w:sz w:val="24"/>
          <w:szCs w:val="24"/>
        </w:rPr>
        <w:t>the full period</w:t>
      </w:r>
      <w:r w:rsidR="009A1C02">
        <w:rPr>
          <w:rFonts w:ascii="Times New Roman" w:eastAsia="Times New Roman" w:hAnsi="Times New Roman" w:cs="Times New Roman"/>
          <w:color w:val="000000"/>
          <w:sz w:val="24"/>
          <w:szCs w:val="24"/>
        </w:rPr>
        <w:t xml:space="preserve">, followed by </w:t>
      </w:r>
      <w:r w:rsidR="00166C53">
        <w:rPr>
          <w:rFonts w:ascii="Times New Roman" w:eastAsia="Times New Roman" w:hAnsi="Times New Roman" w:cs="Times New Roman"/>
          <w:color w:val="000000"/>
          <w:sz w:val="24"/>
          <w:szCs w:val="24"/>
        </w:rPr>
        <w:t>the average</w:t>
      </w:r>
      <w:r w:rsidR="009D0F99">
        <w:rPr>
          <w:rFonts w:ascii="Times New Roman" w:eastAsia="Times New Roman" w:hAnsi="Times New Roman" w:cs="Times New Roman"/>
          <w:color w:val="000000"/>
          <w:sz w:val="24"/>
          <w:szCs w:val="24"/>
        </w:rPr>
        <w:t xml:space="preserve"> for months in which the Russell 3000 had a positive return and for months in which it had a negative return.  The results are listed in Table 3.</w:t>
      </w:r>
      <w:r w:rsidR="008173E9">
        <w:rPr>
          <w:rFonts w:ascii="Times New Roman" w:eastAsia="Times New Roman" w:hAnsi="Times New Roman" w:cs="Times New Roman"/>
          <w:color w:val="000000"/>
          <w:sz w:val="24"/>
          <w:szCs w:val="24"/>
        </w:rPr>
        <w:t xml:space="preserve"> We find that firms with positive foreign sales have higher positive and negative returns than domestic firms, but the difference i</w:t>
      </w:r>
      <w:r w:rsidR="00835681">
        <w:rPr>
          <w:rFonts w:ascii="Times New Roman" w:eastAsia="Times New Roman" w:hAnsi="Times New Roman" w:cs="Times New Roman"/>
          <w:color w:val="000000"/>
          <w:sz w:val="24"/>
          <w:szCs w:val="24"/>
        </w:rPr>
        <w:t>s greater for negative returns.</w:t>
      </w:r>
      <w:r w:rsidR="008173E9">
        <w:rPr>
          <w:rFonts w:ascii="Times New Roman" w:eastAsia="Times New Roman" w:hAnsi="Times New Roman" w:cs="Times New Roman"/>
          <w:color w:val="000000"/>
          <w:sz w:val="24"/>
          <w:szCs w:val="24"/>
        </w:rPr>
        <w:t xml:space="preserve"> When firms are </w:t>
      </w:r>
      <w:proofErr w:type="spellStart"/>
      <w:r w:rsidR="008173E9">
        <w:rPr>
          <w:rFonts w:ascii="Times New Roman" w:eastAsia="Times New Roman" w:hAnsi="Times New Roman" w:cs="Times New Roman"/>
          <w:color w:val="000000"/>
          <w:sz w:val="24"/>
          <w:szCs w:val="24"/>
        </w:rPr>
        <w:t>categorised</w:t>
      </w:r>
      <w:proofErr w:type="spellEnd"/>
      <w:r w:rsidR="008173E9">
        <w:rPr>
          <w:rFonts w:ascii="Times New Roman" w:eastAsia="Times New Roman" w:hAnsi="Times New Roman" w:cs="Times New Roman"/>
          <w:color w:val="000000"/>
          <w:sz w:val="24"/>
          <w:szCs w:val="24"/>
        </w:rPr>
        <w:t xml:space="preserve"> by the ABHK measure, the </w:t>
      </w:r>
      <w:r w:rsidR="00F01D6E">
        <w:rPr>
          <w:rFonts w:ascii="Times New Roman" w:eastAsia="Times New Roman" w:hAnsi="Times New Roman" w:cs="Times New Roman"/>
          <w:color w:val="000000"/>
          <w:sz w:val="24"/>
          <w:szCs w:val="24"/>
        </w:rPr>
        <w:t>results are the same</w:t>
      </w:r>
      <w:r w:rsidR="008173E9">
        <w:rPr>
          <w:rFonts w:ascii="Times New Roman" w:eastAsia="Times New Roman" w:hAnsi="Times New Roman" w:cs="Times New Roman"/>
          <w:color w:val="000000"/>
          <w:sz w:val="24"/>
          <w:szCs w:val="24"/>
        </w:rPr>
        <w:t xml:space="preserve">, as can be seen in the difference of differences, </w:t>
      </w:r>
      <w:r w:rsidR="00F01D6E">
        <w:rPr>
          <w:rFonts w:ascii="Times New Roman" w:eastAsia="Times New Roman" w:hAnsi="Times New Roman" w:cs="Times New Roman"/>
          <w:color w:val="000000"/>
          <w:sz w:val="24"/>
          <w:szCs w:val="24"/>
        </w:rPr>
        <w:t xml:space="preserve">although </w:t>
      </w:r>
      <w:r w:rsidR="008173E9">
        <w:rPr>
          <w:rFonts w:ascii="Times New Roman" w:eastAsia="Times New Roman" w:hAnsi="Times New Roman" w:cs="Times New Roman"/>
          <w:color w:val="000000"/>
          <w:sz w:val="24"/>
          <w:szCs w:val="24"/>
        </w:rPr>
        <w:t xml:space="preserve">firms with an ABHK measure of </w:t>
      </w:r>
      <w:r w:rsidR="00F01D6E">
        <w:rPr>
          <w:rFonts w:ascii="Times New Roman" w:eastAsia="Times New Roman" w:hAnsi="Times New Roman" w:cs="Times New Roman"/>
          <w:color w:val="000000"/>
          <w:sz w:val="24"/>
          <w:szCs w:val="24"/>
        </w:rPr>
        <w:t xml:space="preserve">5 or 6 have a slightly less pronounced </w:t>
      </w:r>
      <w:r w:rsidR="008173E9">
        <w:rPr>
          <w:rFonts w:ascii="Times New Roman" w:eastAsia="Times New Roman" w:hAnsi="Times New Roman" w:cs="Times New Roman"/>
          <w:color w:val="000000"/>
          <w:sz w:val="24"/>
          <w:szCs w:val="24"/>
        </w:rPr>
        <w:t>reaction in down markets.  Firms with increasin</w:t>
      </w:r>
      <w:r w:rsidR="00835681">
        <w:rPr>
          <w:rFonts w:ascii="Times New Roman" w:eastAsia="Times New Roman" w:hAnsi="Times New Roman" w:cs="Times New Roman"/>
          <w:color w:val="000000"/>
          <w:sz w:val="24"/>
          <w:szCs w:val="24"/>
        </w:rPr>
        <w:t>g levels of foreign sales have</w:t>
      </w:r>
      <w:r w:rsidR="008173E9">
        <w:rPr>
          <w:rFonts w:ascii="Times New Roman" w:eastAsia="Times New Roman" w:hAnsi="Times New Roman" w:cs="Times New Roman"/>
          <w:color w:val="000000"/>
          <w:sz w:val="24"/>
          <w:szCs w:val="24"/>
        </w:rPr>
        <w:t xml:space="preserve"> greater positive and negative reactions to changes in the Russell</w:t>
      </w:r>
      <w:r w:rsidR="00835681">
        <w:rPr>
          <w:rFonts w:ascii="Times New Roman" w:eastAsia="Times New Roman" w:hAnsi="Times New Roman" w:cs="Times New Roman"/>
          <w:color w:val="000000"/>
          <w:sz w:val="24"/>
          <w:szCs w:val="24"/>
        </w:rPr>
        <w:t xml:space="preserve"> </w:t>
      </w:r>
      <w:r w:rsidR="008173E9">
        <w:rPr>
          <w:rFonts w:ascii="Times New Roman" w:eastAsia="Times New Roman" w:hAnsi="Times New Roman" w:cs="Times New Roman"/>
          <w:color w:val="000000"/>
          <w:sz w:val="24"/>
          <w:szCs w:val="24"/>
        </w:rPr>
        <w:t>3000 with the greatest differences in down markets.  The greatest difference is for firms with over 50 percent foreign sales, where th</w:t>
      </w:r>
      <w:r w:rsidR="001E33C4">
        <w:rPr>
          <w:rFonts w:ascii="Times New Roman" w:eastAsia="Times New Roman" w:hAnsi="Times New Roman" w:cs="Times New Roman"/>
          <w:color w:val="000000"/>
          <w:sz w:val="24"/>
          <w:szCs w:val="24"/>
        </w:rPr>
        <w:t>e difference of differences is -1</w:t>
      </w:r>
      <w:r w:rsidR="00F01D6E">
        <w:rPr>
          <w:rFonts w:ascii="Times New Roman" w:eastAsia="Times New Roman" w:hAnsi="Times New Roman" w:cs="Times New Roman"/>
          <w:color w:val="000000"/>
          <w:sz w:val="24"/>
          <w:szCs w:val="24"/>
        </w:rPr>
        <w:t>.20</w:t>
      </w:r>
      <w:r w:rsidR="00437FE3">
        <w:rPr>
          <w:rFonts w:ascii="Times New Roman" w:eastAsia="Times New Roman" w:hAnsi="Times New Roman" w:cs="Times New Roman"/>
          <w:color w:val="000000"/>
          <w:sz w:val="24"/>
          <w:szCs w:val="24"/>
        </w:rPr>
        <w:t xml:space="preserve"> percent</w:t>
      </w:r>
      <w:r w:rsidR="008173E9">
        <w:rPr>
          <w:rFonts w:ascii="Times New Roman" w:eastAsia="Times New Roman" w:hAnsi="Times New Roman" w:cs="Times New Roman"/>
          <w:color w:val="000000"/>
          <w:sz w:val="24"/>
          <w:szCs w:val="24"/>
        </w:rPr>
        <w:t xml:space="preserve">.  </w:t>
      </w:r>
      <w:r w:rsidR="00072800">
        <w:rPr>
          <w:rFonts w:ascii="Times New Roman" w:eastAsia="Times New Roman" w:hAnsi="Times New Roman" w:cs="Times New Roman"/>
          <w:color w:val="000000"/>
          <w:sz w:val="24"/>
          <w:szCs w:val="24"/>
        </w:rPr>
        <w:t xml:space="preserve">MNCs </w:t>
      </w:r>
      <w:r w:rsidR="008173E9">
        <w:rPr>
          <w:rFonts w:ascii="Times New Roman" w:eastAsia="Times New Roman" w:hAnsi="Times New Roman" w:cs="Times New Roman"/>
          <w:color w:val="000000"/>
          <w:sz w:val="24"/>
          <w:szCs w:val="24"/>
        </w:rPr>
        <w:t>react more to negative returns in the Russell</w:t>
      </w:r>
      <w:r w:rsidR="00835681">
        <w:rPr>
          <w:rFonts w:ascii="Times New Roman" w:eastAsia="Times New Roman" w:hAnsi="Times New Roman" w:cs="Times New Roman"/>
          <w:color w:val="000000"/>
          <w:sz w:val="24"/>
          <w:szCs w:val="24"/>
        </w:rPr>
        <w:t xml:space="preserve"> </w:t>
      </w:r>
      <w:r w:rsidR="008173E9">
        <w:rPr>
          <w:rFonts w:ascii="Times New Roman" w:eastAsia="Times New Roman" w:hAnsi="Times New Roman" w:cs="Times New Roman"/>
          <w:color w:val="000000"/>
          <w:sz w:val="24"/>
          <w:szCs w:val="24"/>
        </w:rPr>
        <w:t>3000 than domestic firm</w:t>
      </w:r>
      <w:r w:rsidR="00674C09">
        <w:rPr>
          <w:rFonts w:ascii="Times New Roman" w:eastAsia="Times New Roman" w:hAnsi="Times New Roman" w:cs="Times New Roman"/>
          <w:color w:val="000000"/>
          <w:sz w:val="24"/>
          <w:szCs w:val="24"/>
        </w:rPr>
        <w:t xml:space="preserve">s.  This is a surprising result, we </w:t>
      </w:r>
      <w:r w:rsidR="005857C5">
        <w:rPr>
          <w:rFonts w:ascii="Times New Roman" w:eastAsia="Times New Roman" w:hAnsi="Times New Roman" w:cs="Times New Roman"/>
          <w:color w:val="000000"/>
          <w:sz w:val="24"/>
          <w:szCs w:val="24"/>
        </w:rPr>
        <w:t>expect investors to</w:t>
      </w:r>
      <w:r w:rsidR="008173E9">
        <w:rPr>
          <w:rFonts w:ascii="Times New Roman" w:eastAsia="Times New Roman" w:hAnsi="Times New Roman" w:cs="Times New Roman"/>
          <w:color w:val="000000"/>
          <w:sz w:val="24"/>
          <w:szCs w:val="24"/>
        </w:rPr>
        <w:t xml:space="preserve"> </w:t>
      </w:r>
      <w:r w:rsidR="005A4CEE">
        <w:rPr>
          <w:rFonts w:ascii="Times New Roman" w:eastAsia="Times New Roman" w:hAnsi="Times New Roman" w:cs="Times New Roman"/>
          <w:color w:val="000000"/>
          <w:sz w:val="24"/>
          <w:szCs w:val="24"/>
        </w:rPr>
        <w:t xml:space="preserve">increase their </w:t>
      </w:r>
      <w:r w:rsidR="00A106CB">
        <w:rPr>
          <w:rFonts w:ascii="Times New Roman" w:eastAsia="Times New Roman" w:hAnsi="Times New Roman" w:cs="Times New Roman"/>
          <w:color w:val="000000"/>
          <w:sz w:val="24"/>
          <w:szCs w:val="24"/>
        </w:rPr>
        <w:t>invest</w:t>
      </w:r>
      <w:r w:rsidR="005A4CEE">
        <w:rPr>
          <w:rFonts w:ascii="Times New Roman" w:eastAsia="Times New Roman" w:hAnsi="Times New Roman" w:cs="Times New Roman"/>
          <w:color w:val="000000"/>
          <w:sz w:val="24"/>
          <w:szCs w:val="24"/>
        </w:rPr>
        <w:t>ments</w:t>
      </w:r>
      <w:r w:rsidR="005F29FD">
        <w:rPr>
          <w:rFonts w:ascii="Times New Roman" w:eastAsia="Times New Roman" w:hAnsi="Times New Roman" w:cs="Times New Roman"/>
          <w:color w:val="000000"/>
          <w:sz w:val="24"/>
          <w:szCs w:val="24"/>
        </w:rPr>
        <w:t xml:space="preserve"> in </w:t>
      </w:r>
      <w:r w:rsidR="008173E9">
        <w:rPr>
          <w:rFonts w:ascii="Times New Roman" w:eastAsia="Times New Roman" w:hAnsi="Times New Roman" w:cs="Times New Roman"/>
          <w:color w:val="000000"/>
          <w:sz w:val="24"/>
          <w:szCs w:val="24"/>
        </w:rPr>
        <w:t xml:space="preserve">internationalized firms </w:t>
      </w:r>
      <w:r w:rsidR="008173E9">
        <w:rPr>
          <w:rFonts w:ascii="Times New Roman" w:eastAsia="Times New Roman" w:hAnsi="Times New Roman" w:cs="Times New Roman"/>
          <w:color w:val="000000"/>
          <w:sz w:val="24"/>
          <w:szCs w:val="24"/>
        </w:rPr>
        <w:lastRenderedPageBreak/>
        <w:t xml:space="preserve">when the domestic index </w:t>
      </w:r>
      <w:r w:rsidR="005A4CEE">
        <w:rPr>
          <w:rFonts w:ascii="Times New Roman" w:eastAsia="Times New Roman" w:hAnsi="Times New Roman" w:cs="Times New Roman"/>
          <w:color w:val="000000"/>
          <w:sz w:val="24"/>
          <w:szCs w:val="24"/>
        </w:rPr>
        <w:t>is declining</w:t>
      </w:r>
      <w:r w:rsidR="00E13CB4">
        <w:rPr>
          <w:rFonts w:ascii="Times New Roman" w:eastAsia="Times New Roman" w:hAnsi="Times New Roman" w:cs="Times New Roman"/>
          <w:color w:val="000000"/>
          <w:sz w:val="24"/>
          <w:szCs w:val="24"/>
        </w:rPr>
        <w:t xml:space="preserve"> to hedge against domestic exposure</w:t>
      </w:r>
      <w:r w:rsidR="005A4CEE">
        <w:rPr>
          <w:rFonts w:ascii="Times New Roman" w:eastAsia="Times New Roman" w:hAnsi="Times New Roman" w:cs="Times New Roman"/>
          <w:color w:val="000000"/>
          <w:sz w:val="24"/>
          <w:szCs w:val="24"/>
        </w:rPr>
        <w:t>.</w:t>
      </w:r>
      <w:r w:rsidR="005D1F8A">
        <w:rPr>
          <w:rFonts w:ascii="Times New Roman" w:eastAsia="Times New Roman" w:hAnsi="Times New Roman" w:cs="Times New Roman"/>
          <w:color w:val="000000"/>
          <w:sz w:val="24"/>
          <w:szCs w:val="24"/>
        </w:rPr>
        <w:t xml:space="preserve">  However, w</w:t>
      </w:r>
      <w:r w:rsidR="008173E9">
        <w:rPr>
          <w:rFonts w:ascii="Times New Roman" w:eastAsia="Times New Roman" w:hAnsi="Times New Roman" w:cs="Times New Roman"/>
          <w:color w:val="000000"/>
          <w:sz w:val="24"/>
          <w:szCs w:val="24"/>
        </w:rPr>
        <w:t xml:space="preserve">e find the opposite, </w:t>
      </w:r>
      <w:r w:rsidR="00072800">
        <w:rPr>
          <w:rFonts w:ascii="Times New Roman" w:eastAsia="Times New Roman" w:hAnsi="Times New Roman" w:cs="Times New Roman"/>
          <w:color w:val="000000"/>
          <w:sz w:val="24"/>
          <w:szCs w:val="24"/>
        </w:rPr>
        <w:t xml:space="preserve">MNCs </w:t>
      </w:r>
      <w:r w:rsidR="008173E9">
        <w:rPr>
          <w:rFonts w:ascii="Times New Roman" w:eastAsia="Times New Roman" w:hAnsi="Times New Roman" w:cs="Times New Roman"/>
          <w:color w:val="000000"/>
          <w:sz w:val="24"/>
          <w:szCs w:val="24"/>
        </w:rPr>
        <w:t xml:space="preserve">experience a larger average fall in price in these periods than domestic firms.  </w:t>
      </w:r>
    </w:p>
    <w:p w14:paraId="2C7BEFB9" w14:textId="0CD3C5CA" w:rsidR="005857C5" w:rsidRDefault="005857C5" w:rsidP="00D9108B">
      <w:pPr>
        <w:spacing w:after="0" w:line="480" w:lineRule="auto"/>
        <w:jc w:val="both"/>
        <w:rPr>
          <w:rFonts w:ascii="Times New Roman" w:eastAsia="Times New Roman" w:hAnsi="Times New Roman" w:cs="Times New Roman"/>
          <w:color w:val="000000"/>
          <w:sz w:val="24"/>
          <w:szCs w:val="24"/>
        </w:rPr>
      </w:pPr>
    </w:p>
    <w:p w14:paraId="33578045" w14:textId="72CF00BF" w:rsidR="004518E8" w:rsidRDefault="004518E8" w:rsidP="004518E8">
      <w:pP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INSERT TABLE 3 HERE</w:t>
      </w:r>
    </w:p>
    <w:p w14:paraId="0A5CA51E" w14:textId="77777777" w:rsidR="004518E8" w:rsidRDefault="004518E8" w:rsidP="004518E8">
      <w:pPr>
        <w:spacing w:after="0" w:line="480" w:lineRule="auto"/>
        <w:jc w:val="center"/>
        <w:rPr>
          <w:rFonts w:ascii="Times New Roman" w:eastAsia="Times New Roman" w:hAnsi="Times New Roman" w:cs="Times New Roman"/>
          <w:color w:val="000000"/>
          <w:sz w:val="24"/>
          <w:szCs w:val="24"/>
        </w:rPr>
      </w:pPr>
    </w:p>
    <w:p w14:paraId="34255979" w14:textId="114696BC" w:rsidR="008173E9" w:rsidRDefault="001E33C4" w:rsidP="00D9108B">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consider creating sub-periods for our data, but this can be somewhat arbitrary.  Instead, </w:t>
      </w:r>
      <w:r w:rsidR="008173E9">
        <w:rPr>
          <w:rFonts w:ascii="Times New Roman" w:eastAsia="Times New Roman" w:hAnsi="Times New Roman" w:cs="Times New Roman"/>
          <w:color w:val="000000"/>
          <w:sz w:val="24"/>
          <w:szCs w:val="24"/>
        </w:rPr>
        <w:t xml:space="preserve">we </w:t>
      </w:r>
      <w:r>
        <w:rPr>
          <w:rFonts w:ascii="Times New Roman" w:eastAsia="Times New Roman" w:hAnsi="Times New Roman" w:cs="Times New Roman"/>
          <w:color w:val="000000"/>
          <w:sz w:val="24"/>
          <w:szCs w:val="24"/>
        </w:rPr>
        <w:t xml:space="preserve">repeat our analysis on an annual basis to </w:t>
      </w:r>
      <w:r w:rsidR="00AE17D2">
        <w:rPr>
          <w:rFonts w:ascii="Times New Roman" w:eastAsia="Times New Roman" w:hAnsi="Times New Roman" w:cs="Times New Roman"/>
          <w:color w:val="000000"/>
          <w:sz w:val="24"/>
          <w:szCs w:val="24"/>
        </w:rPr>
        <w:t>test</w:t>
      </w:r>
      <w:r w:rsidR="00133E02">
        <w:rPr>
          <w:rFonts w:ascii="Times New Roman" w:eastAsia="Times New Roman" w:hAnsi="Times New Roman" w:cs="Times New Roman"/>
          <w:color w:val="000000"/>
          <w:sz w:val="24"/>
          <w:szCs w:val="24"/>
        </w:rPr>
        <w:t xml:space="preserve"> if our findings hold for each year individually</w:t>
      </w:r>
      <w:r>
        <w:rPr>
          <w:rFonts w:ascii="Times New Roman" w:eastAsia="Times New Roman" w:hAnsi="Times New Roman" w:cs="Times New Roman"/>
          <w:color w:val="000000"/>
          <w:sz w:val="24"/>
          <w:szCs w:val="24"/>
        </w:rPr>
        <w:t>.</w:t>
      </w:r>
      <w:r w:rsidR="008173E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In Table 4</w:t>
      </w:r>
      <w:r w:rsidR="009629B0">
        <w:rPr>
          <w:rFonts w:ascii="Times New Roman" w:eastAsia="Times New Roman" w:hAnsi="Times New Roman" w:cs="Times New Roman"/>
          <w:color w:val="000000"/>
          <w:sz w:val="24"/>
          <w:szCs w:val="24"/>
        </w:rPr>
        <w:t xml:space="preserve"> we list our results for</w:t>
      </w:r>
      <w:r w:rsidR="008173E9">
        <w:rPr>
          <w:rFonts w:ascii="Times New Roman" w:eastAsia="Times New Roman" w:hAnsi="Times New Roman" w:cs="Times New Roman"/>
          <w:color w:val="000000"/>
          <w:sz w:val="24"/>
          <w:szCs w:val="24"/>
        </w:rPr>
        <w:t xml:space="preserve"> firms with no foreign sales and </w:t>
      </w:r>
      <w:r w:rsidR="00AB7588">
        <w:rPr>
          <w:rFonts w:ascii="Times New Roman" w:eastAsia="Times New Roman" w:hAnsi="Times New Roman" w:cs="Times New Roman"/>
          <w:color w:val="000000"/>
          <w:sz w:val="24"/>
          <w:szCs w:val="24"/>
        </w:rPr>
        <w:t xml:space="preserve">those </w:t>
      </w:r>
      <w:r w:rsidR="008173E9">
        <w:rPr>
          <w:rFonts w:ascii="Times New Roman" w:eastAsia="Times New Roman" w:hAnsi="Times New Roman" w:cs="Times New Roman"/>
          <w:color w:val="000000"/>
          <w:sz w:val="24"/>
          <w:szCs w:val="24"/>
        </w:rPr>
        <w:t xml:space="preserve">with positive foreign sales.  The number of firms in each category changes each year.  In most years, 14 out of 20, </w:t>
      </w:r>
      <w:r w:rsidR="009629B0">
        <w:rPr>
          <w:rFonts w:ascii="Times New Roman" w:eastAsia="Times New Roman" w:hAnsi="Times New Roman" w:cs="Times New Roman"/>
          <w:color w:val="000000"/>
          <w:sz w:val="24"/>
          <w:szCs w:val="24"/>
        </w:rPr>
        <w:t xml:space="preserve">our annual results are consistent with the results for the full period, </w:t>
      </w:r>
      <w:r w:rsidR="008173E9">
        <w:rPr>
          <w:rFonts w:ascii="Times New Roman" w:eastAsia="Times New Roman" w:hAnsi="Times New Roman" w:cs="Times New Roman"/>
          <w:color w:val="000000"/>
          <w:sz w:val="24"/>
          <w:szCs w:val="24"/>
        </w:rPr>
        <w:t xml:space="preserve">the return reaction is larger for </w:t>
      </w:r>
      <w:r w:rsidR="00072800">
        <w:rPr>
          <w:rFonts w:ascii="Times New Roman" w:eastAsia="Times New Roman" w:hAnsi="Times New Roman" w:cs="Times New Roman"/>
          <w:color w:val="000000"/>
          <w:sz w:val="24"/>
          <w:szCs w:val="24"/>
        </w:rPr>
        <w:t xml:space="preserve">MNCs </w:t>
      </w:r>
      <w:r w:rsidR="008173E9">
        <w:rPr>
          <w:rFonts w:ascii="Times New Roman" w:eastAsia="Times New Roman" w:hAnsi="Times New Roman" w:cs="Times New Roman"/>
          <w:color w:val="000000"/>
          <w:sz w:val="24"/>
          <w:szCs w:val="24"/>
        </w:rPr>
        <w:t xml:space="preserve">in down markets.  In 6 years this is not the case, but the difference of differences for those years are smaller than the average of all years.  </w:t>
      </w:r>
      <w:r w:rsidR="009629B0">
        <w:rPr>
          <w:rFonts w:ascii="Times New Roman" w:eastAsia="Times New Roman" w:hAnsi="Times New Roman" w:cs="Times New Roman"/>
          <w:color w:val="000000"/>
          <w:sz w:val="24"/>
          <w:szCs w:val="24"/>
        </w:rPr>
        <w:t>In two years,</w:t>
      </w:r>
      <w:r w:rsidR="008173E9">
        <w:rPr>
          <w:rFonts w:ascii="Times New Roman" w:eastAsia="Times New Roman" w:hAnsi="Times New Roman" w:cs="Times New Roman"/>
          <w:color w:val="000000"/>
          <w:sz w:val="24"/>
          <w:szCs w:val="24"/>
        </w:rPr>
        <w:t xml:space="preserve"> 200</w:t>
      </w:r>
      <w:r w:rsidR="009629B0">
        <w:rPr>
          <w:rFonts w:ascii="Times New Roman" w:eastAsia="Times New Roman" w:hAnsi="Times New Roman" w:cs="Times New Roman"/>
          <w:color w:val="000000"/>
          <w:sz w:val="24"/>
          <w:szCs w:val="24"/>
        </w:rPr>
        <w:t>7 and 2013</w:t>
      </w:r>
      <w:r w:rsidR="008173E9">
        <w:rPr>
          <w:rFonts w:ascii="Times New Roman" w:eastAsia="Times New Roman" w:hAnsi="Times New Roman" w:cs="Times New Roman"/>
          <w:color w:val="000000"/>
          <w:sz w:val="24"/>
          <w:szCs w:val="24"/>
        </w:rPr>
        <w:t xml:space="preserve">, </w:t>
      </w:r>
      <w:r w:rsidR="00A106CB">
        <w:rPr>
          <w:rFonts w:ascii="Times New Roman" w:eastAsia="Times New Roman" w:hAnsi="Times New Roman" w:cs="Times New Roman"/>
          <w:color w:val="000000"/>
          <w:sz w:val="24"/>
          <w:szCs w:val="24"/>
        </w:rPr>
        <w:t>domestic firms reacted more negatively to domestic down markets</w:t>
      </w:r>
      <w:r w:rsidR="00944D2D">
        <w:rPr>
          <w:rFonts w:ascii="Times New Roman" w:eastAsia="Times New Roman" w:hAnsi="Times New Roman" w:cs="Times New Roman"/>
          <w:color w:val="000000"/>
          <w:sz w:val="24"/>
          <w:szCs w:val="24"/>
        </w:rPr>
        <w:t xml:space="preserve"> than</w:t>
      </w:r>
      <w:r w:rsidR="00072800">
        <w:rPr>
          <w:rFonts w:ascii="Times New Roman" w:eastAsia="Times New Roman" w:hAnsi="Times New Roman" w:cs="Times New Roman"/>
          <w:color w:val="000000"/>
          <w:sz w:val="24"/>
          <w:szCs w:val="24"/>
        </w:rPr>
        <w:t xml:space="preserve"> MNCs</w:t>
      </w:r>
      <w:r w:rsidR="00944D2D">
        <w:rPr>
          <w:rFonts w:ascii="Times New Roman" w:eastAsia="Times New Roman" w:hAnsi="Times New Roman" w:cs="Times New Roman"/>
          <w:color w:val="000000"/>
          <w:sz w:val="24"/>
          <w:szCs w:val="24"/>
        </w:rPr>
        <w:t xml:space="preserve">.  </w:t>
      </w:r>
      <w:r w:rsidR="00133E02">
        <w:rPr>
          <w:rFonts w:ascii="Times New Roman" w:eastAsia="Times New Roman" w:hAnsi="Times New Roman" w:cs="Times New Roman"/>
          <w:color w:val="000000"/>
          <w:sz w:val="24"/>
          <w:szCs w:val="24"/>
        </w:rPr>
        <w:t>However,</w:t>
      </w:r>
      <w:r w:rsidR="00944D2D">
        <w:rPr>
          <w:rFonts w:ascii="Times New Roman" w:eastAsia="Times New Roman" w:hAnsi="Times New Roman" w:cs="Times New Roman"/>
          <w:color w:val="000000"/>
          <w:sz w:val="24"/>
          <w:szCs w:val="24"/>
        </w:rPr>
        <w:t xml:space="preserve"> in the </w:t>
      </w:r>
      <w:r w:rsidR="00133E02">
        <w:rPr>
          <w:rFonts w:ascii="Times New Roman" w:eastAsia="Times New Roman" w:hAnsi="Times New Roman" w:cs="Times New Roman"/>
          <w:color w:val="000000"/>
          <w:sz w:val="24"/>
          <w:szCs w:val="24"/>
        </w:rPr>
        <w:t xml:space="preserve">remaining </w:t>
      </w:r>
      <w:r w:rsidR="00944D2D">
        <w:rPr>
          <w:rFonts w:ascii="Times New Roman" w:eastAsia="Times New Roman" w:hAnsi="Times New Roman" w:cs="Times New Roman"/>
          <w:color w:val="000000"/>
          <w:sz w:val="24"/>
          <w:szCs w:val="24"/>
        </w:rPr>
        <w:t xml:space="preserve">eighteen years, </w:t>
      </w:r>
      <w:r w:rsidR="00133E02">
        <w:rPr>
          <w:rFonts w:ascii="Times New Roman" w:eastAsia="Times New Roman" w:hAnsi="Times New Roman" w:cs="Times New Roman"/>
          <w:color w:val="000000"/>
          <w:sz w:val="24"/>
          <w:szCs w:val="24"/>
        </w:rPr>
        <w:t xml:space="preserve">domestic firms’ returns </w:t>
      </w:r>
      <w:r w:rsidR="00944D2D">
        <w:rPr>
          <w:rFonts w:ascii="Times New Roman" w:eastAsia="Times New Roman" w:hAnsi="Times New Roman" w:cs="Times New Roman"/>
          <w:color w:val="000000"/>
          <w:sz w:val="24"/>
          <w:szCs w:val="24"/>
        </w:rPr>
        <w:t xml:space="preserve">fell by less than </w:t>
      </w:r>
      <w:r w:rsidR="00072800">
        <w:rPr>
          <w:rFonts w:ascii="Times New Roman" w:eastAsia="Times New Roman" w:hAnsi="Times New Roman" w:cs="Times New Roman"/>
          <w:color w:val="000000"/>
          <w:sz w:val="24"/>
          <w:szCs w:val="24"/>
        </w:rPr>
        <w:t xml:space="preserve">MNCs’ </w:t>
      </w:r>
      <w:r w:rsidR="00AE17D2">
        <w:rPr>
          <w:rFonts w:ascii="Times New Roman" w:eastAsia="Times New Roman" w:hAnsi="Times New Roman" w:cs="Times New Roman"/>
          <w:color w:val="000000"/>
          <w:sz w:val="24"/>
          <w:szCs w:val="24"/>
        </w:rPr>
        <w:t>returns</w:t>
      </w:r>
      <w:r w:rsidR="00944D2D">
        <w:rPr>
          <w:rFonts w:ascii="Times New Roman" w:eastAsia="Times New Roman" w:hAnsi="Times New Roman" w:cs="Times New Roman"/>
          <w:color w:val="000000"/>
          <w:sz w:val="24"/>
          <w:szCs w:val="24"/>
        </w:rPr>
        <w:t xml:space="preserve"> in down markets.</w:t>
      </w:r>
      <w:r w:rsidR="00180B85">
        <w:rPr>
          <w:rFonts w:ascii="Times New Roman" w:eastAsia="Times New Roman" w:hAnsi="Times New Roman" w:cs="Times New Roman"/>
          <w:color w:val="000000"/>
          <w:sz w:val="24"/>
          <w:szCs w:val="24"/>
        </w:rPr>
        <w:t xml:space="preserve"> </w:t>
      </w:r>
    </w:p>
    <w:p w14:paraId="651273CC" w14:textId="40CCFCF5" w:rsidR="004518E8" w:rsidRDefault="004518E8" w:rsidP="00D9108B">
      <w:pPr>
        <w:spacing w:after="0" w:line="480" w:lineRule="auto"/>
        <w:jc w:val="both"/>
        <w:rPr>
          <w:rFonts w:ascii="Times New Roman" w:eastAsia="Times New Roman" w:hAnsi="Times New Roman" w:cs="Times New Roman"/>
          <w:color w:val="000000"/>
          <w:sz w:val="24"/>
          <w:szCs w:val="24"/>
        </w:rPr>
      </w:pPr>
    </w:p>
    <w:p w14:paraId="13111AAC" w14:textId="3A36E692" w:rsidR="004518E8" w:rsidRPr="00180B85" w:rsidRDefault="004518E8" w:rsidP="004518E8">
      <w:pPr>
        <w:spacing w:after="0" w:line="48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INSERT TABLE 4 HERE</w:t>
      </w:r>
    </w:p>
    <w:p w14:paraId="17E63839" w14:textId="77777777" w:rsidR="008173E9" w:rsidRDefault="008173E9" w:rsidP="00D9108B">
      <w:pPr>
        <w:spacing w:after="0" w:line="480" w:lineRule="auto"/>
        <w:jc w:val="both"/>
        <w:rPr>
          <w:rFonts w:ascii="Times New Roman" w:eastAsia="Times New Roman" w:hAnsi="Times New Roman" w:cs="Times New Roman"/>
          <w:color w:val="000000"/>
          <w:sz w:val="24"/>
          <w:szCs w:val="24"/>
        </w:rPr>
      </w:pPr>
    </w:p>
    <w:p w14:paraId="76079E32" w14:textId="750EDB80" w:rsidR="008173E9" w:rsidRDefault="008173E9" w:rsidP="00D9108B">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order to control for firm size and growth, we divide firms into quartiles of market capitalization and market to book ratios, and measure the average returns in up and down markets within each of the sixteen quartiles for firms with and without foreign sales.  The results are reported in Table 5.  </w:t>
      </w:r>
      <w:r w:rsidR="00DA0250">
        <w:rPr>
          <w:rStyle w:val="FootnoteReference"/>
          <w:rFonts w:ascii="Times New Roman" w:eastAsia="Times New Roman" w:hAnsi="Times New Roman" w:cs="Times New Roman"/>
          <w:color w:val="000000"/>
          <w:sz w:val="24"/>
          <w:szCs w:val="24"/>
        </w:rPr>
        <w:fldChar w:fldCharType="begin" w:fldLock="1"/>
      </w:r>
      <w:r w:rsidR="001E4568">
        <w:rPr>
          <w:rFonts w:ascii="Times New Roman" w:eastAsia="Times New Roman" w:hAnsi="Times New Roman" w:cs="Times New Roman"/>
          <w:color w:val="000000"/>
          <w:sz w:val="24"/>
          <w:szCs w:val="24"/>
        </w:rPr>
        <w:instrText>ADDIN CSL_CITATION {"citationItems":[{"id":"ITEM-1","itemData":{"ISBN":"0304405X","ISSN":"0304405X","PMID":"295138","abstract":"This paper identifies five common risk factors in the returns on stocks and bonds. There are three stock-market factors: an overall market factor and factors related to firm size and book-to-market equity. There are two bond-market factors, related to maturity and default risks. Stock returns have shared variation due to the stock-market factors, and they are linked to bond returns through shared variation in the bond-market factors. Except for low-grade corporates, the bond-market factors capture the common variation in bond returns. Most important, the five factors seem to explain average returns on stocks and bonds. © 1993.","author":[{"dropping-particle":"","family":"Fama","given":"Eugene F.","non-dropping-particle":"","parse-names":false,"suffix":""},{"dropping-particle":"","family":"French","given":"Kenneth R.","non-dropping-particle":"","parse-names":false,"suffix":""}],"container-title":"Journal of Financial Economics","id":"ITEM-1","issue":"1","issued":{"date-parts":[["1993"]]},"page":"3-56","title":"Common risk factors in the returns on stocks and bonds","type":"article-journal","volume":"33"},"uris":["http://www.mendeley.com/documents/?uuid=2687913b-021a-4954-b567-5c4497a64065"]}],"mendeley":{"formattedCitation":"(Fama &amp; French, 1993)","manualFormatting":"Fama &amp; French's (1993)","plainTextFormattedCitation":"(Fama &amp; French, 1993)","previouslyFormattedCitation":"(Fama &amp; French, 1993)"},"properties":{"noteIndex":0},"schema":"https://github.com/citation-style-language/schema/raw/master/csl-citation.json"}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DA0250">
        <w:rPr>
          <w:rFonts w:ascii="Times New Roman" w:eastAsia="Times New Roman" w:hAnsi="Times New Roman" w:cs="Times New Roman"/>
          <w:noProof/>
          <w:color w:val="000000"/>
          <w:sz w:val="24"/>
          <w:szCs w:val="24"/>
        </w:rPr>
        <w:t>Fama &amp; French's (1993)</w:t>
      </w:r>
      <w:r w:rsidR="00DA0250">
        <w:rPr>
          <w:rStyle w:val="FootnoteReference"/>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three factor model predicts that smaller firms will outperform larger firms and that income stocks will outperform growth stocks.  Therefore, firms in the top left quartile of our table </w:t>
      </w:r>
      <w:r w:rsidR="00AB7588">
        <w:rPr>
          <w:rFonts w:ascii="Times New Roman" w:eastAsia="Times New Roman" w:hAnsi="Times New Roman" w:cs="Times New Roman"/>
          <w:color w:val="000000"/>
          <w:sz w:val="24"/>
          <w:szCs w:val="24"/>
        </w:rPr>
        <w:t xml:space="preserve">are </w:t>
      </w:r>
      <w:r>
        <w:rPr>
          <w:rFonts w:ascii="Times New Roman" w:eastAsia="Times New Roman" w:hAnsi="Times New Roman" w:cs="Times New Roman"/>
          <w:color w:val="000000"/>
          <w:sz w:val="24"/>
          <w:szCs w:val="24"/>
        </w:rPr>
        <w:t xml:space="preserve">expected to have the highest returns.  We do not find this to be the case </w:t>
      </w:r>
      <w:r>
        <w:rPr>
          <w:rFonts w:ascii="Times New Roman" w:eastAsia="Times New Roman" w:hAnsi="Times New Roman" w:cs="Times New Roman"/>
          <w:color w:val="000000"/>
          <w:sz w:val="24"/>
          <w:szCs w:val="24"/>
        </w:rPr>
        <w:lastRenderedPageBreak/>
        <w:t>fo</w:t>
      </w:r>
      <w:r w:rsidR="00AB7588">
        <w:rPr>
          <w:rFonts w:ascii="Times New Roman" w:eastAsia="Times New Roman" w:hAnsi="Times New Roman" w:cs="Times New Roman"/>
          <w:color w:val="000000"/>
          <w:sz w:val="24"/>
          <w:szCs w:val="24"/>
        </w:rPr>
        <w:t>r our firms and our time period. W</w:t>
      </w:r>
      <w:r>
        <w:rPr>
          <w:rFonts w:ascii="Times New Roman" w:eastAsia="Times New Roman" w:hAnsi="Times New Roman" w:cs="Times New Roman"/>
          <w:color w:val="000000"/>
          <w:sz w:val="24"/>
          <w:szCs w:val="24"/>
        </w:rPr>
        <w:t>e find that larger firms have a higher average return for both domestic and</w:t>
      </w:r>
      <w:r w:rsidR="00072800">
        <w:rPr>
          <w:rFonts w:ascii="Times New Roman" w:eastAsia="Times New Roman" w:hAnsi="Times New Roman" w:cs="Times New Roman"/>
          <w:color w:val="000000"/>
          <w:sz w:val="24"/>
          <w:szCs w:val="24"/>
        </w:rPr>
        <w:t xml:space="preserve"> MNCs</w:t>
      </w:r>
      <w:r>
        <w:rPr>
          <w:rFonts w:ascii="Times New Roman" w:eastAsia="Times New Roman" w:hAnsi="Times New Roman" w:cs="Times New Roman"/>
          <w:color w:val="000000"/>
          <w:sz w:val="24"/>
          <w:szCs w:val="24"/>
        </w:rPr>
        <w:t xml:space="preserve">.  The market to book ratio quartiles yield more mixed results.  When comparing the differences in returns in </w:t>
      </w:r>
      <w:r w:rsidR="005D1F8A">
        <w:rPr>
          <w:rFonts w:ascii="Times New Roman" w:eastAsia="Times New Roman" w:hAnsi="Times New Roman" w:cs="Times New Roman"/>
          <w:color w:val="000000"/>
          <w:sz w:val="24"/>
          <w:szCs w:val="24"/>
        </w:rPr>
        <w:t xml:space="preserve">increasing and declining </w:t>
      </w:r>
      <w:r>
        <w:rPr>
          <w:rFonts w:ascii="Times New Roman" w:eastAsia="Times New Roman" w:hAnsi="Times New Roman" w:cs="Times New Roman"/>
          <w:color w:val="000000"/>
          <w:sz w:val="24"/>
          <w:szCs w:val="24"/>
        </w:rPr>
        <w:t xml:space="preserve">markets for each group of firms, we see that in every case, the difference in returns for domestic and </w:t>
      </w:r>
      <w:r w:rsidR="00072800">
        <w:rPr>
          <w:rFonts w:ascii="Times New Roman" w:eastAsia="Times New Roman" w:hAnsi="Times New Roman" w:cs="Times New Roman"/>
          <w:color w:val="000000"/>
          <w:sz w:val="24"/>
          <w:szCs w:val="24"/>
        </w:rPr>
        <w:t xml:space="preserve">multinational </w:t>
      </w:r>
      <w:r>
        <w:rPr>
          <w:rFonts w:ascii="Times New Roman" w:eastAsia="Times New Roman" w:hAnsi="Times New Roman" w:cs="Times New Roman"/>
          <w:color w:val="000000"/>
          <w:sz w:val="24"/>
          <w:szCs w:val="24"/>
        </w:rPr>
        <w:t>firms i</w:t>
      </w:r>
      <w:r w:rsidR="005D1F8A">
        <w:rPr>
          <w:rFonts w:ascii="Times New Roman" w:eastAsia="Times New Roman" w:hAnsi="Times New Roman" w:cs="Times New Roman"/>
          <w:color w:val="000000"/>
          <w:sz w:val="24"/>
          <w:szCs w:val="24"/>
        </w:rPr>
        <w:t xml:space="preserve">s </w:t>
      </w:r>
      <w:r w:rsidR="000C4ED1">
        <w:rPr>
          <w:rFonts w:ascii="Times New Roman" w:eastAsia="Times New Roman" w:hAnsi="Times New Roman" w:cs="Times New Roman"/>
          <w:color w:val="000000"/>
          <w:sz w:val="24"/>
          <w:szCs w:val="24"/>
        </w:rPr>
        <w:t xml:space="preserve">large and significant </w:t>
      </w:r>
      <w:r w:rsidR="005D1F8A">
        <w:rPr>
          <w:rFonts w:ascii="Times New Roman" w:eastAsia="Times New Roman" w:hAnsi="Times New Roman" w:cs="Times New Roman"/>
          <w:color w:val="000000"/>
          <w:sz w:val="24"/>
          <w:szCs w:val="24"/>
        </w:rPr>
        <w:t>in declining</w:t>
      </w:r>
      <w:r>
        <w:rPr>
          <w:rFonts w:ascii="Times New Roman" w:eastAsia="Times New Roman" w:hAnsi="Times New Roman" w:cs="Times New Roman"/>
          <w:color w:val="000000"/>
          <w:sz w:val="24"/>
          <w:szCs w:val="24"/>
        </w:rPr>
        <w:t xml:space="preserve"> markets.  Our finding that </w:t>
      </w:r>
      <w:r w:rsidR="00072800">
        <w:rPr>
          <w:rFonts w:ascii="Times New Roman" w:eastAsia="Times New Roman" w:hAnsi="Times New Roman" w:cs="Times New Roman"/>
          <w:color w:val="000000"/>
          <w:sz w:val="24"/>
          <w:szCs w:val="24"/>
        </w:rPr>
        <w:t xml:space="preserve">MNCs </w:t>
      </w:r>
      <w:r w:rsidR="00082620">
        <w:rPr>
          <w:rFonts w:ascii="Times New Roman" w:eastAsia="Times New Roman" w:hAnsi="Times New Roman" w:cs="Times New Roman"/>
          <w:color w:val="000000"/>
          <w:sz w:val="24"/>
          <w:szCs w:val="24"/>
        </w:rPr>
        <w:t>have a greater negative return</w:t>
      </w:r>
      <w:r>
        <w:rPr>
          <w:rFonts w:ascii="Times New Roman" w:eastAsia="Times New Roman" w:hAnsi="Times New Roman" w:cs="Times New Roman"/>
          <w:color w:val="000000"/>
          <w:sz w:val="24"/>
          <w:szCs w:val="24"/>
        </w:rPr>
        <w:t xml:space="preserve"> in down markets is robust to firm size and market to book ratios.  </w:t>
      </w:r>
    </w:p>
    <w:p w14:paraId="1D4CECE9" w14:textId="4470C525" w:rsidR="008173E9" w:rsidRDefault="008173E9" w:rsidP="00D9108B">
      <w:pPr>
        <w:spacing w:after="0" w:line="480" w:lineRule="auto"/>
        <w:jc w:val="both"/>
        <w:rPr>
          <w:rFonts w:ascii="Times New Roman" w:eastAsia="Times New Roman" w:hAnsi="Times New Roman" w:cs="Times New Roman"/>
          <w:color w:val="000000"/>
          <w:sz w:val="24"/>
          <w:szCs w:val="24"/>
        </w:rPr>
      </w:pPr>
    </w:p>
    <w:p w14:paraId="3547FC80" w14:textId="6FACA29F" w:rsidR="004518E8" w:rsidRDefault="004518E8" w:rsidP="004518E8">
      <w:pPr>
        <w:spacing w:after="0"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INSERT TABLE 5 HERE</w:t>
      </w:r>
    </w:p>
    <w:p w14:paraId="6F4D4815" w14:textId="3A0DF0EA" w:rsidR="008173E9" w:rsidRPr="004C11E6" w:rsidRDefault="0082223F" w:rsidP="00D9108B">
      <w:pPr>
        <w:pStyle w:val="Heading2"/>
        <w:spacing w:line="480" w:lineRule="auto"/>
        <w:rPr>
          <w:i/>
          <w:u w:val="none"/>
        </w:rPr>
      </w:pPr>
      <w:r>
        <w:rPr>
          <w:i/>
          <w:u w:val="none"/>
        </w:rPr>
        <w:t>4</w:t>
      </w:r>
      <w:r w:rsidR="00D42A90" w:rsidRPr="004C11E6">
        <w:rPr>
          <w:i/>
          <w:u w:val="none"/>
        </w:rPr>
        <w:t xml:space="preserve">.2 </w:t>
      </w:r>
      <w:r w:rsidR="008173E9" w:rsidRPr="004C11E6">
        <w:rPr>
          <w:i/>
          <w:u w:val="none"/>
        </w:rPr>
        <w:t>Regression Analysis</w:t>
      </w:r>
    </w:p>
    <w:p w14:paraId="02D34272" w14:textId="15CD57A8" w:rsidR="008173E9" w:rsidRDefault="008173E9" w:rsidP="00D9108B">
      <w:pPr>
        <w:spacing w:after="0" w:line="480" w:lineRule="auto"/>
        <w:jc w:val="both"/>
        <w:rPr>
          <w:rFonts w:ascii="Times New Roman" w:hAnsi="Times New Roman" w:cs="Times New Roman"/>
          <w:sz w:val="24"/>
          <w:szCs w:val="24"/>
        </w:rPr>
      </w:pPr>
      <w:r w:rsidRPr="00BD5496">
        <w:rPr>
          <w:rFonts w:ascii="Times New Roman" w:hAnsi="Times New Roman" w:cs="Times New Roman"/>
          <w:sz w:val="24"/>
          <w:szCs w:val="24"/>
        </w:rPr>
        <w:t xml:space="preserve">We form </w:t>
      </w:r>
      <w:r w:rsidR="00A106CB">
        <w:rPr>
          <w:rFonts w:ascii="Times New Roman" w:hAnsi="Times New Roman" w:cs="Times New Roman"/>
          <w:sz w:val="24"/>
          <w:szCs w:val="24"/>
        </w:rPr>
        <w:t>portfolios of firms categorized by their levels of inter</w:t>
      </w:r>
      <w:r w:rsidR="00C051D9">
        <w:rPr>
          <w:rFonts w:ascii="Times New Roman" w:hAnsi="Times New Roman" w:cs="Times New Roman"/>
          <w:sz w:val="24"/>
          <w:szCs w:val="24"/>
        </w:rPr>
        <w:t>nationalization,</w:t>
      </w:r>
      <w:r w:rsidR="0088675D">
        <w:rPr>
          <w:rFonts w:ascii="Times New Roman" w:hAnsi="Times New Roman" w:cs="Times New Roman"/>
          <w:sz w:val="24"/>
          <w:szCs w:val="24"/>
        </w:rPr>
        <w:t xml:space="preserve"> f</w:t>
      </w:r>
      <w:r w:rsidR="00C051D9">
        <w:rPr>
          <w:rFonts w:ascii="Times New Roman" w:hAnsi="Times New Roman" w:cs="Times New Roman"/>
          <w:sz w:val="24"/>
          <w:szCs w:val="24"/>
        </w:rPr>
        <w:t xml:space="preserve">irms with no foreign sales, </w:t>
      </w:r>
      <w:r w:rsidR="0088675D">
        <w:rPr>
          <w:rFonts w:ascii="Times New Roman" w:hAnsi="Times New Roman" w:cs="Times New Roman"/>
          <w:sz w:val="24"/>
          <w:szCs w:val="24"/>
        </w:rPr>
        <w:t>foreign sales of between 1 and 2</w:t>
      </w:r>
      <w:r w:rsidR="00A106CB">
        <w:rPr>
          <w:rFonts w:ascii="Times New Roman" w:hAnsi="Times New Roman" w:cs="Times New Roman"/>
          <w:sz w:val="24"/>
          <w:szCs w:val="24"/>
        </w:rPr>
        <w:t>5</w:t>
      </w:r>
      <w:r w:rsidR="0088675D">
        <w:rPr>
          <w:rFonts w:ascii="Times New Roman" w:hAnsi="Times New Roman" w:cs="Times New Roman"/>
          <w:sz w:val="24"/>
          <w:szCs w:val="24"/>
        </w:rPr>
        <w:t xml:space="preserve"> percent</w:t>
      </w:r>
      <w:r w:rsidR="00A106CB">
        <w:rPr>
          <w:rFonts w:ascii="Times New Roman" w:hAnsi="Times New Roman" w:cs="Times New Roman"/>
          <w:sz w:val="24"/>
          <w:szCs w:val="24"/>
        </w:rPr>
        <w:t xml:space="preserve">, 25 to 50 </w:t>
      </w:r>
      <w:r w:rsidR="0088675D">
        <w:rPr>
          <w:rFonts w:ascii="Times New Roman" w:hAnsi="Times New Roman" w:cs="Times New Roman"/>
          <w:sz w:val="24"/>
          <w:szCs w:val="24"/>
        </w:rPr>
        <w:t xml:space="preserve">percent </w:t>
      </w:r>
      <w:r w:rsidR="00A106CB">
        <w:rPr>
          <w:rFonts w:ascii="Times New Roman" w:hAnsi="Times New Roman" w:cs="Times New Roman"/>
          <w:sz w:val="24"/>
          <w:szCs w:val="24"/>
        </w:rPr>
        <w:t>and above 50</w:t>
      </w:r>
      <w:r w:rsidR="0088675D">
        <w:rPr>
          <w:rFonts w:ascii="Times New Roman" w:hAnsi="Times New Roman" w:cs="Times New Roman"/>
          <w:sz w:val="24"/>
          <w:szCs w:val="24"/>
        </w:rPr>
        <w:t xml:space="preserve"> percent</w:t>
      </w:r>
      <w:r w:rsidR="00C051D9">
        <w:rPr>
          <w:rFonts w:ascii="Times New Roman" w:hAnsi="Times New Roman" w:cs="Times New Roman"/>
          <w:sz w:val="24"/>
          <w:szCs w:val="24"/>
        </w:rPr>
        <w:t>, and ABHK scores of 0 to 6</w:t>
      </w:r>
      <w:r w:rsidR="00A106CB">
        <w:rPr>
          <w:rFonts w:ascii="Times New Roman" w:hAnsi="Times New Roman" w:cs="Times New Roman"/>
          <w:sz w:val="24"/>
          <w:szCs w:val="24"/>
        </w:rPr>
        <w:t xml:space="preserve">.  </w:t>
      </w:r>
      <w:r w:rsidR="0088675D">
        <w:rPr>
          <w:rFonts w:ascii="Times New Roman" w:hAnsi="Times New Roman" w:cs="Times New Roman"/>
          <w:sz w:val="24"/>
          <w:szCs w:val="24"/>
        </w:rPr>
        <w:t xml:space="preserve">The constituents of these portfolios change </w:t>
      </w:r>
      <w:r w:rsidR="0048611C">
        <w:rPr>
          <w:rFonts w:ascii="Times New Roman" w:hAnsi="Times New Roman" w:cs="Times New Roman"/>
          <w:sz w:val="24"/>
          <w:szCs w:val="24"/>
        </w:rPr>
        <w:t>annually incorporating the firms with each level of internationalization in that year</w:t>
      </w:r>
      <w:r w:rsidR="00206196">
        <w:rPr>
          <w:rFonts w:ascii="Times New Roman" w:hAnsi="Times New Roman" w:cs="Times New Roman"/>
          <w:sz w:val="24"/>
          <w:szCs w:val="24"/>
        </w:rPr>
        <w:t>.</w:t>
      </w:r>
      <w:r w:rsidR="0088675D">
        <w:rPr>
          <w:rFonts w:ascii="Times New Roman" w:hAnsi="Times New Roman" w:cs="Times New Roman"/>
          <w:sz w:val="24"/>
          <w:szCs w:val="24"/>
        </w:rPr>
        <w:t xml:space="preserve"> We</w:t>
      </w:r>
      <w:r w:rsidR="00206196">
        <w:rPr>
          <w:rFonts w:ascii="Times New Roman" w:hAnsi="Times New Roman" w:cs="Times New Roman"/>
          <w:sz w:val="24"/>
          <w:szCs w:val="24"/>
        </w:rPr>
        <w:t xml:space="preserve"> regress each portfolio</w:t>
      </w:r>
      <w:r w:rsidR="00A106CB">
        <w:rPr>
          <w:rFonts w:ascii="Times New Roman" w:hAnsi="Times New Roman" w:cs="Times New Roman"/>
          <w:sz w:val="24"/>
          <w:szCs w:val="24"/>
        </w:rPr>
        <w:t xml:space="preserve"> against </w:t>
      </w:r>
      <w:r w:rsidR="00131036">
        <w:rPr>
          <w:rFonts w:ascii="Times New Roman" w:hAnsi="Times New Roman" w:cs="Times New Roman"/>
          <w:sz w:val="24"/>
          <w:szCs w:val="24"/>
        </w:rPr>
        <w:t xml:space="preserve">three and then five of the </w:t>
      </w:r>
      <w:proofErr w:type="spellStart"/>
      <w:r w:rsidR="00131036">
        <w:rPr>
          <w:rFonts w:ascii="Times New Roman" w:hAnsi="Times New Roman" w:cs="Times New Roman"/>
          <w:sz w:val="24"/>
          <w:szCs w:val="24"/>
        </w:rPr>
        <w:t>Fama</w:t>
      </w:r>
      <w:proofErr w:type="spellEnd"/>
      <w:r w:rsidR="00131036">
        <w:rPr>
          <w:rFonts w:ascii="Times New Roman" w:hAnsi="Times New Roman" w:cs="Times New Roman"/>
          <w:sz w:val="24"/>
          <w:szCs w:val="24"/>
        </w:rPr>
        <w:t>-French factors.  We include a dummy variable for months in which the return of the Russell3000 is negative.  The</w:t>
      </w:r>
      <w:r w:rsidR="00A106CB">
        <w:rPr>
          <w:rFonts w:ascii="Times New Roman" w:hAnsi="Times New Roman" w:cs="Times New Roman"/>
          <w:sz w:val="24"/>
          <w:szCs w:val="24"/>
        </w:rPr>
        <w:t xml:space="preserve"> results are listed in Table</w:t>
      </w:r>
      <w:r w:rsidR="00131036">
        <w:rPr>
          <w:rFonts w:ascii="Times New Roman" w:hAnsi="Times New Roman" w:cs="Times New Roman"/>
          <w:sz w:val="24"/>
          <w:szCs w:val="24"/>
        </w:rPr>
        <w:t>s</w:t>
      </w:r>
      <w:r w:rsidR="00A106CB">
        <w:rPr>
          <w:rFonts w:ascii="Times New Roman" w:hAnsi="Times New Roman" w:cs="Times New Roman"/>
          <w:sz w:val="24"/>
          <w:szCs w:val="24"/>
        </w:rPr>
        <w:t xml:space="preserve"> 6 </w:t>
      </w:r>
      <w:r w:rsidR="00A106CB" w:rsidRPr="00A23E0E">
        <w:rPr>
          <w:rFonts w:ascii="Times New Roman" w:hAnsi="Times New Roman" w:cs="Times New Roman"/>
          <w:sz w:val="24"/>
          <w:szCs w:val="24"/>
        </w:rPr>
        <w:t>and 7</w:t>
      </w:r>
      <w:r w:rsidR="00AB7588" w:rsidRPr="00A23E0E">
        <w:rPr>
          <w:rFonts w:ascii="Times New Roman" w:hAnsi="Times New Roman" w:cs="Times New Roman"/>
          <w:sz w:val="24"/>
          <w:szCs w:val="24"/>
        </w:rPr>
        <w:t xml:space="preserve">.  </w:t>
      </w:r>
      <w:r w:rsidR="00A106CB" w:rsidRPr="00A23E0E">
        <w:rPr>
          <w:rFonts w:ascii="Times New Roman" w:hAnsi="Times New Roman" w:cs="Times New Roman"/>
          <w:sz w:val="24"/>
          <w:szCs w:val="24"/>
        </w:rPr>
        <w:t>In all cases</w:t>
      </w:r>
      <w:r w:rsidR="005857C5">
        <w:rPr>
          <w:rFonts w:ascii="Times New Roman" w:hAnsi="Times New Roman" w:cs="Times New Roman"/>
          <w:sz w:val="24"/>
          <w:szCs w:val="24"/>
        </w:rPr>
        <w:t>,</w:t>
      </w:r>
      <w:r w:rsidR="00A106CB" w:rsidRPr="00A23E0E">
        <w:rPr>
          <w:rFonts w:ascii="Times New Roman" w:hAnsi="Times New Roman" w:cs="Times New Roman"/>
          <w:sz w:val="24"/>
          <w:szCs w:val="24"/>
        </w:rPr>
        <w:t xml:space="preserve"> the m</w:t>
      </w:r>
      <w:r w:rsidR="00D92334" w:rsidRPr="00A23E0E">
        <w:rPr>
          <w:rFonts w:ascii="Times New Roman" w:hAnsi="Times New Roman" w:cs="Times New Roman"/>
          <w:sz w:val="24"/>
          <w:szCs w:val="24"/>
        </w:rPr>
        <w:t>odels have a high</w:t>
      </w:r>
      <w:r w:rsidR="00072800">
        <w:rPr>
          <w:rFonts w:ascii="Times New Roman" w:hAnsi="Times New Roman" w:cs="Times New Roman"/>
          <w:sz w:val="24"/>
          <w:szCs w:val="24"/>
        </w:rPr>
        <w:t xml:space="preserve"> coefficient of determination</w:t>
      </w:r>
      <w:r w:rsidR="00D92334" w:rsidRPr="00A23E0E">
        <w:rPr>
          <w:rFonts w:ascii="Times New Roman" w:hAnsi="Times New Roman" w:cs="Times New Roman"/>
          <w:sz w:val="24"/>
          <w:szCs w:val="24"/>
        </w:rPr>
        <w:t>, of</w:t>
      </w:r>
      <w:r w:rsidR="00A106CB" w:rsidRPr="00A23E0E">
        <w:rPr>
          <w:rFonts w:ascii="Times New Roman" w:hAnsi="Times New Roman" w:cs="Times New Roman"/>
          <w:sz w:val="24"/>
          <w:szCs w:val="24"/>
        </w:rPr>
        <w:t xml:space="preserve"> 77 </w:t>
      </w:r>
      <w:r w:rsidR="00D92334" w:rsidRPr="00A23E0E">
        <w:rPr>
          <w:rFonts w:ascii="Times New Roman" w:hAnsi="Times New Roman" w:cs="Times New Roman"/>
          <w:sz w:val="24"/>
          <w:szCs w:val="24"/>
        </w:rPr>
        <w:t>and above, indicating</w:t>
      </w:r>
      <w:r w:rsidR="00A106CB" w:rsidRPr="00A23E0E">
        <w:rPr>
          <w:rFonts w:ascii="Times New Roman" w:hAnsi="Times New Roman" w:cs="Times New Roman"/>
          <w:sz w:val="24"/>
          <w:szCs w:val="24"/>
        </w:rPr>
        <w:t xml:space="preserve"> a </w:t>
      </w:r>
      <w:r w:rsidR="00D92334" w:rsidRPr="00A23E0E">
        <w:rPr>
          <w:rFonts w:ascii="Times New Roman" w:hAnsi="Times New Roman" w:cs="Times New Roman"/>
          <w:sz w:val="24"/>
          <w:szCs w:val="24"/>
        </w:rPr>
        <w:t xml:space="preserve">good fit.  </w:t>
      </w:r>
      <w:r w:rsidRPr="00A23E0E">
        <w:rPr>
          <w:rFonts w:ascii="Times New Roman" w:hAnsi="Times New Roman" w:cs="Times New Roman"/>
          <w:sz w:val="24"/>
          <w:szCs w:val="24"/>
        </w:rPr>
        <w:t>When we introduce a down dummy, for months in which the Russell</w:t>
      </w:r>
      <w:r w:rsidR="00AB7588" w:rsidRPr="00A23E0E">
        <w:rPr>
          <w:rFonts w:ascii="Times New Roman" w:hAnsi="Times New Roman" w:cs="Times New Roman"/>
          <w:sz w:val="24"/>
          <w:szCs w:val="24"/>
        </w:rPr>
        <w:t xml:space="preserve"> </w:t>
      </w:r>
      <w:r w:rsidRPr="00A23E0E">
        <w:rPr>
          <w:rFonts w:ascii="Times New Roman" w:hAnsi="Times New Roman" w:cs="Times New Roman"/>
          <w:sz w:val="24"/>
          <w:szCs w:val="24"/>
        </w:rPr>
        <w:t>3000 has a negative r</w:t>
      </w:r>
      <w:r w:rsidR="00AB7588" w:rsidRPr="00A23E0E">
        <w:rPr>
          <w:rFonts w:ascii="Times New Roman" w:hAnsi="Times New Roman" w:cs="Times New Roman"/>
          <w:sz w:val="24"/>
          <w:szCs w:val="24"/>
        </w:rPr>
        <w:t>eturn, the</w:t>
      </w:r>
      <w:r w:rsidR="00A106CB" w:rsidRPr="00A23E0E">
        <w:rPr>
          <w:rFonts w:ascii="Times New Roman" w:hAnsi="Times New Roman" w:cs="Times New Roman"/>
          <w:sz w:val="24"/>
          <w:szCs w:val="24"/>
        </w:rPr>
        <w:t xml:space="preserve"> </w:t>
      </w:r>
      <w:r w:rsidR="00072800">
        <w:rPr>
          <w:rFonts w:ascii="Times New Roman" w:hAnsi="Times New Roman" w:cs="Times New Roman"/>
          <w:sz w:val="24"/>
          <w:szCs w:val="24"/>
        </w:rPr>
        <w:t xml:space="preserve">coefficient of determination </w:t>
      </w:r>
      <w:r w:rsidR="00A106CB" w:rsidRPr="00E63643">
        <w:rPr>
          <w:rFonts w:ascii="Times New Roman" w:hAnsi="Times New Roman" w:cs="Times New Roman"/>
          <w:sz w:val="24"/>
          <w:szCs w:val="24"/>
        </w:rPr>
        <w:t>increases and the coefficient for the down dummy is significant in most cases</w:t>
      </w:r>
      <w:r w:rsidR="00AB7588" w:rsidRPr="00E63643">
        <w:rPr>
          <w:rFonts w:ascii="Times New Roman" w:hAnsi="Times New Roman" w:cs="Times New Roman"/>
          <w:sz w:val="24"/>
          <w:szCs w:val="24"/>
        </w:rPr>
        <w:t xml:space="preserve">. </w:t>
      </w:r>
      <w:r w:rsidR="00A23E0E" w:rsidRPr="00E63643">
        <w:rPr>
          <w:rFonts w:ascii="Times New Roman" w:hAnsi="Times New Roman" w:cs="Times New Roman"/>
          <w:sz w:val="24"/>
          <w:szCs w:val="24"/>
        </w:rPr>
        <w:t xml:space="preserve"> </w:t>
      </w:r>
      <w:r w:rsidR="00C051D9">
        <w:rPr>
          <w:rFonts w:ascii="Times New Roman" w:hAnsi="Times New Roman" w:cs="Times New Roman"/>
          <w:sz w:val="24"/>
          <w:szCs w:val="24"/>
        </w:rPr>
        <w:t xml:space="preserve">For the portfolios categorized by percentage foreign sales, the result is not significant for firms with over 50 percent foreign sales, but it is significant and negative in all other cases.  The coefficient is most negative for firms with between 25 and 50 percent foreign sales, and becomes less negative with lower foreign sales.  </w:t>
      </w:r>
      <w:r w:rsidR="00A23E0E" w:rsidRPr="00E63643">
        <w:rPr>
          <w:rFonts w:ascii="Times New Roman" w:hAnsi="Times New Roman" w:cs="Times New Roman"/>
          <w:sz w:val="24"/>
          <w:szCs w:val="24"/>
        </w:rPr>
        <w:t>The coefficients for the ABHK 4, 5 and 6 portfolios are significant and negative, and more negative t</w:t>
      </w:r>
      <w:r w:rsidR="001044E4">
        <w:rPr>
          <w:rFonts w:ascii="Times New Roman" w:hAnsi="Times New Roman" w:cs="Times New Roman"/>
          <w:sz w:val="24"/>
          <w:szCs w:val="24"/>
        </w:rPr>
        <w:t>han firms with an ABHK 0 score.</w:t>
      </w:r>
      <w:r w:rsidR="00A23E0E" w:rsidRPr="00E63643">
        <w:rPr>
          <w:rFonts w:ascii="Times New Roman" w:hAnsi="Times New Roman" w:cs="Times New Roman"/>
          <w:sz w:val="24"/>
          <w:szCs w:val="24"/>
        </w:rPr>
        <w:t xml:space="preserve"> The </w:t>
      </w:r>
      <w:r w:rsidR="00A23E0E" w:rsidRPr="00E63643">
        <w:rPr>
          <w:rFonts w:ascii="Times New Roman" w:hAnsi="Times New Roman" w:cs="Times New Roman"/>
          <w:sz w:val="24"/>
          <w:szCs w:val="24"/>
        </w:rPr>
        <w:lastRenderedPageBreak/>
        <w:t>results for ABHK 1, 2 and 3 are either insignificant or</w:t>
      </w:r>
      <w:r w:rsidR="001044E4">
        <w:rPr>
          <w:rFonts w:ascii="Times New Roman" w:hAnsi="Times New Roman" w:cs="Times New Roman"/>
          <w:sz w:val="24"/>
          <w:szCs w:val="24"/>
        </w:rPr>
        <w:t xml:space="preserve"> the same as for ABHK 0 firms. </w:t>
      </w:r>
      <w:r w:rsidR="00E63643" w:rsidRPr="00E63643">
        <w:rPr>
          <w:rFonts w:ascii="Times New Roman" w:hAnsi="Times New Roman" w:cs="Times New Roman"/>
          <w:sz w:val="24"/>
          <w:szCs w:val="24"/>
        </w:rPr>
        <w:t>Therefore the share price reaction is only significantly different for h</w:t>
      </w:r>
      <w:r w:rsidR="001044E4">
        <w:rPr>
          <w:rFonts w:ascii="Times New Roman" w:hAnsi="Times New Roman" w:cs="Times New Roman"/>
          <w:sz w:val="24"/>
          <w:szCs w:val="24"/>
        </w:rPr>
        <w:t xml:space="preserve">ighly internationalized firms. </w:t>
      </w:r>
      <w:r w:rsidR="00E63643">
        <w:rPr>
          <w:rFonts w:ascii="Times New Roman" w:hAnsi="Times New Roman" w:cs="Times New Roman"/>
          <w:sz w:val="24"/>
          <w:szCs w:val="24"/>
        </w:rPr>
        <w:t>These results confirm the findings of our prelimina</w:t>
      </w:r>
      <w:r w:rsidR="005D1F8A">
        <w:rPr>
          <w:rFonts w:ascii="Times New Roman" w:hAnsi="Times New Roman" w:cs="Times New Roman"/>
          <w:sz w:val="24"/>
          <w:szCs w:val="24"/>
        </w:rPr>
        <w:t>ry analysis</w:t>
      </w:r>
      <w:r w:rsidR="00E63643">
        <w:rPr>
          <w:rFonts w:ascii="Times New Roman" w:hAnsi="Times New Roman" w:cs="Times New Roman"/>
          <w:sz w:val="24"/>
          <w:szCs w:val="24"/>
        </w:rPr>
        <w:t xml:space="preserve"> that highly internationalized firms experienced a greater sell off in periods of negative return and the result i</w:t>
      </w:r>
      <w:r w:rsidR="00072800">
        <w:rPr>
          <w:rFonts w:ascii="Times New Roman" w:hAnsi="Times New Roman" w:cs="Times New Roman"/>
          <w:sz w:val="24"/>
          <w:szCs w:val="24"/>
        </w:rPr>
        <w:t>s more pronounced for the most multinational</w:t>
      </w:r>
      <w:r w:rsidR="00160ED8">
        <w:rPr>
          <w:rFonts w:ascii="Times New Roman" w:hAnsi="Times New Roman" w:cs="Times New Roman"/>
          <w:sz w:val="24"/>
          <w:szCs w:val="24"/>
        </w:rPr>
        <w:t xml:space="preserve"> firms, particularly for tho</w:t>
      </w:r>
      <w:r w:rsidR="00E63643">
        <w:rPr>
          <w:rFonts w:ascii="Times New Roman" w:hAnsi="Times New Roman" w:cs="Times New Roman"/>
          <w:sz w:val="24"/>
          <w:szCs w:val="24"/>
        </w:rPr>
        <w:t xml:space="preserve">se with the greatest scope of internationalization.  </w:t>
      </w:r>
    </w:p>
    <w:p w14:paraId="23CD5A12" w14:textId="77777777" w:rsidR="00591670" w:rsidRDefault="00591670" w:rsidP="00D9108B">
      <w:pPr>
        <w:spacing w:after="0" w:line="480" w:lineRule="auto"/>
        <w:jc w:val="both"/>
        <w:rPr>
          <w:rFonts w:ascii="Times New Roman" w:hAnsi="Times New Roman" w:cs="Times New Roman"/>
          <w:sz w:val="24"/>
          <w:szCs w:val="24"/>
        </w:rPr>
      </w:pPr>
    </w:p>
    <w:p w14:paraId="32BE54CB" w14:textId="78C82100" w:rsidR="004518E8" w:rsidRDefault="004518E8" w:rsidP="004518E8">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INSERT TABLE 6 HERE</w:t>
      </w:r>
    </w:p>
    <w:p w14:paraId="701F1832" w14:textId="77777777" w:rsidR="00786AA4" w:rsidRDefault="00786AA4" w:rsidP="00D9108B">
      <w:pPr>
        <w:spacing w:after="0" w:line="480" w:lineRule="auto"/>
        <w:jc w:val="both"/>
        <w:rPr>
          <w:rFonts w:ascii="Times New Roman" w:hAnsi="Times New Roman" w:cs="Times New Roman"/>
          <w:sz w:val="24"/>
          <w:szCs w:val="24"/>
        </w:rPr>
      </w:pPr>
    </w:p>
    <w:p w14:paraId="4F51EA9B" w14:textId="7F8F8AD4" w:rsidR="008173E9" w:rsidRDefault="00B07388" w:rsidP="00D9108B">
      <w:pPr>
        <w:spacing w:after="0"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In Table 7 we present the results from the </w:t>
      </w:r>
      <w:proofErr w:type="spellStart"/>
      <w:r w:rsidR="00AB7588">
        <w:rPr>
          <w:rFonts w:ascii="Times New Roman" w:hAnsi="Times New Roman" w:cs="Times New Roman"/>
          <w:sz w:val="24"/>
          <w:szCs w:val="24"/>
        </w:rPr>
        <w:t>Fama</w:t>
      </w:r>
      <w:proofErr w:type="spellEnd"/>
      <w:r w:rsidR="00AB7588">
        <w:rPr>
          <w:rFonts w:ascii="Times New Roman" w:hAnsi="Times New Roman" w:cs="Times New Roman"/>
          <w:sz w:val="24"/>
          <w:szCs w:val="24"/>
        </w:rPr>
        <w:t>-French five</w:t>
      </w:r>
      <w:r w:rsidR="008173E9" w:rsidRPr="00BD5496">
        <w:rPr>
          <w:rFonts w:ascii="Times New Roman" w:hAnsi="Times New Roman" w:cs="Times New Roman"/>
          <w:sz w:val="24"/>
          <w:szCs w:val="24"/>
        </w:rPr>
        <w:t xml:space="preserve"> factor model, adding two more factors; </w:t>
      </w:r>
      <w:r w:rsidR="008173E9" w:rsidRPr="00BD5496">
        <w:rPr>
          <w:rFonts w:ascii="Times New Roman" w:hAnsi="Times New Roman" w:cs="Times New Roman"/>
          <w:color w:val="000000"/>
          <w:sz w:val="24"/>
          <w:szCs w:val="24"/>
          <w:shd w:val="clear" w:color="auto" w:fill="FFFFFF"/>
        </w:rPr>
        <w:t>profitability (</w:t>
      </w:r>
      <w:r w:rsidR="00AB7588">
        <w:rPr>
          <w:rFonts w:ascii="Times New Roman" w:hAnsi="Times New Roman" w:cs="Times New Roman"/>
          <w:color w:val="000000"/>
          <w:sz w:val="24"/>
          <w:szCs w:val="24"/>
          <w:shd w:val="clear" w:color="auto" w:fill="FFFFFF"/>
        </w:rPr>
        <w:t xml:space="preserve">firms </w:t>
      </w:r>
      <w:r w:rsidR="008173E9" w:rsidRPr="00BD5496">
        <w:rPr>
          <w:rFonts w:ascii="Times New Roman" w:hAnsi="Times New Roman" w:cs="Times New Roman"/>
          <w:color w:val="000000"/>
          <w:sz w:val="24"/>
          <w:szCs w:val="24"/>
          <w:shd w:val="clear" w:color="auto" w:fill="FFFFFF"/>
        </w:rPr>
        <w:t>with a high operating profitability are expected to perform better) and an investment fact</w:t>
      </w:r>
      <w:r w:rsidR="00AB7588">
        <w:rPr>
          <w:rFonts w:ascii="Times New Roman" w:hAnsi="Times New Roman" w:cs="Times New Roman"/>
          <w:color w:val="000000"/>
          <w:sz w:val="24"/>
          <w:szCs w:val="24"/>
          <w:shd w:val="clear" w:color="auto" w:fill="FFFFFF"/>
        </w:rPr>
        <w:t>or (firms</w:t>
      </w:r>
      <w:r w:rsidR="008173E9" w:rsidRPr="00BD5496">
        <w:rPr>
          <w:rFonts w:ascii="Times New Roman" w:hAnsi="Times New Roman" w:cs="Times New Roman"/>
          <w:color w:val="000000"/>
          <w:sz w:val="24"/>
          <w:szCs w:val="24"/>
          <w:shd w:val="clear" w:color="auto" w:fill="FFFFFF"/>
        </w:rPr>
        <w:t xml:space="preserve"> with high total asset growth </w:t>
      </w:r>
      <w:r w:rsidR="008173E9">
        <w:rPr>
          <w:rFonts w:ascii="Times New Roman" w:hAnsi="Times New Roman" w:cs="Times New Roman"/>
          <w:color w:val="000000"/>
          <w:sz w:val="24"/>
          <w:szCs w:val="24"/>
          <w:shd w:val="clear" w:color="auto" w:fill="FFFFFF"/>
        </w:rPr>
        <w:t xml:space="preserve">are expected to </w:t>
      </w:r>
      <w:r w:rsidR="008173E9" w:rsidRPr="00BD5496">
        <w:rPr>
          <w:rFonts w:ascii="Times New Roman" w:hAnsi="Times New Roman" w:cs="Times New Roman"/>
          <w:color w:val="000000"/>
          <w:sz w:val="24"/>
          <w:szCs w:val="24"/>
          <w:shd w:val="clear" w:color="auto" w:fill="FFFFFF"/>
        </w:rPr>
        <w:t>have below average returns)</w:t>
      </w:r>
      <w:r>
        <w:rPr>
          <w:rFonts w:ascii="Times New Roman" w:hAnsi="Times New Roman" w:cs="Times New Roman"/>
          <w:color w:val="000000"/>
          <w:sz w:val="24"/>
          <w:szCs w:val="24"/>
          <w:shd w:val="clear" w:color="auto" w:fill="FFFFFF"/>
        </w:rPr>
        <w:t>, including</w:t>
      </w:r>
      <w:r w:rsidR="005D1F8A">
        <w:rPr>
          <w:rFonts w:ascii="Times New Roman" w:hAnsi="Times New Roman" w:cs="Times New Roman"/>
          <w:color w:val="000000"/>
          <w:sz w:val="24"/>
          <w:szCs w:val="24"/>
          <w:shd w:val="clear" w:color="auto" w:fill="FFFFFF"/>
        </w:rPr>
        <w:t xml:space="preserve"> our dummy variable</w:t>
      </w:r>
      <w:r w:rsidR="008173E9" w:rsidRPr="00BD5496">
        <w:rPr>
          <w:rFonts w:ascii="Times New Roman" w:hAnsi="Times New Roman" w:cs="Times New Roman"/>
          <w:color w:val="000000"/>
          <w:sz w:val="24"/>
          <w:szCs w:val="24"/>
          <w:shd w:val="clear" w:color="auto" w:fill="FFFFFF"/>
        </w:rPr>
        <w:t xml:space="preserve">.  </w:t>
      </w:r>
      <w:r w:rsidR="001C355D">
        <w:rPr>
          <w:rFonts w:ascii="Times New Roman" w:hAnsi="Times New Roman" w:cs="Times New Roman"/>
          <w:color w:val="000000"/>
          <w:sz w:val="24"/>
          <w:szCs w:val="24"/>
          <w:shd w:val="clear" w:color="auto" w:fill="FFFFFF"/>
        </w:rPr>
        <w:t xml:space="preserve">The </w:t>
      </w:r>
      <w:r w:rsidR="00072800">
        <w:rPr>
          <w:rFonts w:ascii="Times New Roman" w:hAnsi="Times New Roman" w:cs="Times New Roman"/>
          <w:color w:val="000000"/>
          <w:sz w:val="24"/>
          <w:szCs w:val="24"/>
          <w:shd w:val="clear" w:color="auto" w:fill="FFFFFF"/>
        </w:rPr>
        <w:t xml:space="preserve">coefficient of determination </w:t>
      </w:r>
      <w:r w:rsidR="001C355D">
        <w:rPr>
          <w:rFonts w:ascii="Times New Roman" w:hAnsi="Times New Roman" w:cs="Times New Roman"/>
          <w:color w:val="000000"/>
          <w:sz w:val="24"/>
          <w:szCs w:val="24"/>
          <w:shd w:val="clear" w:color="auto" w:fill="FFFFFF"/>
        </w:rPr>
        <w:t xml:space="preserve">is higher for every regression result, providing justification for the addition of the two extra variables.  </w:t>
      </w:r>
      <w:r w:rsidR="007149A1">
        <w:rPr>
          <w:rFonts w:ascii="Times New Roman" w:hAnsi="Times New Roman" w:cs="Times New Roman"/>
          <w:color w:val="000000"/>
          <w:sz w:val="24"/>
          <w:szCs w:val="24"/>
          <w:shd w:val="clear" w:color="auto" w:fill="FFFFFF"/>
        </w:rPr>
        <w:t>For the adjusted five factor model the</w:t>
      </w:r>
      <w:r w:rsidR="008173E9" w:rsidRPr="00BD5496">
        <w:rPr>
          <w:rFonts w:ascii="Times New Roman" w:hAnsi="Times New Roman" w:cs="Times New Roman"/>
          <w:color w:val="000000"/>
          <w:sz w:val="24"/>
          <w:szCs w:val="24"/>
          <w:shd w:val="clear" w:color="auto" w:fill="FFFFFF"/>
        </w:rPr>
        <w:t xml:space="preserve"> dummy</w:t>
      </w:r>
      <w:r w:rsidR="005D1F8A">
        <w:rPr>
          <w:rFonts w:ascii="Times New Roman" w:hAnsi="Times New Roman" w:cs="Times New Roman"/>
          <w:color w:val="000000"/>
          <w:sz w:val="24"/>
          <w:szCs w:val="24"/>
          <w:shd w:val="clear" w:color="auto" w:fill="FFFFFF"/>
        </w:rPr>
        <w:t xml:space="preserve"> variable</w:t>
      </w:r>
      <w:r w:rsidR="008173E9" w:rsidRPr="00BD5496">
        <w:rPr>
          <w:rFonts w:ascii="Times New Roman" w:hAnsi="Times New Roman" w:cs="Times New Roman"/>
          <w:color w:val="000000"/>
          <w:sz w:val="24"/>
          <w:szCs w:val="24"/>
          <w:shd w:val="clear" w:color="auto" w:fill="FFFFFF"/>
        </w:rPr>
        <w:t xml:space="preserve"> is </w:t>
      </w:r>
      <w:r w:rsidR="007149A1">
        <w:rPr>
          <w:rFonts w:ascii="Times New Roman" w:hAnsi="Times New Roman" w:cs="Times New Roman"/>
          <w:color w:val="000000"/>
          <w:sz w:val="24"/>
          <w:szCs w:val="24"/>
          <w:shd w:val="clear" w:color="auto" w:fill="FFFFFF"/>
        </w:rPr>
        <w:t xml:space="preserve">negative and </w:t>
      </w:r>
      <w:r w:rsidR="008173E9" w:rsidRPr="00BD5496">
        <w:rPr>
          <w:rFonts w:ascii="Times New Roman" w:hAnsi="Times New Roman" w:cs="Times New Roman"/>
          <w:color w:val="000000"/>
          <w:sz w:val="24"/>
          <w:szCs w:val="24"/>
          <w:shd w:val="clear" w:color="auto" w:fill="FFFFFF"/>
        </w:rPr>
        <w:t xml:space="preserve">significant </w:t>
      </w:r>
      <w:r w:rsidR="007149A1">
        <w:rPr>
          <w:rFonts w:ascii="Times New Roman" w:hAnsi="Times New Roman" w:cs="Times New Roman"/>
          <w:color w:val="000000"/>
          <w:sz w:val="24"/>
          <w:szCs w:val="24"/>
          <w:shd w:val="clear" w:color="auto" w:fill="FFFFFF"/>
        </w:rPr>
        <w:t xml:space="preserve">in every case.  </w:t>
      </w:r>
      <w:r w:rsidR="00C051D9">
        <w:rPr>
          <w:rFonts w:ascii="Times New Roman" w:hAnsi="Times New Roman" w:cs="Times New Roman"/>
          <w:color w:val="000000"/>
          <w:sz w:val="24"/>
          <w:szCs w:val="24"/>
          <w:shd w:val="clear" w:color="auto" w:fill="FFFFFF"/>
        </w:rPr>
        <w:t>For firms categorized by percentage foreign sales, the coefficient is significant for firms with over 50 percent foreign sales</w:t>
      </w:r>
      <w:r w:rsidR="00C051D9" w:rsidRPr="00BD5496">
        <w:rPr>
          <w:rFonts w:ascii="Times New Roman" w:hAnsi="Times New Roman" w:cs="Times New Roman"/>
          <w:color w:val="000000"/>
          <w:sz w:val="24"/>
          <w:szCs w:val="24"/>
          <w:shd w:val="clear" w:color="auto" w:fill="FFFFFF"/>
        </w:rPr>
        <w:t>.</w:t>
      </w:r>
      <w:r w:rsidR="00C051D9">
        <w:rPr>
          <w:rFonts w:ascii="Times New Roman" w:hAnsi="Times New Roman" w:cs="Times New Roman"/>
          <w:color w:val="000000"/>
          <w:sz w:val="24"/>
          <w:szCs w:val="24"/>
          <w:shd w:val="clear" w:color="auto" w:fill="FFFFFF"/>
        </w:rPr>
        <w:t xml:space="preserve">  All of the categories of foreign sales have a larger negative coefficient than for the firms with no foreign sales.  </w:t>
      </w:r>
      <w:r w:rsidR="007149A1">
        <w:rPr>
          <w:rFonts w:ascii="Times New Roman" w:hAnsi="Times New Roman" w:cs="Times New Roman"/>
          <w:color w:val="000000"/>
          <w:sz w:val="24"/>
          <w:szCs w:val="24"/>
          <w:shd w:val="clear" w:color="auto" w:fill="FFFFFF"/>
        </w:rPr>
        <w:t>As was the case for the three facto</w:t>
      </w:r>
      <w:r w:rsidR="00160ED8">
        <w:rPr>
          <w:rFonts w:ascii="Times New Roman" w:hAnsi="Times New Roman" w:cs="Times New Roman"/>
          <w:color w:val="000000"/>
          <w:sz w:val="24"/>
          <w:szCs w:val="24"/>
          <w:shd w:val="clear" w:color="auto" w:fill="FFFFFF"/>
        </w:rPr>
        <w:t>r model, the negative coefficient is larger</w:t>
      </w:r>
      <w:r w:rsidR="007149A1">
        <w:rPr>
          <w:rFonts w:ascii="Times New Roman" w:hAnsi="Times New Roman" w:cs="Times New Roman"/>
          <w:color w:val="000000"/>
          <w:sz w:val="24"/>
          <w:szCs w:val="24"/>
          <w:shd w:val="clear" w:color="auto" w:fill="FFFFFF"/>
        </w:rPr>
        <w:t xml:space="preserve"> for firms with an ABHK score of 4 and above.  These findings strongly support our earlier findings that highly internationalized firms are experiencing a greater negative reaction to downward movements in the domestic index.</w:t>
      </w:r>
      <w:r w:rsidR="00160ED8">
        <w:rPr>
          <w:rFonts w:ascii="Times New Roman" w:hAnsi="Times New Roman" w:cs="Times New Roman"/>
          <w:color w:val="000000"/>
          <w:sz w:val="24"/>
          <w:szCs w:val="24"/>
          <w:shd w:val="clear" w:color="auto" w:fill="FFFFFF"/>
        </w:rPr>
        <w:t xml:space="preserve"> </w:t>
      </w:r>
    </w:p>
    <w:p w14:paraId="38F7D0E8" w14:textId="77777777" w:rsidR="004518E8" w:rsidRDefault="004518E8" w:rsidP="00D9108B">
      <w:pPr>
        <w:spacing w:after="0" w:line="480" w:lineRule="auto"/>
        <w:jc w:val="both"/>
        <w:rPr>
          <w:rFonts w:ascii="Times New Roman" w:hAnsi="Times New Roman" w:cs="Times New Roman"/>
          <w:color w:val="000000"/>
          <w:sz w:val="24"/>
          <w:szCs w:val="24"/>
          <w:shd w:val="clear" w:color="auto" w:fill="FFFFFF"/>
        </w:rPr>
      </w:pPr>
    </w:p>
    <w:p w14:paraId="313E5416" w14:textId="65DA2DED" w:rsidR="00D904F7" w:rsidRDefault="004518E8" w:rsidP="004518E8">
      <w:pPr>
        <w:spacing w:after="0" w:line="48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INSERT TABLE 7 HERE</w:t>
      </w:r>
    </w:p>
    <w:p w14:paraId="7E20C924" w14:textId="77777777" w:rsidR="004518E8" w:rsidRDefault="004518E8" w:rsidP="004518E8">
      <w:pPr>
        <w:spacing w:after="0" w:line="480" w:lineRule="auto"/>
        <w:jc w:val="center"/>
        <w:rPr>
          <w:rFonts w:ascii="Times New Roman" w:hAnsi="Times New Roman" w:cs="Times New Roman"/>
          <w:color w:val="000000"/>
          <w:sz w:val="24"/>
          <w:szCs w:val="24"/>
          <w:shd w:val="clear" w:color="auto" w:fill="FFFFFF"/>
        </w:rPr>
      </w:pPr>
    </w:p>
    <w:p w14:paraId="1F81597F" w14:textId="44FE7F5C" w:rsidR="00450E8A" w:rsidRDefault="00450E8A" w:rsidP="00450E8A">
      <w:pPr>
        <w:spacing w:after="0" w:line="480" w:lineRule="auto"/>
        <w:jc w:val="both"/>
        <w:rPr>
          <w:rFonts w:ascii="Times New Roman" w:eastAsia="Times New Roman" w:hAnsi="Times New Roman" w:cs="Times New Roman"/>
          <w:sz w:val="24"/>
          <w:szCs w:val="24"/>
        </w:rPr>
      </w:pPr>
      <w:r w:rsidRPr="00DE764B">
        <w:rPr>
          <w:rFonts w:ascii="Times New Roman" w:eastAsia="Times New Roman" w:hAnsi="Times New Roman" w:cs="Times New Roman"/>
          <w:sz w:val="24"/>
          <w:szCs w:val="24"/>
        </w:rPr>
        <w:lastRenderedPageBreak/>
        <w:t xml:space="preserve">We </w:t>
      </w:r>
      <w:r>
        <w:rPr>
          <w:rFonts w:ascii="Times New Roman" w:eastAsia="Times New Roman" w:hAnsi="Times New Roman" w:cs="Times New Roman"/>
          <w:sz w:val="24"/>
          <w:szCs w:val="24"/>
        </w:rPr>
        <w:t>investigate if our results are</w:t>
      </w:r>
      <w:r w:rsidRPr="0019316D">
        <w:rPr>
          <w:rFonts w:ascii="Times New Roman" w:eastAsia="Times New Roman" w:hAnsi="Times New Roman" w:cs="Times New Roman"/>
          <w:sz w:val="24"/>
          <w:szCs w:val="24"/>
        </w:rPr>
        <w:t xml:space="preserve"> influenced by share </w:t>
      </w:r>
      <w:r w:rsidRPr="00E80013">
        <w:rPr>
          <w:rFonts w:ascii="Times New Roman" w:eastAsia="Times New Roman" w:hAnsi="Times New Roman" w:cs="Times New Roman"/>
          <w:sz w:val="24"/>
          <w:szCs w:val="24"/>
        </w:rPr>
        <w:t>ownership.</w:t>
      </w:r>
      <w:r>
        <w:rPr>
          <w:rFonts w:ascii="Times New Roman" w:eastAsia="Times New Roman" w:hAnsi="Times New Roman" w:cs="Times New Roman"/>
          <w:sz w:val="24"/>
          <w:szCs w:val="24"/>
        </w:rPr>
        <w:t xml:space="preserve"> Existing literature distinguishes between institutional and retail investors</w:t>
      </w:r>
      <w:r w:rsidR="00BE3481">
        <w:rPr>
          <w:rFonts w:ascii="Times New Roman" w:eastAsia="Times New Roman" w:hAnsi="Times New Roman" w:cs="Times New Roman"/>
          <w:sz w:val="24"/>
          <w:szCs w:val="24"/>
        </w:rPr>
        <w:t xml:space="preserve"> (</w:t>
      </w:r>
      <w:r w:rsidR="00DA0250">
        <w:rPr>
          <w:rStyle w:val="FootnoteReference"/>
          <w:rFonts w:ascii="Times New Roman" w:hAnsi="Times New Roman" w:cs="Times New Roman"/>
          <w:sz w:val="24"/>
          <w:szCs w:val="24"/>
          <w:shd w:val="clear" w:color="auto" w:fill="FFFFFF"/>
        </w:rPr>
        <w:fldChar w:fldCharType="begin" w:fldLock="1"/>
      </w:r>
      <w:r w:rsidR="001E4568">
        <w:rPr>
          <w:rFonts w:ascii="Times New Roman" w:hAnsi="Times New Roman" w:cs="Times New Roman"/>
          <w:sz w:val="24"/>
          <w:szCs w:val="24"/>
          <w:shd w:val="clear" w:color="auto" w:fill="FFFFFF"/>
        </w:rPr>
        <w:instrText>ADDIN CSL_CITATION {"citationItems":[{"id":"ITEM-1","itemData":{"DOI":"10.1177/0148558X9200700305","ISSN":"21604061","abstract":"Institutional investors are important both because of the magnitude of their holdings and trading activity and because their decisions to buy or sell can signal a good takeover candidate as well as in some instances facilitate the takeover. However, little is known as to why institutions prefer one stock to another. Through discriminant analysis seven variables (six accounting ratios and size) are identified that reveal the differences in financial characteristics between neglected and strongly held firms. Regression analysis is then used to show that four variables from the set of seven discriminant variables are consistent predictors of the actual fraction of outstanding shares held by financial...","author":[{"dropping-particle":"","family":"Hessel","given":"Christopher A.","non-dropping-particle":"","parse-names":false,"suffix":""},{"dropping-particle":"","family":"Norman","given":"Morton","non-dropping-particle":"","parse-names":false,"suffix":""}],"container-title":"Journal of Accounting, Auditing &amp; Finance","id":"ITEM-1","issued":{"date-parts":[["1992"]]},"title":"Financial Characteristics of Neglected and Institutionally Held Stocks","type":"article"},"uris":["http://www.mendeley.com/documents/?uuid=473eae23-2582-4c25-9bdb-371f0446637d","http://www.mendeley.com/documents/?uuid=7d6ab0dc-9ea0-4866-a1f6-8287c071584f"]}],"mendeley":{"formattedCitation":"(Hessel &amp; Norman, 1992)","manualFormatting":"Hessel &amp; Norman, 1992)","plainTextFormattedCitation":"(Hessel &amp; Norman, 1992)","previouslyFormattedCitation":"(Hessel &amp; Norman, 1992)"},"properties":{"noteIndex":0},"schema":"https://github.com/citation-style-language/schema/raw/master/csl-citation.json"}</w:instrText>
      </w:r>
      <w:r w:rsidR="00DA0250">
        <w:rPr>
          <w:rStyle w:val="FootnoteReference"/>
          <w:rFonts w:ascii="Times New Roman" w:hAnsi="Times New Roman" w:cs="Times New Roman"/>
          <w:sz w:val="24"/>
          <w:szCs w:val="24"/>
          <w:shd w:val="clear" w:color="auto" w:fill="FFFFFF"/>
        </w:rPr>
        <w:fldChar w:fldCharType="separate"/>
      </w:r>
      <w:r w:rsidR="00DA0250">
        <w:rPr>
          <w:rFonts w:ascii="Times New Roman" w:hAnsi="Times New Roman" w:cs="Times New Roman"/>
          <w:noProof/>
          <w:sz w:val="24"/>
          <w:szCs w:val="24"/>
          <w:shd w:val="clear" w:color="auto" w:fill="FFFFFF"/>
        </w:rPr>
        <w:t>Hessel &amp; Norman, 1992)</w:t>
      </w:r>
      <w:r w:rsidR="00DA0250">
        <w:rPr>
          <w:rStyle w:val="FootnoteReference"/>
          <w:rFonts w:ascii="Times New Roman" w:hAnsi="Times New Roman" w:cs="Times New Roman"/>
          <w:sz w:val="24"/>
          <w:szCs w:val="24"/>
          <w:shd w:val="clear" w:color="auto" w:fill="FFFFFF"/>
        </w:rPr>
        <w:fldChar w:fldCharType="end"/>
      </w:r>
      <w:r>
        <w:rPr>
          <w:rFonts w:ascii="Times New Roman" w:eastAsia="Times New Roman" w:hAnsi="Times New Roman" w:cs="Times New Roman"/>
          <w:sz w:val="24"/>
          <w:szCs w:val="24"/>
        </w:rPr>
        <w:t xml:space="preserve">. </w:t>
      </w:r>
      <w:r w:rsidR="00DA0250">
        <w:rPr>
          <w:rStyle w:val="FootnoteReference"/>
          <w:rFonts w:ascii="Times New Roman" w:eastAsia="Times New Roman" w:hAnsi="Times New Roman" w:cs="Times New Roman"/>
          <w:sz w:val="24"/>
          <w:szCs w:val="24"/>
        </w:rPr>
        <w:fldChar w:fldCharType="begin" w:fldLock="1"/>
      </w:r>
      <w:r w:rsidR="001E4568">
        <w:rPr>
          <w:rFonts w:ascii="Times New Roman" w:eastAsia="Times New Roman" w:hAnsi="Times New Roman" w:cs="Times New Roman"/>
          <w:sz w:val="24"/>
          <w:szCs w:val="24"/>
        </w:rPr>
        <w:instrText>ADDIN CSL_CITATION {"citationItems":[{"id":"ITEM-1","itemData":{"ISSN":"15446123","abstract":"We show that US investors obtain substantial foreign exposure through their holdings of domestic equities. Domestic multinationals, in particular, provide significant foreign exposure. We also find that, although the average US investor is less tilted toward domestic multinationals, institutional investors do overweight domestic firms that are more internationally oriented. ‘Indirect’ foreign holdings through domestic multinationals are shown to be substantial; combining them with reported data on international positions almost doubles US investors’ total ‘foreign’ holdings. Our findings indicate that the home bias is not as severe as assessments based on reported international investment statistics suggest.","author":[{"dropping-particle":"","family":"Cai","given":"Fang","non-dropping-particle":"","parse-names":false,"suffix":""},{"dropping-particle":"","family":"Warnock","given":"Francis E.","non-dropping-particle":"","parse-names":false,"suffix":""}],"container-title":"Finance Research Letters","id":"ITEM-1","issue":"1","issued":{"date-parts":[["2012","3"]]},"page":"8-20","title":"Foreign exposure through domestic equities","type":"article-journal","volume":"9"},"uris":["http://www.mendeley.com/documents/?uuid=d40ced0f-3106-4f13-8471-8ef9acf95086"]}],"mendeley":{"formattedCitation":"(Cai &amp; Warnock, 2012)","manualFormatting":"Cai &amp; Warnock (2012)","plainTextFormattedCitation":"(Cai &amp; Warnock, 2012)","previouslyFormattedCitation":"(Cai &amp; Warnock, 2012)"},"properties":{"noteIndex":0},"schema":"https://github.com/citation-style-language/schema/raw/master/csl-citation.json"}</w:instrText>
      </w:r>
      <w:r w:rsidR="00DA0250">
        <w:rPr>
          <w:rStyle w:val="FootnoteReference"/>
          <w:rFonts w:ascii="Times New Roman" w:eastAsia="Times New Roman" w:hAnsi="Times New Roman" w:cs="Times New Roman"/>
          <w:sz w:val="24"/>
          <w:szCs w:val="24"/>
        </w:rPr>
        <w:fldChar w:fldCharType="separate"/>
      </w:r>
      <w:r w:rsidR="00DA0250">
        <w:rPr>
          <w:rFonts w:ascii="Times New Roman" w:eastAsia="Times New Roman" w:hAnsi="Times New Roman" w:cs="Times New Roman"/>
          <w:noProof/>
          <w:sz w:val="24"/>
          <w:szCs w:val="24"/>
        </w:rPr>
        <w:t>Cai &amp; Warnock (2012)</w:t>
      </w:r>
      <w:r w:rsidR="00DA0250">
        <w:rPr>
          <w:rStyle w:val="FootnoteReference"/>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Pr="00150AA5">
        <w:rPr>
          <w:rFonts w:ascii="Times New Roman" w:hAnsi="Times New Roman" w:cs="Times New Roman"/>
          <w:sz w:val="24"/>
          <w:szCs w:val="24"/>
        </w:rPr>
        <w:t xml:space="preserve">find that </w:t>
      </w:r>
      <w:r>
        <w:rPr>
          <w:rFonts w:ascii="Times New Roman" w:hAnsi="Times New Roman" w:cs="Times New Roman"/>
          <w:sz w:val="24"/>
          <w:szCs w:val="24"/>
        </w:rPr>
        <w:t>53</w:t>
      </w:r>
      <w:r w:rsidRPr="00150AA5">
        <w:rPr>
          <w:rFonts w:ascii="Times New Roman" w:hAnsi="Times New Roman" w:cs="Times New Roman"/>
          <w:sz w:val="24"/>
          <w:szCs w:val="24"/>
        </w:rPr>
        <w:t xml:space="preserve"> percent of US market capitalization is</w:t>
      </w:r>
      <w:r>
        <w:rPr>
          <w:rFonts w:ascii="Times New Roman" w:hAnsi="Times New Roman" w:cs="Times New Roman"/>
          <w:sz w:val="24"/>
          <w:szCs w:val="24"/>
        </w:rPr>
        <w:t xml:space="preserve"> held by </w:t>
      </w:r>
      <w:r w:rsidRPr="00150AA5">
        <w:rPr>
          <w:rFonts w:ascii="Times New Roman" w:hAnsi="Times New Roman" w:cs="Times New Roman"/>
          <w:sz w:val="24"/>
          <w:szCs w:val="24"/>
        </w:rPr>
        <w:t>ins</w:t>
      </w:r>
      <w:r>
        <w:rPr>
          <w:rFonts w:ascii="Times New Roman" w:hAnsi="Times New Roman" w:cs="Times New Roman"/>
          <w:sz w:val="24"/>
          <w:szCs w:val="24"/>
        </w:rPr>
        <w:t>titutional investors, and that i</w:t>
      </w:r>
      <w:r w:rsidRPr="00150AA5">
        <w:rPr>
          <w:rFonts w:ascii="Times New Roman" w:hAnsi="Times New Roman" w:cs="Times New Roman"/>
          <w:sz w:val="24"/>
          <w:szCs w:val="24"/>
        </w:rPr>
        <w:t>nstitutional investors prefer to hold</w:t>
      </w:r>
      <w:r>
        <w:rPr>
          <w:rFonts w:ascii="Times New Roman" w:hAnsi="Times New Roman" w:cs="Times New Roman"/>
          <w:sz w:val="24"/>
          <w:szCs w:val="24"/>
        </w:rPr>
        <w:t xml:space="preserve"> large internationalized firms.</w:t>
      </w:r>
      <w:r w:rsidRPr="00150A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E80013">
        <w:rPr>
          <w:rFonts w:ascii="Times New Roman" w:hAnsi="Times New Roman" w:cs="Times New Roman"/>
          <w:sz w:val="24"/>
          <w:szCs w:val="24"/>
        </w:rPr>
        <w:t xml:space="preserve">We compile a unique </w:t>
      </w:r>
      <w:r>
        <w:rPr>
          <w:rFonts w:ascii="Times New Roman" w:hAnsi="Times New Roman" w:cs="Times New Roman"/>
          <w:sz w:val="24"/>
          <w:szCs w:val="24"/>
        </w:rPr>
        <w:t xml:space="preserve">annual </w:t>
      </w:r>
      <w:r w:rsidRPr="00E80013">
        <w:rPr>
          <w:rFonts w:ascii="Times New Roman" w:hAnsi="Times New Roman" w:cs="Times New Roman"/>
          <w:sz w:val="24"/>
          <w:szCs w:val="24"/>
        </w:rPr>
        <w:t>dataset on share ownership</w:t>
      </w:r>
      <w:r w:rsidR="007B0DCF">
        <w:rPr>
          <w:rFonts w:ascii="Times New Roman" w:hAnsi="Times New Roman" w:cs="Times New Roman"/>
          <w:sz w:val="24"/>
          <w:szCs w:val="24"/>
        </w:rPr>
        <w:t xml:space="preserve">. </w:t>
      </w:r>
      <w:r>
        <w:rPr>
          <w:rFonts w:ascii="Times New Roman" w:hAnsi="Times New Roman" w:cs="Times New Roman"/>
          <w:sz w:val="24"/>
          <w:szCs w:val="24"/>
        </w:rPr>
        <w:t>We calculate the average ownership by investor type of firms at each level of internationalization in each year. T</w:t>
      </w:r>
      <w:r w:rsidR="000D332F">
        <w:rPr>
          <w:rFonts w:ascii="Times New Roman" w:hAnsi="Times New Roman" w:cs="Times New Roman"/>
          <w:sz w:val="24"/>
          <w:szCs w:val="24"/>
        </w:rPr>
        <w:t xml:space="preserve">he results </w:t>
      </w:r>
      <w:r w:rsidR="00931735">
        <w:rPr>
          <w:rFonts w:ascii="Times New Roman" w:hAnsi="Times New Roman" w:cs="Times New Roman"/>
          <w:sz w:val="24"/>
          <w:szCs w:val="24"/>
        </w:rPr>
        <w:t>show</w:t>
      </w:r>
      <w:r>
        <w:rPr>
          <w:rFonts w:ascii="Times New Roman" w:hAnsi="Times New Roman" w:cs="Times New Roman"/>
          <w:sz w:val="24"/>
          <w:szCs w:val="24"/>
        </w:rPr>
        <w:t xml:space="preserve"> a clear pattern of ownership</w:t>
      </w:r>
      <w:r w:rsidR="000D332F">
        <w:rPr>
          <w:rFonts w:ascii="Times New Roman" w:hAnsi="Times New Roman" w:cs="Times New Roman"/>
          <w:sz w:val="24"/>
          <w:szCs w:val="24"/>
        </w:rPr>
        <w:t xml:space="preserve"> and are available from the authors upon request</w:t>
      </w:r>
      <w:r>
        <w:rPr>
          <w:rFonts w:ascii="Times New Roman" w:hAnsi="Times New Roman" w:cs="Times New Roman"/>
          <w:sz w:val="24"/>
          <w:szCs w:val="24"/>
        </w:rPr>
        <w:t xml:space="preserve">.  Institutional investors hold a greater percentage of MNCs and less domestic firms while retail investors hold a greater proportion of domestic stocks and less MNCs.  The percentage ownership of institutional investors increases as firm internationalization increases. </w:t>
      </w:r>
      <w:r>
        <w:rPr>
          <w:rFonts w:ascii="Times New Roman" w:eastAsia="Times New Roman" w:hAnsi="Times New Roman" w:cs="Times New Roman"/>
          <w:sz w:val="24"/>
          <w:szCs w:val="24"/>
        </w:rPr>
        <w:t xml:space="preserve"> However, notwithstanding the ownership differences, overall, investors are selling the most international stocks when the domestic market is falling rather than maintaining or even increasing their holdings in these shares.</w:t>
      </w:r>
      <w:r w:rsidR="00931735">
        <w:rPr>
          <w:rFonts w:ascii="Times New Roman" w:eastAsia="Times New Roman" w:hAnsi="Times New Roman" w:cs="Times New Roman"/>
          <w:sz w:val="24"/>
          <w:szCs w:val="24"/>
        </w:rPr>
        <w:t xml:space="preserve"> </w:t>
      </w:r>
    </w:p>
    <w:p w14:paraId="53598635" w14:textId="504BFE8D" w:rsidR="004518E8" w:rsidRDefault="004518E8" w:rsidP="00450E8A">
      <w:pPr>
        <w:spacing w:after="0" w:line="480" w:lineRule="auto"/>
        <w:jc w:val="both"/>
        <w:rPr>
          <w:rFonts w:ascii="Times New Roman" w:eastAsia="Times New Roman" w:hAnsi="Times New Roman" w:cs="Times New Roman"/>
          <w:sz w:val="24"/>
          <w:szCs w:val="24"/>
        </w:rPr>
      </w:pPr>
    </w:p>
    <w:p w14:paraId="6C634DF2" w14:textId="5A6DE96E" w:rsidR="007219BF" w:rsidRPr="000D332F" w:rsidRDefault="007219BF" w:rsidP="00702E7A">
      <w:pPr>
        <w:spacing w:after="0" w:line="480" w:lineRule="auto"/>
        <w:jc w:val="both"/>
        <w:rPr>
          <w:rFonts w:ascii="Times New Roman" w:eastAsia="Times New Roman" w:hAnsi="Times New Roman" w:cs="Times New Roman"/>
          <w:sz w:val="24"/>
          <w:szCs w:val="24"/>
        </w:rPr>
      </w:pPr>
      <w:r w:rsidRPr="000D332F">
        <w:rPr>
          <w:rFonts w:ascii="Times New Roman" w:hAnsi="Times New Roman" w:cs="Times New Roman"/>
          <w:sz w:val="24"/>
          <w:szCs w:val="24"/>
        </w:rPr>
        <w:t xml:space="preserve">We propose that our results may be driven by one of two factors. First, investors do not believe that MNCs provide indirect international exposure. </w:t>
      </w:r>
      <w:r w:rsidR="00B81AEC" w:rsidRPr="000D332F">
        <w:rPr>
          <w:rFonts w:ascii="Times New Roman" w:hAnsi="Times New Roman" w:cs="Times New Roman"/>
          <w:sz w:val="24"/>
          <w:szCs w:val="24"/>
        </w:rPr>
        <w:t xml:space="preserve">Therefore, when domestic markets decline, they do not increase their investment in MNCs. </w:t>
      </w:r>
      <w:r w:rsidR="00702E7A" w:rsidRPr="000D332F">
        <w:rPr>
          <w:rFonts w:ascii="Times New Roman" w:hAnsi="Times New Roman" w:cs="Times New Roman"/>
          <w:sz w:val="24"/>
          <w:szCs w:val="24"/>
        </w:rPr>
        <w:t xml:space="preserve">Investor sentiment may also be playing a role </w:t>
      </w:r>
      <w:r w:rsidR="00A065A5" w:rsidRPr="000D332F">
        <w:rPr>
          <w:rFonts w:ascii="Times New Roman" w:hAnsi="Times New Roman" w:cs="Times New Roman"/>
          <w:sz w:val="24"/>
          <w:szCs w:val="24"/>
        </w:rPr>
        <w:t xml:space="preserve">in this case </w:t>
      </w:r>
      <w:r w:rsidR="00702E7A" w:rsidRPr="000D332F">
        <w:rPr>
          <w:rFonts w:ascii="Times New Roman" w:hAnsi="Times New Roman" w:cs="Times New Roman"/>
          <w:sz w:val="24"/>
          <w:szCs w:val="24"/>
        </w:rPr>
        <w:t xml:space="preserve">and investors believe MNCs do not provide international exposure. </w:t>
      </w:r>
      <w:r w:rsidRPr="000D332F">
        <w:rPr>
          <w:rFonts w:ascii="Times New Roman" w:hAnsi="Times New Roman" w:cs="Times New Roman"/>
          <w:sz w:val="24"/>
          <w:szCs w:val="24"/>
        </w:rPr>
        <w:t>A second explanation may be that investors are behaving irrationally</w:t>
      </w:r>
      <w:r w:rsidR="00786AA4" w:rsidRPr="000D332F">
        <w:rPr>
          <w:rFonts w:ascii="Times New Roman" w:hAnsi="Times New Roman" w:cs="Times New Roman"/>
          <w:sz w:val="24"/>
          <w:szCs w:val="24"/>
        </w:rPr>
        <w:t xml:space="preserve"> </w:t>
      </w:r>
      <w:r w:rsidR="00DA0250" w:rsidRPr="000D332F">
        <w:rPr>
          <w:rStyle w:val="FootnoteReference"/>
          <w:rFonts w:ascii="Times New Roman" w:hAnsi="Times New Roman" w:cs="Times New Roman"/>
          <w:sz w:val="24"/>
          <w:szCs w:val="24"/>
        </w:rPr>
        <w:fldChar w:fldCharType="begin" w:fldLock="1"/>
      </w:r>
      <w:r w:rsidR="001E4568" w:rsidRPr="000D332F">
        <w:rPr>
          <w:rFonts w:ascii="Times New Roman" w:hAnsi="Times New Roman" w:cs="Times New Roman"/>
          <w:sz w:val="24"/>
          <w:szCs w:val="24"/>
        </w:rPr>
        <w:instrText>ADDIN CSL_CITATION {"citationItems":[{"id":"ITEM-1","itemData":{"DOI":"10.1080/09603100701704272","ISSN":"09603107","abstract":"We examine the relative effects of rational and irrational investor sentiments on Dow Jones Industrial Average and S&amp;P500 returns. The impact of rational sentiments on stock market returns is found to be greater than that of irrational sentiments. There are immediate positive responses of stock market returns to irrational sentiments corrected by negative responses in the upcoming periods. There are positive effects of past stock market returns on irrational sentiments but not on rational sentiments. The results support the economic fundamentals-based arguments of stock returns. Evidence in favour of irrational sentiments is consistent with the view that investor error is a significant determinant of stock returns. [ABSTRACT FROM AUTHOR]","author":[{"dropping-particle":"","family":"Verma","given":"Rahul","non-dropping-particle":"","parse-names":false,"suffix":""},{"dropping-particle":"","family":"Baklaci","given":"Hasan","non-dropping-particle":"","parse-names":false,"suffix":""},{"dropping-particle":"","family":"Soydemir","given":"Gökçe","non-dropping-particle":"","parse-names":false,"suffix":""}],"container-title":"Applied Financial Economics","id":"ITEM-1","issued":{"date-parts":[["2008"]]},"title":"The impact of rational and irrational sentiments of individual and institutional investors on DJIA and S &amp; P500 index returns","type":"article-journal"},"uris":["http://www.mendeley.com/documents/?uuid=80dbb105-1bac-4e6b-bf87-33d6a0e70761"]}],"mendeley":{"formattedCitation":"(Verma et al., 2008)","plainTextFormattedCitation":"(Verma et al., 2008)","previouslyFormattedCitation":"(Verma et al., 2008)"},"properties":{"noteIndex":0},"schema":"https://github.com/citation-style-language/schema/raw/master/csl-citation.json"}</w:instrText>
      </w:r>
      <w:r w:rsidR="00DA0250" w:rsidRPr="000D332F">
        <w:rPr>
          <w:rStyle w:val="FootnoteReference"/>
          <w:rFonts w:ascii="Times New Roman" w:hAnsi="Times New Roman" w:cs="Times New Roman"/>
          <w:sz w:val="24"/>
          <w:szCs w:val="24"/>
        </w:rPr>
        <w:fldChar w:fldCharType="separate"/>
      </w:r>
      <w:r w:rsidR="00DA0250" w:rsidRPr="000D332F">
        <w:rPr>
          <w:rFonts w:ascii="Times New Roman" w:hAnsi="Times New Roman" w:cs="Times New Roman"/>
          <w:noProof/>
          <w:sz w:val="24"/>
          <w:szCs w:val="24"/>
        </w:rPr>
        <w:t>(Verma et al., 2008)</w:t>
      </w:r>
      <w:r w:rsidR="00DA0250" w:rsidRPr="000D332F">
        <w:rPr>
          <w:rStyle w:val="FootnoteReference"/>
          <w:rFonts w:ascii="Times New Roman" w:hAnsi="Times New Roman" w:cs="Times New Roman"/>
          <w:sz w:val="24"/>
          <w:szCs w:val="24"/>
        </w:rPr>
        <w:fldChar w:fldCharType="end"/>
      </w:r>
      <w:r w:rsidR="00823A4A" w:rsidRPr="000D332F">
        <w:rPr>
          <w:rFonts w:ascii="Times New Roman" w:hAnsi="Times New Roman" w:cs="Times New Roman"/>
          <w:sz w:val="24"/>
          <w:szCs w:val="24"/>
        </w:rPr>
        <w:t xml:space="preserve">. </w:t>
      </w:r>
      <w:r w:rsidR="001D33E7" w:rsidRPr="000D332F">
        <w:rPr>
          <w:rFonts w:ascii="Times New Roman" w:eastAsia="Times New Roman" w:hAnsi="Times New Roman" w:cs="Times New Roman"/>
          <w:sz w:val="24"/>
          <w:szCs w:val="24"/>
        </w:rPr>
        <w:t xml:space="preserve">Our analysis of share ownership data finds that this applies to both retail and institutional investors. This explanation supports </w:t>
      </w:r>
      <w:proofErr w:type="spellStart"/>
      <w:r w:rsidR="001D33E7" w:rsidRPr="000D332F">
        <w:rPr>
          <w:rFonts w:ascii="Times New Roman" w:eastAsia="Times New Roman" w:hAnsi="Times New Roman" w:cs="Times New Roman"/>
          <w:sz w:val="24"/>
          <w:szCs w:val="24"/>
        </w:rPr>
        <w:t>behavioural</w:t>
      </w:r>
      <w:proofErr w:type="spellEnd"/>
      <w:r w:rsidR="001D33E7" w:rsidRPr="000D332F">
        <w:rPr>
          <w:rFonts w:ascii="Times New Roman" w:eastAsia="Times New Roman" w:hAnsi="Times New Roman" w:cs="Times New Roman"/>
          <w:sz w:val="24"/>
          <w:szCs w:val="24"/>
        </w:rPr>
        <w:t xml:space="preserve"> finance studies which </w:t>
      </w:r>
      <w:proofErr w:type="spellStart"/>
      <w:r w:rsidR="001D33E7" w:rsidRPr="000D332F">
        <w:rPr>
          <w:rFonts w:ascii="Times New Roman" w:eastAsia="Times New Roman" w:hAnsi="Times New Roman" w:cs="Times New Roman"/>
          <w:sz w:val="24"/>
          <w:szCs w:val="24"/>
        </w:rPr>
        <w:t>emphasise</w:t>
      </w:r>
      <w:proofErr w:type="spellEnd"/>
      <w:r w:rsidR="001D33E7" w:rsidRPr="000D332F">
        <w:rPr>
          <w:rFonts w:ascii="Times New Roman" w:eastAsia="Times New Roman" w:hAnsi="Times New Roman" w:cs="Times New Roman"/>
          <w:sz w:val="24"/>
          <w:szCs w:val="24"/>
        </w:rPr>
        <w:t xml:space="preserve"> the influence of sentiment and psychology on returns </w:t>
      </w:r>
      <w:r w:rsidR="00DA0250" w:rsidRPr="000D332F">
        <w:rPr>
          <w:rStyle w:val="FootnoteReference"/>
          <w:rFonts w:ascii="Times New Roman" w:eastAsia="Times New Roman" w:hAnsi="Times New Roman" w:cs="Times New Roman"/>
          <w:sz w:val="24"/>
          <w:szCs w:val="24"/>
        </w:rPr>
        <w:fldChar w:fldCharType="begin" w:fldLock="1"/>
      </w:r>
      <w:r w:rsidR="00DA0250" w:rsidRPr="000D332F">
        <w:rPr>
          <w:rFonts w:ascii="Times New Roman" w:eastAsia="Times New Roman" w:hAnsi="Times New Roman" w:cs="Times New Roman"/>
          <w:sz w:val="24"/>
          <w:szCs w:val="24"/>
        </w:rPr>
        <w:instrText>ADDIN CSL_CITATION {"citationItems":[{"id":"ITEM-1","itemData":{"ISBN":"18173179","ISSN":"18173179","PMID":"993153659","abstract":"The efficient markets hypothesis (EMH) has posited investment decision-makers as rational, utility-maximizing individuals. Cognitive psychology, on the other hand, suggests that human decision processes are susceptible to several illusions: those caused by heuristic decision-making processes, as well as those arising from the adoption of \"mental frames.\" Unfortunately, these heuristics may lead to cognitive illusions that include: representativeness, over- confidence, anchoring, gambler's fallacy, loss aversion, regret aversion, and mental accounting, among others. Behavioral finance proponents argue that heuristic-driven bias and framing effects cause market prices to deviate from fundamental values. This field amalgamates theories from financial economics, psychology, and sociology in an attempt to construct a more “complete” model that incorporates the idiosyncrasies of human behavior in financial markets. This paper argues that understanding of the findings of this research benefits individual investors the most as it seeks to create awareness of the various human biases and the high costs they impose on their portfolios","author":[{"dropping-particle":"","family":"Singh","given":"Sudhir","non-dropping-particle":"","parse-names":false,"suffix":""}],"container-title":"The Journal of Global Business Management","id":"ITEM-1","issued":{"date-parts":[["2012"]]},"title":"Investor Irrationality and Self-Defeating Behavior : Insights from Behavioral Finance","type":"article-journal"},"uris":["http://www.mendeley.com/documents/?uuid=6860797c-9108-4ad3-9c9e-89ba29dd55ec"]}],"mendeley":{"formattedCitation":"(Singh, 2012)","plainTextFormattedCitation":"(Singh, 2012)","previouslyFormattedCitation":"(Singh, 2012)"},"properties":{"noteIndex":0},"schema":"https://github.com/citation-style-language/schema/raw/master/csl-citation.json"}</w:instrText>
      </w:r>
      <w:r w:rsidR="00DA0250" w:rsidRPr="000D332F">
        <w:rPr>
          <w:rStyle w:val="FootnoteReference"/>
          <w:rFonts w:ascii="Times New Roman" w:eastAsia="Times New Roman" w:hAnsi="Times New Roman" w:cs="Times New Roman"/>
          <w:sz w:val="24"/>
          <w:szCs w:val="24"/>
        </w:rPr>
        <w:fldChar w:fldCharType="separate"/>
      </w:r>
      <w:r w:rsidR="00DA0250" w:rsidRPr="000D332F">
        <w:rPr>
          <w:rFonts w:ascii="Times New Roman" w:eastAsia="Times New Roman" w:hAnsi="Times New Roman" w:cs="Times New Roman"/>
          <w:noProof/>
          <w:sz w:val="24"/>
          <w:szCs w:val="24"/>
        </w:rPr>
        <w:t>(Singh, 2012)</w:t>
      </w:r>
      <w:r w:rsidR="00DA0250" w:rsidRPr="000D332F">
        <w:rPr>
          <w:rStyle w:val="FootnoteReference"/>
          <w:rFonts w:ascii="Times New Roman" w:eastAsia="Times New Roman" w:hAnsi="Times New Roman" w:cs="Times New Roman"/>
          <w:sz w:val="24"/>
          <w:szCs w:val="24"/>
        </w:rPr>
        <w:fldChar w:fldCharType="end"/>
      </w:r>
      <w:r w:rsidR="001D33E7" w:rsidRPr="000D332F">
        <w:rPr>
          <w:rFonts w:ascii="Times New Roman" w:eastAsia="Times New Roman" w:hAnsi="Times New Roman" w:cs="Times New Roman"/>
          <w:sz w:val="24"/>
          <w:szCs w:val="24"/>
        </w:rPr>
        <w:t>.</w:t>
      </w:r>
      <w:r w:rsidR="00BE3481" w:rsidRPr="000D332F">
        <w:rPr>
          <w:rFonts w:ascii="Times New Roman" w:eastAsia="Times New Roman" w:hAnsi="Times New Roman" w:cs="Times New Roman"/>
          <w:sz w:val="24"/>
          <w:szCs w:val="24"/>
        </w:rPr>
        <w:t xml:space="preserve"> Regardless of which explanation holds, our results provide support for the role of investor s</w:t>
      </w:r>
      <w:r w:rsidR="00702E7A" w:rsidRPr="000D332F">
        <w:rPr>
          <w:rFonts w:ascii="Times New Roman" w:eastAsia="Times New Roman" w:hAnsi="Times New Roman" w:cs="Times New Roman"/>
          <w:sz w:val="24"/>
          <w:szCs w:val="24"/>
        </w:rPr>
        <w:t>entiment in share price returns,</w:t>
      </w:r>
      <w:r w:rsidR="00702E7A" w:rsidRPr="000D332F">
        <w:rPr>
          <w:rFonts w:ascii="Times New Roman" w:hAnsi="Times New Roman" w:cs="Times New Roman"/>
          <w:sz w:val="24"/>
          <w:szCs w:val="24"/>
        </w:rPr>
        <w:t xml:space="preserve"> thereby supporting </w:t>
      </w:r>
      <w:r w:rsidR="00702E7A" w:rsidRPr="000D332F">
        <w:rPr>
          <w:rFonts w:ascii="Times New Roman" w:hAnsi="Times New Roman" w:cs="Times New Roman"/>
          <w:sz w:val="24"/>
          <w:szCs w:val="24"/>
          <w:lang w:val="en"/>
        </w:rPr>
        <w:t>Kumar and Lee (2006).</w:t>
      </w:r>
    </w:p>
    <w:p w14:paraId="14A20AE9" w14:textId="7CCF4C9E" w:rsidR="008173E9" w:rsidRPr="004C11E6" w:rsidRDefault="0082223F" w:rsidP="004C11E6">
      <w:pPr>
        <w:pStyle w:val="Heading1"/>
        <w:spacing w:line="480" w:lineRule="auto"/>
        <w:jc w:val="left"/>
        <w:rPr>
          <w:rFonts w:eastAsia="Times New Roman"/>
          <w:b/>
        </w:rPr>
      </w:pPr>
      <w:r>
        <w:rPr>
          <w:rFonts w:eastAsia="Times New Roman"/>
          <w:b/>
        </w:rPr>
        <w:lastRenderedPageBreak/>
        <w:t>5</w:t>
      </w:r>
      <w:r w:rsidR="008173E9" w:rsidRPr="004C11E6">
        <w:rPr>
          <w:rFonts w:eastAsia="Times New Roman"/>
          <w:b/>
        </w:rPr>
        <w:t>. Conclusion</w:t>
      </w:r>
    </w:p>
    <w:p w14:paraId="136101FB" w14:textId="4867D99D" w:rsidR="0053709E" w:rsidRPr="00634378" w:rsidRDefault="0018450E" w:rsidP="0053709E">
      <w:pPr>
        <w:spacing w:after="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 xml:space="preserve">We compare </w:t>
      </w:r>
      <w:r w:rsidR="003A6885">
        <w:rPr>
          <w:rFonts w:ascii="Times New Roman" w:eastAsia="Times New Roman" w:hAnsi="Times New Roman" w:cs="Times New Roman"/>
          <w:color w:val="000000"/>
          <w:sz w:val="24"/>
          <w:szCs w:val="24"/>
        </w:rPr>
        <w:t xml:space="preserve">financial market returns </w:t>
      </w:r>
      <w:r>
        <w:rPr>
          <w:rFonts w:ascii="Times New Roman" w:eastAsia="Times New Roman" w:hAnsi="Times New Roman" w:cs="Times New Roman"/>
          <w:color w:val="000000"/>
          <w:sz w:val="24"/>
          <w:szCs w:val="24"/>
        </w:rPr>
        <w:t xml:space="preserve">of domestic and multinational </w:t>
      </w:r>
      <w:r w:rsidR="000228AE">
        <w:rPr>
          <w:rFonts w:ascii="Times New Roman" w:eastAsia="Times New Roman" w:hAnsi="Times New Roman" w:cs="Times New Roman"/>
          <w:color w:val="000000"/>
          <w:sz w:val="24"/>
          <w:szCs w:val="24"/>
        </w:rPr>
        <w:t xml:space="preserve">US </w:t>
      </w:r>
      <w:r>
        <w:rPr>
          <w:rFonts w:ascii="Times New Roman" w:eastAsia="Times New Roman" w:hAnsi="Times New Roman" w:cs="Times New Roman"/>
          <w:color w:val="000000"/>
          <w:sz w:val="24"/>
          <w:szCs w:val="24"/>
        </w:rPr>
        <w:t xml:space="preserve">firms in rising and declining markets, using a unique sample of 9,564 </w:t>
      </w:r>
      <w:r w:rsidR="003A6885">
        <w:rPr>
          <w:rFonts w:ascii="Times New Roman" w:eastAsia="Times New Roman" w:hAnsi="Times New Roman" w:cs="Times New Roman"/>
          <w:color w:val="000000"/>
          <w:sz w:val="24"/>
          <w:szCs w:val="24"/>
        </w:rPr>
        <w:t xml:space="preserve">publicly listed </w:t>
      </w:r>
      <w:r>
        <w:rPr>
          <w:rFonts w:ascii="Times New Roman" w:eastAsia="Times New Roman" w:hAnsi="Times New Roman" w:cs="Times New Roman"/>
          <w:color w:val="000000"/>
          <w:sz w:val="24"/>
          <w:szCs w:val="24"/>
        </w:rPr>
        <w:t xml:space="preserve">firms between 1995 and 2014. We measure both the extent and scope of internationalization for each firm using </w:t>
      </w:r>
      <w:r>
        <w:rPr>
          <w:rFonts w:ascii="Times New Roman" w:hAnsi="Times New Roman" w:cs="Times New Roman"/>
          <w:sz w:val="24"/>
          <w:szCs w:val="24"/>
        </w:rPr>
        <w:t xml:space="preserve">foreign sales as a percentage of total sales and the number of geographic regions in which a firm reports sales.  </w:t>
      </w:r>
      <w:r w:rsidR="003A6885">
        <w:rPr>
          <w:rFonts w:ascii="Times New Roman" w:hAnsi="Times New Roman" w:cs="Times New Roman"/>
          <w:sz w:val="24"/>
          <w:szCs w:val="24"/>
        </w:rPr>
        <w:t xml:space="preserve">We calculate the percentage ownership of our firms by investor type and by their level of internationalization.  </w:t>
      </w:r>
      <w:r w:rsidR="004C44E2">
        <w:rPr>
          <w:rFonts w:ascii="Times New Roman" w:eastAsia="Times New Roman" w:hAnsi="Times New Roman" w:cs="Times New Roman"/>
          <w:color w:val="000000"/>
          <w:sz w:val="24"/>
          <w:szCs w:val="24"/>
        </w:rPr>
        <w:t xml:space="preserve">We find </w:t>
      </w:r>
      <w:r w:rsidR="002B49E0">
        <w:rPr>
          <w:rFonts w:ascii="Times New Roman" w:eastAsia="Times New Roman" w:hAnsi="Times New Roman" w:cs="Times New Roman"/>
          <w:color w:val="000000"/>
          <w:sz w:val="24"/>
          <w:szCs w:val="24"/>
        </w:rPr>
        <w:t xml:space="preserve">that domestic stocks have the least negative returns </w:t>
      </w:r>
      <w:r w:rsidR="00A90035">
        <w:rPr>
          <w:rFonts w:ascii="Times New Roman" w:eastAsia="Times New Roman" w:hAnsi="Times New Roman" w:cs="Times New Roman"/>
          <w:color w:val="000000"/>
          <w:sz w:val="24"/>
          <w:szCs w:val="24"/>
        </w:rPr>
        <w:t xml:space="preserve">when the domestic market is falling </w:t>
      </w:r>
      <w:r w:rsidR="002B49E0">
        <w:rPr>
          <w:rFonts w:ascii="Times New Roman" w:eastAsia="Times New Roman" w:hAnsi="Times New Roman" w:cs="Times New Roman"/>
          <w:color w:val="000000"/>
          <w:sz w:val="24"/>
          <w:szCs w:val="24"/>
        </w:rPr>
        <w:t>and that the negative returns increase as the extent of a firm’s internationalization</w:t>
      </w:r>
      <w:r w:rsidR="0097349E">
        <w:rPr>
          <w:rFonts w:ascii="Times New Roman" w:eastAsia="Times New Roman" w:hAnsi="Times New Roman" w:cs="Times New Roman"/>
          <w:color w:val="000000"/>
          <w:sz w:val="24"/>
          <w:szCs w:val="24"/>
        </w:rPr>
        <w:t xml:space="preserve"> increases</w:t>
      </w:r>
      <w:r w:rsidR="002B49E0">
        <w:rPr>
          <w:rFonts w:ascii="Times New Roman" w:eastAsia="Times New Roman" w:hAnsi="Times New Roman" w:cs="Times New Roman"/>
          <w:color w:val="000000"/>
          <w:sz w:val="24"/>
          <w:szCs w:val="24"/>
        </w:rPr>
        <w:t xml:space="preserve">.  </w:t>
      </w:r>
      <w:r w:rsidR="00DE5B62">
        <w:rPr>
          <w:rFonts w:ascii="Times New Roman" w:eastAsia="Times New Roman" w:hAnsi="Times New Roman" w:cs="Times New Roman"/>
          <w:color w:val="000000"/>
          <w:sz w:val="24"/>
          <w:szCs w:val="24"/>
        </w:rPr>
        <w:t xml:space="preserve">The most international firms are being sold the most when the domestic market is falling, contrary to </w:t>
      </w:r>
      <w:r w:rsidR="00C122AC">
        <w:rPr>
          <w:rFonts w:ascii="Times New Roman" w:eastAsia="Times New Roman" w:hAnsi="Times New Roman" w:cs="Times New Roman"/>
          <w:color w:val="000000"/>
          <w:sz w:val="24"/>
          <w:szCs w:val="24"/>
        </w:rPr>
        <w:t xml:space="preserve">the predictions of </w:t>
      </w:r>
      <w:r w:rsidR="00DE5B62">
        <w:rPr>
          <w:rFonts w:ascii="Times New Roman" w:eastAsia="Times New Roman" w:hAnsi="Times New Roman" w:cs="Times New Roman"/>
          <w:color w:val="000000"/>
          <w:sz w:val="24"/>
          <w:szCs w:val="24"/>
        </w:rPr>
        <w:t xml:space="preserve">shareholder diversification theory.  </w:t>
      </w:r>
      <w:r w:rsidR="00A90035">
        <w:rPr>
          <w:rFonts w:ascii="Times New Roman" w:eastAsia="Times New Roman" w:hAnsi="Times New Roman" w:cs="Times New Roman"/>
          <w:color w:val="000000"/>
          <w:sz w:val="24"/>
          <w:szCs w:val="24"/>
        </w:rPr>
        <w:t>Our findings are</w:t>
      </w:r>
      <w:r w:rsidR="0097349E" w:rsidRPr="00EF3E0D">
        <w:rPr>
          <w:rFonts w:ascii="Times New Roman" w:eastAsia="Times New Roman" w:hAnsi="Times New Roman" w:cs="Times New Roman"/>
          <w:color w:val="000000"/>
          <w:sz w:val="24"/>
          <w:szCs w:val="24"/>
        </w:rPr>
        <w:t xml:space="preserve"> robust to </w:t>
      </w:r>
      <w:r w:rsidR="0097349E">
        <w:rPr>
          <w:rFonts w:ascii="Times New Roman" w:eastAsia="Times New Roman" w:hAnsi="Times New Roman" w:cs="Times New Roman"/>
          <w:color w:val="000000"/>
          <w:sz w:val="24"/>
          <w:szCs w:val="24"/>
        </w:rPr>
        <w:t xml:space="preserve">a variety of adjustments including </w:t>
      </w:r>
      <w:r w:rsidR="0097349E" w:rsidRPr="00EF3E0D">
        <w:rPr>
          <w:rFonts w:ascii="Times New Roman" w:eastAsia="Times New Roman" w:hAnsi="Times New Roman" w:cs="Times New Roman"/>
          <w:color w:val="000000"/>
          <w:sz w:val="24"/>
          <w:szCs w:val="24"/>
        </w:rPr>
        <w:t>firm s</w:t>
      </w:r>
      <w:r w:rsidR="0097349E">
        <w:rPr>
          <w:rFonts w:ascii="Times New Roman" w:eastAsia="Times New Roman" w:hAnsi="Times New Roman" w:cs="Times New Roman"/>
          <w:color w:val="000000"/>
          <w:sz w:val="24"/>
          <w:szCs w:val="24"/>
        </w:rPr>
        <w:t xml:space="preserve">ize and market to book ratios, </w:t>
      </w:r>
      <w:r w:rsidR="0097349E">
        <w:rPr>
          <w:rFonts w:ascii="Times New Roman" w:hAnsi="Times New Roman" w:cs="Times New Roman"/>
          <w:sz w:val="24"/>
          <w:szCs w:val="24"/>
        </w:rPr>
        <w:t xml:space="preserve">the </w:t>
      </w:r>
      <w:proofErr w:type="spellStart"/>
      <w:r w:rsidR="0097349E" w:rsidRPr="00EF3E0D">
        <w:rPr>
          <w:rFonts w:ascii="Times New Roman" w:hAnsi="Times New Roman" w:cs="Times New Roman"/>
          <w:sz w:val="24"/>
          <w:szCs w:val="24"/>
        </w:rPr>
        <w:t>Fama</w:t>
      </w:r>
      <w:proofErr w:type="spellEnd"/>
      <w:r w:rsidR="0097349E" w:rsidRPr="00EF3E0D">
        <w:rPr>
          <w:rFonts w:ascii="Times New Roman" w:hAnsi="Times New Roman" w:cs="Times New Roman"/>
          <w:sz w:val="24"/>
          <w:szCs w:val="24"/>
        </w:rPr>
        <w:t xml:space="preserve">-French </w:t>
      </w:r>
      <w:r w:rsidR="0097349E">
        <w:rPr>
          <w:rFonts w:ascii="Times New Roman" w:hAnsi="Times New Roman" w:cs="Times New Roman"/>
          <w:sz w:val="24"/>
          <w:szCs w:val="24"/>
        </w:rPr>
        <w:t>three and five</w:t>
      </w:r>
      <w:r w:rsidR="0097349E" w:rsidRPr="00EF3E0D">
        <w:rPr>
          <w:rFonts w:ascii="Times New Roman" w:hAnsi="Times New Roman" w:cs="Times New Roman"/>
          <w:sz w:val="24"/>
          <w:szCs w:val="24"/>
        </w:rPr>
        <w:t xml:space="preserve">-factor models, </w:t>
      </w:r>
      <w:r w:rsidR="0097349E">
        <w:rPr>
          <w:rFonts w:ascii="Times New Roman" w:hAnsi="Times New Roman" w:cs="Times New Roman"/>
          <w:sz w:val="24"/>
          <w:szCs w:val="24"/>
        </w:rPr>
        <w:t xml:space="preserve">as well as alternative definitions of firm internationalization. </w:t>
      </w:r>
      <w:r w:rsidR="000228AE">
        <w:rPr>
          <w:rFonts w:ascii="Times New Roman" w:hAnsi="Times New Roman" w:cs="Times New Roman"/>
          <w:sz w:val="24"/>
          <w:szCs w:val="24"/>
        </w:rPr>
        <w:t xml:space="preserve"> </w:t>
      </w:r>
    </w:p>
    <w:p w14:paraId="0DDB96AC" w14:textId="77777777" w:rsidR="007219BF" w:rsidRDefault="007219BF" w:rsidP="00D9108B">
      <w:pPr>
        <w:spacing w:after="0" w:line="480" w:lineRule="auto"/>
        <w:jc w:val="both"/>
        <w:rPr>
          <w:rFonts w:ascii="Times New Roman" w:eastAsia="Times New Roman" w:hAnsi="Times New Roman" w:cs="Times New Roman"/>
          <w:color w:val="000000"/>
          <w:sz w:val="24"/>
          <w:szCs w:val="24"/>
        </w:rPr>
      </w:pPr>
    </w:p>
    <w:p w14:paraId="5293CF26" w14:textId="1E82BD38" w:rsidR="000B45FA" w:rsidRDefault="000D2C51" w:rsidP="00D9108B">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terms of </w:t>
      </w:r>
      <w:r w:rsidR="00A90035">
        <w:rPr>
          <w:rFonts w:ascii="Times New Roman" w:eastAsia="Times New Roman" w:hAnsi="Times New Roman" w:cs="Times New Roman"/>
          <w:color w:val="000000"/>
          <w:sz w:val="24"/>
          <w:szCs w:val="24"/>
        </w:rPr>
        <w:t>further research, w</w:t>
      </w:r>
      <w:r w:rsidR="009A677A">
        <w:rPr>
          <w:rFonts w:ascii="Times New Roman" w:eastAsia="Times New Roman" w:hAnsi="Times New Roman" w:cs="Times New Roman"/>
          <w:color w:val="000000"/>
          <w:sz w:val="24"/>
          <w:szCs w:val="24"/>
        </w:rPr>
        <w:t>e suggest</w:t>
      </w:r>
      <w:r>
        <w:rPr>
          <w:rFonts w:ascii="Times New Roman" w:eastAsia="Times New Roman" w:hAnsi="Times New Roman" w:cs="Times New Roman"/>
          <w:color w:val="000000"/>
          <w:sz w:val="24"/>
          <w:szCs w:val="24"/>
        </w:rPr>
        <w:t xml:space="preserve"> repeating this analysis for other markets. The US differs from other markets in several respects; the direct equity holdings of retail investors is higher than in ot</w:t>
      </w:r>
      <w:r w:rsidR="00786AA4">
        <w:rPr>
          <w:rFonts w:ascii="Times New Roman" w:eastAsia="Times New Roman" w:hAnsi="Times New Roman" w:cs="Times New Roman"/>
          <w:color w:val="000000"/>
          <w:sz w:val="24"/>
          <w:szCs w:val="24"/>
        </w:rPr>
        <w:t xml:space="preserve">her countries </w:t>
      </w:r>
      <w:r w:rsidR="00DA0250">
        <w:rPr>
          <w:rStyle w:val="FootnoteReference"/>
          <w:rFonts w:ascii="Times New Roman" w:eastAsia="Times New Roman" w:hAnsi="Times New Roman" w:cs="Times New Roman"/>
          <w:color w:val="000000"/>
          <w:sz w:val="24"/>
          <w:szCs w:val="24"/>
        </w:rPr>
        <w:fldChar w:fldCharType="begin" w:fldLock="1"/>
      </w:r>
      <w:r w:rsidR="00DA0250">
        <w:rPr>
          <w:rFonts w:ascii="Times New Roman" w:eastAsia="Times New Roman" w:hAnsi="Times New Roman" w:cs="Times New Roman"/>
          <w:color w:val="000000"/>
          <w:sz w:val="24"/>
          <w:szCs w:val="24"/>
        </w:rPr>
        <w:instrText>ADDIN CSL_CITATION {"citationItems":[{"id":"ITEM-1","itemData":{"author":[{"dropping-particle":"","family":"IMF","given":"","non-dropping-particle":"","parse-names":false,"suffix":""}],"id":"ITEM-1","issued":{"date-parts":[["2005"]]},"title":"Global Financial Stability Report - Household Balance Sheets","type":"book"},"uris":["http://www.mendeley.com/documents/?uuid=f870321b-8ba2-4827-a1b9-45e2701d324f"]}],"mendeley":{"formattedCitation":"(IMF, 2005)","plainTextFormattedCitation":"(IMF, 2005)","previouslyFormattedCitation":"(IMF, 2005)"},"properties":{"noteIndex":0},"schema":"https://github.com/citation-style-language/schema/raw/master/csl-citation.json"}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DA0250" w:rsidRPr="00DA0250">
        <w:rPr>
          <w:rFonts w:ascii="Times New Roman" w:eastAsia="Times New Roman" w:hAnsi="Times New Roman" w:cs="Times New Roman"/>
          <w:noProof/>
          <w:color w:val="000000"/>
          <w:sz w:val="24"/>
          <w:szCs w:val="24"/>
        </w:rPr>
        <w:t>(IMF, 2005)</w:t>
      </w:r>
      <w:r w:rsidR="00DA0250">
        <w:rPr>
          <w:rStyle w:val="FootnoteReference"/>
          <w:rFonts w:ascii="Times New Roman" w:eastAsia="Times New Roman" w:hAnsi="Times New Roman" w:cs="Times New Roman"/>
          <w:color w:val="000000"/>
          <w:sz w:val="24"/>
          <w:szCs w:val="24"/>
        </w:rPr>
        <w:fldChar w:fldCharType="end"/>
      </w:r>
      <w:r w:rsidR="00786AA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the proportion of companies that are publicly listed is higher than in other countries, although </w:t>
      </w:r>
      <w:r w:rsidR="00786AA4">
        <w:rPr>
          <w:rFonts w:ascii="Times New Roman" w:eastAsia="Times New Roman" w:hAnsi="Times New Roman" w:cs="Times New Roman"/>
          <w:color w:val="000000"/>
          <w:sz w:val="24"/>
          <w:szCs w:val="24"/>
        </w:rPr>
        <w:t xml:space="preserve">this has been falling </w:t>
      </w:r>
      <w:r w:rsidR="00DA0250">
        <w:rPr>
          <w:rStyle w:val="FootnoteReference"/>
          <w:rFonts w:ascii="Times New Roman" w:eastAsia="Times New Roman" w:hAnsi="Times New Roman" w:cs="Times New Roman"/>
          <w:color w:val="000000"/>
          <w:sz w:val="24"/>
          <w:szCs w:val="24"/>
        </w:rPr>
        <w:fldChar w:fldCharType="begin" w:fldLock="1"/>
      </w:r>
      <w:r w:rsidR="001E4568">
        <w:rPr>
          <w:rFonts w:ascii="Times New Roman" w:eastAsia="Times New Roman" w:hAnsi="Times New Roman" w:cs="Times New Roman"/>
          <w:color w:val="000000"/>
          <w:sz w:val="24"/>
          <w:szCs w:val="24"/>
        </w:rPr>
        <w:instrText>ADDIN CSL_CITATION {"citationItems":[{"id":"ITEM-1","itemData":{"DOI":"10.1016/j.jfineco.2016.12.002","ISSN":"0304405X","abstract":"Relative to other countries, the U.S. now has abnormally few listed firms. This “U.S. listing gap” is consistent with a decrease in the net benefit of a listing for U.S. firms. Since the listing peak in 1996, the propensity to be listed is lower for all firm size categories and industries, the new list rate is low, and the delist rate is high. The high delist rate accounts for 46% of the listing gap and the low new list rate for 54%. The high delist rate is explained by an unusually high rate of acquisitions of publicly listed firms.","author":[{"dropping-particle":"","family":"Doidge","given":"Craig","non-dropping-particle":"","parse-names":false,"suffix":""},{"dropping-particle":"","family":"Karolyi","given":"G. Andrew","non-dropping-particle":"","parse-names":false,"suffix":""},{"dropping-particle":"","family":"Stulz","given":"René M.","non-dropping-particle":"","parse-names":false,"suffix":""}],"container-title":"Journal of Financial Economics","id":"ITEM-1","issue":"3","issued":{"date-parts":[["2017"]]},"page":"464-487","title":"The U.S. listing gap","type":"article-journal","volume":"123"},"uris":["http://www.mendeley.com/documents/?uuid=a4d5ac66-94c2-48e7-9b4e-c05336183924"]}],"mendeley":{"formattedCitation":"(Doidge et al., 2017)","plainTextFormattedCitation":"(Doidge et al., 2017)","previouslyFormattedCitation":"(Doidge et al., 2017)"},"properties":{"noteIndex":0},"schema":"https://github.com/citation-style-language/schema/raw/master/csl-citation.json"}</w:instrText>
      </w:r>
      <w:r w:rsidR="00DA0250">
        <w:rPr>
          <w:rStyle w:val="FootnoteReference"/>
          <w:rFonts w:ascii="Times New Roman" w:eastAsia="Times New Roman" w:hAnsi="Times New Roman" w:cs="Times New Roman"/>
          <w:color w:val="000000"/>
          <w:sz w:val="24"/>
          <w:szCs w:val="24"/>
        </w:rPr>
        <w:fldChar w:fldCharType="separate"/>
      </w:r>
      <w:r w:rsidR="00DA0250" w:rsidRPr="00DA0250">
        <w:rPr>
          <w:rFonts w:ascii="Times New Roman" w:eastAsia="Times New Roman" w:hAnsi="Times New Roman" w:cs="Times New Roman"/>
          <w:noProof/>
          <w:color w:val="000000"/>
          <w:sz w:val="24"/>
          <w:szCs w:val="24"/>
        </w:rPr>
        <w:t>(Doidge et al., 2017)</w:t>
      </w:r>
      <w:r w:rsidR="00DA0250">
        <w:rPr>
          <w:rStyle w:val="FootnoteReference"/>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and the US equity market has greater depth and liquidity than many other </w:t>
      </w:r>
      <w:r w:rsidRPr="00845836">
        <w:rPr>
          <w:rFonts w:ascii="Times New Roman" w:eastAsia="Times New Roman" w:hAnsi="Times New Roman" w:cs="Times New Roman"/>
          <w:color w:val="000000"/>
          <w:sz w:val="24"/>
          <w:szCs w:val="24"/>
        </w:rPr>
        <w:t>markets. Our results provide a unique insight</w:t>
      </w:r>
      <w:r>
        <w:rPr>
          <w:rFonts w:ascii="Times New Roman" w:eastAsia="Times New Roman" w:hAnsi="Times New Roman" w:cs="Times New Roman"/>
          <w:color w:val="000000"/>
          <w:sz w:val="24"/>
          <w:szCs w:val="24"/>
        </w:rPr>
        <w:t xml:space="preserve"> </w:t>
      </w:r>
      <w:r w:rsidR="00D12D44">
        <w:rPr>
          <w:rFonts w:ascii="Times New Roman" w:eastAsia="Times New Roman" w:hAnsi="Times New Roman" w:cs="Times New Roman"/>
          <w:color w:val="000000"/>
          <w:sz w:val="24"/>
          <w:szCs w:val="24"/>
        </w:rPr>
        <w:t>in</w:t>
      </w:r>
      <w:r>
        <w:rPr>
          <w:rFonts w:ascii="Times New Roman" w:eastAsia="Times New Roman" w:hAnsi="Times New Roman" w:cs="Times New Roman"/>
          <w:color w:val="000000"/>
          <w:sz w:val="24"/>
          <w:szCs w:val="24"/>
        </w:rPr>
        <w:t xml:space="preserve">to US investor behavior that may </w:t>
      </w:r>
      <w:r w:rsidR="00F71EDC">
        <w:rPr>
          <w:rFonts w:ascii="Times New Roman" w:eastAsia="Times New Roman" w:hAnsi="Times New Roman" w:cs="Times New Roman"/>
          <w:color w:val="000000"/>
          <w:sz w:val="24"/>
          <w:szCs w:val="24"/>
        </w:rPr>
        <w:t xml:space="preserve">or may </w:t>
      </w:r>
      <w:r>
        <w:rPr>
          <w:rFonts w:ascii="Times New Roman" w:eastAsia="Times New Roman" w:hAnsi="Times New Roman" w:cs="Times New Roman"/>
          <w:color w:val="000000"/>
          <w:sz w:val="24"/>
          <w:szCs w:val="24"/>
        </w:rPr>
        <w:t>not be applicable in other jurisdictions.</w:t>
      </w:r>
    </w:p>
    <w:p w14:paraId="55F49EB2" w14:textId="32B8073D" w:rsidR="00845836" w:rsidRDefault="00845836" w:rsidP="00D9108B">
      <w:pPr>
        <w:spacing w:after="0" w:line="480" w:lineRule="auto"/>
        <w:jc w:val="both"/>
        <w:rPr>
          <w:rFonts w:ascii="Times New Roman" w:eastAsia="Times New Roman" w:hAnsi="Times New Roman" w:cs="Times New Roman"/>
          <w:color w:val="000000"/>
          <w:sz w:val="24"/>
          <w:szCs w:val="24"/>
        </w:rPr>
      </w:pPr>
    </w:p>
    <w:p w14:paraId="58FA70CC" w14:textId="640B3204" w:rsidR="005B6B79" w:rsidRDefault="005B6B79" w:rsidP="00D9108B">
      <w:pPr>
        <w:spacing w:after="0" w:line="480" w:lineRule="auto"/>
        <w:jc w:val="both"/>
        <w:rPr>
          <w:rFonts w:ascii="Times New Roman" w:eastAsia="Times New Roman" w:hAnsi="Times New Roman" w:cs="Times New Roman"/>
          <w:color w:val="000000"/>
          <w:sz w:val="24"/>
          <w:szCs w:val="24"/>
        </w:rPr>
      </w:pPr>
    </w:p>
    <w:p w14:paraId="1C8AB9B1" w14:textId="77777777" w:rsidR="005B6B79" w:rsidRDefault="005B6B79" w:rsidP="00D9108B">
      <w:pPr>
        <w:spacing w:after="0" w:line="480" w:lineRule="auto"/>
        <w:jc w:val="both"/>
        <w:rPr>
          <w:rFonts w:ascii="Times New Roman" w:eastAsia="Times New Roman" w:hAnsi="Times New Roman" w:cs="Times New Roman"/>
          <w:color w:val="000000"/>
          <w:sz w:val="24"/>
          <w:szCs w:val="24"/>
        </w:rPr>
      </w:pPr>
    </w:p>
    <w:p w14:paraId="061F320B" w14:textId="7E7B6046" w:rsidR="00845836" w:rsidRPr="00845836" w:rsidRDefault="00845836" w:rsidP="00D9108B">
      <w:pPr>
        <w:spacing w:after="0" w:line="480" w:lineRule="auto"/>
        <w:jc w:val="both"/>
        <w:rPr>
          <w:rFonts w:ascii="Times New Roman" w:eastAsia="Times New Roman" w:hAnsi="Times New Roman" w:cs="Times New Roman"/>
          <w:b/>
          <w:color w:val="000000"/>
          <w:sz w:val="24"/>
          <w:szCs w:val="24"/>
        </w:rPr>
      </w:pPr>
      <w:r w:rsidRPr="00845836">
        <w:rPr>
          <w:rFonts w:ascii="Times New Roman" w:eastAsia="Times New Roman" w:hAnsi="Times New Roman" w:cs="Times New Roman"/>
          <w:b/>
          <w:color w:val="000000"/>
          <w:sz w:val="24"/>
          <w:szCs w:val="24"/>
        </w:rPr>
        <w:lastRenderedPageBreak/>
        <w:t>Declaration of Interest:</w:t>
      </w:r>
    </w:p>
    <w:p w14:paraId="5E295431" w14:textId="55BBECE4" w:rsidR="00845836" w:rsidRPr="005B6B79" w:rsidRDefault="00845836" w:rsidP="005B6B79">
      <w:pPr>
        <w:spacing w:after="0" w:line="480" w:lineRule="auto"/>
        <w:rPr>
          <w:rFonts w:ascii="Times New Roman" w:hAnsi="Times New Roman" w:cs="Times New Roman"/>
          <w:sz w:val="24"/>
          <w:szCs w:val="24"/>
        </w:rPr>
      </w:pPr>
      <w:r w:rsidRPr="005B6B79">
        <w:rPr>
          <w:rFonts w:ascii="Times New Roman" w:hAnsi="Times New Roman" w:cs="Times New Roman"/>
          <w:sz w:val="24"/>
          <w:szCs w:val="24"/>
        </w:rPr>
        <w:t>The authors report no conflicts of interest. The authors alone are responsible for the content and writing of the paper.</w:t>
      </w:r>
    </w:p>
    <w:p w14:paraId="0862BD4B" w14:textId="77777777" w:rsidR="0012788E" w:rsidRDefault="0012788E" w:rsidP="0012788E"/>
    <w:p w14:paraId="3F9BA300" w14:textId="5E191C52" w:rsidR="007213BF" w:rsidRDefault="007213BF" w:rsidP="0012788E">
      <w:pPr>
        <w:rPr>
          <w:rFonts w:ascii="Times New Roman" w:hAnsi="Times New Roman" w:cs="Times New Roman"/>
          <w:b/>
          <w:sz w:val="28"/>
          <w:szCs w:val="28"/>
        </w:rPr>
      </w:pPr>
      <w:r w:rsidRPr="007213BF">
        <w:rPr>
          <w:rFonts w:ascii="Times New Roman" w:hAnsi="Times New Roman" w:cs="Times New Roman"/>
          <w:b/>
          <w:sz w:val="28"/>
          <w:szCs w:val="28"/>
        </w:rPr>
        <w:t>References</w:t>
      </w:r>
    </w:p>
    <w:p w14:paraId="47EBFF63" w14:textId="62478476" w:rsidR="004C0E5E" w:rsidRDefault="004C0E5E" w:rsidP="004C0E5E">
      <w:pPr>
        <w:widowControl w:val="0"/>
        <w:autoSpaceDE w:val="0"/>
        <w:autoSpaceDN w:val="0"/>
        <w:adjustRightInd w:val="0"/>
        <w:spacing w:line="240" w:lineRule="auto"/>
        <w:ind w:left="480" w:hanging="480"/>
        <w:rPr>
          <w:rFonts w:ascii="Times New Roman" w:eastAsia="Times New Roman" w:hAnsi="Times New Roman" w:cs="Times New Roman"/>
          <w:color w:val="000000"/>
          <w:sz w:val="24"/>
          <w:szCs w:val="24"/>
        </w:rPr>
      </w:pPr>
    </w:p>
    <w:p w14:paraId="222FBAF7"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sz w:val="24"/>
          <w:szCs w:val="24"/>
        </w:rPr>
        <w:fldChar w:fldCharType="begin" w:fldLock="1"/>
      </w:r>
      <w:r w:rsidRPr="0065116B">
        <w:rPr>
          <w:rFonts w:ascii="Times New Roman" w:hAnsi="Times New Roman" w:cs="Times New Roman"/>
          <w:sz w:val="24"/>
          <w:szCs w:val="24"/>
        </w:rPr>
        <w:instrText xml:space="preserve">ADDIN Mendeley Bibliography CSL_BIBLIOGRAPHY </w:instrText>
      </w:r>
      <w:r w:rsidRPr="0065116B">
        <w:rPr>
          <w:rFonts w:ascii="Times New Roman" w:hAnsi="Times New Roman" w:cs="Times New Roman"/>
          <w:sz w:val="24"/>
          <w:szCs w:val="24"/>
        </w:rPr>
        <w:fldChar w:fldCharType="separate"/>
      </w:r>
      <w:r w:rsidRPr="0065116B">
        <w:rPr>
          <w:rFonts w:ascii="Times New Roman" w:hAnsi="Times New Roman" w:cs="Times New Roman"/>
          <w:noProof/>
          <w:sz w:val="24"/>
          <w:szCs w:val="24"/>
        </w:rPr>
        <w:t xml:space="preserve">Aggarwal, R., Berrill, J., Hutson, E., &amp; Kearney, C. (2011). What is a multinational corporation? Classifying the degree of firm-level multinationality. </w:t>
      </w:r>
      <w:r w:rsidRPr="0065116B">
        <w:rPr>
          <w:rFonts w:ascii="Times New Roman" w:hAnsi="Times New Roman" w:cs="Times New Roman"/>
          <w:i/>
          <w:iCs/>
          <w:noProof/>
          <w:sz w:val="24"/>
          <w:szCs w:val="24"/>
        </w:rPr>
        <w:t>International Business Review</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20</w:t>
      </w:r>
      <w:r w:rsidRPr="0065116B">
        <w:rPr>
          <w:rFonts w:ascii="Times New Roman" w:hAnsi="Times New Roman" w:cs="Times New Roman"/>
          <w:noProof/>
          <w:sz w:val="24"/>
          <w:szCs w:val="24"/>
        </w:rPr>
        <w:t>(5), 557–577. http://doi.org/10.1016/j.ibusrev.2010.11.004</w:t>
      </w:r>
    </w:p>
    <w:p w14:paraId="1C246947" w14:textId="77777777" w:rsidR="00DF5761" w:rsidRPr="007F586A"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7F586A">
        <w:rPr>
          <w:rFonts w:ascii="Times New Roman" w:hAnsi="Times New Roman" w:cs="Times New Roman"/>
          <w:noProof/>
          <w:sz w:val="24"/>
          <w:szCs w:val="24"/>
        </w:rPr>
        <w:t xml:space="preserve">Ahearne, A. G., Griever, W. L., &amp; Warnock, F. E. (2004). Information costs and home bias: an analysis of US holdings of foreign equities. </w:t>
      </w:r>
      <w:r w:rsidRPr="007F586A">
        <w:rPr>
          <w:rFonts w:ascii="Times New Roman" w:hAnsi="Times New Roman" w:cs="Times New Roman"/>
          <w:i/>
          <w:iCs/>
          <w:noProof/>
          <w:sz w:val="24"/>
          <w:szCs w:val="24"/>
        </w:rPr>
        <w:t>Journal of International Economics</w:t>
      </w:r>
      <w:r w:rsidRPr="007F586A">
        <w:rPr>
          <w:rFonts w:ascii="Times New Roman" w:hAnsi="Times New Roman" w:cs="Times New Roman"/>
          <w:noProof/>
          <w:sz w:val="24"/>
          <w:szCs w:val="24"/>
        </w:rPr>
        <w:t xml:space="preserve">, </w:t>
      </w:r>
      <w:r w:rsidRPr="00366CC1">
        <w:rPr>
          <w:rFonts w:ascii="Times New Roman" w:hAnsi="Times New Roman" w:cs="Times New Roman"/>
          <w:b/>
          <w:iCs/>
          <w:noProof/>
          <w:sz w:val="24"/>
          <w:szCs w:val="24"/>
        </w:rPr>
        <w:t>62</w:t>
      </w:r>
      <w:r w:rsidRPr="007F586A">
        <w:rPr>
          <w:rFonts w:ascii="Times New Roman" w:hAnsi="Times New Roman" w:cs="Times New Roman"/>
          <w:noProof/>
          <w:sz w:val="24"/>
          <w:szCs w:val="24"/>
        </w:rPr>
        <w:t>(2), 313–336.</w:t>
      </w:r>
    </w:p>
    <w:p w14:paraId="3BE79093"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Ang, A., &amp; Chen, J. (2002). Asymmetric correlations of equity portfolios. </w:t>
      </w:r>
      <w:r w:rsidRPr="0065116B">
        <w:rPr>
          <w:rFonts w:ascii="Times New Roman" w:hAnsi="Times New Roman" w:cs="Times New Roman"/>
          <w:i/>
          <w:iCs/>
          <w:noProof/>
          <w:sz w:val="24"/>
          <w:szCs w:val="24"/>
        </w:rPr>
        <w:t>Journal of Financial Economics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63</w:t>
      </w:r>
      <w:r w:rsidRPr="0065116B">
        <w:rPr>
          <w:rFonts w:ascii="Times New Roman" w:hAnsi="Times New Roman" w:cs="Times New Roman"/>
          <w:noProof/>
          <w:sz w:val="24"/>
          <w:szCs w:val="24"/>
        </w:rPr>
        <w:t>(3), 443–494. https://doi.org/10.1016/S0304-405X(02)00068-5</w:t>
      </w:r>
    </w:p>
    <w:p w14:paraId="3DA231B1" w14:textId="5F760E1E" w:rsidR="00DF5761" w:rsidRPr="007F586A"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7F586A">
        <w:rPr>
          <w:rFonts w:ascii="Times New Roman" w:hAnsi="Times New Roman" w:cs="Times New Roman"/>
          <w:noProof/>
          <w:sz w:val="24"/>
          <w:szCs w:val="24"/>
        </w:rPr>
        <w:t>Bekaert, G., Hoyem, K., Hu, W.-Y., &amp; Ravina, E. (2017). Who is Internationally Diversified? Evidence from the</w:t>
      </w:r>
      <w:r>
        <w:rPr>
          <w:rFonts w:ascii="Times New Roman" w:hAnsi="Times New Roman" w:cs="Times New Roman"/>
          <w:noProof/>
          <w:sz w:val="24"/>
          <w:szCs w:val="24"/>
        </w:rPr>
        <w:t xml:space="preserve"> 401(K) Plans o</w:t>
      </w:r>
      <w:r w:rsidRPr="007F586A">
        <w:rPr>
          <w:rFonts w:ascii="Times New Roman" w:hAnsi="Times New Roman" w:cs="Times New Roman"/>
          <w:noProof/>
          <w:sz w:val="24"/>
          <w:szCs w:val="24"/>
        </w:rPr>
        <w:t xml:space="preserve">f 296 Firms. </w:t>
      </w:r>
      <w:r w:rsidRPr="007F586A">
        <w:rPr>
          <w:rFonts w:ascii="Times New Roman" w:hAnsi="Times New Roman" w:cs="Times New Roman"/>
          <w:i/>
          <w:iCs/>
          <w:noProof/>
          <w:sz w:val="24"/>
          <w:szCs w:val="24"/>
        </w:rPr>
        <w:t>Journal of Financial Economics</w:t>
      </w:r>
      <w:r w:rsidRPr="007F586A">
        <w:rPr>
          <w:rFonts w:ascii="Times New Roman" w:hAnsi="Times New Roman" w:cs="Times New Roman"/>
          <w:noProof/>
          <w:sz w:val="24"/>
          <w:szCs w:val="24"/>
        </w:rPr>
        <w:t xml:space="preserve">, </w:t>
      </w:r>
      <w:r w:rsidRPr="00794FAB">
        <w:rPr>
          <w:rFonts w:ascii="Times New Roman" w:hAnsi="Times New Roman" w:cs="Times New Roman"/>
          <w:b/>
          <w:i/>
          <w:iCs/>
          <w:noProof/>
          <w:sz w:val="24"/>
          <w:szCs w:val="24"/>
        </w:rPr>
        <w:t>124</w:t>
      </w:r>
      <w:r w:rsidRPr="00794FAB">
        <w:rPr>
          <w:rFonts w:ascii="Times New Roman" w:hAnsi="Times New Roman" w:cs="Times New Roman"/>
          <w:b/>
          <w:noProof/>
          <w:sz w:val="24"/>
          <w:szCs w:val="24"/>
        </w:rPr>
        <w:t>(</w:t>
      </w:r>
      <w:r w:rsidRPr="007F586A">
        <w:rPr>
          <w:rFonts w:ascii="Times New Roman" w:hAnsi="Times New Roman" w:cs="Times New Roman"/>
          <w:noProof/>
          <w:sz w:val="24"/>
          <w:szCs w:val="24"/>
        </w:rPr>
        <w:t>1), 86–112.</w:t>
      </w:r>
      <w:r w:rsidR="0009720D" w:rsidRPr="0009720D">
        <w:t xml:space="preserve"> </w:t>
      </w:r>
      <w:r w:rsidR="0009720D" w:rsidRPr="0065116B">
        <w:rPr>
          <w:rFonts w:ascii="Times New Roman" w:hAnsi="Times New Roman" w:cs="Times New Roman"/>
          <w:noProof/>
          <w:sz w:val="24"/>
          <w:szCs w:val="24"/>
        </w:rPr>
        <w:t>https://doi.org/</w:t>
      </w:r>
      <w:r w:rsidR="0009720D" w:rsidRPr="0009720D">
        <w:rPr>
          <w:rFonts w:ascii="Times New Roman" w:hAnsi="Times New Roman" w:cs="Times New Roman"/>
          <w:noProof/>
          <w:sz w:val="24"/>
          <w:szCs w:val="24"/>
        </w:rPr>
        <w:t>10.1016/j.jfineco.2016.12.010</w:t>
      </w:r>
    </w:p>
    <w:p w14:paraId="1259286C"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Baxter, M., &amp; Kouparitsas, M. (2005). Determinants of business cycle comovement: a robust analysis. </w:t>
      </w:r>
      <w:r w:rsidRPr="0065116B">
        <w:rPr>
          <w:rFonts w:ascii="Times New Roman" w:hAnsi="Times New Roman" w:cs="Times New Roman"/>
          <w:i/>
          <w:iCs/>
          <w:noProof/>
          <w:sz w:val="24"/>
          <w:szCs w:val="24"/>
        </w:rPr>
        <w:t>Journal of Monetary Economics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52</w:t>
      </w:r>
      <w:r w:rsidRPr="0065116B">
        <w:rPr>
          <w:rFonts w:ascii="Times New Roman" w:hAnsi="Times New Roman" w:cs="Times New Roman"/>
          <w:noProof/>
          <w:sz w:val="24"/>
          <w:szCs w:val="24"/>
        </w:rPr>
        <w:t>(1), 113–157.</w:t>
      </w:r>
      <w:r w:rsidRPr="0065116B">
        <w:t xml:space="preserve"> </w:t>
      </w:r>
      <w:r w:rsidRPr="0065116B">
        <w:rPr>
          <w:rFonts w:ascii="Times New Roman" w:hAnsi="Times New Roman" w:cs="Times New Roman"/>
          <w:noProof/>
          <w:sz w:val="24"/>
          <w:szCs w:val="24"/>
        </w:rPr>
        <w:t>https://doi.org/10.1016/j.jmoneco.2004.08.002</w:t>
      </w:r>
    </w:p>
    <w:p w14:paraId="017077E7"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Berrill, J., &amp; Kearney, C. (2010). Firm-level internationalisation and the home bias puzzle. </w:t>
      </w:r>
      <w:r w:rsidRPr="0065116B">
        <w:rPr>
          <w:rFonts w:ascii="Times New Roman" w:hAnsi="Times New Roman" w:cs="Times New Roman"/>
          <w:i/>
          <w:iCs/>
          <w:noProof/>
          <w:sz w:val="24"/>
          <w:szCs w:val="24"/>
        </w:rPr>
        <w:t>Journal of Economics and Business</w:t>
      </w:r>
      <w:r w:rsidRPr="0065116B">
        <w:rPr>
          <w:rFonts w:ascii="Times New Roman" w:hAnsi="Times New Roman" w:cs="Times New Roman"/>
          <w:noProof/>
          <w:sz w:val="24"/>
          <w:szCs w:val="24"/>
        </w:rPr>
        <w:t>,</w:t>
      </w:r>
      <w:r w:rsidRPr="0065116B">
        <w:rPr>
          <w:rFonts w:ascii="Times New Roman" w:hAnsi="Times New Roman" w:cs="Times New Roman"/>
          <w:b/>
          <w:noProof/>
          <w:sz w:val="24"/>
          <w:szCs w:val="24"/>
        </w:rPr>
        <w:t xml:space="preserve"> </w:t>
      </w:r>
      <w:r w:rsidRPr="0065116B">
        <w:rPr>
          <w:rFonts w:ascii="Times New Roman" w:hAnsi="Times New Roman" w:cs="Times New Roman"/>
          <w:b/>
          <w:iCs/>
          <w:noProof/>
          <w:sz w:val="24"/>
          <w:szCs w:val="24"/>
        </w:rPr>
        <w:t>62</w:t>
      </w:r>
      <w:r w:rsidRPr="0065116B">
        <w:rPr>
          <w:rFonts w:ascii="Times New Roman" w:hAnsi="Times New Roman" w:cs="Times New Roman"/>
          <w:iCs/>
          <w:noProof/>
          <w:sz w:val="24"/>
          <w:szCs w:val="24"/>
        </w:rPr>
        <w:t>(4)</w:t>
      </w:r>
      <w:r w:rsidRPr="0065116B">
        <w:rPr>
          <w:rFonts w:ascii="Times New Roman" w:hAnsi="Times New Roman" w:cs="Times New Roman"/>
          <w:noProof/>
          <w:sz w:val="24"/>
          <w:szCs w:val="24"/>
        </w:rPr>
        <w:t>, 235–236.</w:t>
      </w:r>
      <w:r w:rsidRPr="0065116B">
        <w:t xml:space="preserve"> </w:t>
      </w:r>
      <w:r w:rsidRPr="0065116B">
        <w:rPr>
          <w:rFonts w:ascii="Times New Roman" w:hAnsi="Times New Roman" w:cs="Times New Roman"/>
          <w:noProof/>
          <w:sz w:val="24"/>
          <w:szCs w:val="24"/>
        </w:rPr>
        <w:t>https://doi.org/10.1016/j.jeconbus.2010.02.002</w:t>
      </w:r>
    </w:p>
    <w:p w14:paraId="52B48307" w14:textId="34C0F501"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Berrill, J., Kearney, C. and O’Hagan-Luff, M. (2019) Measuring the Diversification Benefits of Investing in Highly Internationalised Firms, </w:t>
      </w:r>
      <w:r w:rsidRPr="00F94568">
        <w:rPr>
          <w:rFonts w:ascii="Times New Roman" w:hAnsi="Times New Roman" w:cs="Times New Roman"/>
          <w:i/>
          <w:noProof/>
          <w:sz w:val="24"/>
          <w:szCs w:val="24"/>
        </w:rPr>
        <w:t>International Business Review</w:t>
      </w:r>
      <w:r w:rsidRPr="0065116B">
        <w:rPr>
          <w:rFonts w:ascii="Times New Roman" w:hAnsi="Times New Roman" w:cs="Times New Roman"/>
          <w:noProof/>
          <w:sz w:val="24"/>
          <w:szCs w:val="24"/>
        </w:rPr>
        <w:t xml:space="preserve">, </w:t>
      </w:r>
      <w:r w:rsidRPr="00F94568">
        <w:rPr>
          <w:rFonts w:ascii="Times New Roman" w:eastAsia="Times New Roman" w:hAnsi="Times New Roman" w:cs="Times New Roman"/>
          <w:b/>
          <w:bCs/>
          <w:sz w:val="24"/>
          <w:szCs w:val="24"/>
          <w:lang w:val="en-GB"/>
        </w:rPr>
        <w:t>28</w:t>
      </w:r>
      <w:r>
        <w:rPr>
          <w:rFonts w:ascii="Times New Roman" w:eastAsia="Times New Roman" w:hAnsi="Times New Roman" w:cs="Times New Roman"/>
          <w:bCs/>
          <w:sz w:val="24"/>
          <w:szCs w:val="24"/>
          <w:lang w:val="en-GB"/>
        </w:rPr>
        <w:t>(4),</w:t>
      </w:r>
      <w:r w:rsidRPr="00F94568">
        <w:rPr>
          <w:rFonts w:ascii="Times New Roman" w:eastAsia="Times New Roman" w:hAnsi="Times New Roman" w:cs="Times New Roman"/>
          <w:bCs/>
          <w:sz w:val="24"/>
          <w:szCs w:val="24"/>
          <w:lang w:val="en-GB"/>
        </w:rPr>
        <w:t xml:space="preserve"> 672-684</w:t>
      </w:r>
      <w:r w:rsidR="0009720D">
        <w:rPr>
          <w:rFonts w:ascii="Times New Roman" w:eastAsia="Times New Roman" w:hAnsi="Times New Roman" w:cs="Times New Roman"/>
          <w:bCs/>
          <w:sz w:val="24"/>
          <w:szCs w:val="24"/>
          <w:lang w:val="en-GB"/>
        </w:rPr>
        <w:t xml:space="preserve">. </w:t>
      </w:r>
      <w:r w:rsidR="0009720D" w:rsidRPr="0065116B">
        <w:rPr>
          <w:rFonts w:ascii="Times New Roman" w:hAnsi="Times New Roman" w:cs="Times New Roman"/>
          <w:noProof/>
          <w:sz w:val="24"/>
          <w:szCs w:val="24"/>
        </w:rPr>
        <w:t>https://doi.org/</w:t>
      </w:r>
      <w:r w:rsidR="0009720D" w:rsidRPr="0009720D">
        <w:t xml:space="preserve"> </w:t>
      </w:r>
      <w:r w:rsidR="0009720D" w:rsidRPr="0009720D">
        <w:rPr>
          <w:rFonts w:ascii="Times New Roman" w:hAnsi="Times New Roman" w:cs="Times New Roman"/>
          <w:noProof/>
          <w:sz w:val="24"/>
          <w:szCs w:val="24"/>
        </w:rPr>
        <w:t>10.1016/j.ibusrev.2019.01.005</w:t>
      </w:r>
    </w:p>
    <w:p w14:paraId="72138087"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Brewer, H. L. (1981). Investor Benefits from Corporate International Diversification. </w:t>
      </w:r>
      <w:r w:rsidRPr="0065116B">
        <w:rPr>
          <w:rFonts w:ascii="Times New Roman" w:hAnsi="Times New Roman" w:cs="Times New Roman"/>
          <w:i/>
          <w:iCs/>
          <w:noProof/>
          <w:sz w:val="24"/>
          <w:szCs w:val="24"/>
        </w:rPr>
        <w:t>The Journal of Financial and Quantitative Analysis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16</w:t>
      </w:r>
      <w:r w:rsidRPr="0065116B">
        <w:rPr>
          <w:rFonts w:ascii="Times New Roman" w:hAnsi="Times New Roman" w:cs="Times New Roman"/>
          <w:noProof/>
          <w:sz w:val="24"/>
          <w:szCs w:val="24"/>
        </w:rPr>
        <w:t>(1), 113–126.</w:t>
      </w:r>
      <w:r w:rsidRPr="0065116B">
        <w:t xml:space="preserve"> </w:t>
      </w:r>
      <w:r w:rsidRPr="0065116B">
        <w:rPr>
          <w:rFonts w:ascii="Times New Roman" w:hAnsi="Times New Roman" w:cs="Times New Roman"/>
          <w:noProof/>
          <w:sz w:val="24"/>
          <w:szCs w:val="24"/>
        </w:rPr>
        <w:t>https://doi.org/10.2307/2330669</w:t>
      </w:r>
    </w:p>
    <w:p w14:paraId="7136B04E"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Cai, F., &amp; Warnock, F. E. (2012). Foreign exposure through domestic equities. </w:t>
      </w:r>
      <w:r w:rsidRPr="0065116B">
        <w:rPr>
          <w:rFonts w:ascii="Times New Roman" w:hAnsi="Times New Roman" w:cs="Times New Roman"/>
          <w:i/>
          <w:iCs/>
          <w:noProof/>
          <w:sz w:val="24"/>
          <w:szCs w:val="24"/>
        </w:rPr>
        <w:t>Finance Research Letters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9</w:t>
      </w:r>
      <w:r w:rsidRPr="0065116B">
        <w:rPr>
          <w:rFonts w:ascii="Times New Roman" w:hAnsi="Times New Roman" w:cs="Times New Roman"/>
          <w:noProof/>
          <w:sz w:val="24"/>
          <w:szCs w:val="24"/>
        </w:rPr>
        <w:t>(1), 8–20. https://doi.org/10.1016/j.frl.2011.12.001</w:t>
      </w:r>
    </w:p>
    <w:p w14:paraId="5A168484"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Carhart, M. M. (1997). On Persistence in Mutual Fund Performance. </w:t>
      </w:r>
      <w:r w:rsidRPr="0065116B">
        <w:rPr>
          <w:rFonts w:ascii="Times New Roman" w:hAnsi="Times New Roman" w:cs="Times New Roman"/>
          <w:i/>
          <w:iCs/>
          <w:noProof/>
          <w:sz w:val="24"/>
          <w:szCs w:val="24"/>
        </w:rPr>
        <w:t>Journal of Finance</w:t>
      </w:r>
      <w:r w:rsidRPr="0065116B">
        <w:rPr>
          <w:rFonts w:ascii="Times New Roman" w:hAnsi="Times New Roman" w:cs="Times New Roman"/>
          <w:noProof/>
          <w:sz w:val="24"/>
          <w:szCs w:val="24"/>
        </w:rPr>
        <w:t xml:space="preserve">, </w:t>
      </w:r>
      <w:r w:rsidRPr="0065116B">
        <w:rPr>
          <w:rFonts w:ascii="Times New Roman" w:hAnsi="Times New Roman" w:cs="Times New Roman"/>
          <w:b/>
          <w:noProof/>
          <w:sz w:val="24"/>
          <w:szCs w:val="24"/>
        </w:rPr>
        <w:t>52</w:t>
      </w:r>
      <w:r w:rsidRPr="0065116B">
        <w:rPr>
          <w:rFonts w:ascii="Times New Roman" w:hAnsi="Times New Roman" w:cs="Times New Roman"/>
          <w:noProof/>
          <w:sz w:val="24"/>
          <w:szCs w:val="24"/>
        </w:rPr>
        <w:t xml:space="preserve">(1), 57-82. </w:t>
      </w:r>
      <w:hyperlink r:id="rId16" w:history="1">
        <w:r w:rsidRPr="0065116B">
          <w:rPr>
            <w:rFonts w:ascii="Times New Roman" w:hAnsi="Times New Roman" w:cs="Times New Roman"/>
            <w:bCs/>
            <w:sz w:val="24"/>
            <w:szCs w:val="24"/>
            <w:shd w:val="clear" w:color="auto" w:fill="FFFFFF"/>
          </w:rPr>
          <w:t>https://doi.org/10.1111/j.1540-6261.1997.tb03808.x</w:t>
        </w:r>
      </w:hyperlink>
    </w:p>
    <w:p w14:paraId="2438A7FD"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Doidge, C., Karolyi, G. A., &amp; Stulz, R. M. (2017). The U.S. listing gap. </w:t>
      </w:r>
      <w:r w:rsidRPr="0065116B">
        <w:rPr>
          <w:rFonts w:ascii="Times New Roman" w:hAnsi="Times New Roman" w:cs="Times New Roman"/>
          <w:i/>
          <w:iCs/>
          <w:noProof/>
          <w:sz w:val="24"/>
          <w:szCs w:val="24"/>
        </w:rPr>
        <w:t xml:space="preserve">Journal of Financial </w:t>
      </w:r>
      <w:r w:rsidRPr="0065116B">
        <w:rPr>
          <w:rFonts w:ascii="Times New Roman" w:hAnsi="Times New Roman" w:cs="Times New Roman"/>
          <w:i/>
          <w:iCs/>
          <w:noProof/>
          <w:sz w:val="24"/>
          <w:szCs w:val="24"/>
        </w:rPr>
        <w:lastRenderedPageBreak/>
        <w:t>Economics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123</w:t>
      </w:r>
      <w:r w:rsidRPr="0065116B">
        <w:rPr>
          <w:rFonts w:ascii="Times New Roman" w:hAnsi="Times New Roman" w:cs="Times New Roman"/>
          <w:noProof/>
          <w:sz w:val="24"/>
          <w:szCs w:val="24"/>
        </w:rPr>
        <w:t>(3), 464–487. https://doi.org/10.1016/j.jfineco.2016.12.002</w:t>
      </w:r>
    </w:p>
    <w:p w14:paraId="2C916C5A"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Errunza, V., Hogan, K., &amp; Hung, M.-W. (1999). Can the Gains from International Diversification Be Achieved without Trading Abroad? </w:t>
      </w:r>
      <w:r w:rsidRPr="0065116B">
        <w:rPr>
          <w:rFonts w:ascii="Times New Roman" w:hAnsi="Times New Roman" w:cs="Times New Roman"/>
          <w:i/>
          <w:iCs/>
          <w:noProof/>
          <w:sz w:val="24"/>
          <w:szCs w:val="24"/>
        </w:rPr>
        <w:t>The Journal of Finance</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54</w:t>
      </w:r>
      <w:r w:rsidRPr="0065116B">
        <w:rPr>
          <w:rFonts w:ascii="Times New Roman" w:hAnsi="Times New Roman" w:cs="Times New Roman"/>
          <w:noProof/>
          <w:sz w:val="24"/>
          <w:szCs w:val="24"/>
        </w:rPr>
        <w:t>(6), 2075–2107.</w:t>
      </w:r>
      <w:r w:rsidRPr="0065116B">
        <w:t xml:space="preserve">   </w:t>
      </w:r>
      <w:r w:rsidRPr="0065116B">
        <w:rPr>
          <w:rFonts w:ascii="Times New Roman" w:hAnsi="Times New Roman" w:cs="Times New Roman"/>
          <w:noProof/>
          <w:sz w:val="24"/>
          <w:szCs w:val="24"/>
        </w:rPr>
        <w:t>https://doi.org/10.1111/0022-1082.00182</w:t>
      </w:r>
    </w:p>
    <w:p w14:paraId="4B3B051F"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Fama, E. F., &amp; French, K. R. (1993). Common risk factors in the returns on stocks and bonds. </w:t>
      </w:r>
      <w:r w:rsidRPr="0065116B">
        <w:rPr>
          <w:rFonts w:ascii="Times New Roman" w:hAnsi="Times New Roman" w:cs="Times New Roman"/>
          <w:i/>
          <w:iCs/>
          <w:noProof/>
          <w:sz w:val="24"/>
          <w:szCs w:val="24"/>
        </w:rPr>
        <w:t>Journal of Financial Economics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33</w:t>
      </w:r>
      <w:r w:rsidRPr="0065116B">
        <w:rPr>
          <w:rFonts w:ascii="Times New Roman" w:hAnsi="Times New Roman" w:cs="Times New Roman"/>
          <w:noProof/>
          <w:sz w:val="24"/>
          <w:szCs w:val="24"/>
        </w:rPr>
        <w:t>(1), 3–56. https://doi.org/10.1016/0304-405X(93)90023-5</w:t>
      </w:r>
    </w:p>
    <w:p w14:paraId="32405EDD"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Fama, E. F., &amp; French, K. R. (2014). A five-factor asset pricing model. </w:t>
      </w:r>
      <w:r w:rsidRPr="0065116B">
        <w:rPr>
          <w:rFonts w:ascii="Times New Roman" w:hAnsi="Times New Roman" w:cs="Times New Roman"/>
          <w:i/>
          <w:iCs/>
          <w:noProof/>
          <w:sz w:val="24"/>
          <w:szCs w:val="24"/>
        </w:rPr>
        <w:t>Journal of Financial Economics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116</w:t>
      </w:r>
      <w:r w:rsidRPr="0065116B">
        <w:rPr>
          <w:rFonts w:ascii="Times New Roman" w:hAnsi="Times New Roman" w:cs="Times New Roman"/>
          <w:noProof/>
          <w:sz w:val="24"/>
          <w:szCs w:val="24"/>
        </w:rPr>
        <w:t>(1), 1–22. https://doi.org/10.1016/j.jfineco.2014.10.010</w:t>
      </w:r>
    </w:p>
    <w:p w14:paraId="6A840DA3"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Farooqi, J., Huerta, D., &amp; Ngo, T. (2015). Should you globally diversify or let the globally diversified firm do it for you? </w:t>
      </w:r>
      <w:r w:rsidRPr="0065116B">
        <w:rPr>
          <w:rFonts w:ascii="Times New Roman" w:hAnsi="Times New Roman" w:cs="Times New Roman"/>
          <w:i/>
          <w:iCs/>
          <w:noProof/>
          <w:sz w:val="24"/>
          <w:szCs w:val="24"/>
        </w:rPr>
        <w:t>The Quarterly Review of Economics and Finance</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57</w:t>
      </w:r>
      <w:r w:rsidRPr="0065116B">
        <w:rPr>
          <w:rFonts w:ascii="Times New Roman" w:hAnsi="Times New Roman" w:cs="Times New Roman"/>
          <w:noProof/>
          <w:sz w:val="24"/>
          <w:szCs w:val="24"/>
        </w:rPr>
        <w:t>, 75–85. https://doi.org/10.1016/j.qref.2015.02.005</w:t>
      </w:r>
    </w:p>
    <w:p w14:paraId="670C1FBF" w14:textId="77777777" w:rsidR="00DF5761"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Fillat, J. L., Garetto, S., &amp; Oldenski, L. (2015). Diversification, cost structure, and the risk premium of multinational corporations. </w:t>
      </w:r>
      <w:r w:rsidRPr="0065116B">
        <w:rPr>
          <w:rFonts w:ascii="Times New Roman" w:hAnsi="Times New Roman" w:cs="Times New Roman"/>
          <w:i/>
          <w:iCs/>
          <w:noProof/>
          <w:sz w:val="24"/>
          <w:szCs w:val="24"/>
        </w:rPr>
        <w:t>Journal of International Economics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96</w:t>
      </w:r>
      <w:r w:rsidRPr="0065116B">
        <w:rPr>
          <w:rFonts w:ascii="Times New Roman" w:hAnsi="Times New Roman" w:cs="Times New Roman"/>
          <w:noProof/>
          <w:sz w:val="24"/>
          <w:szCs w:val="24"/>
        </w:rPr>
        <w:t>(1), 37–54. https://doi.org/10.1016/j.jinteco.2015.01.004</w:t>
      </w:r>
    </w:p>
    <w:p w14:paraId="572AD40D" w14:textId="4021D335" w:rsidR="00DF5761" w:rsidRPr="007F586A"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7F586A">
        <w:rPr>
          <w:rFonts w:ascii="Times New Roman" w:hAnsi="Times New Roman" w:cs="Times New Roman"/>
          <w:noProof/>
          <w:sz w:val="24"/>
          <w:szCs w:val="24"/>
        </w:rPr>
        <w:t xml:space="preserve">French, K. R., &amp; Poterba, J. M. (1991). Investor Diversification and International Equity Markets. </w:t>
      </w:r>
      <w:r w:rsidRPr="007F586A">
        <w:rPr>
          <w:rFonts w:ascii="Times New Roman" w:hAnsi="Times New Roman" w:cs="Times New Roman"/>
          <w:i/>
          <w:iCs/>
          <w:noProof/>
          <w:sz w:val="24"/>
          <w:szCs w:val="24"/>
        </w:rPr>
        <w:t>The American Economic Review</w:t>
      </w:r>
      <w:r w:rsidRPr="007F586A">
        <w:rPr>
          <w:rFonts w:ascii="Times New Roman" w:hAnsi="Times New Roman" w:cs="Times New Roman"/>
          <w:noProof/>
          <w:sz w:val="24"/>
          <w:szCs w:val="24"/>
        </w:rPr>
        <w:t xml:space="preserve">, </w:t>
      </w:r>
      <w:r w:rsidRPr="00366CC1">
        <w:rPr>
          <w:rFonts w:ascii="Times New Roman" w:hAnsi="Times New Roman" w:cs="Times New Roman"/>
          <w:b/>
          <w:iCs/>
          <w:noProof/>
          <w:sz w:val="24"/>
          <w:szCs w:val="24"/>
        </w:rPr>
        <w:t>81</w:t>
      </w:r>
      <w:r w:rsidRPr="007F586A">
        <w:rPr>
          <w:rFonts w:ascii="Times New Roman" w:hAnsi="Times New Roman" w:cs="Times New Roman"/>
          <w:noProof/>
          <w:sz w:val="24"/>
          <w:szCs w:val="24"/>
        </w:rPr>
        <w:t>(2), 222–226.</w:t>
      </w:r>
      <w:r w:rsidR="0009720D">
        <w:rPr>
          <w:rFonts w:ascii="Times New Roman" w:hAnsi="Times New Roman" w:cs="Times New Roman"/>
          <w:noProof/>
          <w:sz w:val="24"/>
          <w:szCs w:val="24"/>
        </w:rPr>
        <w:t xml:space="preserve"> </w:t>
      </w:r>
      <w:r w:rsidR="0009720D" w:rsidRPr="0065116B">
        <w:rPr>
          <w:rFonts w:ascii="Times New Roman" w:hAnsi="Times New Roman" w:cs="Times New Roman"/>
          <w:noProof/>
          <w:sz w:val="24"/>
          <w:szCs w:val="24"/>
        </w:rPr>
        <w:t>https://doi.org/</w:t>
      </w:r>
      <w:r w:rsidR="0009720D" w:rsidRPr="0009720D">
        <w:rPr>
          <w:rFonts w:ascii="Times New Roman" w:hAnsi="Times New Roman" w:cs="Times New Roman"/>
          <w:noProof/>
          <w:sz w:val="24"/>
          <w:szCs w:val="24"/>
        </w:rPr>
        <w:t>10.2307/2006858</w:t>
      </w:r>
    </w:p>
    <w:p w14:paraId="2115E59E"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Fuller, K. P., &amp; Goldstein, M. a. (2011). Do dividends matter more in declining markets? </w:t>
      </w:r>
      <w:r w:rsidRPr="0065116B">
        <w:rPr>
          <w:rFonts w:ascii="Times New Roman" w:hAnsi="Times New Roman" w:cs="Times New Roman"/>
          <w:i/>
          <w:iCs/>
          <w:noProof/>
          <w:sz w:val="24"/>
          <w:szCs w:val="24"/>
        </w:rPr>
        <w:t>Journal of Corporate Finance</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17</w:t>
      </w:r>
      <w:r w:rsidRPr="0065116B">
        <w:rPr>
          <w:rFonts w:ascii="Times New Roman" w:hAnsi="Times New Roman" w:cs="Times New Roman"/>
          <w:noProof/>
          <w:sz w:val="24"/>
          <w:szCs w:val="24"/>
        </w:rPr>
        <w:t>(3), 457–473. https://doi.org/10.1016/j.jcorpfin.2011.01.001</w:t>
      </w:r>
    </w:p>
    <w:p w14:paraId="6016B1A4"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Glaum, M., &amp; Oesterle, M.-J. (2007). 40 years of research on internationalization and firm performance: More questions than answers? </w:t>
      </w:r>
      <w:r w:rsidRPr="0065116B">
        <w:rPr>
          <w:rFonts w:ascii="Times New Roman" w:hAnsi="Times New Roman" w:cs="Times New Roman"/>
          <w:i/>
          <w:iCs/>
          <w:noProof/>
          <w:sz w:val="24"/>
          <w:szCs w:val="24"/>
        </w:rPr>
        <w:t>Management International Review</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47</w:t>
      </w:r>
      <w:r w:rsidRPr="0065116B">
        <w:rPr>
          <w:rFonts w:ascii="Times New Roman" w:hAnsi="Times New Roman" w:cs="Times New Roman"/>
          <w:noProof/>
          <w:sz w:val="24"/>
          <w:szCs w:val="24"/>
        </w:rPr>
        <w:t>(3), 307–317. https://doi.org/10.1007/s11575-007-0018-0</w:t>
      </w:r>
    </w:p>
    <w:p w14:paraId="61A9D936"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Goerzen, A., &amp; Beamish, P. W. (2003). Geographic scope and multinational enterprise performance. </w:t>
      </w:r>
      <w:r w:rsidRPr="0065116B">
        <w:rPr>
          <w:rFonts w:ascii="Times New Roman" w:hAnsi="Times New Roman" w:cs="Times New Roman"/>
          <w:i/>
          <w:iCs/>
          <w:noProof/>
          <w:sz w:val="24"/>
          <w:szCs w:val="24"/>
        </w:rPr>
        <w:t>Strategic Management Journal</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24</w:t>
      </w:r>
      <w:r w:rsidRPr="0065116B">
        <w:rPr>
          <w:rFonts w:ascii="Times New Roman" w:hAnsi="Times New Roman" w:cs="Times New Roman"/>
          <w:noProof/>
          <w:sz w:val="24"/>
          <w:szCs w:val="24"/>
        </w:rPr>
        <w:t>(13), 1289–1306.</w:t>
      </w:r>
      <w:r w:rsidRPr="0065116B">
        <w:t xml:space="preserve"> </w:t>
      </w:r>
      <w:r w:rsidRPr="0065116B">
        <w:rPr>
          <w:rFonts w:ascii="Times New Roman" w:hAnsi="Times New Roman" w:cs="Times New Roman"/>
          <w:noProof/>
          <w:sz w:val="24"/>
          <w:szCs w:val="24"/>
        </w:rPr>
        <w:t>https://doi.org/10.1002/smj.357</w:t>
      </w:r>
    </w:p>
    <w:p w14:paraId="4BFED764"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Goetzmann, W., Li, L., &amp; Rouwenhorst, K. G. (2001). Long-Term Global Market Correlations. </w:t>
      </w:r>
      <w:r w:rsidRPr="0065116B">
        <w:rPr>
          <w:rFonts w:ascii="Times New Roman" w:hAnsi="Times New Roman" w:cs="Times New Roman"/>
          <w:i/>
          <w:iCs/>
          <w:noProof/>
          <w:sz w:val="24"/>
          <w:szCs w:val="24"/>
        </w:rPr>
        <w:t>NBER Working Paper No. 8612</w:t>
      </w:r>
      <w:r w:rsidRPr="0065116B">
        <w:rPr>
          <w:rFonts w:ascii="Times New Roman" w:hAnsi="Times New Roman" w:cs="Times New Roman"/>
          <w:noProof/>
          <w:sz w:val="24"/>
          <w:szCs w:val="24"/>
        </w:rPr>
        <w:t>.</w:t>
      </w:r>
    </w:p>
    <w:p w14:paraId="0A99EAF4"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Goldstein, M. A., Goyal, A., Lucey, B. M., &amp; Muckley, C. B. (2015). The Global Preference for Dividends in Declining Markets. </w:t>
      </w:r>
      <w:r w:rsidRPr="0065116B">
        <w:rPr>
          <w:rFonts w:ascii="Times New Roman" w:hAnsi="Times New Roman" w:cs="Times New Roman"/>
          <w:i/>
          <w:iCs/>
          <w:noProof/>
          <w:sz w:val="24"/>
          <w:szCs w:val="24"/>
        </w:rPr>
        <w:t xml:space="preserve">The Financial Review, </w:t>
      </w:r>
      <w:r w:rsidRPr="0065116B">
        <w:rPr>
          <w:rFonts w:ascii="Times New Roman" w:hAnsi="Times New Roman" w:cs="Times New Roman"/>
          <w:b/>
          <w:iCs/>
          <w:noProof/>
          <w:sz w:val="24"/>
          <w:szCs w:val="24"/>
        </w:rPr>
        <w:t>50</w:t>
      </w:r>
      <w:r w:rsidRPr="0065116B">
        <w:rPr>
          <w:rFonts w:ascii="Times New Roman" w:hAnsi="Times New Roman" w:cs="Times New Roman"/>
          <w:iCs/>
          <w:noProof/>
          <w:sz w:val="24"/>
          <w:szCs w:val="24"/>
        </w:rPr>
        <w:t xml:space="preserve">(4), 575-609. </w:t>
      </w:r>
      <w:r w:rsidRPr="0065116B">
        <w:rPr>
          <w:rFonts w:ascii="Times New Roman" w:hAnsi="Times New Roman" w:cs="Times New Roman"/>
          <w:noProof/>
          <w:sz w:val="24"/>
          <w:szCs w:val="24"/>
        </w:rPr>
        <w:t>https://doi.org/10.1111/fire.12078</w:t>
      </w:r>
    </w:p>
    <w:p w14:paraId="4DD73B07"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Hennart, J.-F. (2007). The theoretical rationale for a multinationality-performance relationship. </w:t>
      </w:r>
      <w:r w:rsidRPr="0065116B">
        <w:rPr>
          <w:rFonts w:ascii="Times New Roman" w:hAnsi="Times New Roman" w:cs="Times New Roman"/>
          <w:i/>
          <w:iCs/>
          <w:noProof/>
          <w:sz w:val="24"/>
          <w:szCs w:val="24"/>
        </w:rPr>
        <w:t>Management International Review</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47</w:t>
      </w:r>
      <w:r w:rsidRPr="0065116B">
        <w:rPr>
          <w:rFonts w:ascii="Times New Roman" w:hAnsi="Times New Roman" w:cs="Times New Roman"/>
          <w:noProof/>
          <w:sz w:val="24"/>
          <w:szCs w:val="24"/>
        </w:rPr>
        <w:t>(3), 423–452. https://doi.org/10.1007/s11575-007-0023-3</w:t>
      </w:r>
    </w:p>
    <w:p w14:paraId="550051B6"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Hessel, C. A., &amp; Norman, M. (1992). Financial Characteristics of Neglected and Institutionally Held Stocks. </w:t>
      </w:r>
      <w:r w:rsidRPr="0065116B">
        <w:rPr>
          <w:rFonts w:ascii="Times New Roman" w:hAnsi="Times New Roman" w:cs="Times New Roman"/>
          <w:i/>
          <w:iCs/>
          <w:noProof/>
          <w:sz w:val="24"/>
          <w:szCs w:val="24"/>
        </w:rPr>
        <w:t>Journal of Accounting, Auditing &amp; Finance</w:t>
      </w:r>
      <w:r w:rsidRPr="0065116B">
        <w:rPr>
          <w:rFonts w:ascii="Times New Roman" w:hAnsi="Times New Roman" w:cs="Times New Roman"/>
          <w:noProof/>
          <w:sz w:val="24"/>
          <w:szCs w:val="24"/>
        </w:rPr>
        <w:t xml:space="preserve">, </w:t>
      </w:r>
      <w:r w:rsidRPr="0065116B">
        <w:rPr>
          <w:rFonts w:ascii="Times New Roman" w:hAnsi="Times New Roman" w:cs="Times New Roman"/>
          <w:b/>
          <w:noProof/>
          <w:sz w:val="24"/>
          <w:szCs w:val="24"/>
        </w:rPr>
        <w:t>7</w:t>
      </w:r>
      <w:r w:rsidRPr="0065116B">
        <w:rPr>
          <w:rFonts w:ascii="Times New Roman" w:hAnsi="Times New Roman" w:cs="Times New Roman"/>
          <w:noProof/>
          <w:sz w:val="24"/>
          <w:szCs w:val="24"/>
        </w:rPr>
        <w:t>(3), 313-330. https://doi.org/10.1177/0148558X9200700305</w:t>
      </w:r>
    </w:p>
    <w:p w14:paraId="084B889D"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lastRenderedPageBreak/>
        <w:t xml:space="preserve">IMF. (2005). </w:t>
      </w:r>
      <w:r w:rsidRPr="0065116B">
        <w:rPr>
          <w:rFonts w:ascii="Times New Roman" w:hAnsi="Times New Roman" w:cs="Times New Roman"/>
          <w:i/>
          <w:iCs/>
          <w:noProof/>
          <w:sz w:val="24"/>
          <w:szCs w:val="24"/>
        </w:rPr>
        <w:t>Global Financial Stability Report - Household Balance Sheets</w:t>
      </w:r>
      <w:r w:rsidRPr="0065116B">
        <w:rPr>
          <w:rFonts w:ascii="Times New Roman" w:hAnsi="Times New Roman" w:cs="Times New Roman"/>
          <w:noProof/>
          <w:sz w:val="24"/>
          <w:szCs w:val="24"/>
        </w:rPr>
        <w:t>.</w:t>
      </w:r>
    </w:p>
    <w:p w14:paraId="54C4AC2D"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Jacquillat, B., &amp; Solnik, B. H. (1978). Multinationals are poor tools for diversification. </w:t>
      </w:r>
      <w:r w:rsidRPr="0065116B">
        <w:rPr>
          <w:rFonts w:ascii="Times New Roman" w:hAnsi="Times New Roman" w:cs="Times New Roman"/>
          <w:i/>
          <w:iCs/>
          <w:noProof/>
          <w:sz w:val="24"/>
          <w:szCs w:val="24"/>
        </w:rPr>
        <w:t>Journal of Portfolio Management</w:t>
      </w:r>
      <w:r w:rsidRPr="0065116B">
        <w:rPr>
          <w:rFonts w:ascii="Times New Roman" w:hAnsi="Times New Roman" w:cs="Times New Roman"/>
          <w:noProof/>
          <w:sz w:val="24"/>
          <w:szCs w:val="24"/>
        </w:rPr>
        <w:t>,</w:t>
      </w:r>
      <w:r w:rsidRPr="0065116B">
        <w:rPr>
          <w:rFonts w:ascii="Times New Roman" w:hAnsi="Times New Roman" w:cs="Times New Roman"/>
          <w:b/>
          <w:noProof/>
          <w:sz w:val="24"/>
          <w:szCs w:val="24"/>
        </w:rPr>
        <w:t xml:space="preserve"> </w:t>
      </w:r>
      <w:r w:rsidRPr="0065116B">
        <w:rPr>
          <w:rFonts w:ascii="Times New Roman" w:hAnsi="Times New Roman" w:cs="Times New Roman"/>
          <w:b/>
          <w:iCs/>
          <w:noProof/>
          <w:sz w:val="24"/>
          <w:szCs w:val="24"/>
        </w:rPr>
        <w:t>4</w:t>
      </w:r>
      <w:r w:rsidRPr="0065116B">
        <w:rPr>
          <w:rFonts w:ascii="Times New Roman" w:hAnsi="Times New Roman" w:cs="Times New Roman"/>
          <w:noProof/>
          <w:sz w:val="24"/>
          <w:szCs w:val="24"/>
        </w:rPr>
        <w:t>(2), 8–12.</w:t>
      </w:r>
      <w:r w:rsidRPr="0065116B">
        <w:t xml:space="preserve"> </w:t>
      </w:r>
      <w:r w:rsidRPr="0065116B">
        <w:rPr>
          <w:rFonts w:ascii="Times New Roman" w:hAnsi="Times New Roman" w:cs="Times New Roman"/>
          <w:noProof/>
          <w:sz w:val="24"/>
          <w:szCs w:val="24"/>
        </w:rPr>
        <w:t>https://doi.org/10.3905/jpm.1978.408629</w:t>
      </w:r>
    </w:p>
    <w:p w14:paraId="706B389F"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Krapl, A. A. (2015). Corporate international diversification and risk. </w:t>
      </w:r>
      <w:r w:rsidRPr="0065116B">
        <w:rPr>
          <w:rFonts w:ascii="Times New Roman" w:hAnsi="Times New Roman" w:cs="Times New Roman"/>
          <w:i/>
          <w:iCs/>
          <w:noProof/>
          <w:sz w:val="24"/>
          <w:szCs w:val="24"/>
        </w:rPr>
        <w:t>International Review of Financial Analysis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37</w:t>
      </w:r>
      <w:r w:rsidRPr="0065116B">
        <w:rPr>
          <w:rFonts w:ascii="Times New Roman" w:hAnsi="Times New Roman" w:cs="Times New Roman"/>
          <w:noProof/>
          <w:sz w:val="24"/>
          <w:szCs w:val="24"/>
        </w:rPr>
        <w:t>, 1–13. https://doi.org/10.1016/j.irfa.2014.11.005</w:t>
      </w:r>
    </w:p>
    <w:p w14:paraId="5C682A50"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Kumar, A., &amp; Lee, C. M. (2006). Retail investor sentiment and return comovements. </w:t>
      </w:r>
      <w:r w:rsidRPr="0065116B">
        <w:rPr>
          <w:rFonts w:ascii="Times New Roman" w:hAnsi="Times New Roman" w:cs="Times New Roman"/>
          <w:i/>
          <w:noProof/>
          <w:sz w:val="24"/>
          <w:szCs w:val="24"/>
        </w:rPr>
        <w:t>The Journal of Finance,</w:t>
      </w:r>
      <w:r w:rsidRPr="0065116B">
        <w:rPr>
          <w:rFonts w:ascii="Times New Roman" w:hAnsi="Times New Roman" w:cs="Times New Roman"/>
          <w:noProof/>
          <w:sz w:val="24"/>
          <w:szCs w:val="24"/>
        </w:rPr>
        <w:t xml:space="preserve"> </w:t>
      </w:r>
      <w:r w:rsidRPr="0065116B">
        <w:rPr>
          <w:rFonts w:ascii="Times New Roman" w:hAnsi="Times New Roman" w:cs="Times New Roman"/>
          <w:b/>
          <w:noProof/>
          <w:sz w:val="24"/>
          <w:szCs w:val="24"/>
        </w:rPr>
        <w:t>61</w:t>
      </w:r>
      <w:r w:rsidRPr="0065116B">
        <w:rPr>
          <w:rFonts w:ascii="Times New Roman" w:hAnsi="Times New Roman" w:cs="Times New Roman"/>
          <w:noProof/>
          <w:sz w:val="24"/>
          <w:szCs w:val="24"/>
        </w:rPr>
        <w:t>(5), 2451-2486..https://doi.org/10.1111/j.1540-6261.2006.01063.x</w:t>
      </w:r>
    </w:p>
    <w:p w14:paraId="72533315"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Lu, J. W., &amp; Beamish, P. W. (2004). International Diversification and Firm Performance: The S-Curve Hypothesis. </w:t>
      </w:r>
      <w:r w:rsidRPr="0065116B">
        <w:rPr>
          <w:rFonts w:ascii="Times New Roman" w:hAnsi="Times New Roman" w:cs="Times New Roman"/>
          <w:i/>
          <w:iCs/>
          <w:noProof/>
          <w:sz w:val="24"/>
          <w:szCs w:val="24"/>
        </w:rPr>
        <w:t>Academy of Management Journal</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47</w:t>
      </w:r>
      <w:r w:rsidRPr="0065116B">
        <w:rPr>
          <w:rFonts w:ascii="Times New Roman" w:hAnsi="Times New Roman" w:cs="Times New Roman"/>
          <w:noProof/>
          <w:sz w:val="24"/>
          <w:szCs w:val="24"/>
        </w:rPr>
        <w:t>(4), 598–609.</w:t>
      </w:r>
      <w:r w:rsidRPr="0065116B">
        <w:t xml:space="preserve"> </w:t>
      </w:r>
      <w:r w:rsidRPr="0065116B">
        <w:rPr>
          <w:rFonts w:ascii="Times New Roman" w:hAnsi="Times New Roman" w:cs="Times New Roman"/>
          <w:noProof/>
          <w:sz w:val="24"/>
          <w:szCs w:val="24"/>
        </w:rPr>
        <w:t>https://doi.org/10.5465/20159604</w:t>
      </w:r>
    </w:p>
    <w:p w14:paraId="7CDB94DA"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Michel, A., &amp; Shaked, I. (1986). Multinational Corporations vs. Domestic Corporations: Financial Performance and Characteristics. </w:t>
      </w:r>
      <w:r w:rsidRPr="0065116B">
        <w:rPr>
          <w:rFonts w:ascii="Times New Roman" w:hAnsi="Times New Roman" w:cs="Times New Roman"/>
          <w:i/>
          <w:iCs/>
          <w:noProof/>
          <w:sz w:val="24"/>
          <w:szCs w:val="24"/>
        </w:rPr>
        <w:t>Journal of International Business Studies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17</w:t>
      </w:r>
      <w:r w:rsidRPr="0065116B">
        <w:rPr>
          <w:rFonts w:ascii="Times New Roman" w:hAnsi="Times New Roman" w:cs="Times New Roman"/>
          <w:noProof/>
          <w:sz w:val="24"/>
          <w:szCs w:val="24"/>
        </w:rPr>
        <w:t>(3), 89–100. https://doi.org/10.1057/palgrave.jibs.8490435</w:t>
      </w:r>
    </w:p>
    <w:p w14:paraId="0EEA6283" w14:textId="1060C88C" w:rsidR="00DF5761" w:rsidRPr="007F586A"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7F586A">
        <w:rPr>
          <w:rFonts w:ascii="Times New Roman" w:hAnsi="Times New Roman" w:cs="Times New Roman"/>
          <w:noProof/>
          <w:sz w:val="24"/>
          <w:szCs w:val="24"/>
        </w:rPr>
        <w:t xml:space="preserve">Morse, A., &amp; Shive, S. (2011). Patriotism in Your Portfolio. </w:t>
      </w:r>
      <w:r w:rsidRPr="007F586A">
        <w:rPr>
          <w:rFonts w:ascii="Times New Roman" w:hAnsi="Times New Roman" w:cs="Times New Roman"/>
          <w:i/>
          <w:iCs/>
          <w:noProof/>
          <w:sz w:val="24"/>
          <w:szCs w:val="24"/>
        </w:rPr>
        <w:t>Journal of Financial Markets</w:t>
      </w:r>
      <w:r w:rsidRPr="007F586A">
        <w:rPr>
          <w:rFonts w:ascii="Times New Roman" w:hAnsi="Times New Roman" w:cs="Times New Roman"/>
          <w:noProof/>
          <w:sz w:val="24"/>
          <w:szCs w:val="24"/>
        </w:rPr>
        <w:t xml:space="preserve">, </w:t>
      </w:r>
      <w:r w:rsidRPr="00366CC1">
        <w:rPr>
          <w:rFonts w:ascii="Times New Roman" w:hAnsi="Times New Roman" w:cs="Times New Roman"/>
          <w:b/>
          <w:iCs/>
          <w:noProof/>
          <w:sz w:val="24"/>
          <w:szCs w:val="24"/>
        </w:rPr>
        <w:t>14</w:t>
      </w:r>
      <w:r w:rsidRPr="007F586A">
        <w:rPr>
          <w:rFonts w:ascii="Times New Roman" w:hAnsi="Times New Roman" w:cs="Times New Roman"/>
          <w:noProof/>
          <w:sz w:val="24"/>
          <w:szCs w:val="24"/>
        </w:rPr>
        <w:t>(2), 411–440.</w:t>
      </w:r>
      <w:r w:rsidR="0009720D">
        <w:rPr>
          <w:rFonts w:ascii="Times New Roman" w:hAnsi="Times New Roman" w:cs="Times New Roman"/>
          <w:noProof/>
          <w:sz w:val="24"/>
          <w:szCs w:val="24"/>
        </w:rPr>
        <w:t xml:space="preserve"> </w:t>
      </w:r>
      <w:r w:rsidR="0009720D" w:rsidRPr="0065116B">
        <w:rPr>
          <w:rFonts w:ascii="Times New Roman" w:hAnsi="Times New Roman" w:cs="Times New Roman"/>
          <w:noProof/>
          <w:sz w:val="24"/>
          <w:szCs w:val="24"/>
        </w:rPr>
        <w:t>https://doi.org/</w:t>
      </w:r>
      <w:r w:rsidR="0009720D" w:rsidRPr="0009720D">
        <w:rPr>
          <w:rFonts w:ascii="Times New Roman" w:hAnsi="Times New Roman" w:cs="Times New Roman"/>
          <w:noProof/>
          <w:sz w:val="24"/>
          <w:szCs w:val="24"/>
        </w:rPr>
        <w:t>10.1016/j.finmar.2010.10.006</w:t>
      </w:r>
    </w:p>
    <w:p w14:paraId="50D2040B"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O’Hagan-Luff, M. &amp; Berrill, J. (2015). Why Stay-at-Home Investing Makes Sense. </w:t>
      </w:r>
      <w:r w:rsidRPr="0065116B">
        <w:rPr>
          <w:rFonts w:ascii="Times New Roman" w:hAnsi="Times New Roman" w:cs="Times New Roman"/>
          <w:i/>
          <w:noProof/>
          <w:sz w:val="24"/>
          <w:szCs w:val="24"/>
        </w:rPr>
        <w:t>International Review of Financial Analysis</w:t>
      </w:r>
      <w:r w:rsidRPr="0065116B">
        <w:rPr>
          <w:rFonts w:ascii="Times New Roman" w:hAnsi="Times New Roman" w:cs="Times New Roman"/>
          <w:noProof/>
          <w:sz w:val="24"/>
          <w:szCs w:val="24"/>
        </w:rPr>
        <w:t xml:space="preserve">, </w:t>
      </w:r>
      <w:r w:rsidRPr="0065116B">
        <w:rPr>
          <w:rFonts w:ascii="Times New Roman" w:hAnsi="Times New Roman" w:cs="Times New Roman"/>
          <w:b/>
          <w:noProof/>
          <w:sz w:val="24"/>
          <w:szCs w:val="24"/>
        </w:rPr>
        <w:t>38</w:t>
      </w:r>
      <w:r w:rsidRPr="0065116B">
        <w:rPr>
          <w:rFonts w:ascii="Times New Roman" w:hAnsi="Times New Roman" w:cs="Times New Roman"/>
          <w:noProof/>
          <w:sz w:val="24"/>
          <w:szCs w:val="24"/>
        </w:rPr>
        <w:t>(1): 1-14.</w:t>
      </w:r>
      <w:r w:rsidRPr="0065116B">
        <w:t xml:space="preserve"> </w:t>
      </w:r>
      <w:r w:rsidRPr="0065116B">
        <w:rPr>
          <w:rFonts w:ascii="Times New Roman" w:hAnsi="Times New Roman" w:cs="Times New Roman"/>
          <w:noProof/>
          <w:sz w:val="24"/>
          <w:szCs w:val="24"/>
        </w:rPr>
        <w:t>https://doi.org/10.1016/j.irfa.2015.01.002</w:t>
      </w:r>
    </w:p>
    <w:p w14:paraId="23F20CA3" w14:textId="5BA6540D" w:rsidR="00DF5761" w:rsidRPr="00366CC1" w:rsidRDefault="00DF5761" w:rsidP="00DF5761">
      <w:pPr>
        <w:widowControl w:val="0"/>
        <w:autoSpaceDE w:val="0"/>
        <w:autoSpaceDN w:val="0"/>
        <w:adjustRightInd w:val="0"/>
        <w:spacing w:line="240" w:lineRule="auto"/>
        <w:ind w:left="480" w:hanging="480"/>
        <w:rPr>
          <w:rFonts w:ascii="Times New Roman" w:hAnsi="Times New Roman" w:cs="Times New Roman"/>
          <w:color w:val="222222"/>
          <w:sz w:val="24"/>
          <w:szCs w:val="24"/>
          <w:shd w:val="clear" w:color="auto" w:fill="FFFFFF"/>
        </w:rPr>
      </w:pPr>
      <w:r w:rsidRPr="00366CC1">
        <w:rPr>
          <w:rFonts w:ascii="Times New Roman" w:hAnsi="Times New Roman" w:cs="Times New Roman"/>
          <w:color w:val="222222"/>
          <w:sz w:val="24"/>
          <w:szCs w:val="24"/>
          <w:shd w:val="clear" w:color="auto" w:fill="FFFFFF"/>
        </w:rPr>
        <w:t xml:space="preserve">Portes, R., &amp; Rey, H. (2005). The </w:t>
      </w:r>
      <w:r>
        <w:rPr>
          <w:rFonts w:ascii="Times New Roman" w:hAnsi="Times New Roman" w:cs="Times New Roman"/>
          <w:color w:val="222222"/>
          <w:sz w:val="24"/>
          <w:szCs w:val="24"/>
          <w:shd w:val="clear" w:color="auto" w:fill="FFFFFF"/>
        </w:rPr>
        <w:t>Determinants o</w:t>
      </w:r>
      <w:r w:rsidRPr="00366CC1">
        <w:rPr>
          <w:rFonts w:ascii="Times New Roman" w:hAnsi="Times New Roman" w:cs="Times New Roman"/>
          <w:color w:val="222222"/>
          <w:sz w:val="24"/>
          <w:szCs w:val="24"/>
          <w:shd w:val="clear" w:color="auto" w:fill="FFFFFF"/>
        </w:rPr>
        <w:t>f Cross-Border Equity Flows. </w:t>
      </w:r>
      <w:r w:rsidRPr="00366CC1">
        <w:rPr>
          <w:rFonts w:ascii="Times New Roman" w:hAnsi="Times New Roman" w:cs="Times New Roman"/>
          <w:i/>
          <w:iCs/>
          <w:color w:val="222222"/>
          <w:sz w:val="24"/>
          <w:szCs w:val="24"/>
          <w:shd w:val="clear" w:color="auto" w:fill="FFFFFF"/>
        </w:rPr>
        <w:t>Journal of international Economics</w:t>
      </w:r>
      <w:r w:rsidRPr="00366CC1">
        <w:rPr>
          <w:rFonts w:ascii="Times New Roman" w:hAnsi="Times New Roman" w:cs="Times New Roman"/>
          <w:color w:val="222222"/>
          <w:sz w:val="24"/>
          <w:szCs w:val="24"/>
          <w:shd w:val="clear" w:color="auto" w:fill="FFFFFF"/>
        </w:rPr>
        <w:t>, </w:t>
      </w:r>
      <w:r w:rsidRPr="00794FAB">
        <w:rPr>
          <w:rFonts w:ascii="Times New Roman" w:hAnsi="Times New Roman" w:cs="Times New Roman"/>
          <w:b/>
          <w:iCs/>
          <w:color w:val="222222"/>
          <w:sz w:val="24"/>
          <w:szCs w:val="24"/>
          <w:shd w:val="clear" w:color="auto" w:fill="FFFFFF"/>
        </w:rPr>
        <w:t>65</w:t>
      </w:r>
      <w:r w:rsidRPr="00366CC1">
        <w:rPr>
          <w:rFonts w:ascii="Times New Roman" w:hAnsi="Times New Roman" w:cs="Times New Roman"/>
          <w:color w:val="222222"/>
          <w:sz w:val="24"/>
          <w:szCs w:val="24"/>
          <w:shd w:val="clear" w:color="auto" w:fill="FFFFFF"/>
        </w:rPr>
        <w:t>(2), 269-296.</w:t>
      </w:r>
      <w:r w:rsidR="0009720D">
        <w:rPr>
          <w:rFonts w:ascii="Times New Roman" w:hAnsi="Times New Roman" w:cs="Times New Roman"/>
          <w:color w:val="222222"/>
          <w:sz w:val="24"/>
          <w:szCs w:val="24"/>
          <w:shd w:val="clear" w:color="auto" w:fill="FFFFFF"/>
        </w:rPr>
        <w:t xml:space="preserve"> </w:t>
      </w:r>
      <w:r w:rsidR="0009720D" w:rsidRPr="0065116B">
        <w:rPr>
          <w:rFonts w:ascii="Times New Roman" w:hAnsi="Times New Roman" w:cs="Times New Roman"/>
          <w:noProof/>
          <w:sz w:val="24"/>
          <w:szCs w:val="24"/>
        </w:rPr>
        <w:t>https://doi.org/</w:t>
      </w:r>
      <w:r w:rsidR="0009720D" w:rsidRPr="0009720D">
        <w:rPr>
          <w:rFonts w:ascii="Times New Roman" w:hAnsi="Times New Roman" w:cs="Times New Roman"/>
          <w:color w:val="222222"/>
          <w:sz w:val="24"/>
          <w:szCs w:val="24"/>
          <w:shd w:val="clear" w:color="auto" w:fill="FFFFFF"/>
        </w:rPr>
        <w:t>10.1016/j.jinteco.2004.05.002</w:t>
      </w:r>
    </w:p>
    <w:p w14:paraId="17DB9F9C"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Richter, N. F., Schmidt, R., Ladwig, T. J., &amp; Wulhorst, F. (2017). A critical perspective on the measurement of performance in the empirical multinationality and performance literature. </w:t>
      </w:r>
      <w:r w:rsidRPr="0065116B">
        <w:rPr>
          <w:rFonts w:ascii="Times New Roman" w:hAnsi="Times New Roman" w:cs="Times New Roman"/>
          <w:i/>
          <w:iCs/>
          <w:noProof/>
          <w:sz w:val="24"/>
          <w:szCs w:val="24"/>
        </w:rPr>
        <w:t>Critical Perspectives on International Business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13</w:t>
      </w:r>
      <w:r w:rsidRPr="0065116B">
        <w:rPr>
          <w:rFonts w:ascii="Times New Roman" w:hAnsi="Times New Roman" w:cs="Times New Roman"/>
          <w:noProof/>
          <w:sz w:val="24"/>
          <w:szCs w:val="24"/>
        </w:rPr>
        <w:t>(2), 94–118.</w:t>
      </w:r>
      <w:r w:rsidRPr="0065116B">
        <w:t xml:space="preserve"> </w:t>
      </w:r>
      <w:r w:rsidRPr="0065116B">
        <w:rPr>
          <w:rFonts w:ascii="Times New Roman" w:hAnsi="Times New Roman" w:cs="Times New Roman"/>
          <w:noProof/>
          <w:sz w:val="24"/>
          <w:szCs w:val="24"/>
        </w:rPr>
        <w:t>https://doi.org/10.1108/cpoib-06-2013-0015</w:t>
      </w:r>
    </w:p>
    <w:p w14:paraId="5573E1E5"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Rowland, P. F., &amp; Tesar, L. L. (2004). Multinationals and the gains from international diversification. </w:t>
      </w:r>
      <w:r w:rsidRPr="0065116B">
        <w:rPr>
          <w:rFonts w:ascii="Times New Roman" w:hAnsi="Times New Roman" w:cs="Times New Roman"/>
          <w:i/>
          <w:iCs/>
          <w:noProof/>
          <w:sz w:val="24"/>
          <w:szCs w:val="24"/>
        </w:rPr>
        <w:t>Review of Economic Dynamics</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7</w:t>
      </w:r>
      <w:r w:rsidRPr="0065116B">
        <w:rPr>
          <w:rFonts w:ascii="Times New Roman" w:hAnsi="Times New Roman" w:cs="Times New Roman"/>
          <w:noProof/>
          <w:sz w:val="24"/>
          <w:szCs w:val="24"/>
        </w:rPr>
        <w:t>(4), 789–826.</w:t>
      </w:r>
      <w:r w:rsidRPr="0065116B">
        <w:t xml:space="preserve"> </w:t>
      </w:r>
      <w:r w:rsidRPr="0065116B">
        <w:rPr>
          <w:rFonts w:ascii="Times New Roman" w:hAnsi="Times New Roman" w:cs="Times New Roman"/>
          <w:noProof/>
          <w:sz w:val="24"/>
          <w:szCs w:val="24"/>
        </w:rPr>
        <w:t>https://doi.org/10.1016/j.red.2004.05.001</w:t>
      </w:r>
    </w:p>
    <w:p w14:paraId="59ADF18C"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Salehizadeh, M. (2003). U.S. multinationals and the home bias puzzle: an empirical analysis. </w:t>
      </w:r>
      <w:r w:rsidRPr="0065116B">
        <w:rPr>
          <w:rFonts w:ascii="Times New Roman" w:hAnsi="Times New Roman" w:cs="Times New Roman"/>
          <w:i/>
          <w:iCs/>
          <w:noProof/>
          <w:sz w:val="24"/>
          <w:szCs w:val="24"/>
        </w:rPr>
        <w:t>Global Finance Journal</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14</w:t>
      </w:r>
      <w:r w:rsidRPr="0065116B">
        <w:rPr>
          <w:rFonts w:ascii="Times New Roman" w:hAnsi="Times New Roman" w:cs="Times New Roman"/>
          <w:noProof/>
          <w:sz w:val="24"/>
          <w:szCs w:val="24"/>
        </w:rPr>
        <w:t>(3), 303–318. https://doi.org/10.1016/j.gfj.2003.10.002</w:t>
      </w:r>
    </w:p>
    <w:p w14:paraId="5E74D897"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Singh, S. (2012). Investor Irrationality and Self-Defeating Behavior : Insights from Behavioral Finance. </w:t>
      </w:r>
      <w:r w:rsidRPr="0065116B">
        <w:rPr>
          <w:rFonts w:ascii="Times New Roman" w:hAnsi="Times New Roman" w:cs="Times New Roman"/>
          <w:i/>
          <w:iCs/>
          <w:noProof/>
          <w:sz w:val="24"/>
          <w:szCs w:val="24"/>
        </w:rPr>
        <w:t>The Journal of Global Business Management,</w:t>
      </w:r>
      <w:r w:rsidRPr="0065116B">
        <w:rPr>
          <w:rFonts w:ascii="Times New Roman" w:hAnsi="Times New Roman" w:cs="Times New Roman"/>
          <w:noProof/>
          <w:sz w:val="24"/>
          <w:szCs w:val="24"/>
        </w:rPr>
        <w:t xml:space="preserve"> </w:t>
      </w:r>
      <w:r w:rsidRPr="0065116B">
        <w:rPr>
          <w:rFonts w:ascii="Times New Roman" w:hAnsi="Times New Roman" w:cs="Times New Roman"/>
          <w:b/>
          <w:noProof/>
          <w:sz w:val="24"/>
          <w:szCs w:val="24"/>
        </w:rPr>
        <w:t>8</w:t>
      </w:r>
      <w:r w:rsidRPr="0065116B">
        <w:rPr>
          <w:rFonts w:ascii="Times New Roman" w:hAnsi="Times New Roman" w:cs="Times New Roman"/>
          <w:noProof/>
          <w:sz w:val="24"/>
          <w:szCs w:val="24"/>
        </w:rPr>
        <w:t>(1), 116-122.</w:t>
      </w:r>
    </w:p>
    <w:p w14:paraId="43A611AD" w14:textId="1C849409" w:rsidR="00DF5761" w:rsidRPr="007F586A"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7F586A">
        <w:rPr>
          <w:rFonts w:ascii="Times New Roman" w:hAnsi="Times New Roman" w:cs="Times New Roman"/>
          <w:noProof/>
          <w:sz w:val="24"/>
          <w:szCs w:val="24"/>
        </w:rPr>
        <w:t xml:space="preserve">Tesar, L. L., &amp; Werner, I. M. (1995). U.S. Equity Investment in Emerging Stock Markets. </w:t>
      </w:r>
      <w:r w:rsidRPr="007F586A">
        <w:rPr>
          <w:rFonts w:ascii="Times New Roman" w:hAnsi="Times New Roman" w:cs="Times New Roman"/>
          <w:i/>
          <w:iCs/>
          <w:noProof/>
          <w:sz w:val="24"/>
          <w:szCs w:val="24"/>
        </w:rPr>
        <w:t>World Bank Econ. Rev.</w:t>
      </w:r>
      <w:r w:rsidRPr="007F586A">
        <w:rPr>
          <w:rFonts w:ascii="Times New Roman" w:hAnsi="Times New Roman" w:cs="Times New Roman"/>
          <w:noProof/>
          <w:sz w:val="24"/>
          <w:szCs w:val="24"/>
        </w:rPr>
        <w:t xml:space="preserve">, </w:t>
      </w:r>
      <w:r w:rsidRPr="00366CC1">
        <w:rPr>
          <w:rFonts w:ascii="Times New Roman" w:hAnsi="Times New Roman" w:cs="Times New Roman"/>
          <w:b/>
          <w:iCs/>
          <w:noProof/>
          <w:sz w:val="24"/>
          <w:szCs w:val="24"/>
        </w:rPr>
        <w:t>9</w:t>
      </w:r>
      <w:r w:rsidRPr="007F586A">
        <w:rPr>
          <w:rFonts w:ascii="Times New Roman" w:hAnsi="Times New Roman" w:cs="Times New Roman"/>
          <w:noProof/>
          <w:sz w:val="24"/>
          <w:szCs w:val="24"/>
        </w:rPr>
        <w:t>(1), 109–129.</w:t>
      </w:r>
      <w:r w:rsidR="0009720D">
        <w:rPr>
          <w:rFonts w:ascii="Times New Roman" w:hAnsi="Times New Roman" w:cs="Times New Roman"/>
          <w:noProof/>
          <w:sz w:val="24"/>
          <w:szCs w:val="24"/>
        </w:rPr>
        <w:t xml:space="preserve"> </w:t>
      </w:r>
      <w:r w:rsidR="0009720D" w:rsidRPr="0065116B">
        <w:rPr>
          <w:rFonts w:ascii="Times New Roman" w:hAnsi="Times New Roman" w:cs="Times New Roman"/>
          <w:noProof/>
          <w:sz w:val="24"/>
          <w:szCs w:val="24"/>
        </w:rPr>
        <w:t>https://doi.org/</w:t>
      </w:r>
      <w:r w:rsidR="0009720D" w:rsidRPr="0009720D">
        <w:rPr>
          <w:rFonts w:ascii="Times New Roman" w:hAnsi="Times New Roman" w:cs="Times New Roman"/>
          <w:noProof/>
          <w:sz w:val="24"/>
          <w:szCs w:val="24"/>
        </w:rPr>
        <w:t>10.1093/wber/9.1.109</w:t>
      </w:r>
    </w:p>
    <w:p w14:paraId="550102E5"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Thomas, D. E., &amp; Eden, L. (2004). What is the Shape of the Multinationality‐Performance Relationship? </w:t>
      </w:r>
      <w:r w:rsidRPr="0065116B">
        <w:rPr>
          <w:rFonts w:ascii="Times New Roman" w:hAnsi="Times New Roman" w:cs="Times New Roman"/>
          <w:i/>
          <w:iCs/>
          <w:noProof/>
          <w:sz w:val="24"/>
          <w:szCs w:val="24"/>
        </w:rPr>
        <w:t>Multinational Business Review</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12</w:t>
      </w:r>
      <w:r w:rsidRPr="0065116B">
        <w:rPr>
          <w:rFonts w:ascii="Times New Roman" w:hAnsi="Times New Roman" w:cs="Times New Roman"/>
          <w:noProof/>
          <w:sz w:val="24"/>
          <w:szCs w:val="24"/>
        </w:rPr>
        <w:t>(1), 89–110.</w:t>
      </w:r>
      <w:r w:rsidRPr="0065116B">
        <w:t xml:space="preserve"> </w:t>
      </w:r>
      <w:r w:rsidRPr="0065116B">
        <w:rPr>
          <w:rFonts w:ascii="Times New Roman" w:hAnsi="Times New Roman" w:cs="Times New Roman"/>
          <w:noProof/>
          <w:sz w:val="24"/>
          <w:szCs w:val="24"/>
        </w:rPr>
        <w:t xml:space="preserve">https://doi.org/10.1108/1525383X200400005 </w:t>
      </w:r>
    </w:p>
    <w:p w14:paraId="22D8FE5C" w14:textId="55FA0DC6" w:rsidR="00DF5761" w:rsidRPr="007F586A"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7F586A">
        <w:rPr>
          <w:rFonts w:ascii="Times New Roman" w:hAnsi="Times New Roman" w:cs="Times New Roman"/>
          <w:noProof/>
          <w:sz w:val="24"/>
          <w:szCs w:val="24"/>
        </w:rPr>
        <w:t xml:space="preserve">VanNieuwerburgh, S., &amp; Veldkamp, L. (2009). Information Immobility and the Home Bias </w:t>
      </w:r>
      <w:r w:rsidRPr="007F586A">
        <w:rPr>
          <w:rFonts w:ascii="Times New Roman" w:hAnsi="Times New Roman" w:cs="Times New Roman"/>
          <w:noProof/>
          <w:sz w:val="24"/>
          <w:szCs w:val="24"/>
        </w:rPr>
        <w:lastRenderedPageBreak/>
        <w:t xml:space="preserve">Puzzle. </w:t>
      </w:r>
      <w:r w:rsidRPr="007F586A">
        <w:rPr>
          <w:rFonts w:ascii="Times New Roman" w:hAnsi="Times New Roman" w:cs="Times New Roman"/>
          <w:i/>
          <w:iCs/>
          <w:noProof/>
          <w:sz w:val="24"/>
          <w:szCs w:val="24"/>
        </w:rPr>
        <w:t>The Journal of Finance</w:t>
      </w:r>
      <w:r w:rsidRPr="007F586A">
        <w:rPr>
          <w:rFonts w:ascii="Times New Roman" w:hAnsi="Times New Roman" w:cs="Times New Roman"/>
          <w:noProof/>
          <w:sz w:val="24"/>
          <w:szCs w:val="24"/>
        </w:rPr>
        <w:t xml:space="preserve">, </w:t>
      </w:r>
      <w:r w:rsidRPr="00366CC1">
        <w:rPr>
          <w:rFonts w:ascii="Times New Roman" w:hAnsi="Times New Roman" w:cs="Times New Roman"/>
          <w:b/>
          <w:iCs/>
          <w:noProof/>
          <w:sz w:val="24"/>
          <w:szCs w:val="24"/>
        </w:rPr>
        <w:t>64</w:t>
      </w:r>
      <w:r w:rsidRPr="007F586A">
        <w:rPr>
          <w:rFonts w:ascii="Times New Roman" w:hAnsi="Times New Roman" w:cs="Times New Roman"/>
          <w:noProof/>
          <w:sz w:val="24"/>
          <w:szCs w:val="24"/>
        </w:rPr>
        <w:t>(3), 1187–1215.</w:t>
      </w:r>
      <w:r w:rsidR="0009720D">
        <w:rPr>
          <w:rFonts w:ascii="Times New Roman" w:hAnsi="Times New Roman" w:cs="Times New Roman"/>
          <w:noProof/>
          <w:sz w:val="24"/>
          <w:szCs w:val="24"/>
        </w:rPr>
        <w:t xml:space="preserve"> </w:t>
      </w:r>
      <w:r w:rsidR="0009720D" w:rsidRPr="0065116B">
        <w:rPr>
          <w:rFonts w:ascii="Times New Roman" w:hAnsi="Times New Roman" w:cs="Times New Roman"/>
          <w:noProof/>
          <w:sz w:val="24"/>
          <w:szCs w:val="24"/>
        </w:rPr>
        <w:t>https://doi.org/</w:t>
      </w:r>
      <w:r w:rsidR="0009720D" w:rsidRPr="0009720D">
        <w:rPr>
          <w:rFonts w:ascii="Times New Roman" w:hAnsi="Times New Roman" w:cs="Times New Roman"/>
          <w:noProof/>
          <w:sz w:val="24"/>
          <w:szCs w:val="24"/>
        </w:rPr>
        <w:t>10.1111/j.1540-6261.2009.01462.x</w:t>
      </w:r>
    </w:p>
    <w:p w14:paraId="79A2C9DD"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szCs w:val="24"/>
        </w:rPr>
      </w:pPr>
      <w:r w:rsidRPr="0065116B">
        <w:rPr>
          <w:rFonts w:ascii="Times New Roman" w:hAnsi="Times New Roman" w:cs="Times New Roman"/>
          <w:noProof/>
          <w:sz w:val="24"/>
          <w:szCs w:val="24"/>
        </w:rPr>
        <w:t xml:space="preserve">Verma, R., Baklaci, H., &amp; Soydemir, G. (2008). The impact of rational and irrational sentiments of individual and institutional investors on DJIA and S &amp; P500 index returns. </w:t>
      </w:r>
      <w:r w:rsidRPr="0065116B">
        <w:rPr>
          <w:rFonts w:ascii="Times New Roman" w:hAnsi="Times New Roman" w:cs="Times New Roman"/>
          <w:i/>
          <w:iCs/>
          <w:noProof/>
          <w:sz w:val="24"/>
          <w:szCs w:val="24"/>
        </w:rPr>
        <w:t>Applied Financial Economics</w:t>
      </w:r>
      <w:r w:rsidRPr="0065116B">
        <w:rPr>
          <w:rFonts w:ascii="Times New Roman" w:hAnsi="Times New Roman" w:cs="Times New Roman"/>
          <w:noProof/>
          <w:sz w:val="24"/>
          <w:szCs w:val="24"/>
        </w:rPr>
        <w:t xml:space="preserve">, </w:t>
      </w:r>
      <w:r w:rsidRPr="0065116B">
        <w:rPr>
          <w:rFonts w:ascii="Times New Roman" w:hAnsi="Times New Roman" w:cs="Times New Roman"/>
          <w:b/>
          <w:noProof/>
          <w:sz w:val="24"/>
          <w:szCs w:val="24"/>
        </w:rPr>
        <w:t>18</w:t>
      </w:r>
      <w:r w:rsidRPr="0065116B">
        <w:rPr>
          <w:rFonts w:ascii="Times New Roman" w:hAnsi="Times New Roman" w:cs="Times New Roman"/>
          <w:noProof/>
          <w:sz w:val="24"/>
          <w:szCs w:val="24"/>
        </w:rPr>
        <w:t>(16), 1303-1317. https://doi.org/10.1080/09603100701704272</w:t>
      </w:r>
    </w:p>
    <w:p w14:paraId="75271732" w14:textId="77777777" w:rsidR="00DF5761" w:rsidRPr="0065116B" w:rsidRDefault="00DF5761" w:rsidP="00DF5761">
      <w:pPr>
        <w:widowControl w:val="0"/>
        <w:autoSpaceDE w:val="0"/>
        <w:autoSpaceDN w:val="0"/>
        <w:adjustRightInd w:val="0"/>
        <w:spacing w:line="240" w:lineRule="auto"/>
        <w:ind w:left="480" w:hanging="480"/>
        <w:rPr>
          <w:rFonts w:ascii="Times New Roman" w:hAnsi="Times New Roman" w:cs="Times New Roman"/>
          <w:noProof/>
          <w:sz w:val="24"/>
        </w:rPr>
      </w:pPr>
      <w:r w:rsidRPr="0065116B">
        <w:rPr>
          <w:rFonts w:ascii="Times New Roman" w:hAnsi="Times New Roman" w:cs="Times New Roman"/>
          <w:noProof/>
          <w:sz w:val="24"/>
          <w:szCs w:val="24"/>
        </w:rPr>
        <w:t xml:space="preserve">Yang, Y., &amp; Driffield, N. (2011). Multinationality-Performance Relationship. </w:t>
      </w:r>
      <w:r w:rsidRPr="0065116B">
        <w:rPr>
          <w:rFonts w:ascii="Times New Roman" w:hAnsi="Times New Roman" w:cs="Times New Roman"/>
          <w:i/>
          <w:iCs/>
          <w:noProof/>
          <w:sz w:val="24"/>
          <w:szCs w:val="24"/>
        </w:rPr>
        <w:t>Management International Review</w:t>
      </w:r>
      <w:r w:rsidRPr="0065116B">
        <w:rPr>
          <w:rFonts w:ascii="Times New Roman" w:hAnsi="Times New Roman" w:cs="Times New Roman"/>
          <w:noProof/>
          <w:sz w:val="24"/>
          <w:szCs w:val="24"/>
        </w:rPr>
        <w:t xml:space="preserve">, </w:t>
      </w:r>
      <w:r w:rsidRPr="0065116B">
        <w:rPr>
          <w:rFonts w:ascii="Times New Roman" w:hAnsi="Times New Roman" w:cs="Times New Roman"/>
          <w:b/>
          <w:iCs/>
          <w:noProof/>
          <w:sz w:val="24"/>
          <w:szCs w:val="24"/>
        </w:rPr>
        <w:t>52</w:t>
      </w:r>
      <w:r w:rsidRPr="0065116B">
        <w:rPr>
          <w:rFonts w:ascii="Times New Roman" w:hAnsi="Times New Roman" w:cs="Times New Roman"/>
          <w:noProof/>
          <w:sz w:val="24"/>
          <w:szCs w:val="24"/>
        </w:rPr>
        <w:t>(1), 23–47.</w:t>
      </w:r>
      <w:r w:rsidRPr="0065116B">
        <w:t xml:space="preserve"> </w:t>
      </w:r>
      <w:r w:rsidRPr="0065116B">
        <w:rPr>
          <w:rFonts w:ascii="Times New Roman" w:hAnsi="Times New Roman" w:cs="Times New Roman"/>
          <w:noProof/>
          <w:sz w:val="24"/>
          <w:szCs w:val="24"/>
        </w:rPr>
        <w:t>https://doi.org/10.1007/s11575-011-0095-y</w:t>
      </w:r>
    </w:p>
    <w:p w14:paraId="6CB19475" w14:textId="77B1D95D" w:rsidR="00DF5761" w:rsidRPr="00001863" w:rsidRDefault="00DF5761" w:rsidP="00DF5761">
      <w:pPr>
        <w:widowControl w:val="0"/>
        <w:autoSpaceDE w:val="0"/>
        <w:autoSpaceDN w:val="0"/>
        <w:adjustRightInd w:val="0"/>
        <w:spacing w:line="240" w:lineRule="auto"/>
        <w:ind w:left="480" w:hanging="480"/>
        <w:rPr>
          <w:rFonts w:ascii="Times New Roman" w:eastAsia="Times New Roman" w:hAnsi="Times New Roman" w:cs="Times New Roman"/>
          <w:color w:val="000000"/>
          <w:sz w:val="24"/>
          <w:szCs w:val="24"/>
        </w:rPr>
        <w:sectPr w:rsidR="00DF5761" w:rsidRPr="00001863" w:rsidSect="007F586A">
          <w:footerReference w:type="default" r:id="rId17"/>
          <w:pgSz w:w="12240" w:h="15840" w:code="1"/>
          <w:pgMar w:top="1440" w:right="1440" w:bottom="1440" w:left="1440" w:header="720" w:footer="720" w:gutter="0"/>
          <w:pgNumType w:start="0"/>
          <w:cols w:space="720"/>
          <w:titlePg/>
          <w:docGrid w:linePitch="360"/>
        </w:sectPr>
      </w:pPr>
      <w:r w:rsidRPr="0065116B">
        <w:rPr>
          <w:rFonts w:ascii="Times New Roman" w:hAnsi="Times New Roman" w:cs="Times New Roman"/>
          <w:sz w:val="24"/>
          <w:szCs w:val="24"/>
        </w:rPr>
        <w:fldChar w:fldCharType="end"/>
      </w:r>
    </w:p>
    <w:p w14:paraId="407B897A" w14:textId="77777777" w:rsidR="00166C53" w:rsidRDefault="00166C53" w:rsidP="00166C53"/>
    <w:p w14:paraId="491B9898" w14:textId="25956ED0" w:rsidR="00444894" w:rsidRPr="00166C53" w:rsidRDefault="005B1B63" w:rsidP="00166C53">
      <w:pPr>
        <w:pStyle w:val="Heading3"/>
      </w:pPr>
      <w:r w:rsidRPr="00166C53">
        <w:t xml:space="preserve">Table 1 Number of Firms </w:t>
      </w:r>
      <w:r w:rsidR="00715DF6">
        <w:t xml:space="preserve">in Each Year </w:t>
      </w:r>
      <w:r w:rsidRPr="00166C53">
        <w:t xml:space="preserve">by Category of </w:t>
      </w:r>
      <w:proofErr w:type="spellStart"/>
      <w:r w:rsidRPr="00166C53">
        <w:t>Internationalisation</w:t>
      </w:r>
      <w:proofErr w:type="spellEnd"/>
    </w:p>
    <w:tbl>
      <w:tblPr>
        <w:tblW w:w="13320" w:type="dxa"/>
        <w:tblLook w:val="04A0" w:firstRow="1" w:lastRow="0" w:firstColumn="1" w:lastColumn="0" w:noHBand="0" w:noVBand="1"/>
      </w:tblPr>
      <w:tblGrid>
        <w:gridCol w:w="960"/>
        <w:gridCol w:w="618"/>
        <w:gridCol w:w="618"/>
        <w:gridCol w:w="618"/>
        <w:gridCol w:w="618"/>
        <w:gridCol w:w="618"/>
        <w:gridCol w:w="618"/>
        <w:gridCol w:w="618"/>
        <w:gridCol w:w="618"/>
        <w:gridCol w:w="618"/>
        <w:gridCol w:w="618"/>
        <w:gridCol w:w="618"/>
        <w:gridCol w:w="618"/>
        <w:gridCol w:w="618"/>
        <w:gridCol w:w="618"/>
        <w:gridCol w:w="618"/>
        <w:gridCol w:w="618"/>
        <w:gridCol w:w="618"/>
        <w:gridCol w:w="618"/>
        <w:gridCol w:w="618"/>
        <w:gridCol w:w="618"/>
      </w:tblGrid>
      <w:tr w:rsidR="00626486" w:rsidRPr="00626486" w14:paraId="1B71F39D" w14:textId="77777777" w:rsidTr="00626486">
        <w:trPr>
          <w:trHeight w:val="240"/>
        </w:trPr>
        <w:tc>
          <w:tcPr>
            <w:tcW w:w="960" w:type="dxa"/>
            <w:tcBorders>
              <w:top w:val="single" w:sz="8" w:space="0" w:color="A5A5A5"/>
              <w:left w:val="nil"/>
              <w:bottom w:val="single" w:sz="8" w:space="0" w:color="auto"/>
              <w:right w:val="nil"/>
            </w:tcBorders>
            <w:shd w:val="clear" w:color="auto" w:fill="auto"/>
            <w:noWrap/>
            <w:vAlign w:val="center"/>
            <w:hideMark/>
          </w:tcPr>
          <w:p w14:paraId="72C61360" w14:textId="77777777" w:rsidR="00626486" w:rsidRPr="00626486" w:rsidRDefault="00626486" w:rsidP="00626486">
            <w:pPr>
              <w:spacing w:after="0" w:line="240" w:lineRule="auto"/>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val="en-IE" w:eastAsia="en-IE"/>
              </w:rPr>
              <w:t> </w:t>
            </w:r>
          </w:p>
        </w:tc>
        <w:tc>
          <w:tcPr>
            <w:tcW w:w="618" w:type="dxa"/>
            <w:tcBorders>
              <w:top w:val="single" w:sz="8" w:space="0" w:color="A5A5A5"/>
              <w:left w:val="nil"/>
              <w:bottom w:val="single" w:sz="8" w:space="0" w:color="auto"/>
              <w:right w:val="nil"/>
            </w:tcBorders>
            <w:shd w:val="clear" w:color="auto" w:fill="auto"/>
            <w:noWrap/>
            <w:vAlign w:val="center"/>
            <w:hideMark/>
          </w:tcPr>
          <w:p w14:paraId="33E22E5B"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1995</w:t>
            </w:r>
          </w:p>
        </w:tc>
        <w:tc>
          <w:tcPr>
            <w:tcW w:w="618" w:type="dxa"/>
            <w:tcBorders>
              <w:top w:val="single" w:sz="8" w:space="0" w:color="A5A5A5"/>
              <w:left w:val="nil"/>
              <w:bottom w:val="single" w:sz="8" w:space="0" w:color="auto"/>
              <w:right w:val="nil"/>
            </w:tcBorders>
            <w:shd w:val="clear" w:color="auto" w:fill="auto"/>
            <w:noWrap/>
            <w:vAlign w:val="center"/>
            <w:hideMark/>
          </w:tcPr>
          <w:p w14:paraId="071922DE"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1996</w:t>
            </w:r>
          </w:p>
        </w:tc>
        <w:tc>
          <w:tcPr>
            <w:tcW w:w="618" w:type="dxa"/>
            <w:tcBorders>
              <w:top w:val="single" w:sz="8" w:space="0" w:color="A5A5A5"/>
              <w:left w:val="nil"/>
              <w:bottom w:val="single" w:sz="8" w:space="0" w:color="auto"/>
              <w:right w:val="nil"/>
            </w:tcBorders>
            <w:shd w:val="clear" w:color="auto" w:fill="auto"/>
            <w:noWrap/>
            <w:vAlign w:val="center"/>
            <w:hideMark/>
          </w:tcPr>
          <w:p w14:paraId="6A5B4EE6"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1997</w:t>
            </w:r>
          </w:p>
        </w:tc>
        <w:tc>
          <w:tcPr>
            <w:tcW w:w="618" w:type="dxa"/>
            <w:tcBorders>
              <w:top w:val="single" w:sz="8" w:space="0" w:color="A5A5A5"/>
              <w:left w:val="nil"/>
              <w:bottom w:val="single" w:sz="8" w:space="0" w:color="auto"/>
              <w:right w:val="nil"/>
            </w:tcBorders>
            <w:shd w:val="clear" w:color="auto" w:fill="auto"/>
            <w:noWrap/>
            <w:vAlign w:val="center"/>
            <w:hideMark/>
          </w:tcPr>
          <w:p w14:paraId="4BEECCDC"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1998</w:t>
            </w:r>
          </w:p>
        </w:tc>
        <w:tc>
          <w:tcPr>
            <w:tcW w:w="618" w:type="dxa"/>
            <w:tcBorders>
              <w:top w:val="single" w:sz="8" w:space="0" w:color="A5A5A5"/>
              <w:left w:val="nil"/>
              <w:bottom w:val="single" w:sz="8" w:space="0" w:color="auto"/>
              <w:right w:val="nil"/>
            </w:tcBorders>
            <w:shd w:val="clear" w:color="auto" w:fill="auto"/>
            <w:noWrap/>
            <w:vAlign w:val="center"/>
            <w:hideMark/>
          </w:tcPr>
          <w:p w14:paraId="2335DEB4"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1999</w:t>
            </w:r>
          </w:p>
        </w:tc>
        <w:tc>
          <w:tcPr>
            <w:tcW w:w="618" w:type="dxa"/>
            <w:tcBorders>
              <w:top w:val="single" w:sz="8" w:space="0" w:color="A5A5A5"/>
              <w:left w:val="nil"/>
              <w:bottom w:val="single" w:sz="8" w:space="0" w:color="auto"/>
              <w:right w:val="nil"/>
            </w:tcBorders>
            <w:shd w:val="clear" w:color="auto" w:fill="auto"/>
            <w:noWrap/>
            <w:vAlign w:val="center"/>
            <w:hideMark/>
          </w:tcPr>
          <w:p w14:paraId="64AD5D81"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2000</w:t>
            </w:r>
          </w:p>
        </w:tc>
        <w:tc>
          <w:tcPr>
            <w:tcW w:w="618" w:type="dxa"/>
            <w:tcBorders>
              <w:top w:val="single" w:sz="8" w:space="0" w:color="A5A5A5"/>
              <w:left w:val="nil"/>
              <w:bottom w:val="single" w:sz="8" w:space="0" w:color="auto"/>
              <w:right w:val="nil"/>
            </w:tcBorders>
            <w:shd w:val="clear" w:color="auto" w:fill="auto"/>
            <w:noWrap/>
            <w:vAlign w:val="center"/>
            <w:hideMark/>
          </w:tcPr>
          <w:p w14:paraId="69E90DF4"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2001</w:t>
            </w:r>
          </w:p>
        </w:tc>
        <w:tc>
          <w:tcPr>
            <w:tcW w:w="618" w:type="dxa"/>
            <w:tcBorders>
              <w:top w:val="single" w:sz="8" w:space="0" w:color="A5A5A5"/>
              <w:left w:val="nil"/>
              <w:bottom w:val="single" w:sz="8" w:space="0" w:color="auto"/>
              <w:right w:val="nil"/>
            </w:tcBorders>
            <w:shd w:val="clear" w:color="auto" w:fill="auto"/>
            <w:noWrap/>
            <w:vAlign w:val="center"/>
            <w:hideMark/>
          </w:tcPr>
          <w:p w14:paraId="2CC93FA7"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2002</w:t>
            </w:r>
          </w:p>
        </w:tc>
        <w:tc>
          <w:tcPr>
            <w:tcW w:w="618" w:type="dxa"/>
            <w:tcBorders>
              <w:top w:val="single" w:sz="8" w:space="0" w:color="A5A5A5"/>
              <w:left w:val="nil"/>
              <w:bottom w:val="single" w:sz="8" w:space="0" w:color="auto"/>
              <w:right w:val="nil"/>
            </w:tcBorders>
            <w:shd w:val="clear" w:color="auto" w:fill="auto"/>
            <w:noWrap/>
            <w:vAlign w:val="center"/>
            <w:hideMark/>
          </w:tcPr>
          <w:p w14:paraId="3F9BC6BB"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2003</w:t>
            </w:r>
          </w:p>
        </w:tc>
        <w:tc>
          <w:tcPr>
            <w:tcW w:w="618" w:type="dxa"/>
            <w:tcBorders>
              <w:top w:val="single" w:sz="8" w:space="0" w:color="A5A5A5"/>
              <w:left w:val="nil"/>
              <w:bottom w:val="single" w:sz="8" w:space="0" w:color="auto"/>
              <w:right w:val="nil"/>
            </w:tcBorders>
            <w:shd w:val="clear" w:color="auto" w:fill="auto"/>
            <w:noWrap/>
            <w:vAlign w:val="center"/>
            <w:hideMark/>
          </w:tcPr>
          <w:p w14:paraId="5623BE56"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2004</w:t>
            </w:r>
          </w:p>
        </w:tc>
        <w:tc>
          <w:tcPr>
            <w:tcW w:w="618" w:type="dxa"/>
            <w:tcBorders>
              <w:top w:val="single" w:sz="8" w:space="0" w:color="A5A5A5"/>
              <w:left w:val="nil"/>
              <w:bottom w:val="single" w:sz="8" w:space="0" w:color="auto"/>
              <w:right w:val="nil"/>
            </w:tcBorders>
            <w:shd w:val="clear" w:color="auto" w:fill="auto"/>
            <w:noWrap/>
            <w:vAlign w:val="center"/>
            <w:hideMark/>
          </w:tcPr>
          <w:p w14:paraId="3449D13E"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2005</w:t>
            </w:r>
          </w:p>
        </w:tc>
        <w:tc>
          <w:tcPr>
            <w:tcW w:w="618" w:type="dxa"/>
            <w:tcBorders>
              <w:top w:val="single" w:sz="8" w:space="0" w:color="A5A5A5"/>
              <w:left w:val="nil"/>
              <w:bottom w:val="single" w:sz="8" w:space="0" w:color="auto"/>
              <w:right w:val="nil"/>
            </w:tcBorders>
            <w:shd w:val="clear" w:color="auto" w:fill="auto"/>
            <w:noWrap/>
            <w:vAlign w:val="center"/>
            <w:hideMark/>
          </w:tcPr>
          <w:p w14:paraId="0EED15DD"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2006</w:t>
            </w:r>
          </w:p>
        </w:tc>
        <w:tc>
          <w:tcPr>
            <w:tcW w:w="618" w:type="dxa"/>
            <w:tcBorders>
              <w:top w:val="single" w:sz="8" w:space="0" w:color="A5A5A5"/>
              <w:left w:val="nil"/>
              <w:bottom w:val="single" w:sz="8" w:space="0" w:color="auto"/>
              <w:right w:val="nil"/>
            </w:tcBorders>
            <w:shd w:val="clear" w:color="auto" w:fill="auto"/>
            <w:noWrap/>
            <w:vAlign w:val="center"/>
            <w:hideMark/>
          </w:tcPr>
          <w:p w14:paraId="386C66B3"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2007</w:t>
            </w:r>
          </w:p>
        </w:tc>
        <w:tc>
          <w:tcPr>
            <w:tcW w:w="618" w:type="dxa"/>
            <w:tcBorders>
              <w:top w:val="single" w:sz="8" w:space="0" w:color="A5A5A5"/>
              <w:left w:val="nil"/>
              <w:bottom w:val="single" w:sz="8" w:space="0" w:color="auto"/>
              <w:right w:val="nil"/>
            </w:tcBorders>
            <w:shd w:val="clear" w:color="auto" w:fill="auto"/>
            <w:noWrap/>
            <w:vAlign w:val="center"/>
            <w:hideMark/>
          </w:tcPr>
          <w:p w14:paraId="31ACA956"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2008</w:t>
            </w:r>
          </w:p>
        </w:tc>
        <w:tc>
          <w:tcPr>
            <w:tcW w:w="618" w:type="dxa"/>
            <w:tcBorders>
              <w:top w:val="single" w:sz="8" w:space="0" w:color="A5A5A5"/>
              <w:left w:val="nil"/>
              <w:bottom w:val="single" w:sz="8" w:space="0" w:color="auto"/>
              <w:right w:val="nil"/>
            </w:tcBorders>
            <w:shd w:val="clear" w:color="auto" w:fill="auto"/>
            <w:noWrap/>
            <w:vAlign w:val="center"/>
            <w:hideMark/>
          </w:tcPr>
          <w:p w14:paraId="47E90695"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2009</w:t>
            </w:r>
          </w:p>
        </w:tc>
        <w:tc>
          <w:tcPr>
            <w:tcW w:w="618" w:type="dxa"/>
            <w:tcBorders>
              <w:top w:val="single" w:sz="8" w:space="0" w:color="A5A5A5"/>
              <w:left w:val="nil"/>
              <w:bottom w:val="single" w:sz="8" w:space="0" w:color="auto"/>
              <w:right w:val="nil"/>
            </w:tcBorders>
            <w:shd w:val="clear" w:color="auto" w:fill="auto"/>
            <w:noWrap/>
            <w:vAlign w:val="center"/>
            <w:hideMark/>
          </w:tcPr>
          <w:p w14:paraId="51AE60C3"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2010</w:t>
            </w:r>
          </w:p>
        </w:tc>
        <w:tc>
          <w:tcPr>
            <w:tcW w:w="618" w:type="dxa"/>
            <w:tcBorders>
              <w:top w:val="single" w:sz="8" w:space="0" w:color="A5A5A5"/>
              <w:left w:val="nil"/>
              <w:bottom w:val="single" w:sz="8" w:space="0" w:color="auto"/>
              <w:right w:val="nil"/>
            </w:tcBorders>
            <w:shd w:val="clear" w:color="auto" w:fill="auto"/>
            <w:noWrap/>
            <w:vAlign w:val="center"/>
            <w:hideMark/>
          </w:tcPr>
          <w:p w14:paraId="29C3027E"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2011</w:t>
            </w:r>
          </w:p>
        </w:tc>
        <w:tc>
          <w:tcPr>
            <w:tcW w:w="618" w:type="dxa"/>
            <w:tcBorders>
              <w:top w:val="single" w:sz="8" w:space="0" w:color="A5A5A5"/>
              <w:left w:val="nil"/>
              <w:bottom w:val="single" w:sz="8" w:space="0" w:color="auto"/>
              <w:right w:val="nil"/>
            </w:tcBorders>
            <w:shd w:val="clear" w:color="auto" w:fill="auto"/>
            <w:noWrap/>
            <w:vAlign w:val="center"/>
            <w:hideMark/>
          </w:tcPr>
          <w:p w14:paraId="39435399"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2012</w:t>
            </w:r>
          </w:p>
        </w:tc>
        <w:tc>
          <w:tcPr>
            <w:tcW w:w="618" w:type="dxa"/>
            <w:tcBorders>
              <w:top w:val="single" w:sz="8" w:space="0" w:color="A5A5A5"/>
              <w:left w:val="nil"/>
              <w:bottom w:val="single" w:sz="8" w:space="0" w:color="auto"/>
              <w:right w:val="nil"/>
            </w:tcBorders>
            <w:shd w:val="clear" w:color="auto" w:fill="auto"/>
            <w:noWrap/>
            <w:vAlign w:val="center"/>
            <w:hideMark/>
          </w:tcPr>
          <w:p w14:paraId="66EAD46B"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2013</w:t>
            </w:r>
          </w:p>
        </w:tc>
        <w:tc>
          <w:tcPr>
            <w:tcW w:w="618" w:type="dxa"/>
            <w:tcBorders>
              <w:top w:val="single" w:sz="8" w:space="0" w:color="A5A5A5"/>
              <w:left w:val="nil"/>
              <w:bottom w:val="single" w:sz="8" w:space="0" w:color="auto"/>
              <w:right w:val="nil"/>
            </w:tcBorders>
            <w:shd w:val="clear" w:color="auto" w:fill="auto"/>
            <w:noWrap/>
            <w:vAlign w:val="center"/>
            <w:hideMark/>
          </w:tcPr>
          <w:p w14:paraId="59E403C8"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2014</w:t>
            </w:r>
          </w:p>
        </w:tc>
      </w:tr>
      <w:tr w:rsidR="00626486" w:rsidRPr="00626486" w14:paraId="241E1459" w14:textId="77777777" w:rsidTr="00626486">
        <w:trPr>
          <w:trHeight w:val="225"/>
        </w:trPr>
        <w:tc>
          <w:tcPr>
            <w:tcW w:w="960" w:type="dxa"/>
            <w:tcBorders>
              <w:top w:val="nil"/>
              <w:left w:val="nil"/>
              <w:bottom w:val="nil"/>
              <w:right w:val="nil"/>
            </w:tcBorders>
            <w:shd w:val="clear" w:color="auto" w:fill="auto"/>
            <w:noWrap/>
            <w:vAlign w:val="center"/>
            <w:hideMark/>
          </w:tcPr>
          <w:p w14:paraId="7D9B8D59"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0 % FS</w:t>
            </w:r>
          </w:p>
        </w:tc>
        <w:tc>
          <w:tcPr>
            <w:tcW w:w="618" w:type="dxa"/>
            <w:tcBorders>
              <w:top w:val="nil"/>
              <w:left w:val="nil"/>
              <w:bottom w:val="nil"/>
              <w:right w:val="nil"/>
            </w:tcBorders>
            <w:shd w:val="clear" w:color="auto" w:fill="auto"/>
            <w:noWrap/>
            <w:vAlign w:val="bottom"/>
            <w:hideMark/>
          </w:tcPr>
          <w:p w14:paraId="538A7BD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2871 (70%) </w:t>
            </w:r>
          </w:p>
        </w:tc>
        <w:tc>
          <w:tcPr>
            <w:tcW w:w="618" w:type="dxa"/>
            <w:tcBorders>
              <w:top w:val="nil"/>
              <w:left w:val="nil"/>
              <w:bottom w:val="nil"/>
              <w:right w:val="nil"/>
            </w:tcBorders>
            <w:shd w:val="clear" w:color="auto" w:fill="auto"/>
            <w:noWrap/>
            <w:vAlign w:val="bottom"/>
            <w:hideMark/>
          </w:tcPr>
          <w:p w14:paraId="02BD4E7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3291 (69%) </w:t>
            </w:r>
          </w:p>
        </w:tc>
        <w:tc>
          <w:tcPr>
            <w:tcW w:w="618" w:type="dxa"/>
            <w:tcBorders>
              <w:top w:val="nil"/>
              <w:left w:val="nil"/>
              <w:bottom w:val="nil"/>
              <w:right w:val="nil"/>
            </w:tcBorders>
            <w:shd w:val="clear" w:color="auto" w:fill="auto"/>
            <w:noWrap/>
            <w:vAlign w:val="bottom"/>
            <w:hideMark/>
          </w:tcPr>
          <w:p w14:paraId="33779B3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3591 (68%) </w:t>
            </w:r>
          </w:p>
        </w:tc>
        <w:tc>
          <w:tcPr>
            <w:tcW w:w="618" w:type="dxa"/>
            <w:tcBorders>
              <w:top w:val="nil"/>
              <w:left w:val="nil"/>
              <w:bottom w:val="nil"/>
              <w:right w:val="nil"/>
            </w:tcBorders>
            <w:shd w:val="clear" w:color="auto" w:fill="auto"/>
            <w:noWrap/>
            <w:vAlign w:val="bottom"/>
            <w:hideMark/>
          </w:tcPr>
          <w:p w14:paraId="0E89ABF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3792 (66%) </w:t>
            </w:r>
          </w:p>
        </w:tc>
        <w:tc>
          <w:tcPr>
            <w:tcW w:w="618" w:type="dxa"/>
            <w:tcBorders>
              <w:top w:val="nil"/>
              <w:left w:val="nil"/>
              <w:bottom w:val="nil"/>
              <w:right w:val="nil"/>
            </w:tcBorders>
            <w:shd w:val="clear" w:color="auto" w:fill="auto"/>
            <w:noWrap/>
            <w:vAlign w:val="bottom"/>
            <w:hideMark/>
          </w:tcPr>
          <w:p w14:paraId="5296718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3420 (63%) </w:t>
            </w:r>
          </w:p>
        </w:tc>
        <w:tc>
          <w:tcPr>
            <w:tcW w:w="618" w:type="dxa"/>
            <w:tcBorders>
              <w:top w:val="nil"/>
              <w:left w:val="nil"/>
              <w:bottom w:val="nil"/>
              <w:right w:val="nil"/>
            </w:tcBorders>
            <w:shd w:val="clear" w:color="auto" w:fill="auto"/>
            <w:noWrap/>
            <w:vAlign w:val="bottom"/>
            <w:hideMark/>
          </w:tcPr>
          <w:p w14:paraId="708D2EB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3182 (61%) </w:t>
            </w:r>
          </w:p>
        </w:tc>
        <w:tc>
          <w:tcPr>
            <w:tcW w:w="618" w:type="dxa"/>
            <w:tcBorders>
              <w:top w:val="nil"/>
              <w:left w:val="nil"/>
              <w:bottom w:val="nil"/>
              <w:right w:val="nil"/>
            </w:tcBorders>
            <w:shd w:val="clear" w:color="auto" w:fill="auto"/>
            <w:noWrap/>
            <w:vAlign w:val="bottom"/>
            <w:hideMark/>
          </w:tcPr>
          <w:p w14:paraId="7346F06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2895 (59%) </w:t>
            </w:r>
          </w:p>
        </w:tc>
        <w:tc>
          <w:tcPr>
            <w:tcW w:w="618" w:type="dxa"/>
            <w:tcBorders>
              <w:top w:val="nil"/>
              <w:left w:val="nil"/>
              <w:bottom w:val="nil"/>
              <w:right w:val="nil"/>
            </w:tcBorders>
            <w:shd w:val="clear" w:color="auto" w:fill="auto"/>
            <w:noWrap/>
            <w:vAlign w:val="bottom"/>
            <w:hideMark/>
          </w:tcPr>
          <w:p w14:paraId="0382C23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2727 (57%) </w:t>
            </w:r>
          </w:p>
        </w:tc>
        <w:tc>
          <w:tcPr>
            <w:tcW w:w="618" w:type="dxa"/>
            <w:tcBorders>
              <w:top w:val="nil"/>
              <w:left w:val="nil"/>
              <w:bottom w:val="nil"/>
              <w:right w:val="nil"/>
            </w:tcBorders>
            <w:shd w:val="clear" w:color="auto" w:fill="auto"/>
            <w:noWrap/>
            <w:vAlign w:val="bottom"/>
            <w:hideMark/>
          </w:tcPr>
          <w:p w14:paraId="4A60B2F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2622 (56%) </w:t>
            </w:r>
          </w:p>
        </w:tc>
        <w:tc>
          <w:tcPr>
            <w:tcW w:w="618" w:type="dxa"/>
            <w:tcBorders>
              <w:top w:val="nil"/>
              <w:left w:val="nil"/>
              <w:bottom w:val="nil"/>
              <w:right w:val="nil"/>
            </w:tcBorders>
            <w:shd w:val="clear" w:color="auto" w:fill="auto"/>
            <w:noWrap/>
            <w:vAlign w:val="bottom"/>
            <w:hideMark/>
          </w:tcPr>
          <w:p w14:paraId="7ABF379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2490 (55%) </w:t>
            </w:r>
          </w:p>
        </w:tc>
        <w:tc>
          <w:tcPr>
            <w:tcW w:w="618" w:type="dxa"/>
            <w:tcBorders>
              <w:top w:val="nil"/>
              <w:left w:val="nil"/>
              <w:bottom w:val="nil"/>
              <w:right w:val="nil"/>
            </w:tcBorders>
            <w:shd w:val="clear" w:color="auto" w:fill="auto"/>
            <w:noWrap/>
            <w:vAlign w:val="bottom"/>
            <w:hideMark/>
          </w:tcPr>
          <w:p w14:paraId="14C3EDE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2346 (53%) </w:t>
            </w:r>
          </w:p>
        </w:tc>
        <w:tc>
          <w:tcPr>
            <w:tcW w:w="618" w:type="dxa"/>
            <w:tcBorders>
              <w:top w:val="nil"/>
              <w:left w:val="nil"/>
              <w:bottom w:val="nil"/>
              <w:right w:val="nil"/>
            </w:tcBorders>
            <w:shd w:val="clear" w:color="auto" w:fill="auto"/>
            <w:noWrap/>
            <w:vAlign w:val="bottom"/>
            <w:hideMark/>
          </w:tcPr>
          <w:p w14:paraId="3B8B69C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2218 (53%) </w:t>
            </w:r>
          </w:p>
        </w:tc>
        <w:tc>
          <w:tcPr>
            <w:tcW w:w="618" w:type="dxa"/>
            <w:tcBorders>
              <w:top w:val="nil"/>
              <w:left w:val="nil"/>
              <w:bottom w:val="nil"/>
              <w:right w:val="nil"/>
            </w:tcBorders>
            <w:shd w:val="clear" w:color="auto" w:fill="auto"/>
            <w:noWrap/>
            <w:vAlign w:val="bottom"/>
            <w:hideMark/>
          </w:tcPr>
          <w:p w14:paraId="6E64BD9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2109 (52%) </w:t>
            </w:r>
          </w:p>
        </w:tc>
        <w:tc>
          <w:tcPr>
            <w:tcW w:w="618" w:type="dxa"/>
            <w:tcBorders>
              <w:top w:val="nil"/>
              <w:left w:val="nil"/>
              <w:bottom w:val="nil"/>
              <w:right w:val="nil"/>
            </w:tcBorders>
            <w:shd w:val="clear" w:color="auto" w:fill="auto"/>
            <w:noWrap/>
            <w:vAlign w:val="bottom"/>
            <w:hideMark/>
          </w:tcPr>
          <w:p w14:paraId="29CB528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2124 (52%) </w:t>
            </w:r>
          </w:p>
        </w:tc>
        <w:tc>
          <w:tcPr>
            <w:tcW w:w="618" w:type="dxa"/>
            <w:tcBorders>
              <w:top w:val="nil"/>
              <w:left w:val="nil"/>
              <w:bottom w:val="nil"/>
              <w:right w:val="nil"/>
            </w:tcBorders>
            <w:shd w:val="clear" w:color="auto" w:fill="auto"/>
            <w:noWrap/>
            <w:vAlign w:val="bottom"/>
            <w:hideMark/>
          </w:tcPr>
          <w:p w14:paraId="782AEAA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2146 (53%) </w:t>
            </w:r>
          </w:p>
        </w:tc>
        <w:tc>
          <w:tcPr>
            <w:tcW w:w="618" w:type="dxa"/>
            <w:tcBorders>
              <w:top w:val="nil"/>
              <w:left w:val="nil"/>
              <w:bottom w:val="nil"/>
              <w:right w:val="nil"/>
            </w:tcBorders>
            <w:shd w:val="clear" w:color="auto" w:fill="auto"/>
            <w:noWrap/>
            <w:vAlign w:val="bottom"/>
            <w:hideMark/>
          </w:tcPr>
          <w:p w14:paraId="2179C79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2428 (55%) </w:t>
            </w:r>
          </w:p>
        </w:tc>
        <w:tc>
          <w:tcPr>
            <w:tcW w:w="618" w:type="dxa"/>
            <w:tcBorders>
              <w:top w:val="nil"/>
              <w:left w:val="nil"/>
              <w:bottom w:val="nil"/>
              <w:right w:val="nil"/>
            </w:tcBorders>
            <w:shd w:val="clear" w:color="auto" w:fill="auto"/>
            <w:noWrap/>
            <w:vAlign w:val="bottom"/>
            <w:hideMark/>
          </w:tcPr>
          <w:p w14:paraId="57E9BB8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2341 (54%) </w:t>
            </w:r>
          </w:p>
        </w:tc>
        <w:tc>
          <w:tcPr>
            <w:tcW w:w="618" w:type="dxa"/>
            <w:tcBorders>
              <w:top w:val="nil"/>
              <w:left w:val="nil"/>
              <w:bottom w:val="nil"/>
              <w:right w:val="nil"/>
            </w:tcBorders>
            <w:shd w:val="clear" w:color="auto" w:fill="auto"/>
            <w:noWrap/>
            <w:vAlign w:val="bottom"/>
            <w:hideMark/>
          </w:tcPr>
          <w:p w14:paraId="3CCCDAB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1985 (49%) </w:t>
            </w:r>
          </w:p>
        </w:tc>
        <w:tc>
          <w:tcPr>
            <w:tcW w:w="618" w:type="dxa"/>
            <w:tcBorders>
              <w:top w:val="nil"/>
              <w:left w:val="nil"/>
              <w:bottom w:val="nil"/>
              <w:right w:val="nil"/>
            </w:tcBorders>
            <w:shd w:val="clear" w:color="auto" w:fill="auto"/>
            <w:noWrap/>
            <w:vAlign w:val="bottom"/>
            <w:hideMark/>
          </w:tcPr>
          <w:p w14:paraId="19EEF40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1236 (38%) </w:t>
            </w:r>
          </w:p>
        </w:tc>
        <w:tc>
          <w:tcPr>
            <w:tcW w:w="618" w:type="dxa"/>
            <w:tcBorders>
              <w:top w:val="nil"/>
              <w:left w:val="nil"/>
              <w:bottom w:val="nil"/>
              <w:right w:val="nil"/>
            </w:tcBorders>
            <w:shd w:val="clear" w:color="auto" w:fill="auto"/>
            <w:noWrap/>
            <w:vAlign w:val="bottom"/>
            <w:hideMark/>
          </w:tcPr>
          <w:p w14:paraId="7F1357D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1029 (35%) </w:t>
            </w:r>
          </w:p>
        </w:tc>
      </w:tr>
      <w:tr w:rsidR="00626486" w:rsidRPr="00626486" w14:paraId="048892BF" w14:textId="77777777" w:rsidTr="00626486">
        <w:trPr>
          <w:trHeight w:val="225"/>
        </w:trPr>
        <w:tc>
          <w:tcPr>
            <w:tcW w:w="960" w:type="dxa"/>
            <w:tcBorders>
              <w:top w:val="nil"/>
              <w:left w:val="nil"/>
              <w:bottom w:val="nil"/>
              <w:right w:val="nil"/>
            </w:tcBorders>
            <w:shd w:val="clear" w:color="auto" w:fill="auto"/>
            <w:noWrap/>
            <w:vAlign w:val="center"/>
            <w:hideMark/>
          </w:tcPr>
          <w:p w14:paraId="30FF5F31"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1-25% FS</w:t>
            </w:r>
          </w:p>
        </w:tc>
        <w:tc>
          <w:tcPr>
            <w:tcW w:w="618" w:type="dxa"/>
            <w:tcBorders>
              <w:top w:val="nil"/>
              <w:left w:val="nil"/>
              <w:bottom w:val="nil"/>
              <w:right w:val="nil"/>
            </w:tcBorders>
            <w:shd w:val="clear" w:color="auto" w:fill="auto"/>
            <w:noWrap/>
            <w:vAlign w:val="bottom"/>
            <w:hideMark/>
          </w:tcPr>
          <w:p w14:paraId="4FF3B1D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583 (14%) </w:t>
            </w:r>
          </w:p>
        </w:tc>
        <w:tc>
          <w:tcPr>
            <w:tcW w:w="618" w:type="dxa"/>
            <w:tcBorders>
              <w:top w:val="nil"/>
              <w:left w:val="nil"/>
              <w:bottom w:val="nil"/>
              <w:right w:val="nil"/>
            </w:tcBorders>
            <w:shd w:val="clear" w:color="auto" w:fill="auto"/>
            <w:noWrap/>
            <w:vAlign w:val="bottom"/>
            <w:hideMark/>
          </w:tcPr>
          <w:p w14:paraId="52FB6E0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671 (14%) </w:t>
            </w:r>
          </w:p>
        </w:tc>
        <w:tc>
          <w:tcPr>
            <w:tcW w:w="618" w:type="dxa"/>
            <w:tcBorders>
              <w:top w:val="nil"/>
              <w:left w:val="nil"/>
              <w:bottom w:val="nil"/>
              <w:right w:val="nil"/>
            </w:tcBorders>
            <w:shd w:val="clear" w:color="auto" w:fill="auto"/>
            <w:noWrap/>
            <w:vAlign w:val="bottom"/>
            <w:hideMark/>
          </w:tcPr>
          <w:p w14:paraId="12B927B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790 (15%) </w:t>
            </w:r>
          </w:p>
        </w:tc>
        <w:tc>
          <w:tcPr>
            <w:tcW w:w="618" w:type="dxa"/>
            <w:tcBorders>
              <w:top w:val="nil"/>
              <w:left w:val="nil"/>
              <w:bottom w:val="nil"/>
              <w:right w:val="nil"/>
            </w:tcBorders>
            <w:shd w:val="clear" w:color="auto" w:fill="auto"/>
            <w:noWrap/>
            <w:vAlign w:val="bottom"/>
            <w:hideMark/>
          </w:tcPr>
          <w:p w14:paraId="64344B4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879 (15%) </w:t>
            </w:r>
          </w:p>
        </w:tc>
        <w:tc>
          <w:tcPr>
            <w:tcW w:w="618" w:type="dxa"/>
            <w:tcBorders>
              <w:top w:val="nil"/>
              <w:left w:val="nil"/>
              <w:bottom w:val="nil"/>
              <w:right w:val="nil"/>
            </w:tcBorders>
            <w:shd w:val="clear" w:color="auto" w:fill="auto"/>
            <w:noWrap/>
            <w:vAlign w:val="bottom"/>
            <w:hideMark/>
          </w:tcPr>
          <w:p w14:paraId="4539A3F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913 (17%) </w:t>
            </w:r>
          </w:p>
        </w:tc>
        <w:tc>
          <w:tcPr>
            <w:tcW w:w="618" w:type="dxa"/>
            <w:tcBorders>
              <w:top w:val="nil"/>
              <w:left w:val="nil"/>
              <w:bottom w:val="nil"/>
              <w:right w:val="nil"/>
            </w:tcBorders>
            <w:shd w:val="clear" w:color="auto" w:fill="auto"/>
            <w:noWrap/>
            <w:vAlign w:val="bottom"/>
            <w:hideMark/>
          </w:tcPr>
          <w:p w14:paraId="4F52F54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932 (18%) </w:t>
            </w:r>
          </w:p>
        </w:tc>
        <w:tc>
          <w:tcPr>
            <w:tcW w:w="618" w:type="dxa"/>
            <w:tcBorders>
              <w:top w:val="nil"/>
              <w:left w:val="nil"/>
              <w:bottom w:val="nil"/>
              <w:right w:val="nil"/>
            </w:tcBorders>
            <w:shd w:val="clear" w:color="auto" w:fill="auto"/>
            <w:noWrap/>
            <w:vAlign w:val="bottom"/>
            <w:hideMark/>
          </w:tcPr>
          <w:p w14:paraId="3C99268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921 (19%) </w:t>
            </w:r>
          </w:p>
        </w:tc>
        <w:tc>
          <w:tcPr>
            <w:tcW w:w="618" w:type="dxa"/>
            <w:tcBorders>
              <w:top w:val="nil"/>
              <w:left w:val="nil"/>
              <w:bottom w:val="nil"/>
              <w:right w:val="nil"/>
            </w:tcBorders>
            <w:shd w:val="clear" w:color="auto" w:fill="auto"/>
            <w:noWrap/>
            <w:vAlign w:val="bottom"/>
            <w:hideMark/>
          </w:tcPr>
          <w:p w14:paraId="5A689CB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900 (19%) </w:t>
            </w:r>
          </w:p>
        </w:tc>
        <w:tc>
          <w:tcPr>
            <w:tcW w:w="618" w:type="dxa"/>
            <w:tcBorders>
              <w:top w:val="nil"/>
              <w:left w:val="nil"/>
              <w:bottom w:val="nil"/>
              <w:right w:val="nil"/>
            </w:tcBorders>
            <w:shd w:val="clear" w:color="auto" w:fill="auto"/>
            <w:noWrap/>
            <w:vAlign w:val="bottom"/>
            <w:hideMark/>
          </w:tcPr>
          <w:p w14:paraId="7A50890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843 (18%) </w:t>
            </w:r>
          </w:p>
        </w:tc>
        <w:tc>
          <w:tcPr>
            <w:tcW w:w="618" w:type="dxa"/>
            <w:tcBorders>
              <w:top w:val="nil"/>
              <w:left w:val="nil"/>
              <w:bottom w:val="nil"/>
              <w:right w:val="nil"/>
            </w:tcBorders>
            <w:shd w:val="clear" w:color="auto" w:fill="auto"/>
            <w:noWrap/>
            <w:vAlign w:val="bottom"/>
            <w:hideMark/>
          </w:tcPr>
          <w:p w14:paraId="7EA65B2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809 (18%) </w:t>
            </w:r>
          </w:p>
        </w:tc>
        <w:tc>
          <w:tcPr>
            <w:tcW w:w="618" w:type="dxa"/>
            <w:tcBorders>
              <w:top w:val="nil"/>
              <w:left w:val="nil"/>
              <w:bottom w:val="nil"/>
              <w:right w:val="nil"/>
            </w:tcBorders>
            <w:shd w:val="clear" w:color="auto" w:fill="auto"/>
            <w:noWrap/>
            <w:vAlign w:val="bottom"/>
            <w:hideMark/>
          </w:tcPr>
          <w:p w14:paraId="4F0430F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798 (18%) </w:t>
            </w:r>
          </w:p>
        </w:tc>
        <w:tc>
          <w:tcPr>
            <w:tcW w:w="618" w:type="dxa"/>
            <w:tcBorders>
              <w:top w:val="nil"/>
              <w:left w:val="nil"/>
              <w:bottom w:val="nil"/>
              <w:right w:val="nil"/>
            </w:tcBorders>
            <w:shd w:val="clear" w:color="auto" w:fill="auto"/>
            <w:noWrap/>
            <w:vAlign w:val="bottom"/>
            <w:hideMark/>
          </w:tcPr>
          <w:p w14:paraId="6ED6BA4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770 (18%) </w:t>
            </w:r>
          </w:p>
        </w:tc>
        <w:tc>
          <w:tcPr>
            <w:tcW w:w="618" w:type="dxa"/>
            <w:tcBorders>
              <w:top w:val="nil"/>
              <w:left w:val="nil"/>
              <w:bottom w:val="nil"/>
              <w:right w:val="nil"/>
            </w:tcBorders>
            <w:shd w:val="clear" w:color="auto" w:fill="auto"/>
            <w:noWrap/>
            <w:vAlign w:val="bottom"/>
            <w:hideMark/>
          </w:tcPr>
          <w:p w14:paraId="3EB469F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684 (17%) </w:t>
            </w:r>
          </w:p>
        </w:tc>
        <w:tc>
          <w:tcPr>
            <w:tcW w:w="618" w:type="dxa"/>
            <w:tcBorders>
              <w:top w:val="nil"/>
              <w:left w:val="nil"/>
              <w:bottom w:val="nil"/>
              <w:right w:val="nil"/>
            </w:tcBorders>
            <w:shd w:val="clear" w:color="auto" w:fill="auto"/>
            <w:noWrap/>
            <w:vAlign w:val="bottom"/>
            <w:hideMark/>
          </w:tcPr>
          <w:p w14:paraId="2A52097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653 (16%) </w:t>
            </w:r>
          </w:p>
        </w:tc>
        <w:tc>
          <w:tcPr>
            <w:tcW w:w="618" w:type="dxa"/>
            <w:tcBorders>
              <w:top w:val="nil"/>
              <w:left w:val="nil"/>
              <w:bottom w:val="nil"/>
              <w:right w:val="nil"/>
            </w:tcBorders>
            <w:shd w:val="clear" w:color="auto" w:fill="auto"/>
            <w:noWrap/>
            <w:vAlign w:val="bottom"/>
            <w:hideMark/>
          </w:tcPr>
          <w:p w14:paraId="2841E0D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685 (17%) </w:t>
            </w:r>
          </w:p>
        </w:tc>
        <w:tc>
          <w:tcPr>
            <w:tcW w:w="618" w:type="dxa"/>
            <w:tcBorders>
              <w:top w:val="nil"/>
              <w:left w:val="nil"/>
              <w:bottom w:val="nil"/>
              <w:right w:val="nil"/>
            </w:tcBorders>
            <w:shd w:val="clear" w:color="auto" w:fill="auto"/>
            <w:noWrap/>
            <w:vAlign w:val="bottom"/>
            <w:hideMark/>
          </w:tcPr>
          <w:p w14:paraId="025A697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671 (15%) </w:t>
            </w:r>
          </w:p>
        </w:tc>
        <w:tc>
          <w:tcPr>
            <w:tcW w:w="618" w:type="dxa"/>
            <w:tcBorders>
              <w:top w:val="nil"/>
              <w:left w:val="nil"/>
              <w:bottom w:val="nil"/>
              <w:right w:val="nil"/>
            </w:tcBorders>
            <w:shd w:val="clear" w:color="auto" w:fill="auto"/>
            <w:noWrap/>
            <w:vAlign w:val="bottom"/>
            <w:hideMark/>
          </w:tcPr>
          <w:p w14:paraId="618C2B1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650 (15%) </w:t>
            </w:r>
          </w:p>
        </w:tc>
        <w:tc>
          <w:tcPr>
            <w:tcW w:w="618" w:type="dxa"/>
            <w:tcBorders>
              <w:top w:val="nil"/>
              <w:left w:val="nil"/>
              <w:bottom w:val="nil"/>
              <w:right w:val="nil"/>
            </w:tcBorders>
            <w:shd w:val="clear" w:color="auto" w:fill="auto"/>
            <w:noWrap/>
            <w:vAlign w:val="bottom"/>
            <w:hideMark/>
          </w:tcPr>
          <w:p w14:paraId="595E8BD8"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726 (18%) </w:t>
            </w:r>
          </w:p>
        </w:tc>
        <w:tc>
          <w:tcPr>
            <w:tcW w:w="618" w:type="dxa"/>
            <w:tcBorders>
              <w:top w:val="nil"/>
              <w:left w:val="nil"/>
              <w:bottom w:val="nil"/>
              <w:right w:val="nil"/>
            </w:tcBorders>
            <w:shd w:val="clear" w:color="auto" w:fill="auto"/>
            <w:noWrap/>
            <w:vAlign w:val="bottom"/>
            <w:hideMark/>
          </w:tcPr>
          <w:p w14:paraId="1B27B09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829 (26%) </w:t>
            </w:r>
          </w:p>
        </w:tc>
        <w:tc>
          <w:tcPr>
            <w:tcW w:w="618" w:type="dxa"/>
            <w:tcBorders>
              <w:top w:val="nil"/>
              <w:left w:val="nil"/>
              <w:bottom w:val="nil"/>
              <w:right w:val="nil"/>
            </w:tcBorders>
            <w:shd w:val="clear" w:color="auto" w:fill="auto"/>
            <w:noWrap/>
            <w:vAlign w:val="bottom"/>
            <w:hideMark/>
          </w:tcPr>
          <w:p w14:paraId="5CAD6F0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596 (20%) </w:t>
            </w:r>
          </w:p>
        </w:tc>
      </w:tr>
      <w:tr w:rsidR="00626486" w:rsidRPr="00626486" w14:paraId="0FDBEB84" w14:textId="77777777" w:rsidTr="00626486">
        <w:trPr>
          <w:trHeight w:val="225"/>
        </w:trPr>
        <w:tc>
          <w:tcPr>
            <w:tcW w:w="960" w:type="dxa"/>
            <w:tcBorders>
              <w:top w:val="nil"/>
              <w:left w:val="nil"/>
              <w:bottom w:val="nil"/>
              <w:right w:val="nil"/>
            </w:tcBorders>
            <w:shd w:val="clear" w:color="auto" w:fill="auto"/>
            <w:noWrap/>
            <w:vAlign w:val="center"/>
            <w:hideMark/>
          </w:tcPr>
          <w:p w14:paraId="067255E6"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25-50% FS</w:t>
            </w:r>
          </w:p>
        </w:tc>
        <w:tc>
          <w:tcPr>
            <w:tcW w:w="618" w:type="dxa"/>
            <w:tcBorders>
              <w:top w:val="nil"/>
              <w:left w:val="nil"/>
              <w:bottom w:val="nil"/>
              <w:right w:val="nil"/>
            </w:tcBorders>
            <w:shd w:val="clear" w:color="auto" w:fill="auto"/>
            <w:noWrap/>
            <w:vAlign w:val="bottom"/>
            <w:hideMark/>
          </w:tcPr>
          <w:p w14:paraId="6B5607F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465 (11%) </w:t>
            </w:r>
          </w:p>
        </w:tc>
        <w:tc>
          <w:tcPr>
            <w:tcW w:w="618" w:type="dxa"/>
            <w:tcBorders>
              <w:top w:val="nil"/>
              <w:left w:val="nil"/>
              <w:bottom w:val="nil"/>
              <w:right w:val="nil"/>
            </w:tcBorders>
            <w:shd w:val="clear" w:color="auto" w:fill="auto"/>
            <w:noWrap/>
            <w:vAlign w:val="bottom"/>
            <w:hideMark/>
          </w:tcPr>
          <w:p w14:paraId="5E7D278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527 (11%) </w:t>
            </w:r>
          </w:p>
        </w:tc>
        <w:tc>
          <w:tcPr>
            <w:tcW w:w="618" w:type="dxa"/>
            <w:tcBorders>
              <w:top w:val="nil"/>
              <w:left w:val="nil"/>
              <w:bottom w:val="nil"/>
              <w:right w:val="nil"/>
            </w:tcBorders>
            <w:shd w:val="clear" w:color="auto" w:fill="auto"/>
            <w:noWrap/>
            <w:vAlign w:val="bottom"/>
            <w:hideMark/>
          </w:tcPr>
          <w:p w14:paraId="0263911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600 (11%) </w:t>
            </w:r>
          </w:p>
        </w:tc>
        <w:tc>
          <w:tcPr>
            <w:tcW w:w="618" w:type="dxa"/>
            <w:tcBorders>
              <w:top w:val="nil"/>
              <w:left w:val="nil"/>
              <w:bottom w:val="nil"/>
              <w:right w:val="nil"/>
            </w:tcBorders>
            <w:shd w:val="clear" w:color="auto" w:fill="auto"/>
            <w:noWrap/>
            <w:vAlign w:val="bottom"/>
            <w:hideMark/>
          </w:tcPr>
          <w:p w14:paraId="40C0CCC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732 (13%) </w:t>
            </w:r>
          </w:p>
        </w:tc>
        <w:tc>
          <w:tcPr>
            <w:tcW w:w="618" w:type="dxa"/>
            <w:tcBorders>
              <w:top w:val="nil"/>
              <w:left w:val="nil"/>
              <w:bottom w:val="nil"/>
              <w:right w:val="nil"/>
            </w:tcBorders>
            <w:shd w:val="clear" w:color="auto" w:fill="auto"/>
            <w:noWrap/>
            <w:vAlign w:val="bottom"/>
            <w:hideMark/>
          </w:tcPr>
          <w:p w14:paraId="3F7DEB4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731 (13%) </w:t>
            </w:r>
          </w:p>
        </w:tc>
        <w:tc>
          <w:tcPr>
            <w:tcW w:w="618" w:type="dxa"/>
            <w:tcBorders>
              <w:top w:val="nil"/>
              <w:left w:val="nil"/>
              <w:bottom w:val="nil"/>
              <w:right w:val="nil"/>
            </w:tcBorders>
            <w:shd w:val="clear" w:color="auto" w:fill="auto"/>
            <w:noWrap/>
            <w:vAlign w:val="bottom"/>
            <w:hideMark/>
          </w:tcPr>
          <w:p w14:paraId="5CB8F27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718 (14%) </w:t>
            </w:r>
          </w:p>
        </w:tc>
        <w:tc>
          <w:tcPr>
            <w:tcW w:w="618" w:type="dxa"/>
            <w:tcBorders>
              <w:top w:val="nil"/>
              <w:left w:val="nil"/>
              <w:bottom w:val="nil"/>
              <w:right w:val="nil"/>
            </w:tcBorders>
            <w:shd w:val="clear" w:color="auto" w:fill="auto"/>
            <w:noWrap/>
            <w:vAlign w:val="bottom"/>
            <w:hideMark/>
          </w:tcPr>
          <w:p w14:paraId="3E3AA4F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692 (14%) </w:t>
            </w:r>
          </w:p>
        </w:tc>
        <w:tc>
          <w:tcPr>
            <w:tcW w:w="618" w:type="dxa"/>
            <w:tcBorders>
              <w:top w:val="nil"/>
              <w:left w:val="nil"/>
              <w:bottom w:val="nil"/>
              <w:right w:val="nil"/>
            </w:tcBorders>
            <w:shd w:val="clear" w:color="auto" w:fill="auto"/>
            <w:noWrap/>
            <w:vAlign w:val="bottom"/>
            <w:hideMark/>
          </w:tcPr>
          <w:p w14:paraId="6AD824A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711 (15%) </w:t>
            </w:r>
          </w:p>
        </w:tc>
        <w:tc>
          <w:tcPr>
            <w:tcW w:w="618" w:type="dxa"/>
            <w:tcBorders>
              <w:top w:val="nil"/>
              <w:left w:val="nil"/>
              <w:bottom w:val="nil"/>
              <w:right w:val="nil"/>
            </w:tcBorders>
            <w:shd w:val="clear" w:color="auto" w:fill="auto"/>
            <w:noWrap/>
            <w:vAlign w:val="bottom"/>
            <w:hideMark/>
          </w:tcPr>
          <w:p w14:paraId="0102CAA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707 (15%) </w:t>
            </w:r>
          </w:p>
        </w:tc>
        <w:tc>
          <w:tcPr>
            <w:tcW w:w="618" w:type="dxa"/>
            <w:tcBorders>
              <w:top w:val="nil"/>
              <w:left w:val="nil"/>
              <w:bottom w:val="nil"/>
              <w:right w:val="nil"/>
            </w:tcBorders>
            <w:shd w:val="clear" w:color="auto" w:fill="auto"/>
            <w:noWrap/>
            <w:vAlign w:val="bottom"/>
            <w:hideMark/>
          </w:tcPr>
          <w:p w14:paraId="6324193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694 (15%) </w:t>
            </w:r>
          </w:p>
        </w:tc>
        <w:tc>
          <w:tcPr>
            <w:tcW w:w="618" w:type="dxa"/>
            <w:tcBorders>
              <w:top w:val="nil"/>
              <w:left w:val="nil"/>
              <w:bottom w:val="nil"/>
              <w:right w:val="nil"/>
            </w:tcBorders>
            <w:shd w:val="clear" w:color="auto" w:fill="auto"/>
            <w:noWrap/>
            <w:vAlign w:val="bottom"/>
            <w:hideMark/>
          </w:tcPr>
          <w:p w14:paraId="7AE7481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684 (16%) </w:t>
            </w:r>
          </w:p>
        </w:tc>
        <w:tc>
          <w:tcPr>
            <w:tcW w:w="618" w:type="dxa"/>
            <w:tcBorders>
              <w:top w:val="nil"/>
              <w:left w:val="nil"/>
              <w:bottom w:val="nil"/>
              <w:right w:val="nil"/>
            </w:tcBorders>
            <w:shd w:val="clear" w:color="auto" w:fill="auto"/>
            <w:noWrap/>
            <w:vAlign w:val="bottom"/>
            <w:hideMark/>
          </w:tcPr>
          <w:p w14:paraId="15C47C4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649 (15%) </w:t>
            </w:r>
          </w:p>
        </w:tc>
        <w:tc>
          <w:tcPr>
            <w:tcW w:w="618" w:type="dxa"/>
            <w:tcBorders>
              <w:top w:val="nil"/>
              <w:left w:val="nil"/>
              <w:bottom w:val="nil"/>
              <w:right w:val="nil"/>
            </w:tcBorders>
            <w:shd w:val="clear" w:color="auto" w:fill="auto"/>
            <w:noWrap/>
            <w:vAlign w:val="bottom"/>
            <w:hideMark/>
          </w:tcPr>
          <w:p w14:paraId="2DDFBFE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617 (15%) </w:t>
            </w:r>
          </w:p>
        </w:tc>
        <w:tc>
          <w:tcPr>
            <w:tcW w:w="618" w:type="dxa"/>
            <w:tcBorders>
              <w:top w:val="nil"/>
              <w:left w:val="nil"/>
              <w:bottom w:val="nil"/>
              <w:right w:val="nil"/>
            </w:tcBorders>
            <w:shd w:val="clear" w:color="auto" w:fill="auto"/>
            <w:noWrap/>
            <w:vAlign w:val="bottom"/>
            <w:hideMark/>
          </w:tcPr>
          <w:p w14:paraId="7BD2B9A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601 (15%) </w:t>
            </w:r>
          </w:p>
        </w:tc>
        <w:tc>
          <w:tcPr>
            <w:tcW w:w="618" w:type="dxa"/>
            <w:tcBorders>
              <w:top w:val="nil"/>
              <w:left w:val="nil"/>
              <w:bottom w:val="nil"/>
              <w:right w:val="nil"/>
            </w:tcBorders>
            <w:shd w:val="clear" w:color="auto" w:fill="auto"/>
            <w:noWrap/>
            <w:vAlign w:val="bottom"/>
            <w:hideMark/>
          </w:tcPr>
          <w:p w14:paraId="5E29B56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583 (14%) </w:t>
            </w:r>
          </w:p>
        </w:tc>
        <w:tc>
          <w:tcPr>
            <w:tcW w:w="618" w:type="dxa"/>
            <w:tcBorders>
              <w:top w:val="nil"/>
              <w:left w:val="nil"/>
              <w:bottom w:val="nil"/>
              <w:right w:val="nil"/>
            </w:tcBorders>
            <w:shd w:val="clear" w:color="auto" w:fill="auto"/>
            <w:noWrap/>
            <w:vAlign w:val="bottom"/>
            <w:hideMark/>
          </w:tcPr>
          <w:p w14:paraId="012119F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597 (14%) </w:t>
            </w:r>
          </w:p>
        </w:tc>
        <w:tc>
          <w:tcPr>
            <w:tcW w:w="618" w:type="dxa"/>
            <w:tcBorders>
              <w:top w:val="nil"/>
              <w:left w:val="nil"/>
              <w:bottom w:val="nil"/>
              <w:right w:val="nil"/>
            </w:tcBorders>
            <w:shd w:val="clear" w:color="auto" w:fill="auto"/>
            <w:noWrap/>
            <w:vAlign w:val="bottom"/>
            <w:hideMark/>
          </w:tcPr>
          <w:p w14:paraId="6DEEFC7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620 (14%) </w:t>
            </w:r>
          </w:p>
        </w:tc>
        <w:tc>
          <w:tcPr>
            <w:tcW w:w="618" w:type="dxa"/>
            <w:tcBorders>
              <w:top w:val="nil"/>
              <w:left w:val="nil"/>
              <w:bottom w:val="nil"/>
              <w:right w:val="nil"/>
            </w:tcBorders>
            <w:shd w:val="clear" w:color="auto" w:fill="auto"/>
            <w:noWrap/>
            <w:vAlign w:val="bottom"/>
            <w:hideMark/>
          </w:tcPr>
          <w:p w14:paraId="045931B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603 (15%) </w:t>
            </w:r>
          </w:p>
        </w:tc>
        <w:tc>
          <w:tcPr>
            <w:tcW w:w="618" w:type="dxa"/>
            <w:tcBorders>
              <w:top w:val="nil"/>
              <w:left w:val="nil"/>
              <w:bottom w:val="nil"/>
              <w:right w:val="nil"/>
            </w:tcBorders>
            <w:shd w:val="clear" w:color="auto" w:fill="auto"/>
            <w:noWrap/>
            <w:vAlign w:val="bottom"/>
            <w:hideMark/>
          </w:tcPr>
          <w:p w14:paraId="6CD5D51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556 (17%) </w:t>
            </w:r>
          </w:p>
        </w:tc>
        <w:tc>
          <w:tcPr>
            <w:tcW w:w="618" w:type="dxa"/>
            <w:tcBorders>
              <w:top w:val="nil"/>
              <w:left w:val="nil"/>
              <w:bottom w:val="nil"/>
              <w:right w:val="nil"/>
            </w:tcBorders>
            <w:shd w:val="clear" w:color="auto" w:fill="auto"/>
            <w:noWrap/>
            <w:vAlign w:val="bottom"/>
            <w:hideMark/>
          </w:tcPr>
          <w:p w14:paraId="625C740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589 (20%) </w:t>
            </w:r>
          </w:p>
        </w:tc>
      </w:tr>
      <w:tr w:rsidR="00626486" w:rsidRPr="00626486" w14:paraId="5A82CCEF" w14:textId="77777777" w:rsidTr="00626486">
        <w:trPr>
          <w:trHeight w:val="240"/>
        </w:trPr>
        <w:tc>
          <w:tcPr>
            <w:tcW w:w="960" w:type="dxa"/>
            <w:tcBorders>
              <w:top w:val="nil"/>
              <w:left w:val="nil"/>
              <w:bottom w:val="single" w:sz="4" w:space="0" w:color="auto"/>
              <w:right w:val="nil"/>
            </w:tcBorders>
            <w:shd w:val="clear" w:color="auto" w:fill="auto"/>
            <w:noWrap/>
            <w:vAlign w:val="center"/>
            <w:hideMark/>
          </w:tcPr>
          <w:p w14:paraId="02E6D88F"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&gt;50% FS</w:t>
            </w:r>
          </w:p>
        </w:tc>
        <w:tc>
          <w:tcPr>
            <w:tcW w:w="618" w:type="dxa"/>
            <w:tcBorders>
              <w:top w:val="nil"/>
              <w:left w:val="nil"/>
              <w:bottom w:val="single" w:sz="4" w:space="0" w:color="auto"/>
              <w:right w:val="nil"/>
            </w:tcBorders>
            <w:shd w:val="clear" w:color="auto" w:fill="auto"/>
            <w:noWrap/>
            <w:vAlign w:val="bottom"/>
            <w:hideMark/>
          </w:tcPr>
          <w:p w14:paraId="6D0EA2D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202 (5%) </w:t>
            </w:r>
          </w:p>
        </w:tc>
        <w:tc>
          <w:tcPr>
            <w:tcW w:w="618" w:type="dxa"/>
            <w:tcBorders>
              <w:top w:val="nil"/>
              <w:left w:val="nil"/>
              <w:bottom w:val="single" w:sz="4" w:space="0" w:color="auto"/>
              <w:right w:val="nil"/>
            </w:tcBorders>
            <w:shd w:val="clear" w:color="auto" w:fill="auto"/>
            <w:noWrap/>
            <w:vAlign w:val="bottom"/>
            <w:hideMark/>
          </w:tcPr>
          <w:p w14:paraId="658AEBF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255 (5%) </w:t>
            </w:r>
          </w:p>
        </w:tc>
        <w:tc>
          <w:tcPr>
            <w:tcW w:w="618" w:type="dxa"/>
            <w:tcBorders>
              <w:top w:val="nil"/>
              <w:left w:val="nil"/>
              <w:bottom w:val="single" w:sz="4" w:space="0" w:color="auto"/>
              <w:right w:val="nil"/>
            </w:tcBorders>
            <w:shd w:val="clear" w:color="auto" w:fill="auto"/>
            <w:noWrap/>
            <w:vAlign w:val="bottom"/>
            <w:hideMark/>
          </w:tcPr>
          <w:p w14:paraId="1D8BB1C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271 (5%) </w:t>
            </w:r>
          </w:p>
        </w:tc>
        <w:tc>
          <w:tcPr>
            <w:tcW w:w="618" w:type="dxa"/>
            <w:tcBorders>
              <w:top w:val="nil"/>
              <w:left w:val="nil"/>
              <w:bottom w:val="single" w:sz="4" w:space="0" w:color="auto"/>
              <w:right w:val="nil"/>
            </w:tcBorders>
            <w:shd w:val="clear" w:color="auto" w:fill="auto"/>
            <w:noWrap/>
            <w:vAlign w:val="bottom"/>
            <w:hideMark/>
          </w:tcPr>
          <w:p w14:paraId="132F347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348 (6%) </w:t>
            </w:r>
          </w:p>
        </w:tc>
        <w:tc>
          <w:tcPr>
            <w:tcW w:w="618" w:type="dxa"/>
            <w:tcBorders>
              <w:top w:val="nil"/>
              <w:left w:val="nil"/>
              <w:bottom w:val="single" w:sz="4" w:space="0" w:color="auto"/>
              <w:right w:val="nil"/>
            </w:tcBorders>
            <w:shd w:val="clear" w:color="auto" w:fill="auto"/>
            <w:noWrap/>
            <w:vAlign w:val="bottom"/>
            <w:hideMark/>
          </w:tcPr>
          <w:p w14:paraId="14FBD28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392 (7%) </w:t>
            </w:r>
          </w:p>
        </w:tc>
        <w:tc>
          <w:tcPr>
            <w:tcW w:w="618" w:type="dxa"/>
            <w:tcBorders>
              <w:top w:val="nil"/>
              <w:left w:val="nil"/>
              <w:bottom w:val="single" w:sz="4" w:space="0" w:color="auto"/>
              <w:right w:val="nil"/>
            </w:tcBorders>
            <w:shd w:val="clear" w:color="auto" w:fill="auto"/>
            <w:noWrap/>
            <w:vAlign w:val="bottom"/>
            <w:hideMark/>
          </w:tcPr>
          <w:p w14:paraId="1BC7779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383 (7%) </w:t>
            </w:r>
          </w:p>
        </w:tc>
        <w:tc>
          <w:tcPr>
            <w:tcW w:w="618" w:type="dxa"/>
            <w:tcBorders>
              <w:top w:val="nil"/>
              <w:left w:val="nil"/>
              <w:bottom w:val="single" w:sz="4" w:space="0" w:color="auto"/>
              <w:right w:val="nil"/>
            </w:tcBorders>
            <w:shd w:val="clear" w:color="auto" w:fill="auto"/>
            <w:noWrap/>
            <w:vAlign w:val="bottom"/>
            <w:hideMark/>
          </w:tcPr>
          <w:p w14:paraId="4E43450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426 (9%) </w:t>
            </w:r>
          </w:p>
        </w:tc>
        <w:tc>
          <w:tcPr>
            <w:tcW w:w="618" w:type="dxa"/>
            <w:tcBorders>
              <w:top w:val="nil"/>
              <w:left w:val="nil"/>
              <w:bottom w:val="single" w:sz="4" w:space="0" w:color="auto"/>
              <w:right w:val="nil"/>
            </w:tcBorders>
            <w:shd w:val="clear" w:color="auto" w:fill="auto"/>
            <w:noWrap/>
            <w:vAlign w:val="bottom"/>
            <w:hideMark/>
          </w:tcPr>
          <w:p w14:paraId="05BB01D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479 (10%) </w:t>
            </w:r>
          </w:p>
        </w:tc>
        <w:tc>
          <w:tcPr>
            <w:tcW w:w="618" w:type="dxa"/>
            <w:tcBorders>
              <w:top w:val="nil"/>
              <w:left w:val="nil"/>
              <w:bottom w:val="single" w:sz="4" w:space="0" w:color="auto"/>
              <w:right w:val="nil"/>
            </w:tcBorders>
            <w:shd w:val="clear" w:color="auto" w:fill="auto"/>
            <w:noWrap/>
            <w:vAlign w:val="bottom"/>
            <w:hideMark/>
          </w:tcPr>
          <w:p w14:paraId="7242841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542 (11%) </w:t>
            </w:r>
          </w:p>
        </w:tc>
        <w:tc>
          <w:tcPr>
            <w:tcW w:w="618" w:type="dxa"/>
            <w:tcBorders>
              <w:top w:val="nil"/>
              <w:left w:val="nil"/>
              <w:bottom w:val="single" w:sz="4" w:space="0" w:color="auto"/>
              <w:right w:val="nil"/>
            </w:tcBorders>
            <w:shd w:val="clear" w:color="auto" w:fill="auto"/>
            <w:noWrap/>
            <w:vAlign w:val="bottom"/>
            <w:hideMark/>
          </w:tcPr>
          <w:p w14:paraId="7CD1A71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573 (13%) </w:t>
            </w:r>
          </w:p>
        </w:tc>
        <w:tc>
          <w:tcPr>
            <w:tcW w:w="618" w:type="dxa"/>
            <w:tcBorders>
              <w:top w:val="nil"/>
              <w:left w:val="nil"/>
              <w:bottom w:val="single" w:sz="4" w:space="0" w:color="auto"/>
              <w:right w:val="nil"/>
            </w:tcBorders>
            <w:shd w:val="clear" w:color="auto" w:fill="auto"/>
            <w:noWrap/>
            <w:vAlign w:val="bottom"/>
            <w:hideMark/>
          </w:tcPr>
          <w:p w14:paraId="1204F80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575 (13%) </w:t>
            </w:r>
          </w:p>
        </w:tc>
        <w:tc>
          <w:tcPr>
            <w:tcW w:w="618" w:type="dxa"/>
            <w:tcBorders>
              <w:top w:val="nil"/>
              <w:left w:val="nil"/>
              <w:bottom w:val="single" w:sz="4" w:space="0" w:color="auto"/>
              <w:right w:val="nil"/>
            </w:tcBorders>
            <w:shd w:val="clear" w:color="auto" w:fill="auto"/>
            <w:noWrap/>
            <w:vAlign w:val="bottom"/>
            <w:hideMark/>
          </w:tcPr>
          <w:p w14:paraId="63ACCF9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580 (14%) </w:t>
            </w:r>
          </w:p>
        </w:tc>
        <w:tc>
          <w:tcPr>
            <w:tcW w:w="618" w:type="dxa"/>
            <w:tcBorders>
              <w:top w:val="nil"/>
              <w:left w:val="nil"/>
              <w:bottom w:val="single" w:sz="4" w:space="0" w:color="auto"/>
              <w:right w:val="nil"/>
            </w:tcBorders>
            <w:shd w:val="clear" w:color="auto" w:fill="auto"/>
            <w:noWrap/>
            <w:vAlign w:val="bottom"/>
            <w:hideMark/>
          </w:tcPr>
          <w:p w14:paraId="77A45E3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619 (15%) </w:t>
            </w:r>
          </w:p>
        </w:tc>
        <w:tc>
          <w:tcPr>
            <w:tcW w:w="618" w:type="dxa"/>
            <w:tcBorders>
              <w:top w:val="nil"/>
              <w:left w:val="nil"/>
              <w:bottom w:val="single" w:sz="4" w:space="0" w:color="auto"/>
              <w:right w:val="nil"/>
            </w:tcBorders>
            <w:shd w:val="clear" w:color="auto" w:fill="auto"/>
            <w:noWrap/>
            <w:vAlign w:val="bottom"/>
            <w:hideMark/>
          </w:tcPr>
          <w:p w14:paraId="77BE808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678 (17%) </w:t>
            </w:r>
          </w:p>
        </w:tc>
        <w:tc>
          <w:tcPr>
            <w:tcW w:w="618" w:type="dxa"/>
            <w:tcBorders>
              <w:top w:val="nil"/>
              <w:left w:val="nil"/>
              <w:bottom w:val="single" w:sz="4" w:space="0" w:color="auto"/>
              <w:right w:val="nil"/>
            </w:tcBorders>
            <w:shd w:val="clear" w:color="auto" w:fill="auto"/>
            <w:noWrap/>
            <w:vAlign w:val="bottom"/>
            <w:hideMark/>
          </w:tcPr>
          <w:p w14:paraId="625679B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669 (16%) </w:t>
            </w:r>
          </w:p>
        </w:tc>
        <w:tc>
          <w:tcPr>
            <w:tcW w:w="618" w:type="dxa"/>
            <w:tcBorders>
              <w:top w:val="nil"/>
              <w:left w:val="nil"/>
              <w:bottom w:val="single" w:sz="4" w:space="0" w:color="auto"/>
              <w:right w:val="nil"/>
            </w:tcBorders>
            <w:shd w:val="clear" w:color="auto" w:fill="auto"/>
            <w:noWrap/>
            <w:vAlign w:val="bottom"/>
            <w:hideMark/>
          </w:tcPr>
          <w:p w14:paraId="2A8828E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695 (16%) </w:t>
            </w:r>
          </w:p>
        </w:tc>
        <w:tc>
          <w:tcPr>
            <w:tcW w:w="618" w:type="dxa"/>
            <w:tcBorders>
              <w:top w:val="nil"/>
              <w:left w:val="nil"/>
              <w:bottom w:val="single" w:sz="4" w:space="0" w:color="auto"/>
              <w:right w:val="nil"/>
            </w:tcBorders>
            <w:shd w:val="clear" w:color="auto" w:fill="auto"/>
            <w:noWrap/>
            <w:vAlign w:val="bottom"/>
            <w:hideMark/>
          </w:tcPr>
          <w:p w14:paraId="44956A4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741 (17%) </w:t>
            </w:r>
          </w:p>
        </w:tc>
        <w:tc>
          <w:tcPr>
            <w:tcW w:w="618" w:type="dxa"/>
            <w:tcBorders>
              <w:top w:val="nil"/>
              <w:left w:val="nil"/>
              <w:bottom w:val="single" w:sz="4" w:space="0" w:color="auto"/>
              <w:right w:val="nil"/>
            </w:tcBorders>
            <w:shd w:val="clear" w:color="auto" w:fill="auto"/>
            <w:noWrap/>
            <w:vAlign w:val="bottom"/>
            <w:hideMark/>
          </w:tcPr>
          <w:p w14:paraId="331AE928"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719 (18%) </w:t>
            </w:r>
          </w:p>
        </w:tc>
        <w:tc>
          <w:tcPr>
            <w:tcW w:w="618" w:type="dxa"/>
            <w:tcBorders>
              <w:top w:val="nil"/>
              <w:left w:val="nil"/>
              <w:bottom w:val="single" w:sz="4" w:space="0" w:color="auto"/>
              <w:right w:val="nil"/>
            </w:tcBorders>
            <w:shd w:val="clear" w:color="auto" w:fill="auto"/>
            <w:noWrap/>
            <w:vAlign w:val="bottom"/>
            <w:hideMark/>
          </w:tcPr>
          <w:p w14:paraId="2A6F625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604 (19%) </w:t>
            </w:r>
          </w:p>
        </w:tc>
        <w:tc>
          <w:tcPr>
            <w:tcW w:w="618" w:type="dxa"/>
            <w:tcBorders>
              <w:top w:val="nil"/>
              <w:left w:val="nil"/>
              <w:bottom w:val="single" w:sz="4" w:space="0" w:color="auto"/>
              <w:right w:val="nil"/>
            </w:tcBorders>
            <w:shd w:val="clear" w:color="auto" w:fill="auto"/>
            <w:noWrap/>
            <w:vAlign w:val="bottom"/>
            <w:hideMark/>
          </w:tcPr>
          <w:p w14:paraId="0E1BC5E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719 (25%) </w:t>
            </w:r>
          </w:p>
        </w:tc>
      </w:tr>
      <w:tr w:rsidR="00626486" w:rsidRPr="00626486" w14:paraId="0C2FC091" w14:textId="77777777" w:rsidTr="00626486">
        <w:trPr>
          <w:trHeight w:val="240"/>
        </w:trPr>
        <w:tc>
          <w:tcPr>
            <w:tcW w:w="960" w:type="dxa"/>
            <w:tcBorders>
              <w:top w:val="single" w:sz="4" w:space="0" w:color="auto"/>
              <w:left w:val="nil"/>
              <w:bottom w:val="single" w:sz="8" w:space="0" w:color="auto"/>
              <w:right w:val="nil"/>
            </w:tcBorders>
            <w:shd w:val="clear" w:color="auto" w:fill="auto"/>
            <w:noWrap/>
            <w:vAlign w:val="center"/>
            <w:hideMark/>
          </w:tcPr>
          <w:p w14:paraId="66FCCD41"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Total number of firms with  FS data</w:t>
            </w:r>
          </w:p>
        </w:tc>
        <w:tc>
          <w:tcPr>
            <w:tcW w:w="618" w:type="dxa"/>
            <w:tcBorders>
              <w:top w:val="single" w:sz="4" w:space="0" w:color="auto"/>
              <w:left w:val="nil"/>
              <w:bottom w:val="single" w:sz="8" w:space="0" w:color="auto"/>
              <w:right w:val="nil"/>
            </w:tcBorders>
            <w:shd w:val="clear" w:color="auto" w:fill="auto"/>
            <w:noWrap/>
            <w:vAlign w:val="center"/>
            <w:hideMark/>
          </w:tcPr>
          <w:p w14:paraId="0B5B2E0D"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4,121</w:t>
            </w:r>
          </w:p>
        </w:tc>
        <w:tc>
          <w:tcPr>
            <w:tcW w:w="618" w:type="dxa"/>
            <w:tcBorders>
              <w:top w:val="single" w:sz="4" w:space="0" w:color="auto"/>
              <w:left w:val="nil"/>
              <w:bottom w:val="single" w:sz="8" w:space="0" w:color="auto"/>
              <w:right w:val="nil"/>
            </w:tcBorders>
            <w:shd w:val="clear" w:color="auto" w:fill="auto"/>
            <w:noWrap/>
            <w:vAlign w:val="center"/>
            <w:hideMark/>
          </w:tcPr>
          <w:p w14:paraId="440270BB"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4,744</w:t>
            </w:r>
          </w:p>
        </w:tc>
        <w:tc>
          <w:tcPr>
            <w:tcW w:w="618" w:type="dxa"/>
            <w:tcBorders>
              <w:top w:val="single" w:sz="4" w:space="0" w:color="auto"/>
              <w:left w:val="nil"/>
              <w:bottom w:val="single" w:sz="8" w:space="0" w:color="auto"/>
              <w:right w:val="nil"/>
            </w:tcBorders>
            <w:shd w:val="clear" w:color="auto" w:fill="auto"/>
            <w:noWrap/>
            <w:vAlign w:val="center"/>
            <w:hideMark/>
          </w:tcPr>
          <w:p w14:paraId="2CAB7EC4"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5,252</w:t>
            </w:r>
          </w:p>
        </w:tc>
        <w:tc>
          <w:tcPr>
            <w:tcW w:w="618" w:type="dxa"/>
            <w:tcBorders>
              <w:top w:val="single" w:sz="4" w:space="0" w:color="auto"/>
              <w:left w:val="nil"/>
              <w:bottom w:val="single" w:sz="8" w:space="0" w:color="auto"/>
              <w:right w:val="nil"/>
            </w:tcBorders>
            <w:shd w:val="clear" w:color="auto" w:fill="auto"/>
            <w:noWrap/>
            <w:vAlign w:val="center"/>
            <w:hideMark/>
          </w:tcPr>
          <w:p w14:paraId="4A2AEDF5"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5,751</w:t>
            </w:r>
          </w:p>
        </w:tc>
        <w:tc>
          <w:tcPr>
            <w:tcW w:w="618" w:type="dxa"/>
            <w:tcBorders>
              <w:top w:val="single" w:sz="4" w:space="0" w:color="auto"/>
              <w:left w:val="nil"/>
              <w:bottom w:val="single" w:sz="8" w:space="0" w:color="auto"/>
              <w:right w:val="nil"/>
            </w:tcBorders>
            <w:shd w:val="clear" w:color="auto" w:fill="auto"/>
            <w:noWrap/>
            <w:vAlign w:val="center"/>
            <w:hideMark/>
          </w:tcPr>
          <w:p w14:paraId="6BF7B827"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5,456</w:t>
            </w:r>
          </w:p>
        </w:tc>
        <w:tc>
          <w:tcPr>
            <w:tcW w:w="618" w:type="dxa"/>
            <w:tcBorders>
              <w:top w:val="single" w:sz="4" w:space="0" w:color="auto"/>
              <w:left w:val="nil"/>
              <w:bottom w:val="single" w:sz="8" w:space="0" w:color="auto"/>
              <w:right w:val="nil"/>
            </w:tcBorders>
            <w:shd w:val="clear" w:color="auto" w:fill="auto"/>
            <w:noWrap/>
            <w:vAlign w:val="center"/>
            <w:hideMark/>
          </w:tcPr>
          <w:p w14:paraId="19609C71"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5,215</w:t>
            </w:r>
          </w:p>
        </w:tc>
        <w:tc>
          <w:tcPr>
            <w:tcW w:w="618" w:type="dxa"/>
            <w:tcBorders>
              <w:top w:val="single" w:sz="4" w:space="0" w:color="auto"/>
              <w:left w:val="nil"/>
              <w:bottom w:val="single" w:sz="8" w:space="0" w:color="auto"/>
              <w:right w:val="nil"/>
            </w:tcBorders>
            <w:shd w:val="clear" w:color="auto" w:fill="auto"/>
            <w:noWrap/>
            <w:vAlign w:val="center"/>
            <w:hideMark/>
          </w:tcPr>
          <w:p w14:paraId="2A5E60A9"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4,934</w:t>
            </w:r>
          </w:p>
        </w:tc>
        <w:tc>
          <w:tcPr>
            <w:tcW w:w="618" w:type="dxa"/>
            <w:tcBorders>
              <w:top w:val="single" w:sz="4" w:space="0" w:color="auto"/>
              <w:left w:val="nil"/>
              <w:bottom w:val="single" w:sz="8" w:space="0" w:color="auto"/>
              <w:right w:val="nil"/>
            </w:tcBorders>
            <w:shd w:val="clear" w:color="auto" w:fill="auto"/>
            <w:noWrap/>
            <w:vAlign w:val="center"/>
            <w:hideMark/>
          </w:tcPr>
          <w:p w14:paraId="01AF036C"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4,817</w:t>
            </w:r>
          </w:p>
        </w:tc>
        <w:tc>
          <w:tcPr>
            <w:tcW w:w="618" w:type="dxa"/>
            <w:tcBorders>
              <w:top w:val="single" w:sz="4" w:space="0" w:color="auto"/>
              <w:left w:val="nil"/>
              <w:bottom w:val="single" w:sz="8" w:space="0" w:color="auto"/>
              <w:right w:val="nil"/>
            </w:tcBorders>
            <w:shd w:val="clear" w:color="auto" w:fill="auto"/>
            <w:noWrap/>
            <w:vAlign w:val="center"/>
            <w:hideMark/>
          </w:tcPr>
          <w:p w14:paraId="3222F969"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4,714</w:t>
            </w:r>
          </w:p>
        </w:tc>
        <w:tc>
          <w:tcPr>
            <w:tcW w:w="618" w:type="dxa"/>
            <w:tcBorders>
              <w:top w:val="single" w:sz="4" w:space="0" w:color="auto"/>
              <w:left w:val="nil"/>
              <w:bottom w:val="single" w:sz="8" w:space="0" w:color="auto"/>
              <w:right w:val="nil"/>
            </w:tcBorders>
            <w:shd w:val="clear" w:color="auto" w:fill="auto"/>
            <w:noWrap/>
            <w:vAlign w:val="center"/>
            <w:hideMark/>
          </w:tcPr>
          <w:p w14:paraId="02C70D50"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4,566</w:t>
            </w:r>
          </w:p>
        </w:tc>
        <w:tc>
          <w:tcPr>
            <w:tcW w:w="618" w:type="dxa"/>
            <w:tcBorders>
              <w:top w:val="single" w:sz="4" w:space="0" w:color="auto"/>
              <w:left w:val="nil"/>
              <w:bottom w:val="single" w:sz="8" w:space="0" w:color="auto"/>
              <w:right w:val="nil"/>
            </w:tcBorders>
            <w:shd w:val="clear" w:color="auto" w:fill="auto"/>
            <w:noWrap/>
            <w:vAlign w:val="center"/>
            <w:hideMark/>
          </w:tcPr>
          <w:p w14:paraId="29566A37"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4,403</w:t>
            </w:r>
          </w:p>
        </w:tc>
        <w:tc>
          <w:tcPr>
            <w:tcW w:w="618" w:type="dxa"/>
            <w:tcBorders>
              <w:top w:val="single" w:sz="4" w:space="0" w:color="auto"/>
              <w:left w:val="nil"/>
              <w:bottom w:val="single" w:sz="8" w:space="0" w:color="auto"/>
              <w:right w:val="nil"/>
            </w:tcBorders>
            <w:shd w:val="clear" w:color="auto" w:fill="auto"/>
            <w:noWrap/>
            <w:vAlign w:val="center"/>
            <w:hideMark/>
          </w:tcPr>
          <w:p w14:paraId="733583A4"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4,217</w:t>
            </w:r>
          </w:p>
        </w:tc>
        <w:tc>
          <w:tcPr>
            <w:tcW w:w="618" w:type="dxa"/>
            <w:tcBorders>
              <w:top w:val="single" w:sz="4" w:space="0" w:color="auto"/>
              <w:left w:val="nil"/>
              <w:bottom w:val="single" w:sz="8" w:space="0" w:color="auto"/>
              <w:right w:val="nil"/>
            </w:tcBorders>
            <w:shd w:val="clear" w:color="auto" w:fill="auto"/>
            <w:noWrap/>
            <w:vAlign w:val="center"/>
            <w:hideMark/>
          </w:tcPr>
          <w:p w14:paraId="67081C3E"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4,029</w:t>
            </w:r>
          </w:p>
        </w:tc>
        <w:tc>
          <w:tcPr>
            <w:tcW w:w="618" w:type="dxa"/>
            <w:tcBorders>
              <w:top w:val="single" w:sz="4" w:space="0" w:color="auto"/>
              <w:left w:val="nil"/>
              <w:bottom w:val="single" w:sz="8" w:space="0" w:color="auto"/>
              <w:right w:val="nil"/>
            </w:tcBorders>
            <w:shd w:val="clear" w:color="auto" w:fill="auto"/>
            <w:noWrap/>
            <w:vAlign w:val="center"/>
            <w:hideMark/>
          </w:tcPr>
          <w:p w14:paraId="3D30657E"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4,056</w:t>
            </w:r>
          </w:p>
        </w:tc>
        <w:tc>
          <w:tcPr>
            <w:tcW w:w="618" w:type="dxa"/>
            <w:tcBorders>
              <w:top w:val="single" w:sz="4" w:space="0" w:color="auto"/>
              <w:left w:val="nil"/>
              <w:bottom w:val="single" w:sz="8" w:space="0" w:color="auto"/>
              <w:right w:val="nil"/>
            </w:tcBorders>
            <w:shd w:val="clear" w:color="auto" w:fill="auto"/>
            <w:noWrap/>
            <w:vAlign w:val="center"/>
            <w:hideMark/>
          </w:tcPr>
          <w:p w14:paraId="04B26CFE"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4,083</w:t>
            </w:r>
          </w:p>
        </w:tc>
        <w:tc>
          <w:tcPr>
            <w:tcW w:w="618" w:type="dxa"/>
            <w:tcBorders>
              <w:top w:val="single" w:sz="4" w:space="0" w:color="auto"/>
              <w:left w:val="nil"/>
              <w:bottom w:val="single" w:sz="8" w:space="0" w:color="auto"/>
              <w:right w:val="nil"/>
            </w:tcBorders>
            <w:shd w:val="clear" w:color="auto" w:fill="auto"/>
            <w:noWrap/>
            <w:vAlign w:val="center"/>
            <w:hideMark/>
          </w:tcPr>
          <w:p w14:paraId="4C0BF40F"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4,391</w:t>
            </w:r>
          </w:p>
        </w:tc>
        <w:tc>
          <w:tcPr>
            <w:tcW w:w="618" w:type="dxa"/>
            <w:tcBorders>
              <w:top w:val="single" w:sz="4" w:space="0" w:color="auto"/>
              <w:left w:val="nil"/>
              <w:bottom w:val="single" w:sz="8" w:space="0" w:color="auto"/>
              <w:right w:val="nil"/>
            </w:tcBorders>
            <w:shd w:val="clear" w:color="auto" w:fill="auto"/>
            <w:noWrap/>
            <w:vAlign w:val="center"/>
            <w:hideMark/>
          </w:tcPr>
          <w:p w14:paraId="019ECE9A"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4,352</w:t>
            </w:r>
          </w:p>
        </w:tc>
        <w:tc>
          <w:tcPr>
            <w:tcW w:w="618" w:type="dxa"/>
            <w:tcBorders>
              <w:top w:val="single" w:sz="4" w:space="0" w:color="auto"/>
              <w:left w:val="nil"/>
              <w:bottom w:val="single" w:sz="8" w:space="0" w:color="auto"/>
              <w:right w:val="nil"/>
            </w:tcBorders>
            <w:shd w:val="clear" w:color="auto" w:fill="auto"/>
            <w:noWrap/>
            <w:vAlign w:val="center"/>
            <w:hideMark/>
          </w:tcPr>
          <w:p w14:paraId="446893AE"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4,033</w:t>
            </w:r>
          </w:p>
        </w:tc>
        <w:tc>
          <w:tcPr>
            <w:tcW w:w="618" w:type="dxa"/>
            <w:tcBorders>
              <w:top w:val="single" w:sz="4" w:space="0" w:color="auto"/>
              <w:left w:val="nil"/>
              <w:bottom w:val="single" w:sz="8" w:space="0" w:color="auto"/>
              <w:right w:val="nil"/>
            </w:tcBorders>
            <w:shd w:val="clear" w:color="auto" w:fill="auto"/>
            <w:noWrap/>
            <w:vAlign w:val="center"/>
            <w:hideMark/>
          </w:tcPr>
          <w:p w14:paraId="7AF65AB7"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3,225</w:t>
            </w:r>
          </w:p>
        </w:tc>
        <w:tc>
          <w:tcPr>
            <w:tcW w:w="618" w:type="dxa"/>
            <w:tcBorders>
              <w:top w:val="single" w:sz="4" w:space="0" w:color="auto"/>
              <w:left w:val="nil"/>
              <w:bottom w:val="single" w:sz="8" w:space="0" w:color="auto"/>
              <w:right w:val="nil"/>
            </w:tcBorders>
            <w:shd w:val="clear" w:color="auto" w:fill="auto"/>
            <w:noWrap/>
            <w:vAlign w:val="center"/>
            <w:hideMark/>
          </w:tcPr>
          <w:p w14:paraId="58032859"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2,933</w:t>
            </w:r>
          </w:p>
        </w:tc>
      </w:tr>
      <w:tr w:rsidR="00626486" w:rsidRPr="00626486" w14:paraId="09577AE9" w14:textId="77777777" w:rsidTr="00626486">
        <w:trPr>
          <w:trHeight w:val="225"/>
        </w:trPr>
        <w:tc>
          <w:tcPr>
            <w:tcW w:w="960" w:type="dxa"/>
            <w:tcBorders>
              <w:top w:val="nil"/>
              <w:left w:val="nil"/>
              <w:bottom w:val="nil"/>
              <w:right w:val="nil"/>
            </w:tcBorders>
            <w:shd w:val="clear" w:color="auto" w:fill="auto"/>
            <w:noWrap/>
            <w:vAlign w:val="center"/>
            <w:hideMark/>
          </w:tcPr>
          <w:p w14:paraId="1EFB332D"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ABHK 0 data</w:t>
            </w:r>
          </w:p>
        </w:tc>
        <w:tc>
          <w:tcPr>
            <w:tcW w:w="618" w:type="dxa"/>
            <w:tcBorders>
              <w:top w:val="nil"/>
              <w:left w:val="nil"/>
              <w:bottom w:val="nil"/>
              <w:right w:val="nil"/>
            </w:tcBorders>
            <w:shd w:val="clear" w:color="auto" w:fill="auto"/>
            <w:noWrap/>
            <w:vAlign w:val="bottom"/>
            <w:hideMark/>
          </w:tcPr>
          <w:p w14:paraId="25E6F72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3020 (70%) </w:t>
            </w:r>
          </w:p>
        </w:tc>
        <w:tc>
          <w:tcPr>
            <w:tcW w:w="618" w:type="dxa"/>
            <w:tcBorders>
              <w:top w:val="nil"/>
              <w:left w:val="nil"/>
              <w:bottom w:val="nil"/>
              <w:right w:val="nil"/>
            </w:tcBorders>
            <w:shd w:val="clear" w:color="auto" w:fill="auto"/>
            <w:noWrap/>
            <w:vAlign w:val="bottom"/>
            <w:hideMark/>
          </w:tcPr>
          <w:p w14:paraId="28A54B2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3501 (70%) </w:t>
            </w:r>
          </w:p>
        </w:tc>
        <w:tc>
          <w:tcPr>
            <w:tcW w:w="618" w:type="dxa"/>
            <w:tcBorders>
              <w:top w:val="nil"/>
              <w:left w:val="nil"/>
              <w:bottom w:val="nil"/>
              <w:right w:val="nil"/>
            </w:tcBorders>
            <w:shd w:val="clear" w:color="auto" w:fill="auto"/>
            <w:noWrap/>
            <w:vAlign w:val="bottom"/>
            <w:hideMark/>
          </w:tcPr>
          <w:p w14:paraId="684197F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3885 (69%) </w:t>
            </w:r>
          </w:p>
        </w:tc>
        <w:tc>
          <w:tcPr>
            <w:tcW w:w="618" w:type="dxa"/>
            <w:tcBorders>
              <w:top w:val="nil"/>
              <w:left w:val="nil"/>
              <w:bottom w:val="nil"/>
              <w:right w:val="nil"/>
            </w:tcBorders>
            <w:shd w:val="clear" w:color="auto" w:fill="auto"/>
            <w:noWrap/>
            <w:vAlign w:val="bottom"/>
            <w:hideMark/>
          </w:tcPr>
          <w:p w14:paraId="376F0B4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4105 (66%) </w:t>
            </w:r>
          </w:p>
        </w:tc>
        <w:tc>
          <w:tcPr>
            <w:tcW w:w="618" w:type="dxa"/>
            <w:tcBorders>
              <w:top w:val="nil"/>
              <w:left w:val="nil"/>
              <w:bottom w:val="nil"/>
              <w:right w:val="nil"/>
            </w:tcBorders>
            <w:shd w:val="clear" w:color="auto" w:fill="auto"/>
            <w:noWrap/>
            <w:vAlign w:val="bottom"/>
            <w:hideMark/>
          </w:tcPr>
          <w:p w14:paraId="3A0FD5D8"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3719 (63%) </w:t>
            </w:r>
          </w:p>
        </w:tc>
        <w:tc>
          <w:tcPr>
            <w:tcW w:w="618" w:type="dxa"/>
            <w:tcBorders>
              <w:top w:val="nil"/>
              <w:left w:val="nil"/>
              <w:bottom w:val="nil"/>
              <w:right w:val="nil"/>
            </w:tcBorders>
            <w:shd w:val="clear" w:color="auto" w:fill="auto"/>
            <w:noWrap/>
            <w:vAlign w:val="bottom"/>
            <w:hideMark/>
          </w:tcPr>
          <w:p w14:paraId="0C8B8468"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3393 (61%) </w:t>
            </w:r>
          </w:p>
        </w:tc>
        <w:tc>
          <w:tcPr>
            <w:tcW w:w="618" w:type="dxa"/>
            <w:tcBorders>
              <w:top w:val="nil"/>
              <w:left w:val="nil"/>
              <w:bottom w:val="nil"/>
              <w:right w:val="nil"/>
            </w:tcBorders>
            <w:shd w:val="clear" w:color="auto" w:fill="auto"/>
            <w:noWrap/>
            <w:vAlign w:val="bottom"/>
            <w:hideMark/>
          </w:tcPr>
          <w:p w14:paraId="5F63417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3215 (60%) </w:t>
            </w:r>
          </w:p>
        </w:tc>
        <w:tc>
          <w:tcPr>
            <w:tcW w:w="618" w:type="dxa"/>
            <w:tcBorders>
              <w:top w:val="nil"/>
              <w:left w:val="nil"/>
              <w:bottom w:val="nil"/>
              <w:right w:val="nil"/>
            </w:tcBorders>
            <w:shd w:val="clear" w:color="auto" w:fill="auto"/>
            <w:noWrap/>
            <w:vAlign w:val="bottom"/>
            <w:hideMark/>
          </w:tcPr>
          <w:p w14:paraId="7DD2D76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3097 (58%) </w:t>
            </w:r>
          </w:p>
        </w:tc>
        <w:tc>
          <w:tcPr>
            <w:tcW w:w="618" w:type="dxa"/>
            <w:tcBorders>
              <w:top w:val="nil"/>
              <w:left w:val="nil"/>
              <w:bottom w:val="nil"/>
              <w:right w:val="nil"/>
            </w:tcBorders>
            <w:shd w:val="clear" w:color="auto" w:fill="auto"/>
            <w:noWrap/>
            <w:vAlign w:val="bottom"/>
            <w:hideMark/>
          </w:tcPr>
          <w:p w14:paraId="1C9E899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3086 (58%) </w:t>
            </w:r>
          </w:p>
        </w:tc>
        <w:tc>
          <w:tcPr>
            <w:tcW w:w="618" w:type="dxa"/>
            <w:tcBorders>
              <w:top w:val="nil"/>
              <w:left w:val="nil"/>
              <w:bottom w:val="nil"/>
              <w:right w:val="nil"/>
            </w:tcBorders>
            <w:shd w:val="clear" w:color="auto" w:fill="auto"/>
            <w:noWrap/>
            <w:vAlign w:val="bottom"/>
            <w:hideMark/>
          </w:tcPr>
          <w:p w14:paraId="0910895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2956 (57%) </w:t>
            </w:r>
          </w:p>
        </w:tc>
        <w:tc>
          <w:tcPr>
            <w:tcW w:w="618" w:type="dxa"/>
            <w:tcBorders>
              <w:top w:val="nil"/>
              <w:left w:val="nil"/>
              <w:bottom w:val="nil"/>
              <w:right w:val="nil"/>
            </w:tcBorders>
            <w:shd w:val="clear" w:color="auto" w:fill="auto"/>
            <w:noWrap/>
            <w:vAlign w:val="bottom"/>
            <w:hideMark/>
          </w:tcPr>
          <w:p w14:paraId="5A70DC1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2851 (56%) </w:t>
            </w:r>
          </w:p>
        </w:tc>
        <w:tc>
          <w:tcPr>
            <w:tcW w:w="618" w:type="dxa"/>
            <w:tcBorders>
              <w:top w:val="nil"/>
              <w:left w:val="nil"/>
              <w:bottom w:val="nil"/>
              <w:right w:val="nil"/>
            </w:tcBorders>
            <w:shd w:val="clear" w:color="auto" w:fill="auto"/>
            <w:noWrap/>
            <w:vAlign w:val="bottom"/>
            <w:hideMark/>
          </w:tcPr>
          <w:p w14:paraId="36B92FC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2704 (56%) </w:t>
            </w:r>
          </w:p>
        </w:tc>
        <w:tc>
          <w:tcPr>
            <w:tcW w:w="618" w:type="dxa"/>
            <w:tcBorders>
              <w:top w:val="nil"/>
              <w:left w:val="nil"/>
              <w:bottom w:val="nil"/>
              <w:right w:val="nil"/>
            </w:tcBorders>
            <w:shd w:val="clear" w:color="auto" w:fill="auto"/>
            <w:noWrap/>
            <w:vAlign w:val="bottom"/>
            <w:hideMark/>
          </w:tcPr>
          <w:p w14:paraId="7969FC8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2537 (55%) </w:t>
            </w:r>
          </w:p>
        </w:tc>
        <w:tc>
          <w:tcPr>
            <w:tcW w:w="618" w:type="dxa"/>
            <w:tcBorders>
              <w:top w:val="nil"/>
              <w:left w:val="nil"/>
              <w:bottom w:val="nil"/>
              <w:right w:val="nil"/>
            </w:tcBorders>
            <w:shd w:val="clear" w:color="auto" w:fill="auto"/>
            <w:noWrap/>
            <w:vAlign w:val="bottom"/>
            <w:hideMark/>
          </w:tcPr>
          <w:p w14:paraId="720A3CE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2519 (55%) </w:t>
            </w:r>
          </w:p>
        </w:tc>
        <w:tc>
          <w:tcPr>
            <w:tcW w:w="618" w:type="dxa"/>
            <w:tcBorders>
              <w:top w:val="nil"/>
              <w:left w:val="nil"/>
              <w:bottom w:val="nil"/>
              <w:right w:val="nil"/>
            </w:tcBorders>
            <w:shd w:val="clear" w:color="auto" w:fill="auto"/>
            <w:noWrap/>
            <w:vAlign w:val="bottom"/>
            <w:hideMark/>
          </w:tcPr>
          <w:p w14:paraId="0DCE8298"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2482 (54%) </w:t>
            </w:r>
          </w:p>
        </w:tc>
        <w:tc>
          <w:tcPr>
            <w:tcW w:w="618" w:type="dxa"/>
            <w:tcBorders>
              <w:top w:val="nil"/>
              <w:left w:val="nil"/>
              <w:bottom w:val="nil"/>
              <w:right w:val="nil"/>
            </w:tcBorders>
            <w:shd w:val="clear" w:color="auto" w:fill="auto"/>
            <w:noWrap/>
            <w:vAlign w:val="bottom"/>
            <w:hideMark/>
          </w:tcPr>
          <w:p w14:paraId="4674C8A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2457 (53%) </w:t>
            </w:r>
          </w:p>
        </w:tc>
        <w:tc>
          <w:tcPr>
            <w:tcW w:w="618" w:type="dxa"/>
            <w:tcBorders>
              <w:top w:val="nil"/>
              <w:left w:val="nil"/>
              <w:bottom w:val="nil"/>
              <w:right w:val="nil"/>
            </w:tcBorders>
            <w:shd w:val="clear" w:color="auto" w:fill="auto"/>
            <w:noWrap/>
            <w:vAlign w:val="bottom"/>
            <w:hideMark/>
          </w:tcPr>
          <w:p w14:paraId="09417FF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2331 (52%) </w:t>
            </w:r>
          </w:p>
        </w:tc>
        <w:tc>
          <w:tcPr>
            <w:tcW w:w="618" w:type="dxa"/>
            <w:tcBorders>
              <w:top w:val="nil"/>
              <w:left w:val="nil"/>
              <w:bottom w:val="nil"/>
              <w:right w:val="nil"/>
            </w:tcBorders>
            <w:shd w:val="clear" w:color="auto" w:fill="auto"/>
            <w:noWrap/>
            <w:vAlign w:val="bottom"/>
            <w:hideMark/>
          </w:tcPr>
          <w:p w14:paraId="30D5DD8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2214 (50%) </w:t>
            </w:r>
          </w:p>
        </w:tc>
        <w:tc>
          <w:tcPr>
            <w:tcW w:w="618" w:type="dxa"/>
            <w:tcBorders>
              <w:top w:val="nil"/>
              <w:left w:val="nil"/>
              <w:bottom w:val="nil"/>
              <w:right w:val="nil"/>
            </w:tcBorders>
            <w:shd w:val="clear" w:color="auto" w:fill="auto"/>
            <w:noWrap/>
            <w:vAlign w:val="bottom"/>
            <w:hideMark/>
          </w:tcPr>
          <w:p w14:paraId="17A1290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2109 (50%) </w:t>
            </w:r>
          </w:p>
        </w:tc>
        <w:tc>
          <w:tcPr>
            <w:tcW w:w="618" w:type="dxa"/>
            <w:tcBorders>
              <w:top w:val="nil"/>
              <w:left w:val="nil"/>
              <w:bottom w:val="nil"/>
              <w:right w:val="nil"/>
            </w:tcBorders>
            <w:shd w:val="clear" w:color="auto" w:fill="auto"/>
            <w:noWrap/>
            <w:vAlign w:val="bottom"/>
            <w:hideMark/>
          </w:tcPr>
          <w:p w14:paraId="1CAF3A2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1969 (50%) </w:t>
            </w:r>
          </w:p>
        </w:tc>
      </w:tr>
      <w:tr w:rsidR="00626486" w:rsidRPr="00626486" w14:paraId="6DBBDE20" w14:textId="77777777" w:rsidTr="00626486">
        <w:trPr>
          <w:trHeight w:val="225"/>
        </w:trPr>
        <w:tc>
          <w:tcPr>
            <w:tcW w:w="960" w:type="dxa"/>
            <w:tcBorders>
              <w:top w:val="nil"/>
              <w:left w:val="nil"/>
              <w:bottom w:val="nil"/>
              <w:right w:val="nil"/>
            </w:tcBorders>
            <w:shd w:val="clear" w:color="auto" w:fill="auto"/>
            <w:noWrap/>
            <w:vAlign w:val="center"/>
            <w:hideMark/>
          </w:tcPr>
          <w:p w14:paraId="7C12F6B6"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ABHK 1 data</w:t>
            </w:r>
          </w:p>
        </w:tc>
        <w:tc>
          <w:tcPr>
            <w:tcW w:w="618" w:type="dxa"/>
            <w:tcBorders>
              <w:top w:val="nil"/>
              <w:left w:val="nil"/>
              <w:bottom w:val="nil"/>
              <w:right w:val="nil"/>
            </w:tcBorders>
            <w:shd w:val="clear" w:color="auto" w:fill="auto"/>
            <w:noWrap/>
            <w:vAlign w:val="bottom"/>
            <w:hideMark/>
          </w:tcPr>
          <w:p w14:paraId="7E8F9B8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69 (2%) </w:t>
            </w:r>
          </w:p>
        </w:tc>
        <w:tc>
          <w:tcPr>
            <w:tcW w:w="618" w:type="dxa"/>
            <w:tcBorders>
              <w:top w:val="nil"/>
              <w:left w:val="nil"/>
              <w:bottom w:val="nil"/>
              <w:right w:val="nil"/>
            </w:tcBorders>
            <w:shd w:val="clear" w:color="auto" w:fill="auto"/>
            <w:noWrap/>
            <w:vAlign w:val="bottom"/>
            <w:hideMark/>
          </w:tcPr>
          <w:p w14:paraId="664F5EB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79 (2%) </w:t>
            </w:r>
          </w:p>
        </w:tc>
        <w:tc>
          <w:tcPr>
            <w:tcW w:w="618" w:type="dxa"/>
            <w:tcBorders>
              <w:top w:val="nil"/>
              <w:left w:val="nil"/>
              <w:bottom w:val="nil"/>
              <w:right w:val="nil"/>
            </w:tcBorders>
            <w:shd w:val="clear" w:color="auto" w:fill="auto"/>
            <w:noWrap/>
            <w:vAlign w:val="bottom"/>
            <w:hideMark/>
          </w:tcPr>
          <w:p w14:paraId="0DF275D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78 (1%) </w:t>
            </w:r>
          </w:p>
        </w:tc>
        <w:tc>
          <w:tcPr>
            <w:tcW w:w="618" w:type="dxa"/>
            <w:tcBorders>
              <w:top w:val="nil"/>
              <w:left w:val="nil"/>
              <w:bottom w:val="nil"/>
              <w:right w:val="nil"/>
            </w:tcBorders>
            <w:shd w:val="clear" w:color="auto" w:fill="auto"/>
            <w:noWrap/>
            <w:vAlign w:val="bottom"/>
            <w:hideMark/>
          </w:tcPr>
          <w:p w14:paraId="29A08D2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96 (2%) </w:t>
            </w:r>
          </w:p>
        </w:tc>
        <w:tc>
          <w:tcPr>
            <w:tcW w:w="618" w:type="dxa"/>
            <w:tcBorders>
              <w:top w:val="nil"/>
              <w:left w:val="nil"/>
              <w:bottom w:val="nil"/>
              <w:right w:val="nil"/>
            </w:tcBorders>
            <w:shd w:val="clear" w:color="auto" w:fill="auto"/>
            <w:noWrap/>
            <w:vAlign w:val="bottom"/>
            <w:hideMark/>
          </w:tcPr>
          <w:p w14:paraId="0F530FC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78 (1%) </w:t>
            </w:r>
          </w:p>
        </w:tc>
        <w:tc>
          <w:tcPr>
            <w:tcW w:w="618" w:type="dxa"/>
            <w:tcBorders>
              <w:top w:val="nil"/>
              <w:left w:val="nil"/>
              <w:bottom w:val="nil"/>
              <w:right w:val="nil"/>
            </w:tcBorders>
            <w:shd w:val="clear" w:color="auto" w:fill="auto"/>
            <w:noWrap/>
            <w:vAlign w:val="bottom"/>
            <w:hideMark/>
          </w:tcPr>
          <w:p w14:paraId="0090B7C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92 (2%) </w:t>
            </w:r>
          </w:p>
        </w:tc>
        <w:tc>
          <w:tcPr>
            <w:tcW w:w="618" w:type="dxa"/>
            <w:tcBorders>
              <w:top w:val="nil"/>
              <w:left w:val="nil"/>
              <w:bottom w:val="nil"/>
              <w:right w:val="nil"/>
            </w:tcBorders>
            <w:shd w:val="clear" w:color="auto" w:fill="auto"/>
            <w:noWrap/>
            <w:vAlign w:val="bottom"/>
            <w:hideMark/>
          </w:tcPr>
          <w:p w14:paraId="4AE83F5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105 (2%) </w:t>
            </w:r>
          </w:p>
        </w:tc>
        <w:tc>
          <w:tcPr>
            <w:tcW w:w="618" w:type="dxa"/>
            <w:tcBorders>
              <w:top w:val="nil"/>
              <w:left w:val="nil"/>
              <w:bottom w:val="nil"/>
              <w:right w:val="nil"/>
            </w:tcBorders>
            <w:shd w:val="clear" w:color="auto" w:fill="auto"/>
            <w:noWrap/>
            <w:vAlign w:val="bottom"/>
            <w:hideMark/>
          </w:tcPr>
          <w:p w14:paraId="4AD3B158"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98 (2%) </w:t>
            </w:r>
          </w:p>
        </w:tc>
        <w:tc>
          <w:tcPr>
            <w:tcW w:w="618" w:type="dxa"/>
            <w:tcBorders>
              <w:top w:val="nil"/>
              <w:left w:val="nil"/>
              <w:bottom w:val="nil"/>
              <w:right w:val="nil"/>
            </w:tcBorders>
            <w:shd w:val="clear" w:color="auto" w:fill="auto"/>
            <w:noWrap/>
            <w:vAlign w:val="bottom"/>
            <w:hideMark/>
          </w:tcPr>
          <w:p w14:paraId="36476B1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100 (2%) </w:t>
            </w:r>
          </w:p>
        </w:tc>
        <w:tc>
          <w:tcPr>
            <w:tcW w:w="618" w:type="dxa"/>
            <w:tcBorders>
              <w:top w:val="nil"/>
              <w:left w:val="nil"/>
              <w:bottom w:val="nil"/>
              <w:right w:val="nil"/>
            </w:tcBorders>
            <w:shd w:val="clear" w:color="auto" w:fill="auto"/>
            <w:noWrap/>
            <w:vAlign w:val="bottom"/>
            <w:hideMark/>
          </w:tcPr>
          <w:p w14:paraId="6CE511D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98 (2%) </w:t>
            </w:r>
          </w:p>
        </w:tc>
        <w:tc>
          <w:tcPr>
            <w:tcW w:w="618" w:type="dxa"/>
            <w:tcBorders>
              <w:top w:val="nil"/>
              <w:left w:val="nil"/>
              <w:bottom w:val="nil"/>
              <w:right w:val="nil"/>
            </w:tcBorders>
            <w:shd w:val="clear" w:color="auto" w:fill="auto"/>
            <w:noWrap/>
            <w:vAlign w:val="bottom"/>
            <w:hideMark/>
          </w:tcPr>
          <w:p w14:paraId="2AE9A0C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94 (2%) </w:t>
            </w:r>
          </w:p>
        </w:tc>
        <w:tc>
          <w:tcPr>
            <w:tcW w:w="618" w:type="dxa"/>
            <w:tcBorders>
              <w:top w:val="nil"/>
              <w:left w:val="nil"/>
              <w:bottom w:val="nil"/>
              <w:right w:val="nil"/>
            </w:tcBorders>
            <w:shd w:val="clear" w:color="auto" w:fill="auto"/>
            <w:noWrap/>
            <w:vAlign w:val="bottom"/>
            <w:hideMark/>
          </w:tcPr>
          <w:p w14:paraId="5FC98C9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99 (2%) </w:t>
            </w:r>
          </w:p>
        </w:tc>
        <w:tc>
          <w:tcPr>
            <w:tcW w:w="618" w:type="dxa"/>
            <w:tcBorders>
              <w:top w:val="nil"/>
              <w:left w:val="nil"/>
              <w:bottom w:val="nil"/>
              <w:right w:val="nil"/>
            </w:tcBorders>
            <w:shd w:val="clear" w:color="auto" w:fill="auto"/>
            <w:noWrap/>
            <w:vAlign w:val="bottom"/>
            <w:hideMark/>
          </w:tcPr>
          <w:p w14:paraId="522373B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87 (2%) </w:t>
            </w:r>
          </w:p>
        </w:tc>
        <w:tc>
          <w:tcPr>
            <w:tcW w:w="618" w:type="dxa"/>
            <w:tcBorders>
              <w:top w:val="nil"/>
              <w:left w:val="nil"/>
              <w:bottom w:val="nil"/>
              <w:right w:val="nil"/>
            </w:tcBorders>
            <w:shd w:val="clear" w:color="auto" w:fill="auto"/>
            <w:noWrap/>
            <w:vAlign w:val="bottom"/>
            <w:hideMark/>
          </w:tcPr>
          <w:p w14:paraId="351A2A4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90 (2%) </w:t>
            </w:r>
          </w:p>
        </w:tc>
        <w:tc>
          <w:tcPr>
            <w:tcW w:w="618" w:type="dxa"/>
            <w:tcBorders>
              <w:top w:val="nil"/>
              <w:left w:val="nil"/>
              <w:bottom w:val="nil"/>
              <w:right w:val="nil"/>
            </w:tcBorders>
            <w:shd w:val="clear" w:color="auto" w:fill="auto"/>
            <w:noWrap/>
            <w:vAlign w:val="bottom"/>
            <w:hideMark/>
          </w:tcPr>
          <w:p w14:paraId="47D51C5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92 (2%) </w:t>
            </w:r>
          </w:p>
        </w:tc>
        <w:tc>
          <w:tcPr>
            <w:tcW w:w="618" w:type="dxa"/>
            <w:tcBorders>
              <w:top w:val="nil"/>
              <w:left w:val="nil"/>
              <w:bottom w:val="nil"/>
              <w:right w:val="nil"/>
            </w:tcBorders>
            <w:shd w:val="clear" w:color="auto" w:fill="auto"/>
            <w:noWrap/>
            <w:vAlign w:val="bottom"/>
            <w:hideMark/>
          </w:tcPr>
          <w:p w14:paraId="55AC3B8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96 (2%) </w:t>
            </w:r>
          </w:p>
        </w:tc>
        <w:tc>
          <w:tcPr>
            <w:tcW w:w="618" w:type="dxa"/>
            <w:tcBorders>
              <w:top w:val="nil"/>
              <w:left w:val="nil"/>
              <w:bottom w:val="nil"/>
              <w:right w:val="nil"/>
            </w:tcBorders>
            <w:shd w:val="clear" w:color="auto" w:fill="auto"/>
            <w:noWrap/>
            <w:vAlign w:val="bottom"/>
            <w:hideMark/>
          </w:tcPr>
          <w:p w14:paraId="4B7547D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94 (2%) </w:t>
            </w:r>
          </w:p>
        </w:tc>
        <w:tc>
          <w:tcPr>
            <w:tcW w:w="618" w:type="dxa"/>
            <w:tcBorders>
              <w:top w:val="nil"/>
              <w:left w:val="nil"/>
              <w:bottom w:val="nil"/>
              <w:right w:val="nil"/>
            </w:tcBorders>
            <w:shd w:val="clear" w:color="auto" w:fill="auto"/>
            <w:noWrap/>
            <w:vAlign w:val="bottom"/>
            <w:hideMark/>
          </w:tcPr>
          <w:p w14:paraId="6D51149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94 (2%) </w:t>
            </w:r>
          </w:p>
        </w:tc>
        <w:tc>
          <w:tcPr>
            <w:tcW w:w="618" w:type="dxa"/>
            <w:tcBorders>
              <w:top w:val="nil"/>
              <w:left w:val="nil"/>
              <w:bottom w:val="nil"/>
              <w:right w:val="nil"/>
            </w:tcBorders>
            <w:shd w:val="clear" w:color="auto" w:fill="auto"/>
            <w:noWrap/>
            <w:vAlign w:val="bottom"/>
            <w:hideMark/>
          </w:tcPr>
          <w:p w14:paraId="5A8F9B6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76 (2%) </w:t>
            </w:r>
          </w:p>
        </w:tc>
        <w:tc>
          <w:tcPr>
            <w:tcW w:w="618" w:type="dxa"/>
            <w:tcBorders>
              <w:top w:val="nil"/>
              <w:left w:val="nil"/>
              <w:bottom w:val="nil"/>
              <w:right w:val="nil"/>
            </w:tcBorders>
            <w:shd w:val="clear" w:color="auto" w:fill="auto"/>
            <w:noWrap/>
            <w:vAlign w:val="bottom"/>
            <w:hideMark/>
          </w:tcPr>
          <w:p w14:paraId="5249A13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62 (2%) </w:t>
            </w:r>
          </w:p>
        </w:tc>
      </w:tr>
      <w:tr w:rsidR="00626486" w:rsidRPr="00626486" w14:paraId="16FAA56A" w14:textId="77777777" w:rsidTr="00626486">
        <w:trPr>
          <w:trHeight w:val="225"/>
        </w:trPr>
        <w:tc>
          <w:tcPr>
            <w:tcW w:w="960" w:type="dxa"/>
            <w:tcBorders>
              <w:top w:val="nil"/>
              <w:left w:val="nil"/>
              <w:bottom w:val="nil"/>
              <w:right w:val="nil"/>
            </w:tcBorders>
            <w:shd w:val="clear" w:color="auto" w:fill="auto"/>
            <w:noWrap/>
            <w:vAlign w:val="center"/>
            <w:hideMark/>
          </w:tcPr>
          <w:p w14:paraId="5B457593"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ABHK 2 data</w:t>
            </w:r>
          </w:p>
        </w:tc>
        <w:tc>
          <w:tcPr>
            <w:tcW w:w="618" w:type="dxa"/>
            <w:tcBorders>
              <w:top w:val="nil"/>
              <w:left w:val="nil"/>
              <w:bottom w:val="nil"/>
              <w:right w:val="nil"/>
            </w:tcBorders>
            <w:shd w:val="clear" w:color="auto" w:fill="auto"/>
            <w:noWrap/>
            <w:vAlign w:val="bottom"/>
            <w:hideMark/>
          </w:tcPr>
          <w:p w14:paraId="12BC5D4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567 (13%) </w:t>
            </w:r>
          </w:p>
        </w:tc>
        <w:tc>
          <w:tcPr>
            <w:tcW w:w="618" w:type="dxa"/>
            <w:tcBorders>
              <w:top w:val="nil"/>
              <w:left w:val="nil"/>
              <w:bottom w:val="nil"/>
              <w:right w:val="nil"/>
            </w:tcBorders>
            <w:shd w:val="clear" w:color="auto" w:fill="auto"/>
            <w:noWrap/>
            <w:vAlign w:val="bottom"/>
            <w:hideMark/>
          </w:tcPr>
          <w:p w14:paraId="5F53FEB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620 (12%) </w:t>
            </w:r>
          </w:p>
        </w:tc>
        <w:tc>
          <w:tcPr>
            <w:tcW w:w="618" w:type="dxa"/>
            <w:tcBorders>
              <w:top w:val="nil"/>
              <w:left w:val="nil"/>
              <w:bottom w:val="nil"/>
              <w:right w:val="nil"/>
            </w:tcBorders>
            <w:shd w:val="clear" w:color="auto" w:fill="auto"/>
            <w:noWrap/>
            <w:vAlign w:val="bottom"/>
            <w:hideMark/>
          </w:tcPr>
          <w:p w14:paraId="346028C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718 (13%) </w:t>
            </w:r>
          </w:p>
        </w:tc>
        <w:tc>
          <w:tcPr>
            <w:tcW w:w="618" w:type="dxa"/>
            <w:tcBorders>
              <w:top w:val="nil"/>
              <w:left w:val="nil"/>
              <w:bottom w:val="nil"/>
              <w:right w:val="nil"/>
            </w:tcBorders>
            <w:shd w:val="clear" w:color="auto" w:fill="auto"/>
            <w:noWrap/>
            <w:vAlign w:val="bottom"/>
            <w:hideMark/>
          </w:tcPr>
          <w:p w14:paraId="6808E96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829 (13%) </w:t>
            </w:r>
          </w:p>
        </w:tc>
        <w:tc>
          <w:tcPr>
            <w:tcW w:w="618" w:type="dxa"/>
            <w:tcBorders>
              <w:top w:val="nil"/>
              <w:left w:val="nil"/>
              <w:bottom w:val="nil"/>
              <w:right w:val="nil"/>
            </w:tcBorders>
            <w:shd w:val="clear" w:color="auto" w:fill="auto"/>
            <w:noWrap/>
            <w:vAlign w:val="bottom"/>
            <w:hideMark/>
          </w:tcPr>
          <w:p w14:paraId="38EFEEF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862 (15%) </w:t>
            </w:r>
          </w:p>
        </w:tc>
        <w:tc>
          <w:tcPr>
            <w:tcW w:w="618" w:type="dxa"/>
            <w:tcBorders>
              <w:top w:val="nil"/>
              <w:left w:val="nil"/>
              <w:bottom w:val="nil"/>
              <w:right w:val="nil"/>
            </w:tcBorders>
            <w:shd w:val="clear" w:color="auto" w:fill="auto"/>
            <w:noWrap/>
            <w:vAlign w:val="bottom"/>
            <w:hideMark/>
          </w:tcPr>
          <w:p w14:paraId="67AF309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855 (15%) </w:t>
            </w:r>
          </w:p>
        </w:tc>
        <w:tc>
          <w:tcPr>
            <w:tcW w:w="618" w:type="dxa"/>
            <w:tcBorders>
              <w:top w:val="nil"/>
              <w:left w:val="nil"/>
              <w:bottom w:val="nil"/>
              <w:right w:val="nil"/>
            </w:tcBorders>
            <w:shd w:val="clear" w:color="auto" w:fill="auto"/>
            <w:noWrap/>
            <w:vAlign w:val="bottom"/>
            <w:hideMark/>
          </w:tcPr>
          <w:p w14:paraId="46E7761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841 (16%) </w:t>
            </w:r>
          </w:p>
        </w:tc>
        <w:tc>
          <w:tcPr>
            <w:tcW w:w="618" w:type="dxa"/>
            <w:tcBorders>
              <w:top w:val="nil"/>
              <w:left w:val="nil"/>
              <w:bottom w:val="nil"/>
              <w:right w:val="nil"/>
            </w:tcBorders>
            <w:shd w:val="clear" w:color="auto" w:fill="auto"/>
            <w:noWrap/>
            <w:vAlign w:val="bottom"/>
            <w:hideMark/>
          </w:tcPr>
          <w:p w14:paraId="38AAC99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847 (16%) </w:t>
            </w:r>
          </w:p>
        </w:tc>
        <w:tc>
          <w:tcPr>
            <w:tcW w:w="618" w:type="dxa"/>
            <w:tcBorders>
              <w:top w:val="nil"/>
              <w:left w:val="nil"/>
              <w:bottom w:val="nil"/>
              <w:right w:val="nil"/>
            </w:tcBorders>
            <w:shd w:val="clear" w:color="auto" w:fill="auto"/>
            <w:noWrap/>
            <w:vAlign w:val="bottom"/>
            <w:hideMark/>
          </w:tcPr>
          <w:p w14:paraId="0B039EC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834 (16%) </w:t>
            </w:r>
          </w:p>
        </w:tc>
        <w:tc>
          <w:tcPr>
            <w:tcW w:w="618" w:type="dxa"/>
            <w:tcBorders>
              <w:top w:val="nil"/>
              <w:left w:val="nil"/>
              <w:bottom w:val="nil"/>
              <w:right w:val="nil"/>
            </w:tcBorders>
            <w:shd w:val="clear" w:color="auto" w:fill="auto"/>
            <w:noWrap/>
            <w:vAlign w:val="bottom"/>
            <w:hideMark/>
          </w:tcPr>
          <w:p w14:paraId="24EE659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802 (15%) </w:t>
            </w:r>
          </w:p>
        </w:tc>
        <w:tc>
          <w:tcPr>
            <w:tcW w:w="618" w:type="dxa"/>
            <w:tcBorders>
              <w:top w:val="nil"/>
              <w:left w:val="nil"/>
              <w:bottom w:val="nil"/>
              <w:right w:val="nil"/>
            </w:tcBorders>
            <w:shd w:val="clear" w:color="auto" w:fill="auto"/>
            <w:noWrap/>
            <w:vAlign w:val="bottom"/>
            <w:hideMark/>
          </w:tcPr>
          <w:p w14:paraId="68BB7DD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770 (15%) </w:t>
            </w:r>
          </w:p>
        </w:tc>
        <w:tc>
          <w:tcPr>
            <w:tcW w:w="618" w:type="dxa"/>
            <w:tcBorders>
              <w:top w:val="nil"/>
              <w:left w:val="nil"/>
              <w:bottom w:val="nil"/>
              <w:right w:val="nil"/>
            </w:tcBorders>
            <w:shd w:val="clear" w:color="auto" w:fill="auto"/>
            <w:noWrap/>
            <w:vAlign w:val="bottom"/>
            <w:hideMark/>
          </w:tcPr>
          <w:p w14:paraId="7BD8495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735 (15%) </w:t>
            </w:r>
          </w:p>
        </w:tc>
        <w:tc>
          <w:tcPr>
            <w:tcW w:w="618" w:type="dxa"/>
            <w:tcBorders>
              <w:top w:val="nil"/>
              <w:left w:val="nil"/>
              <w:bottom w:val="nil"/>
              <w:right w:val="nil"/>
            </w:tcBorders>
            <w:shd w:val="clear" w:color="auto" w:fill="auto"/>
            <w:noWrap/>
            <w:vAlign w:val="bottom"/>
            <w:hideMark/>
          </w:tcPr>
          <w:p w14:paraId="3383A34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691 (15%) </w:t>
            </w:r>
          </w:p>
        </w:tc>
        <w:tc>
          <w:tcPr>
            <w:tcW w:w="618" w:type="dxa"/>
            <w:tcBorders>
              <w:top w:val="nil"/>
              <w:left w:val="nil"/>
              <w:bottom w:val="nil"/>
              <w:right w:val="nil"/>
            </w:tcBorders>
            <w:shd w:val="clear" w:color="auto" w:fill="auto"/>
            <w:noWrap/>
            <w:vAlign w:val="bottom"/>
            <w:hideMark/>
          </w:tcPr>
          <w:p w14:paraId="5C1C4FB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679 (15%) </w:t>
            </w:r>
          </w:p>
        </w:tc>
        <w:tc>
          <w:tcPr>
            <w:tcW w:w="618" w:type="dxa"/>
            <w:tcBorders>
              <w:top w:val="nil"/>
              <w:left w:val="nil"/>
              <w:bottom w:val="nil"/>
              <w:right w:val="nil"/>
            </w:tcBorders>
            <w:shd w:val="clear" w:color="auto" w:fill="auto"/>
            <w:noWrap/>
            <w:vAlign w:val="bottom"/>
            <w:hideMark/>
          </w:tcPr>
          <w:p w14:paraId="452BB0D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697 (15%) </w:t>
            </w:r>
          </w:p>
        </w:tc>
        <w:tc>
          <w:tcPr>
            <w:tcW w:w="618" w:type="dxa"/>
            <w:tcBorders>
              <w:top w:val="nil"/>
              <w:left w:val="nil"/>
              <w:bottom w:val="nil"/>
              <w:right w:val="nil"/>
            </w:tcBorders>
            <w:shd w:val="clear" w:color="auto" w:fill="auto"/>
            <w:noWrap/>
            <w:vAlign w:val="bottom"/>
            <w:hideMark/>
          </w:tcPr>
          <w:p w14:paraId="382B33B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700 (15%) </w:t>
            </w:r>
          </w:p>
        </w:tc>
        <w:tc>
          <w:tcPr>
            <w:tcW w:w="618" w:type="dxa"/>
            <w:tcBorders>
              <w:top w:val="nil"/>
              <w:left w:val="nil"/>
              <w:bottom w:val="nil"/>
              <w:right w:val="nil"/>
            </w:tcBorders>
            <w:shd w:val="clear" w:color="auto" w:fill="auto"/>
            <w:noWrap/>
            <w:vAlign w:val="bottom"/>
            <w:hideMark/>
          </w:tcPr>
          <w:p w14:paraId="6C6CD67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706 (16%) </w:t>
            </w:r>
          </w:p>
        </w:tc>
        <w:tc>
          <w:tcPr>
            <w:tcW w:w="618" w:type="dxa"/>
            <w:tcBorders>
              <w:top w:val="nil"/>
              <w:left w:val="nil"/>
              <w:bottom w:val="nil"/>
              <w:right w:val="nil"/>
            </w:tcBorders>
            <w:shd w:val="clear" w:color="auto" w:fill="auto"/>
            <w:noWrap/>
            <w:vAlign w:val="bottom"/>
            <w:hideMark/>
          </w:tcPr>
          <w:p w14:paraId="266D6AC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674 (15%) </w:t>
            </w:r>
          </w:p>
        </w:tc>
        <w:tc>
          <w:tcPr>
            <w:tcW w:w="618" w:type="dxa"/>
            <w:tcBorders>
              <w:top w:val="nil"/>
              <w:left w:val="nil"/>
              <w:bottom w:val="nil"/>
              <w:right w:val="nil"/>
            </w:tcBorders>
            <w:shd w:val="clear" w:color="auto" w:fill="auto"/>
            <w:noWrap/>
            <w:vAlign w:val="bottom"/>
            <w:hideMark/>
          </w:tcPr>
          <w:p w14:paraId="4EA6276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602 (14%) </w:t>
            </w:r>
          </w:p>
        </w:tc>
        <w:tc>
          <w:tcPr>
            <w:tcW w:w="618" w:type="dxa"/>
            <w:tcBorders>
              <w:top w:val="nil"/>
              <w:left w:val="nil"/>
              <w:bottom w:val="nil"/>
              <w:right w:val="nil"/>
            </w:tcBorders>
            <w:shd w:val="clear" w:color="auto" w:fill="auto"/>
            <w:noWrap/>
            <w:vAlign w:val="bottom"/>
            <w:hideMark/>
          </w:tcPr>
          <w:p w14:paraId="5741EBA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559 (14%) </w:t>
            </w:r>
          </w:p>
        </w:tc>
      </w:tr>
      <w:tr w:rsidR="00626486" w:rsidRPr="00626486" w14:paraId="1ED289ED" w14:textId="77777777" w:rsidTr="00626486">
        <w:trPr>
          <w:trHeight w:val="225"/>
        </w:trPr>
        <w:tc>
          <w:tcPr>
            <w:tcW w:w="960" w:type="dxa"/>
            <w:tcBorders>
              <w:top w:val="nil"/>
              <w:left w:val="nil"/>
              <w:bottom w:val="nil"/>
              <w:right w:val="nil"/>
            </w:tcBorders>
            <w:shd w:val="clear" w:color="auto" w:fill="auto"/>
            <w:noWrap/>
            <w:vAlign w:val="center"/>
            <w:hideMark/>
          </w:tcPr>
          <w:p w14:paraId="28A88004"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ABHK 3 data</w:t>
            </w:r>
          </w:p>
        </w:tc>
        <w:tc>
          <w:tcPr>
            <w:tcW w:w="618" w:type="dxa"/>
            <w:tcBorders>
              <w:top w:val="nil"/>
              <w:left w:val="nil"/>
              <w:bottom w:val="nil"/>
              <w:right w:val="nil"/>
            </w:tcBorders>
            <w:shd w:val="clear" w:color="auto" w:fill="auto"/>
            <w:noWrap/>
            <w:vAlign w:val="bottom"/>
            <w:hideMark/>
          </w:tcPr>
          <w:p w14:paraId="6343EF3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395 (9%) </w:t>
            </w:r>
          </w:p>
        </w:tc>
        <w:tc>
          <w:tcPr>
            <w:tcW w:w="618" w:type="dxa"/>
            <w:tcBorders>
              <w:top w:val="nil"/>
              <w:left w:val="nil"/>
              <w:bottom w:val="nil"/>
              <w:right w:val="nil"/>
            </w:tcBorders>
            <w:shd w:val="clear" w:color="auto" w:fill="auto"/>
            <w:noWrap/>
            <w:vAlign w:val="bottom"/>
            <w:hideMark/>
          </w:tcPr>
          <w:p w14:paraId="403E1CE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471 (9%) </w:t>
            </w:r>
          </w:p>
        </w:tc>
        <w:tc>
          <w:tcPr>
            <w:tcW w:w="618" w:type="dxa"/>
            <w:tcBorders>
              <w:top w:val="nil"/>
              <w:left w:val="nil"/>
              <w:bottom w:val="nil"/>
              <w:right w:val="nil"/>
            </w:tcBorders>
            <w:shd w:val="clear" w:color="auto" w:fill="auto"/>
            <w:noWrap/>
            <w:vAlign w:val="bottom"/>
            <w:hideMark/>
          </w:tcPr>
          <w:p w14:paraId="29E79BA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537 (9%) </w:t>
            </w:r>
          </w:p>
        </w:tc>
        <w:tc>
          <w:tcPr>
            <w:tcW w:w="618" w:type="dxa"/>
            <w:tcBorders>
              <w:top w:val="nil"/>
              <w:left w:val="nil"/>
              <w:bottom w:val="nil"/>
              <w:right w:val="nil"/>
            </w:tcBorders>
            <w:shd w:val="clear" w:color="auto" w:fill="auto"/>
            <w:noWrap/>
            <w:vAlign w:val="bottom"/>
            <w:hideMark/>
          </w:tcPr>
          <w:p w14:paraId="354BA91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610 (10%) </w:t>
            </w:r>
          </w:p>
        </w:tc>
        <w:tc>
          <w:tcPr>
            <w:tcW w:w="618" w:type="dxa"/>
            <w:tcBorders>
              <w:top w:val="nil"/>
              <w:left w:val="nil"/>
              <w:bottom w:val="nil"/>
              <w:right w:val="nil"/>
            </w:tcBorders>
            <w:shd w:val="clear" w:color="auto" w:fill="auto"/>
            <w:noWrap/>
            <w:vAlign w:val="bottom"/>
            <w:hideMark/>
          </w:tcPr>
          <w:p w14:paraId="32A3AE0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610 (10%) </w:t>
            </w:r>
          </w:p>
        </w:tc>
        <w:tc>
          <w:tcPr>
            <w:tcW w:w="618" w:type="dxa"/>
            <w:tcBorders>
              <w:top w:val="nil"/>
              <w:left w:val="nil"/>
              <w:bottom w:val="nil"/>
              <w:right w:val="nil"/>
            </w:tcBorders>
            <w:shd w:val="clear" w:color="auto" w:fill="auto"/>
            <w:noWrap/>
            <w:vAlign w:val="bottom"/>
            <w:hideMark/>
          </w:tcPr>
          <w:p w14:paraId="4C57287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580 (10%) </w:t>
            </w:r>
          </w:p>
        </w:tc>
        <w:tc>
          <w:tcPr>
            <w:tcW w:w="618" w:type="dxa"/>
            <w:tcBorders>
              <w:top w:val="nil"/>
              <w:left w:val="nil"/>
              <w:bottom w:val="nil"/>
              <w:right w:val="nil"/>
            </w:tcBorders>
            <w:shd w:val="clear" w:color="auto" w:fill="auto"/>
            <w:noWrap/>
            <w:vAlign w:val="bottom"/>
            <w:hideMark/>
          </w:tcPr>
          <w:p w14:paraId="46B9323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576 (11%) </w:t>
            </w:r>
          </w:p>
        </w:tc>
        <w:tc>
          <w:tcPr>
            <w:tcW w:w="618" w:type="dxa"/>
            <w:tcBorders>
              <w:top w:val="nil"/>
              <w:left w:val="nil"/>
              <w:bottom w:val="nil"/>
              <w:right w:val="nil"/>
            </w:tcBorders>
            <w:shd w:val="clear" w:color="auto" w:fill="auto"/>
            <w:noWrap/>
            <w:vAlign w:val="bottom"/>
            <w:hideMark/>
          </w:tcPr>
          <w:p w14:paraId="49C8CDB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614 (12%) </w:t>
            </w:r>
          </w:p>
        </w:tc>
        <w:tc>
          <w:tcPr>
            <w:tcW w:w="618" w:type="dxa"/>
            <w:tcBorders>
              <w:top w:val="nil"/>
              <w:left w:val="nil"/>
              <w:bottom w:val="nil"/>
              <w:right w:val="nil"/>
            </w:tcBorders>
            <w:shd w:val="clear" w:color="auto" w:fill="auto"/>
            <w:noWrap/>
            <w:vAlign w:val="bottom"/>
            <w:hideMark/>
          </w:tcPr>
          <w:p w14:paraId="3788958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578 (11%) </w:t>
            </w:r>
          </w:p>
        </w:tc>
        <w:tc>
          <w:tcPr>
            <w:tcW w:w="618" w:type="dxa"/>
            <w:tcBorders>
              <w:top w:val="nil"/>
              <w:left w:val="nil"/>
              <w:bottom w:val="nil"/>
              <w:right w:val="nil"/>
            </w:tcBorders>
            <w:shd w:val="clear" w:color="auto" w:fill="auto"/>
            <w:noWrap/>
            <w:vAlign w:val="bottom"/>
            <w:hideMark/>
          </w:tcPr>
          <w:p w14:paraId="0DDC86A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571 (11%) </w:t>
            </w:r>
          </w:p>
        </w:tc>
        <w:tc>
          <w:tcPr>
            <w:tcW w:w="618" w:type="dxa"/>
            <w:tcBorders>
              <w:top w:val="nil"/>
              <w:left w:val="nil"/>
              <w:bottom w:val="nil"/>
              <w:right w:val="nil"/>
            </w:tcBorders>
            <w:shd w:val="clear" w:color="auto" w:fill="auto"/>
            <w:noWrap/>
            <w:vAlign w:val="bottom"/>
            <w:hideMark/>
          </w:tcPr>
          <w:p w14:paraId="60257F4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551 (11%) </w:t>
            </w:r>
          </w:p>
        </w:tc>
        <w:tc>
          <w:tcPr>
            <w:tcW w:w="618" w:type="dxa"/>
            <w:tcBorders>
              <w:top w:val="nil"/>
              <w:left w:val="nil"/>
              <w:bottom w:val="nil"/>
              <w:right w:val="nil"/>
            </w:tcBorders>
            <w:shd w:val="clear" w:color="auto" w:fill="auto"/>
            <w:noWrap/>
            <w:vAlign w:val="bottom"/>
            <w:hideMark/>
          </w:tcPr>
          <w:p w14:paraId="1990371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519 (11%) </w:t>
            </w:r>
          </w:p>
        </w:tc>
        <w:tc>
          <w:tcPr>
            <w:tcW w:w="618" w:type="dxa"/>
            <w:tcBorders>
              <w:top w:val="nil"/>
              <w:left w:val="nil"/>
              <w:bottom w:val="nil"/>
              <w:right w:val="nil"/>
            </w:tcBorders>
            <w:shd w:val="clear" w:color="auto" w:fill="auto"/>
            <w:noWrap/>
            <w:vAlign w:val="bottom"/>
            <w:hideMark/>
          </w:tcPr>
          <w:p w14:paraId="4C9D0EB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508 (11%) </w:t>
            </w:r>
          </w:p>
        </w:tc>
        <w:tc>
          <w:tcPr>
            <w:tcW w:w="618" w:type="dxa"/>
            <w:tcBorders>
              <w:top w:val="nil"/>
              <w:left w:val="nil"/>
              <w:bottom w:val="nil"/>
              <w:right w:val="nil"/>
            </w:tcBorders>
            <w:shd w:val="clear" w:color="auto" w:fill="auto"/>
            <w:noWrap/>
            <w:vAlign w:val="bottom"/>
            <w:hideMark/>
          </w:tcPr>
          <w:p w14:paraId="404B762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493 (11%) </w:t>
            </w:r>
          </w:p>
        </w:tc>
        <w:tc>
          <w:tcPr>
            <w:tcW w:w="618" w:type="dxa"/>
            <w:tcBorders>
              <w:top w:val="nil"/>
              <w:left w:val="nil"/>
              <w:bottom w:val="nil"/>
              <w:right w:val="nil"/>
            </w:tcBorders>
            <w:shd w:val="clear" w:color="auto" w:fill="auto"/>
            <w:noWrap/>
            <w:vAlign w:val="bottom"/>
            <w:hideMark/>
          </w:tcPr>
          <w:p w14:paraId="29FF811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478 (10%) </w:t>
            </w:r>
          </w:p>
        </w:tc>
        <w:tc>
          <w:tcPr>
            <w:tcW w:w="618" w:type="dxa"/>
            <w:tcBorders>
              <w:top w:val="nil"/>
              <w:left w:val="nil"/>
              <w:bottom w:val="nil"/>
              <w:right w:val="nil"/>
            </w:tcBorders>
            <w:shd w:val="clear" w:color="auto" w:fill="auto"/>
            <w:noWrap/>
            <w:vAlign w:val="bottom"/>
            <w:hideMark/>
          </w:tcPr>
          <w:p w14:paraId="4A07420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462 (10%) </w:t>
            </w:r>
          </w:p>
        </w:tc>
        <w:tc>
          <w:tcPr>
            <w:tcW w:w="618" w:type="dxa"/>
            <w:tcBorders>
              <w:top w:val="nil"/>
              <w:left w:val="nil"/>
              <w:bottom w:val="nil"/>
              <w:right w:val="nil"/>
            </w:tcBorders>
            <w:shd w:val="clear" w:color="auto" w:fill="auto"/>
            <w:noWrap/>
            <w:vAlign w:val="bottom"/>
            <w:hideMark/>
          </w:tcPr>
          <w:p w14:paraId="137D63C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469 (10%) </w:t>
            </w:r>
          </w:p>
        </w:tc>
        <w:tc>
          <w:tcPr>
            <w:tcW w:w="618" w:type="dxa"/>
            <w:tcBorders>
              <w:top w:val="nil"/>
              <w:left w:val="nil"/>
              <w:bottom w:val="nil"/>
              <w:right w:val="nil"/>
            </w:tcBorders>
            <w:shd w:val="clear" w:color="auto" w:fill="auto"/>
            <w:noWrap/>
            <w:vAlign w:val="bottom"/>
            <w:hideMark/>
          </w:tcPr>
          <w:p w14:paraId="4C6ABE6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480 (11%) </w:t>
            </w:r>
          </w:p>
        </w:tc>
        <w:tc>
          <w:tcPr>
            <w:tcW w:w="618" w:type="dxa"/>
            <w:tcBorders>
              <w:top w:val="nil"/>
              <w:left w:val="nil"/>
              <w:bottom w:val="nil"/>
              <w:right w:val="nil"/>
            </w:tcBorders>
            <w:shd w:val="clear" w:color="auto" w:fill="auto"/>
            <w:noWrap/>
            <w:vAlign w:val="bottom"/>
            <w:hideMark/>
          </w:tcPr>
          <w:p w14:paraId="3618980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469 (11%) </w:t>
            </w:r>
          </w:p>
        </w:tc>
        <w:tc>
          <w:tcPr>
            <w:tcW w:w="618" w:type="dxa"/>
            <w:tcBorders>
              <w:top w:val="nil"/>
              <w:left w:val="nil"/>
              <w:bottom w:val="nil"/>
              <w:right w:val="nil"/>
            </w:tcBorders>
            <w:shd w:val="clear" w:color="auto" w:fill="auto"/>
            <w:noWrap/>
            <w:vAlign w:val="bottom"/>
            <w:hideMark/>
          </w:tcPr>
          <w:p w14:paraId="688DB12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439 (11%) </w:t>
            </w:r>
          </w:p>
        </w:tc>
      </w:tr>
      <w:tr w:rsidR="00626486" w:rsidRPr="00626486" w14:paraId="65376436" w14:textId="77777777" w:rsidTr="00626486">
        <w:trPr>
          <w:trHeight w:val="225"/>
        </w:trPr>
        <w:tc>
          <w:tcPr>
            <w:tcW w:w="960" w:type="dxa"/>
            <w:tcBorders>
              <w:top w:val="nil"/>
              <w:left w:val="nil"/>
              <w:bottom w:val="nil"/>
              <w:right w:val="nil"/>
            </w:tcBorders>
            <w:shd w:val="clear" w:color="auto" w:fill="auto"/>
            <w:noWrap/>
            <w:vAlign w:val="center"/>
            <w:hideMark/>
          </w:tcPr>
          <w:p w14:paraId="0E0211A2"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ABHK 4 data</w:t>
            </w:r>
          </w:p>
        </w:tc>
        <w:tc>
          <w:tcPr>
            <w:tcW w:w="618" w:type="dxa"/>
            <w:tcBorders>
              <w:top w:val="nil"/>
              <w:left w:val="nil"/>
              <w:bottom w:val="nil"/>
              <w:right w:val="nil"/>
            </w:tcBorders>
            <w:shd w:val="clear" w:color="auto" w:fill="auto"/>
            <w:noWrap/>
            <w:vAlign w:val="bottom"/>
            <w:hideMark/>
          </w:tcPr>
          <w:p w14:paraId="006B20B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158 (4%) </w:t>
            </w:r>
          </w:p>
        </w:tc>
        <w:tc>
          <w:tcPr>
            <w:tcW w:w="618" w:type="dxa"/>
            <w:tcBorders>
              <w:top w:val="nil"/>
              <w:left w:val="nil"/>
              <w:bottom w:val="nil"/>
              <w:right w:val="nil"/>
            </w:tcBorders>
            <w:shd w:val="clear" w:color="auto" w:fill="auto"/>
            <w:noWrap/>
            <w:vAlign w:val="bottom"/>
            <w:hideMark/>
          </w:tcPr>
          <w:p w14:paraId="28D39E9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194 (4%) </w:t>
            </w:r>
          </w:p>
        </w:tc>
        <w:tc>
          <w:tcPr>
            <w:tcW w:w="618" w:type="dxa"/>
            <w:tcBorders>
              <w:top w:val="nil"/>
              <w:left w:val="nil"/>
              <w:bottom w:val="nil"/>
              <w:right w:val="nil"/>
            </w:tcBorders>
            <w:shd w:val="clear" w:color="auto" w:fill="auto"/>
            <w:noWrap/>
            <w:vAlign w:val="bottom"/>
            <w:hideMark/>
          </w:tcPr>
          <w:p w14:paraId="59770B7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264 (5%) </w:t>
            </w:r>
          </w:p>
        </w:tc>
        <w:tc>
          <w:tcPr>
            <w:tcW w:w="618" w:type="dxa"/>
            <w:tcBorders>
              <w:top w:val="nil"/>
              <w:left w:val="nil"/>
              <w:bottom w:val="nil"/>
              <w:right w:val="nil"/>
            </w:tcBorders>
            <w:shd w:val="clear" w:color="auto" w:fill="auto"/>
            <w:noWrap/>
            <w:vAlign w:val="bottom"/>
            <w:hideMark/>
          </w:tcPr>
          <w:p w14:paraId="46FF19E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324 (5%) </w:t>
            </w:r>
          </w:p>
        </w:tc>
        <w:tc>
          <w:tcPr>
            <w:tcW w:w="618" w:type="dxa"/>
            <w:tcBorders>
              <w:top w:val="nil"/>
              <w:left w:val="nil"/>
              <w:bottom w:val="nil"/>
              <w:right w:val="nil"/>
            </w:tcBorders>
            <w:shd w:val="clear" w:color="auto" w:fill="auto"/>
            <w:noWrap/>
            <w:vAlign w:val="bottom"/>
            <w:hideMark/>
          </w:tcPr>
          <w:p w14:paraId="439169E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339 (6%) </w:t>
            </w:r>
          </w:p>
        </w:tc>
        <w:tc>
          <w:tcPr>
            <w:tcW w:w="618" w:type="dxa"/>
            <w:tcBorders>
              <w:top w:val="nil"/>
              <w:left w:val="nil"/>
              <w:bottom w:val="nil"/>
              <w:right w:val="nil"/>
            </w:tcBorders>
            <w:shd w:val="clear" w:color="auto" w:fill="auto"/>
            <w:noWrap/>
            <w:vAlign w:val="bottom"/>
            <w:hideMark/>
          </w:tcPr>
          <w:p w14:paraId="3C991C4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348 (6%) </w:t>
            </w:r>
          </w:p>
        </w:tc>
        <w:tc>
          <w:tcPr>
            <w:tcW w:w="618" w:type="dxa"/>
            <w:tcBorders>
              <w:top w:val="nil"/>
              <w:left w:val="nil"/>
              <w:bottom w:val="nil"/>
              <w:right w:val="nil"/>
            </w:tcBorders>
            <w:shd w:val="clear" w:color="auto" w:fill="auto"/>
            <w:noWrap/>
            <w:vAlign w:val="bottom"/>
            <w:hideMark/>
          </w:tcPr>
          <w:p w14:paraId="58DEF40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368 (7%) </w:t>
            </w:r>
          </w:p>
        </w:tc>
        <w:tc>
          <w:tcPr>
            <w:tcW w:w="618" w:type="dxa"/>
            <w:tcBorders>
              <w:top w:val="nil"/>
              <w:left w:val="nil"/>
              <w:bottom w:val="nil"/>
              <w:right w:val="nil"/>
            </w:tcBorders>
            <w:shd w:val="clear" w:color="auto" w:fill="auto"/>
            <w:noWrap/>
            <w:vAlign w:val="bottom"/>
            <w:hideMark/>
          </w:tcPr>
          <w:p w14:paraId="7C44DD1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381 (7%) </w:t>
            </w:r>
          </w:p>
        </w:tc>
        <w:tc>
          <w:tcPr>
            <w:tcW w:w="618" w:type="dxa"/>
            <w:tcBorders>
              <w:top w:val="nil"/>
              <w:left w:val="nil"/>
              <w:bottom w:val="nil"/>
              <w:right w:val="nil"/>
            </w:tcBorders>
            <w:shd w:val="clear" w:color="auto" w:fill="auto"/>
            <w:noWrap/>
            <w:vAlign w:val="bottom"/>
            <w:hideMark/>
          </w:tcPr>
          <w:p w14:paraId="78E3147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380 (7%) </w:t>
            </w:r>
          </w:p>
        </w:tc>
        <w:tc>
          <w:tcPr>
            <w:tcW w:w="618" w:type="dxa"/>
            <w:tcBorders>
              <w:top w:val="nil"/>
              <w:left w:val="nil"/>
              <w:bottom w:val="nil"/>
              <w:right w:val="nil"/>
            </w:tcBorders>
            <w:shd w:val="clear" w:color="auto" w:fill="auto"/>
            <w:noWrap/>
            <w:vAlign w:val="bottom"/>
            <w:hideMark/>
          </w:tcPr>
          <w:p w14:paraId="3A96354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404 (8%) </w:t>
            </w:r>
          </w:p>
        </w:tc>
        <w:tc>
          <w:tcPr>
            <w:tcW w:w="618" w:type="dxa"/>
            <w:tcBorders>
              <w:top w:val="nil"/>
              <w:left w:val="nil"/>
              <w:bottom w:val="nil"/>
              <w:right w:val="nil"/>
            </w:tcBorders>
            <w:shd w:val="clear" w:color="auto" w:fill="auto"/>
            <w:noWrap/>
            <w:vAlign w:val="bottom"/>
            <w:hideMark/>
          </w:tcPr>
          <w:p w14:paraId="2F861F3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413 (8%) </w:t>
            </w:r>
          </w:p>
        </w:tc>
        <w:tc>
          <w:tcPr>
            <w:tcW w:w="618" w:type="dxa"/>
            <w:tcBorders>
              <w:top w:val="nil"/>
              <w:left w:val="nil"/>
              <w:bottom w:val="nil"/>
              <w:right w:val="nil"/>
            </w:tcBorders>
            <w:shd w:val="clear" w:color="auto" w:fill="auto"/>
            <w:noWrap/>
            <w:vAlign w:val="bottom"/>
            <w:hideMark/>
          </w:tcPr>
          <w:p w14:paraId="476731B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431 (9%) </w:t>
            </w:r>
          </w:p>
        </w:tc>
        <w:tc>
          <w:tcPr>
            <w:tcW w:w="618" w:type="dxa"/>
            <w:tcBorders>
              <w:top w:val="nil"/>
              <w:left w:val="nil"/>
              <w:bottom w:val="nil"/>
              <w:right w:val="nil"/>
            </w:tcBorders>
            <w:shd w:val="clear" w:color="auto" w:fill="auto"/>
            <w:noWrap/>
            <w:vAlign w:val="bottom"/>
            <w:hideMark/>
          </w:tcPr>
          <w:p w14:paraId="5CEB9CB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413 (9%) </w:t>
            </w:r>
          </w:p>
        </w:tc>
        <w:tc>
          <w:tcPr>
            <w:tcW w:w="618" w:type="dxa"/>
            <w:tcBorders>
              <w:top w:val="nil"/>
              <w:left w:val="nil"/>
              <w:bottom w:val="nil"/>
              <w:right w:val="nil"/>
            </w:tcBorders>
            <w:shd w:val="clear" w:color="auto" w:fill="auto"/>
            <w:noWrap/>
            <w:vAlign w:val="bottom"/>
            <w:hideMark/>
          </w:tcPr>
          <w:p w14:paraId="55E8D54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409 (9%) </w:t>
            </w:r>
          </w:p>
        </w:tc>
        <w:tc>
          <w:tcPr>
            <w:tcW w:w="618" w:type="dxa"/>
            <w:tcBorders>
              <w:top w:val="nil"/>
              <w:left w:val="nil"/>
              <w:bottom w:val="nil"/>
              <w:right w:val="nil"/>
            </w:tcBorders>
            <w:shd w:val="clear" w:color="auto" w:fill="auto"/>
            <w:noWrap/>
            <w:vAlign w:val="bottom"/>
            <w:hideMark/>
          </w:tcPr>
          <w:p w14:paraId="604ADDB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413 (9%) </w:t>
            </w:r>
          </w:p>
        </w:tc>
        <w:tc>
          <w:tcPr>
            <w:tcW w:w="618" w:type="dxa"/>
            <w:tcBorders>
              <w:top w:val="nil"/>
              <w:left w:val="nil"/>
              <w:bottom w:val="nil"/>
              <w:right w:val="nil"/>
            </w:tcBorders>
            <w:shd w:val="clear" w:color="auto" w:fill="auto"/>
            <w:noWrap/>
            <w:vAlign w:val="bottom"/>
            <w:hideMark/>
          </w:tcPr>
          <w:p w14:paraId="3329401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425 (9%) </w:t>
            </w:r>
          </w:p>
        </w:tc>
        <w:tc>
          <w:tcPr>
            <w:tcW w:w="618" w:type="dxa"/>
            <w:tcBorders>
              <w:top w:val="nil"/>
              <w:left w:val="nil"/>
              <w:bottom w:val="nil"/>
              <w:right w:val="nil"/>
            </w:tcBorders>
            <w:shd w:val="clear" w:color="auto" w:fill="auto"/>
            <w:noWrap/>
            <w:vAlign w:val="bottom"/>
            <w:hideMark/>
          </w:tcPr>
          <w:p w14:paraId="508BFD6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412 (9%) </w:t>
            </w:r>
          </w:p>
        </w:tc>
        <w:tc>
          <w:tcPr>
            <w:tcW w:w="618" w:type="dxa"/>
            <w:tcBorders>
              <w:top w:val="nil"/>
              <w:left w:val="nil"/>
              <w:bottom w:val="nil"/>
              <w:right w:val="nil"/>
            </w:tcBorders>
            <w:shd w:val="clear" w:color="auto" w:fill="auto"/>
            <w:noWrap/>
            <w:vAlign w:val="bottom"/>
            <w:hideMark/>
          </w:tcPr>
          <w:p w14:paraId="2584625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408 (9%) </w:t>
            </w:r>
          </w:p>
        </w:tc>
        <w:tc>
          <w:tcPr>
            <w:tcW w:w="618" w:type="dxa"/>
            <w:tcBorders>
              <w:top w:val="nil"/>
              <w:left w:val="nil"/>
              <w:bottom w:val="nil"/>
              <w:right w:val="nil"/>
            </w:tcBorders>
            <w:shd w:val="clear" w:color="auto" w:fill="auto"/>
            <w:noWrap/>
            <w:vAlign w:val="bottom"/>
            <w:hideMark/>
          </w:tcPr>
          <w:p w14:paraId="62BD2687"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409 (10%) </w:t>
            </w:r>
          </w:p>
        </w:tc>
        <w:tc>
          <w:tcPr>
            <w:tcW w:w="618" w:type="dxa"/>
            <w:tcBorders>
              <w:top w:val="nil"/>
              <w:left w:val="nil"/>
              <w:bottom w:val="nil"/>
              <w:right w:val="nil"/>
            </w:tcBorders>
            <w:shd w:val="clear" w:color="auto" w:fill="auto"/>
            <w:noWrap/>
            <w:vAlign w:val="bottom"/>
            <w:hideMark/>
          </w:tcPr>
          <w:p w14:paraId="0D7BE61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376 (10%) </w:t>
            </w:r>
          </w:p>
        </w:tc>
      </w:tr>
      <w:tr w:rsidR="00626486" w:rsidRPr="00626486" w14:paraId="5383B4DE" w14:textId="77777777" w:rsidTr="00626486">
        <w:trPr>
          <w:trHeight w:val="225"/>
        </w:trPr>
        <w:tc>
          <w:tcPr>
            <w:tcW w:w="960" w:type="dxa"/>
            <w:tcBorders>
              <w:top w:val="nil"/>
              <w:left w:val="nil"/>
              <w:bottom w:val="nil"/>
              <w:right w:val="nil"/>
            </w:tcBorders>
            <w:shd w:val="clear" w:color="auto" w:fill="auto"/>
            <w:noWrap/>
            <w:vAlign w:val="center"/>
            <w:hideMark/>
          </w:tcPr>
          <w:p w14:paraId="190C539F"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ABHK 5 data</w:t>
            </w:r>
          </w:p>
        </w:tc>
        <w:tc>
          <w:tcPr>
            <w:tcW w:w="618" w:type="dxa"/>
            <w:tcBorders>
              <w:top w:val="nil"/>
              <w:left w:val="nil"/>
              <w:bottom w:val="nil"/>
              <w:right w:val="nil"/>
            </w:tcBorders>
            <w:shd w:val="clear" w:color="auto" w:fill="auto"/>
            <w:noWrap/>
            <w:vAlign w:val="bottom"/>
            <w:hideMark/>
          </w:tcPr>
          <w:p w14:paraId="08F0B2B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86 (2%) </w:t>
            </w:r>
          </w:p>
        </w:tc>
        <w:tc>
          <w:tcPr>
            <w:tcW w:w="618" w:type="dxa"/>
            <w:tcBorders>
              <w:top w:val="nil"/>
              <w:left w:val="nil"/>
              <w:bottom w:val="nil"/>
              <w:right w:val="nil"/>
            </w:tcBorders>
            <w:shd w:val="clear" w:color="auto" w:fill="auto"/>
            <w:noWrap/>
            <w:vAlign w:val="bottom"/>
            <w:hideMark/>
          </w:tcPr>
          <w:p w14:paraId="1505A41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97 (2%) </w:t>
            </w:r>
          </w:p>
        </w:tc>
        <w:tc>
          <w:tcPr>
            <w:tcW w:w="618" w:type="dxa"/>
            <w:tcBorders>
              <w:top w:val="nil"/>
              <w:left w:val="nil"/>
              <w:bottom w:val="nil"/>
              <w:right w:val="nil"/>
            </w:tcBorders>
            <w:shd w:val="clear" w:color="auto" w:fill="auto"/>
            <w:noWrap/>
            <w:vAlign w:val="bottom"/>
            <w:hideMark/>
          </w:tcPr>
          <w:p w14:paraId="1474353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123 (2%) </w:t>
            </w:r>
          </w:p>
        </w:tc>
        <w:tc>
          <w:tcPr>
            <w:tcW w:w="618" w:type="dxa"/>
            <w:tcBorders>
              <w:top w:val="nil"/>
              <w:left w:val="nil"/>
              <w:bottom w:val="nil"/>
              <w:right w:val="nil"/>
            </w:tcBorders>
            <w:shd w:val="clear" w:color="auto" w:fill="auto"/>
            <w:noWrap/>
            <w:vAlign w:val="bottom"/>
            <w:hideMark/>
          </w:tcPr>
          <w:p w14:paraId="492A16F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175 (3%) </w:t>
            </w:r>
          </w:p>
        </w:tc>
        <w:tc>
          <w:tcPr>
            <w:tcW w:w="618" w:type="dxa"/>
            <w:tcBorders>
              <w:top w:val="nil"/>
              <w:left w:val="nil"/>
              <w:bottom w:val="nil"/>
              <w:right w:val="nil"/>
            </w:tcBorders>
            <w:shd w:val="clear" w:color="auto" w:fill="auto"/>
            <w:noWrap/>
            <w:vAlign w:val="bottom"/>
            <w:hideMark/>
          </w:tcPr>
          <w:p w14:paraId="6EBF93A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183 (3%) </w:t>
            </w:r>
          </w:p>
        </w:tc>
        <w:tc>
          <w:tcPr>
            <w:tcW w:w="618" w:type="dxa"/>
            <w:tcBorders>
              <w:top w:val="nil"/>
              <w:left w:val="nil"/>
              <w:bottom w:val="nil"/>
              <w:right w:val="nil"/>
            </w:tcBorders>
            <w:shd w:val="clear" w:color="auto" w:fill="auto"/>
            <w:noWrap/>
            <w:vAlign w:val="bottom"/>
            <w:hideMark/>
          </w:tcPr>
          <w:p w14:paraId="468FBDDD"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195 (4%) </w:t>
            </w:r>
          </w:p>
        </w:tc>
        <w:tc>
          <w:tcPr>
            <w:tcW w:w="618" w:type="dxa"/>
            <w:tcBorders>
              <w:top w:val="nil"/>
              <w:left w:val="nil"/>
              <w:bottom w:val="nil"/>
              <w:right w:val="nil"/>
            </w:tcBorders>
            <w:shd w:val="clear" w:color="auto" w:fill="auto"/>
            <w:noWrap/>
            <w:vAlign w:val="bottom"/>
            <w:hideMark/>
          </w:tcPr>
          <w:p w14:paraId="1373A59F"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212 (4%) </w:t>
            </w:r>
          </w:p>
        </w:tc>
        <w:tc>
          <w:tcPr>
            <w:tcW w:w="618" w:type="dxa"/>
            <w:tcBorders>
              <w:top w:val="nil"/>
              <w:left w:val="nil"/>
              <w:bottom w:val="nil"/>
              <w:right w:val="nil"/>
            </w:tcBorders>
            <w:shd w:val="clear" w:color="auto" w:fill="auto"/>
            <w:noWrap/>
            <w:vAlign w:val="bottom"/>
            <w:hideMark/>
          </w:tcPr>
          <w:p w14:paraId="56A5928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197 (4%) </w:t>
            </w:r>
          </w:p>
        </w:tc>
        <w:tc>
          <w:tcPr>
            <w:tcW w:w="618" w:type="dxa"/>
            <w:tcBorders>
              <w:top w:val="nil"/>
              <w:left w:val="nil"/>
              <w:bottom w:val="nil"/>
              <w:right w:val="nil"/>
            </w:tcBorders>
            <w:shd w:val="clear" w:color="auto" w:fill="auto"/>
            <w:noWrap/>
            <w:vAlign w:val="bottom"/>
            <w:hideMark/>
          </w:tcPr>
          <w:p w14:paraId="28F3807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236 (4%) </w:t>
            </w:r>
          </w:p>
        </w:tc>
        <w:tc>
          <w:tcPr>
            <w:tcW w:w="618" w:type="dxa"/>
            <w:tcBorders>
              <w:top w:val="nil"/>
              <w:left w:val="nil"/>
              <w:bottom w:val="nil"/>
              <w:right w:val="nil"/>
            </w:tcBorders>
            <w:shd w:val="clear" w:color="auto" w:fill="auto"/>
            <w:noWrap/>
            <w:vAlign w:val="bottom"/>
            <w:hideMark/>
          </w:tcPr>
          <w:p w14:paraId="20932D6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253 (5%) </w:t>
            </w:r>
          </w:p>
        </w:tc>
        <w:tc>
          <w:tcPr>
            <w:tcW w:w="618" w:type="dxa"/>
            <w:tcBorders>
              <w:top w:val="nil"/>
              <w:left w:val="nil"/>
              <w:bottom w:val="nil"/>
              <w:right w:val="nil"/>
            </w:tcBorders>
            <w:shd w:val="clear" w:color="auto" w:fill="auto"/>
            <w:noWrap/>
            <w:vAlign w:val="bottom"/>
            <w:hideMark/>
          </w:tcPr>
          <w:p w14:paraId="494133F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249 (5%) </w:t>
            </w:r>
          </w:p>
        </w:tc>
        <w:tc>
          <w:tcPr>
            <w:tcW w:w="618" w:type="dxa"/>
            <w:tcBorders>
              <w:top w:val="nil"/>
              <w:left w:val="nil"/>
              <w:bottom w:val="nil"/>
              <w:right w:val="nil"/>
            </w:tcBorders>
            <w:shd w:val="clear" w:color="auto" w:fill="auto"/>
            <w:noWrap/>
            <w:vAlign w:val="bottom"/>
            <w:hideMark/>
          </w:tcPr>
          <w:p w14:paraId="65734E0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246 (5%) </w:t>
            </w:r>
          </w:p>
        </w:tc>
        <w:tc>
          <w:tcPr>
            <w:tcW w:w="618" w:type="dxa"/>
            <w:tcBorders>
              <w:top w:val="nil"/>
              <w:left w:val="nil"/>
              <w:bottom w:val="nil"/>
              <w:right w:val="nil"/>
            </w:tcBorders>
            <w:shd w:val="clear" w:color="auto" w:fill="auto"/>
            <w:noWrap/>
            <w:vAlign w:val="bottom"/>
            <w:hideMark/>
          </w:tcPr>
          <w:p w14:paraId="1384CDA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258 (6%) </w:t>
            </w:r>
          </w:p>
        </w:tc>
        <w:tc>
          <w:tcPr>
            <w:tcW w:w="618" w:type="dxa"/>
            <w:tcBorders>
              <w:top w:val="nil"/>
              <w:left w:val="nil"/>
              <w:bottom w:val="nil"/>
              <w:right w:val="nil"/>
            </w:tcBorders>
            <w:shd w:val="clear" w:color="auto" w:fill="auto"/>
            <w:noWrap/>
            <w:vAlign w:val="bottom"/>
            <w:hideMark/>
          </w:tcPr>
          <w:p w14:paraId="68D1CC6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280 (6%) </w:t>
            </w:r>
          </w:p>
        </w:tc>
        <w:tc>
          <w:tcPr>
            <w:tcW w:w="618" w:type="dxa"/>
            <w:tcBorders>
              <w:top w:val="nil"/>
              <w:left w:val="nil"/>
              <w:bottom w:val="nil"/>
              <w:right w:val="nil"/>
            </w:tcBorders>
            <w:shd w:val="clear" w:color="auto" w:fill="auto"/>
            <w:noWrap/>
            <w:vAlign w:val="bottom"/>
            <w:hideMark/>
          </w:tcPr>
          <w:p w14:paraId="539BF56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277 (6%) </w:t>
            </w:r>
          </w:p>
        </w:tc>
        <w:tc>
          <w:tcPr>
            <w:tcW w:w="618" w:type="dxa"/>
            <w:tcBorders>
              <w:top w:val="nil"/>
              <w:left w:val="nil"/>
              <w:bottom w:val="nil"/>
              <w:right w:val="nil"/>
            </w:tcBorders>
            <w:shd w:val="clear" w:color="auto" w:fill="auto"/>
            <w:noWrap/>
            <w:vAlign w:val="bottom"/>
            <w:hideMark/>
          </w:tcPr>
          <w:p w14:paraId="2122EDD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299 (6%) </w:t>
            </w:r>
          </w:p>
        </w:tc>
        <w:tc>
          <w:tcPr>
            <w:tcW w:w="618" w:type="dxa"/>
            <w:tcBorders>
              <w:top w:val="nil"/>
              <w:left w:val="nil"/>
              <w:bottom w:val="nil"/>
              <w:right w:val="nil"/>
            </w:tcBorders>
            <w:shd w:val="clear" w:color="auto" w:fill="auto"/>
            <w:noWrap/>
            <w:vAlign w:val="bottom"/>
            <w:hideMark/>
          </w:tcPr>
          <w:p w14:paraId="540A9D5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300 (7%) </w:t>
            </w:r>
          </w:p>
        </w:tc>
        <w:tc>
          <w:tcPr>
            <w:tcW w:w="618" w:type="dxa"/>
            <w:tcBorders>
              <w:top w:val="nil"/>
              <w:left w:val="nil"/>
              <w:bottom w:val="nil"/>
              <w:right w:val="nil"/>
            </w:tcBorders>
            <w:shd w:val="clear" w:color="auto" w:fill="auto"/>
            <w:noWrap/>
            <w:vAlign w:val="bottom"/>
            <w:hideMark/>
          </w:tcPr>
          <w:p w14:paraId="36428C03"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287 (7%) </w:t>
            </w:r>
          </w:p>
        </w:tc>
        <w:tc>
          <w:tcPr>
            <w:tcW w:w="618" w:type="dxa"/>
            <w:tcBorders>
              <w:top w:val="nil"/>
              <w:left w:val="nil"/>
              <w:bottom w:val="nil"/>
              <w:right w:val="nil"/>
            </w:tcBorders>
            <w:shd w:val="clear" w:color="auto" w:fill="auto"/>
            <w:noWrap/>
            <w:vAlign w:val="bottom"/>
            <w:hideMark/>
          </w:tcPr>
          <w:p w14:paraId="32022988"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259 (6%) </w:t>
            </w:r>
          </w:p>
        </w:tc>
        <w:tc>
          <w:tcPr>
            <w:tcW w:w="618" w:type="dxa"/>
            <w:tcBorders>
              <w:top w:val="nil"/>
              <w:left w:val="nil"/>
              <w:bottom w:val="nil"/>
              <w:right w:val="nil"/>
            </w:tcBorders>
            <w:shd w:val="clear" w:color="auto" w:fill="auto"/>
            <w:noWrap/>
            <w:vAlign w:val="bottom"/>
            <w:hideMark/>
          </w:tcPr>
          <w:p w14:paraId="1800031A"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260 (7%) </w:t>
            </w:r>
          </w:p>
        </w:tc>
      </w:tr>
      <w:tr w:rsidR="00626486" w:rsidRPr="00626486" w14:paraId="4B54EA28" w14:textId="77777777" w:rsidTr="00626486">
        <w:trPr>
          <w:trHeight w:val="240"/>
        </w:trPr>
        <w:tc>
          <w:tcPr>
            <w:tcW w:w="960" w:type="dxa"/>
            <w:tcBorders>
              <w:top w:val="nil"/>
              <w:left w:val="nil"/>
              <w:bottom w:val="single" w:sz="4" w:space="0" w:color="auto"/>
              <w:right w:val="nil"/>
            </w:tcBorders>
            <w:shd w:val="clear" w:color="auto" w:fill="auto"/>
            <w:noWrap/>
            <w:vAlign w:val="center"/>
            <w:hideMark/>
          </w:tcPr>
          <w:p w14:paraId="7EBE79DE"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ABHK 6 data</w:t>
            </w:r>
          </w:p>
        </w:tc>
        <w:tc>
          <w:tcPr>
            <w:tcW w:w="618" w:type="dxa"/>
            <w:tcBorders>
              <w:top w:val="nil"/>
              <w:left w:val="nil"/>
              <w:bottom w:val="single" w:sz="4" w:space="0" w:color="auto"/>
              <w:right w:val="nil"/>
            </w:tcBorders>
            <w:shd w:val="clear" w:color="auto" w:fill="auto"/>
            <w:noWrap/>
            <w:vAlign w:val="bottom"/>
            <w:hideMark/>
          </w:tcPr>
          <w:p w14:paraId="6C5635F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42 (1%) </w:t>
            </w:r>
          </w:p>
        </w:tc>
        <w:tc>
          <w:tcPr>
            <w:tcW w:w="618" w:type="dxa"/>
            <w:tcBorders>
              <w:top w:val="nil"/>
              <w:left w:val="nil"/>
              <w:bottom w:val="single" w:sz="4" w:space="0" w:color="auto"/>
              <w:right w:val="nil"/>
            </w:tcBorders>
            <w:shd w:val="clear" w:color="auto" w:fill="auto"/>
            <w:noWrap/>
            <w:vAlign w:val="bottom"/>
            <w:hideMark/>
          </w:tcPr>
          <w:p w14:paraId="4260B8A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52 (1%) </w:t>
            </w:r>
          </w:p>
        </w:tc>
        <w:tc>
          <w:tcPr>
            <w:tcW w:w="618" w:type="dxa"/>
            <w:tcBorders>
              <w:top w:val="nil"/>
              <w:left w:val="nil"/>
              <w:bottom w:val="single" w:sz="4" w:space="0" w:color="auto"/>
              <w:right w:val="nil"/>
            </w:tcBorders>
            <w:shd w:val="clear" w:color="auto" w:fill="auto"/>
            <w:noWrap/>
            <w:vAlign w:val="bottom"/>
            <w:hideMark/>
          </w:tcPr>
          <w:p w14:paraId="139948AC"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57 (1%) </w:t>
            </w:r>
          </w:p>
        </w:tc>
        <w:tc>
          <w:tcPr>
            <w:tcW w:w="618" w:type="dxa"/>
            <w:tcBorders>
              <w:top w:val="nil"/>
              <w:left w:val="nil"/>
              <w:bottom w:val="single" w:sz="4" w:space="0" w:color="auto"/>
              <w:right w:val="nil"/>
            </w:tcBorders>
            <w:shd w:val="clear" w:color="auto" w:fill="auto"/>
            <w:noWrap/>
            <w:vAlign w:val="bottom"/>
            <w:hideMark/>
          </w:tcPr>
          <w:p w14:paraId="7A85AC12"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71 (1%) </w:t>
            </w:r>
          </w:p>
        </w:tc>
        <w:tc>
          <w:tcPr>
            <w:tcW w:w="618" w:type="dxa"/>
            <w:tcBorders>
              <w:top w:val="nil"/>
              <w:left w:val="nil"/>
              <w:bottom w:val="single" w:sz="4" w:space="0" w:color="auto"/>
              <w:right w:val="nil"/>
            </w:tcBorders>
            <w:shd w:val="clear" w:color="auto" w:fill="auto"/>
            <w:noWrap/>
            <w:vAlign w:val="bottom"/>
            <w:hideMark/>
          </w:tcPr>
          <w:p w14:paraId="75273A9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85 (1%) </w:t>
            </w:r>
          </w:p>
        </w:tc>
        <w:tc>
          <w:tcPr>
            <w:tcW w:w="618" w:type="dxa"/>
            <w:tcBorders>
              <w:top w:val="nil"/>
              <w:left w:val="nil"/>
              <w:bottom w:val="single" w:sz="4" w:space="0" w:color="auto"/>
              <w:right w:val="nil"/>
            </w:tcBorders>
            <w:shd w:val="clear" w:color="auto" w:fill="auto"/>
            <w:noWrap/>
            <w:vAlign w:val="bottom"/>
            <w:hideMark/>
          </w:tcPr>
          <w:p w14:paraId="7CFF2C5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83 (1%) </w:t>
            </w:r>
          </w:p>
        </w:tc>
        <w:tc>
          <w:tcPr>
            <w:tcW w:w="618" w:type="dxa"/>
            <w:tcBorders>
              <w:top w:val="nil"/>
              <w:left w:val="nil"/>
              <w:bottom w:val="single" w:sz="4" w:space="0" w:color="auto"/>
              <w:right w:val="nil"/>
            </w:tcBorders>
            <w:shd w:val="clear" w:color="auto" w:fill="auto"/>
            <w:noWrap/>
            <w:vAlign w:val="bottom"/>
            <w:hideMark/>
          </w:tcPr>
          <w:p w14:paraId="6454C0B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82 (2%) </w:t>
            </w:r>
          </w:p>
        </w:tc>
        <w:tc>
          <w:tcPr>
            <w:tcW w:w="618" w:type="dxa"/>
            <w:tcBorders>
              <w:top w:val="nil"/>
              <w:left w:val="nil"/>
              <w:bottom w:val="single" w:sz="4" w:space="0" w:color="auto"/>
              <w:right w:val="nil"/>
            </w:tcBorders>
            <w:shd w:val="clear" w:color="auto" w:fill="auto"/>
            <w:noWrap/>
            <w:vAlign w:val="bottom"/>
            <w:hideMark/>
          </w:tcPr>
          <w:p w14:paraId="22725F3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99 (2%) </w:t>
            </w:r>
          </w:p>
        </w:tc>
        <w:tc>
          <w:tcPr>
            <w:tcW w:w="618" w:type="dxa"/>
            <w:tcBorders>
              <w:top w:val="nil"/>
              <w:left w:val="nil"/>
              <w:bottom w:val="single" w:sz="4" w:space="0" w:color="auto"/>
              <w:right w:val="nil"/>
            </w:tcBorders>
            <w:shd w:val="clear" w:color="auto" w:fill="auto"/>
            <w:noWrap/>
            <w:vAlign w:val="bottom"/>
            <w:hideMark/>
          </w:tcPr>
          <w:p w14:paraId="18BA701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111 (2%) </w:t>
            </w:r>
          </w:p>
        </w:tc>
        <w:tc>
          <w:tcPr>
            <w:tcW w:w="618" w:type="dxa"/>
            <w:tcBorders>
              <w:top w:val="nil"/>
              <w:left w:val="nil"/>
              <w:bottom w:val="single" w:sz="4" w:space="0" w:color="auto"/>
              <w:right w:val="nil"/>
            </w:tcBorders>
            <w:shd w:val="clear" w:color="auto" w:fill="auto"/>
            <w:noWrap/>
            <w:vAlign w:val="bottom"/>
            <w:hideMark/>
          </w:tcPr>
          <w:p w14:paraId="436A9F9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108 (2%) </w:t>
            </w:r>
          </w:p>
        </w:tc>
        <w:tc>
          <w:tcPr>
            <w:tcW w:w="618" w:type="dxa"/>
            <w:tcBorders>
              <w:top w:val="nil"/>
              <w:left w:val="nil"/>
              <w:bottom w:val="single" w:sz="4" w:space="0" w:color="auto"/>
              <w:right w:val="nil"/>
            </w:tcBorders>
            <w:shd w:val="clear" w:color="auto" w:fill="auto"/>
            <w:noWrap/>
            <w:vAlign w:val="bottom"/>
            <w:hideMark/>
          </w:tcPr>
          <w:p w14:paraId="6C78FBAE"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129 (3%) </w:t>
            </w:r>
          </w:p>
        </w:tc>
        <w:tc>
          <w:tcPr>
            <w:tcW w:w="618" w:type="dxa"/>
            <w:tcBorders>
              <w:top w:val="nil"/>
              <w:left w:val="nil"/>
              <w:bottom w:val="single" w:sz="4" w:space="0" w:color="auto"/>
              <w:right w:val="nil"/>
            </w:tcBorders>
            <w:shd w:val="clear" w:color="auto" w:fill="auto"/>
            <w:noWrap/>
            <w:vAlign w:val="bottom"/>
            <w:hideMark/>
          </w:tcPr>
          <w:p w14:paraId="785C3945"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135 (3%) </w:t>
            </w:r>
          </w:p>
        </w:tc>
        <w:tc>
          <w:tcPr>
            <w:tcW w:w="618" w:type="dxa"/>
            <w:tcBorders>
              <w:top w:val="nil"/>
              <w:left w:val="nil"/>
              <w:bottom w:val="single" w:sz="4" w:space="0" w:color="auto"/>
              <w:right w:val="nil"/>
            </w:tcBorders>
            <w:shd w:val="clear" w:color="auto" w:fill="auto"/>
            <w:noWrap/>
            <w:vAlign w:val="bottom"/>
            <w:hideMark/>
          </w:tcPr>
          <w:p w14:paraId="050DFE09"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137 (3%) </w:t>
            </w:r>
          </w:p>
        </w:tc>
        <w:tc>
          <w:tcPr>
            <w:tcW w:w="618" w:type="dxa"/>
            <w:tcBorders>
              <w:top w:val="nil"/>
              <w:left w:val="nil"/>
              <w:bottom w:val="single" w:sz="4" w:space="0" w:color="auto"/>
              <w:right w:val="nil"/>
            </w:tcBorders>
            <w:shd w:val="clear" w:color="auto" w:fill="auto"/>
            <w:noWrap/>
            <w:vAlign w:val="bottom"/>
            <w:hideMark/>
          </w:tcPr>
          <w:p w14:paraId="04D75D64"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144 (3%) </w:t>
            </w:r>
          </w:p>
        </w:tc>
        <w:tc>
          <w:tcPr>
            <w:tcW w:w="618" w:type="dxa"/>
            <w:tcBorders>
              <w:top w:val="nil"/>
              <w:left w:val="nil"/>
              <w:bottom w:val="single" w:sz="4" w:space="0" w:color="auto"/>
              <w:right w:val="nil"/>
            </w:tcBorders>
            <w:shd w:val="clear" w:color="auto" w:fill="auto"/>
            <w:noWrap/>
            <w:vAlign w:val="bottom"/>
            <w:hideMark/>
          </w:tcPr>
          <w:p w14:paraId="552668B1"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162 (4%) </w:t>
            </w:r>
          </w:p>
        </w:tc>
        <w:tc>
          <w:tcPr>
            <w:tcW w:w="618" w:type="dxa"/>
            <w:tcBorders>
              <w:top w:val="nil"/>
              <w:left w:val="nil"/>
              <w:bottom w:val="single" w:sz="4" w:space="0" w:color="auto"/>
              <w:right w:val="nil"/>
            </w:tcBorders>
            <w:shd w:val="clear" w:color="auto" w:fill="auto"/>
            <w:noWrap/>
            <w:vAlign w:val="bottom"/>
            <w:hideMark/>
          </w:tcPr>
          <w:p w14:paraId="3D8B445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170 (4%) </w:t>
            </w:r>
          </w:p>
        </w:tc>
        <w:tc>
          <w:tcPr>
            <w:tcW w:w="618" w:type="dxa"/>
            <w:tcBorders>
              <w:top w:val="nil"/>
              <w:left w:val="nil"/>
              <w:bottom w:val="single" w:sz="4" w:space="0" w:color="auto"/>
              <w:right w:val="nil"/>
            </w:tcBorders>
            <w:shd w:val="clear" w:color="auto" w:fill="auto"/>
            <w:noWrap/>
            <w:vAlign w:val="bottom"/>
            <w:hideMark/>
          </w:tcPr>
          <w:p w14:paraId="22C88E20"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187 (4%) </w:t>
            </w:r>
          </w:p>
        </w:tc>
        <w:tc>
          <w:tcPr>
            <w:tcW w:w="618" w:type="dxa"/>
            <w:tcBorders>
              <w:top w:val="nil"/>
              <w:left w:val="nil"/>
              <w:bottom w:val="single" w:sz="4" w:space="0" w:color="auto"/>
              <w:right w:val="nil"/>
            </w:tcBorders>
            <w:shd w:val="clear" w:color="auto" w:fill="auto"/>
            <w:noWrap/>
            <w:vAlign w:val="bottom"/>
            <w:hideMark/>
          </w:tcPr>
          <w:p w14:paraId="03012C08"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232 (5%) </w:t>
            </w:r>
          </w:p>
        </w:tc>
        <w:tc>
          <w:tcPr>
            <w:tcW w:w="618" w:type="dxa"/>
            <w:tcBorders>
              <w:top w:val="nil"/>
              <w:left w:val="nil"/>
              <w:bottom w:val="single" w:sz="4" w:space="0" w:color="auto"/>
              <w:right w:val="nil"/>
            </w:tcBorders>
            <w:shd w:val="clear" w:color="auto" w:fill="auto"/>
            <w:noWrap/>
            <w:vAlign w:val="bottom"/>
            <w:hideMark/>
          </w:tcPr>
          <w:p w14:paraId="5F02F08B"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253 (6%) </w:t>
            </w:r>
          </w:p>
        </w:tc>
        <w:tc>
          <w:tcPr>
            <w:tcW w:w="618" w:type="dxa"/>
            <w:tcBorders>
              <w:top w:val="nil"/>
              <w:left w:val="nil"/>
              <w:bottom w:val="single" w:sz="4" w:space="0" w:color="auto"/>
              <w:right w:val="nil"/>
            </w:tcBorders>
            <w:shd w:val="clear" w:color="auto" w:fill="auto"/>
            <w:noWrap/>
            <w:vAlign w:val="bottom"/>
            <w:hideMark/>
          </w:tcPr>
          <w:p w14:paraId="0ED2E2D6" w14:textId="77777777" w:rsidR="00626486" w:rsidRPr="00626486" w:rsidRDefault="00626486" w:rsidP="00626486">
            <w:pPr>
              <w:spacing w:after="0" w:line="240" w:lineRule="auto"/>
              <w:rPr>
                <w:rFonts w:ascii="Times New Roman" w:eastAsia="Times New Roman" w:hAnsi="Times New Roman" w:cs="Times New Roman"/>
                <w:color w:val="000000"/>
                <w:sz w:val="16"/>
                <w:szCs w:val="16"/>
                <w:lang w:val="en-IE" w:eastAsia="en-IE"/>
              </w:rPr>
            </w:pPr>
            <w:r w:rsidRPr="00626486">
              <w:rPr>
                <w:rFonts w:ascii="Times New Roman" w:eastAsia="Times New Roman" w:hAnsi="Times New Roman" w:cs="Times New Roman"/>
                <w:color w:val="000000"/>
                <w:sz w:val="16"/>
                <w:szCs w:val="16"/>
                <w:lang w:val="en-IE" w:eastAsia="en-IE"/>
              </w:rPr>
              <w:t xml:space="preserve"> 245 (6%) </w:t>
            </w:r>
          </w:p>
        </w:tc>
      </w:tr>
      <w:tr w:rsidR="00626486" w:rsidRPr="00626486" w14:paraId="7DFCE0DA" w14:textId="77777777" w:rsidTr="00626486">
        <w:trPr>
          <w:trHeight w:val="240"/>
        </w:trPr>
        <w:tc>
          <w:tcPr>
            <w:tcW w:w="960" w:type="dxa"/>
            <w:tcBorders>
              <w:top w:val="single" w:sz="4" w:space="0" w:color="auto"/>
              <w:left w:val="nil"/>
              <w:bottom w:val="single" w:sz="8" w:space="0" w:color="7F7F7F"/>
              <w:right w:val="nil"/>
            </w:tcBorders>
            <w:shd w:val="clear" w:color="auto" w:fill="auto"/>
            <w:noWrap/>
            <w:vAlign w:val="center"/>
            <w:hideMark/>
          </w:tcPr>
          <w:p w14:paraId="13A7E623" w14:textId="77777777" w:rsidR="00626486" w:rsidRPr="00626486" w:rsidRDefault="00626486" w:rsidP="00626486">
            <w:pPr>
              <w:spacing w:after="0" w:line="240" w:lineRule="auto"/>
              <w:jc w:val="center"/>
              <w:rPr>
                <w:rFonts w:ascii="Times New Roman" w:eastAsia="Times New Roman" w:hAnsi="Times New Roman" w:cs="Times New Roman"/>
                <w:b/>
                <w:bCs/>
                <w:color w:val="7B7B7B"/>
                <w:sz w:val="16"/>
                <w:szCs w:val="16"/>
                <w:lang w:val="en-IE" w:eastAsia="en-IE"/>
              </w:rPr>
            </w:pPr>
            <w:r w:rsidRPr="00626486">
              <w:rPr>
                <w:rFonts w:ascii="Times New Roman" w:eastAsia="Times New Roman" w:hAnsi="Times New Roman" w:cs="Times New Roman"/>
                <w:b/>
                <w:bCs/>
                <w:color w:val="7B7B7B"/>
                <w:sz w:val="16"/>
                <w:szCs w:val="16"/>
                <w:lang w:eastAsia="en-IE"/>
              </w:rPr>
              <w:t>Total number of firms with  ABHK data</w:t>
            </w:r>
          </w:p>
        </w:tc>
        <w:tc>
          <w:tcPr>
            <w:tcW w:w="618" w:type="dxa"/>
            <w:tcBorders>
              <w:top w:val="single" w:sz="4" w:space="0" w:color="auto"/>
              <w:left w:val="nil"/>
              <w:bottom w:val="single" w:sz="8" w:space="0" w:color="7F7F7F"/>
              <w:right w:val="nil"/>
            </w:tcBorders>
            <w:shd w:val="clear" w:color="auto" w:fill="auto"/>
            <w:noWrap/>
            <w:vAlign w:val="center"/>
            <w:hideMark/>
          </w:tcPr>
          <w:p w14:paraId="2B348BE2"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4,337</w:t>
            </w:r>
          </w:p>
        </w:tc>
        <w:tc>
          <w:tcPr>
            <w:tcW w:w="618" w:type="dxa"/>
            <w:tcBorders>
              <w:top w:val="single" w:sz="4" w:space="0" w:color="auto"/>
              <w:left w:val="nil"/>
              <w:bottom w:val="single" w:sz="8" w:space="0" w:color="7F7F7F"/>
              <w:right w:val="nil"/>
            </w:tcBorders>
            <w:shd w:val="clear" w:color="auto" w:fill="auto"/>
            <w:noWrap/>
            <w:vAlign w:val="center"/>
            <w:hideMark/>
          </w:tcPr>
          <w:p w14:paraId="19E7154D"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5,014</w:t>
            </w:r>
          </w:p>
        </w:tc>
        <w:tc>
          <w:tcPr>
            <w:tcW w:w="618" w:type="dxa"/>
            <w:tcBorders>
              <w:top w:val="single" w:sz="4" w:space="0" w:color="auto"/>
              <w:left w:val="nil"/>
              <w:bottom w:val="single" w:sz="8" w:space="0" w:color="7F7F7F"/>
              <w:right w:val="nil"/>
            </w:tcBorders>
            <w:shd w:val="clear" w:color="auto" w:fill="auto"/>
            <w:noWrap/>
            <w:vAlign w:val="center"/>
            <w:hideMark/>
          </w:tcPr>
          <w:p w14:paraId="5128E74A"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5,662</w:t>
            </w:r>
          </w:p>
        </w:tc>
        <w:tc>
          <w:tcPr>
            <w:tcW w:w="618" w:type="dxa"/>
            <w:tcBorders>
              <w:top w:val="single" w:sz="4" w:space="0" w:color="auto"/>
              <w:left w:val="nil"/>
              <w:bottom w:val="single" w:sz="8" w:space="0" w:color="7F7F7F"/>
              <w:right w:val="nil"/>
            </w:tcBorders>
            <w:shd w:val="clear" w:color="auto" w:fill="auto"/>
            <w:noWrap/>
            <w:vAlign w:val="center"/>
            <w:hideMark/>
          </w:tcPr>
          <w:p w14:paraId="293DE431"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6,210</w:t>
            </w:r>
          </w:p>
        </w:tc>
        <w:tc>
          <w:tcPr>
            <w:tcW w:w="618" w:type="dxa"/>
            <w:tcBorders>
              <w:top w:val="single" w:sz="4" w:space="0" w:color="auto"/>
              <w:left w:val="nil"/>
              <w:bottom w:val="single" w:sz="8" w:space="0" w:color="7F7F7F"/>
              <w:right w:val="nil"/>
            </w:tcBorders>
            <w:shd w:val="clear" w:color="auto" w:fill="auto"/>
            <w:noWrap/>
            <w:vAlign w:val="center"/>
            <w:hideMark/>
          </w:tcPr>
          <w:p w14:paraId="4667EB44"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5,876</w:t>
            </w:r>
          </w:p>
        </w:tc>
        <w:tc>
          <w:tcPr>
            <w:tcW w:w="618" w:type="dxa"/>
            <w:tcBorders>
              <w:top w:val="single" w:sz="4" w:space="0" w:color="auto"/>
              <w:left w:val="nil"/>
              <w:bottom w:val="single" w:sz="8" w:space="0" w:color="7F7F7F"/>
              <w:right w:val="nil"/>
            </w:tcBorders>
            <w:shd w:val="clear" w:color="auto" w:fill="auto"/>
            <w:noWrap/>
            <w:vAlign w:val="center"/>
            <w:hideMark/>
          </w:tcPr>
          <w:p w14:paraId="1BB963C6"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5,546</w:t>
            </w:r>
          </w:p>
        </w:tc>
        <w:tc>
          <w:tcPr>
            <w:tcW w:w="618" w:type="dxa"/>
            <w:tcBorders>
              <w:top w:val="single" w:sz="4" w:space="0" w:color="auto"/>
              <w:left w:val="nil"/>
              <w:bottom w:val="single" w:sz="8" w:space="0" w:color="7F7F7F"/>
              <w:right w:val="nil"/>
            </w:tcBorders>
            <w:shd w:val="clear" w:color="auto" w:fill="auto"/>
            <w:noWrap/>
            <w:vAlign w:val="center"/>
            <w:hideMark/>
          </w:tcPr>
          <w:p w14:paraId="32357521"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5,399</w:t>
            </w:r>
          </w:p>
        </w:tc>
        <w:tc>
          <w:tcPr>
            <w:tcW w:w="618" w:type="dxa"/>
            <w:tcBorders>
              <w:top w:val="single" w:sz="4" w:space="0" w:color="auto"/>
              <w:left w:val="nil"/>
              <w:bottom w:val="single" w:sz="8" w:space="0" w:color="7F7F7F"/>
              <w:right w:val="nil"/>
            </w:tcBorders>
            <w:shd w:val="clear" w:color="auto" w:fill="auto"/>
            <w:noWrap/>
            <w:vAlign w:val="center"/>
            <w:hideMark/>
          </w:tcPr>
          <w:p w14:paraId="47DB306E"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5,333</w:t>
            </w:r>
          </w:p>
        </w:tc>
        <w:tc>
          <w:tcPr>
            <w:tcW w:w="618" w:type="dxa"/>
            <w:tcBorders>
              <w:top w:val="single" w:sz="4" w:space="0" w:color="auto"/>
              <w:left w:val="nil"/>
              <w:bottom w:val="single" w:sz="8" w:space="0" w:color="7F7F7F"/>
              <w:right w:val="nil"/>
            </w:tcBorders>
            <w:shd w:val="clear" w:color="auto" w:fill="auto"/>
            <w:noWrap/>
            <w:vAlign w:val="center"/>
            <w:hideMark/>
          </w:tcPr>
          <w:p w14:paraId="3EDDC3B4"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5,325</w:t>
            </w:r>
          </w:p>
        </w:tc>
        <w:tc>
          <w:tcPr>
            <w:tcW w:w="618" w:type="dxa"/>
            <w:tcBorders>
              <w:top w:val="single" w:sz="4" w:space="0" w:color="auto"/>
              <w:left w:val="nil"/>
              <w:bottom w:val="single" w:sz="8" w:space="0" w:color="7F7F7F"/>
              <w:right w:val="nil"/>
            </w:tcBorders>
            <w:shd w:val="clear" w:color="auto" w:fill="auto"/>
            <w:noWrap/>
            <w:vAlign w:val="center"/>
            <w:hideMark/>
          </w:tcPr>
          <w:p w14:paraId="5CA99EC4"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5,192</w:t>
            </w:r>
          </w:p>
        </w:tc>
        <w:tc>
          <w:tcPr>
            <w:tcW w:w="618" w:type="dxa"/>
            <w:tcBorders>
              <w:top w:val="single" w:sz="4" w:space="0" w:color="auto"/>
              <w:left w:val="nil"/>
              <w:bottom w:val="single" w:sz="8" w:space="0" w:color="7F7F7F"/>
              <w:right w:val="nil"/>
            </w:tcBorders>
            <w:shd w:val="clear" w:color="auto" w:fill="auto"/>
            <w:noWrap/>
            <w:vAlign w:val="center"/>
            <w:hideMark/>
          </w:tcPr>
          <w:p w14:paraId="723C9EE4"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5,057</w:t>
            </w:r>
          </w:p>
        </w:tc>
        <w:tc>
          <w:tcPr>
            <w:tcW w:w="618" w:type="dxa"/>
            <w:tcBorders>
              <w:top w:val="single" w:sz="4" w:space="0" w:color="auto"/>
              <w:left w:val="nil"/>
              <w:bottom w:val="single" w:sz="8" w:space="0" w:color="7F7F7F"/>
              <w:right w:val="nil"/>
            </w:tcBorders>
            <w:shd w:val="clear" w:color="auto" w:fill="auto"/>
            <w:noWrap/>
            <w:vAlign w:val="center"/>
            <w:hideMark/>
          </w:tcPr>
          <w:p w14:paraId="1AA87AEE"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4,869</w:t>
            </w:r>
          </w:p>
        </w:tc>
        <w:tc>
          <w:tcPr>
            <w:tcW w:w="618" w:type="dxa"/>
            <w:tcBorders>
              <w:top w:val="single" w:sz="4" w:space="0" w:color="auto"/>
              <w:left w:val="nil"/>
              <w:bottom w:val="single" w:sz="8" w:space="0" w:color="7F7F7F"/>
              <w:right w:val="nil"/>
            </w:tcBorders>
            <w:shd w:val="clear" w:color="auto" w:fill="auto"/>
            <w:noWrap/>
            <w:vAlign w:val="center"/>
            <w:hideMark/>
          </w:tcPr>
          <w:p w14:paraId="4C80B7BB"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4,631</w:t>
            </w:r>
          </w:p>
        </w:tc>
        <w:tc>
          <w:tcPr>
            <w:tcW w:w="618" w:type="dxa"/>
            <w:tcBorders>
              <w:top w:val="single" w:sz="4" w:space="0" w:color="auto"/>
              <w:left w:val="nil"/>
              <w:bottom w:val="single" w:sz="8" w:space="0" w:color="7F7F7F"/>
              <w:right w:val="nil"/>
            </w:tcBorders>
            <w:shd w:val="clear" w:color="auto" w:fill="auto"/>
            <w:noWrap/>
            <w:vAlign w:val="center"/>
            <w:hideMark/>
          </w:tcPr>
          <w:p w14:paraId="01154E6A"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4,614</w:t>
            </w:r>
          </w:p>
        </w:tc>
        <w:tc>
          <w:tcPr>
            <w:tcW w:w="618" w:type="dxa"/>
            <w:tcBorders>
              <w:top w:val="single" w:sz="4" w:space="0" w:color="auto"/>
              <w:left w:val="nil"/>
              <w:bottom w:val="single" w:sz="8" w:space="0" w:color="7F7F7F"/>
              <w:right w:val="nil"/>
            </w:tcBorders>
            <w:shd w:val="clear" w:color="auto" w:fill="auto"/>
            <w:noWrap/>
            <w:vAlign w:val="center"/>
            <w:hideMark/>
          </w:tcPr>
          <w:p w14:paraId="296DE4F1"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4,601</w:t>
            </w:r>
          </w:p>
        </w:tc>
        <w:tc>
          <w:tcPr>
            <w:tcW w:w="618" w:type="dxa"/>
            <w:tcBorders>
              <w:top w:val="single" w:sz="4" w:space="0" w:color="auto"/>
              <w:left w:val="nil"/>
              <w:bottom w:val="single" w:sz="8" w:space="0" w:color="7F7F7F"/>
              <w:right w:val="nil"/>
            </w:tcBorders>
            <w:shd w:val="clear" w:color="auto" w:fill="auto"/>
            <w:noWrap/>
            <w:vAlign w:val="center"/>
            <w:hideMark/>
          </w:tcPr>
          <w:p w14:paraId="77F4C060"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4,609</w:t>
            </w:r>
          </w:p>
        </w:tc>
        <w:tc>
          <w:tcPr>
            <w:tcW w:w="618" w:type="dxa"/>
            <w:tcBorders>
              <w:top w:val="single" w:sz="4" w:space="0" w:color="auto"/>
              <w:left w:val="nil"/>
              <w:bottom w:val="single" w:sz="8" w:space="0" w:color="7F7F7F"/>
              <w:right w:val="nil"/>
            </w:tcBorders>
            <w:shd w:val="clear" w:color="auto" w:fill="auto"/>
            <w:noWrap/>
            <w:vAlign w:val="center"/>
            <w:hideMark/>
          </w:tcPr>
          <w:p w14:paraId="03850B84"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4,499</w:t>
            </w:r>
          </w:p>
        </w:tc>
        <w:tc>
          <w:tcPr>
            <w:tcW w:w="618" w:type="dxa"/>
            <w:tcBorders>
              <w:top w:val="single" w:sz="4" w:space="0" w:color="auto"/>
              <w:left w:val="nil"/>
              <w:bottom w:val="single" w:sz="8" w:space="0" w:color="7F7F7F"/>
              <w:right w:val="nil"/>
            </w:tcBorders>
            <w:shd w:val="clear" w:color="auto" w:fill="auto"/>
            <w:noWrap/>
            <w:vAlign w:val="center"/>
            <w:hideMark/>
          </w:tcPr>
          <w:p w14:paraId="221780BA"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4,389</w:t>
            </w:r>
          </w:p>
        </w:tc>
        <w:tc>
          <w:tcPr>
            <w:tcW w:w="618" w:type="dxa"/>
            <w:tcBorders>
              <w:top w:val="single" w:sz="4" w:space="0" w:color="auto"/>
              <w:left w:val="nil"/>
              <w:bottom w:val="single" w:sz="8" w:space="0" w:color="7F7F7F"/>
              <w:right w:val="nil"/>
            </w:tcBorders>
            <w:shd w:val="clear" w:color="auto" w:fill="auto"/>
            <w:noWrap/>
            <w:vAlign w:val="center"/>
            <w:hideMark/>
          </w:tcPr>
          <w:p w14:paraId="7AB214C4"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4,177</w:t>
            </w:r>
          </w:p>
        </w:tc>
        <w:tc>
          <w:tcPr>
            <w:tcW w:w="618" w:type="dxa"/>
            <w:tcBorders>
              <w:top w:val="single" w:sz="4" w:space="0" w:color="auto"/>
              <w:left w:val="nil"/>
              <w:bottom w:val="single" w:sz="8" w:space="0" w:color="7F7F7F"/>
              <w:right w:val="nil"/>
            </w:tcBorders>
            <w:shd w:val="clear" w:color="auto" w:fill="auto"/>
            <w:noWrap/>
            <w:vAlign w:val="center"/>
            <w:hideMark/>
          </w:tcPr>
          <w:p w14:paraId="1CD3A20F" w14:textId="77777777" w:rsidR="00626486" w:rsidRPr="00626486" w:rsidRDefault="00626486" w:rsidP="00626486">
            <w:pPr>
              <w:spacing w:after="0" w:line="240" w:lineRule="auto"/>
              <w:jc w:val="center"/>
              <w:rPr>
                <w:rFonts w:ascii="Times New Roman" w:eastAsia="Times New Roman" w:hAnsi="Times New Roman" w:cs="Times New Roman"/>
                <w:color w:val="7B7B7B"/>
                <w:sz w:val="16"/>
                <w:szCs w:val="16"/>
                <w:lang w:val="en-IE" w:eastAsia="en-IE"/>
              </w:rPr>
            </w:pPr>
            <w:r w:rsidRPr="00626486">
              <w:rPr>
                <w:rFonts w:ascii="Times New Roman" w:eastAsia="Times New Roman" w:hAnsi="Times New Roman" w:cs="Times New Roman"/>
                <w:color w:val="7B7B7B"/>
                <w:sz w:val="16"/>
                <w:szCs w:val="16"/>
                <w:lang w:eastAsia="en-IE"/>
              </w:rPr>
              <w:t>3,910</w:t>
            </w:r>
          </w:p>
        </w:tc>
      </w:tr>
    </w:tbl>
    <w:p w14:paraId="7871BBE4" w14:textId="77777777" w:rsidR="005B1B63" w:rsidRPr="00437FE3" w:rsidRDefault="005B1B63" w:rsidP="00437FE3">
      <w:pPr>
        <w:rPr>
          <w:rFonts w:ascii="Times New Roman" w:hAnsi="Times New Roman" w:cs="Times New Roman"/>
          <w:sz w:val="18"/>
          <w:szCs w:val="18"/>
        </w:rPr>
        <w:sectPr w:rsidR="005B1B63" w:rsidRPr="00437FE3" w:rsidSect="009D0F99">
          <w:pgSz w:w="15840" w:h="12240" w:orient="landscape" w:code="1"/>
          <w:pgMar w:top="1440" w:right="1440" w:bottom="1440" w:left="1440" w:header="720" w:footer="720" w:gutter="0"/>
          <w:cols w:space="720"/>
          <w:vAlign w:val="center"/>
          <w:docGrid w:linePitch="360"/>
        </w:sectPr>
      </w:pPr>
      <w:r w:rsidRPr="00437FE3">
        <w:rPr>
          <w:rFonts w:ascii="Times New Roman" w:hAnsi="Times New Roman" w:cs="Times New Roman"/>
          <w:sz w:val="18"/>
          <w:szCs w:val="18"/>
        </w:rPr>
        <w:t>Notes: This table shows the number of firms in our sample in each year within each category of percentage foreign sales and each ABHK score of 0 to 6.</w:t>
      </w:r>
    </w:p>
    <w:p w14:paraId="3E421E60" w14:textId="77777777" w:rsidR="005B1B63" w:rsidRPr="009D0F99" w:rsidRDefault="00A97A2D" w:rsidP="00166C53">
      <w:pPr>
        <w:pStyle w:val="Heading3"/>
      </w:pPr>
      <w:r w:rsidRPr="009D0F99">
        <w:lastRenderedPageBreak/>
        <w:t xml:space="preserve">Table 2 Average Measures for Firm </w:t>
      </w:r>
      <w:proofErr w:type="spellStart"/>
      <w:r w:rsidRPr="009D0F99">
        <w:t>Categorised</w:t>
      </w:r>
      <w:proofErr w:type="spellEnd"/>
      <w:r w:rsidRPr="009D0F99">
        <w:t xml:space="preserve"> by Levels of </w:t>
      </w:r>
      <w:proofErr w:type="spellStart"/>
      <w:r w:rsidRPr="009D0F99">
        <w:t>Internationalisation</w:t>
      </w:r>
      <w:proofErr w:type="spellEnd"/>
    </w:p>
    <w:tbl>
      <w:tblPr>
        <w:tblStyle w:val="LightShading"/>
        <w:tblW w:w="0" w:type="auto"/>
        <w:jc w:val="center"/>
        <w:tblLook w:val="04A0" w:firstRow="1" w:lastRow="0" w:firstColumn="1" w:lastColumn="0" w:noHBand="0" w:noVBand="1"/>
      </w:tblPr>
      <w:tblGrid>
        <w:gridCol w:w="1319"/>
        <w:gridCol w:w="1443"/>
        <w:gridCol w:w="1118"/>
        <w:gridCol w:w="1127"/>
        <w:gridCol w:w="1554"/>
        <w:gridCol w:w="1052"/>
        <w:gridCol w:w="1225"/>
        <w:gridCol w:w="2096"/>
      </w:tblGrid>
      <w:tr w:rsidR="00A97A2D" w:rsidRPr="00CA231E" w14:paraId="31FAB9CE" w14:textId="77777777" w:rsidTr="008D289A">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09942F28" w14:textId="77777777" w:rsidR="005B1B63" w:rsidRPr="00CA231E" w:rsidRDefault="005B1B63" w:rsidP="008D289A">
            <w:pPr>
              <w:spacing w:after="0" w:line="240" w:lineRule="auto"/>
              <w:jc w:val="center"/>
              <w:rPr>
                <w:rFonts w:ascii="Times New Roman" w:eastAsia="Times New Roman" w:hAnsi="Times New Roman" w:cs="Times New Roman"/>
                <w:color w:val="000000"/>
                <w:sz w:val="16"/>
                <w:szCs w:val="16"/>
              </w:rPr>
            </w:pPr>
          </w:p>
        </w:tc>
        <w:tc>
          <w:tcPr>
            <w:tcW w:w="0" w:type="auto"/>
            <w:shd w:val="clear" w:color="auto" w:fill="auto"/>
            <w:noWrap/>
            <w:vAlign w:val="center"/>
            <w:hideMark/>
          </w:tcPr>
          <w:p w14:paraId="14E1C2B0" w14:textId="77777777" w:rsidR="005B1B63" w:rsidRPr="00CA231E" w:rsidRDefault="005B1B63"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Average Mkt Cap</w:t>
            </w:r>
          </w:p>
          <w:p w14:paraId="33F69369" w14:textId="77777777" w:rsidR="00A97A2D" w:rsidRPr="00CA231E" w:rsidRDefault="00A97A2D"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 xml:space="preserve">($ </w:t>
            </w:r>
            <w:r w:rsidR="009D0F99" w:rsidRPr="00CA231E">
              <w:rPr>
                <w:rFonts w:ascii="Times New Roman" w:eastAsia="Times New Roman" w:hAnsi="Times New Roman" w:cs="Times New Roman"/>
                <w:color w:val="000000"/>
                <w:sz w:val="16"/>
                <w:szCs w:val="16"/>
              </w:rPr>
              <w:t>,000</w:t>
            </w:r>
            <w:r w:rsidRPr="00CA231E">
              <w:rPr>
                <w:rFonts w:ascii="Times New Roman" w:eastAsia="Times New Roman" w:hAnsi="Times New Roman" w:cs="Times New Roman"/>
                <w:color w:val="000000"/>
                <w:sz w:val="16"/>
                <w:szCs w:val="16"/>
              </w:rPr>
              <w:t>,000s)</w:t>
            </w:r>
          </w:p>
        </w:tc>
        <w:tc>
          <w:tcPr>
            <w:tcW w:w="0" w:type="auto"/>
            <w:shd w:val="clear" w:color="auto" w:fill="auto"/>
            <w:noWrap/>
            <w:vAlign w:val="center"/>
            <w:hideMark/>
          </w:tcPr>
          <w:p w14:paraId="1581E2D6" w14:textId="77777777" w:rsidR="005B1B63" w:rsidRPr="00CA231E" w:rsidRDefault="005B1B63"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Average beta</w:t>
            </w:r>
          </w:p>
        </w:tc>
        <w:tc>
          <w:tcPr>
            <w:tcW w:w="0" w:type="auto"/>
            <w:shd w:val="clear" w:color="auto" w:fill="auto"/>
            <w:noWrap/>
            <w:vAlign w:val="center"/>
            <w:hideMark/>
          </w:tcPr>
          <w:p w14:paraId="32E7EE5B" w14:textId="77777777" w:rsidR="005B1B63" w:rsidRPr="00CA231E" w:rsidRDefault="005B1B63"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Average M/B</w:t>
            </w:r>
          </w:p>
        </w:tc>
        <w:tc>
          <w:tcPr>
            <w:tcW w:w="0" w:type="auto"/>
            <w:shd w:val="clear" w:color="auto" w:fill="auto"/>
            <w:noWrap/>
            <w:vAlign w:val="center"/>
            <w:hideMark/>
          </w:tcPr>
          <w:p w14:paraId="06AFDEE5" w14:textId="77777777" w:rsidR="00A97A2D" w:rsidRPr="00CA231E" w:rsidRDefault="005B1B63"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Investment Growth</w:t>
            </w:r>
          </w:p>
          <w:p w14:paraId="2406B5C2" w14:textId="77777777" w:rsidR="005B1B63" w:rsidRPr="00CA231E" w:rsidRDefault="00A97A2D"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 xml:space="preserve"> (%)</w:t>
            </w:r>
          </w:p>
        </w:tc>
        <w:tc>
          <w:tcPr>
            <w:tcW w:w="0" w:type="auto"/>
            <w:shd w:val="clear" w:color="auto" w:fill="auto"/>
            <w:noWrap/>
            <w:vAlign w:val="center"/>
            <w:hideMark/>
          </w:tcPr>
          <w:p w14:paraId="3077A0A7" w14:textId="77777777" w:rsidR="00A97A2D" w:rsidRPr="00CA231E" w:rsidRDefault="005B1B63"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Profitability</w:t>
            </w:r>
            <w:r w:rsidR="00A97A2D" w:rsidRPr="00CA231E">
              <w:rPr>
                <w:rFonts w:ascii="Times New Roman" w:eastAsia="Times New Roman" w:hAnsi="Times New Roman" w:cs="Times New Roman"/>
                <w:color w:val="000000"/>
                <w:sz w:val="16"/>
                <w:szCs w:val="16"/>
              </w:rPr>
              <w:t xml:space="preserve"> </w:t>
            </w:r>
          </w:p>
          <w:p w14:paraId="785B03F3" w14:textId="77777777" w:rsidR="005B1B63" w:rsidRPr="00CA231E" w:rsidRDefault="00A97A2D"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w:t>
            </w:r>
          </w:p>
        </w:tc>
        <w:tc>
          <w:tcPr>
            <w:tcW w:w="0" w:type="auto"/>
            <w:shd w:val="clear" w:color="auto" w:fill="auto"/>
            <w:noWrap/>
            <w:vAlign w:val="center"/>
            <w:hideMark/>
          </w:tcPr>
          <w:p w14:paraId="56B386F3" w14:textId="77777777" w:rsidR="00A97A2D" w:rsidRPr="00CA231E" w:rsidRDefault="005B1B63"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Shares Traded</w:t>
            </w:r>
            <w:r w:rsidR="00A97A2D" w:rsidRPr="00CA231E">
              <w:rPr>
                <w:rFonts w:ascii="Times New Roman" w:eastAsia="Times New Roman" w:hAnsi="Times New Roman" w:cs="Times New Roman"/>
                <w:color w:val="000000"/>
                <w:sz w:val="16"/>
                <w:szCs w:val="16"/>
              </w:rPr>
              <w:t xml:space="preserve"> </w:t>
            </w:r>
          </w:p>
          <w:p w14:paraId="404CF3EA" w14:textId="77777777" w:rsidR="005B1B63" w:rsidRPr="00CA231E" w:rsidRDefault="00A97A2D"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(as % of total)</w:t>
            </w:r>
          </w:p>
        </w:tc>
        <w:tc>
          <w:tcPr>
            <w:tcW w:w="0" w:type="auto"/>
            <w:shd w:val="clear" w:color="auto" w:fill="auto"/>
            <w:vAlign w:val="center"/>
          </w:tcPr>
          <w:p w14:paraId="63363777" w14:textId="77777777" w:rsidR="005B1B63" w:rsidRPr="00CA231E" w:rsidRDefault="005B1B63" w:rsidP="008D28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eastAsia="Times New Roman" w:hAnsi="Times New Roman" w:cs="Times New Roman"/>
                <w:color w:val="000000"/>
                <w:sz w:val="16"/>
                <w:szCs w:val="16"/>
              </w:rPr>
              <w:t>Average dividend yield</w:t>
            </w:r>
            <w:r w:rsidR="00A97A2D" w:rsidRPr="00CA231E">
              <w:rPr>
                <w:rFonts w:ascii="Times New Roman" w:eastAsia="Times New Roman" w:hAnsi="Times New Roman" w:cs="Times New Roman"/>
                <w:color w:val="000000"/>
                <w:sz w:val="16"/>
                <w:szCs w:val="16"/>
              </w:rPr>
              <w:t xml:space="preserve"> (%)</w:t>
            </w:r>
          </w:p>
        </w:tc>
      </w:tr>
      <w:tr w:rsidR="00483C8B" w:rsidRPr="00CA231E" w14:paraId="2262FA1D" w14:textId="77777777" w:rsidTr="00155DE2">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tcPr>
          <w:p w14:paraId="4F26597A" w14:textId="77777777" w:rsidR="00483C8B" w:rsidRPr="00CA231E" w:rsidRDefault="00483C8B" w:rsidP="00483C8B">
            <w:pPr>
              <w:spacing w:after="0" w:line="240" w:lineRule="auto"/>
              <w:jc w:val="center"/>
              <w:rPr>
                <w:rFonts w:ascii="Times New Roman" w:hAnsi="Times New Roman" w:cs="Times New Roman"/>
                <w:b w:val="0"/>
                <w:bCs w:val="0"/>
                <w:color w:val="000000"/>
                <w:sz w:val="16"/>
                <w:szCs w:val="16"/>
              </w:rPr>
            </w:pPr>
          </w:p>
        </w:tc>
        <w:tc>
          <w:tcPr>
            <w:tcW w:w="0" w:type="auto"/>
            <w:shd w:val="clear" w:color="auto" w:fill="auto"/>
            <w:noWrap/>
            <w:vAlign w:val="center"/>
          </w:tcPr>
          <w:p w14:paraId="0D436EB2" w14:textId="7777777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6EFA602D" w14:textId="7777777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1648A36C" w14:textId="7777777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7BB2307C" w14:textId="7777777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7DFB0578" w14:textId="7777777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220DD9B0" w14:textId="7777777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vAlign w:val="center"/>
          </w:tcPr>
          <w:p w14:paraId="0864E99E" w14:textId="7777777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r>
      <w:tr w:rsidR="00483C8B" w:rsidRPr="00CA231E" w14:paraId="517AC68A" w14:textId="77777777" w:rsidTr="00155DE2">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17C0D283" w14:textId="6C73E7D6" w:rsidR="00483C8B" w:rsidRPr="00CA231E" w:rsidRDefault="00483C8B" w:rsidP="00483C8B">
            <w:pPr>
              <w:spacing w:after="0" w:line="240" w:lineRule="auto"/>
              <w:jc w:val="center"/>
              <w:rPr>
                <w:rFonts w:ascii="Times New Roman" w:eastAsia="Times New Roman" w:hAnsi="Times New Roman" w:cs="Times New Roman"/>
                <w:sz w:val="16"/>
                <w:szCs w:val="16"/>
              </w:rPr>
            </w:pPr>
            <w:r w:rsidRPr="00CA231E">
              <w:rPr>
                <w:rFonts w:ascii="Times New Roman" w:hAnsi="Times New Roman" w:cs="Times New Roman"/>
                <w:b w:val="0"/>
                <w:bCs w:val="0"/>
                <w:color w:val="000000"/>
                <w:sz w:val="16"/>
                <w:szCs w:val="16"/>
              </w:rPr>
              <w:t>0% FS firms</w:t>
            </w:r>
          </w:p>
        </w:tc>
        <w:tc>
          <w:tcPr>
            <w:tcW w:w="0" w:type="auto"/>
            <w:shd w:val="clear" w:color="auto" w:fill="auto"/>
            <w:noWrap/>
            <w:vAlign w:val="center"/>
            <w:hideMark/>
          </w:tcPr>
          <w:p w14:paraId="5B58983F" w14:textId="3591E4AB"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1,176</w:t>
            </w:r>
          </w:p>
        </w:tc>
        <w:tc>
          <w:tcPr>
            <w:tcW w:w="0" w:type="auto"/>
            <w:shd w:val="clear" w:color="auto" w:fill="auto"/>
            <w:noWrap/>
            <w:vAlign w:val="center"/>
            <w:hideMark/>
          </w:tcPr>
          <w:p w14:paraId="70D58C9D" w14:textId="38FE4B90"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0.69</w:t>
            </w:r>
          </w:p>
        </w:tc>
        <w:tc>
          <w:tcPr>
            <w:tcW w:w="0" w:type="auto"/>
            <w:shd w:val="clear" w:color="auto" w:fill="auto"/>
            <w:noWrap/>
            <w:vAlign w:val="center"/>
            <w:hideMark/>
          </w:tcPr>
          <w:p w14:paraId="4B805A2C" w14:textId="0EA5AC2E"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1.59</w:t>
            </w:r>
          </w:p>
        </w:tc>
        <w:tc>
          <w:tcPr>
            <w:tcW w:w="0" w:type="auto"/>
            <w:shd w:val="clear" w:color="auto" w:fill="auto"/>
            <w:noWrap/>
            <w:vAlign w:val="center"/>
            <w:hideMark/>
          </w:tcPr>
          <w:p w14:paraId="16101CA2" w14:textId="04CB2486"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10.91</w:t>
            </w:r>
          </w:p>
        </w:tc>
        <w:tc>
          <w:tcPr>
            <w:tcW w:w="0" w:type="auto"/>
            <w:shd w:val="clear" w:color="auto" w:fill="auto"/>
            <w:noWrap/>
            <w:vAlign w:val="center"/>
            <w:hideMark/>
          </w:tcPr>
          <w:p w14:paraId="032733BE" w14:textId="0044EAEC"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6.8</w:t>
            </w:r>
          </w:p>
        </w:tc>
        <w:tc>
          <w:tcPr>
            <w:tcW w:w="0" w:type="auto"/>
            <w:shd w:val="clear" w:color="auto" w:fill="auto"/>
            <w:noWrap/>
            <w:vAlign w:val="center"/>
            <w:hideMark/>
          </w:tcPr>
          <w:p w14:paraId="11F8BF0B" w14:textId="6EF502B9"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1.21</w:t>
            </w:r>
          </w:p>
        </w:tc>
        <w:tc>
          <w:tcPr>
            <w:tcW w:w="0" w:type="auto"/>
            <w:shd w:val="clear" w:color="auto" w:fill="auto"/>
            <w:vAlign w:val="center"/>
          </w:tcPr>
          <w:p w14:paraId="0EC5B343" w14:textId="48766CBE"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1.52</w:t>
            </w:r>
          </w:p>
        </w:tc>
      </w:tr>
      <w:tr w:rsidR="00483C8B" w:rsidRPr="00CA231E" w14:paraId="71FD8D9B" w14:textId="77777777" w:rsidTr="008D289A">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tcPr>
          <w:p w14:paraId="4EB00FD1" w14:textId="02368EB7" w:rsidR="00483C8B" w:rsidRPr="00CA231E" w:rsidRDefault="00483C8B" w:rsidP="00483C8B">
            <w:pPr>
              <w:spacing w:after="0" w:line="240" w:lineRule="auto"/>
              <w:jc w:val="center"/>
              <w:rPr>
                <w:rFonts w:ascii="Times New Roman" w:hAnsi="Times New Roman" w:cs="Times New Roman"/>
                <w:b w:val="0"/>
                <w:bCs w:val="0"/>
                <w:color w:val="000000"/>
                <w:sz w:val="16"/>
                <w:szCs w:val="16"/>
              </w:rPr>
            </w:pPr>
            <w:r w:rsidRPr="00CA231E">
              <w:rPr>
                <w:rFonts w:ascii="Times New Roman" w:hAnsi="Times New Roman" w:cs="Times New Roman"/>
                <w:b w:val="0"/>
                <w:bCs w:val="0"/>
                <w:color w:val="000000"/>
                <w:sz w:val="16"/>
                <w:szCs w:val="16"/>
              </w:rPr>
              <w:t>1-25% FS firms</w:t>
            </w:r>
          </w:p>
        </w:tc>
        <w:tc>
          <w:tcPr>
            <w:tcW w:w="0" w:type="auto"/>
            <w:shd w:val="clear" w:color="auto" w:fill="auto"/>
            <w:noWrap/>
            <w:vAlign w:val="center"/>
          </w:tcPr>
          <w:p w14:paraId="535BA056" w14:textId="020DC638"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3,344</w:t>
            </w:r>
          </w:p>
        </w:tc>
        <w:tc>
          <w:tcPr>
            <w:tcW w:w="0" w:type="auto"/>
            <w:shd w:val="clear" w:color="auto" w:fill="auto"/>
            <w:noWrap/>
            <w:vAlign w:val="center"/>
          </w:tcPr>
          <w:p w14:paraId="7D22F428" w14:textId="657A0D9D"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0.92</w:t>
            </w:r>
          </w:p>
        </w:tc>
        <w:tc>
          <w:tcPr>
            <w:tcW w:w="0" w:type="auto"/>
            <w:shd w:val="clear" w:color="auto" w:fill="auto"/>
            <w:noWrap/>
            <w:vAlign w:val="center"/>
          </w:tcPr>
          <w:p w14:paraId="40FD9878" w14:textId="16692483"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1.97</w:t>
            </w:r>
          </w:p>
        </w:tc>
        <w:tc>
          <w:tcPr>
            <w:tcW w:w="0" w:type="auto"/>
            <w:shd w:val="clear" w:color="auto" w:fill="auto"/>
            <w:noWrap/>
            <w:vAlign w:val="center"/>
          </w:tcPr>
          <w:p w14:paraId="5BCF09D6" w14:textId="5AAA77AD"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10.3</w:t>
            </w:r>
          </w:p>
        </w:tc>
        <w:tc>
          <w:tcPr>
            <w:tcW w:w="0" w:type="auto"/>
            <w:shd w:val="clear" w:color="auto" w:fill="auto"/>
            <w:noWrap/>
            <w:vAlign w:val="center"/>
          </w:tcPr>
          <w:p w14:paraId="30B93334" w14:textId="58BE09A1"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5.69</w:t>
            </w:r>
          </w:p>
        </w:tc>
        <w:tc>
          <w:tcPr>
            <w:tcW w:w="0" w:type="auto"/>
            <w:shd w:val="clear" w:color="auto" w:fill="auto"/>
            <w:noWrap/>
            <w:vAlign w:val="center"/>
          </w:tcPr>
          <w:p w14:paraId="4BEE3146" w14:textId="0D8440E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1.62</w:t>
            </w:r>
          </w:p>
        </w:tc>
        <w:tc>
          <w:tcPr>
            <w:tcW w:w="0" w:type="auto"/>
            <w:shd w:val="clear" w:color="auto" w:fill="auto"/>
            <w:vAlign w:val="center"/>
          </w:tcPr>
          <w:p w14:paraId="0BE52D0A" w14:textId="25BAA879"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0.79</w:t>
            </w:r>
          </w:p>
        </w:tc>
      </w:tr>
      <w:tr w:rsidR="00483C8B" w:rsidRPr="00CA231E" w14:paraId="1B9BB1B4" w14:textId="77777777" w:rsidTr="008D289A">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tcPr>
          <w:p w14:paraId="272E5D42" w14:textId="04DDF989" w:rsidR="00483C8B" w:rsidRPr="00CA231E" w:rsidRDefault="00483C8B" w:rsidP="00483C8B">
            <w:pPr>
              <w:spacing w:after="0" w:line="240" w:lineRule="auto"/>
              <w:jc w:val="center"/>
              <w:rPr>
                <w:rFonts w:ascii="Times New Roman" w:hAnsi="Times New Roman" w:cs="Times New Roman"/>
                <w:b w:val="0"/>
                <w:bCs w:val="0"/>
                <w:color w:val="000000"/>
                <w:sz w:val="16"/>
                <w:szCs w:val="16"/>
              </w:rPr>
            </w:pPr>
            <w:r w:rsidRPr="00CA231E">
              <w:rPr>
                <w:rFonts w:ascii="Times New Roman" w:hAnsi="Times New Roman" w:cs="Times New Roman"/>
                <w:b w:val="0"/>
                <w:bCs w:val="0"/>
                <w:color w:val="000000"/>
                <w:sz w:val="16"/>
                <w:szCs w:val="16"/>
              </w:rPr>
              <w:t>25-50% FS firms</w:t>
            </w:r>
          </w:p>
        </w:tc>
        <w:tc>
          <w:tcPr>
            <w:tcW w:w="0" w:type="auto"/>
            <w:shd w:val="clear" w:color="auto" w:fill="auto"/>
            <w:noWrap/>
            <w:vAlign w:val="center"/>
          </w:tcPr>
          <w:p w14:paraId="38BC80D2" w14:textId="52BAAC7F"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5,941</w:t>
            </w:r>
          </w:p>
        </w:tc>
        <w:tc>
          <w:tcPr>
            <w:tcW w:w="0" w:type="auto"/>
            <w:shd w:val="clear" w:color="auto" w:fill="auto"/>
            <w:noWrap/>
            <w:vAlign w:val="center"/>
          </w:tcPr>
          <w:p w14:paraId="32A6DBF2" w14:textId="5E787906"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1.02</w:t>
            </w:r>
          </w:p>
        </w:tc>
        <w:tc>
          <w:tcPr>
            <w:tcW w:w="0" w:type="auto"/>
            <w:shd w:val="clear" w:color="auto" w:fill="auto"/>
            <w:noWrap/>
            <w:vAlign w:val="center"/>
          </w:tcPr>
          <w:p w14:paraId="46509CB8" w14:textId="4EC7C2CE"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2.17</w:t>
            </w:r>
          </w:p>
        </w:tc>
        <w:tc>
          <w:tcPr>
            <w:tcW w:w="0" w:type="auto"/>
            <w:shd w:val="clear" w:color="auto" w:fill="auto"/>
            <w:noWrap/>
            <w:vAlign w:val="center"/>
          </w:tcPr>
          <w:p w14:paraId="1D991577" w14:textId="60893AB1"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10.11</w:t>
            </w:r>
          </w:p>
        </w:tc>
        <w:tc>
          <w:tcPr>
            <w:tcW w:w="0" w:type="auto"/>
            <w:shd w:val="clear" w:color="auto" w:fill="auto"/>
            <w:noWrap/>
            <w:vAlign w:val="center"/>
          </w:tcPr>
          <w:p w14:paraId="14D928CF" w14:textId="0B9D7AAF"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6.49</w:t>
            </w:r>
          </w:p>
        </w:tc>
        <w:tc>
          <w:tcPr>
            <w:tcW w:w="0" w:type="auto"/>
            <w:shd w:val="clear" w:color="auto" w:fill="auto"/>
            <w:noWrap/>
            <w:vAlign w:val="center"/>
          </w:tcPr>
          <w:p w14:paraId="69FF57FA" w14:textId="33785202"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1.78</w:t>
            </w:r>
          </w:p>
        </w:tc>
        <w:tc>
          <w:tcPr>
            <w:tcW w:w="0" w:type="auto"/>
            <w:shd w:val="clear" w:color="auto" w:fill="auto"/>
            <w:vAlign w:val="center"/>
          </w:tcPr>
          <w:p w14:paraId="03DEF64E" w14:textId="29EEE6AD"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0.73</w:t>
            </w:r>
          </w:p>
        </w:tc>
      </w:tr>
      <w:tr w:rsidR="00483C8B" w:rsidRPr="00CA231E" w14:paraId="06999CE6" w14:textId="77777777" w:rsidTr="008D289A">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tcPr>
          <w:p w14:paraId="3EFD160A" w14:textId="4D144D6B" w:rsidR="00483C8B" w:rsidRPr="00CA231E" w:rsidRDefault="00483C8B" w:rsidP="00483C8B">
            <w:pPr>
              <w:spacing w:after="0" w:line="240" w:lineRule="auto"/>
              <w:jc w:val="center"/>
              <w:rPr>
                <w:rFonts w:ascii="Times New Roman" w:hAnsi="Times New Roman" w:cs="Times New Roman"/>
                <w:b w:val="0"/>
                <w:bCs w:val="0"/>
                <w:color w:val="000000"/>
                <w:sz w:val="16"/>
                <w:szCs w:val="16"/>
              </w:rPr>
            </w:pPr>
            <w:r w:rsidRPr="00CA231E">
              <w:rPr>
                <w:rFonts w:ascii="Times New Roman" w:hAnsi="Times New Roman" w:cs="Times New Roman"/>
                <w:b w:val="0"/>
                <w:bCs w:val="0"/>
                <w:color w:val="000000"/>
                <w:sz w:val="16"/>
                <w:szCs w:val="16"/>
              </w:rPr>
              <w:t>&gt;50% FS firms</w:t>
            </w:r>
          </w:p>
        </w:tc>
        <w:tc>
          <w:tcPr>
            <w:tcW w:w="0" w:type="auto"/>
            <w:shd w:val="clear" w:color="auto" w:fill="auto"/>
            <w:noWrap/>
            <w:vAlign w:val="center"/>
          </w:tcPr>
          <w:p w14:paraId="0E435AB2" w14:textId="1EEAE228"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6,428</w:t>
            </w:r>
          </w:p>
        </w:tc>
        <w:tc>
          <w:tcPr>
            <w:tcW w:w="0" w:type="auto"/>
            <w:shd w:val="clear" w:color="auto" w:fill="auto"/>
            <w:noWrap/>
            <w:vAlign w:val="center"/>
          </w:tcPr>
          <w:p w14:paraId="48FB2911" w14:textId="33F2DBAB"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1.12</w:t>
            </w:r>
          </w:p>
        </w:tc>
        <w:tc>
          <w:tcPr>
            <w:tcW w:w="0" w:type="auto"/>
            <w:shd w:val="clear" w:color="auto" w:fill="auto"/>
            <w:noWrap/>
            <w:vAlign w:val="center"/>
          </w:tcPr>
          <w:p w14:paraId="6663592D" w14:textId="06E1FF60"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2.12</w:t>
            </w:r>
          </w:p>
        </w:tc>
        <w:tc>
          <w:tcPr>
            <w:tcW w:w="0" w:type="auto"/>
            <w:shd w:val="clear" w:color="auto" w:fill="auto"/>
            <w:noWrap/>
            <w:vAlign w:val="center"/>
          </w:tcPr>
          <w:p w14:paraId="0C60F1B0" w14:textId="270EA798"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9.62</w:t>
            </w:r>
          </w:p>
        </w:tc>
        <w:tc>
          <w:tcPr>
            <w:tcW w:w="0" w:type="auto"/>
            <w:shd w:val="clear" w:color="auto" w:fill="auto"/>
            <w:noWrap/>
            <w:vAlign w:val="center"/>
          </w:tcPr>
          <w:p w14:paraId="7E249459" w14:textId="78404204"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4.65</w:t>
            </w:r>
          </w:p>
        </w:tc>
        <w:tc>
          <w:tcPr>
            <w:tcW w:w="0" w:type="auto"/>
            <w:shd w:val="clear" w:color="auto" w:fill="auto"/>
            <w:noWrap/>
            <w:vAlign w:val="center"/>
          </w:tcPr>
          <w:p w14:paraId="5C5C0900" w14:textId="54317E73"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1.74</w:t>
            </w:r>
          </w:p>
        </w:tc>
        <w:tc>
          <w:tcPr>
            <w:tcW w:w="0" w:type="auto"/>
            <w:shd w:val="clear" w:color="auto" w:fill="auto"/>
            <w:vAlign w:val="center"/>
          </w:tcPr>
          <w:p w14:paraId="51D229C7" w14:textId="09CCEA4E"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CA231E">
              <w:rPr>
                <w:rFonts w:ascii="Times New Roman" w:hAnsi="Times New Roman" w:cs="Times New Roman"/>
                <w:color w:val="000000"/>
                <w:sz w:val="16"/>
                <w:szCs w:val="16"/>
              </w:rPr>
              <w:t>0.62</w:t>
            </w:r>
          </w:p>
        </w:tc>
      </w:tr>
      <w:tr w:rsidR="00483C8B" w:rsidRPr="00CA231E" w14:paraId="71B85595" w14:textId="77777777" w:rsidTr="008D289A">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tcPr>
          <w:p w14:paraId="4E24E2B8" w14:textId="77777777" w:rsidR="00483C8B" w:rsidRPr="00CA231E" w:rsidRDefault="00483C8B" w:rsidP="00483C8B">
            <w:pPr>
              <w:spacing w:after="0" w:line="240" w:lineRule="auto"/>
              <w:jc w:val="center"/>
              <w:rPr>
                <w:rFonts w:ascii="Times New Roman" w:hAnsi="Times New Roman" w:cs="Times New Roman"/>
                <w:b w:val="0"/>
                <w:bCs w:val="0"/>
                <w:color w:val="000000"/>
                <w:sz w:val="16"/>
                <w:szCs w:val="16"/>
              </w:rPr>
            </w:pPr>
          </w:p>
        </w:tc>
        <w:tc>
          <w:tcPr>
            <w:tcW w:w="0" w:type="auto"/>
            <w:shd w:val="clear" w:color="auto" w:fill="auto"/>
            <w:noWrap/>
            <w:vAlign w:val="center"/>
          </w:tcPr>
          <w:p w14:paraId="781A8B66" w14:textId="77777777"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2D62D11A" w14:textId="77777777"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42FC8E77" w14:textId="77777777"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6DF231A9" w14:textId="77777777"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7F6816B4" w14:textId="77777777"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noWrap/>
            <w:vAlign w:val="center"/>
          </w:tcPr>
          <w:p w14:paraId="573BF066" w14:textId="77777777"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p>
        </w:tc>
        <w:tc>
          <w:tcPr>
            <w:tcW w:w="0" w:type="auto"/>
            <w:shd w:val="clear" w:color="auto" w:fill="auto"/>
            <w:vAlign w:val="center"/>
          </w:tcPr>
          <w:p w14:paraId="31826062" w14:textId="77777777"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p>
        </w:tc>
      </w:tr>
      <w:tr w:rsidR="00483C8B" w:rsidRPr="00CA231E" w14:paraId="2F66E5AA" w14:textId="77777777" w:rsidTr="008D289A">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6E1F749F" w14:textId="6284168C" w:rsidR="00483C8B" w:rsidRPr="00CA231E" w:rsidRDefault="00483C8B" w:rsidP="00483C8B">
            <w:pPr>
              <w:spacing w:after="0" w:line="240" w:lineRule="auto"/>
              <w:jc w:val="center"/>
              <w:rPr>
                <w:rFonts w:ascii="Times New Roman" w:eastAsia="Times New Roman" w:hAnsi="Times New Roman" w:cs="Times New Roman"/>
                <w:sz w:val="16"/>
                <w:szCs w:val="16"/>
              </w:rPr>
            </w:pPr>
            <w:r w:rsidRPr="00CA231E">
              <w:rPr>
                <w:rFonts w:ascii="Times New Roman" w:hAnsi="Times New Roman" w:cs="Times New Roman"/>
                <w:b w:val="0"/>
                <w:bCs w:val="0"/>
                <w:color w:val="000000"/>
                <w:sz w:val="16"/>
                <w:szCs w:val="16"/>
              </w:rPr>
              <w:t>ABHK 0 Firms</w:t>
            </w:r>
          </w:p>
        </w:tc>
        <w:tc>
          <w:tcPr>
            <w:tcW w:w="0" w:type="auto"/>
            <w:shd w:val="clear" w:color="auto" w:fill="auto"/>
            <w:noWrap/>
            <w:vAlign w:val="center"/>
            <w:hideMark/>
          </w:tcPr>
          <w:p w14:paraId="47C9E575" w14:textId="444A29C9"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1,261</w:t>
            </w:r>
          </w:p>
        </w:tc>
        <w:tc>
          <w:tcPr>
            <w:tcW w:w="0" w:type="auto"/>
            <w:shd w:val="clear" w:color="auto" w:fill="auto"/>
            <w:noWrap/>
            <w:vAlign w:val="center"/>
            <w:hideMark/>
          </w:tcPr>
          <w:p w14:paraId="27749059" w14:textId="4F8F2730"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0.69</w:t>
            </w:r>
          </w:p>
        </w:tc>
        <w:tc>
          <w:tcPr>
            <w:tcW w:w="0" w:type="auto"/>
            <w:shd w:val="clear" w:color="auto" w:fill="auto"/>
            <w:noWrap/>
            <w:vAlign w:val="center"/>
            <w:hideMark/>
          </w:tcPr>
          <w:p w14:paraId="3DD26DD0" w14:textId="2B5491EA"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1.59</w:t>
            </w:r>
          </w:p>
        </w:tc>
        <w:tc>
          <w:tcPr>
            <w:tcW w:w="0" w:type="auto"/>
            <w:shd w:val="clear" w:color="auto" w:fill="auto"/>
            <w:noWrap/>
            <w:vAlign w:val="center"/>
            <w:hideMark/>
          </w:tcPr>
          <w:p w14:paraId="4CCBA957" w14:textId="3A09856C"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10.75</w:t>
            </w:r>
          </w:p>
        </w:tc>
        <w:tc>
          <w:tcPr>
            <w:tcW w:w="0" w:type="auto"/>
            <w:shd w:val="clear" w:color="auto" w:fill="auto"/>
            <w:noWrap/>
            <w:vAlign w:val="center"/>
            <w:hideMark/>
          </w:tcPr>
          <w:p w14:paraId="3C2C5435" w14:textId="14EA7B9E"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6.55</w:t>
            </w:r>
          </w:p>
        </w:tc>
        <w:tc>
          <w:tcPr>
            <w:tcW w:w="0" w:type="auto"/>
            <w:shd w:val="clear" w:color="auto" w:fill="auto"/>
            <w:noWrap/>
            <w:vAlign w:val="center"/>
            <w:hideMark/>
          </w:tcPr>
          <w:p w14:paraId="0BA75AC9" w14:textId="2A3BA54F"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1.22</w:t>
            </w:r>
          </w:p>
        </w:tc>
        <w:tc>
          <w:tcPr>
            <w:tcW w:w="0" w:type="auto"/>
            <w:shd w:val="clear" w:color="auto" w:fill="auto"/>
            <w:vAlign w:val="center"/>
          </w:tcPr>
          <w:p w14:paraId="2E528938" w14:textId="67F0AA0D"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1.46</w:t>
            </w:r>
          </w:p>
        </w:tc>
      </w:tr>
      <w:tr w:rsidR="00483C8B" w:rsidRPr="00CA231E" w14:paraId="54383EE2" w14:textId="77777777" w:rsidTr="008D289A">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198566B4" w14:textId="16B89755" w:rsidR="00483C8B" w:rsidRPr="00CA231E" w:rsidRDefault="00483C8B" w:rsidP="00483C8B">
            <w:pPr>
              <w:spacing w:after="0" w:line="240" w:lineRule="auto"/>
              <w:jc w:val="center"/>
              <w:rPr>
                <w:rFonts w:ascii="Times New Roman" w:eastAsia="Times New Roman" w:hAnsi="Times New Roman" w:cs="Times New Roman"/>
                <w:sz w:val="16"/>
                <w:szCs w:val="16"/>
              </w:rPr>
            </w:pPr>
            <w:r w:rsidRPr="00CA231E">
              <w:rPr>
                <w:rFonts w:ascii="Times New Roman" w:hAnsi="Times New Roman" w:cs="Times New Roman"/>
                <w:b w:val="0"/>
                <w:bCs w:val="0"/>
                <w:color w:val="000000"/>
                <w:sz w:val="16"/>
                <w:szCs w:val="16"/>
              </w:rPr>
              <w:t>ABHK 1 Firms</w:t>
            </w:r>
          </w:p>
        </w:tc>
        <w:tc>
          <w:tcPr>
            <w:tcW w:w="0" w:type="auto"/>
            <w:shd w:val="clear" w:color="auto" w:fill="auto"/>
            <w:noWrap/>
            <w:vAlign w:val="center"/>
            <w:hideMark/>
          </w:tcPr>
          <w:p w14:paraId="2DC1C6DB" w14:textId="42924CDA"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1,748</w:t>
            </w:r>
          </w:p>
        </w:tc>
        <w:tc>
          <w:tcPr>
            <w:tcW w:w="0" w:type="auto"/>
            <w:shd w:val="clear" w:color="auto" w:fill="auto"/>
            <w:noWrap/>
            <w:vAlign w:val="center"/>
            <w:hideMark/>
          </w:tcPr>
          <w:p w14:paraId="7DF693A0" w14:textId="019B3126"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0.81</w:t>
            </w:r>
          </w:p>
        </w:tc>
        <w:tc>
          <w:tcPr>
            <w:tcW w:w="0" w:type="auto"/>
            <w:shd w:val="clear" w:color="auto" w:fill="auto"/>
            <w:noWrap/>
            <w:vAlign w:val="center"/>
            <w:hideMark/>
          </w:tcPr>
          <w:p w14:paraId="778A59AE" w14:textId="39B92C23"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1.72</w:t>
            </w:r>
          </w:p>
        </w:tc>
        <w:tc>
          <w:tcPr>
            <w:tcW w:w="0" w:type="auto"/>
            <w:shd w:val="clear" w:color="auto" w:fill="auto"/>
            <w:noWrap/>
            <w:vAlign w:val="center"/>
            <w:hideMark/>
          </w:tcPr>
          <w:p w14:paraId="119F7275" w14:textId="0FDF1070"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9.6</w:t>
            </w:r>
          </w:p>
        </w:tc>
        <w:tc>
          <w:tcPr>
            <w:tcW w:w="0" w:type="auto"/>
            <w:shd w:val="clear" w:color="auto" w:fill="auto"/>
            <w:noWrap/>
            <w:vAlign w:val="center"/>
            <w:hideMark/>
          </w:tcPr>
          <w:p w14:paraId="2CF6AAED" w14:textId="7B864FD5"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6.64</w:t>
            </w:r>
          </w:p>
        </w:tc>
        <w:tc>
          <w:tcPr>
            <w:tcW w:w="0" w:type="auto"/>
            <w:shd w:val="clear" w:color="auto" w:fill="auto"/>
            <w:noWrap/>
            <w:vAlign w:val="center"/>
            <w:hideMark/>
          </w:tcPr>
          <w:p w14:paraId="0E081753" w14:textId="6AB19297"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1.32</w:t>
            </w:r>
          </w:p>
        </w:tc>
        <w:tc>
          <w:tcPr>
            <w:tcW w:w="0" w:type="auto"/>
            <w:shd w:val="clear" w:color="auto" w:fill="auto"/>
            <w:vAlign w:val="center"/>
          </w:tcPr>
          <w:p w14:paraId="67737ABB" w14:textId="0621D2A4"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1.00</w:t>
            </w:r>
          </w:p>
        </w:tc>
      </w:tr>
      <w:tr w:rsidR="00483C8B" w:rsidRPr="00CA231E" w14:paraId="49A0A84A" w14:textId="77777777" w:rsidTr="008D289A">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0CD153F9" w14:textId="3EED05F5" w:rsidR="00483C8B" w:rsidRPr="00CA231E" w:rsidRDefault="00483C8B" w:rsidP="00483C8B">
            <w:pPr>
              <w:spacing w:after="0" w:line="240" w:lineRule="auto"/>
              <w:jc w:val="center"/>
              <w:rPr>
                <w:rFonts w:ascii="Times New Roman" w:eastAsia="Times New Roman" w:hAnsi="Times New Roman" w:cs="Times New Roman"/>
                <w:color w:val="000000"/>
                <w:sz w:val="16"/>
                <w:szCs w:val="16"/>
              </w:rPr>
            </w:pPr>
            <w:r w:rsidRPr="00CA231E">
              <w:rPr>
                <w:rFonts w:ascii="Times New Roman" w:hAnsi="Times New Roman" w:cs="Times New Roman"/>
                <w:b w:val="0"/>
                <w:bCs w:val="0"/>
                <w:color w:val="000000"/>
                <w:sz w:val="16"/>
                <w:szCs w:val="16"/>
              </w:rPr>
              <w:t>ABHK 2 Firms</w:t>
            </w:r>
          </w:p>
        </w:tc>
        <w:tc>
          <w:tcPr>
            <w:tcW w:w="0" w:type="auto"/>
            <w:shd w:val="clear" w:color="auto" w:fill="auto"/>
            <w:noWrap/>
            <w:vAlign w:val="center"/>
            <w:hideMark/>
          </w:tcPr>
          <w:p w14:paraId="558F3233" w14:textId="793E3748"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4,170</w:t>
            </w:r>
          </w:p>
        </w:tc>
        <w:tc>
          <w:tcPr>
            <w:tcW w:w="0" w:type="auto"/>
            <w:shd w:val="clear" w:color="auto" w:fill="auto"/>
            <w:noWrap/>
            <w:vAlign w:val="center"/>
            <w:hideMark/>
          </w:tcPr>
          <w:p w14:paraId="7185B7F3" w14:textId="233AD73D"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0.91</w:t>
            </w:r>
          </w:p>
        </w:tc>
        <w:tc>
          <w:tcPr>
            <w:tcW w:w="0" w:type="auto"/>
            <w:shd w:val="clear" w:color="auto" w:fill="auto"/>
            <w:noWrap/>
            <w:vAlign w:val="center"/>
            <w:hideMark/>
          </w:tcPr>
          <w:p w14:paraId="31EED4EC" w14:textId="35B228F2"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1.98</w:t>
            </w:r>
          </w:p>
        </w:tc>
        <w:tc>
          <w:tcPr>
            <w:tcW w:w="0" w:type="auto"/>
            <w:shd w:val="clear" w:color="auto" w:fill="auto"/>
            <w:noWrap/>
            <w:vAlign w:val="center"/>
            <w:hideMark/>
          </w:tcPr>
          <w:p w14:paraId="326B2E16" w14:textId="4B96B2DE"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10.32</w:t>
            </w:r>
          </w:p>
        </w:tc>
        <w:tc>
          <w:tcPr>
            <w:tcW w:w="0" w:type="auto"/>
            <w:shd w:val="clear" w:color="auto" w:fill="auto"/>
            <w:noWrap/>
            <w:vAlign w:val="center"/>
            <w:hideMark/>
          </w:tcPr>
          <w:p w14:paraId="54D3DF5A" w14:textId="3BD3D7CC"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5.47</w:t>
            </w:r>
          </w:p>
        </w:tc>
        <w:tc>
          <w:tcPr>
            <w:tcW w:w="0" w:type="auto"/>
            <w:shd w:val="clear" w:color="auto" w:fill="auto"/>
            <w:noWrap/>
            <w:vAlign w:val="center"/>
            <w:hideMark/>
          </w:tcPr>
          <w:p w14:paraId="5F2C65F9" w14:textId="355219A8"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1.63</w:t>
            </w:r>
          </w:p>
        </w:tc>
        <w:tc>
          <w:tcPr>
            <w:tcW w:w="0" w:type="auto"/>
            <w:shd w:val="clear" w:color="auto" w:fill="auto"/>
            <w:vAlign w:val="center"/>
          </w:tcPr>
          <w:p w14:paraId="4550D8F9" w14:textId="3AA82FE5"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0.74</w:t>
            </w:r>
          </w:p>
        </w:tc>
      </w:tr>
      <w:tr w:rsidR="00483C8B" w:rsidRPr="00CA231E" w14:paraId="5B773A39" w14:textId="77777777" w:rsidTr="008D289A">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336504F0" w14:textId="45B4462E" w:rsidR="00483C8B" w:rsidRPr="00CA231E" w:rsidRDefault="00483C8B" w:rsidP="00483C8B">
            <w:pPr>
              <w:spacing w:after="0" w:line="240" w:lineRule="auto"/>
              <w:jc w:val="center"/>
              <w:rPr>
                <w:rFonts w:ascii="Times New Roman" w:eastAsia="Times New Roman" w:hAnsi="Times New Roman" w:cs="Times New Roman"/>
                <w:color w:val="000000"/>
                <w:sz w:val="16"/>
                <w:szCs w:val="16"/>
              </w:rPr>
            </w:pPr>
            <w:r w:rsidRPr="00CA231E">
              <w:rPr>
                <w:rFonts w:ascii="Times New Roman" w:hAnsi="Times New Roman" w:cs="Times New Roman"/>
                <w:b w:val="0"/>
                <w:bCs w:val="0"/>
                <w:color w:val="000000"/>
                <w:sz w:val="16"/>
                <w:szCs w:val="16"/>
              </w:rPr>
              <w:t>ABHK 3 Firms</w:t>
            </w:r>
          </w:p>
        </w:tc>
        <w:tc>
          <w:tcPr>
            <w:tcW w:w="0" w:type="auto"/>
            <w:shd w:val="clear" w:color="auto" w:fill="auto"/>
            <w:noWrap/>
            <w:vAlign w:val="center"/>
            <w:hideMark/>
          </w:tcPr>
          <w:p w14:paraId="457B2DCC" w14:textId="6DA958A6"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4,739</w:t>
            </w:r>
          </w:p>
        </w:tc>
        <w:tc>
          <w:tcPr>
            <w:tcW w:w="0" w:type="auto"/>
            <w:shd w:val="clear" w:color="auto" w:fill="auto"/>
            <w:noWrap/>
            <w:vAlign w:val="center"/>
            <w:hideMark/>
          </w:tcPr>
          <w:p w14:paraId="2198D74F" w14:textId="5C42254E"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1.04</w:t>
            </w:r>
          </w:p>
        </w:tc>
        <w:tc>
          <w:tcPr>
            <w:tcW w:w="0" w:type="auto"/>
            <w:shd w:val="clear" w:color="auto" w:fill="auto"/>
            <w:noWrap/>
            <w:vAlign w:val="center"/>
            <w:hideMark/>
          </w:tcPr>
          <w:p w14:paraId="7F88B043" w14:textId="77DF1D56"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2.09</w:t>
            </w:r>
          </w:p>
        </w:tc>
        <w:tc>
          <w:tcPr>
            <w:tcW w:w="0" w:type="auto"/>
            <w:shd w:val="clear" w:color="auto" w:fill="auto"/>
            <w:noWrap/>
            <w:vAlign w:val="center"/>
            <w:hideMark/>
          </w:tcPr>
          <w:p w14:paraId="39DEEDE1" w14:textId="42783E10"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10.18</w:t>
            </w:r>
          </w:p>
        </w:tc>
        <w:tc>
          <w:tcPr>
            <w:tcW w:w="0" w:type="auto"/>
            <w:shd w:val="clear" w:color="auto" w:fill="auto"/>
            <w:noWrap/>
            <w:vAlign w:val="center"/>
            <w:hideMark/>
          </w:tcPr>
          <w:p w14:paraId="3858AE2D" w14:textId="686CA98A"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5.37</w:t>
            </w:r>
          </w:p>
        </w:tc>
        <w:tc>
          <w:tcPr>
            <w:tcW w:w="0" w:type="auto"/>
            <w:shd w:val="clear" w:color="auto" w:fill="auto"/>
            <w:noWrap/>
            <w:vAlign w:val="center"/>
            <w:hideMark/>
          </w:tcPr>
          <w:p w14:paraId="3D1EBB3B" w14:textId="41BB8D60"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1.67</w:t>
            </w:r>
          </w:p>
        </w:tc>
        <w:tc>
          <w:tcPr>
            <w:tcW w:w="0" w:type="auto"/>
            <w:shd w:val="clear" w:color="auto" w:fill="auto"/>
            <w:vAlign w:val="center"/>
          </w:tcPr>
          <w:p w14:paraId="5F0199D4" w14:textId="426180E8"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0.68</w:t>
            </w:r>
          </w:p>
        </w:tc>
      </w:tr>
      <w:tr w:rsidR="00483C8B" w:rsidRPr="00CA231E" w14:paraId="444D66CD" w14:textId="77777777" w:rsidTr="008D289A">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08017F3E" w14:textId="2704BB41" w:rsidR="00483C8B" w:rsidRPr="00CA231E" w:rsidRDefault="00483C8B" w:rsidP="00483C8B">
            <w:pPr>
              <w:spacing w:after="0" w:line="240" w:lineRule="auto"/>
              <w:jc w:val="center"/>
              <w:rPr>
                <w:rFonts w:ascii="Times New Roman" w:eastAsia="Times New Roman" w:hAnsi="Times New Roman" w:cs="Times New Roman"/>
                <w:color w:val="000000"/>
                <w:sz w:val="16"/>
                <w:szCs w:val="16"/>
              </w:rPr>
            </w:pPr>
            <w:r w:rsidRPr="00CA231E">
              <w:rPr>
                <w:rFonts w:ascii="Times New Roman" w:hAnsi="Times New Roman" w:cs="Times New Roman"/>
                <w:b w:val="0"/>
                <w:bCs w:val="0"/>
                <w:color w:val="000000"/>
                <w:sz w:val="16"/>
                <w:szCs w:val="16"/>
              </w:rPr>
              <w:t>ABHK 4 Firms</w:t>
            </w:r>
          </w:p>
        </w:tc>
        <w:tc>
          <w:tcPr>
            <w:tcW w:w="0" w:type="auto"/>
            <w:shd w:val="clear" w:color="auto" w:fill="auto"/>
            <w:noWrap/>
            <w:vAlign w:val="center"/>
            <w:hideMark/>
          </w:tcPr>
          <w:p w14:paraId="3C7B1B88" w14:textId="702A1CD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4,006</w:t>
            </w:r>
          </w:p>
        </w:tc>
        <w:tc>
          <w:tcPr>
            <w:tcW w:w="0" w:type="auto"/>
            <w:shd w:val="clear" w:color="auto" w:fill="auto"/>
            <w:noWrap/>
            <w:vAlign w:val="center"/>
            <w:hideMark/>
          </w:tcPr>
          <w:p w14:paraId="59DBF81D" w14:textId="395BE16F"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1.15</w:t>
            </w:r>
          </w:p>
        </w:tc>
        <w:tc>
          <w:tcPr>
            <w:tcW w:w="0" w:type="auto"/>
            <w:shd w:val="clear" w:color="auto" w:fill="auto"/>
            <w:noWrap/>
            <w:vAlign w:val="center"/>
            <w:hideMark/>
          </w:tcPr>
          <w:p w14:paraId="66CA43DA" w14:textId="11D3B90C"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2.17</w:t>
            </w:r>
          </w:p>
        </w:tc>
        <w:tc>
          <w:tcPr>
            <w:tcW w:w="0" w:type="auto"/>
            <w:shd w:val="clear" w:color="auto" w:fill="auto"/>
            <w:noWrap/>
            <w:vAlign w:val="center"/>
            <w:hideMark/>
          </w:tcPr>
          <w:p w14:paraId="789A01CC" w14:textId="6B83EE44"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10.55</w:t>
            </w:r>
          </w:p>
        </w:tc>
        <w:tc>
          <w:tcPr>
            <w:tcW w:w="0" w:type="auto"/>
            <w:shd w:val="clear" w:color="auto" w:fill="auto"/>
            <w:noWrap/>
            <w:vAlign w:val="center"/>
            <w:hideMark/>
          </w:tcPr>
          <w:p w14:paraId="4743D5C3" w14:textId="4533701C"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4.34</w:t>
            </w:r>
          </w:p>
        </w:tc>
        <w:tc>
          <w:tcPr>
            <w:tcW w:w="0" w:type="auto"/>
            <w:shd w:val="clear" w:color="auto" w:fill="auto"/>
            <w:noWrap/>
            <w:vAlign w:val="center"/>
            <w:hideMark/>
          </w:tcPr>
          <w:p w14:paraId="106C6DFD" w14:textId="59A6136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1.76</w:t>
            </w:r>
          </w:p>
        </w:tc>
        <w:tc>
          <w:tcPr>
            <w:tcW w:w="0" w:type="auto"/>
            <w:shd w:val="clear" w:color="auto" w:fill="auto"/>
            <w:vAlign w:val="center"/>
          </w:tcPr>
          <w:p w14:paraId="2AC435B7" w14:textId="57175DB0"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0.59</w:t>
            </w:r>
          </w:p>
        </w:tc>
      </w:tr>
      <w:tr w:rsidR="00483C8B" w:rsidRPr="00CA231E" w14:paraId="55B77176" w14:textId="77777777" w:rsidTr="008D289A">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686D9E96" w14:textId="4DB38B8B" w:rsidR="00483C8B" w:rsidRPr="00CA231E" w:rsidRDefault="00483C8B" w:rsidP="00483C8B">
            <w:pPr>
              <w:spacing w:after="0" w:line="240" w:lineRule="auto"/>
              <w:jc w:val="center"/>
              <w:rPr>
                <w:rFonts w:ascii="Times New Roman" w:eastAsia="Times New Roman" w:hAnsi="Times New Roman" w:cs="Times New Roman"/>
                <w:color w:val="000000"/>
                <w:sz w:val="16"/>
                <w:szCs w:val="16"/>
              </w:rPr>
            </w:pPr>
            <w:r w:rsidRPr="00CA231E">
              <w:rPr>
                <w:rFonts w:ascii="Times New Roman" w:hAnsi="Times New Roman" w:cs="Times New Roman"/>
                <w:b w:val="0"/>
                <w:bCs w:val="0"/>
                <w:color w:val="000000"/>
                <w:sz w:val="16"/>
                <w:szCs w:val="16"/>
              </w:rPr>
              <w:t>ABHK 5 Firms</w:t>
            </w:r>
          </w:p>
        </w:tc>
        <w:tc>
          <w:tcPr>
            <w:tcW w:w="0" w:type="auto"/>
            <w:shd w:val="clear" w:color="auto" w:fill="auto"/>
            <w:noWrap/>
            <w:vAlign w:val="center"/>
            <w:hideMark/>
          </w:tcPr>
          <w:p w14:paraId="5069D1B5" w14:textId="3C4ADC32"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6,358</w:t>
            </w:r>
          </w:p>
        </w:tc>
        <w:tc>
          <w:tcPr>
            <w:tcW w:w="0" w:type="auto"/>
            <w:shd w:val="clear" w:color="auto" w:fill="auto"/>
            <w:noWrap/>
            <w:vAlign w:val="center"/>
            <w:hideMark/>
          </w:tcPr>
          <w:p w14:paraId="069EF834" w14:textId="374619EE"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1.1</w:t>
            </w:r>
          </w:p>
        </w:tc>
        <w:tc>
          <w:tcPr>
            <w:tcW w:w="0" w:type="auto"/>
            <w:shd w:val="clear" w:color="auto" w:fill="auto"/>
            <w:noWrap/>
            <w:vAlign w:val="center"/>
            <w:hideMark/>
          </w:tcPr>
          <w:p w14:paraId="1BA4A880" w14:textId="7C843401"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2.16</w:t>
            </w:r>
          </w:p>
        </w:tc>
        <w:tc>
          <w:tcPr>
            <w:tcW w:w="0" w:type="auto"/>
            <w:shd w:val="clear" w:color="auto" w:fill="auto"/>
            <w:noWrap/>
            <w:vAlign w:val="center"/>
            <w:hideMark/>
          </w:tcPr>
          <w:p w14:paraId="16E10687" w14:textId="0B7C3CE9"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9.92</w:t>
            </w:r>
          </w:p>
        </w:tc>
        <w:tc>
          <w:tcPr>
            <w:tcW w:w="0" w:type="auto"/>
            <w:shd w:val="clear" w:color="auto" w:fill="auto"/>
            <w:noWrap/>
            <w:vAlign w:val="center"/>
            <w:hideMark/>
          </w:tcPr>
          <w:p w14:paraId="51C41C38" w14:textId="0ED3EB7D"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6.22</w:t>
            </w:r>
          </w:p>
        </w:tc>
        <w:tc>
          <w:tcPr>
            <w:tcW w:w="0" w:type="auto"/>
            <w:shd w:val="clear" w:color="auto" w:fill="auto"/>
            <w:noWrap/>
            <w:vAlign w:val="center"/>
            <w:hideMark/>
          </w:tcPr>
          <w:p w14:paraId="6B7B6C81" w14:textId="0CC21B4C"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1.75</w:t>
            </w:r>
          </w:p>
        </w:tc>
        <w:tc>
          <w:tcPr>
            <w:tcW w:w="0" w:type="auto"/>
            <w:shd w:val="clear" w:color="auto" w:fill="auto"/>
            <w:vAlign w:val="center"/>
          </w:tcPr>
          <w:p w14:paraId="78FE7ABC" w14:textId="7E0F25F8" w:rsidR="00483C8B" w:rsidRPr="00CA231E" w:rsidRDefault="00483C8B" w:rsidP="00483C8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0.71</w:t>
            </w:r>
          </w:p>
        </w:tc>
      </w:tr>
      <w:tr w:rsidR="00483C8B" w:rsidRPr="00CA231E" w14:paraId="6C604D85" w14:textId="77777777" w:rsidTr="008D289A">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vAlign w:val="center"/>
            <w:hideMark/>
          </w:tcPr>
          <w:p w14:paraId="79889CBF" w14:textId="3343B307" w:rsidR="00483C8B" w:rsidRPr="00CA231E" w:rsidRDefault="00483C8B" w:rsidP="00483C8B">
            <w:pPr>
              <w:spacing w:after="0" w:line="240" w:lineRule="auto"/>
              <w:jc w:val="center"/>
              <w:rPr>
                <w:rFonts w:ascii="Times New Roman" w:eastAsia="Times New Roman" w:hAnsi="Times New Roman" w:cs="Times New Roman"/>
                <w:color w:val="000000"/>
                <w:sz w:val="16"/>
                <w:szCs w:val="16"/>
              </w:rPr>
            </w:pPr>
            <w:r w:rsidRPr="00CA231E">
              <w:rPr>
                <w:rFonts w:ascii="Times New Roman" w:hAnsi="Times New Roman" w:cs="Times New Roman"/>
                <w:b w:val="0"/>
                <w:bCs w:val="0"/>
                <w:color w:val="000000"/>
                <w:sz w:val="16"/>
                <w:szCs w:val="16"/>
              </w:rPr>
              <w:t>ABHK 6 Firms</w:t>
            </w:r>
          </w:p>
        </w:tc>
        <w:tc>
          <w:tcPr>
            <w:tcW w:w="0" w:type="auto"/>
            <w:shd w:val="clear" w:color="auto" w:fill="auto"/>
            <w:noWrap/>
            <w:vAlign w:val="center"/>
            <w:hideMark/>
          </w:tcPr>
          <w:p w14:paraId="08F24646" w14:textId="46500925"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11,118</w:t>
            </w:r>
          </w:p>
        </w:tc>
        <w:tc>
          <w:tcPr>
            <w:tcW w:w="0" w:type="auto"/>
            <w:shd w:val="clear" w:color="auto" w:fill="auto"/>
            <w:noWrap/>
            <w:vAlign w:val="center"/>
            <w:hideMark/>
          </w:tcPr>
          <w:p w14:paraId="517E9AB5" w14:textId="30376733"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1.05</w:t>
            </w:r>
          </w:p>
        </w:tc>
        <w:tc>
          <w:tcPr>
            <w:tcW w:w="0" w:type="auto"/>
            <w:shd w:val="clear" w:color="auto" w:fill="auto"/>
            <w:noWrap/>
            <w:vAlign w:val="center"/>
            <w:hideMark/>
          </w:tcPr>
          <w:p w14:paraId="01020333" w14:textId="1322A27E"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2.34</w:t>
            </w:r>
          </w:p>
        </w:tc>
        <w:tc>
          <w:tcPr>
            <w:tcW w:w="0" w:type="auto"/>
            <w:shd w:val="clear" w:color="auto" w:fill="auto"/>
            <w:noWrap/>
            <w:vAlign w:val="center"/>
            <w:hideMark/>
          </w:tcPr>
          <w:p w14:paraId="45416F27" w14:textId="1EBD364A"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10.41</w:t>
            </w:r>
          </w:p>
        </w:tc>
        <w:tc>
          <w:tcPr>
            <w:tcW w:w="0" w:type="auto"/>
            <w:shd w:val="clear" w:color="auto" w:fill="auto"/>
            <w:noWrap/>
            <w:vAlign w:val="center"/>
            <w:hideMark/>
          </w:tcPr>
          <w:p w14:paraId="7A520AC6" w14:textId="1C5892DC"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8.18</w:t>
            </w:r>
          </w:p>
        </w:tc>
        <w:tc>
          <w:tcPr>
            <w:tcW w:w="0" w:type="auto"/>
            <w:shd w:val="clear" w:color="auto" w:fill="auto"/>
            <w:noWrap/>
            <w:vAlign w:val="center"/>
            <w:hideMark/>
          </w:tcPr>
          <w:p w14:paraId="387450E8" w14:textId="54F40107"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1.8</w:t>
            </w:r>
          </w:p>
        </w:tc>
        <w:tc>
          <w:tcPr>
            <w:tcW w:w="0" w:type="auto"/>
            <w:shd w:val="clear" w:color="auto" w:fill="auto"/>
            <w:vAlign w:val="center"/>
          </w:tcPr>
          <w:p w14:paraId="61509B3D" w14:textId="18DF9E48" w:rsidR="00483C8B" w:rsidRPr="00CA231E" w:rsidRDefault="00483C8B" w:rsidP="00483C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CA231E">
              <w:rPr>
                <w:rFonts w:ascii="Times New Roman" w:hAnsi="Times New Roman" w:cs="Times New Roman"/>
                <w:color w:val="000000"/>
                <w:sz w:val="16"/>
                <w:szCs w:val="16"/>
              </w:rPr>
              <w:t>0.94</w:t>
            </w:r>
          </w:p>
        </w:tc>
      </w:tr>
    </w:tbl>
    <w:p w14:paraId="76510931" w14:textId="77777777" w:rsidR="00863D17" w:rsidRPr="00437FE3" w:rsidRDefault="00A97A2D" w:rsidP="00437FE3">
      <w:pPr>
        <w:spacing w:line="240" w:lineRule="auto"/>
        <w:ind w:left="1304" w:right="1417"/>
        <w:rPr>
          <w:rFonts w:ascii="Times New Roman" w:hAnsi="Times New Roman" w:cs="Times New Roman"/>
          <w:sz w:val="18"/>
          <w:szCs w:val="18"/>
        </w:rPr>
        <w:sectPr w:rsidR="00863D17" w:rsidRPr="00437FE3" w:rsidSect="00437FE3">
          <w:pgSz w:w="15840" w:h="12240" w:orient="landscape" w:code="1"/>
          <w:pgMar w:top="1440" w:right="1440" w:bottom="1440" w:left="1440" w:header="720" w:footer="720" w:gutter="0"/>
          <w:cols w:space="720"/>
          <w:vAlign w:val="center"/>
          <w:docGrid w:linePitch="360"/>
        </w:sectPr>
      </w:pPr>
      <w:r w:rsidRPr="00437FE3">
        <w:rPr>
          <w:rFonts w:ascii="Times New Roman" w:hAnsi="Times New Roman" w:cs="Times New Roman"/>
          <w:sz w:val="18"/>
          <w:szCs w:val="18"/>
        </w:rPr>
        <w:t xml:space="preserve">Notes: We list the average of each measure for all firms in each category of internationalization.  For example for firms with over 50% foreign sales in any year, the average </w:t>
      </w:r>
      <w:r w:rsidR="00C912DF" w:rsidRPr="00437FE3">
        <w:rPr>
          <w:rFonts w:ascii="Times New Roman" w:hAnsi="Times New Roman" w:cs="Times New Roman"/>
          <w:sz w:val="18"/>
          <w:szCs w:val="18"/>
        </w:rPr>
        <w:t>market to book ratio is 2.12.</w:t>
      </w:r>
    </w:p>
    <w:p w14:paraId="1DDAA519" w14:textId="77777777" w:rsidR="009E5627" w:rsidRPr="009D0F99" w:rsidRDefault="009D0F99" w:rsidP="00166C53">
      <w:pPr>
        <w:pStyle w:val="Heading3"/>
      </w:pPr>
      <w:r w:rsidRPr="009D0F99">
        <w:lastRenderedPageBreak/>
        <w:t>Table 3</w:t>
      </w:r>
      <w:r>
        <w:t xml:space="preserve"> Average monthly returns for Firms by Category of </w:t>
      </w:r>
      <w:proofErr w:type="spellStart"/>
      <w:r>
        <w:t>Internationalisation</w:t>
      </w:r>
      <w:proofErr w:type="spellEnd"/>
    </w:p>
    <w:tbl>
      <w:tblPr>
        <w:tblW w:w="12613" w:type="dxa"/>
        <w:jc w:val="center"/>
        <w:tblLook w:val="04A0" w:firstRow="1" w:lastRow="0" w:firstColumn="1" w:lastColumn="0" w:noHBand="0" w:noVBand="1"/>
      </w:tblPr>
      <w:tblGrid>
        <w:gridCol w:w="1701"/>
        <w:gridCol w:w="992"/>
        <w:gridCol w:w="992"/>
        <w:gridCol w:w="992"/>
        <w:gridCol w:w="992"/>
        <w:gridCol w:w="992"/>
        <w:gridCol w:w="992"/>
        <w:gridCol w:w="992"/>
        <w:gridCol w:w="992"/>
        <w:gridCol w:w="992"/>
        <w:gridCol w:w="992"/>
        <w:gridCol w:w="992"/>
      </w:tblGrid>
      <w:tr w:rsidR="000A68CA" w:rsidRPr="00CA231E" w14:paraId="074DE8E9" w14:textId="77777777" w:rsidTr="000A68CA">
        <w:trPr>
          <w:trHeight w:val="315"/>
          <w:jc w:val="center"/>
        </w:trPr>
        <w:tc>
          <w:tcPr>
            <w:tcW w:w="1701" w:type="dxa"/>
            <w:tcBorders>
              <w:top w:val="single" w:sz="4" w:space="0" w:color="auto"/>
              <w:bottom w:val="single" w:sz="4" w:space="0" w:color="auto"/>
            </w:tcBorders>
            <w:shd w:val="clear" w:color="auto" w:fill="auto"/>
            <w:noWrap/>
            <w:vAlign w:val="center"/>
            <w:hideMark/>
          </w:tcPr>
          <w:p w14:paraId="1F05B2DA" w14:textId="67E5B190" w:rsidR="00483C8B" w:rsidRPr="00CA231E" w:rsidRDefault="00483C8B" w:rsidP="00483C8B">
            <w:pPr>
              <w:spacing w:after="0" w:line="240" w:lineRule="auto"/>
              <w:jc w:val="center"/>
              <w:rPr>
                <w:rFonts w:ascii="Times New Roman" w:eastAsia="Times New Roman" w:hAnsi="Times New Roman" w:cs="Times New Roman"/>
                <w:color w:val="000000"/>
                <w:sz w:val="16"/>
                <w:szCs w:val="16"/>
                <w:lang w:val="en-IE" w:eastAsia="en-IE"/>
              </w:rPr>
            </w:pPr>
          </w:p>
        </w:tc>
        <w:tc>
          <w:tcPr>
            <w:tcW w:w="992" w:type="dxa"/>
            <w:tcBorders>
              <w:top w:val="single" w:sz="4" w:space="0" w:color="auto"/>
              <w:bottom w:val="single" w:sz="4" w:space="0" w:color="auto"/>
            </w:tcBorders>
            <w:vAlign w:val="center"/>
          </w:tcPr>
          <w:p w14:paraId="0625014B" w14:textId="22EA7A71"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0% FS firms</w:t>
            </w:r>
          </w:p>
        </w:tc>
        <w:tc>
          <w:tcPr>
            <w:tcW w:w="992" w:type="dxa"/>
            <w:tcBorders>
              <w:top w:val="single" w:sz="4" w:space="0" w:color="auto"/>
              <w:bottom w:val="single" w:sz="4" w:space="0" w:color="auto"/>
            </w:tcBorders>
            <w:vAlign w:val="center"/>
          </w:tcPr>
          <w:p w14:paraId="54AF445B" w14:textId="18681473"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1-25% FS firms</w:t>
            </w:r>
          </w:p>
        </w:tc>
        <w:tc>
          <w:tcPr>
            <w:tcW w:w="992" w:type="dxa"/>
            <w:tcBorders>
              <w:top w:val="single" w:sz="4" w:space="0" w:color="auto"/>
              <w:bottom w:val="single" w:sz="4" w:space="0" w:color="auto"/>
            </w:tcBorders>
            <w:vAlign w:val="center"/>
          </w:tcPr>
          <w:p w14:paraId="62DE340B" w14:textId="6BE5399F"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25-50% FS firms</w:t>
            </w:r>
          </w:p>
        </w:tc>
        <w:tc>
          <w:tcPr>
            <w:tcW w:w="992" w:type="dxa"/>
            <w:tcBorders>
              <w:top w:val="single" w:sz="4" w:space="0" w:color="auto"/>
              <w:bottom w:val="single" w:sz="4" w:space="0" w:color="auto"/>
            </w:tcBorders>
            <w:vAlign w:val="center"/>
          </w:tcPr>
          <w:p w14:paraId="017F73CD" w14:textId="53E06B4B"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&gt; 50% FS firms</w:t>
            </w:r>
          </w:p>
        </w:tc>
        <w:tc>
          <w:tcPr>
            <w:tcW w:w="992" w:type="dxa"/>
            <w:tcBorders>
              <w:top w:val="single" w:sz="4" w:space="0" w:color="auto"/>
              <w:bottom w:val="single" w:sz="4" w:space="0" w:color="auto"/>
            </w:tcBorders>
            <w:vAlign w:val="center"/>
          </w:tcPr>
          <w:p w14:paraId="3062F779" w14:textId="5C9A63AC"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ABHK 0 firms</w:t>
            </w:r>
          </w:p>
        </w:tc>
        <w:tc>
          <w:tcPr>
            <w:tcW w:w="992" w:type="dxa"/>
            <w:tcBorders>
              <w:top w:val="single" w:sz="4" w:space="0" w:color="auto"/>
              <w:bottom w:val="single" w:sz="4" w:space="0" w:color="auto"/>
            </w:tcBorders>
            <w:shd w:val="clear" w:color="auto" w:fill="auto"/>
            <w:noWrap/>
            <w:vAlign w:val="center"/>
            <w:hideMark/>
          </w:tcPr>
          <w:p w14:paraId="150559D2" w14:textId="37F0F39B"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ABHK 1 firms</w:t>
            </w:r>
          </w:p>
        </w:tc>
        <w:tc>
          <w:tcPr>
            <w:tcW w:w="992" w:type="dxa"/>
            <w:tcBorders>
              <w:top w:val="single" w:sz="4" w:space="0" w:color="auto"/>
              <w:bottom w:val="single" w:sz="4" w:space="0" w:color="auto"/>
            </w:tcBorders>
            <w:shd w:val="clear" w:color="auto" w:fill="auto"/>
            <w:noWrap/>
            <w:vAlign w:val="center"/>
            <w:hideMark/>
          </w:tcPr>
          <w:p w14:paraId="09539C91" w14:textId="77777777"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ABHK 2 firms</w:t>
            </w:r>
          </w:p>
        </w:tc>
        <w:tc>
          <w:tcPr>
            <w:tcW w:w="992" w:type="dxa"/>
            <w:tcBorders>
              <w:top w:val="single" w:sz="4" w:space="0" w:color="auto"/>
              <w:bottom w:val="single" w:sz="4" w:space="0" w:color="auto"/>
            </w:tcBorders>
            <w:shd w:val="clear" w:color="auto" w:fill="auto"/>
            <w:noWrap/>
            <w:vAlign w:val="center"/>
            <w:hideMark/>
          </w:tcPr>
          <w:p w14:paraId="67AA20E5" w14:textId="77777777"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ABHK 3 firms</w:t>
            </w:r>
          </w:p>
        </w:tc>
        <w:tc>
          <w:tcPr>
            <w:tcW w:w="992" w:type="dxa"/>
            <w:tcBorders>
              <w:top w:val="single" w:sz="4" w:space="0" w:color="auto"/>
              <w:bottom w:val="single" w:sz="4" w:space="0" w:color="auto"/>
            </w:tcBorders>
            <w:shd w:val="clear" w:color="auto" w:fill="auto"/>
            <w:noWrap/>
            <w:vAlign w:val="center"/>
            <w:hideMark/>
          </w:tcPr>
          <w:p w14:paraId="04BCD034" w14:textId="77777777"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ABHK 4 firms</w:t>
            </w:r>
          </w:p>
        </w:tc>
        <w:tc>
          <w:tcPr>
            <w:tcW w:w="992" w:type="dxa"/>
            <w:tcBorders>
              <w:top w:val="single" w:sz="4" w:space="0" w:color="auto"/>
              <w:bottom w:val="single" w:sz="4" w:space="0" w:color="auto"/>
            </w:tcBorders>
            <w:shd w:val="clear" w:color="auto" w:fill="auto"/>
            <w:noWrap/>
            <w:vAlign w:val="center"/>
            <w:hideMark/>
          </w:tcPr>
          <w:p w14:paraId="5A8C1AA7" w14:textId="77777777"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ABHK 5 firms</w:t>
            </w:r>
          </w:p>
        </w:tc>
        <w:tc>
          <w:tcPr>
            <w:tcW w:w="992" w:type="dxa"/>
            <w:tcBorders>
              <w:top w:val="single" w:sz="4" w:space="0" w:color="auto"/>
              <w:bottom w:val="single" w:sz="4" w:space="0" w:color="auto"/>
            </w:tcBorders>
            <w:shd w:val="clear" w:color="auto" w:fill="auto"/>
            <w:noWrap/>
            <w:vAlign w:val="center"/>
            <w:hideMark/>
          </w:tcPr>
          <w:p w14:paraId="4BE7689C" w14:textId="77777777" w:rsidR="00483C8B" w:rsidRPr="00CA231E" w:rsidRDefault="00483C8B" w:rsidP="000A68CA">
            <w:pPr>
              <w:spacing w:after="0" w:line="240" w:lineRule="auto"/>
              <w:jc w:val="center"/>
              <w:rPr>
                <w:rFonts w:ascii="Times New Roman" w:eastAsia="Times New Roman" w:hAnsi="Times New Roman" w:cs="Times New Roman"/>
                <w:b/>
                <w:bCs/>
                <w:color w:val="000000"/>
                <w:sz w:val="16"/>
                <w:szCs w:val="16"/>
                <w:lang w:val="en-IE" w:eastAsia="en-IE"/>
              </w:rPr>
            </w:pPr>
            <w:r w:rsidRPr="00CA231E">
              <w:rPr>
                <w:rFonts w:ascii="Times New Roman" w:eastAsia="Times New Roman" w:hAnsi="Times New Roman" w:cs="Times New Roman"/>
                <w:b/>
                <w:bCs/>
                <w:color w:val="000000"/>
                <w:sz w:val="16"/>
                <w:szCs w:val="16"/>
                <w:lang w:val="en-IE" w:eastAsia="en-IE"/>
              </w:rPr>
              <w:t>ABHK 6 firms</w:t>
            </w:r>
          </w:p>
        </w:tc>
      </w:tr>
      <w:tr w:rsidR="00483C8B" w:rsidRPr="00CA231E" w14:paraId="47BB1FC8" w14:textId="77777777" w:rsidTr="000A68CA">
        <w:trPr>
          <w:trHeight w:val="315"/>
          <w:jc w:val="center"/>
        </w:trPr>
        <w:tc>
          <w:tcPr>
            <w:tcW w:w="1701" w:type="dxa"/>
            <w:tcBorders>
              <w:top w:val="single" w:sz="4" w:space="0" w:color="auto"/>
            </w:tcBorders>
            <w:shd w:val="clear" w:color="auto" w:fill="auto"/>
            <w:noWrap/>
            <w:vAlign w:val="center"/>
            <w:hideMark/>
          </w:tcPr>
          <w:p w14:paraId="52ECE43F" w14:textId="77777777" w:rsidR="00483C8B" w:rsidRPr="00CA231E" w:rsidRDefault="00483C8B" w:rsidP="00483C8B">
            <w:pPr>
              <w:spacing w:after="0" w:line="240" w:lineRule="auto"/>
              <w:rPr>
                <w:rFonts w:ascii="Times New Roman" w:eastAsia="Times New Roman" w:hAnsi="Times New Roman" w:cs="Times New Roman"/>
                <w:b/>
                <w:bCs/>
                <w:sz w:val="16"/>
                <w:szCs w:val="16"/>
                <w:lang w:val="en-IE" w:eastAsia="en-IE"/>
              </w:rPr>
            </w:pPr>
            <w:r w:rsidRPr="00CA231E">
              <w:rPr>
                <w:rFonts w:ascii="Times New Roman" w:eastAsia="Times New Roman" w:hAnsi="Times New Roman" w:cs="Times New Roman"/>
                <w:b/>
                <w:bCs/>
                <w:sz w:val="16"/>
                <w:szCs w:val="16"/>
                <w:lang w:val="en-IE" w:eastAsia="en-IE"/>
              </w:rPr>
              <w:t>Average monthly return</w:t>
            </w:r>
          </w:p>
        </w:tc>
        <w:tc>
          <w:tcPr>
            <w:tcW w:w="992" w:type="dxa"/>
            <w:tcBorders>
              <w:top w:val="single" w:sz="4" w:space="0" w:color="auto"/>
            </w:tcBorders>
            <w:vAlign w:val="center"/>
          </w:tcPr>
          <w:p w14:paraId="7ACF089B" w14:textId="6380F0B0"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0.33%</w:t>
            </w:r>
          </w:p>
        </w:tc>
        <w:tc>
          <w:tcPr>
            <w:tcW w:w="992" w:type="dxa"/>
            <w:tcBorders>
              <w:top w:val="single" w:sz="4" w:space="0" w:color="auto"/>
            </w:tcBorders>
            <w:vAlign w:val="center"/>
          </w:tcPr>
          <w:p w14:paraId="738A2578" w14:textId="649E84F9"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0.31%</w:t>
            </w:r>
          </w:p>
        </w:tc>
        <w:tc>
          <w:tcPr>
            <w:tcW w:w="992" w:type="dxa"/>
            <w:tcBorders>
              <w:top w:val="single" w:sz="4" w:space="0" w:color="auto"/>
            </w:tcBorders>
            <w:vAlign w:val="center"/>
          </w:tcPr>
          <w:p w14:paraId="15CC5845" w14:textId="30603A05"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0.33%</w:t>
            </w:r>
          </w:p>
        </w:tc>
        <w:tc>
          <w:tcPr>
            <w:tcW w:w="992" w:type="dxa"/>
            <w:tcBorders>
              <w:top w:val="single" w:sz="4" w:space="0" w:color="auto"/>
            </w:tcBorders>
            <w:vAlign w:val="center"/>
          </w:tcPr>
          <w:p w14:paraId="5B63034A" w14:textId="769EAB6D"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0.22%</w:t>
            </w:r>
          </w:p>
        </w:tc>
        <w:tc>
          <w:tcPr>
            <w:tcW w:w="992" w:type="dxa"/>
            <w:tcBorders>
              <w:top w:val="single" w:sz="4" w:space="0" w:color="auto"/>
            </w:tcBorders>
            <w:vAlign w:val="center"/>
          </w:tcPr>
          <w:p w14:paraId="4D885E43" w14:textId="29EEA556"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0.32%</w:t>
            </w:r>
          </w:p>
        </w:tc>
        <w:tc>
          <w:tcPr>
            <w:tcW w:w="992" w:type="dxa"/>
            <w:tcBorders>
              <w:top w:val="single" w:sz="4" w:space="0" w:color="auto"/>
            </w:tcBorders>
            <w:shd w:val="clear" w:color="auto" w:fill="auto"/>
            <w:noWrap/>
            <w:vAlign w:val="center"/>
            <w:hideMark/>
          </w:tcPr>
          <w:p w14:paraId="5EFAC6F2" w14:textId="5FBCB5F8"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0.34%</w:t>
            </w:r>
          </w:p>
        </w:tc>
        <w:tc>
          <w:tcPr>
            <w:tcW w:w="992" w:type="dxa"/>
            <w:tcBorders>
              <w:top w:val="single" w:sz="4" w:space="0" w:color="auto"/>
            </w:tcBorders>
            <w:shd w:val="clear" w:color="auto" w:fill="auto"/>
            <w:noWrap/>
            <w:vAlign w:val="center"/>
            <w:hideMark/>
          </w:tcPr>
          <w:p w14:paraId="55AF1D23"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0.28%</w:t>
            </w:r>
          </w:p>
        </w:tc>
        <w:tc>
          <w:tcPr>
            <w:tcW w:w="992" w:type="dxa"/>
            <w:tcBorders>
              <w:top w:val="single" w:sz="4" w:space="0" w:color="auto"/>
            </w:tcBorders>
            <w:shd w:val="clear" w:color="auto" w:fill="auto"/>
            <w:noWrap/>
            <w:vAlign w:val="center"/>
            <w:hideMark/>
          </w:tcPr>
          <w:p w14:paraId="39FD9EC8"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0.29%</w:t>
            </w:r>
          </w:p>
        </w:tc>
        <w:tc>
          <w:tcPr>
            <w:tcW w:w="992" w:type="dxa"/>
            <w:tcBorders>
              <w:top w:val="single" w:sz="4" w:space="0" w:color="auto"/>
            </w:tcBorders>
            <w:shd w:val="clear" w:color="auto" w:fill="auto"/>
            <w:noWrap/>
            <w:vAlign w:val="center"/>
            <w:hideMark/>
          </w:tcPr>
          <w:p w14:paraId="51C13B0B"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0.27%</w:t>
            </w:r>
          </w:p>
        </w:tc>
        <w:tc>
          <w:tcPr>
            <w:tcW w:w="992" w:type="dxa"/>
            <w:tcBorders>
              <w:top w:val="single" w:sz="4" w:space="0" w:color="auto"/>
            </w:tcBorders>
            <w:shd w:val="clear" w:color="auto" w:fill="auto"/>
            <w:noWrap/>
            <w:vAlign w:val="center"/>
            <w:hideMark/>
          </w:tcPr>
          <w:p w14:paraId="7D02ED68"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0.29%</w:t>
            </w:r>
          </w:p>
        </w:tc>
        <w:tc>
          <w:tcPr>
            <w:tcW w:w="992" w:type="dxa"/>
            <w:tcBorders>
              <w:top w:val="single" w:sz="4" w:space="0" w:color="auto"/>
            </w:tcBorders>
            <w:shd w:val="clear" w:color="auto" w:fill="auto"/>
            <w:noWrap/>
            <w:vAlign w:val="center"/>
            <w:hideMark/>
          </w:tcPr>
          <w:p w14:paraId="745ABBDE"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0.34%</w:t>
            </w:r>
          </w:p>
        </w:tc>
      </w:tr>
      <w:tr w:rsidR="00483C8B" w:rsidRPr="00CA231E" w14:paraId="66A1F8F6" w14:textId="77777777" w:rsidTr="000A68CA">
        <w:trPr>
          <w:trHeight w:val="300"/>
          <w:jc w:val="center"/>
        </w:trPr>
        <w:tc>
          <w:tcPr>
            <w:tcW w:w="1701" w:type="dxa"/>
            <w:shd w:val="clear" w:color="auto" w:fill="auto"/>
            <w:noWrap/>
            <w:vAlign w:val="center"/>
            <w:hideMark/>
          </w:tcPr>
          <w:p w14:paraId="70BF13B2" w14:textId="77777777" w:rsidR="00483C8B" w:rsidRPr="00CA231E" w:rsidRDefault="00483C8B" w:rsidP="00483C8B">
            <w:pPr>
              <w:spacing w:after="0" w:line="240" w:lineRule="auto"/>
              <w:rPr>
                <w:rFonts w:ascii="Times New Roman" w:eastAsia="Times New Roman" w:hAnsi="Times New Roman" w:cs="Times New Roman"/>
                <w:b/>
                <w:bCs/>
                <w:sz w:val="16"/>
                <w:szCs w:val="16"/>
                <w:lang w:val="en-IE" w:eastAsia="en-IE"/>
              </w:rPr>
            </w:pPr>
            <w:r w:rsidRPr="00CA231E">
              <w:rPr>
                <w:rFonts w:ascii="Times New Roman" w:eastAsia="Times New Roman" w:hAnsi="Times New Roman" w:cs="Times New Roman"/>
                <w:b/>
                <w:bCs/>
                <w:sz w:val="16"/>
                <w:szCs w:val="16"/>
                <w:lang w:val="en-IE" w:eastAsia="en-IE"/>
              </w:rPr>
              <w:t>Up months</w:t>
            </w:r>
          </w:p>
        </w:tc>
        <w:tc>
          <w:tcPr>
            <w:tcW w:w="992" w:type="dxa"/>
            <w:vAlign w:val="center"/>
          </w:tcPr>
          <w:p w14:paraId="1AE74DEB" w14:textId="40237E1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2.41%</w:t>
            </w:r>
          </w:p>
        </w:tc>
        <w:tc>
          <w:tcPr>
            <w:tcW w:w="992" w:type="dxa"/>
            <w:vAlign w:val="center"/>
          </w:tcPr>
          <w:p w14:paraId="36A50258" w14:textId="2CA91E2F"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3.05%</w:t>
            </w:r>
          </w:p>
        </w:tc>
        <w:tc>
          <w:tcPr>
            <w:tcW w:w="992" w:type="dxa"/>
            <w:vAlign w:val="center"/>
          </w:tcPr>
          <w:p w14:paraId="7357C45E" w14:textId="6EF7C524"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3.37%</w:t>
            </w:r>
          </w:p>
        </w:tc>
        <w:tc>
          <w:tcPr>
            <w:tcW w:w="992" w:type="dxa"/>
            <w:vAlign w:val="center"/>
          </w:tcPr>
          <w:p w14:paraId="09153CF1" w14:textId="3252EEA4"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3.49%</w:t>
            </w:r>
          </w:p>
        </w:tc>
        <w:tc>
          <w:tcPr>
            <w:tcW w:w="992" w:type="dxa"/>
            <w:vAlign w:val="center"/>
          </w:tcPr>
          <w:p w14:paraId="17852FF7" w14:textId="4349A4A4"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2.41%</w:t>
            </w:r>
          </w:p>
        </w:tc>
        <w:tc>
          <w:tcPr>
            <w:tcW w:w="992" w:type="dxa"/>
            <w:shd w:val="clear" w:color="auto" w:fill="auto"/>
            <w:noWrap/>
            <w:vAlign w:val="center"/>
            <w:hideMark/>
          </w:tcPr>
          <w:p w14:paraId="1CE2435D" w14:textId="0394FFC5"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2.62%</w:t>
            </w:r>
          </w:p>
        </w:tc>
        <w:tc>
          <w:tcPr>
            <w:tcW w:w="992" w:type="dxa"/>
            <w:shd w:val="clear" w:color="auto" w:fill="auto"/>
            <w:noWrap/>
            <w:vAlign w:val="center"/>
            <w:hideMark/>
          </w:tcPr>
          <w:p w14:paraId="2F3F1A08"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2.99%</w:t>
            </w:r>
          </w:p>
        </w:tc>
        <w:tc>
          <w:tcPr>
            <w:tcW w:w="992" w:type="dxa"/>
            <w:shd w:val="clear" w:color="auto" w:fill="auto"/>
            <w:noWrap/>
            <w:vAlign w:val="center"/>
            <w:hideMark/>
          </w:tcPr>
          <w:p w14:paraId="22D6772E"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3.33%</w:t>
            </w:r>
          </w:p>
        </w:tc>
        <w:tc>
          <w:tcPr>
            <w:tcW w:w="992" w:type="dxa"/>
            <w:shd w:val="clear" w:color="auto" w:fill="auto"/>
            <w:noWrap/>
            <w:vAlign w:val="center"/>
            <w:hideMark/>
          </w:tcPr>
          <w:p w14:paraId="18A6E420"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3.64%</w:t>
            </w:r>
          </w:p>
        </w:tc>
        <w:tc>
          <w:tcPr>
            <w:tcW w:w="992" w:type="dxa"/>
            <w:shd w:val="clear" w:color="auto" w:fill="auto"/>
            <w:noWrap/>
            <w:vAlign w:val="center"/>
            <w:hideMark/>
          </w:tcPr>
          <w:p w14:paraId="558A4CE1"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3.50%</w:t>
            </w:r>
          </w:p>
        </w:tc>
        <w:tc>
          <w:tcPr>
            <w:tcW w:w="992" w:type="dxa"/>
            <w:shd w:val="clear" w:color="auto" w:fill="auto"/>
            <w:noWrap/>
            <w:vAlign w:val="center"/>
            <w:hideMark/>
          </w:tcPr>
          <w:p w14:paraId="35B448DA"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3.52%</w:t>
            </w:r>
          </w:p>
        </w:tc>
      </w:tr>
      <w:tr w:rsidR="00483C8B" w:rsidRPr="00CA231E" w14:paraId="2C4CC793" w14:textId="77777777" w:rsidTr="000A68CA">
        <w:trPr>
          <w:trHeight w:val="315"/>
          <w:jc w:val="center"/>
        </w:trPr>
        <w:tc>
          <w:tcPr>
            <w:tcW w:w="1701" w:type="dxa"/>
            <w:shd w:val="clear" w:color="auto" w:fill="auto"/>
            <w:noWrap/>
            <w:vAlign w:val="center"/>
            <w:hideMark/>
          </w:tcPr>
          <w:p w14:paraId="6ED8F3EB" w14:textId="77777777" w:rsidR="00483C8B" w:rsidRPr="00CA231E" w:rsidRDefault="00483C8B" w:rsidP="00483C8B">
            <w:pPr>
              <w:spacing w:after="0" w:line="240" w:lineRule="auto"/>
              <w:rPr>
                <w:rFonts w:ascii="Times New Roman" w:eastAsia="Times New Roman" w:hAnsi="Times New Roman" w:cs="Times New Roman"/>
                <w:b/>
                <w:bCs/>
                <w:sz w:val="16"/>
                <w:szCs w:val="16"/>
                <w:lang w:val="en-IE" w:eastAsia="en-IE"/>
              </w:rPr>
            </w:pPr>
            <w:r w:rsidRPr="00CA231E">
              <w:rPr>
                <w:rFonts w:ascii="Times New Roman" w:eastAsia="Times New Roman" w:hAnsi="Times New Roman" w:cs="Times New Roman"/>
                <w:b/>
                <w:bCs/>
                <w:sz w:val="16"/>
                <w:szCs w:val="16"/>
                <w:lang w:val="en-IE" w:eastAsia="en-IE"/>
              </w:rPr>
              <w:t>Down Months</w:t>
            </w:r>
          </w:p>
        </w:tc>
        <w:tc>
          <w:tcPr>
            <w:tcW w:w="992" w:type="dxa"/>
            <w:vAlign w:val="center"/>
          </w:tcPr>
          <w:p w14:paraId="4F5A551C" w14:textId="3299C718"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-3.46%</w:t>
            </w:r>
          </w:p>
        </w:tc>
        <w:tc>
          <w:tcPr>
            <w:tcW w:w="992" w:type="dxa"/>
            <w:vAlign w:val="center"/>
          </w:tcPr>
          <w:p w14:paraId="577FEB10" w14:textId="5077C26D"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-4.70%</w:t>
            </w:r>
          </w:p>
        </w:tc>
        <w:tc>
          <w:tcPr>
            <w:tcW w:w="992" w:type="dxa"/>
            <w:vAlign w:val="center"/>
          </w:tcPr>
          <w:p w14:paraId="6169A11F" w14:textId="1D6AC038"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-5.20%</w:t>
            </w:r>
          </w:p>
        </w:tc>
        <w:tc>
          <w:tcPr>
            <w:tcW w:w="992" w:type="dxa"/>
            <w:vAlign w:val="center"/>
          </w:tcPr>
          <w:p w14:paraId="2C571A13" w14:textId="235CD80C"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-5.74%</w:t>
            </w:r>
          </w:p>
        </w:tc>
        <w:tc>
          <w:tcPr>
            <w:tcW w:w="992" w:type="dxa"/>
            <w:vAlign w:val="center"/>
          </w:tcPr>
          <w:p w14:paraId="209E6AD7" w14:textId="7B3DFD98"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eastAsia="en-IE"/>
              </w:rPr>
            </w:pPr>
            <w:r w:rsidRPr="00CA231E">
              <w:rPr>
                <w:rFonts w:ascii="Times New Roman" w:eastAsia="Times New Roman" w:hAnsi="Times New Roman" w:cs="Times New Roman"/>
                <w:color w:val="000000"/>
                <w:sz w:val="16"/>
                <w:szCs w:val="16"/>
                <w:lang w:eastAsia="en-IE"/>
              </w:rPr>
              <w:t>-3.48%</w:t>
            </w:r>
          </w:p>
        </w:tc>
        <w:tc>
          <w:tcPr>
            <w:tcW w:w="992" w:type="dxa"/>
            <w:shd w:val="clear" w:color="auto" w:fill="auto"/>
            <w:noWrap/>
            <w:vAlign w:val="center"/>
            <w:hideMark/>
          </w:tcPr>
          <w:p w14:paraId="235B0CEA" w14:textId="6B8DD598"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-3.83%</w:t>
            </w:r>
          </w:p>
        </w:tc>
        <w:tc>
          <w:tcPr>
            <w:tcW w:w="992" w:type="dxa"/>
            <w:shd w:val="clear" w:color="auto" w:fill="auto"/>
            <w:noWrap/>
            <w:vAlign w:val="center"/>
            <w:hideMark/>
          </w:tcPr>
          <w:p w14:paraId="770B32FD"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-4.68%</w:t>
            </w:r>
          </w:p>
        </w:tc>
        <w:tc>
          <w:tcPr>
            <w:tcW w:w="992" w:type="dxa"/>
            <w:shd w:val="clear" w:color="auto" w:fill="auto"/>
            <w:noWrap/>
            <w:vAlign w:val="center"/>
            <w:hideMark/>
          </w:tcPr>
          <w:p w14:paraId="03B006C7"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-5.24%</w:t>
            </w:r>
          </w:p>
        </w:tc>
        <w:tc>
          <w:tcPr>
            <w:tcW w:w="992" w:type="dxa"/>
            <w:shd w:val="clear" w:color="auto" w:fill="auto"/>
            <w:noWrap/>
            <w:vAlign w:val="center"/>
            <w:hideMark/>
          </w:tcPr>
          <w:p w14:paraId="1300C54E"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-5.89%</w:t>
            </w:r>
          </w:p>
        </w:tc>
        <w:tc>
          <w:tcPr>
            <w:tcW w:w="992" w:type="dxa"/>
            <w:shd w:val="clear" w:color="auto" w:fill="auto"/>
            <w:noWrap/>
            <w:vAlign w:val="center"/>
            <w:hideMark/>
          </w:tcPr>
          <w:p w14:paraId="1F9DFFFA"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-5.58%</w:t>
            </w:r>
          </w:p>
        </w:tc>
        <w:tc>
          <w:tcPr>
            <w:tcW w:w="992" w:type="dxa"/>
            <w:shd w:val="clear" w:color="auto" w:fill="auto"/>
            <w:noWrap/>
            <w:vAlign w:val="center"/>
            <w:hideMark/>
          </w:tcPr>
          <w:p w14:paraId="0B71EDF8" w14:textId="77777777" w:rsidR="00483C8B" w:rsidRPr="00CA231E" w:rsidRDefault="00483C8B" w:rsidP="000A68CA">
            <w:pPr>
              <w:spacing w:after="0" w:line="240" w:lineRule="auto"/>
              <w:jc w:val="center"/>
              <w:rPr>
                <w:rFonts w:ascii="Times New Roman" w:eastAsia="Times New Roman" w:hAnsi="Times New Roman" w:cs="Times New Roman"/>
                <w:color w:val="000000"/>
                <w:sz w:val="16"/>
                <w:szCs w:val="16"/>
                <w:lang w:val="en-IE" w:eastAsia="en-IE"/>
              </w:rPr>
            </w:pPr>
            <w:r w:rsidRPr="00CA231E">
              <w:rPr>
                <w:rFonts w:ascii="Times New Roman" w:eastAsia="Times New Roman" w:hAnsi="Times New Roman" w:cs="Times New Roman"/>
                <w:color w:val="000000"/>
                <w:sz w:val="16"/>
                <w:szCs w:val="16"/>
                <w:lang w:eastAsia="en-IE"/>
              </w:rPr>
              <w:t>-5.44%</w:t>
            </w:r>
          </w:p>
        </w:tc>
      </w:tr>
      <w:tr w:rsidR="00483C8B" w:rsidRPr="00CA231E" w14:paraId="75C3A8F8" w14:textId="77777777" w:rsidTr="000A68CA">
        <w:trPr>
          <w:trHeight w:val="300"/>
          <w:jc w:val="center"/>
        </w:trPr>
        <w:tc>
          <w:tcPr>
            <w:tcW w:w="1701" w:type="dxa"/>
            <w:shd w:val="clear" w:color="auto" w:fill="auto"/>
            <w:noWrap/>
            <w:vAlign w:val="center"/>
            <w:hideMark/>
          </w:tcPr>
          <w:p w14:paraId="1891182A" w14:textId="77777777" w:rsidR="00483C8B" w:rsidRPr="000A68CA" w:rsidRDefault="00483C8B" w:rsidP="00483C8B">
            <w:pPr>
              <w:spacing w:after="0" w:line="240" w:lineRule="auto"/>
              <w:rPr>
                <w:rFonts w:ascii="Times New Roman" w:eastAsia="Times New Roman" w:hAnsi="Times New Roman" w:cs="Times New Roman"/>
                <w:b/>
                <w:bCs/>
                <w:i/>
                <w:iCs/>
                <w:sz w:val="16"/>
                <w:szCs w:val="16"/>
                <w:lang w:val="en-IE" w:eastAsia="en-IE"/>
              </w:rPr>
            </w:pPr>
            <w:r w:rsidRPr="000A68CA">
              <w:rPr>
                <w:rFonts w:ascii="Times New Roman" w:eastAsia="Times New Roman" w:hAnsi="Times New Roman" w:cs="Times New Roman"/>
                <w:b/>
                <w:bCs/>
                <w:i/>
                <w:iCs/>
                <w:sz w:val="16"/>
                <w:szCs w:val="16"/>
                <w:lang w:val="en-IE" w:eastAsia="en-IE"/>
              </w:rPr>
              <w:t>Differences</w:t>
            </w:r>
          </w:p>
        </w:tc>
        <w:tc>
          <w:tcPr>
            <w:tcW w:w="992" w:type="dxa"/>
            <w:vAlign w:val="center"/>
          </w:tcPr>
          <w:p w14:paraId="45AB238E"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vAlign w:val="center"/>
          </w:tcPr>
          <w:p w14:paraId="517FC937"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vAlign w:val="center"/>
          </w:tcPr>
          <w:p w14:paraId="2E571986"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vAlign w:val="center"/>
          </w:tcPr>
          <w:p w14:paraId="5E7AFBA6"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vAlign w:val="center"/>
          </w:tcPr>
          <w:p w14:paraId="5657B48E"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shd w:val="clear" w:color="auto" w:fill="auto"/>
            <w:noWrap/>
            <w:vAlign w:val="center"/>
            <w:hideMark/>
          </w:tcPr>
          <w:p w14:paraId="140534DC" w14:textId="78756E41"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shd w:val="clear" w:color="auto" w:fill="auto"/>
            <w:noWrap/>
            <w:vAlign w:val="center"/>
            <w:hideMark/>
          </w:tcPr>
          <w:p w14:paraId="26C99279"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shd w:val="clear" w:color="auto" w:fill="auto"/>
            <w:noWrap/>
            <w:vAlign w:val="center"/>
            <w:hideMark/>
          </w:tcPr>
          <w:p w14:paraId="1E04E86D"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shd w:val="clear" w:color="auto" w:fill="auto"/>
            <w:noWrap/>
            <w:vAlign w:val="center"/>
            <w:hideMark/>
          </w:tcPr>
          <w:p w14:paraId="3D55677A"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shd w:val="clear" w:color="auto" w:fill="auto"/>
            <w:noWrap/>
            <w:vAlign w:val="center"/>
            <w:hideMark/>
          </w:tcPr>
          <w:p w14:paraId="106F90E9"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c>
          <w:tcPr>
            <w:tcW w:w="992" w:type="dxa"/>
            <w:shd w:val="clear" w:color="auto" w:fill="auto"/>
            <w:noWrap/>
            <w:vAlign w:val="center"/>
            <w:hideMark/>
          </w:tcPr>
          <w:p w14:paraId="2316E91A" w14:textId="77777777" w:rsidR="00483C8B" w:rsidRPr="00864704" w:rsidRDefault="00483C8B" w:rsidP="000A68CA">
            <w:pPr>
              <w:spacing w:after="0" w:line="240" w:lineRule="auto"/>
              <w:jc w:val="center"/>
              <w:rPr>
                <w:rFonts w:ascii="Times New Roman" w:eastAsia="Times New Roman" w:hAnsi="Times New Roman" w:cs="Times New Roman"/>
                <w:sz w:val="16"/>
                <w:szCs w:val="16"/>
                <w:lang w:val="en-IE" w:eastAsia="en-IE"/>
              </w:rPr>
            </w:pPr>
          </w:p>
        </w:tc>
      </w:tr>
      <w:tr w:rsidR="00483C8B" w:rsidRPr="00CA231E" w14:paraId="7BF4AF07" w14:textId="77777777" w:rsidTr="000A68CA">
        <w:trPr>
          <w:trHeight w:val="300"/>
          <w:jc w:val="center"/>
        </w:trPr>
        <w:tc>
          <w:tcPr>
            <w:tcW w:w="1701" w:type="dxa"/>
            <w:shd w:val="clear" w:color="auto" w:fill="auto"/>
            <w:noWrap/>
            <w:vAlign w:val="center"/>
            <w:hideMark/>
          </w:tcPr>
          <w:p w14:paraId="6E362EFF" w14:textId="77777777" w:rsidR="00483C8B" w:rsidRPr="00864704" w:rsidRDefault="00483C8B" w:rsidP="00483C8B">
            <w:pPr>
              <w:spacing w:after="0" w:line="240" w:lineRule="auto"/>
              <w:rPr>
                <w:rFonts w:ascii="Times New Roman" w:eastAsia="Times New Roman" w:hAnsi="Times New Roman" w:cs="Times New Roman"/>
                <w:b/>
                <w:bCs/>
                <w:iCs/>
                <w:sz w:val="16"/>
                <w:szCs w:val="16"/>
                <w:lang w:val="en-IE" w:eastAsia="en-IE"/>
              </w:rPr>
            </w:pPr>
            <w:r w:rsidRPr="00864704">
              <w:rPr>
                <w:rFonts w:ascii="Times New Roman" w:eastAsia="Times New Roman" w:hAnsi="Times New Roman" w:cs="Times New Roman"/>
                <w:b/>
                <w:bCs/>
                <w:iCs/>
                <w:sz w:val="16"/>
                <w:szCs w:val="16"/>
                <w:lang w:val="en-IE" w:eastAsia="en-IE"/>
              </w:rPr>
              <w:t>All months</w:t>
            </w:r>
          </w:p>
        </w:tc>
        <w:tc>
          <w:tcPr>
            <w:tcW w:w="992" w:type="dxa"/>
            <w:vAlign w:val="center"/>
          </w:tcPr>
          <w:p w14:paraId="545D12C7"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p>
        </w:tc>
        <w:tc>
          <w:tcPr>
            <w:tcW w:w="992" w:type="dxa"/>
            <w:vAlign w:val="center"/>
          </w:tcPr>
          <w:p w14:paraId="11A64FE9" w14:textId="3BD90493"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-0.02%</w:t>
            </w:r>
          </w:p>
        </w:tc>
        <w:tc>
          <w:tcPr>
            <w:tcW w:w="992" w:type="dxa"/>
            <w:vAlign w:val="center"/>
          </w:tcPr>
          <w:p w14:paraId="34545B89" w14:textId="0F91486F"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0.00%</w:t>
            </w:r>
          </w:p>
        </w:tc>
        <w:tc>
          <w:tcPr>
            <w:tcW w:w="992" w:type="dxa"/>
            <w:vAlign w:val="center"/>
          </w:tcPr>
          <w:p w14:paraId="234871F6" w14:textId="5394734F"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-0.11%</w:t>
            </w:r>
          </w:p>
        </w:tc>
        <w:tc>
          <w:tcPr>
            <w:tcW w:w="992" w:type="dxa"/>
            <w:vAlign w:val="center"/>
          </w:tcPr>
          <w:p w14:paraId="46BC9586"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p>
        </w:tc>
        <w:tc>
          <w:tcPr>
            <w:tcW w:w="992" w:type="dxa"/>
            <w:shd w:val="clear" w:color="auto" w:fill="auto"/>
            <w:noWrap/>
            <w:vAlign w:val="center"/>
            <w:hideMark/>
          </w:tcPr>
          <w:p w14:paraId="7020D34D" w14:textId="7DB67E4E"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0.02%</w:t>
            </w:r>
          </w:p>
        </w:tc>
        <w:tc>
          <w:tcPr>
            <w:tcW w:w="992" w:type="dxa"/>
            <w:shd w:val="clear" w:color="auto" w:fill="auto"/>
            <w:noWrap/>
            <w:vAlign w:val="center"/>
            <w:hideMark/>
          </w:tcPr>
          <w:p w14:paraId="365717ED"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-0.04%</w:t>
            </w:r>
          </w:p>
        </w:tc>
        <w:tc>
          <w:tcPr>
            <w:tcW w:w="992" w:type="dxa"/>
            <w:shd w:val="clear" w:color="auto" w:fill="auto"/>
            <w:noWrap/>
            <w:vAlign w:val="center"/>
            <w:hideMark/>
          </w:tcPr>
          <w:p w14:paraId="463DA8C1"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-0.03%</w:t>
            </w:r>
          </w:p>
        </w:tc>
        <w:tc>
          <w:tcPr>
            <w:tcW w:w="992" w:type="dxa"/>
            <w:shd w:val="clear" w:color="auto" w:fill="auto"/>
            <w:noWrap/>
            <w:vAlign w:val="center"/>
            <w:hideMark/>
          </w:tcPr>
          <w:p w14:paraId="467FBCCB"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-0.05%</w:t>
            </w:r>
          </w:p>
        </w:tc>
        <w:tc>
          <w:tcPr>
            <w:tcW w:w="992" w:type="dxa"/>
            <w:shd w:val="clear" w:color="auto" w:fill="auto"/>
            <w:noWrap/>
            <w:vAlign w:val="center"/>
            <w:hideMark/>
          </w:tcPr>
          <w:p w14:paraId="2D7A98EE"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-0.03%</w:t>
            </w:r>
          </w:p>
        </w:tc>
        <w:tc>
          <w:tcPr>
            <w:tcW w:w="992" w:type="dxa"/>
            <w:shd w:val="clear" w:color="auto" w:fill="auto"/>
            <w:noWrap/>
            <w:vAlign w:val="center"/>
            <w:hideMark/>
          </w:tcPr>
          <w:p w14:paraId="5349AC7D"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0.03%</w:t>
            </w:r>
          </w:p>
        </w:tc>
      </w:tr>
      <w:tr w:rsidR="00483C8B" w:rsidRPr="00CA231E" w14:paraId="67AF7986" w14:textId="77777777" w:rsidTr="000A68CA">
        <w:trPr>
          <w:trHeight w:val="300"/>
          <w:jc w:val="center"/>
        </w:trPr>
        <w:tc>
          <w:tcPr>
            <w:tcW w:w="1701" w:type="dxa"/>
            <w:shd w:val="clear" w:color="auto" w:fill="auto"/>
            <w:noWrap/>
            <w:vAlign w:val="center"/>
            <w:hideMark/>
          </w:tcPr>
          <w:p w14:paraId="74EB9B2C" w14:textId="77777777" w:rsidR="00483C8B" w:rsidRPr="00864704" w:rsidRDefault="00483C8B" w:rsidP="00483C8B">
            <w:pPr>
              <w:spacing w:after="0" w:line="240" w:lineRule="auto"/>
              <w:rPr>
                <w:rFonts w:ascii="Times New Roman" w:eastAsia="Times New Roman" w:hAnsi="Times New Roman" w:cs="Times New Roman"/>
                <w:b/>
                <w:bCs/>
                <w:iCs/>
                <w:sz w:val="16"/>
                <w:szCs w:val="16"/>
                <w:lang w:val="en-IE" w:eastAsia="en-IE"/>
              </w:rPr>
            </w:pPr>
            <w:r w:rsidRPr="00864704">
              <w:rPr>
                <w:rFonts w:ascii="Times New Roman" w:eastAsia="Times New Roman" w:hAnsi="Times New Roman" w:cs="Times New Roman"/>
                <w:b/>
                <w:bCs/>
                <w:iCs/>
                <w:sz w:val="16"/>
                <w:szCs w:val="16"/>
                <w:lang w:val="en-IE" w:eastAsia="en-IE"/>
              </w:rPr>
              <w:t>Up months</w:t>
            </w:r>
          </w:p>
        </w:tc>
        <w:tc>
          <w:tcPr>
            <w:tcW w:w="992" w:type="dxa"/>
            <w:vAlign w:val="center"/>
          </w:tcPr>
          <w:p w14:paraId="562F9564"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p>
        </w:tc>
        <w:tc>
          <w:tcPr>
            <w:tcW w:w="992" w:type="dxa"/>
            <w:vAlign w:val="center"/>
          </w:tcPr>
          <w:p w14:paraId="7A82F24B" w14:textId="01188541"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0.64%*</w:t>
            </w:r>
          </w:p>
        </w:tc>
        <w:tc>
          <w:tcPr>
            <w:tcW w:w="992" w:type="dxa"/>
            <w:vAlign w:val="center"/>
          </w:tcPr>
          <w:p w14:paraId="0C9626B4" w14:textId="24BCC324"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0.96%**</w:t>
            </w:r>
          </w:p>
        </w:tc>
        <w:tc>
          <w:tcPr>
            <w:tcW w:w="992" w:type="dxa"/>
            <w:vAlign w:val="center"/>
          </w:tcPr>
          <w:p w14:paraId="775779D0" w14:textId="7896FC3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1.08%**</w:t>
            </w:r>
          </w:p>
        </w:tc>
        <w:tc>
          <w:tcPr>
            <w:tcW w:w="992" w:type="dxa"/>
            <w:vAlign w:val="center"/>
          </w:tcPr>
          <w:p w14:paraId="7E63FEA7"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p>
        </w:tc>
        <w:tc>
          <w:tcPr>
            <w:tcW w:w="992" w:type="dxa"/>
            <w:shd w:val="clear" w:color="auto" w:fill="auto"/>
            <w:noWrap/>
            <w:vAlign w:val="center"/>
            <w:hideMark/>
          </w:tcPr>
          <w:p w14:paraId="3B848153" w14:textId="4BC10301"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0.22%</w:t>
            </w:r>
          </w:p>
        </w:tc>
        <w:tc>
          <w:tcPr>
            <w:tcW w:w="992" w:type="dxa"/>
            <w:shd w:val="clear" w:color="auto" w:fill="auto"/>
            <w:noWrap/>
            <w:vAlign w:val="center"/>
            <w:hideMark/>
          </w:tcPr>
          <w:p w14:paraId="6562299D" w14:textId="0ACB7A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0.59%*</w:t>
            </w:r>
          </w:p>
        </w:tc>
        <w:tc>
          <w:tcPr>
            <w:tcW w:w="992" w:type="dxa"/>
            <w:shd w:val="clear" w:color="auto" w:fill="auto"/>
            <w:noWrap/>
            <w:vAlign w:val="center"/>
            <w:hideMark/>
          </w:tcPr>
          <w:p w14:paraId="01E34B6C" w14:textId="4DE0F52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0.92%***</w:t>
            </w:r>
          </w:p>
        </w:tc>
        <w:tc>
          <w:tcPr>
            <w:tcW w:w="992" w:type="dxa"/>
            <w:shd w:val="clear" w:color="auto" w:fill="auto"/>
            <w:noWrap/>
            <w:vAlign w:val="center"/>
            <w:hideMark/>
          </w:tcPr>
          <w:p w14:paraId="07D12A7B" w14:textId="21535243"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1.24%***</w:t>
            </w:r>
          </w:p>
        </w:tc>
        <w:tc>
          <w:tcPr>
            <w:tcW w:w="992" w:type="dxa"/>
            <w:shd w:val="clear" w:color="auto" w:fill="auto"/>
            <w:noWrap/>
            <w:vAlign w:val="center"/>
            <w:hideMark/>
          </w:tcPr>
          <w:p w14:paraId="7E5765A8" w14:textId="14561A00"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1.10%***</w:t>
            </w:r>
          </w:p>
        </w:tc>
        <w:tc>
          <w:tcPr>
            <w:tcW w:w="992" w:type="dxa"/>
            <w:shd w:val="clear" w:color="auto" w:fill="auto"/>
            <w:noWrap/>
            <w:vAlign w:val="center"/>
            <w:hideMark/>
          </w:tcPr>
          <w:p w14:paraId="79E3DEF8" w14:textId="397B6FB3"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1.11%***</w:t>
            </w:r>
          </w:p>
        </w:tc>
      </w:tr>
      <w:tr w:rsidR="00483C8B" w:rsidRPr="00CA231E" w14:paraId="12DB458F" w14:textId="77777777" w:rsidTr="000A68CA">
        <w:trPr>
          <w:trHeight w:val="300"/>
          <w:jc w:val="center"/>
        </w:trPr>
        <w:tc>
          <w:tcPr>
            <w:tcW w:w="1701" w:type="dxa"/>
            <w:shd w:val="clear" w:color="auto" w:fill="auto"/>
            <w:noWrap/>
            <w:vAlign w:val="center"/>
            <w:hideMark/>
          </w:tcPr>
          <w:p w14:paraId="0ED0BEDC" w14:textId="77777777" w:rsidR="00483C8B" w:rsidRPr="00864704" w:rsidRDefault="00483C8B" w:rsidP="00483C8B">
            <w:pPr>
              <w:spacing w:after="0" w:line="240" w:lineRule="auto"/>
              <w:rPr>
                <w:rFonts w:ascii="Times New Roman" w:eastAsia="Times New Roman" w:hAnsi="Times New Roman" w:cs="Times New Roman"/>
                <w:b/>
                <w:bCs/>
                <w:iCs/>
                <w:sz w:val="16"/>
                <w:szCs w:val="16"/>
                <w:lang w:val="en-IE" w:eastAsia="en-IE"/>
              </w:rPr>
            </w:pPr>
            <w:r w:rsidRPr="00864704">
              <w:rPr>
                <w:rFonts w:ascii="Times New Roman" w:eastAsia="Times New Roman" w:hAnsi="Times New Roman" w:cs="Times New Roman"/>
                <w:b/>
                <w:bCs/>
                <w:iCs/>
                <w:sz w:val="16"/>
                <w:szCs w:val="16"/>
                <w:lang w:val="en-IE" w:eastAsia="en-IE"/>
              </w:rPr>
              <w:t>Down months</w:t>
            </w:r>
          </w:p>
        </w:tc>
        <w:tc>
          <w:tcPr>
            <w:tcW w:w="992" w:type="dxa"/>
            <w:vAlign w:val="center"/>
          </w:tcPr>
          <w:p w14:paraId="2FD94284"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p>
        </w:tc>
        <w:tc>
          <w:tcPr>
            <w:tcW w:w="992" w:type="dxa"/>
            <w:vAlign w:val="center"/>
          </w:tcPr>
          <w:p w14:paraId="190220B6" w14:textId="46AC3B21"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-1.24%*</w:t>
            </w:r>
          </w:p>
        </w:tc>
        <w:tc>
          <w:tcPr>
            <w:tcW w:w="992" w:type="dxa"/>
            <w:vAlign w:val="center"/>
          </w:tcPr>
          <w:p w14:paraId="01ADAF2D" w14:textId="5865469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-1.74%**</w:t>
            </w:r>
          </w:p>
        </w:tc>
        <w:tc>
          <w:tcPr>
            <w:tcW w:w="992" w:type="dxa"/>
            <w:vAlign w:val="center"/>
          </w:tcPr>
          <w:p w14:paraId="7F2608A4" w14:textId="4051F462"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r w:rsidRPr="00864704">
              <w:rPr>
                <w:rFonts w:ascii="Times New Roman" w:eastAsia="Times New Roman" w:hAnsi="Times New Roman" w:cs="Times New Roman"/>
                <w:iCs/>
                <w:color w:val="000000"/>
                <w:sz w:val="16"/>
                <w:szCs w:val="16"/>
                <w:lang w:eastAsia="en-IE"/>
              </w:rPr>
              <w:t>-2.28%***</w:t>
            </w:r>
          </w:p>
        </w:tc>
        <w:tc>
          <w:tcPr>
            <w:tcW w:w="992" w:type="dxa"/>
            <w:vAlign w:val="center"/>
          </w:tcPr>
          <w:p w14:paraId="56FACD6D" w14:textId="77777777"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eastAsia="en-IE"/>
              </w:rPr>
            </w:pPr>
          </w:p>
        </w:tc>
        <w:tc>
          <w:tcPr>
            <w:tcW w:w="992" w:type="dxa"/>
            <w:shd w:val="clear" w:color="auto" w:fill="auto"/>
            <w:noWrap/>
            <w:vAlign w:val="center"/>
            <w:hideMark/>
          </w:tcPr>
          <w:p w14:paraId="17D93C38" w14:textId="5D2D59C2"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-0.35%</w:t>
            </w:r>
          </w:p>
        </w:tc>
        <w:tc>
          <w:tcPr>
            <w:tcW w:w="992" w:type="dxa"/>
            <w:shd w:val="clear" w:color="auto" w:fill="auto"/>
            <w:noWrap/>
            <w:vAlign w:val="center"/>
            <w:hideMark/>
          </w:tcPr>
          <w:p w14:paraId="03E800AC" w14:textId="473C6364"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-1.19%*</w:t>
            </w:r>
          </w:p>
        </w:tc>
        <w:tc>
          <w:tcPr>
            <w:tcW w:w="992" w:type="dxa"/>
            <w:shd w:val="clear" w:color="auto" w:fill="auto"/>
            <w:noWrap/>
            <w:vAlign w:val="center"/>
            <w:hideMark/>
          </w:tcPr>
          <w:p w14:paraId="766E6F2B" w14:textId="4C006C02"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-1.76%**</w:t>
            </w:r>
          </w:p>
        </w:tc>
        <w:tc>
          <w:tcPr>
            <w:tcW w:w="992" w:type="dxa"/>
            <w:shd w:val="clear" w:color="auto" w:fill="auto"/>
            <w:noWrap/>
            <w:vAlign w:val="center"/>
            <w:hideMark/>
          </w:tcPr>
          <w:p w14:paraId="05ABB6AA" w14:textId="6E1DA7DE"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-2.40%***</w:t>
            </w:r>
          </w:p>
        </w:tc>
        <w:tc>
          <w:tcPr>
            <w:tcW w:w="992" w:type="dxa"/>
            <w:shd w:val="clear" w:color="auto" w:fill="auto"/>
            <w:noWrap/>
            <w:vAlign w:val="center"/>
            <w:hideMark/>
          </w:tcPr>
          <w:p w14:paraId="278B5CEB" w14:textId="42A6A8EF"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-2.09%***</w:t>
            </w:r>
          </w:p>
        </w:tc>
        <w:tc>
          <w:tcPr>
            <w:tcW w:w="992" w:type="dxa"/>
            <w:shd w:val="clear" w:color="auto" w:fill="auto"/>
            <w:noWrap/>
            <w:vAlign w:val="center"/>
            <w:hideMark/>
          </w:tcPr>
          <w:p w14:paraId="28786FF3" w14:textId="4D40188C" w:rsidR="00483C8B" w:rsidRPr="00864704" w:rsidRDefault="00483C8B" w:rsidP="000A68CA">
            <w:pPr>
              <w:spacing w:after="0" w:line="240" w:lineRule="auto"/>
              <w:jc w:val="center"/>
              <w:rPr>
                <w:rFonts w:ascii="Times New Roman" w:eastAsia="Times New Roman" w:hAnsi="Times New Roman" w:cs="Times New Roman"/>
                <w:iCs/>
                <w:color w:val="000000"/>
                <w:sz w:val="16"/>
                <w:szCs w:val="16"/>
                <w:lang w:val="en-IE" w:eastAsia="en-IE"/>
              </w:rPr>
            </w:pPr>
            <w:r w:rsidRPr="00864704">
              <w:rPr>
                <w:rFonts w:ascii="Times New Roman" w:eastAsia="Times New Roman" w:hAnsi="Times New Roman" w:cs="Times New Roman"/>
                <w:iCs/>
                <w:color w:val="000000"/>
                <w:sz w:val="16"/>
                <w:szCs w:val="16"/>
                <w:lang w:eastAsia="en-IE"/>
              </w:rPr>
              <w:t>-1.96%**</w:t>
            </w:r>
          </w:p>
        </w:tc>
      </w:tr>
      <w:tr w:rsidR="00543F8B" w:rsidRPr="00CA231E" w14:paraId="14012618" w14:textId="77777777" w:rsidTr="000A68CA">
        <w:trPr>
          <w:trHeight w:val="80"/>
          <w:jc w:val="center"/>
        </w:trPr>
        <w:tc>
          <w:tcPr>
            <w:tcW w:w="1701" w:type="dxa"/>
            <w:tcBorders>
              <w:bottom w:val="single" w:sz="4" w:space="0" w:color="auto"/>
            </w:tcBorders>
            <w:shd w:val="clear" w:color="auto" w:fill="auto"/>
            <w:noWrap/>
            <w:vAlign w:val="center"/>
            <w:hideMark/>
          </w:tcPr>
          <w:p w14:paraId="76B6B119" w14:textId="67B34797" w:rsidR="00543F8B" w:rsidRPr="00864704" w:rsidRDefault="00543F8B" w:rsidP="00543F8B">
            <w:pPr>
              <w:spacing w:after="0" w:line="240" w:lineRule="auto"/>
              <w:rPr>
                <w:rFonts w:ascii="Times New Roman" w:eastAsia="Times New Roman" w:hAnsi="Times New Roman" w:cs="Times New Roman"/>
                <w:b/>
                <w:bCs/>
                <w:iCs/>
                <w:color w:val="000000"/>
                <w:sz w:val="16"/>
                <w:szCs w:val="16"/>
                <w:lang w:val="en-IE" w:eastAsia="en-IE"/>
              </w:rPr>
            </w:pPr>
            <w:r w:rsidRPr="00864704">
              <w:rPr>
                <w:rFonts w:ascii="Times New Roman" w:eastAsia="Times New Roman" w:hAnsi="Times New Roman" w:cs="Times New Roman"/>
                <w:b/>
                <w:bCs/>
                <w:iCs/>
                <w:color w:val="000000"/>
                <w:sz w:val="16"/>
                <w:szCs w:val="16"/>
                <w:lang w:val="en-IE" w:eastAsia="en-IE"/>
              </w:rPr>
              <w:t>Difference of Differences</w:t>
            </w:r>
          </w:p>
        </w:tc>
        <w:tc>
          <w:tcPr>
            <w:tcW w:w="992" w:type="dxa"/>
            <w:tcBorders>
              <w:bottom w:val="single" w:sz="4" w:space="0" w:color="auto"/>
            </w:tcBorders>
            <w:vAlign w:val="center"/>
          </w:tcPr>
          <w:p w14:paraId="31E722F6" w14:textId="77777777"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eastAsia="en-IE"/>
              </w:rPr>
            </w:pPr>
          </w:p>
        </w:tc>
        <w:tc>
          <w:tcPr>
            <w:tcW w:w="992" w:type="dxa"/>
            <w:tcBorders>
              <w:bottom w:val="single" w:sz="4" w:space="0" w:color="auto"/>
            </w:tcBorders>
            <w:vAlign w:val="center"/>
          </w:tcPr>
          <w:p w14:paraId="0F3F9E70" w14:textId="538370DC"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eastAsia="en-IE"/>
              </w:rPr>
            </w:pPr>
            <w:r>
              <w:rPr>
                <w:color w:val="000000"/>
                <w:sz w:val="16"/>
                <w:szCs w:val="16"/>
              </w:rPr>
              <w:t>-0.60%*</w:t>
            </w:r>
          </w:p>
        </w:tc>
        <w:tc>
          <w:tcPr>
            <w:tcW w:w="992" w:type="dxa"/>
            <w:tcBorders>
              <w:bottom w:val="single" w:sz="4" w:space="0" w:color="auto"/>
            </w:tcBorders>
            <w:vAlign w:val="center"/>
          </w:tcPr>
          <w:p w14:paraId="16ADE829" w14:textId="73700ABE"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eastAsia="en-IE"/>
              </w:rPr>
            </w:pPr>
            <w:r>
              <w:rPr>
                <w:color w:val="000000"/>
                <w:sz w:val="16"/>
                <w:szCs w:val="16"/>
              </w:rPr>
              <w:t>-0.78%*</w:t>
            </w:r>
          </w:p>
        </w:tc>
        <w:tc>
          <w:tcPr>
            <w:tcW w:w="992" w:type="dxa"/>
            <w:tcBorders>
              <w:bottom w:val="single" w:sz="4" w:space="0" w:color="auto"/>
            </w:tcBorders>
            <w:vAlign w:val="center"/>
          </w:tcPr>
          <w:p w14:paraId="28B02C96" w14:textId="6F992748"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eastAsia="en-IE"/>
              </w:rPr>
            </w:pPr>
            <w:r>
              <w:rPr>
                <w:color w:val="000000"/>
                <w:sz w:val="16"/>
                <w:szCs w:val="16"/>
              </w:rPr>
              <w:t>-1.20%**</w:t>
            </w:r>
          </w:p>
        </w:tc>
        <w:tc>
          <w:tcPr>
            <w:tcW w:w="992" w:type="dxa"/>
            <w:tcBorders>
              <w:bottom w:val="single" w:sz="4" w:space="0" w:color="auto"/>
            </w:tcBorders>
            <w:vAlign w:val="center"/>
          </w:tcPr>
          <w:p w14:paraId="45A2E60B" w14:textId="6184F56F"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eastAsia="en-IE"/>
              </w:rPr>
            </w:pPr>
            <w:r>
              <w:rPr>
                <w:color w:val="000000"/>
                <w:sz w:val="16"/>
                <w:szCs w:val="16"/>
              </w:rPr>
              <w:t> </w:t>
            </w:r>
          </w:p>
        </w:tc>
        <w:tc>
          <w:tcPr>
            <w:tcW w:w="992" w:type="dxa"/>
            <w:tcBorders>
              <w:bottom w:val="single" w:sz="4" w:space="0" w:color="auto"/>
            </w:tcBorders>
            <w:shd w:val="clear" w:color="auto" w:fill="auto"/>
            <w:noWrap/>
            <w:vAlign w:val="center"/>
            <w:hideMark/>
          </w:tcPr>
          <w:p w14:paraId="359F8D72" w14:textId="5A4887FF"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val="en-IE" w:eastAsia="en-IE"/>
              </w:rPr>
            </w:pPr>
            <w:r>
              <w:rPr>
                <w:color w:val="000000"/>
                <w:sz w:val="16"/>
                <w:szCs w:val="16"/>
              </w:rPr>
              <w:t>-0.13%</w:t>
            </w:r>
          </w:p>
        </w:tc>
        <w:tc>
          <w:tcPr>
            <w:tcW w:w="992" w:type="dxa"/>
            <w:tcBorders>
              <w:bottom w:val="single" w:sz="4" w:space="0" w:color="auto"/>
            </w:tcBorders>
            <w:shd w:val="clear" w:color="auto" w:fill="auto"/>
            <w:noWrap/>
            <w:vAlign w:val="center"/>
            <w:hideMark/>
          </w:tcPr>
          <w:p w14:paraId="4502312C" w14:textId="3CB97A2D"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val="en-IE" w:eastAsia="en-IE"/>
              </w:rPr>
            </w:pPr>
            <w:r>
              <w:rPr>
                <w:color w:val="000000"/>
                <w:sz w:val="16"/>
                <w:szCs w:val="16"/>
              </w:rPr>
              <w:t>-0.60%*</w:t>
            </w:r>
          </w:p>
        </w:tc>
        <w:tc>
          <w:tcPr>
            <w:tcW w:w="992" w:type="dxa"/>
            <w:tcBorders>
              <w:bottom w:val="single" w:sz="4" w:space="0" w:color="auto"/>
            </w:tcBorders>
            <w:shd w:val="clear" w:color="auto" w:fill="auto"/>
            <w:noWrap/>
            <w:vAlign w:val="center"/>
            <w:hideMark/>
          </w:tcPr>
          <w:p w14:paraId="0025335D" w14:textId="7D0A7E62"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val="en-IE" w:eastAsia="en-IE"/>
              </w:rPr>
            </w:pPr>
            <w:r>
              <w:rPr>
                <w:color w:val="000000"/>
                <w:sz w:val="16"/>
                <w:szCs w:val="16"/>
              </w:rPr>
              <w:t>-0.83%**</w:t>
            </w:r>
          </w:p>
        </w:tc>
        <w:tc>
          <w:tcPr>
            <w:tcW w:w="992" w:type="dxa"/>
            <w:tcBorders>
              <w:bottom w:val="single" w:sz="4" w:space="0" w:color="auto"/>
            </w:tcBorders>
            <w:shd w:val="clear" w:color="auto" w:fill="auto"/>
            <w:noWrap/>
            <w:vAlign w:val="center"/>
            <w:hideMark/>
          </w:tcPr>
          <w:p w14:paraId="2E302A1D" w14:textId="7B079927"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val="en-IE" w:eastAsia="en-IE"/>
              </w:rPr>
            </w:pPr>
            <w:r>
              <w:rPr>
                <w:color w:val="000000"/>
                <w:sz w:val="16"/>
                <w:szCs w:val="16"/>
              </w:rPr>
              <w:t>-1.16%***</w:t>
            </w:r>
          </w:p>
        </w:tc>
        <w:tc>
          <w:tcPr>
            <w:tcW w:w="992" w:type="dxa"/>
            <w:tcBorders>
              <w:bottom w:val="single" w:sz="4" w:space="0" w:color="auto"/>
            </w:tcBorders>
            <w:shd w:val="clear" w:color="auto" w:fill="auto"/>
            <w:noWrap/>
            <w:vAlign w:val="center"/>
            <w:hideMark/>
          </w:tcPr>
          <w:p w14:paraId="08CC5E47" w14:textId="192C0478"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val="en-IE" w:eastAsia="en-IE"/>
              </w:rPr>
            </w:pPr>
            <w:r>
              <w:rPr>
                <w:color w:val="000000"/>
                <w:sz w:val="16"/>
                <w:szCs w:val="16"/>
              </w:rPr>
              <w:t>-0.99%***</w:t>
            </w:r>
          </w:p>
        </w:tc>
        <w:tc>
          <w:tcPr>
            <w:tcW w:w="992" w:type="dxa"/>
            <w:tcBorders>
              <w:bottom w:val="single" w:sz="4" w:space="0" w:color="auto"/>
            </w:tcBorders>
            <w:shd w:val="clear" w:color="auto" w:fill="auto"/>
            <w:noWrap/>
            <w:vAlign w:val="center"/>
            <w:hideMark/>
          </w:tcPr>
          <w:p w14:paraId="23496D16" w14:textId="45EB0A96" w:rsidR="00543F8B" w:rsidRPr="00864704" w:rsidRDefault="00543F8B" w:rsidP="00543F8B">
            <w:pPr>
              <w:spacing w:after="0" w:line="240" w:lineRule="auto"/>
              <w:jc w:val="center"/>
              <w:rPr>
                <w:rFonts w:ascii="Times New Roman" w:eastAsia="Times New Roman" w:hAnsi="Times New Roman" w:cs="Times New Roman"/>
                <w:iCs/>
                <w:color w:val="000000"/>
                <w:sz w:val="16"/>
                <w:szCs w:val="16"/>
                <w:lang w:val="en-IE" w:eastAsia="en-IE"/>
              </w:rPr>
            </w:pPr>
            <w:r>
              <w:rPr>
                <w:color w:val="000000"/>
                <w:sz w:val="16"/>
                <w:szCs w:val="16"/>
              </w:rPr>
              <w:t>-0.85%**</w:t>
            </w:r>
          </w:p>
        </w:tc>
      </w:tr>
    </w:tbl>
    <w:p w14:paraId="7A7ABF0C" w14:textId="0E68B378" w:rsidR="009D0F99" w:rsidRDefault="009D0F99" w:rsidP="00437FE3">
      <w:pPr>
        <w:spacing w:after="160" w:line="240" w:lineRule="auto"/>
        <w:ind w:left="1077" w:right="1020"/>
        <w:rPr>
          <w:rFonts w:ascii="Times New Roman" w:eastAsia="Times New Roman" w:hAnsi="Times New Roman" w:cs="Times New Roman"/>
          <w:color w:val="000000"/>
          <w:sz w:val="18"/>
          <w:szCs w:val="18"/>
        </w:rPr>
      </w:pPr>
      <w:r w:rsidRPr="00437FE3">
        <w:rPr>
          <w:rFonts w:ascii="Times New Roman" w:eastAsia="Times New Roman" w:hAnsi="Times New Roman" w:cs="Times New Roman"/>
          <w:color w:val="000000"/>
          <w:sz w:val="18"/>
          <w:szCs w:val="18"/>
        </w:rPr>
        <w:t>Notes: We list the average monthly return for firms in each category of internationalization for all months, months when the Russell3000 had a positive return and negative return.  We show the differences for firms in each category with firms with 0% foreign sales</w:t>
      </w:r>
      <w:r w:rsidR="00005F85" w:rsidRPr="00437FE3">
        <w:rPr>
          <w:rFonts w:ascii="Times New Roman" w:eastAsia="Times New Roman" w:hAnsi="Times New Roman" w:cs="Times New Roman"/>
          <w:color w:val="000000"/>
          <w:sz w:val="18"/>
          <w:szCs w:val="18"/>
        </w:rPr>
        <w:t xml:space="preserve"> or ABHK 0</w:t>
      </w:r>
      <w:r w:rsidRPr="00437FE3">
        <w:rPr>
          <w:rFonts w:ascii="Times New Roman" w:eastAsia="Times New Roman" w:hAnsi="Times New Roman" w:cs="Times New Roman"/>
          <w:color w:val="000000"/>
          <w:sz w:val="18"/>
          <w:szCs w:val="18"/>
        </w:rPr>
        <w:t>.  The difference of differences is between up months and down months.</w:t>
      </w:r>
      <w:r w:rsidR="006C505B">
        <w:rPr>
          <w:rFonts w:ascii="Times New Roman" w:eastAsia="Times New Roman" w:hAnsi="Times New Roman" w:cs="Times New Roman"/>
          <w:color w:val="000000"/>
          <w:sz w:val="18"/>
          <w:szCs w:val="18"/>
        </w:rPr>
        <w:t xml:space="preserve"> *** indicates t-test is significant at the 1% level, ** at the 5% level and * at the 10% level.</w:t>
      </w:r>
    </w:p>
    <w:p w14:paraId="61B9C1AF" w14:textId="77777777" w:rsidR="007C1AA6" w:rsidRPr="00437FE3" w:rsidRDefault="007C1AA6" w:rsidP="00437FE3">
      <w:pPr>
        <w:spacing w:after="160" w:line="240" w:lineRule="auto"/>
        <w:ind w:left="1077" w:right="1020"/>
        <w:rPr>
          <w:rFonts w:ascii="Times New Roman" w:eastAsia="Times New Roman" w:hAnsi="Times New Roman" w:cs="Times New Roman"/>
          <w:color w:val="000000"/>
          <w:sz w:val="18"/>
          <w:szCs w:val="18"/>
        </w:rPr>
      </w:pPr>
    </w:p>
    <w:p w14:paraId="52001C74" w14:textId="334B0785" w:rsidR="00FC6F50" w:rsidRDefault="00FC6F50" w:rsidP="009D0F99">
      <w:pPr>
        <w:spacing w:after="160" w:line="259" w:lineRule="auto"/>
        <w:jc w:val="center"/>
        <w:rPr>
          <w:rFonts w:ascii="Times New Roman" w:eastAsia="Times New Roman" w:hAnsi="Times New Roman" w:cs="Times New Roman"/>
          <w:color w:val="000000"/>
          <w:sz w:val="20"/>
          <w:szCs w:val="20"/>
        </w:rPr>
      </w:pPr>
    </w:p>
    <w:p w14:paraId="606C52EE" w14:textId="77777777" w:rsidR="006C505B" w:rsidRDefault="006C505B" w:rsidP="009D0F99">
      <w:pPr>
        <w:spacing w:after="160" w:line="259" w:lineRule="auto"/>
        <w:jc w:val="center"/>
        <w:rPr>
          <w:rFonts w:ascii="Times New Roman" w:eastAsia="Times New Roman" w:hAnsi="Times New Roman" w:cs="Times New Roman"/>
          <w:color w:val="000000"/>
          <w:sz w:val="20"/>
          <w:szCs w:val="20"/>
        </w:rPr>
        <w:sectPr w:rsidR="006C505B" w:rsidSect="00FC6F50">
          <w:pgSz w:w="16838" w:h="11906" w:orient="landscape" w:code="9"/>
          <w:pgMar w:top="1440" w:right="1440" w:bottom="1440" w:left="1440" w:header="706" w:footer="706" w:gutter="0"/>
          <w:cols w:space="708"/>
          <w:vAlign w:val="center"/>
          <w:docGrid w:linePitch="360"/>
        </w:sectPr>
      </w:pPr>
    </w:p>
    <w:p w14:paraId="695079F6" w14:textId="77777777" w:rsidR="00FC6F50" w:rsidRDefault="00FC6F50" w:rsidP="00166C53">
      <w:pPr>
        <w:pStyle w:val="Heading3"/>
      </w:pPr>
      <w:r>
        <w:lastRenderedPageBreak/>
        <w:t>Table 4 Average Returns by Year</w:t>
      </w:r>
    </w:p>
    <w:tbl>
      <w:tblPr>
        <w:tblStyle w:val="PlainTable31"/>
        <w:tblW w:w="0" w:type="auto"/>
        <w:jc w:val="center"/>
        <w:tblLayout w:type="fixed"/>
        <w:tblLook w:val="04A0" w:firstRow="1" w:lastRow="0" w:firstColumn="1" w:lastColumn="0" w:noHBand="0" w:noVBand="1"/>
      </w:tblPr>
      <w:tblGrid>
        <w:gridCol w:w="850"/>
        <w:gridCol w:w="850"/>
        <w:gridCol w:w="850"/>
        <w:gridCol w:w="850"/>
        <w:gridCol w:w="850"/>
        <w:gridCol w:w="850"/>
        <w:gridCol w:w="850"/>
        <w:gridCol w:w="850"/>
        <w:gridCol w:w="850"/>
        <w:gridCol w:w="850"/>
        <w:gridCol w:w="993"/>
        <w:gridCol w:w="997"/>
        <w:gridCol w:w="236"/>
        <w:gridCol w:w="425"/>
        <w:gridCol w:w="615"/>
      </w:tblGrid>
      <w:tr w:rsidR="00AA1FD9" w:rsidRPr="00B87834" w14:paraId="5A4B3AC0" w14:textId="76703189" w:rsidTr="00543F8B">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100" w:firstRow="0" w:lastRow="0" w:firstColumn="1" w:lastColumn="0" w:oddVBand="0" w:evenVBand="0" w:oddHBand="0" w:evenHBand="0" w:firstRowFirstColumn="1" w:firstRowLastColumn="0" w:lastRowFirstColumn="0" w:lastRowLastColumn="0"/>
            <w:tcW w:w="850" w:type="dxa"/>
            <w:shd w:val="clear" w:color="auto" w:fill="auto"/>
            <w:noWrap/>
            <w:hideMark/>
          </w:tcPr>
          <w:p w14:paraId="5A02CA1B" w14:textId="77777777" w:rsidR="00AA1FD9" w:rsidRPr="00B87834" w:rsidRDefault="00AA1FD9" w:rsidP="00543F8B">
            <w:pPr>
              <w:spacing w:after="0" w:line="240" w:lineRule="auto"/>
              <w:rPr>
                <w:rFonts w:ascii="Times New Roman" w:eastAsia="Times New Roman" w:hAnsi="Times New Roman" w:cs="Times New Roman"/>
                <w:sz w:val="16"/>
                <w:szCs w:val="16"/>
                <w:lang w:val="en-IE" w:eastAsia="en-IE"/>
              </w:rPr>
            </w:pPr>
          </w:p>
        </w:tc>
        <w:tc>
          <w:tcPr>
            <w:tcW w:w="2550" w:type="dxa"/>
            <w:gridSpan w:val="3"/>
            <w:shd w:val="clear" w:color="auto" w:fill="auto"/>
            <w:noWrap/>
            <w:hideMark/>
          </w:tcPr>
          <w:p w14:paraId="6061D079" w14:textId="5DC2FB0A" w:rsidR="00AA1FD9" w:rsidRPr="00B87834" w:rsidRDefault="00AA1FD9" w:rsidP="00543F8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Times New Roman" w:eastAsia="Times New Roman" w:hAnsi="Times New Roman" w:cs="Times New Roman"/>
                <w:color w:val="000000"/>
                <w:sz w:val="16"/>
                <w:szCs w:val="16"/>
                <w:lang w:val="en-IE" w:eastAsia="en-IE"/>
              </w:rPr>
              <w:t>All months</w:t>
            </w:r>
          </w:p>
        </w:tc>
        <w:tc>
          <w:tcPr>
            <w:tcW w:w="2550" w:type="dxa"/>
            <w:gridSpan w:val="3"/>
            <w:tcBorders>
              <w:bottom w:val="none" w:sz="0" w:space="0" w:color="auto"/>
            </w:tcBorders>
            <w:shd w:val="clear" w:color="auto" w:fill="auto"/>
            <w:noWrap/>
            <w:hideMark/>
          </w:tcPr>
          <w:p w14:paraId="31A8BC43" w14:textId="7AAE0905" w:rsidR="00AA1FD9" w:rsidRPr="00B87834" w:rsidRDefault="00AA1FD9" w:rsidP="00543F8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Times New Roman" w:eastAsia="Times New Roman" w:hAnsi="Times New Roman" w:cs="Times New Roman"/>
                <w:color w:val="000000"/>
                <w:sz w:val="16"/>
                <w:szCs w:val="16"/>
                <w:lang w:val="en-IE" w:eastAsia="en-IE"/>
              </w:rPr>
              <w:t>Up months</w:t>
            </w:r>
          </w:p>
        </w:tc>
        <w:tc>
          <w:tcPr>
            <w:tcW w:w="2550" w:type="dxa"/>
            <w:gridSpan w:val="3"/>
            <w:tcBorders>
              <w:bottom w:val="none" w:sz="0" w:space="0" w:color="auto"/>
            </w:tcBorders>
            <w:shd w:val="clear" w:color="auto" w:fill="auto"/>
            <w:noWrap/>
            <w:hideMark/>
          </w:tcPr>
          <w:p w14:paraId="0098F2F5" w14:textId="19BA00B4" w:rsidR="00AA1FD9" w:rsidRPr="00B87834" w:rsidRDefault="00AA1FD9" w:rsidP="00543F8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Times New Roman" w:eastAsia="Times New Roman" w:hAnsi="Times New Roman" w:cs="Times New Roman"/>
                <w:color w:val="000000"/>
                <w:sz w:val="16"/>
                <w:szCs w:val="16"/>
                <w:lang w:val="en-IE" w:eastAsia="en-IE"/>
              </w:rPr>
              <w:t>Down months</w:t>
            </w:r>
          </w:p>
        </w:tc>
        <w:tc>
          <w:tcPr>
            <w:tcW w:w="993" w:type="dxa"/>
            <w:shd w:val="clear" w:color="auto" w:fill="auto"/>
            <w:noWrap/>
            <w:hideMark/>
          </w:tcPr>
          <w:p w14:paraId="06AD5EE6" w14:textId="77777777" w:rsidR="00AA1FD9" w:rsidRPr="00B87834" w:rsidRDefault="00AA1FD9" w:rsidP="00543F8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p>
        </w:tc>
        <w:tc>
          <w:tcPr>
            <w:tcW w:w="997" w:type="dxa"/>
            <w:shd w:val="clear" w:color="auto" w:fill="auto"/>
            <w:noWrap/>
            <w:hideMark/>
          </w:tcPr>
          <w:p w14:paraId="441E5261" w14:textId="77777777" w:rsidR="00AA1FD9" w:rsidRPr="00B87834" w:rsidRDefault="00AA1FD9" w:rsidP="00543F8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p>
        </w:tc>
        <w:tc>
          <w:tcPr>
            <w:tcW w:w="1276" w:type="dxa"/>
            <w:gridSpan w:val="3"/>
            <w:shd w:val="clear" w:color="auto" w:fill="auto"/>
          </w:tcPr>
          <w:p w14:paraId="49294B9B" w14:textId="77777777" w:rsidR="00AA1FD9" w:rsidRPr="00B87834" w:rsidRDefault="00AA1FD9" w:rsidP="00543F8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p>
        </w:tc>
      </w:tr>
      <w:tr w:rsidR="000F36A7" w:rsidRPr="00B87834" w14:paraId="22B77597" w14:textId="50465672"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1319C24D" w14:textId="77777777" w:rsidR="000F36A7" w:rsidRPr="00B87834" w:rsidRDefault="000F36A7" w:rsidP="00543F8B">
            <w:pPr>
              <w:spacing w:after="0" w:line="240" w:lineRule="auto"/>
              <w:rPr>
                <w:rFonts w:ascii="Times New Roman" w:eastAsia="Times New Roman" w:hAnsi="Times New Roman" w:cs="Times New Roman"/>
                <w:sz w:val="16"/>
                <w:szCs w:val="16"/>
                <w:lang w:val="en-IE" w:eastAsia="en-IE"/>
              </w:rPr>
            </w:pPr>
          </w:p>
        </w:tc>
        <w:tc>
          <w:tcPr>
            <w:tcW w:w="850" w:type="dxa"/>
            <w:shd w:val="clear" w:color="auto" w:fill="auto"/>
            <w:noWrap/>
            <w:hideMark/>
          </w:tcPr>
          <w:p w14:paraId="5E3FC2B0" w14:textId="27090957"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Russell</w:t>
            </w:r>
          </w:p>
        </w:tc>
        <w:tc>
          <w:tcPr>
            <w:tcW w:w="850" w:type="dxa"/>
            <w:tcBorders>
              <w:top w:val="single" w:sz="4" w:space="0" w:color="auto"/>
            </w:tcBorders>
            <w:shd w:val="clear" w:color="auto" w:fill="auto"/>
            <w:noWrap/>
            <w:hideMark/>
          </w:tcPr>
          <w:p w14:paraId="4F1CB50D" w14:textId="77777777"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 FS</w:t>
            </w:r>
          </w:p>
        </w:tc>
        <w:tc>
          <w:tcPr>
            <w:tcW w:w="850" w:type="dxa"/>
            <w:tcBorders>
              <w:top w:val="single" w:sz="4" w:space="0" w:color="auto"/>
              <w:right w:val="single" w:sz="4" w:space="0" w:color="auto"/>
            </w:tcBorders>
            <w:shd w:val="clear" w:color="auto" w:fill="auto"/>
            <w:noWrap/>
            <w:hideMark/>
          </w:tcPr>
          <w:p w14:paraId="1B5A88C5" w14:textId="77777777"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all MNCs</w:t>
            </w:r>
          </w:p>
        </w:tc>
        <w:tc>
          <w:tcPr>
            <w:tcW w:w="850" w:type="dxa"/>
            <w:tcBorders>
              <w:top w:val="single" w:sz="4" w:space="0" w:color="auto"/>
              <w:left w:val="single" w:sz="4" w:space="0" w:color="auto"/>
            </w:tcBorders>
            <w:shd w:val="clear" w:color="auto" w:fill="auto"/>
            <w:noWrap/>
            <w:hideMark/>
          </w:tcPr>
          <w:p w14:paraId="7B3DA742" w14:textId="148656A4"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Russell</w:t>
            </w:r>
          </w:p>
        </w:tc>
        <w:tc>
          <w:tcPr>
            <w:tcW w:w="850" w:type="dxa"/>
            <w:tcBorders>
              <w:top w:val="single" w:sz="4" w:space="0" w:color="auto"/>
            </w:tcBorders>
            <w:shd w:val="clear" w:color="auto" w:fill="auto"/>
            <w:noWrap/>
            <w:hideMark/>
          </w:tcPr>
          <w:p w14:paraId="074689F0" w14:textId="77777777"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 FS</w:t>
            </w:r>
          </w:p>
        </w:tc>
        <w:tc>
          <w:tcPr>
            <w:tcW w:w="850" w:type="dxa"/>
            <w:tcBorders>
              <w:top w:val="single" w:sz="4" w:space="0" w:color="auto"/>
              <w:right w:val="single" w:sz="4" w:space="0" w:color="auto"/>
            </w:tcBorders>
            <w:shd w:val="clear" w:color="auto" w:fill="auto"/>
            <w:noWrap/>
            <w:hideMark/>
          </w:tcPr>
          <w:p w14:paraId="38267283" w14:textId="77777777"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all MNCs</w:t>
            </w:r>
          </w:p>
        </w:tc>
        <w:tc>
          <w:tcPr>
            <w:tcW w:w="850" w:type="dxa"/>
            <w:tcBorders>
              <w:top w:val="single" w:sz="4" w:space="0" w:color="auto"/>
              <w:left w:val="single" w:sz="4" w:space="0" w:color="auto"/>
            </w:tcBorders>
            <w:shd w:val="clear" w:color="auto" w:fill="auto"/>
            <w:noWrap/>
            <w:hideMark/>
          </w:tcPr>
          <w:p w14:paraId="3603D984" w14:textId="04C56C11"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Russell</w:t>
            </w:r>
          </w:p>
        </w:tc>
        <w:tc>
          <w:tcPr>
            <w:tcW w:w="850" w:type="dxa"/>
            <w:tcBorders>
              <w:top w:val="single" w:sz="4" w:space="0" w:color="auto"/>
            </w:tcBorders>
            <w:shd w:val="clear" w:color="auto" w:fill="auto"/>
            <w:noWrap/>
            <w:hideMark/>
          </w:tcPr>
          <w:p w14:paraId="4CBC7332" w14:textId="77777777"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 FS</w:t>
            </w:r>
          </w:p>
        </w:tc>
        <w:tc>
          <w:tcPr>
            <w:tcW w:w="850" w:type="dxa"/>
            <w:tcBorders>
              <w:top w:val="single" w:sz="4" w:space="0" w:color="auto"/>
              <w:right w:val="single" w:sz="4" w:space="0" w:color="auto"/>
            </w:tcBorders>
            <w:shd w:val="clear" w:color="auto" w:fill="auto"/>
            <w:noWrap/>
            <w:hideMark/>
          </w:tcPr>
          <w:p w14:paraId="749C219F" w14:textId="77777777"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all MNCs</w:t>
            </w:r>
          </w:p>
        </w:tc>
        <w:tc>
          <w:tcPr>
            <w:tcW w:w="1990" w:type="dxa"/>
            <w:gridSpan w:val="2"/>
            <w:tcBorders>
              <w:top w:val="single" w:sz="4" w:space="0" w:color="auto"/>
              <w:left w:val="single" w:sz="4" w:space="0" w:color="auto"/>
              <w:right w:val="single" w:sz="4" w:space="0" w:color="auto"/>
            </w:tcBorders>
            <w:shd w:val="clear" w:color="auto" w:fill="auto"/>
            <w:noWrap/>
            <w:hideMark/>
          </w:tcPr>
          <w:p w14:paraId="6F132349" w14:textId="2BC7FCB5"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Differences</w:t>
            </w:r>
          </w:p>
        </w:tc>
        <w:tc>
          <w:tcPr>
            <w:tcW w:w="1276" w:type="dxa"/>
            <w:gridSpan w:val="3"/>
            <w:tcBorders>
              <w:top w:val="single" w:sz="4" w:space="0" w:color="auto"/>
              <w:left w:val="single" w:sz="4" w:space="0" w:color="auto"/>
            </w:tcBorders>
            <w:shd w:val="clear" w:color="auto" w:fill="auto"/>
          </w:tcPr>
          <w:p w14:paraId="356F24CA" w14:textId="3236660D" w:rsidR="000F36A7" w:rsidRPr="00B87834" w:rsidRDefault="000F36A7"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Diff of diff</w:t>
            </w:r>
          </w:p>
        </w:tc>
      </w:tr>
      <w:tr w:rsidR="000F36A7" w:rsidRPr="00B87834" w14:paraId="60AAE3CE" w14:textId="77777777" w:rsidTr="00543F8B">
        <w:trPr>
          <w:gridAfter w:val="1"/>
          <w:wAfter w:w="615" w:type="dxa"/>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7326E151" w14:textId="77777777" w:rsidR="000F36A7" w:rsidRPr="00B87834" w:rsidRDefault="000F36A7"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1995</w:t>
            </w:r>
          </w:p>
        </w:tc>
        <w:tc>
          <w:tcPr>
            <w:tcW w:w="850" w:type="dxa"/>
            <w:shd w:val="clear" w:color="auto" w:fill="auto"/>
            <w:noWrap/>
            <w:hideMark/>
          </w:tcPr>
          <w:p w14:paraId="359EDADC" w14:textId="7777777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2.72%</w:t>
            </w:r>
          </w:p>
        </w:tc>
        <w:tc>
          <w:tcPr>
            <w:tcW w:w="850" w:type="dxa"/>
            <w:shd w:val="clear" w:color="auto" w:fill="auto"/>
            <w:noWrap/>
            <w:hideMark/>
          </w:tcPr>
          <w:p w14:paraId="2A3EFC45" w14:textId="7777777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1.59%</w:t>
            </w:r>
          </w:p>
        </w:tc>
        <w:tc>
          <w:tcPr>
            <w:tcW w:w="850" w:type="dxa"/>
            <w:tcBorders>
              <w:right w:val="single" w:sz="4" w:space="0" w:color="auto"/>
            </w:tcBorders>
            <w:shd w:val="clear" w:color="auto" w:fill="auto"/>
            <w:noWrap/>
            <w:hideMark/>
          </w:tcPr>
          <w:p w14:paraId="4D60AE72" w14:textId="7777777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1.89%</w:t>
            </w:r>
          </w:p>
        </w:tc>
        <w:tc>
          <w:tcPr>
            <w:tcW w:w="850" w:type="dxa"/>
            <w:tcBorders>
              <w:left w:val="single" w:sz="4" w:space="0" w:color="auto"/>
            </w:tcBorders>
            <w:shd w:val="clear" w:color="auto" w:fill="auto"/>
            <w:noWrap/>
            <w:hideMark/>
          </w:tcPr>
          <w:p w14:paraId="11111AEB" w14:textId="7777777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2.72%</w:t>
            </w:r>
          </w:p>
        </w:tc>
        <w:tc>
          <w:tcPr>
            <w:tcW w:w="850" w:type="dxa"/>
            <w:shd w:val="clear" w:color="auto" w:fill="auto"/>
            <w:noWrap/>
            <w:hideMark/>
          </w:tcPr>
          <w:p w14:paraId="58425222" w14:textId="7777777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1.59%</w:t>
            </w:r>
          </w:p>
        </w:tc>
        <w:tc>
          <w:tcPr>
            <w:tcW w:w="850" w:type="dxa"/>
            <w:tcBorders>
              <w:right w:val="single" w:sz="4" w:space="0" w:color="auto"/>
            </w:tcBorders>
            <w:shd w:val="clear" w:color="auto" w:fill="auto"/>
            <w:noWrap/>
            <w:hideMark/>
          </w:tcPr>
          <w:p w14:paraId="0355B500" w14:textId="7777777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1.89%</w:t>
            </w:r>
          </w:p>
        </w:tc>
        <w:tc>
          <w:tcPr>
            <w:tcW w:w="850" w:type="dxa"/>
            <w:tcBorders>
              <w:left w:val="single" w:sz="4" w:space="0" w:color="auto"/>
            </w:tcBorders>
            <w:shd w:val="clear" w:color="auto" w:fill="auto"/>
            <w:noWrap/>
          </w:tcPr>
          <w:p w14:paraId="0A0D81E4" w14:textId="48E7030D"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p>
        </w:tc>
        <w:tc>
          <w:tcPr>
            <w:tcW w:w="850" w:type="dxa"/>
            <w:shd w:val="clear" w:color="auto" w:fill="auto"/>
            <w:noWrap/>
          </w:tcPr>
          <w:p w14:paraId="433CC6D8" w14:textId="166F5A4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p>
        </w:tc>
        <w:tc>
          <w:tcPr>
            <w:tcW w:w="850" w:type="dxa"/>
            <w:tcBorders>
              <w:right w:val="single" w:sz="4" w:space="0" w:color="auto"/>
            </w:tcBorders>
            <w:shd w:val="clear" w:color="auto" w:fill="auto"/>
            <w:noWrap/>
          </w:tcPr>
          <w:p w14:paraId="0DA51D18" w14:textId="0EF63581"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p>
        </w:tc>
        <w:tc>
          <w:tcPr>
            <w:tcW w:w="993" w:type="dxa"/>
            <w:tcBorders>
              <w:left w:val="single" w:sz="4" w:space="0" w:color="auto"/>
            </w:tcBorders>
            <w:shd w:val="clear" w:color="auto" w:fill="auto"/>
            <w:noWrap/>
            <w:hideMark/>
          </w:tcPr>
          <w:p w14:paraId="1259E648" w14:textId="7777777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0.29%</w:t>
            </w:r>
          </w:p>
        </w:tc>
        <w:tc>
          <w:tcPr>
            <w:tcW w:w="997" w:type="dxa"/>
            <w:tcBorders>
              <w:right w:val="single" w:sz="4" w:space="0" w:color="auto"/>
            </w:tcBorders>
            <w:shd w:val="clear" w:color="auto" w:fill="auto"/>
            <w:noWrap/>
          </w:tcPr>
          <w:p w14:paraId="1DE4135A" w14:textId="27B97020"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p>
        </w:tc>
        <w:tc>
          <w:tcPr>
            <w:tcW w:w="236" w:type="dxa"/>
            <w:tcBorders>
              <w:left w:val="single" w:sz="4" w:space="0" w:color="auto"/>
            </w:tcBorders>
            <w:shd w:val="clear" w:color="auto" w:fill="auto"/>
            <w:noWrap/>
          </w:tcPr>
          <w:p w14:paraId="121EDBFE" w14:textId="77777777"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p>
        </w:tc>
        <w:tc>
          <w:tcPr>
            <w:tcW w:w="425" w:type="dxa"/>
            <w:shd w:val="clear" w:color="auto" w:fill="auto"/>
          </w:tcPr>
          <w:p w14:paraId="51C72A34" w14:textId="2F84BBA1" w:rsidR="000F36A7" w:rsidRPr="00B87834" w:rsidRDefault="000F36A7"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p>
        </w:tc>
      </w:tr>
      <w:tr w:rsidR="00543F8B" w:rsidRPr="00B87834" w14:paraId="2C506EB5"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16F24AA7"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1996</w:t>
            </w:r>
          </w:p>
        </w:tc>
        <w:tc>
          <w:tcPr>
            <w:tcW w:w="850" w:type="dxa"/>
            <w:shd w:val="clear" w:color="auto" w:fill="auto"/>
            <w:noWrap/>
            <w:hideMark/>
          </w:tcPr>
          <w:p w14:paraId="6826A2F6"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1.87%</w:t>
            </w:r>
          </w:p>
        </w:tc>
        <w:tc>
          <w:tcPr>
            <w:tcW w:w="850" w:type="dxa"/>
            <w:shd w:val="clear" w:color="auto" w:fill="auto"/>
            <w:noWrap/>
            <w:hideMark/>
          </w:tcPr>
          <w:p w14:paraId="2D469D59"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0.78%</w:t>
            </w:r>
          </w:p>
        </w:tc>
        <w:tc>
          <w:tcPr>
            <w:tcW w:w="850" w:type="dxa"/>
            <w:tcBorders>
              <w:right w:val="single" w:sz="4" w:space="0" w:color="auto"/>
            </w:tcBorders>
            <w:shd w:val="clear" w:color="auto" w:fill="auto"/>
            <w:noWrap/>
            <w:hideMark/>
          </w:tcPr>
          <w:p w14:paraId="090F1AFB"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1.02%</w:t>
            </w:r>
          </w:p>
        </w:tc>
        <w:tc>
          <w:tcPr>
            <w:tcW w:w="850" w:type="dxa"/>
            <w:tcBorders>
              <w:left w:val="single" w:sz="4" w:space="0" w:color="auto"/>
            </w:tcBorders>
            <w:shd w:val="clear" w:color="auto" w:fill="auto"/>
            <w:noWrap/>
            <w:hideMark/>
          </w:tcPr>
          <w:p w14:paraId="238AB2C7"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2.45%</w:t>
            </w:r>
          </w:p>
        </w:tc>
        <w:tc>
          <w:tcPr>
            <w:tcW w:w="850" w:type="dxa"/>
            <w:shd w:val="clear" w:color="auto" w:fill="auto"/>
            <w:noWrap/>
            <w:hideMark/>
          </w:tcPr>
          <w:p w14:paraId="1AF93A7C"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1.34%</w:t>
            </w:r>
          </w:p>
        </w:tc>
        <w:tc>
          <w:tcPr>
            <w:tcW w:w="850" w:type="dxa"/>
            <w:tcBorders>
              <w:right w:val="single" w:sz="4" w:space="0" w:color="auto"/>
            </w:tcBorders>
            <w:shd w:val="clear" w:color="auto" w:fill="auto"/>
            <w:noWrap/>
            <w:hideMark/>
          </w:tcPr>
          <w:p w14:paraId="664577BE"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1.81%</w:t>
            </w:r>
          </w:p>
        </w:tc>
        <w:tc>
          <w:tcPr>
            <w:tcW w:w="850" w:type="dxa"/>
            <w:tcBorders>
              <w:left w:val="single" w:sz="4" w:space="0" w:color="auto"/>
            </w:tcBorders>
            <w:shd w:val="clear" w:color="auto" w:fill="auto"/>
            <w:noWrap/>
            <w:hideMark/>
          </w:tcPr>
          <w:p w14:paraId="120FA5EB"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-4.52%</w:t>
            </w:r>
          </w:p>
        </w:tc>
        <w:tc>
          <w:tcPr>
            <w:tcW w:w="850" w:type="dxa"/>
            <w:shd w:val="clear" w:color="auto" w:fill="auto"/>
            <w:noWrap/>
            <w:hideMark/>
          </w:tcPr>
          <w:p w14:paraId="7D5CDF71"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-5.41%</w:t>
            </w:r>
          </w:p>
        </w:tc>
        <w:tc>
          <w:tcPr>
            <w:tcW w:w="850" w:type="dxa"/>
            <w:tcBorders>
              <w:right w:val="single" w:sz="4" w:space="0" w:color="auto"/>
            </w:tcBorders>
            <w:shd w:val="clear" w:color="auto" w:fill="auto"/>
            <w:noWrap/>
            <w:hideMark/>
          </w:tcPr>
          <w:p w14:paraId="6EF4DF4B"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-7.74%</w:t>
            </w:r>
          </w:p>
        </w:tc>
        <w:tc>
          <w:tcPr>
            <w:tcW w:w="993" w:type="dxa"/>
            <w:tcBorders>
              <w:left w:val="single" w:sz="4" w:space="0" w:color="auto"/>
            </w:tcBorders>
            <w:shd w:val="clear" w:color="auto" w:fill="auto"/>
            <w:noWrap/>
            <w:hideMark/>
          </w:tcPr>
          <w:p w14:paraId="43273A28" w14:textId="22F19F91"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0.47%</w:t>
            </w:r>
          </w:p>
        </w:tc>
        <w:tc>
          <w:tcPr>
            <w:tcW w:w="997" w:type="dxa"/>
            <w:tcBorders>
              <w:right w:val="single" w:sz="4" w:space="0" w:color="auto"/>
            </w:tcBorders>
            <w:shd w:val="clear" w:color="auto" w:fill="auto"/>
            <w:noWrap/>
            <w:hideMark/>
          </w:tcPr>
          <w:p w14:paraId="52EED863" w14:textId="416D7FC8"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-2.33% ***</w:t>
            </w:r>
          </w:p>
        </w:tc>
        <w:tc>
          <w:tcPr>
            <w:tcW w:w="1276" w:type="dxa"/>
            <w:gridSpan w:val="3"/>
            <w:tcBorders>
              <w:left w:val="single" w:sz="4" w:space="0" w:color="auto"/>
            </w:tcBorders>
            <w:shd w:val="clear" w:color="auto" w:fill="auto"/>
            <w:noWrap/>
            <w:hideMark/>
          </w:tcPr>
          <w:p w14:paraId="2FF02F39" w14:textId="14FE5FAB" w:rsidR="00543F8B" w:rsidRPr="00B87834" w:rsidRDefault="00543F8B" w:rsidP="00B8783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-1.86% ***</w:t>
            </w:r>
          </w:p>
        </w:tc>
      </w:tr>
      <w:tr w:rsidR="00543F8B" w:rsidRPr="00B87834" w14:paraId="519E9C75"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24B3D6CB"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1997</w:t>
            </w:r>
          </w:p>
        </w:tc>
        <w:tc>
          <w:tcPr>
            <w:tcW w:w="850" w:type="dxa"/>
            <w:shd w:val="clear" w:color="auto" w:fill="auto"/>
            <w:noWrap/>
            <w:hideMark/>
          </w:tcPr>
          <w:p w14:paraId="2243F6B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2.18%</w:t>
            </w:r>
          </w:p>
        </w:tc>
        <w:tc>
          <w:tcPr>
            <w:tcW w:w="850" w:type="dxa"/>
            <w:shd w:val="clear" w:color="auto" w:fill="auto"/>
            <w:noWrap/>
            <w:hideMark/>
          </w:tcPr>
          <w:p w14:paraId="245BF969"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1.41%</w:t>
            </w:r>
          </w:p>
        </w:tc>
        <w:tc>
          <w:tcPr>
            <w:tcW w:w="850" w:type="dxa"/>
            <w:tcBorders>
              <w:right w:val="single" w:sz="4" w:space="0" w:color="auto"/>
            </w:tcBorders>
            <w:shd w:val="clear" w:color="auto" w:fill="auto"/>
            <w:noWrap/>
            <w:hideMark/>
          </w:tcPr>
          <w:p w14:paraId="777BF67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0.88%</w:t>
            </w:r>
          </w:p>
        </w:tc>
        <w:tc>
          <w:tcPr>
            <w:tcW w:w="850" w:type="dxa"/>
            <w:tcBorders>
              <w:left w:val="single" w:sz="4" w:space="0" w:color="auto"/>
            </w:tcBorders>
            <w:shd w:val="clear" w:color="auto" w:fill="auto"/>
            <w:noWrap/>
            <w:hideMark/>
          </w:tcPr>
          <w:p w14:paraId="69AA9AA7"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4.70%</w:t>
            </w:r>
          </w:p>
        </w:tc>
        <w:tc>
          <w:tcPr>
            <w:tcW w:w="850" w:type="dxa"/>
            <w:shd w:val="clear" w:color="auto" w:fill="auto"/>
            <w:noWrap/>
            <w:hideMark/>
          </w:tcPr>
          <w:p w14:paraId="50FBE2B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2.27%</w:t>
            </w:r>
          </w:p>
        </w:tc>
        <w:tc>
          <w:tcPr>
            <w:tcW w:w="850" w:type="dxa"/>
            <w:tcBorders>
              <w:right w:val="single" w:sz="4" w:space="0" w:color="auto"/>
            </w:tcBorders>
            <w:shd w:val="clear" w:color="auto" w:fill="auto"/>
            <w:noWrap/>
            <w:hideMark/>
          </w:tcPr>
          <w:p w14:paraId="6A347AF6"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2.28%</w:t>
            </w:r>
          </w:p>
        </w:tc>
        <w:tc>
          <w:tcPr>
            <w:tcW w:w="850" w:type="dxa"/>
            <w:tcBorders>
              <w:left w:val="single" w:sz="4" w:space="0" w:color="auto"/>
            </w:tcBorders>
            <w:shd w:val="clear" w:color="auto" w:fill="auto"/>
            <w:noWrap/>
            <w:hideMark/>
          </w:tcPr>
          <w:p w14:paraId="7A5E275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-2.85%</w:t>
            </w:r>
          </w:p>
        </w:tc>
        <w:tc>
          <w:tcPr>
            <w:tcW w:w="850" w:type="dxa"/>
            <w:shd w:val="clear" w:color="auto" w:fill="auto"/>
            <w:noWrap/>
            <w:hideMark/>
          </w:tcPr>
          <w:p w14:paraId="091793F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-0.31%</w:t>
            </w:r>
          </w:p>
        </w:tc>
        <w:tc>
          <w:tcPr>
            <w:tcW w:w="850" w:type="dxa"/>
            <w:tcBorders>
              <w:right w:val="single" w:sz="4" w:space="0" w:color="auto"/>
            </w:tcBorders>
            <w:shd w:val="clear" w:color="auto" w:fill="auto"/>
            <w:noWrap/>
            <w:hideMark/>
          </w:tcPr>
          <w:p w14:paraId="6893308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-1.92%</w:t>
            </w:r>
          </w:p>
        </w:tc>
        <w:tc>
          <w:tcPr>
            <w:tcW w:w="993" w:type="dxa"/>
            <w:tcBorders>
              <w:left w:val="single" w:sz="4" w:space="0" w:color="auto"/>
            </w:tcBorders>
            <w:shd w:val="clear" w:color="auto" w:fill="auto"/>
            <w:noWrap/>
            <w:hideMark/>
          </w:tcPr>
          <w:p w14:paraId="71B9C325" w14:textId="2A8330DA"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0.02%</w:t>
            </w:r>
          </w:p>
        </w:tc>
        <w:tc>
          <w:tcPr>
            <w:tcW w:w="997" w:type="dxa"/>
            <w:tcBorders>
              <w:right w:val="single" w:sz="4" w:space="0" w:color="auto"/>
            </w:tcBorders>
            <w:shd w:val="clear" w:color="auto" w:fill="auto"/>
            <w:noWrap/>
            <w:hideMark/>
          </w:tcPr>
          <w:p w14:paraId="7E80584D" w14:textId="7B90E5E6"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-1.61% ***</w:t>
            </w:r>
          </w:p>
        </w:tc>
        <w:tc>
          <w:tcPr>
            <w:tcW w:w="1276" w:type="dxa"/>
            <w:gridSpan w:val="3"/>
            <w:tcBorders>
              <w:left w:val="single" w:sz="4" w:space="0" w:color="auto"/>
            </w:tcBorders>
            <w:shd w:val="clear" w:color="auto" w:fill="auto"/>
            <w:noWrap/>
            <w:vAlign w:val="bottom"/>
            <w:hideMark/>
          </w:tcPr>
          <w:p w14:paraId="1CC8778A" w14:textId="053ECA1A"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-1.59% ***</w:t>
            </w:r>
          </w:p>
        </w:tc>
      </w:tr>
      <w:tr w:rsidR="00543F8B" w:rsidRPr="00B87834" w14:paraId="55B59F46"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4CE51E9A"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1998</w:t>
            </w:r>
          </w:p>
        </w:tc>
        <w:tc>
          <w:tcPr>
            <w:tcW w:w="850" w:type="dxa"/>
            <w:shd w:val="clear" w:color="auto" w:fill="auto"/>
            <w:noWrap/>
            <w:hideMark/>
          </w:tcPr>
          <w:p w14:paraId="0CD3DB95"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1.37%</w:t>
            </w:r>
          </w:p>
        </w:tc>
        <w:tc>
          <w:tcPr>
            <w:tcW w:w="850" w:type="dxa"/>
            <w:shd w:val="clear" w:color="auto" w:fill="auto"/>
            <w:noWrap/>
            <w:hideMark/>
          </w:tcPr>
          <w:p w14:paraId="369B8A3E"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-0.75%</w:t>
            </w:r>
          </w:p>
        </w:tc>
        <w:tc>
          <w:tcPr>
            <w:tcW w:w="850" w:type="dxa"/>
            <w:tcBorders>
              <w:right w:val="single" w:sz="4" w:space="0" w:color="auto"/>
            </w:tcBorders>
            <w:shd w:val="clear" w:color="auto" w:fill="auto"/>
            <w:noWrap/>
            <w:hideMark/>
          </w:tcPr>
          <w:p w14:paraId="08133F53"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-1.07%</w:t>
            </w:r>
          </w:p>
        </w:tc>
        <w:tc>
          <w:tcPr>
            <w:tcW w:w="850" w:type="dxa"/>
            <w:tcBorders>
              <w:left w:val="single" w:sz="4" w:space="0" w:color="auto"/>
            </w:tcBorders>
            <w:shd w:val="clear" w:color="auto" w:fill="auto"/>
            <w:noWrap/>
            <w:hideMark/>
          </w:tcPr>
          <w:p w14:paraId="6570FB9D"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4.51%</w:t>
            </w:r>
          </w:p>
        </w:tc>
        <w:tc>
          <w:tcPr>
            <w:tcW w:w="850" w:type="dxa"/>
            <w:shd w:val="clear" w:color="auto" w:fill="auto"/>
            <w:noWrap/>
            <w:hideMark/>
          </w:tcPr>
          <w:p w14:paraId="3A71932C"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1.56%</w:t>
            </w:r>
          </w:p>
        </w:tc>
        <w:tc>
          <w:tcPr>
            <w:tcW w:w="850" w:type="dxa"/>
            <w:tcBorders>
              <w:right w:val="single" w:sz="4" w:space="0" w:color="auto"/>
            </w:tcBorders>
            <w:shd w:val="clear" w:color="auto" w:fill="auto"/>
            <w:noWrap/>
            <w:hideMark/>
          </w:tcPr>
          <w:p w14:paraId="3227D05C"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2.14%</w:t>
            </w:r>
          </w:p>
        </w:tc>
        <w:tc>
          <w:tcPr>
            <w:tcW w:w="850" w:type="dxa"/>
            <w:tcBorders>
              <w:left w:val="single" w:sz="4" w:space="0" w:color="auto"/>
            </w:tcBorders>
            <w:shd w:val="clear" w:color="auto" w:fill="auto"/>
            <w:noWrap/>
            <w:hideMark/>
          </w:tcPr>
          <w:p w14:paraId="3C7116F0"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-4.92%</w:t>
            </w:r>
          </w:p>
        </w:tc>
        <w:tc>
          <w:tcPr>
            <w:tcW w:w="850" w:type="dxa"/>
            <w:shd w:val="clear" w:color="auto" w:fill="auto"/>
            <w:noWrap/>
            <w:hideMark/>
          </w:tcPr>
          <w:p w14:paraId="5989D3E5"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-5.35%</w:t>
            </w:r>
          </w:p>
        </w:tc>
        <w:tc>
          <w:tcPr>
            <w:tcW w:w="850" w:type="dxa"/>
            <w:tcBorders>
              <w:right w:val="single" w:sz="4" w:space="0" w:color="auto"/>
            </w:tcBorders>
            <w:shd w:val="clear" w:color="auto" w:fill="auto"/>
            <w:noWrap/>
            <w:hideMark/>
          </w:tcPr>
          <w:p w14:paraId="1792E8D0"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-7.49%</w:t>
            </w:r>
          </w:p>
        </w:tc>
        <w:tc>
          <w:tcPr>
            <w:tcW w:w="993" w:type="dxa"/>
            <w:tcBorders>
              <w:left w:val="single" w:sz="4" w:space="0" w:color="auto"/>
            </w:tcBorders>
            <w:shd w:val="clear" w:color="auto" w:fill="auto"/>
            <w:noWrap/>
            <w:hideMark/>
          </w:tcPr>
          <w:p w14:paraId="79FA2743" w14:textId="5D23CC09"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0.58% *</w:t>
            </w:r>
          </w:p>
        </w:tc>
        <w:tc>
          <w:tcPr>
            <w:tcW w:w="997" w:type="dxa"/>
            <w:tcBorders>
              <w:right w:val="single" w:sz="4" w:space="0" w:color="auto"/>
            </w:tcBorders>
            <w:shd w:val="clear" w:color="auto" w:fill="auto"/>
            <w:noWrap/>
            <w:hideMark/>
          </w:tcPr>
          <w:p w14:paraId="0CC11BEC" w14:textId="50EF7ADD"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-2.14% ***</w:t>
            </w:r>
          </w:p>
        </w:tc>
        <w:tc>
          <w:tcPr>
            <w:tcW w:w="1276" w:type="dxa"/>
            <w:gridSpan w:val="3"/>
            <w:tcBorders>
              <w:left w:val="single" w:sz="4" w:space="0" w:color="auto"/>
            </w:tcBorders>
            <w:shd w:val="clear" w:color="auto" w:fill="auto"/>
            <w:noWrap/>
            <w:vAlign w:val="bottom"/>
            <w:hideMark/>
          </w:tcPr>
          <w:p w14:paraId="6758D378" w14:textId="171ED6EF"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-1.56% ***</w:t>
            </w:r>
          </w:p>
        </w:tc>
      </w:tr>
      <w:tr w:rsidR="00543F8B" w:rsidRPr="00B87834" w14:paraId="73812AE2"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33AC23DC"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1999</w:t>
            </w:r>
          </w:p>
        </w:tc>
        <w:tc>
          <w:tcPr>
            <w:tcW w:w="850" w:type="dxa"/>
            <w:shd w:val="clear" w:color="auto" w:fill="auto"/>
            <w:noWrap/>
            <w:hideMark/>
          </w:tcPr>
          <w:p w14:paraId="6DE88A2F"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1.55%</w:t>
            </w:r>
          </w:p>
        </w:tc>
        <w:tc>
          <w:tcPr>
            <w:tcW w:w="850" w:type="dxa"/>
            <w:shd w:val="clear" w:color="auto" w:fill="auto"/>
            <w:noWrap/>
            <w:hideMark/>
          </w:tcPr>
          <w:p w14:paraId="0D0A100F"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0.17%</w:t>
            </w:r>
          </w:p>
        </w:tc>
        <w:tc>
          <w:tcPr>
            <w:tcW w:w="850" w:type="dxa"/>
            <w:tcBorders>
              <w:right w:val="single" w:sz="4" w:space="0" w:color="auto"/>
            </w:tcBorders>
            <w:shd w:val="clear" w:color="auto" w:fill="auto"/>
            <w:noWrap/>
            <w:hideMark/>
          </w:tcPr>
          <w:p w14:paraId="5616C0FA"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0.81%</w:t>
            </w:r>
          </w:p>
        </w:tc>
        <w:tc>
          <w:tcPr>
            <w:tcW w:w="850" w:type="dxa"/>
            <w:tcBorders>
              <w:left w:val="single" w:sz="4" w:space="0" w:color="auto"/>
            </w:tcBorders>
            <w:shd w:val="clear" w:color="auto" w:fill="auto"/>
            <w:noWrap/>
            <w:hideMark/>
          </w:tcPr>
          <w:p w14:paraId="41F61322"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4.75%</w:t>
            </w:r>
          </w:p>
        </w:tc>
        <w:tc>
          <w:tcPr>
            <w:tcW w:w="850" w:type="dxa"/>
            <w:shd w:val="clear" w:color="auto" w:fill="auto"/>
            <w:noWrap/>
            <w:hideMark/>
          </w:tcPr>
          <w:p w14:paraId="1848D0CD"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1.28%</w:t>
            </w:r>
          </w:p>
        </w:tc>
        <w:tc>
          <w:tcPr>
            <w:tcW w:w="850" w:type="dxa"/>
            <w:tcBorders>
              <w:right w:val="single" w:sz="4" w:space="0" w:color="auto"/>
            </w:tcBorders>
            <w:shd w:val="clear" w:color="auto" w:fill="auto"/>
            <w:noWrap/>
            <w:hideMark/>
          </w:tcPr>
          <w:p w14:paraId="3C7F0CF5"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2.85%</w:t>
            </w:r>
          </w:p>
        </w:tc>
        <w:tc>
          <w:tcPr>
            <w:tcW w:w="850" w:type="dxa"/>
            <w:tcBorders>
              <w:left w:val="single" w:sz="4" w:space="0" w:color="auto"/>
            </w:tcBorders>
            <w:shd w:val="clear" w:color="auto" w:fill="auto"/>
            <w:noWrap/>
            <w:hideMark/>
          </w:tcPr>
          <w:p w14:paraId="7120ED97"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-2.93%</w:t>
            </w:r>
          </w:p>
        </w:tc>
        <w:tc>
          <w:tcPr>
            <w:tcW w:w="850" w:type="dxa"/>
            <w:shd w:val="clear" w:color="auto" w:fill="auto"/>
            <w:noWrap/>
            <w:hideMark/>
          </w:tcPr>
          <w:p w14:paraId="1747AADA"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-1.40%</w:t>
            </w:r>
          </w:p>
        </w:tc>
        <w:tc>
          <w:tcPr>
            <w:tcW w:w="850" w:type="dxa"/>
            <w:tcBorders>
              <w:right w:val="single" w:sz="4" w:space="0" w:color="auto"/>
            </w:tcBorders>
            <w:shd w:val="clear" w:color="auto" w:fill="auto"/>
            <w:noWrap/>
            <w:hideMark/>
          </w:tcPr>
          <w:p w14:paraId="33721D60"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-2.04%</w:t>
            </w:r>
          </w:p>
        </w:tc>
        <w:tc>
          <w:tcPr>
            <w:tcW w:w="993" w:type="dxa"/>
            <w:tcBorders>
              <w:left w:val="single" w:sz="4" w:space="0" w:color="auto"/>
            </w:tcBorders>
            <w:shd w:val="clear" w:color="auto" w:fill="auto"/>
            <w:noWrap/>
            <w:hideMark/>
          </w:tcPr>
          <w:p w14:paraId="3BDDBDD9" w14:textId="2CC47E44"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1.57% ***</w:t>
            </w:r>
          </w:p>
        </w:tc>
        <w:tc>
          <w:tcPr>
            <w:tcW w:w="997" w:type="dxa"/>
            <w:tcBorders>
              <w:right w:val="single" w:sz="4" w:space="0" w:color="auto"/>
            </w:tcBorders>
            <w:shd w:val="clear" w:color="auto" w:fill="auto"/>
            <w:noWrap/>
            <w:hideMark/>
          </w:tcPr>
          <w:p w14:paraId="44C8FCBB" w14:textId="12472FDA"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-0.65% *</w:t>
            </w:r>
          </w:p>
        </w:tc>
        <w:tc>
          <w:tcPr>
            <w:tcW w:w="1276" w:type="dxa"/>
            <w:gridSpan w:val="3"/>
            <w:tcBorders>
              <w:left w:val="single" w:sz="4" w:space="0" w:color="auto"/>
            </w:tcBorders>
            <w:shd w:val="clear" w:color="auto" w:fill="auto"/>
            <w:noWrap/>
            <w:vAlign w:val="bottom"/>
            <w:hideMark/>
          </w:tcPr>
          <w:p w14:paraId="6D947609" w14:textId="462AE2A2"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0.92% ***</w:t>
            </w:r>
          </w:p>
        </w:tc>
      </w:tr>
      <w:tr w:rsidR="00543F8B" w:rsidRPr="00B87834" w14:paraId="0D01A650"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3D57046E"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2000</w:t>
            </w:r>
          </w:p>
        </w:tc>
        <w:tc>
          <w:tcPr>
            <w:tcW w:w="850" w:type="dxa"/>
            <w:shd w:val="clear" w:color="auto" w:fill="auto"/>
            <w:noWrap/>
            <w:hideMark/>
          </w:tcPr>
          <w:p w14:paraId="4E51D231"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-0.28%</w:t>
            </w:r>
          </w:p>
        </w:tc>
        <w:tc>
          <w:tcPr>
            <w:tcW w:w="850" w:type="dxa"/>
            <w:shd w:val="clear" w:color="auto" w:fill="auto"/>
            <w:noWrap/>
            <w:hideMark/>
          </w:tcPr>
          <w:p w14:paraId="33F980A9"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-0.93%</w:t>
            </w:r>
          </w:p>
        </w:tc>
        <w:tc>
          <w:tcPr>
            <w:tcW w:w="850" w:type="dxa"/>
            <w:tcBorders>
              <w:right w:val="single" w:sz="4" w:space="0" w:color="auto"/>
            </w:tcBorders>
            <w:shd w:val="clear" w:color="auto" w:fill="auto"/>
            <w:noWrap/>
            <w:hideMark/>
          </w:tcPr>
          <w:p w14:paraId="05C9AB97"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-1.25%</w:t>
            </w:r>
          </w:p>
        </w:tc>
        <w:tc>
          <w:tcPr>
            <w:tcW w:w="850" w:type="dxa"/>
            <w:tcBorders>
              <w:left w:val="single" w:sz="4" w:space="0" w:color="auto"/>
            </w:tcBorders>
            <w:shd w:val="clear" w:color="auto" w:fill="auto"/>
            <w:noWrap/>
            <w:hideMark/>
          </w:tcPr>
          <w:p w14:paraId="24C86B51"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4.10%</w:t>
            </w:r>
          </w:p>
        </w:tc>
        <w:tc>
          <w:tcPr>
            <w:tcW w:w="850" w:type="dxa"/>
            <w:shd w:val="clear" w:color="auto" w:fill="auto"/>
            <w:noWrap/>
            <w:hideMark/>
          </w:tcPr>
          <w:p w14:paraId="37C9C364"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1.52%</w:t>
            </w:r>
          </w:p>
        </w:tc>
        <w:tc>
          <w:tcPr>
            <w:tcW w:w="850" w:type="dxa"/>
            <w:tcBorders>
              <w:right w:val="single" w:sz="4" w:space="0" w:color="auto"/>
            </w:tcBorders>
            <w:shd w:val="clear" w:color="auto" w:fill="auto"/>
            <w:noWrap/>
            <w:hideMark/>
          </w:tcPr>
          <w:p w14:paraId="5259994F"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4.07%</w:t>
            </w:r>
          </w:p>
        </w:tc>
        <w:tc>
          <w:tcPr>
            <w:tcW w:w="850" w:type="dxa"/>
            <w:tcBorders>
              <w:left w:val="single" w:sz="4" w:space="0" w:color="auto"/>
            </w:tcBorders>
            <w:shd w:val="clear" w:color="auto" w:fill="auto"/>
            <w:noWrap/>
            <w:hideMark/>
          </w:tcPr>
          <w:p w14:paraId="525B5E90"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-3.41%</w:t>
            </w:r>
          </w:p>
        </w:tc>
        <w:tc>
          <w:tcPr>
            <w:tcW w:w="850" w:type="dxa"/>
            <w:shd w:val="clear" w:color="auto" w:fill="auto"/>
            <w:noWrap/>
            <w:hideMark/>
          </w:tcPr>
          <w:p w14:paraId="1647A59D"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-2.68%</w:t>
            </w:r>
          </w:p>
        </w:tc>
        <w:tc>
          <w:tcPr>
            <w:tcW w:w="850" w:type="dxa"/>
            <w:tcBorders>
              <w:right w:val="single" w:sz="4" w:space="0" w:color="auto"/>
            </w:tcBorders>
            <w:shd w:val="clear" w:color="auto" w:fill="auto"/>
            <w:noWrap/>
            <w:hideMark/>
          </w:tcPr>
          <w:p w14:paraId="55A92FB5"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-5.06%</w:t>
            </w:r>
          </w:p>
        </w:tc>
        <w:tc>
          <w:tcPr>
            <w:tcW w:w="993" w:type="dxa"/>
            <w:tcBorders>
              <w:left w:val="single" w:sz="4" w:space="0" w:color="auto"/>
            </w:tcBorders>
            <w:shd w:val="clear" w:color="auto" w:fill="auto"/>
            <w:noWrap/>
            <w:hideMark/>
          </w:tcPr>
          <w:p w14:paraId="56980B05" w14:textId="2E972BE2"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2.55% ***</w:t>
            </w:r>
          </w:p>
        </w:tc>
        <w:tc>
          <w:tcPr>
            <w:tcW w:w="997" w:type="dxa"/>
            <w:tcBorders>
              <w:right w:val="single" w:sz="4" w:space="0" w:color="auto"/>
            </w:tcBorders>
            <w:shd w:val="clear" w:color="auto" w:fill="auto"/>
            <w:noWrap/>
            <w:hideMark/>
          </w:tcPr>
          <w:p w14:paraId="21EB979C" w14:textId="2C50896B"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-2.38% ***</w:t>
            </w:r>
          </w:p>
        </w:tc>
        <w:tc>
          <w:tcPr>
            <w:tcW w:w="1276" w:type="dxa"/>
            <w:gridSpan w:val="3"/>
            <w:tcBorders>
              <w:left w:val="single" w:sz="4" w:space="0" w:color="auto"/>
            </w:tcBorders>
            <w:shd w:val="clear" w:color="auto" w:fill="auto"/>
            <w:noWrap/>
            <w:vAlign w:val="bottom"/>
            <w:hideMark/>
          </w:tcPr>
          <w:p w14:paraId="6623F883" w14:textId="5A0BBCE9"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 xml:space="preserve">0.17%  </w:t>
            </w:r>
          </w:p>
        </w:tc>
      </w:tr>
      <w:tr w:rsidR="00543F8B" w:rsidRPr="00B87834" w14:paraId="617994E2"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1356140C"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2001</w:t>
            </w:r>
          </w:p>
        </w:tc>
        <w:tc>
          <w:tcPr>
            <w:tcW w:w="850" w:type="dxa"/>
            <w:shd w:val="clear" w:color="auto" w:fill="auto"/>
            <w:noWrap/>
            <w:hideMark/>
          </w:tcPr>
          <w:p w14:paraId="684BC0B0"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-1.10%</w:t>
            </w:r>
          </w:p>
        </w:tc>
        <w:tc>
          <w:tcPr>
            <w:tcW w:w="850" w:type="dxa"/>
            <w:shd w:val="clear" w:color="auto" w:fill="auto"/>
            <w:noWrap/>
            <w:hideMark/>
          </w:tcPr>
          <w:p w14:paraId="3D2BFFD9"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0.58%</w:t>
            </w:r>
          </w:p>
        </w:tc>
        <w:tc>
          <w:tcPr>
            <w:tcW w:w="850" w:type="dxa"/>
            <w:tcBorders>
              <w:right w:val="single" w:sz="4" w:space="0" w:color="auto"/>
            </w:tcBorders>
            <w:shd w:val="clear" w:color="auto" w:fill="auto"/>
            <w:noWrap/>
            <w:hideMark/>
          </w:tcPr>
          <w:p w14:paraId="5C02EE7D"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-0.73%</w:t>
            </w:r>
          </w:p>
        </w:tc>
        <w:tc>
          <w:tcPr>
            <w:tcW w:w="850" w:type="dxa"/>
            <w:tcBorders>
              <w:left w:val="single" w:sz="4" w:space="0" w:color="auto"/>
            </w:tcBorders>
            <w:shd w:val="clear" w:color="auto" w:fill="auto"/>
            <w:noWrap/>
            <w:hideMark/>
          </w:tcPr>
          <w:p w14:paraId="7784164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4.97%</w:t>
            </w:r>
          </w:p>
        </w:tc>
        <w:tc>
          <w:tcPr>
            <w:tcW w:w="850" w:type="dxa"/>
            <w:shd w:val="clear" w:color="auto" w:fill="auto"/>
            <w:noWrap/>
            <w:hideMark/>
          </w:tcPr>
          <w:p w14:paraId="2156F4EA"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4.11%</w:t>
            </w:r>
          </w:p>
        </w:tc>
        <w:tc>
          <w:tcPr>
            <w:tcW w:w="850" w:type="dxa"/>
            <w:tcBorders>
              <w:right w:val="single" w:sz="4" w:space="0" w:color="auto"/>
            </w:tcBorders>
            <w:shd w:val="clear" w:color="auto" w:fill="auto"/>
            <w:noWrap/>
            <w:hideMark/>
          </w:tcPr>
          <w:p w14:paraId="1FFE702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7.38%</w:t>
            </w:r>
          </w:p>
        </w:tc>
        <w:tc>
          <w:tcPr>
            <w:tcW w:w="850" w:type="dxa"/>
            <w:tcBorders>
              <w:left w:val="single" w:sz="4" w:space="0" w:color="auto"/>
            </w:tcBorders>
            <w:shd w:val="clear" w:color="auto" w:fill="auto"/>
            <w:noWrap/>
            <w:hideMark/>
          </w:tcPr>
          <w:p w14:paraId="7F206186"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-5.43%</w:t>
            </w:r>
          </w:p>
        </w:tc>
        <w:tc>
          <w:tcPr>
            <w:tcW w:w="850" w:type="dxa"/>
            <w:shd w:val="clear" w:color="auto" w:fill="auto"/>
            <w:noWrap/>
            <w:hideMark/>
          </w:tcPr>
          <w:p w14:paraId="184A5315"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-1.94%</w:t>
            </w:r>
          </w:p>
        </w:tc>
        <w:tc>
          <w:tcPr>
            <w:tcW w:w="850" w:type="dxa"/>
            <w:tcBorders>
              <w:right w:val="single" w:sz="4" w:space="0" w:color="auto"/>
            </w:tcBorders>
            <w:shd w:val="clear" w:color="auto" w:fill="auto"/>
            <w:noWrap/>
            <w:hideMark/>
          </w:tcPr>
          <w:p w14:paraId="76621AC7"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-6.53%</w:t>
            </w:r>
          </w:p>
        </w:tc>
        <w:tc>
          <w:tcPr>
            <w:tcW w:w="993" w:type="dxa"/>
            <w:tcBorders>
              <w:left w:val="single" w:sz="4" w:space="0" w:color="auto"/>
            </w:tcBorders>
            <w:shd w:val="clear" w:color="auto" w:fill="auto"/>
            <w:noWrap/>
            <w:hideMark/>
          </w:tcPr>
          <w:p w14:paraId="2CAA2F71" w14:textId="3228EA1B"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3.27% ***</w:t>
            </w:r>
          </w:p>
        </w:tc>
        <w:tc>
          <w:tcPr>
            <w:tcW w:w="997" w:type="dxa"/>
            <w:tcBorders>
              <w:right w:val="single" w:sz="4" w:space="0" w:color="auto"/>
            </w:tcBorders>
            <w:shd w:val="clear" w:color="auto" w:fill="auto"/>
            <w:noWrap/>
            <w:hideMark/>
          </w:tcPr>
          <w:p w14:paraId="17EAD24D" w14:textId="1D1D7484"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-4.59% ***</w:t>
            </w:r>
          </w:p>
        </w:tc>
        <w:tc>
          <w:tcPr>
            <w:tcW w:w="1276" w:type="dxa"/>
            <w:gridSpan w:val="3"/>
            <w:tcBorders>
              <w:left w:val="single" w:sz="4" w:space="0" w:color="auto"/>
            </w:tcBorders>
            <w:shd w:val="clear" w:color="auto" w:fill="auto"/>
            <w:noWrap/>
            <w:vAlign w:val="bottom"/>
            <w:hideMark/>
          </w:tcPr>
          <w:p w14:paraId="26929C0E" w14:textId="34632D69"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-1.32% ***</w:t>
            </w:r>
          </w:p>
        </w:tc>
      </w:tr>
      <w:tr w:rsidR="00543F8B" w:rsidRPr="00B87834" w14:paraId="1E6DE6F4"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10518D1A"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2002</w:t>
            </w:r>
          </w:p>
        </w:tc>
        <w:tc>
          <w:tcPr>
            <w:tcW w:w="850" w:type="dxa"/>
            <w:shd w:val="clear" w:color="auto" w:fill="auto"/>
            <w:noWrap/>
            <w:hideMark/>
          </w:tcPr>
          <w:p w14:paraId="239EE09C"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-1.36%</w:t>
            </w:r>
          </w:p>
        </w:tc>
        <w:tc>
          <w:tcPr>
            <w:tcW w:w="850" w:type="dxa"/>
            <w:shd w:val="clear" w:color="auto" w:fill="auto"/>
            <w:noWrap/>
            <w:hideMark/>
          </w:tcPr>
          <w:p w14:paraId="211B8310"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-0.23%</w:t>
            </w:r>
          </w:p>
        </w:tc>
        <w:tc>
          <w:tcPr>
            <w:tcW w:w="850" w:type="dxa"/>
            <w:tcBorders>
              <w:right w:val="single" w:sz="4" w:space="0" w:color="auto"/>
            </w:tcBorders>
            <w:shd w:val="clear" w:color="auto" w:fill="auto"/>
            <w:noWrap/>
            <w:hideMark/>
          </w:tcPr>
          <w:p w14:paraId="377FADBE"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-1.22%</w:t>
            </w:r>
          </w:p>
        </w:tc>
        <w:tc>
          <w:tcPr>
            <w:tcW w:w="850" w:type="dxa"/>
            <w:tcBorders>
              <w:left w:val="single" w:sz="4" w:space="0" w:color="auto"/>
            </w:tcBorders>
            <w:shd w:val="clear" w:color="auto" w:fill="auto"/>
            <w:noWrap/>
            <w:hideMark/>
          </w:tcPr>
          <w:p w14:paraId="38391CF4"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3.04%</w:t>
            </w:r>
          </w:p>
        </w:tc>
        <w:tc>
          <w:tcPr>
            <w:tcW w:w="850" w:type="dxa"/>
            <w:shd w:val="clear" w:color="auto" w:fill="auto"/>
            <w:noWrap/>
            <w:hideMark/>
          </w:tcPr>
          <w:p w14:paraId="021888B2"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2.19%</w:t>
            </w:r>
          </w:p>
        </w:tc>
        <w:tc>
          <w:tcPr>
            <w:tcW w:w="850" w:type="dxa"/>
            <w:tcBorders>
              <w:right w:val="single" w:sz="4" w:space="0" w:color="auto"/>
            </w:tcBorders>
            <w:shd w:val="clear" w:color="auto" w:fill="auto"/>
            <w:noWrap/>
            <w:hideMark/>
          </w:tcPr>
          <w:p w14:paraId="0240D628"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3.97%</w:t>
            </w:r>
          </w:p>
        </w:tc>
        <w:tc>
          <w:tcPr>
            <w:tcW w:w="850" w:type="dxa"/>
            <w:tcBorders>
              <w:left w:val="single" w:sz="4" w:space="0" w:color="auto"/>
            </w:tcBorders>
            <w:shd w:val="clear" w:color="auto" w:fill="auto"/>
            <w:noWrap/>
            <w:hideMark/>
          </w:tcPr>
          <w:p w14:paraId="0C646692"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-5.75%</w:t>
            </w:r>
          </w:p>
        </w:tc>
        <w:tc>
          <w:tcPr>
            <w:tcW w:w="850" w:type="dxa"/>
            <w:shd w:val="clear" w:color="auto" w:fill="auto"/>
            <w:noWrap/>
            <w:hideMark/>
          </w:tcPr>
          <w:p w14:paraId="02BFB5B2"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-2.65%</w:t>
            </w:r>
          </w:p>
        </w:tc>
        <w:tc>
          <w:tcPr>
            <w:tcW w:w="850" w:type="dxa"/>
            <w:tcBorders>
              <w:right w:val="single" w:sz="4" w:space="0" w:color="auto"/>
            </w:tcBorders>
            <w:shd w:val="clear" w:color="auto" w:fill="auto"/>
            <w:noWrap/>
            <w:hideMark/>
          </w:tcPr>
          <w:p w14:paraId="0FAA2489"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-6.40%</w:t>
            </w:r>
          </w:p>
        </w:tc>
        <w:tc>
          <w:tcPr>
            <w:tcW w:w="993" w:type="dxa"/>
            <w:tcBorders>
              <w:left w:val="single" w:sz="4" w:space="0" w:color="auto"/>
            </w:tcBorders>
            <w:shd w:val="clear" w:color="auto" w:fill="auto"/>
            <w:noWrap/>
            <w:hideMark/>
          </w:tcPr>
          <w:p w14:paraId="0D4845E7" w14:textId="72096CF0"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1.77% ***</w:t>
            </w:r>
          </w:p>
        </w:tc>
        <w:tc>
          <w:tcPr>
            <w:tcW w:w="997" w:type="dxa"/>
            <w:tcBorders>
              <w:right w:val="single" w:sz="4" w:space="0" w:color="auto"/>
            </w:tcBorders>
            <w:shd w:val="clear" w:color="auto" w:fill="auto"/>
            <w:noWrap/>
            <w:hideMark/>
          </w:tcPr>
          <w:p w14:paraId="28AE74B2" w14:textId="4EE5C0C9"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-3.76% ***</w:t>
            </w:r>
          </w:p>
        </w:tc>
        <w:tc>
          <w:tcPr>
            <w:tcW w:w="1276" w:type="dxa"/>
            <w:gridSpan w:val="3"/>
            <w:tcBorders>
              <w:left w:val="single" w:sz="4" w:space="0" w:color="auto"/>
            </w:tcBorders>
            <w:shd w:val="clear" w:color="auto" w:fill="auto"/>
            <w:noWrap/>
            <w:vAlign w:val="bottom"/>
            <w:hideMark/>
          </w:tcPr>
          <w:p w14:paraId="47BFA6C6" w14:textId="1B7FFCA0"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-1.98% ***</w:t>
            </w:r>
          </w:p>
        </w:tc>
      </w:tr>
      <w:tr w:rsidR="00543F8B" w:rsidRPr="00B87834" w14:paraId="1481B4D7"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7941DD21"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2003</w:t>
            </w:r>
          </w:p>
        </w:tc>
        <w:tc>
          <w:tcPr>
            <w:tcW w:w="850" w:type="dxa"/>
            <w:shd w:val="clear" w:color="auto" w:fill="auto"/>
            <w:noWrap/>
            <w:hideMark/>
          </w:tcPr>
          <w:p w14:paraId="6ECD278F"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1.51%</w:t>
            </w:r>
          </w:p>
        </w:tc>
        <w:tc>
          <w:tcPr>
            <w:tcW w:w="850" w:type="dxa"/>
            <w:shd w:val="clear" w:color="auto" w:fill="auto"/>
            <w:noWrap/>
            <w:hideMark/>
          </w:tcPr>
          <w:p w14:paraId="4F737A6E"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2.45%</w:t>
            </w:r>
          </w:p>
        </w:tc>
        <w:tc>
          <w:tcPr>
            <w:tcW w:w="850" w:type="dxa"/>
            <w:tcBorders>
              <w:right w:val="single" w:sz="4" w:space="0" w:color="auto"/>
            </w:tcBorders>
            <w:shd w:val="clear" w:color="auto" w:fill="auto"/>
            <w:noWrap/>
            <w:hideMark/>
          </w:tcPr>
          <w:p w14:paraId="1C2CB3F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2.57%</w:t>
            </w:r>
          </w:p>
        </w:tc>
        <w:tc>
          <w:tcPr>
            <w:tcW w:w="850" w:type="dxa"/>
            <w:tcBorders>
              <w:left w:val="single" w:sz="4" w:space="0" w:color="auto"/>
            </w:tcBorders>
            <w:shd w:val="clear" w:color="auto" w:fill="auto"/>
            <w:noWrap/>
            <w:hideMark/>
          </w:tcPr>
          <w:p w14:paraId="79FFE03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3.18%</w:t>
            </w:r>
          </w:p>
        </w:tc>
        <w:tc>
          <w:tcPr>
            <w:tcW w:w="850" w:type="dxa"/>
            <w:shd w:val="clear" w:color="auto" w:fill="auto"/>
            <w:noWrap/>
            <w:hideMark/>
          </w:tcPr>
          <w:p w14:paraId="6848A81E"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3.74%</w:t>
            </w:r>
          </w:p>
        </w:tc>
        <w:tc>
          <w:tcPr>
            <w:tcW w:w="850" w:type="dxa"/>
            <w:tcBorders>
              <w:right w:val="single" w:sz="4" w:space="0" w:color="auto"/>
            </w:tcBorders>
            <w:shd w:val="clear" w:color="auto" w:fill="auto"/>
            <w:noWrap/>
            <w:hideMark/>
          </w:tcPr>
          <w:p w14:paraId="46666B87"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4.68%</w:t>
            </w:r>
          </w:p>
        </w:tc>
        <w:tc>
          <w:tcPr>
            <w:tcW w:w="850" w:type="dxa"/>
            <w:tcBorders>
              <w:left w:val="single" w:sz="4" w:space="0" w:color="auto"/>
            </w:tcBorders>
            <w:shd w:val="clear" w:color="auto" w:fill="auto"/>
            <w:noWrap/>
            <w:hideMark/>
          </w:tcPr>
          <w:p w14:paraId="6237F1B5"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-3.51%</w:t>
            </w:r>
          </w:p>
        </w:tc>
        <w:tc>
          <w:tcPr>
            <w:tcW w:w="850" w:type="dxa"/>
            <w:shd w:val="clear" w:color="auto" w:fill="auto"/>
            <w:noWrap/>
            <w:hideMark/>
          </w:tcPr>
          <w:p w14:paraId="17409A87"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-1.41%</w:t>
            </w:r>
          </w:p>
        </w:tc>
        <w:tc>
          <w:tcPr>
            <w:tcW w:w="850" w:type="dxa"/>
            <w:tcBorders>
              <w:right w:val="single" w:sz="4" w:space="0" w:color="auto"/>
            </w:tcBorders>
            <w:shd w:val="clear" w:color="auto" w:fill="auto"/>
            <w:noWrap/>
            <w:hideMark/>
          </w:tcPr>
          <w:p w14:paraId="2474E47E"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-3.75%</w:t>
            </w:r>
          </w:p>
        </w:tc>
        <w:tc>
          <w:tcPr>
            <w:tcW w:w="993" w:type="dxa"/>
            <w:tcBorders>
              <w:left w:val="single" w:sz="4" w:space="0" w:color="auto"/>
            </w:tcBorders>
            <w:shd w:val="clear" w:color="auto" w:fill="auto"/>
            <w:noWrap/>
            <w:hideMark/>
          </w:tcPr>
          <w:p w14:paraId="336E7923" w14:textId="2E80C1C8"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0.94% ***</w:t>
            </w:r>
          </w:p>
        </w:tc>
        <w:tc>
          <w:tcPr>
            <w:tcW w:w="997" w:type="dxa"/>
            <w:tcBorders>
              <w:right w:val="single" w:sz="4" w:space="0" w:color="auto"/>
            </w:tcBorders>
            <w:shd w:val="clear" w:color="auto" w:fill="auto"/>
            <w:noWrap/>
            <w:hideMark/>
          </w:tcPr>
          <w:p w14:paraId="3029F282" w14:textId="62EAC9C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-2.34% ***</w:t>
            </w:r>
          </w:p>
        </w:tc>
        <w:tc>
          <w:tcPr>
            <w:tcW w:w="1276" w:type="dxa"/>
            <w:gridSpan w:val="3"/>
            <w:tcBorders>
              <w:left w:val="single" w:sz="4" w:space="0" w:color="auto"/>
            </w:tcBorders>
            <w:shd w:val="clear" w:color="auto" w:fill="auto"/>
            <w:noWrap/>
            <w:vAlign w:val="bottom"/>
            <w:hideMark/>
          </w:tcPr>
          <w:p w14:paraId="544920F2" w14:textId="01D01912"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-1.4% ***</w:t>
            </w:r>
          </w:p>
        </w:tc>
      </w:tr>
      <w:tr w:rsidR="00543F8B" w:rsidRPr="00B87834" w14:paraId="394A0085"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4F03562D"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2004</w:t>
            </w:r>
          </w:p>
        </w:tc>
        <w:tc>
          <w:tcPr>
            <w:tcW w:w="850" w:type="dxa"/>
            <w:shd w:val="clear" w:color="auto" w:fill="auto"/>
            <w:noWrap/>
            <w:hideMark/>
          </w:tcPr>
          <w:p w14:paraId="4E0DCD6B"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1.05%</w:t>
            </w:r>
          </w:p>
        </w:tc>
        <w:tc>
          <w:tcPr>
            <w:tcW w:w="850" w:type="dxa"/>
            <w:shd w:val="clear" w:color="auto" w:fill="auto"/>
            <w:noWrap/>
            <w:hideMark/>
          </w:tcPr>
          <w:p w14:paraId="028E703F"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1.01%</w:t>
            </w:r>
          </w:p>
        </w:tc>
        <w:tc>
          <w:tcPr>
            <w:tcW w:w="850" w:type="dxa"/>
            <w:tcBorders>
              <w:right w:val="single" w:sz="4" w:space="0" w:color="auto"/>
            </w:tcBorders>
            <w:shd w:val="clear" w:color="auto" w:fill="auto"/>
            <w:noWrap/>
            <w:hideMark/>
          </w:tcPr>
          <w:p w14:paraId="2D74C35B"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0.62%</w:t>
            </w:r>
          </w:p>
        </w:tc>
        <w:tc>
          <w:tcPr>
            <w:tcW w:w="850" w:type="dxa"/>
            <w:tcBorders>
              <w:left w:val="single" w:sz="4" w:space="0" w:color="auto"/>
            </w:tcBorders>
            <w:shd w:val="clear" w:color="auto" w:fill="auto"/>
            <w:noWrap/>
            <w:hideMark/>
          </w:tcPr>
          <w:p w14:paraId="737742D0"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2.04%</w:t>
            </w:r>
          </w:p>
        </w:tc>
        <w:tc>
          <w:tcPr>
            <w:tcW w:w="850" w:type="dxa"/>
            <w:shd w:val="clear" w:color="auto" w:fill="auto"/>
            <w:noWrap/>
            <w:hideMark/>
          </w:tcPr>
          <w:p w14:paraId="414B24B7"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1.93%</w:t>
            </w:r>
          </w:p>
        </w:tc>
        <w:tc>
          <w:tcPr>
            <w:tcW w:w="850" w:type="dxa"/>
            <w:tcBorders>
              <w:right w:val="single" w:sz="4" w:space="0" w:color="auto"/>
            </w:tcBorders>
            <w:shd w:val="clear" w:color="auto" w:fill="auto"/>
            <w:noWrap/>
            <w:hideMark/>
          </w:tcPr>
          <w:p w14:paraId="7ACC63C2"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2.15%</w:t>
            </w:r>
          </w:p>
        </w:tc>
        <w:tc>
          <w:tcPr>
            <w:tcW w:w="850" w:type="dxa"/>
            <w:tcBorders>
              <w:left w:val="single" w:sz="4" w:space="0" w:color="auto"/>
            </w:tcBorders>
            <w:shd w:val="clear" w:color="auto" w:fill="auto"/>
            <w:noWrap/>
            <w:hideMark/>
          </w:tcPr>
          <w:p w14:paraId="0E1BFD2B"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-1.92%</w:t>
            </w:r>
          </w:p>
        </w:tc>
        <w:tc>
          <w:tcPr>
            <w:tcW w:w="850" w:type="dxa"/>
            <w:shd w:val="clear" w:color="auto" w:fill="auto"/>
            <w:noWrap/>
            <w:hideMark/>
          </w:tcPr>
          <w:p w14:paraId="62CC1F7A"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-1.75%</w:t>
            </w:r>
          </w:p>
        </w:tc>
        <w:tc>
          <w:tcPr>
            <w:tcW w:w="850" w:type="dxa"/>
            <w:tcBorders>
              <w:right w:val="single" w:sz="4" w:space="0" w:color="auto"/>
            </w:tcBorders>
            <w:shd w:val="clear" w:color="auto" w:fill="auto"/>
            <w:noWrap/>
            <w:hideMark/>
          </w:tcPr>
          <w:p w14:paraId="4BE088C0"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-3.97%</w:t>
            </w:r>
          </w:p>
        </w:tc>
        <w:tc>
          <w:tcPr>
            <w:tcW w:w="993" w:type="dxa"/>
            <w:tcBorders>
              <w:left w:val="single" w:sz="4" w:space="0" w:color="auto"/>
            </w:tcBorders>
            <w:shd w:val="clear" w:color="auto" w:fill="auto"/>
            <w:noWrap/>
            <w:hideMark/>
          </w:tcPr>
          <w:p w14:paraId="7FEB0A22" w14:textId="05F5F75C"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0.22%</w:t>
            </w:r>
          </w:p>
        </w:tc>
        <w:tc>
          <w:tcPr>
            <w:tcW w:w="997" w:type="dxa"/>
            <w:tcBorders>
              <w:right w:val="single" w:sz="4" w:space="0" w:color="auto"/>
            </w:tcBorders>
            <w:shd w:val="clear" w:color="auto" w:fill="auto"/>
            <w:noWrap/>
            <w:hideMark/>
          </w:tcPr>
          <w:p w14:paraId="76F0B921" w14:textId="5AD06689"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-2.23% ***</w:t>
            </w:r>
          </w:p>
        </w:tc>
        <w:tc>
          <w:tcPr>
            <w:tcW w:w="1276" w:type="dxa"/>
            <w:gridSpan w:val="3"/>
            <w:tcBorders>
              <w:left w:val="single" w:sz="4" w:space="0" w:color="auto"/>
            </w:tcBorders>
            <w:shd w:val="clear" w:color="auto" w:fill="auto"/>
            <w:noWrap/>
            <w:vAlign w:val="bottom"/>
            <w:hideMark/>
          </w:tcPr>
          <w:p w14:paraId="0BFB0DB8" w14:textId="6CE76E0B"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-2.01% ***</w:t>
            </w:r>
          </w:p>
        </w:tc>
      </w:tr>
      <w:tr w:rsidR="00543F8B" w:rsidRPr="00B87834" w14:paraId="3ADC2B03"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6702BC64"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2005</w:t>
            </w:r>
          </w:p>
        </w:tc>
        <w:tc>
          <w:tcPr>
            <w:tcW w:w="850" w:type="dxa"/>
            <w:shd w:val="clear" w:color="auto" w:fill="auto"/>
            <w:noWrap/>
            <w:hideMark/>
          </w:tcPr>
          <w:p w14:paraId="6F022C8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0.76%</w:t>
            </w:r>
          </w:p>
        </w:tc>
        <w:tc>
          <w:tcPr>
            <w:tcW w:w="850" w:type="dxa"/>
            <w:shd w:val="clear" w:color="auto" w:fill="auto"/>
            <w:noWrap/>
            <w:hideMark/>
          </w:tcPr>
          <w:p w14:paraId="41724B72"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0.55%</w:t>
            </w:r>
          </w:p>
        </w:tc>
        <w:tc>
          <w:tcPr>
            <w:tcW w:w="850" w:type="dxa"/>
            <w:tcBorders>
              <w:right w:val="single" w:sz="4" w:space="0" w:color="auto"/>
            </w:tcBorders>
            <w:shd w:val="clear" w:color="auto" w:fill="auto"/>
            <w:noWrap/>
            <w:hideMark/>
          </w:tcPr>
          <w:p w14:paraId="58C5348C"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0.37%</w:t>
            </w:r>
          </w:p>
        </w:tc>
        <w:tc>
          <w:tcPr>
            <w:tcW w:w="850" w:type="dxa"/>
            <w:tcBorders>
              <w:left w:val="single" w:sz="4" w:space="0" w:color="auto"/>
            </w:tcBorders>
            <w:shd w:val="clear" w:color="auto" w:fill="auto"/>
            <w:noWrap/>
            <w:hideMark/>
          </w:tcPr>
          <w:p w14:paraId="207DBA6D"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2.47%</w:t>
            </w:r>
          </w:p>
        </w:tc>
        <w:tc>
          <w:tcPr>
            <w:tcW w:w="850" w:type="dxa"/>
            <w:shd w:val="clear" w:color="auto" w:fill="auto"/>
            <w:noWrap/>
            <w:hideMark/>
          </w:tcPr>
          <w:p w14:paraId="126599BA"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2.40%</w:t>
            </w:r>
          </w:p>
        </w:tc>
        <w:tc>
          <w:tcPr>
            <w:tcW w:w="850" w:type="dxa"/>
            <w:tcBorders>
              <w:right w:val="single" w:sz="4" w:space="0" w:color="auto"/>
            </w:tcBorders>
            <w:shd w:val="clear" w:color="auto" w:fill="auto"/>
            <w:noWrap/>
            <w:hideMark/>
          </w:tcPr>
          <w:p w14:paraId="5EC73BE7"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2.86%</w:t>
            </w:r>
          </w:p>
        </w:tc>
        <w:tc>
          <w:tcPr>
            <w:tcW w:w="850" w:type="dxa"/>
            <w:tcBorders>
              <w:left w:val="single" w:sz="4" w:space="0" w:color="auto"/>
            </w:tcBorders>
            <w:shd w:val="clear" w:color="auto" w:fill="auto"/>
            <w:noWrap/>
            <w:hideMark/>
          </w:tcPr>
          <w:p w14:paraId="1C51E3C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-1.63%</w:t>
            </w:r>
          </w:p>
        </w:tc>
        <w:tc>
          <w:tcPr>
            <w:tcW w:w="850" w:type="dxa"/>
            <w:shd w:val="clear" w:color="auto" w:fill="auto"/>
            <w:noWrap/>
            <w:hideMark/>
          </w:tcPr>
          <w:p w14:paraId="0C9B775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-2.03%</w:t>
            </w:r>
          </w:p>
        </w:tc>
        <w:tc>
          <w:tcPr>
            <w:tcW w:w="850" w:type="dxa"/>
            <w:tcBorders>
              <w:right w:val="single" w:sz="4" w:space="0" w:color="auto"/>
            </w:tcBorders>
            <w:shd w:val="clear" w:color="auto" w:fill="auto"/>
            <w:noWrap/>
            <w:hideMark/>
          </w:tcPr>
          <w:p w14:paraId="433D699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-3.12%</w:t>
            </w:r>
          </w:p>
        </w:tc>
        <w:tc>
          <w:tcPr>
            <w:tcW w:w="993" w:type="dxa"/>
            <w:tcBorders>
              <w:left w:val="single" w:sz="4" w:space="0" w:color="auto"/>
            </w:tcBorders>
            <w:shd w:val="clear" w:color="auto" w:fill="auto"/>
            <w:noWrap/>
            <w:hideMark/>
          </w:tcPr>
          <w:p w14:paraId="2607C548" w14:textId="481F47EF"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0.46%</w:t>
            </w:r>
          </w:p>
        </w:tc>
        <w:tc>
          <w:tcPr>
            <w:tcW w:w="997" w:type="dxa"/>
            <w:tcBorders>
              <w:right w:val="single" w:sz="4" w:space="0" w:color="auto"/>
            </w:tcBorders>
            <w:shd w:val="clear" w:color="auto" w:fill="auto"/>
            <w:noWrap/>
            <w:hideMark/>
          </w:tcPr>
          <w:p w14:paraId="13281A53" w14:textId="18FF639B"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-1.09% ***</w:t>
            </w:r>
          </w:p>
        </w:tc>
        <w:tc>
          <w:tcPr>
            <w:tcW w:w="1276" w:type="dxa"/>
            <w:gridSpan w:val="3"/>
            <w:tcBorders>
              <w:left w:val="single" w:sz="4" w:space="0" w:color="auto"/>
            </w:tcBorders>
            <w:shd w:val="clear" w:color="auto" w:fill="auto"/>
            <w:noWrap/>
            <w:vAlign w:val="bottom"/>
            <w:hideMark/>
          </w:tcPr>
          <w:p w14:paraId="04869A5A" w14:textId="06F6FBE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-0.62% *</w:t>
            </w:r>
          </w:p>
        </w:tc>
      </w:tr>
      <w:tr w:rsidR="00543F8B" w:rsidRPr="00B87834" w14:paraId="212D6FB4"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2B6AF466"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2006</w:t>
            </w:r>
          </w:p>
        </w:tc>
        <w:tc>
          <w:tcPr>
            <w:tcW w:w="850" w:type="dxa"/>
            <w:shd w:val="clear" w:color="auto" w:fill="auto"/>
            <w:noWrap/>
            <w:hideMark/>
          </w:tcPr>
          <w:p w14:paraId="412EAC85"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0.99%</w:t>
            </w:r>
          </w:p>
        </w:tc>
        <w:tc>
          <w:tcPr>
            <w:tcW w:w="850" w:type="dxa"/>
            <w:shd w:val="clear" w:color="auto" w:fill="auto"/>
            <w:noWrap/>
            <w:hideMark/>
          </w:tcPr>
          <w:p w14:paraId="369D3E63"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0.60%</w:t>
            </w:r>
          </w:p>
        </w:tc>
        <w:tc>
          <w:tcPr>
            <w:tcW w:w="850" w:type="dxa"/>
            <w:tcBorders>
              <w:right w:val="single" w:sz="4" w:space="0" w:color="auto"/>
            </w:tcBorders>
            <w:shd w:val="clear" w:color="auto" w:fill="auto"/>
            <w:noWrap/>
            <w:hideMark/>
          </w:tcPr>
          <w:p w14:paraId="496F2E29"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0.83%</w:t>
            </w:r>
          </w:p>
        </w:tc>
        <w:tc>
          <w:tcPr>
            <w:tcW w:w="850" w:type="dxa"/>
            <w:tcBorders>
              <w:left w:val="single" w:sz="4" w:space="0" w:color="auto"/>
            </w:tcBorders>
            <w:shd w:val="clear" w:color="auto" w:fill="auto"/>
            <w:noWrap/>
            <w:hideMark/>
          </w:tcPr>
          <w:p w14:paraId="494ABEB3"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2.06%</w:t>
            </w:r>
          </w:p>
        </w:tc>
        <w:tc>
          <w:tcPr>
            <w:tcW w:w="850" w:type="dxa"/>
            <w:shd w:val="clear" w:color="auto" w:fill="auto"/>
            <w:noWrap/>
            <w:hideMark/>
          </w:tcPr>
          <w:p w14:paraId="5382B0C4"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1.75%</w:t>
            </w:r>
          </w:p>
        </w:tc>
        <w:tc>
          <w:tcPr>
            <w:tcW w:w="850" w:type="dxa"/>
            <w:tcBorders>
              <w:right w:val="single" w:sz="4" w:space="0" w:color="auto"/>
            </w:tcBorders>
            <w:shd w:val="clear" w:color="auto" w:fill="auto"/>
            <w:noWrap/>
            <w:hideMark/>
          </w:tcPr>
          <w:p w14:paraId="57C443F1"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2.71%</w:t>
            </w:r>
          </w:p>
        </w:tc>
        <w:tc>
          <w:tcPr>
            <w:tcW w:w="850" w:type="dxa"/>
            <w:tcBorders>
              <w:left w:val="single" w:sz="4" w:space="0" w:color="auto"/>
            </w:tcBorders>
            <w:shd w:val="clear" w:color="auto" w:fill="auto"/>
            <w:noWrap/>
            <w:hideMark/>
          </w:tcPr>
          <w:p w14:paraId="1F6F4E3E"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-1.13%</w:t>
            </w:r>
          </w:p>
        </w:tc>
        <w:tc>
          <w:tcPr>
            <w:tcW w:w="850" w:type="dxa"/>
            <w:shd w:val="clear" w:color="auto" w:fill="auto"/>
            <w:noWrap/>
            <w:hideMark/>
          </w:tcPr>
          <w:p w14:paraId="0C196443"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-1.70%</w:t>
            </w:r>
          </w:p>
        </w:tc>
        <w:tc>
          <w:tcPr>
            <w:tcW w:w="850" w:type="dxa"/>
            <w:tcBorders>
              <w:right w:val="single" w:sz="4" w:space="0" w:color="auto"/>
            </w:tcBorders>
            <w:shd w:val="clear" w:color="auto" w:fill="auto"/>
            <w:noWrap/>
            <w:hideMark/>
          </w:tcPr>
          <w:p w14:paraId="4528199C"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-2.91%</w:t>
            </w:r>
          </w:p>
        </w:tc>
        <w:tc>
          <w:tcPr>
            <w:tcW w:w="993" w:type="dxa"/>
            <w:tcBorders>
              <w:left w:val="single" w:sz="4" w:space="0" w:color="auto"/>
            </w:tcBorders>
            <w:shd w:val="clear" w:color="auto" w:fill="auto"/>
            <w:noWrap/>
            <w:hideMark/>
          </w:tcPr>
          <w:p w14:paraId="2E6B4326" w14:textId="55554C73"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0.96% ***</w:t>
            </w:r>
          </w:p>
        </w:tc>
        <w:tc>
          <w:tcPr>
            <w:tcW w:w="997" w:type="dxa"/>
            <w:tcBorders>
              <w:right w:val="single" w:sz="4" w:space="0" w:color="auto"/>
            </w:tcBorders>
            <w:shd w:val="clear" w:color="auto" w:fill="auto"/>
            <w:noWrap/>
            <w:hideMark/>
          </w:tcPr>
          <w:p w14:paraId="63FBDB99" w14:textId="1BC2EF5D"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-1.21% ***</w:t>
            </w:r>
          </w:p>
        </w:tc>
        <w:tc>
          <w:tcPr>
            <w:tcW w:w="1276" w:type="dxa"/>
            <w:gridSpan w:val="3"/>
            <w:tcBorders>
              <w:left w:val="single" w:sz="4" w:space="0" w:color="auto"/>
            </w:tcBorders>
            <w:shd w:val="clear" w:color="auto" w:fill="auto"/>
            <w:noWrap/>
            <w:vAlign w:val="bottom"/>
            <w:hideMark/>
          </w:tcPr>
          <w:p w14:paraId="502471C5" w14:textId="166F8A26"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 xml:space="preserve">-0.25%  </w:t>
            </w:r>
          </w:p>
        </w:tc>
      </w:tr>
      <w:tr w:rsidR="00543F8B" w:rsidRPr="00B87834" w14:paraId="4773FD30"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67231DC3"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2007</w:t>
            </w:r>
          </w:p>
        </w:tc>
        <w:tc>
          <w:tcPr>
            <w:tcW w:w="850" w:type="dxa"/>
            <w:shd w:val="clear" w:color="auto" w:fill="auto"/>
            <w:noWrap/>
            <w:hideMark/>
          </w:tcPr>
          <w:p w14:paraId="4939A5B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0.54%</w:t>
            </w:r>
          </w:p>
        </w:tc>
        <w:tc>
          <w:tcPr>
            <w:tcW w:w="850" w:type="dxa"/>
            <w:shd w:val="clear" w:color="auto" w:fill="auto"/>
            <w:noWrap/>
            <w:hideMark/>
          </w:tcPr>
          <w:p w14:paraId="4397628E"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-0.78%</w:t>
            </w:r>
          </w:p>
        </w:tc>
        <w:tc>
          <w:tcPr>
            <w:tcW w:w="850" w:type="dxa"/>
            <w:tcBorders>
              <w:right w:val="single" w:sz="4" w:space="0" w:color="auto"/>
            </w:tcBorders>
            <w:shd w:val="clear" w:color="auto" w:fill="auto"/>
            <w:noWrap/>
            <w:hideMark/>
          </w:tcPr>
          <w:p w14:paraId="21ACABD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0.11%</w:t>
            </w:r>
          </w:p>
        </w:tc>
        <w:tc>
          <w:tcPr>
            <w:tcW w:w="850" w:type="dxa"/>
            <w:tcBorders>
              <w:left w:val="single" w:sz="4" w:space="0" w:color="auto"/>
            </w:tcBorders>
            <w:shd w:val="clear" w:color="auto" w:fill="auto"/>
            <w:noWrap/>
            <w:hideMark/>
          </w:tcPr>
          <w:p w14:paraId="7849312B"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2.71%</w:t>
            </w:r>
          </w:p>
        </w:tc>
        <w:tc>
          <w:tcPr>
            <w:tcW w:w="850" w:type="dxa"/>
            <w:shd w:val="clear" w:color="auto" w:fill="auto"/>
            <w:noWrap/>
            <w:hideMark/>
          </w:tcPr>
          <w:p w14:paraId="2AF0253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1.16%</w:t>
            </w:r>
          </w:p>
        </w:tc>
        <w:tc>
          <w:tcPr>
            <w:tcW w:w="850" w:type="dxa"/>
            <w:tcBorders>
              <w:right w:val="single" w:sz="4" w:space="0" w:color="auto"/>
            </w:tcBorders>
            <w:shd w:val="clear" w:color="auto" w:fill="auto"/>
            <w:noWrap/>
            <w:hideMark/>
          </w:tcPr>
          <w:p w14:paraId="59CFE2A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2.04%</w:t>
            </w:r>
          </w:p>
        </w:tc>
        <w:tc>
          <w:tcPr>
            <w:tcW w:w="850" w:type="dxa"/>
            <w:tcBorders>
              <w:left w:val="single" w:sz="4" w:space="0" w:color="auto"/>
            </w:tcBorders>
            <w:shd w:val="clear" w:color="auto" w:fill="auto"/>
            <w:noWrap/>
            <w:hideMark/>
          </w:tcPr>
          <w:p w14:paraId="173610CF"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-2.50%</w:t>
            </w:r>
          </w:p>
        </w:tc>
        <w:tc>
          <w:tcPr>
            <w:tcW w:w="850" w:type="dxa"/>
            <w:shd w:val="clear" w:color="auto" w:fill="auto"/>
            <w:noWrap/>
            <w:hideMark/>
          </w:tcPr>
          <w:p w14:paraId="102F9245"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-3.49%</w:t>
            </w:r>
          </w:p>
        </w:tc>
        <w:tc>
          <w:tcPr>
            <w:tcW w:w="850" w:type="dxa"/>
            <w:tcBorders>
              <w:right w:val="single" w:sz="4" w:space="0" w:color="auto"/>
            </w:tcBorders>
            <w:shd w:val="clear" w:color="auto" w:fill="auto"/>
            <w:noWrap/>
            <w:hideMark/>
          </w:tcPr>
          <w:p w14:paraId="0C0B15F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-2.59%</w:t>
            </w:r>
          </w:p>
        </w:tc>
        <w:tc>
          <w:tcPr>
            <w:tcW w:w="993" w:type="dxa"/>
            <w:tcBorders>
              <w:left w:val="single" w:sz="4" w:space="0" w:color="auto"/>
            </w:tcBorders>
            <w:shd w:val="clear" w:color="auto" w:fill="auto"/>
            <w:noWrap/>
            <w:hideMark/>
          </w:tcPr>
          <w:p w14:paraId="205687B7" w14:textId="7045B0B3"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0.88% ***</w:t>
            </w:r>
          </w:p>
        </w:tc>
        <w:tc>
          <w:tcPr>
            <w:tcW w:w="997" w:type="dxa"/>
            <w:tcBorders>
              <w:right w:val="single" w:sz="4" w:space="0" w:color="auto"/>
            </w:tcBorders>
            <w:shd w:val="clear" w:color="auto" w:fill="auto"/>
            <w:noWrap/>
            <w:hideMark/>
          </w:tcPr>
          <w:p w14:paraId="32A128EF" w14:textId="473C7195"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0.9% ***</w:t>
            </w:r>
          </w:p>
        </w:tc>
        <w:tc>
          <w:tcPr>
            <w:tcW w:w="1276" w:type="dxa"/>
            <w:gridSpan w:val="3"/>
            <w:tcBorders>
              <w:left w:val="single" w:sz="4" w:space="0" w:color="auto"/>
            </w:tcBorders>
            <w:shd w:val="clear" w:color="auto" w:fill="auto"/>
            <w:noWrap/>
            <w:vAlign w:val="bottom"/>
            <w:hideMark/>
          </w:tcPr>
          <w:p w14:paraId="6BAC2E2A" w14:textId="1B1C6598"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1.78% ***</w:t>
            </w:r>
          </w:p>
        </w:tc>
      </w:tr>
      <w:tr w:rsidR="00543F8B" w:rsidRPr="00B87834" w14:paraId="70B66D6E"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47C5050F"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2008</w:t>
            </w:r>
          </w:p>
        </w:tc>
        <w:tc>
          <w:tcPr>
            <w:tcW w:w="850" w:type="dxa"/>
            <w:shd w:val="clear" w:color="auto" w:fill="auto"/>
            <w:noWrap/>
            <w:hideMark/>
          </w:tcPr>
          <w:p w14:paraId="6C5FFC7E"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-4.86%</w:t>
            </w:r>
          </w:p>
        </w:tc>
        <w:tc>
          <w:tcPr>
            <w:tcW w:w="850" w:type="dxa"/>
            <w:shd w:val="clear" w:color="auto" w:fill="auto"/>
            <w:noWrap/>
            <w:hideMark/>
          </w:tcPr>
          <w:p w14:paraId="39666B21"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-5.23%</w:t>
            </w:r>
          </w:p>
        </w:tc>
        <w:tc>
          <w:tcPr>
            <w:tcW w:w="850" w:type="dxa"/>
            <w:tcBorders>
              <w:right w:val="single" w:sz="4" w:space="0" w:color="auto"/>
            </w:tcBorders>
            <w:shd w:val="clear" w:color="auto" w:fill="auto"/>
            <w:noWrap/>
            <w:hideMark/>
          </w:tcPr>
          <w:p w14:paraId="2928A67C"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-6.33%</w:t>
            </w:r>
          </w:p>
        </w:tc>
        <w:tc>
          <w:tcPr>
            <w:tcW w:w="850" w:type="dxa"/>
            <w:tcBorders>
              <w:left w:val="single" w:sz="4" w:space="0" w:color="auto"/>
            </w:tcBorders>
            <w:shd w:val="clear" w:color="auto" w:fill="auto"/>
            <w:noWrap/>
            <w:hideMark/>
          </w:tcPr>
          <w:p w14:paraId="1787A031"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2.65%</w:t>
            </w:r>
          </w:p>
        </w:tc>
        <w:tc>
          <w:tcPr>
            <w:tcW w:w="850" w:type="dxa"/>
            <w:shd w:val="clear" w:color="auto" w:fill="auto"/>
            <w:noWrap/>
            <w:hideMark/>
          </w:tcPr>
          <w:p w14:paraId="491933AB"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0.72%</w:t>
            </w:r>
          </w:p>
        </w:tc>
        <w:tc>
          <w:tcPr>
            <w:tcW w:w="850" w:type="dxa"/>
            <w:tcBorders>
              <w:right w:val="single" w:sz="4" w:space="0" w:color="auto"/>
            </w:tcBorders>
            <w:shd w:val="clear" w:color="auto" w:fill="auto"/>
            <w:noWrap/>
            <w:hideMark/>
          </w:tcPr>
          <w:p w14:paraId="66E005FA"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1.78%</w:t>
            </w:r>
          </w:p>
        </w:tc>
        <w:tc>
          <w:tcPr>
            <w:tcW w:w="850" w:type="dxa"/>
            <w:tcBorders>
              <w:left w:val="single" w:sz="4" w:space="0" w:color="auto"/>
            </w:tcBorders>
            <w:shd w:val="clear" w:color="auto" w:fill="auto"/>
            <w:noWrap/>
            <w:hideMark/>
          </w:tcPr>
          <w:p w14:paraId="3B524660"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-7.37%</w:t>
            </w:r>
          </w:p>
        </w:tc>
        <w:tc>
          <w:tcPr>
            <w:tcW w:w="850" w:type="dxa"/>
            <w:shd w:val="clear" w:color="auto" w:fill="auto"/>
            <w:noWrap/>
            <w:hideMark/>
          </w:tcPr>
          <w:p w14:paraId="5E62A2B2"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-7.21%</w:t>
            </w:r>
          </w:p>
        </w:tc>
        <w:tc>
          <w:tcPr>
            <w:tcW w:w="850" w:type="dxa"/>
            <w:tcBorders>
              <w:right w:val="single" w:sz="4" w:space="0" w:color="auto"/>
            </w:tcBorders>
            <w:shd w:val="clear" w:color="auto" w:fill="auto"/>
            <w:noWrap/>
            <w:hideMark/>
          </w:tcPr>
          <w:p w14:paraId="09086DFE"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-9.04%</w:t>
            </w:r>
          </w:p>
        </w:tc>
        <w:tc>
          <w:tcPr>
            <w:tcW w:w="993" w:type="dxa"/>
            <w:tcBorders>
              <w:left w:val="single" w:sz="4" w:space="0" w:color="auto"/>
            </w:tcBorders>
            <w:shd w:val="clear" w:color="auto" w:fill="auto"/>
            <w:noWrap/>
            <w:hideMark/>
          </w:tcPr>
          <w:p w14:paraId="23706F42" w14:textId="0DB6E031"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1.06% ***</w:t>
            </w:r>
          </w:p>
        </w:tc>
        <w:tc>
          <w:tcPr>
            <w:tcW w:w="997" w:type="dxa"/>
            <w:tcBorders>
              <w:right w:val="single" w:sz="4" w:space="0" w:color="auto"/>
            </w:tcBorders>
            <w:shd w:val="clear" w:color="auto" w:fill="auto"/>
            <w:noWrap/>
            <w:hideMark/>
          </w:tcPr>
          <w:p w14:paraId="2B69037B" w14:textId="514DE79B"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-1.83% ***</w:t>
            </w:r>
          </w:p>
        </w:tc>
        <w:tc>
          <w:tcPr>
            <w:tcW w:w="1276" w:type="dxa"/>
            <w:gridSpan w:val="3"/>
            <w:tcBorders>
              <w:left w:val="single" w:sz="4" w:space="0" w:color="auto"/>
            </w:tcBorders>
            <w:shd w:val="clear" w:color="auto" w:fill="auto"/>
            <w:noWrap/>
            <w:vAlign w:val="bottom"/>
            <w:hideMark/>
          </w:tcPr>
          <w:p w14:paraId="76B74A9D" w14:textId="5833A41E"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-0.76% *</w:t>
            </w:r>
          </w:p>
        </w:tc>
      </w:tr>
      <w:tr w:rsidR="00543F8B" w:rsidRPr="00B87834" w14:paraId="4CD76E70"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219113AB"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2009</w:t>
            </w:r>
          </w:p>
        </w:tc>
        <w:tc>
          <w:tcPr>
            <w:tcW w:w="850" w:type="dxa"/>
            <w:shd w:val="clear" w:color="auto" w:fill="auto"/>
            <w:noWrap/>
            <w:hideMark/>
          </w:tcPr>
          <w:p w14:paraId="55AC4097"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2.92%</w:t>
            </w:r>
          </w:p>
        </w:tc>
        <w:tc>
          <w:tcPr>
            <w:tcW w:w="850" w:type="dxa"/>
            <w:shd w:val="clear" w:color="auto" w:fill="auto"/>
            <w:noWrap/>
            <w:hideMark/>
          </w:tcPr>
          <w:p w14:paraId="4C36C6E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2.00%</w:t>
            </w:r>
          </w:p>
        </w:tc>
        <w:tc>
          <w:tcPr>
            <w:tcW w:w="850" w:type="dxa"/>
            <w:tcBorders>
              <w:right w:val="single" w:sz="4" w:space="0" w:color="auto"/>
            </w:tcBorders>
            <w:shd w:val="clear" w:color="auto" w:fill="auto"/>
            <w:noWrap/>
            <w:hideMark/>
          </w:tcPr>
          <w:p w14:paraId="6C799B4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3.56%</w:t>
            </w:r>
          </w:p>
        </w:tc>
        <w:tc>
          <w:tcPr>
            <w:tcW w:w="850" w:type="dxa"/>
            <w:tcBorders>
              <w:left w:val="single" w:sz="4" w:space="0" w:color="auto"/>
            </w:tcBorders>
            <w:shd w:val="clear" w:color="auto" w:fill="auto"/>
            <w:noWrap/>
            <w:hideMark/>
          </w:tcPr>
          <w:p w14:paraId="1045F8D0"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7.76%</w:t>
            </w:r>
          </w:p>
        </w:tc>
        <w:tc>
          <w:tcPr>
            <w:tcW w:w="850" w:type="dxa"/>
            <w:shd w:val="clear" w:color="auto" w:fill="auto"/>
            <w:noWrap/>
            <w:hideMark/>
          </w:tcPr>
          <w:p w14:paraId="67670220"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5.88%</w:t>
            </w:r>
          </w:p>
        </w:tc>
        <w:tc>
          <w:tcPr>
            <w:tcW w:w="850" w:type="dxa"/>
            <w:tcBorders>
              <w:right w:val="single" w:sz="4" w:space="0" w:color="auto"/>
            </w:tcBorders>
            <w:shd w:val="clear" w:color="auto" w:fill="auto"/>
            <w:noWrap/>
            <w:hideMark/>
          </w:tcPr>
          <w:p w14:paraId="75C97929"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8.39%</w:t>
            </w:r>
          </w:p>
        </w:tc>
        <w:tc>
          <w:tcPr>
            <w:tcW w:w="850" w:type="dxa"/>
            <w:tcBorders>
              <w:left w:val="single" w:sz="4" w:space="0" w:color="auto"/>
            </w:tcBorders>
            <w:shd w:val="clear" w:color="auto" w:fill="auto"/>
            <w:noWrap/>
            <w:hideMark/>
          </w:tcPr>
          <w:p w14:paraId="4D3A1D8B"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-6.75%</w:t>
            </w:r>
          </w:p>
        </w:tc>
        <w:tc>
          <w:tcPr>
            <w:tcW w:w="850" w:type="dxa"/>
            <w:shd w:val="clear" w:color="auto" w:fill="auto"/>
            <w:noWrap/>
            <w:hideMark/>
          </w:tcPr>
          <w:p w14:paraId="498C3CE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-5.76%</w:t>
            </w:r>
          </w:p>
        </w:tc>
        <w:tc>
          <w:tcPr>
            <w:tcW w:w="850" w:type="dxa"/>
            <w:tcBorders>
              <w:right w:val="single" w:sz="4" w:space="0" w:color="auto"/>
            </w:tcBorders>
            <w:shd w:val="clear" w:color="auto" w:fill="auto"/>
            <w:noWrap/>
            <w:hideMark/>
          </w:tcPr>
          <w:p w14:paraId="24086659"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-6.09%</w:t>
            </w:r>
          </w:p>
        </w:tc>
        <w:tc>
          <w:tcPr>
            <w:tcW w:w="993" w:type="dxa"/>
            <w:tcBorders>
              <w:left w:val="single" w:sz="4" w:space="0" w:color="auto"/>
            </w:tcBorders>
            <w:shd w:val="clear" w:color="auto" w:fill="auto"/>
            <w:noWrap/>
            <w:hideMark/>
          </w:tcPr>
          <w:p w14:paraId="714B194E" w14:textId="04346DFB"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2.51% ***</w:t>
            </w:r>
          </w:p>
        </w:tc>
        <w:tc>
          <w:tcPr>
            <w:tcW w:w="997" w:type="dxa"/>
            <w:tcBorders>
              <w:right w:val="single" w:sz="4" w:space="0" w:color="auto"/>
            </w:tcBorders>
            <w:shd w:val="clear" w:color="auto" w:fill="auto"/>
            <w:noWrap/>
            <w:hideMark/>
          </w:tcPr>
          <w:p w14:paraId="6916AF48" w14:textId="7317688C"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-0.33%</w:t>
            </w:r>
          </w:p>
        </w:tc>
        <w:tc>
          <w:tcPr>
            <w:tcW w:w="1276" w:type="dxa"/>
            <w:gridSpan w:val="3"/>
            <w:tcBorders>
              <w:left w:val="single" w:sz="4" w:space="0" w:color="auto"/>
            </w:tcBorders>
            <w:shd w:val="clear" w:color="auto" w:fill="auto"/>
            <w:noWrap/>
            <w:vAlign w:val="bottom"/>
            <w:hideMark/>
          </w:tcPr>
          <w:p w14:paraId="264F575E" w14:textId="40623D9E"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2.19% ***</w:t>
            </w:r>
          </w:p>
        </w:tc>
      </w:tr>
      <w:tr w:rsidR="00543F8B" w:rsidRPr="00B87834" w14:paraId="4718FD6F"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7FB4AEDA"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2010</w:t>
            </w:r>
          </w:p>
        </w:tc>
        <w:tc>
          <w:tcPr>
            <w:tcW w:w="850" w:type="dxa"/>
            <w:shd w:val="clear" w:color="auto" w:fill="auto"/>
            <w:noWrap/>
            <w:hideMark/>
          </w:tcPr>
          <w:p w14:paraId="51A4DE2D"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1.06%</w:t>
            </w:r>
          </w:p>
        </w:tc>
        <w:tc>
          <w:tcPr>
            <w:tcW w:w="850" w:type="dxa"/>
            <w:shd w:val="clear" w:color="auto" w:fill="auto"/>
            <w:noWrap/>
            <w:hideMark/>
          </w:tcPr>
          <w:p w14:paraId="3CEC3D4A"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0.92%</w:t>
            </w:r>
          </w:p>
        </w:tc>
        <w:tc>
          <w:tcPr>
            <w:tcW w:w="850" w:type="dxa"/>
            <w:tcBorders>
              <w:right w:val="single" w:sz="4" w:space="0" w:color="auto"/>
            </w:tcBorders>
            <w:shd w:val="clear" w:color="auto" w:fill="auto"/>
            <w:noWrap/>
            <w:hideMark/>
          </w:tcPr>
          <w:p w14:paraId="4DF80AA9"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1.61%</w:t>
            </w:r>
          </w:p>
        </w:tc>
        <w:tc>
          <w:tcPr>
            <w:tcW w:w="850" w:type="dxa"/>
            <w:tcBorders>
              <w:left w:val="single" w:sz="4" w:space="0" w:color="auto"/>
            </w:tcBorders>
            <w:shd w:val="clear" w:color="auto" w:fill="auto"/>
            <w:noWrap/>
            <w:hideMark/>
          </w:tcPr>
          <w:p w14:paraId="3FBDD9E0"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4.35%</w:t>
            </w:r>
          </w:p>
        </w:tc>
        <w:tc>
          <w:tcPr>
            <w:tcW w:w="850" w:type="dxa"/>
            <w:shd w:val="clear" w:color="auto" w:fill="auto"/>
            <w:noWrap/>
            <w:hideMark/>
          </w:tcPr>
          <w:p w14:paraId="715C301A"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3.86%</w:t>
            </w:r>
          </w:p>
        </w:tc>
        <w:tc>
          <w:tcPr>
            <w:tcW w:w="850" w:type="dxa"/>
            <w:tcBorders>
              <w:right w:val="single" w:sz="4" w:space="0" w:color="auto"/>
            </w:tcBorders>
            <w:shd w:val="clear" w:color="auto" w:fill="auto"/>
            <w:noWrap/>
            <w:hideMark/>
          </w:tcPr>
          <w:p w14:paraId="78AE4B74"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5.17%</w:t>
            </w:r>
          </w:p>
        </w:tc>
        <w:tc>
          <w:tcPr>
            <w:tcW w:w="850" w:type="dxa"/>
            <w:tcBorders>
              <w:left w:val="single" w:sz="4" w:space="0" w:color="auto"/>
            </w:tcBorders>
            <w:shd w:val="clear" w:color="auto" w:fill="auto"/>
            <w:noWrap/>
            <w:hideMark/>
          </w:tcPr>
          <w:p w14:paraId="5191A4A4"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-5.52%</w:t>
            </w:r>
          </w:p>
        </w:tc>
        <w:tc>
          <w:tcPr>
            <w:tcW w:w="850" w:type="dxa"/>
            <w:shd w:val="clear" w:color="auto" w:fill="auto"/>
            <w:noWrap/>
            <w:hideMark/>
          </w:tcPr>
          <w:p w14:paraId="5B65F906"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-4.97%</w:t>
            </w:r>
          </w:p>
        </w:tc>
        <w:tc>
          <w:tcPr>
            <w:tcW w:w="850" w:type="dxa"/>
            <w:tcBorders>
              <w:right w:val="single" w:sz="4" w:space="0" w:color="auto"/>
            </w:tcBorders>
            <w:shd w:val="clear" w:color="auto" w:fill="auto"/>
            <w:noWrap/>
            <w:hideMark/>
          </w:tcPr>
          <w:p w14:paraId="720F4606"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-5.50%</w:t>
            </w:r>
          </w:p>
        </w:tc>
        <w:tc>
          <w:tcPr>
            <w:tcW w:w="993" w:type="dxa"/>
            <w:tcBorders>
              <w:left w:val="single" w:sz="4" w:space="0" w:color="auto"/>
            </w:tcBorders>
            <w:shd w:val="clear" w:color="auto" w:fill="auto"/>
            <w:noWrap/>
            <w:hideMark/>
          </w:tcPr>
          <w:p w14:paraId="4EFE5521" w14:textId="2C82EA9D"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1.3% ***</w:t>
            </w:r>
          </w:p>
        </w:tc>
        <w:tc>
          <w:tcPr>
            <w:tcW w:w="997" w:type="dxa"/>
            <w:tcBorders>
              <w:right w:val="single" w:sz="4" w:space="0" w:color="auto"/>
            </w:tcBorders>
            <w:shd w:val="clear" w:color="auto" w:fill="auto"/>
            <w:noWrap/>
            <w:hideMark/>
          </w:tcPr>
          <w:p w14:paraId="0E14C40F" w14:textId="6412C30F"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-0.52%</w:t>
            </w:r>
          </w:p>
        </w:tc>
        <w:tc>
          <w:tcPr>
            <w:tcW w:w="1276" w:type="dxa"/>
            <w:gridSpan w:val="3"/>
            <w:tcBorders>
              <w:left w:val="single" w:sz="4" w:space="0" w:color="auto"/>
            </w:tcBorders>
            <w:shd w:val="clear" w:color="auto" w:fill="auto"/>
            <w:noWrap/>
            <w:vAlign w:val="bottom"/>
            <w:hideMark/>
          </w:tcPr>
          <w:p w14:paraId="4DB22A99" w14:textId="7906178C"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0.78% *</w:t>
            </w:r>
          </w:p>
        </w:tc>
      </w:tr>
      <w:tr w:rsidR="00543F8B" w:rsidRPr="00B87834" w14:paraId="3674DD50"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24BF5A9A"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2011</w:t>
            </w:r>
          </w:p>
        </w:tc>
        <w:tc>
          <w:tcPr>
            <w:tcW w:w="850" w:type="dxa"/>
            <w:shd w:val="clear" w:color="auto" w:fill="auto"/>
            <w:noWrap/>
            <w:hideMark/>
          </w:tcPr>
          <w:p w14:paraId="5C03802A"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0.36%</w:t>
            </w:r>
          </w:p>
        </w:tc>
        <w:tc>
          <w:tcPr>
            <w:tcW w:w="850" w:type="dxa"/>
            <w:shd w:val="clear" w:color="auto" w:fill="auto"/>
            <w:noWrap/>
            <w:hideMark/>
          </w:tcPr>
          <w:p w14:paraId="0D58AA45"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-0.60%</w:t>
            </w:r>
          </w:p>
        </w:tc>
        <w:tc>
          <w:tcPr>
            <w:tcW w:w="850" w:type="dxa"/>
            <w:tcBorders>
              <w:right w:val="single" w:sz="4" w:space="0" w:color="auto"/>
            </w:tcBorders>
            <w:shd w:val="clear" w:color="auto" w:fill="auto"/>
            <w:noWrap/>
            <w:hideMark/>
          </w:tcPr>
          <w:p w14:paraId="1D88D8D5"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-0.43%</w:t>
            </w:r>
          </w:p>
        </w:tc>
        <w:tc>
          <w:tcPr>
            <w:tcW w:w="850" w:type="dxa"/>
            <w:tcBorders>
              <w:left w:val="single" w:sz="4" w:space="0" w:color="auto"/>
            </w:tcBorders>
            <w:shd w:val="clear" w:color="auto" w:fill="auto"/>
            <w:noWrap/>
            <w:hideMark/>
          </w:tcPr>
          <w:p w14:paraId="25F32CF6"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3.62%</w:t>
            </w:r>
          </w:p>
        </w:tc>
        <w:tc>
          <w:tcPr>
            <w:tcW w:w="850" w:type="dxa"/>
            <w:shd w:val="clear" w:color="auto" w:fill="auto"/>
            <w:noWrap/>
            <w:hideMark/>
          </w:tcPr>
          <w:p w14:paraId="7D109B1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2.48%</w:t>
            </w:r>
          </w:p>
        </w:tc>
        <w:tc>
          <w:tcPr>
            <w:tcW w:w="850" w:type="dxa"/>
            <w:tcBorders>
              <w:right w:val="single" w:sz="4" w:space="0" w:color="auto"/>
            </w:tcBorders>
            <w:shd w:val="clear" w:color="auto" w:fill="auto"/>
            <w:noWrap/>
            <w:hideMark/>
          </w:tcPr>
          <w:p w14:paraId="011A3393"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3.19%</w:t>
            </w:r>
          </w:p>
        </w:tc>
        <w:tc>
          <w:tcPr>
            <w:tcW w:w="850" w:type="dxa"/>
            <w:tcBorders>
              <w:left w:val="single" w:sz="4" w:space="0" w:color="auto"/>
            </w:tcBorders>
            <w:shd w:val="clear" w:color="auto" w:fill="auto"/>
            <w:noWrap/>
            <w:hideMark/>
          </w:tcPr>
          <w:p w14:paraId="653931B1"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-6.14%</w:t>
            </w:r>
          </w:p>
        </w:tc>
        <w:tc>
          <w:tcPr>
            <w:tcW w:w="850" w:type="dxa"/>
            <w:shd w:val="clear" w:color="auto" w:fill="auto"/>
            <w:noWrap/>
            <w:hideMark/>
          </w:tcPr>
          <w:p w14:paraId="5E34425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-6.75%</w:t>
            </w:r>
          </w:p>
        </w:tc>
        <w:tc>
          <w:tcPr>
            <w:tcW w:w="850" w:type="dxa"/>
            <w:tcBorders>
              <w:right w:val="single" w:sz="4" w:space="0" w:color="auto"/>
            </w:tcBorders>
            <w:shd w:val="clear" w:color="auto" w:fill="auto"/>
            <w:noWrap/>
            <w:hideMark/>
          </w:tcPr>
          <w:p w14:paraId="15E2169E"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-7.66%</w:t>
            </w:r>
          </w:p>
        </w:tc>
        <w:tc>
          <w:tcPr>
            <w:tcW w:w="993" w:type="dxa"/>
            <w:tcBorders>
              <w:left w:val="single" w:sz="4" w:space="0" w:color="auto"/>
            </w:tcBorders>
            <w:shd w:val="clear" w:color="auto" w:fill="auto"/>
            <w:noWrap/>
            <w:hideMark/>
          </w:tcPr>
          <w:p w14:paraId="1D8A6D6A" w14:textId="1E4126A9"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0.71% *</w:t>
            </w:r>
          </w:p>
        </w:tc>
        <w:tc>
          <w:tcPr>
            <w:tcW w:w="997" w:type="dxa"/>
            <w:tcBorders>
              <w:right w:val="single" w:sz="4" w:space="0" w:color="auto"/>
            </w:tcBorders>
            <w:shd w:val="clear" w:color="auto" w:fill="auto"/>
            <w:noWrap/>
            <w:hideMark/>
          </w:tcPr>
          <w:p w14:paraId="62942FF5" w14:textId="51B83971"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-0.91% ***</w:t>
            </w:r>
          </w:p>
        </w:tc>
        <w:tc>
          <w:tcPr>
            <w:tcW w:w="1276" w:type="dxa"/>
            <w:gridSpan w:val="3"/>
            <w:tcBorders>
              <w:left w:val="single" w:sz="4" w:space="0" w:color="auto"/>
            </w:tcBorders>
            <w:shd w:val="clear" w:color="auto" w:fill="auto"/>
            <w:noWrap/>
            <w:vAlign w:val="bottom"/>
            <w:hideMark/>
          </w:tcPr>
          <w:p w14:paraId="6A00A989" w14:textId="2DBA6904"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 xml:space="preserve">-0.2%  </w:t>
            </w:r>
          </w:p>
        </w:tc>
      </w:tr>
      <w:tr w:rsidR="00543F8B" w:rsidRPr="00B87834" w14:paraId="4D82D7CF"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3C5B1929"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2012</w:t>
            </w:r>
          </w:p>
        </w:tc>
        <w:tc>
          <w:tcPr>
            <w:tcW w:w="850" w:type="dxa"/>
            <w:shd w:val="clear" w:color="auto" w:fill="auto"/>
            <w:noWrap/>
            <w:hideMark/>
          </w:tcPr>
          <w:p w14:paraId="0DE0FE3C"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1.22%</w:t>
            </w:r>
          </w:p>
        </w:tc>
        <w:tc>
          <w:tcPr>
            <w:tcW w:w="850" w:type="dxa"/>
            <w:shd w:val="clear" w:color="auto" w:fill="auto"/>
            <w:noWrap/>
            <w:hideMark/>
          </w:tcPr>
          <w:p w14:paraId="0B85EA17"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1.00%</w:t>
            </w:r>
          </w:p>
        </w:tc>
        <w:tc>
          <w:tcPr>
            <w:tcW w:w="850" w:type="dxa"/>
            <w:tcBorders>
              <w:right w:val="single" w:sz="4" w:space="0" w:color="auto"/>
            </w:tcBorders>
            <w:shd w:val="clear" w:color="auto" w:fill="auto"/>
            <w:noWrap/>
            <w:hideMark/>
          </w:tcPr>
          <w:p w14:paraId="2B7220DD"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0.41%</w:t>
            </w:r>
          </w:p>
        </w:tc>
        <w:tc>
          <w:tcPr>
            <w:tcW w:w="850" w:type="dxa"/>
            <w:tcBorders>
              <w:left w:val="single" w:sz="4" w:space="0" w:color="auto"/>
            </w:tcBorders>
            <w:shd w:val="clear" w:color="auto" w:fill="auto"/>
            <w:noWrap/>
            <w:hideMark/>
          </w:tcPr>
          <w:p w14:paraId="54639414"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3.33%</w:t>
            </w:r>
          </w:p>
        </w:tc>
        <w:tc>
          <w:tcPr>
            <w:tcW w:w="850" w:type="dxa"/>
            <w:shd w:val="clear" w:color="auto" w:fill="auto"/>
            <w:noWrap/>
            <w:hideMark/>
          </w:tcPr>
          <w:p w14:paraId="0B349C49"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2.85%</w:t>
            </w:r>
          </w:p>
        </w:tc>
        <w:tc>
          <w:tcPr>
            <w:tcW w:w="850" w:type="dxa"/>
            <w:tcBorders>
              <w:right w:val="single" w:sz="4" w:space="0" w:color="auto"/>
            </w:tcBorders>
            <w:shd w:val="clear" w:color="auto" w:fill="auto"/>
            <w:noWrap/>
            <w:hideMark/>
          </w:tcPr>
          <w:p w14:paraId="7C5C47E6"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2.43%</w:t>
            </w:r>
          </w:p>
        </w:tc>
        <w:tc>
          <w:tcPr>
            <w:tcW w:w="850" w:type="dxa"/>
            <w:tcBorders>
              <w:left w:val="single" w:sz="4" w:space="0" w:color="auto"/>
            </w:tcBorders>
            <w:shd w:val="clear" w:color="auto" w:fill="auto"/>
            <w:noWrap/>
            <w:hideMark/>
          </w:tcPr>
          <w:p w14:paraId="7B3F4946"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-3.02%</w:t>
            </w:r>
          </w:p>
        </w:tc>
        <w:tc>
          <w:tcPr>
            <w:tcW w:w="850" w:type="dxa"/>
            <w:shd w:val="clear" w:color="auto" w:fill="auto"/>
            <w:noWrap/>
            <w:hideMark/>
          </w:tcPr>
          <w:p w14:paraId="45EAF30C"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-2.70%</w:t>
            </w:r>
          </w:p>
        </w:tc>
        <w:tc>
          <w:tcPr>
            <w:tcW w:w="850" w:type="dxa"/>
            <w:tcBorders>
              <w:right w:val="single" w:sz="4" w:space="0" w:color="auto"/>
            </w:tcBorders>
            <w:shd w:val="clear" w:color="auto" w:fill="auto"/>
            <w:noWrap/>
            <w:hideMark/>
          </w:tcPr>
          <w:p w14:paraId="617AED7F"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-3.64%</w:t>
            </w:r>
          </w:p>
        </w:tc>
        <w:tc>
          <w:tcPr>
            <w:tcW w:w="993" w:type="dxa"/>
            <w:tcBorders>
              <w:left w:val="single" w:sz="4" w:space="0" w:color="auto"/>
            </w:tcBorders>
            <w:shd w:val="clear" w:color="auto" w:fill="auto"/>
            <w:noWrap/>
            <w:hideMark/>
          </w:tcPr>
          <w:p w14:paraId="43F60EAF" w14:textId="3ED20E8F"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-0.41%</w:t>
            </w:r>
          </w:p>
        </w:tc>
        <w:tc>
          <w:tcPr>
            <w:tcW w:w="997" w:type="dxa"/>
            <w:tcBorders>
              <w:right w:val="single" w:sz="4" w:space="0" w:color="auto"/>
            </w:tcBorders>
            <w:shd w:val="clear" w:color="auto" w:fill="auto"/>
            <w:noWrap/>
            <w:hideMark/>
          </w:tcPr>
          <w:p w14:paraId="519E187B" w14:textId="2EC96E3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-0.94% ***</w:t>
            </w:r>
          </w:p>
        </w:tc>
        <w:tc>
          <w:tcPr>
            <w:tcW w:w="1276" w:type="dxa"/>
            <w:gridSpan w:val="3"/>
            <w:tcBorders>
              <w:left w:val="single" w:sz="4" w:space="0" w:color="auto"/>
            </w:tcBorders>
            <w:shd w:val="clear" w:color="auto" w:fill="auto"/>
            <w:noWrap/>
            <w:vAlign w:val="bottom"/>
            <w:hideMark/>
          </w:tcPr>
          <w:p w14:paraId="391DF668" w14:textId="4764FB2A"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-1.35% ***</w:t>
            </w:r>
          </w:p>
        </w:tc>
      </w:tr>
      <w:tr w:rsidR="00543F8B" w:rsidRPr="00B87834" w14:paraId="337BF2AB" w14:textId="77777777" w:rsidTr="00543F8B">
        <w:trPr>
          <w:trHeight w:val="20"/>
          <w:jc w:val="center"/>
        </w:trPr>
        <w:tc>
          <w:tcPr>
            <w:cnfStyle w:val="001000000000" w:firstRow="0" w:lastRow="0" w:firstColumn="1" w:lastColumn="0" w:oddVBand="0" w:evenVBand="0" w:oddHBand="0" w:evenHBand="0" w:firstRowFirstColumn="0" w:firstRowLastColumn="0" w:lastRowFirstColumn="0" w:lastRowLastColumn="0"/>
            <w:tcW w:w="850" w:type="dxa"/>
            <w:shd w:val="clear" w:color="auto" w:fill="auto"/>
            <w:noWrap/>
            <w:hideMark/>
          </w:tcPr>
          <w:p w14:paraId="2F9E0CD9"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2013</w:t>
            </w:r>
          </w:p>
        </w:tc>
        <w:tc>
          <w:tcPr>
            <w:tcW w:w="850" w:type="dxa"/>
            <w:shd w:val="clear" w:color="auto" w:fill="auto"/>
            <w:noWrap/>
            <w:hideMark/>
          </w:tcPr>
          <w:p w14:paraId="5D5FA2D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2.31%</w:t>
            </w:r>
          </w:p>
        </w:tc>
        <w:tc>
          <w:tcPr>
            <w:tcW w:w="850" w:type="dxa"/>
            <w:shd w:val="clear" w:color="auto" w:fill="auto"/>
            <w:noWrap/>
            <w:hideMark/>
          </w:tcPr>
          <w:p w14:paraId="38F7134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2.02%</w:t>
            </w:r>
          </w:p>
        </w:tc>
        <w:tc>
          <w:tcPr>
            <w:tcW w:w="850" w:type="dxa"/>
            <w:tcBorders>
              <w:right w:val="single" w:sz="4" w:space="0" w:color="auto"/>
            </w:tcBorders>
            <w:shd w:val="clear" w:color="auto" w:fill="auto"/>
            <w:noWrap/>
            <w:hideMark/>
          </w:tcPr>
          <w:p w14:paraId="79AB90B0"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2.26%</w:t>
            </w:r>
          </w:p>
        </w:tc>
        <w:tc>
          <w:tcPr>
            <w:tcW w:w="850" w:type="dxa"/>
            <w:tcBorders>
              <w:left w:val="single" w:sz="4" w:space="0" w:color="auto"/>
            </w:tcBorders>
            <w:shd w:val="clear" w:color="auto" w:fill="auto"/>
            <w:noWrap/>
            <w:hideMark/>
          </w:tcPr>
          <w:p w14:paraId="45DAA07B"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3.30%</w:t>
            </w:r>
          </w:p>
        </w:tc>
        <w:tc>
          <w:tcPr>
            <w:tcW w:w="850" w:type="dxa"/>
            <w:shd w:val="clear" w:color="auto" w:fill="auto"/>
            <w:noWrap/>
            <w:hideMark/>
          </w:tcPr>
          <w:p w14:paraId="6F4B61ED"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2.78%</w:t>
            </w:r>
          </w:p>
        </w:tc>
        <w:tc>
          <w:tcPr>
            <w:tcW w:w="850" w:type="dxa"/>
            <w:tcBorders>
              <w:right w:val="single" w:sz="4" w:space="0" w:color="auto"/>
            </w:tcBorders>
            <w:shd w:val="clear" w:color="auto" w:fill="auto"/>
            <w:noWrap/>
            <w:hideMark/>
          </w:tcPr>
          <w:p w14:paraId="39F8B9BC"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3.02%</w:t>
            </w:r>
          </w:p>
        </w:tc>
        <w:tc>
          <w:tcPr>
            <w:tcW w:w="850" w:type="dxa"/>
            <w:tcBorders>
              <w:left w:val="single" w:sz="4" w:space="0" w:color="auto"/>
            </w:tcBorders>
            <w:shd w:val="clear" w:color="auto" w:fill="auto"/>
            <w:noWrap/>
            <w:hideMark/>
          </w:tcPr>
          <w:p w14:paraId="15FA25DC"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-2.65%</w:t>
            </w:r>
          </w:p>
        </w:tc>
        <w:tc>
          <w:tcPr>
            <w:tcW w:w="850" w:type="dxa"/>
            <w:shd w:val="clear" w:color="auto" w:fill="auto"/>
            <w:noWrap/>
            <w:hideMark/>
          </w:tcPr>
          <w:p w14:paraId="388B241E"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-1.78%</w:t>
            </w:r>
          </w:p>
        </w:tc>
        <w:tc>
          <w:tcPr>
            <w:tcW w:w="850" w:type="dxa"/>
            <w:tcBorders>
              <w:right w:val="single" w:sz="4" w:space="0" w:color="auto"/>
            </w:tcBorders>
            <w:shd w:val="clear" w:color="auto" w:fill="auto"/>
            <w:noWrap/>
            <w:hideMark/>
          </w:tcPr>
          <w:p w14:paraId="4CF55968" w14:textId="77777777"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-1.56%</w:t>
            </w:r>
          </w:p>
        </w:tc>
        <w:tc>
          <w:tcPr>
            <w:tcW w:w="993" w:type="dxa"/>
            <w:tcBorders>
              <w:left w:val="single" w:sz="4" w:space="0" w:color="auto"/>
            </w:tcBorders>
            <w:shd w:val="clear" w:color="auto" w:fill="auto"/>
            <w:noWrap/>
            <w:hideMark/>
          </w:tcPr>
          <w:p w14:paraId="7B73C1B2" w14:textId="1B85644F"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0.25%</w:t>
            </w:r>
          </w:p>
        </w:tc>
        <w:tc>
          <w:tcPr>
            <w:tcW w:w="997" w:type="dxa"/>
            <w:tcBorders>
              <w:right w:val="single" w:sz="4" w:space="0" w:color="auto"/>
            </w:tcBorders>
            <w:shd w:val="clear" w:color="auto" w:fill="auto"/>
            <w:noWrap/>
            <w:hideMark/>
          </w:tcPr>
          <w:p w14:paraId="22DABE7B" w14:textId="6765F4CD"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0.22%</w:t>
            </w:r>
          </w:p>
        </w:tc>
        <w:tc>
          <w:tcPr>
            <w:tcW w:w="1276" w:type="dxa"/>
            <w:gridSpan w:val="3"/>
            <w:tcBorders>
              <w:left w:val="single" w:sz="4" w:space="0" w:color="auto"/>
            </w:tcBorders>
            <w:shd w:val="clear" w:color="auto" w:fill="auto"/>
            <w:noWrap/>
            <w:vAlign w:val="bottom"/>
            <w:hideMark/>
          </w:tcPr>
          <w:p w14:paraId="3CCA2F0E" w14:textId="2B543B26" w:rsidR="00543F8B" w:rsidRPr="00B87834" w:rsidRDefault="00543F8B" w:rsidP="00543F8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val="en-IE" w:eastAsia="en-IE"/>
              </w:rPr>
            </w:pPr>
            <w:r w:rsidRPr="00B87834">
              <w:rPr>
                <w:rFonts w:ascii="Calibri" w:hAnsi="Calibri"/>
                <w:color w:val="000000"/>
                <w:sz w:val="16"/>
                <w:szCs w:val="16"/>
              </w:rPr>
              <w:t xml:space="preserve">0.47%  </w:t>
            </w:r>
          </w:p>
        </w:tc>
      </w:tr>
      <w:tr w:rsidR="00543F8B" w:rsidRPr="00B87834" w14:paraId="61F4DD6B" w14:textId="77777777" w:rsidTr="00543F8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850" w:type="dxa"/>
            <w:tcBorders>
              <w:bottom w:val="single" w:sz="4" w:space="0" w:color="auto"/>
            </w:tcBorders>
            <w:shd w:val="clear" w:color="auto" w:fill="auto"/>
            <w:noWrap/>
            <w:hideMark/>
          </w:tcPr>
          <w:p w14:paraId="35196802" w14:textId="77777777" w:rsidR="00543F8B" w:rsidRPr="00B87834" w:rsidRDefault="00543F8B" w:rsidP="00543F8B">
            <w:pPr>
              <w:spacing w:after="0" w:line="240" w:lineRule="auto"/>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2014</w:t>
            </w:r>
          </w:p>
        </w:tc>
        <w:tc>
          <w:tcPr>
            <w:tcW w:w="850" w:type="dxa"/>
            <w:tcBorders>
              <w:bottom w:val="single" w:sz="4" w:space="0" w:color="auto"/>
            </w:tcBorders>
            <w:shd w:val="clear" w:color="auto" w:fill="auto"/>
            <w:noWrap/>
            <w:hideMark/>
          </w:tcPr>
          <w:p w14:paraId="2AB7DF0F"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1.14%</w:t>
            </w:r>
          </w:p>
        </w:tc>
        <w:tc>
          <w:tcPr>
            <w:tcW w:w="850" w:type="dxa"/>
            <w:tcBorders>
              <w:bottom w:val="single" w:sz="4" w:space="0" w:color="auto"/>
            </w:tcBorders>
            <w:shd w:val="clear" w:color="auto" w:fill="auto"/>
            <w:noWrap/>
            <w:hideMark/>
          </w:tcPr>
          <w:p w14:paraId="6AF4FD1E"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0.16%</w:t>
            </w:r>
          </w:p>
        </w:tc>
        <w:tc>
          <w:tcPr>
            <w:tcW w:w="850" w:type="dxa"/>
            <w:tcBorders>
              <w:bottom w:val="single" w:sz="4" w:space="0" w:color="auto"/>
              <w:right w:val="single" w:sz="4" w:space="0" w:color="auto"/>
            </w:tcBorders>
            <w:shd w:val="clear" w:color="auto" w:fill="auto"/>
            <w:noWrap/>
            <w:hideMark/>
          </w:tcPr>
          <w:p w14:paraId="539F4A5A"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0.07%</w:t>
            </w:r>
          </w:p>
        </w:tc>
        <w:tc>
          <w:tcPr>
            <w:tcW w:w="850" w:type="dxa"/>
            <w:tcBorders>
              <w:left w:val="single" w:sz="4" w:space="0" w:color="auto"/>
              <w:bottom w:val="single" w:sz="4" w:space="0" w:color="auto"/>
            </w:tcBorders>
            <w:shd w:val="clear" w:color="auto" w:fill="auto"/>
            <w:noWrap/>
            <w:hideMark/>
          </w:tcPr>
          <w:p w14:paraId="20F4529D"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3.06%</w:t>
            </w:r>
          </w:p>
        </w:tc>
        <w:tc>
          <w:tcPr>
            <w:tcW w:w="850" w:type="dxa"/>
            <w:tcBorders>
              <w:bottom w:val="single" w:sz="4" w:space="0" w:color="auto"/>
            </w:tcBorders>
            <w:shd w:val="clear" w:color="auto" w:fill="auto"/>
            <w:noWrap/>
            <w:hideMark/>
          </w:tcPr>
          <w:p w14:paraId="5812046F"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2.20%</w:t>
            </w:r>
          </w:p>
        </w:tc>
        <w:tc>
          <w:tcPr>
            <w:tcW w:w="850" w:type="dxa"/>
            <w:tcBorders>
              <w:bottom w:val="single" w:sz="4" w:space="0" w:color="auto"/>
              <w:right w:val="single" w:sz="4" w:space="0" w:color="auto"/>
            </w:tcBorders>
            <w:shd w:val="clear" w:color="auto" w:fill="auto"/>
            <w:noWrap/>
            <w:hideMark/>
          </w:tcPr>
          <w:p w14:paraId="46410764"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2.57%</w:t>
            </w:r>
          </w:p>
        </w:tc>
        <w:tc>
          <w:tcPr>
            <w:tcW w:w="850" w:type="dxa"/>
            <w:tcBorders>
              <w:left w:val="single" w:sz="4" w:space="0" w:color="auto"/>
              <w:bottom w:val="single" w:sz="4" w:space="0" w:color="auto"/>
            </w:tcBorders>
            <w:shd w:val="clear" w:color="auto" w:fill="auto"/>
            <w:noWrap/>
            <w:hideMark/>
          </w:tcPr>
          <w:p w14:paraId="47C564D7"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-3.19%</w:t>
            </w:r>
          </w:p>
        </w:tc>
        <w:tc>
          <w:tcPr>
            <w:tcW w:w="850" w:type="dxa"/>
            <w:tcBorders>
              <w:bottom w:val="single" w:sz="4" w:space="0" w:color="auto"/>
            </w:tcBorders>
            <w:shd w:val="clear" w:color="auto" w:fill="auto"/>
            <w:noWrap/>
            <w:hideMark/>
          </w:tcPr>
          <w:p w14:paraId="7ABA59F4"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-4.43%</w:t>
            </w:r>
          </w:p>
        </w:tc>
        <w:tc>
          <w:tcPr>
            <w:tcW w:w="850" w:type="dxa"/>
            <w:tcBorders>
              <w:bottom w:val="single" w:sz="4" w:space="0" w:color="auto"/>
              <w:right w:val="single" w:sz="4" w:space="0" w:color="auto"/>
            </w:tcBorders>
            <w:shd w:val="clear" w:color="auto" w:fill="auto"/>
            <w:noWrap/>
            <w:hideMark/>
          </w:tcPr>
          <w:p w14:paraId="5A19DB47" w14:textId="77777777"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Times New Roman" w:eastAsia="Times New Roman" w:hAnsi="Times New Roman" w:cs="Times New Roman"/>
                <w:color w:val="000000"/>
                <w:sz w:val="16"/>
                <w:szCs w:val="16"/>
                <w:lang w:val="en-IE" w:eastAsia="en-IE"/>
              </w:rPr>
              <w:t>-5.56%</w:t>
            </w:r>
          </w:p>
        </w:tc>
        <w:tc>
          <w:tcPr>
            <w:tcW w:w="993" w:type="dxa"/>
            <w:tcBorders>
              <w:left w:val="single" w:sz="4" w:space="0" w:color="auto"/>
              <w:bottom w:val="single" w:sz="4" w:space="0" w:color="auto"/>
            </w:tcBorders>
            <w:shd w:val="clear" w:color="auto" w:fill="auto"/>
            <w:noWrap/>
            <w:hideMark/>
          </w:tcPr>
          <w:p w14:paraId="2CFE1387" w14:textId="4D6D4EF6"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0.37%</w:t>
            </w:r>
          </w:p>
        </w:tc>
        <w:tc>
          <w:tcPr>
            <w:tcW w:w="997" w:type="dxa"/>
            <w:tcBorders>
              <w:bottom w:val="single" w:sz="4" w:space="0" w:color="auto"/>
              <w:right w:val="single" w:sz="4" w:space="0" w:color="auto"/>
            </w:tcBorders>
            <w:shd w:val="clear" w:color="auto" w:fill="auto"/>
            <w:noWrap/>
            <w:hideMark/>
          </w:tcPr>
          <w:p w14:paraId="2A3FE8A1" w14:textId="3CDB13C0"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-1.12% ***</w:t>
            </w:r>
          </w:p>
        </w:tc>
        <w:tc>
          <w:tcPr>
            <w:tcW w:w="1276" w:type="dxa"/>
            <w:gridSpan w:val="3"/>
            <w:tcBorders>
              <w:left w:val="single" w:sz="4" w:space="0" w:color="auto"/>
              <w:bottom w:val="single" w:sz="4" w:space="0" w:color="auto"/>
            </w:tcBorders>
            <w:shd w:val="clear" w:color="auto" w:fill="auto"/>
            <w:noWrap/>
            <w:vAlign w:val="bottom"/>
            <w:hideMark/>
          </w:tcPr>
          <w:p w14:paraId="70CC2002" w14:textId="6997703C" w:rsidR="00543F8B" w:rsidRPr="00B87834" w:rsidRDefault="00543F8B" w:rsidP="00543F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B87834">
              <w:rPr>
                <w:rFonts w:ascii="Calibri" w:hAnsi="Calibri"/>
                <w:color w:val="000000"/>
                <w:sz w:val="16"/>
                <w:szCs w:val="16"/>
              </w:rPr>
              <w:t>-0.76% *</w:t>
            </w:r>
          </w:p>
        </w:tc>
      </w:tr>
    </w:tbl>
    <w:p w14:paraId="69B28B5E" w14:textId="77777777" w:rsidR="00FC6F50" w:rsidRPr="00437FE3" w:rsidRDefault="00FC6F50" w:rsidP="00437FE3">
      <w:pPr>
        <w:spacing w:after="160" w:line="240" w:lineRule="auto"/>
        <w:ind w:left="1587" w:right="1474"/>
        <w:rPr>
          <w:rFonts w:ascii="Times New Roman" w:eastAsia="Times New Roman" w:hAnsi="Times New Roman" w:cs="Times New Roman"/>
          <w:color w:val="000000"/>
          <w:sz w:val="18"/>
          <w:szCs w:val="18"/>
        </w:rPr>
        <w:sectPr w:rsidR="00FC6F50" w:rsidRPr="00437FE3" w:rsidSect="00AA1FD9">
          <w:pgSz w:w="16838" w:h="11906" w:orient="landscape"/>
          <w:pgMar w:top="1440" w:right="1440" w:bottom="1440" w:left="1440" w:header="709" w:footer="709" w:gutter="0"/>
          <w:cols w:space="708"/>
          <w:vAlign w:val="center"/>
          <w:docGrid w:linePitch="360"/>
        </w:sectPr>
      </w:pPr>
      <w:r w:rsidRPr="00437FE3">
        <w:rPr>
          <w:rFonts w:ascii="Times New Roman" w:eastAsia="Times New Roman" w:hAnsi="Times New Roman" w:cs="Times New Roman"/>
          <w:color w:val="000000"/>
          <w:sz w:val="18"/>
          <w:szCs w:val="18"/>
        </w:rPr>
        <w:t>Notes: This table shows the average returns of firms with 0% foreign sales and &gt;0% foreign sales in each year in months when the Russell3000 return is positive and negative.  It lists the differences between the two and the difference between the up and down months.  The number of firms in each category change each year, according to the firms’ foreign sales in that year.</w:t>
      </w:r>
    </w:p>
    <w:p w14:paraId="0199756C" w14:textId="77777777" w:rsidR="009E5627" w:rsidRDefault="00664705" w:rsidP="00166C53">
      <w:pPr>
        <w:pStyle w:val="Heading3"/>
      </w:pPr>
      <w:r>
        <w:lastRenderedPageBreak/>
        <w:t>Table 5 Average Returns Controlling for Firm Size and Market to Book Ratios</w:t>
      </w:r>
    </w:p>
    <w:tbl>
      <w:tblPr>
        <w:tblStyle w:val="LightShading"/>
        <w:tblW w:w="0" w:type="auto"/>
        <w:jc w:val="center"/>
        <w:tblLook w:val="04A0" w:firstRow="1" w:lastRow="0" w:firstColumn="1" w:lastColumn="0" w:noHBand="0" w:noVBand="1"/>
      </w:tblPr>
      <w:tblGrid>
        <w:gridCol w:w="2332"/>
        <w:gridCol w:w="722"/>
        <w:gridCol w:w="722"/>
        <w:gridCol w:w="910"/>
        <w:gridCol w:w="683"/>
        <w:gridCol w:w="683"/>
        <w:gridCol w:w="910"/>
        <w:gridCol w:w="683"/>
        <w:gridCol w:w="683"/>
        <w:gridCol w:w="910"/>
        <w:gridCol w:w="683"/>
        <w:gridCol w:w="683"/>
        <w:gridCol w:w="900"/>
      </w:tblGrid>
      <w:tr w:rsidR="00863D17" w:rsidRPr="00D11152" w14:paraId="480F73B4" w14:textId="77777777" w:rsidTr="008D289A">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noWrap/>
            <w:hideMark/>
          </w:tcPr>
          <w:p w14:paraId="773A5C84" w14:textId="77777777" w:rsidR="00863D17" w:rsidRPr="00D11152" w:rsidRDefault="00863D17" w:rsidP="00664705">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Market to book quartiles</w:t>
            </w:r>
          </w:p>
        </w:tc>
        <w:tc>
          <w:tcPr>
            <w:tcW w:w="0" w:type="auto"/>
            <w:gridSpan w:val="2"/>
            <w:shd w:val="clear" w:color="auto" w:fill="auto"/>
            <w:noWrap/>
            <w:hideMark/>
          </w:tcPr>
          <w:p w14:paraId="14FC1B35"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smallest to largest</w:t>
            </w:r>
          </w:p>
        </w:tc>
        <w:tc>
          <w:tcPr>
            <w:tcW w:w="0" w:type="auto"/>
            <w:shd w:val="clear" w:color="auto" w:fill="auto"/>
            <w:noWrap/>
            <w:hideMark/>
          </w:tcPr>
          <w:p w14:paraId="26AC8ACF"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4455F6C6"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30E8E006"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70E714B4"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6C122504"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0F22EC63"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49D35507"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4B71B6D3"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647F88DA"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shd w:val="clear" w:color="auto" w:fill="auto"/>
            <w:noWrap/>
            <w:hideMark/>
          </w:tcPr>
          <w:p w14:paraId="0BB208FC" w14:textId="77777777" w:rsidR="00863D17" w:rsidRPr="00D11152" w:rsidRDefault="00863D17" w:rsidP="0066470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r>
      <w:tr w:rsidR="00863D17" w:rsidRPr="00D11152" w14:paraId="5820AB1A" w14:textId="77777777" w:rsidTr="008D289A">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13D69729" w14:textId="77777777" w:rsidR="00863D17" w:rsidRPr="00D11152" w:rsidRDefault="00863D17" w:rsidP="00664705">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 xml:space="preserve">Market </w:t>
            </w:r>
            <w:proofErr w:type="spellStart"/>
            <w:r w:rsidRPr="00D11152">
              <w:rPr>
                <w:rFonts w:ascii="Times New Roman" w:eastAsia="Times New Roman" w:hAnsi="Times New Roman" w:cs="Times New Roman"/>
                <w:color w:val="000000"/>
                <w:sz w:val="16"/>
                <w:szCs w:val="16"/>
              </w:rPr>
              <w:t>capitalisation</w:t>
            </w:r>
            <w:proofErr w:type="spellEnd"/>
            <w:r w:rsidRPr="00D11152">
              <w:rPr>
                <w:rFonts w:ascii="Times New Roman" w:eastAsia="Times New Roman" w:hAnsi="Times New Roman" w:cs="Times New Roman"/>
                <w:color w:val="000000"/>
                <w:sz w:val="16"/>
                <w:szCs w:val="16"/>
              </w:rPr>
              <w:t xml:space="preserve"> quartiles</w:t>
            </w:r>
          </w:p>
        </w:tc>
        <w:tc>
          <w:tcPr>
            <w:tcW w:w="0" w:type="auto"/>
            <w:tcBorders>
              <w:top w:val="nil"/>
              <w:bottom w:val="nil"/>
            </w:tcBorders>
            <w:shd w:val="clear" w:color="auto" w:fill="auto"/>
            <w:noWrap/>
            <w:hideMark/>
          </w:tcPr>
          <w:p w14:paraId="2A71C069"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1</w:t>
            </w:r>
          </w:p>
        </w:tc>
        <w:tc>
          <w:tcPr>
            <w:tcW w:w="0" w:type="auto"/>
            <w:tcBorders>
              <w:top w:val="nil"/>
              <w:bottom w:val="nil"/>
            </w:tcBorders>
            <w:shd w:val="clear" w:color="auto" w:fill="auto"/>
            <w:noWrap/>
            <w:hideMark/>
          </w:tcPr>
          <w:p w14:paraId="68EF3EAE"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3D447E71"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07B377BE"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w:t>
            </w:r>
          </w:p>
        </w:tc>
        <w:tc>
          <w:tcPr>
            <w:tcW w:w="0" w:type="auto"/>
            <w:tcBorders>
              <w:top w:val="nil"/>
              <w:bottom w:val="nil"/>
            </w:tcBorders>
            <w:shd w:val="clear" w:color="auto" w:fill="auto"/>
            <w:noWrap/>
            <w:hideMark/>
          </w:tcPr>
          <w:p w14:paraId="0B055A77"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676C41AC"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3F205766"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3</w:t>
            </w:r>
          </w:p>
        </w:tc>
        <w:tc>
          <w:tcPr>
            <w:tcW w:w="0" w:type="auto"/>
            <w:tcBorders>
              <w:top w:val="nil"/>
              <w:bottom w:val="nil"/>
            </w:tcBorders>
            <w:shd w:val="clear" w:color="auto" w:fill="auto"/>
            <w:noWrap/>
            <w:hideMark/>
          </w:tcPr>
          <w:p w14:paraId="56C5BDD1"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7B0FEBFD"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2CDD4CC9"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4</w:t>
            </w:r>
          </w:p>
        </w:tc>
        <w:tc>
          <w:tcPr>
            <w:tcW w:w="0" w:type="auto"/>
            <w:tcBorders>
              <w:top w:val="nil"/>
              <w:bottom w:val="nil"/>
            </w:tcBorders>
            <w:shd w:val="clear" w:color="auto" w:fill="auto"/>
            <w:noWrap/>
            <w:hideMark/>
          </w:tcPr>
          <w:p w14:paraId="40D788DF"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27AAA24A"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r>
      <w:tr w:rsidR="00F643F2" w:rsidRPr="00D11152" w14:paraId="3F075232" w14:textId="77777777" w:rsidTr="008D289A">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tcPr>
          <w:p w14:paraId="7850E374" w14:textId="77777777" w:rsidR="00F643F2" w:rsidRPr="00D11152" w:rsidRDefault="00F643F2" w:rsidP="00664705">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smallest to largest</w:t>
            </w:r>
          </w:p>
        </w:tc>
        <w:tc>
          <w:tcPr>
            <w:tcW w:w="0" w:type="auto"/>
            <w:tcBorders>
              <w:top w:val="nil"/>
              <w:bottom w:val="nil"/>
            </w:tcBorders>
            <w:shd w:val="clear" w:color="auto" w:fill="auto"/>
            <w:noWrap/>
          </w:tcPr>
          <w:p w14:paraId="5232BF44"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p>
        </w:tc>
        <w:tc>
          <w:tcPr>
            <w:tcW w:w="0" w:type="auto"/>
            <w:tcBorders>
              <w:top w:val="nil"/>
              <w:bottom w:val="nil"/>
            </w:tcBorders>
            <w:shd w:val="clear" w:color="auto" w:fill="auto"/>
            <w:noWrap/>
          </w:tcPr>
          <w:p w14:paraId="7FE083B8"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tcPr>
          <w:p w14:paraId="632A18E3"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tcPr>
          <w:p w14:paraId="61099DCC"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p>
        </w:tc>
        <w:tc>
          <w:tcPr>
            <w:tcW w:w="0" w:type="auto"/>
            <w:tcBorders>
              <w:top w:val="nil"/>
              <w:bottom w:val="nil"/>
            </w:tcBorders>
            <w:shd w:val="clear" w:color="auto" w:fill="auto"/>
            <w:noWrap/>
          </w:tcPr>
          <w:p w14:paraId="48F77313"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tcPr>
          <w:p w14:paraId="5806832E"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tcPr>
          <w:p w14:paraId="0CE36F67"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p>
        </w:tc>
        <w:tc>
          <w:tcPr>
            <w:tcW w:w="0" w:type="auto"/>
            <w:tcBorders>
              <w:top w:val="nil"/>
              <w:bottom w:val="nil"/>
            </w:tcBorders>
            <w:shd w:val="clear" w:color="auto" w:fill="auto"/>
            <w:noWrap/>
          </w:tcPr>
          <w:p w14:paraId="0C358748"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tcPr>
          <w:p w14:paraId="7C9385DB"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tcPr>
          <w:p w14:paraId="4283254F"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p>
        </w:tc>
        <w:tc>
          <w:tcPr>
            <w:tcW w:w="0" w:type="auto"/>
            <w:tcBorders>
              <w:top w:val="nil"/>
              <w:bottom w:val="nil"/>
            </w:tcBorders>
            <w:shd w:val="clear" w:color="auto" w:fill="auto"/>
            <w:noWrap/>
          </w:tcPr>
          <w:p w14:paraId="3C3B2031"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tcPr>
          <w:p w14:paraId="434EBF22" w14:textId="77777777" w:rsidR="00F643F2" w:rsidRPr="00D11152" w:rsidRDefault="00F643F2" w:rsidP="0066470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r>
      <w:tr w:rsidR="00863D17" w:rsidRPr="00D11152" w14:paraId="11037D45" w14:textId="77777777" w:rsidTr="008D289A">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16E90FA6" w14:textId="77777777" w:rsidR="00863D17" w:rsidRPr="00D11152" w:rsidRDefault="00F643F2" w:rsidP="00664705">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all markets</w:t>
            </w:r>
          </w:p>
        </w:tc>
        <w:tc>
          <w:tcPr>
            <w:tcW w:w="0" w:type="auto"/>
            <w:tcBorders>
              <w:top w:val="nil"/>
              <w:bottom w:val="nil"/>
            </w:tcBorders>
            <w:shd w:val="clear" w:color="auto" w:fill="auto"/>
            <w:noWrap/>
            <w:hideMark/>
          </w:tcPr>
          <w:p w14:paraId="060A11B9"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No FS</w:t>
            </w:r>
          </w:p>
        </w:tc>
        <w:tc>
          <w:tcPr>
            <w:tcW w:w="0" w:type="auto"/>
            <w:tcBorders>
              <w:top w:val="nil"/>
              <w:bottom w:val="nil"/>
            </w:tcBorders>
            <w:shd w:val="clear" w:color="auto" w:fill="auto"/>
            <w:noWrap/>
            <w:hideMark/>
          </w:tcPr>
          <w:p w14:paraId="4B56A572"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MNCs</w:t>
            </w:r>
          </w:p>
        </w:tc>
        <w:tc>
          <w:tcPr>
            <w:tcW w:w="0" w:type="auto"/>
            <w:tcBorders>
              <w:top w:val="nil"/>
              <w:bottom w:val="nil"/>
            </w:tcBorders>
            <w:shd w:val="clear" w:color="auto" w:fill="auto"/>
            <w:noWrap/>
            <w:hideMark/>
          </w:tcPr>
          <w:p w14:paraId="5615EBF1" w14:textId="77777777" w:rsidR="00863D17" w:rsidRPr="00D11152" w:rsidRDefault="00970BE2"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r w:rsidRPr="00D11152">
              <w:rPr>
                <w:rFonts w:ascii="Times New Roman" w:hAnsi="Times New Roman" w:cs="Times New Roman"/>
                <w:color w:val="auto"/>
                <w:sz w:val="16"/>
                <w:szCs w:val="16"/>
              </w:rPr>
              <w:t>Difference</w:t>
            </w:r>
          </w:p>
        </w:tc>
        <w:tc>
          <w:tcPr>
            <w:tcW w:w="0" w:type="auto"/>
            <w:tcBorders>
              <w:top w:val="nil"/>
              <w:bottom w:val="nil"/>
            </w:tcBorders>
            <w:shd w:val="clear" w:color="auto" w:fill="auto"/>
            <w:noWrap/>
            <w:hideMark/>
          </w:tcPr>
          <w:p w14:paraId="22095B1D"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No FS</w:t>
            </w:r>
          </w:p>
        </w:tc>
        <w:tc>
          <w:tcPr>
            <w:tcW w:w="0" w:type="auto"/>
            <w:tcBorders>
              <w:top w:val="nil"/>
              <w:bottom w:val="nil"/>
            </w:tcBorders>
            <w:shd w:val="clear" w:color="auto" w:fill="auto"/>
            <w:noWrap/>
            <w:hideMark/>
          </w:tcPr>
          <w:p w14:paraId="5BF923DA"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MNCs</w:t>
            </w:r>
          </w:p>
        </w:tc>
        <w:tc>
          <w:tcPr>
            <w:tcW w:w="0" w:type="auto"/>
            <w:tcBorders>
              <w:top w:val="nil"/>
              <w:bottom w:val="nil"/>
            </w:tcBorders>
            <w:shd w:val="clear" w:color="auto" w:fill="auto"/>
            <w:noWrap/>
            <w:hideMark/>
          </w:tcPr>
          <w:p w14:paraId="7FE1447F" w14:textId="77777777" w:rsidR="00863D17" w:rsidRPr="00D11152" w:rsidRDefault="00970BE2"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r w:rsidRPr="00D11152">
              <w:rPr>
                <w:rFonts w:ascii="Times New Roman" w:hAnsi="Times New Roman" w:cs="Times New Roman"/>
                <w:color w:val="auto"/>
                <w:sz w:val="16"/>
                <w:szCs w:val="16"/>
              </w:rPr>
              <w:t>Difference</w:t>
            </w:r>
          </w:p>
        </w:tc>
        <w:tc>
          <w:tcPr>
            <w:tcW w:w="0" w:type="auto"/>
            <w:tcBorders>
              <w:top w:val="nil"/>
              <w:bottom w:val="nil"/>
            </w:tcBorders>
            <w:shd w:val="clear" w:color="auto" w:fill="auto"/>
            <w:noWrap/>
            <w:hideMark/>
          </w:tcPr>
          <w:p w14:paraId="000DC855"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No FS</w:t>
            </w:r>
          </w:p>
        </w:tc>
        <w:tc>
          <w:tcPr>
            <w:tcW w:w="0" w:type="auto"/>
            <w:tcBorders>
              <w:top w:val="nil"/>
              <w:bottom w:val="nil"/>
            </w:tcBorders>
            <w:shd w:val="clear" w:color="auto" w:fill="auto"/>
            <w:noWrap/>
            <w:hideMark/>
          </w:tcPr>
          <w:p w14:paraId="2BCB12A9"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MNCs</w:t>
            </w:r>
          </w:p>
        </w:tc>
        <w:tc>
          <w:tcPr>
            <w:tcW w:w="0" w:type="auto"/>
            <w:tcBorders>
              <w:top w:val="nil"/>
              <w:bottom w:val="nil"/>
            </w:tcBorders>
            <w:shd w:val="clear" w:color="auto" w:fill="auto"/>
            <w:noWrap/>
            <w:hideMark/>
          </w:tcPr>
          <w:p w14:paraId="2897B690" w14:textId="77777777" w:rsidR="00863D17" w:rsidRPr="00D11152" w:rsidRDefault="00970BE2"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r w:rsidRPr="00D11152">
              <w:rPr>
                <w:rFonts w:ascii="Times New Roman" w:hAnsi="Times New Roman" w:cs="Times New Roman"/>
                <w:color w:val="auto"/>
                <w:sz w:val="16"/>
                <w:szCs w:val="16"/>
              </w:rPr>
              <w:t>Difference</w:t>
            </w:r>
          </w:p>
        </w:tc>
        <w:tc>
          <w:tcPr>
            <w:tcW w:w="0" w:type="auto"/>
            <w:tcBorders>
              <w:top w:val="nil"/>
              <w:bottom w:val="nil"/>
            </w:tcBorders>
            <w:shd w:val="clear" w:color="auto" w:fill="auto"/>
            <w:noWrap/>
            <w:hideMark/>
          </w:tcPr>
          <w:p w14:paraId="5F437945"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No FS</w:t>
            </w:r>
          </w:p>
        </w:tc>
        <w:tc>
          <w:tcPr>
            <w:tcW w:w="0" w:type="auto"/>
            <w:tcBorders>
              <w:top w:val="nil"/>
              <w:bottom w:val="nil"/>
            </w:tcBorders>
            <w:shd w:val="clear" w:color="auto" w:fill="auto"/>
            <w:noWrap/>
            <w:hideMark/>
          </w:tcPr>
          <w:p w14:paraId="3A90266E" w14:textId="77777777" w:rsidR="00863D17" w:rsidRPr="00D11152" w:rsidRDefault="00863D17"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MNCs</w:t>
            </w:r>
          </w:p>
        </w:tc>
        <w:tc>
          <w:tcPr>
            <w:tcW w:w="0" w:type="auto"/>
            <w:tcBorders>
              <w:top w:val="nil"/>
              <w:bottom w:val="nil"/>
            </w:tcBorders>
            <w:shd w:val="clear" w:color="auto" w:fill="auto"/>
            <w:noWrap/>
            <w:hideMark/>
          </w:tcPr>
          <w:p w14:paraId="471F260C" w14:textId="77777777" w:rsidR="00863D17" w:rsidRPr="00D11152" w:rsidRDefault="00970BE2" w:rsidP="0066470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r w:rsidRPr="00D11152">
              <w:rPr>
                <w:rFonts w:ascii="Times New Roman" w:hAnsi="Times New Roman" w:cs="Times New Roman"/>
                <w:color w:val="auto"/>
                <w:sz w:val="16"/>
                <w:szCs w:val="16"/>
              </w:rPr>
              <w:t>Difference</w:t>
            </w:r>
          </w:p>
        </w:tc>
      </w:tr>
      <w:tr w:rsidR="00D11152" w:rsidRPr="00D11152" w14:paraId="27794272" w14:textId="77777777" w:rsidTr="00BC00D6">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4DE96A8D"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1</w:t>
            </w:r>
          </w:p>
        </w:tc>
        <w:tc>
          <w:tcPr>
            <w:tcW w:w="0" w:type="auto"/>
            <w:tcBorders>
              <w:top w:val="nil"/>
              <w:bottom w:val="nil"/>
            </w:tcBorders>
            <w:shd w:val="clear" w:color="auto" w:fill="auto"/>
            <w:noWrap/>
            <w:hideMark/>
          </w:tcPr>
          <w:p w14:paraId="0EA97CB1"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0.06%</w:t>
            </w:r>
          </w:p>
        </w:tc>
        <w:tc>
          <w:tcPr>
            <w:tcW w:w="0" w:type="auto"/>
            <w:tcBorders>
              <w:top w:val="nil"/>
              <w:bottom w:val="nil"/>
            </w:tcBorders>
            <w:shd w:val="clear" w:color="auto" w:fill="auto"/>
            <w:noWrap/>
            <w:hideMark/>
          </w:tcPr>
          <w:p w14:paraId="1721412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-0.38%</w:t>
            </w:r>
          </w:p>
        </w:tc>
        <w:tc>
          <w:tcPr>
            <w:tcW w:w="0" w:type="auto"/>
            <w:tcBorders>
              <w:top w:val="nil"/>
              <w:bottom w:val="nil"/>
            </w:tcBorders>
            <w:shd w:val="clear" w:color="auto" w:fill="auto"/>
            <w:noWrap/>
            <w:vAlign w:val="bottom"/>
            <w:hideMark/>
          </w:tcPr>
          <w:p w14:paraId="71CC7CFB" w14:textId="0A85E28F"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0.44%  </w:t>
            </w:r>
          </w:p>
        </w:tc>
        <w:tc>
          <w:tcPr>
            <w:tcW w:w="0" w:type="auto"/>
            <w:tcBorders>
              <w:top w:val="nil"/>
              <w:bottom w:val="nil"/>
            </w:tcBorders>
            <w:shd w:val="clear" w:color="auto" w:fill="auto"/>
            <w:noWrap/>
            <w:hideMark/>
          </w:tcPr>
          <w:p w14:paraId="4CE39BE6"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0.03%</w:t>
            </w:r>
          </w:p>
        </w:tc>
        <w:tc>
          <w:tcPr>
            <w:tcW w:w="0" w:type="auto"/>
            <w:tcBorders>
              <w:top w:val="nil"/>
              <w:bottom w:val="nil"/>
            </w:tcBorders>
            <w:shd w:val="clear" w:color="auto" w:fill="auto"/>
            <w:noWrap/>
            <w:hideMark/>
          </w:tcPr>
          <w:p w14:paraId="52E0A3FD"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-0.44%</w:t>
            </w:r>
          </w:p>
        </w:tc>
        <w:tc>
          <w:tcPr>
            <w:tcW w:w="0" w:type="auto"/>
            <w:tcBorders>
              <w:top w:val="nil"/>
              <w:bottom w:val="nil"/>
            </w:tcBorders>
            <w:shd w:val="clear" w:color="auto" w:fill="auto"/>
            <w:noWrap/>
            <w:vAlign w:val="bottom"/>
            <w:hideMark/>
          </w:tcPr>
          <w:p w14:paraId="0F000E29" w14:textId="77EB0426"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0.46%  </w:t>
            </w:r>
          </w:p>
        </w:tc>
        <w:tc>
          <w:tcPr>
            <w:tcW w:w="0" w:type="auto"/>
            <w:tcBorders>
              <w:top w:val="nil"/>
              <w:bottom w:val="nil"/>
            </w:tcBorders>
            <w:shd w:val="clear" w:color="auto" w:fill="auto"/>
            <w:noWrap/>
            <w:hideMark/>
          </w:tcPr>
          <w:p w14:paraId="102BE7EE"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-0.35%</w:t>
            </w:r>
          </w:p>
        </w:tc>
        <w:tc>
          <w:tcPr>
            <w:tcW w:w="0" w:type="auto"/>
            <w:tcBorders>
              <w:top w:val="nil"/>
              <w:bottom w:val="nil"/>
            </w:tcBorders>
            <w:shd w:val="clear" w:color="auto" w:fill="auto"/>
            <w:noWrap/>
            <w:hideMark/>
          </w:tcPr>
          <w:p w14:paraId="7F6D4F4D"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-0.35%</w:t>
            </w:r>
          </w:p>
        </w:tc>
        <w:tc>
          <w:tcPr>
            <w:tcW w:w="0" w:type="auto"/>
            <w:tcBorders>
              <w:top w:val="nil"/>
              <w:bottom w:val="nil"/>
            </w:tcBorders>
            <w:shd w:val="clear" w:color="auto" w:fill="auto"/>
            <w:noWrap/>
            <w:vAlign w:val="bottom"/>
            <w:hideMark/>
          </w:tcPr>
          <w:p w14:paraId="1F8845DE" w14:textId="7C48E839"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0.01%  </w:t>
            </w:r>
          </w:p>
        </w:tc>
        <w:tc>
          <w:tcPr>
            <w:tcW w:w="0" w:type="auto"/>
            <w:tcBorders>
              <w:top w:val="nil"/>
              <w:bottom w:val="nil"/>
            </w:tcBorders>
            <w:shd w:val="clear" w:color="auto" w:fill="auto"/>
            <w:noWrap/>
            <w:hideMark/>
          </w:tcPr>
          <w:p w14:paraId="49ED2A18"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-0.54%</w:t>
            </w:r>
          </w:p>
        </w:tc>
        <w:tc>
          <w:tcPr>
            <w:tcW w:w="0" w:type="auto"/>
            <w:tcBorders>
              <w:top w:val="nil"/>
              <w:bottom w:val="nil"/>
            </w:tcBorders>
            <w:shd w:val="clear" w:color="auto" w:fill="auto"/>
            <w:noWrap/>
            <w:hideMark/>
          </w:tcPr>
          <w:p w14:paraId="2A74A965"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-0.61%</w:t>
            </w:r>
          </w:p>
        </w:tc>
        <w:tc>
          <w:tcPr>
            <w:tcW w:w="0" w:type="auto"/>
            <w:tcBorders>
              <w:top w:val="nil"/>
              <w:bottom w:val="nil"/>
            </w:tcBorders>
            <w:shd w:val="clear" w:color="auto" w:fill="auto"/>
            <w:noWrap/>
            <w:vAlign w:val="bottom"/>
            <w:hideMark/>
          </w:tcPr>
          <w:p w14:paraId="589356E4" w14:textId="3B52E9C8"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0.07%  </w:t>
            </w:r>
          </w:p>
        </w:tc>
      </w:tr>
      <w:tr w:rsidR="00D11152" w:rsidRPr="00D11152" w14:paraId="25587FBA" w14:textId="77777777" w:rsidTr="00BC00D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71F6CC2E"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w:t>
            </w:r>
          </w:p>
        </w:tc>
        <w:tc>
          <w:tcPr>
            <w:tcW w:w="0" w:type="auto"/>
            <w:tcBorders>
              <w:top w:val="nil"/>
              <w:bottom w:val="nil"/>
            </w:tcBorders>
            <w:shd w:val="clear" w:color="auto" w:fill="auto"/>
            <w:noWrap/>
            <w:hideMark/>
          </w:tcPr>
          <w:p w14:paraId="2403E677"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0.30%</w:t>
            </w:r>
          </w:p>
        </w:tc>
        <w:tc>
          <w:tcPr>
            <w:tcW w:w="0" w:type="auto"/>
            <w:tcBorders>
              <w:top w:val="nil"/>
              <w:bottom w:val="nil"/>
            </w:tcBorders>
            <w:shd w:val="clear" w:color="auto" w:fill="auto"/>
            <w:noWrap/>
            <w:hideMark/>
          </w:tcPr>
          <w:p w14:paraId="44AD307B"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-0.07%</w:t>
            </w:r>
          </w:p>
        </w:tc>
        <w:tc>
          <w:tcPr>
            <w:tcW w:w="0" w:type="auto"/>
            <w:tcBorders>
              <w:top w:val="nil"/>
              <w:bottom w:val="nil"/>
            </w:tcBorders>
            <w:shd w:val="clear" w:color="auto" w:fill="auto"/>
            <w:noWrap/>
            <w:vAlign w:val="bottom"/>
            <w:hideMark/>
          </w:tcPr>
          <w:p w14:paraId="4329C2F0" w14:textId="42C2FADA"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0.37%  </w:t>
            </w:r>
          </w:p>
        </w:tc>
        <w:tc>
          <w:tcPr>
            <w:tcW w:w="0" w:type="auto"/>
            <w:tcBorders>
              <w:top w:val="nil"/>
              <w:bottom w:val="nil"/>
            </w:tcBorders>
            <w:shd w:val="clear" w:color="auto" w:fill="auto"/>
            <w:noWrap/>
            <w:hideMark/>
          </w:tcPr>
          <w:p w14:paraId="34284C60"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0.38%</w:t>
            </w:r>
          </w:p>
        </w:tc>
        <w:tc>
          <w:tcPr>
            <w:tcW w:w="0" w:type="auto"/>
            <w:tcBorders>
              <w:top w:val="nil"/>
              <w:bottom w:val="nil"/>
            </w:tcBorders>
            <w:shd w:val="clear" w:color="auto" w:fill="auto"/>
            <w:noWrap/>
            <w:hideMark/>
          </w:tcPr>
          <w:p w14:paraId="0906DAE4"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0.10%</w:t>
            </w:r>
          </w:p>
        </w:tc>
        <w:tc>
          <w:tcPr>
            <w:tcW w:w="0" w:type="auto"/>
            <w:tcBorders>
              <w:top w:val="nil"/>
              <w:bottom w:val="nil"/>
            </w:tcBorders>
            <w:shd w:val="clear" w:color="auto" w:fill="auto"/>
            <w:noWrap/>
            <w:vAlign w:val="bottom"/>
            <w:hideMark/>
          </w:tcPr>
          <w:p w14:paraId="67081266" w14:textId="58A79B8C"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0.28%  </w:t>
            </w:r>
          </w:p>
        </w:tc>
        <w:tc>
          <w:tcPr>
            <w:tcW w:w="0" w:type="auto"/>
            <w:tcBorders>
              <w:top w:val="nil"/>
              <w:bottom w:val="nil"/>
            </w:tcBorders>
            <w:shd w:val="clear" w:color="auto" w:fill="auto"/>
            <w:noWrap/>
            <w:hideMark/>
          </w:tcPr>
          <w:p w14:paraId="3BB6CE63"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0.27%</w:t>
            </w:r>
          </w:p>
        </w:tc>
        <w:tc>
          <w:tcPr>
            <w:tcW w:w="0" w:type="auto"/>
            <w:tcBorders>
              <w:top w:val="nil"/>
              <w:bottom w:val="nil"/>
            </w:tcBorders>
            <w:shd w:val="clear" w:color="auto" w:fill="auto"/>
            <w:noWrap/>
            <w:hideMark/>
          </w:tcPr>
          <w:p w14:paraId="6F18850D"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0.02%</w:t>
            </w:r>
          </w:p>
        </w:tc>
        <w:tc>
          <w:tcPr>
            <w:tcW w:w="0" w:type="auto"/>
            <w:tcBorders>
              <w:top w:val="nil"/>
              <w:bottom w:val="nil"/>
            </w:tcBorders>
            <w:shd w:val="clear" w:color="auto" w:fill="auto"/>
            <w:noWrap/>
            <w:vAlign w:val="bottom"/>
            <w:hideMark/>
          </w:tcPr>
          <w:p w14:paraId="1AB542CE" w14:textId="228F82A4"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0.24%  </w:t>
            </w:r>
          </w:p>
        </w:tc>
        <w:tc>
          <w:tcPr>
            <w:tcW w:w="0" w:type="auto"/>
            <w:tcBorders>
              <w:top w:val="nil"/>
              <w:bottom w:val="nil"/>
            </w:tcBorders>
            <w:shd w:val="clear" w:color="auto" w:fill="auto"/>
            <w:noWrap/>
            <w:hideMark/>
          </w:tcPr>
          <w:p w14:paraId="36D08EB6"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-0.05%</w:t>
            </w:r>
          </w:p>
        </w:tc>
        <w:tc>
          <w:tcPr>
            <w:tcW w:w="0" w:type="auto"/>
            <w:tcBorders>
              <w:top w:val="nil"/>
              <w:bottom w:val="nil"/>
            </w:tcBorders>
            <w:shd w:val="clear" w:color="auto" w:fill="auto"/>
            <w:noWrap/>
            <w:hideMark/>
          </w:tcPr>
          <w:p w14:paraId="79FFA698"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-0.08%</w:t>
            </w:r>
          </w:p>
        </w:tc>
        <w:tc>
          <w:tcPr>
            <w:tcW w:w="0" w:type="auto"/>
            <w:tcBorders>
              <w:top w:val="nil"/>
              <w:bottom w:val="nil"/>
            </w:tcBorders>
            <w:shd w:val="clear" w:color="auto" w:fill="auto"/>
            <w:noWrap/>
            <w:vAlign w:val="bottom"/>
            <w:hideMark/>
          </w:tcPr>
          <w:p w14:paraId="5FA70430" w14:textId="728E3C1F"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0.03%  </w:t>
            </w:r>
          </w:p>
        </w:tc>
      </w:tr>
      <w:tr w:rsidR="00D11152" w:rsidRPr="00D11152" w14:paraId="1489FDAE" w14:textId="77777777" w:rsidTr="00BC00D6">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4F28D7B0"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3</w:t>
            </w:r>
          </w:p>
        </w:tc>
        <w:tc>
          <w:tcPr>
            <w:tcW w:w="0" w:type="auto"/>
            <w:tcBorders>
              <w:top w:val="nil"/>
              <w:bottom w:val="nil"/>
            </w:tcBorders>
            <w:shd w:val="clear" w:color="auto" w:fill="auto"/>
            <w:noWrap/>
            <w:hideMark/>
          </w:tcPr>
          <w:p w14:paraId="6CE761F6"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0.54%</w:t>
            </w:r>
          </w:p>
        </w:tc>
        <w:tc>
          <w:tcPr>
            <w:tcW w:w="0" w:type="auto"/>
            <w:tcBorders>
              <w:top w:val="nil"/>
              <w:bottom w:val="nil"/>
            </w:tcBorders>
            <w:shd w:val="clear" w:color="auto" w:fill="auto"/>
            <w:noWrap/>
            <w:hideMark/>
          </w:tcPr>
          <w:p w14:paraId="03A61135"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0.32%</w:t>
            </w:r>
          </w:p>
        </w:tc>
        <w:tc>
          <w:tcPr>
            <w:tcW w:w="0" w:type="auto"/>
            <w:tcBorders>
              <w:top w:val="nil"/>
              <w:bottom w:val="nil"/>
            </w:tcBorders>
            <w:shd w:val="clear" w:color="auto" w:fill="auto"/>
            <w:noWrap/>
            <w:vAlign w:val="bottom"/>
            <w:hideMark/>
          </w:tcPr>
          <w:p w14:paraId="14EED508" w14:textId="2139F7B8"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0.22%  </w:t>
            </w:r>
          </w:p>
        </w:tc>
        <w:tc>
          <w:tcPr>
            <w:tcW w:w="0" w:type="auto"/>
            <w:tcBorders>
              <w:top w:val="nil"/>
              <w:bottom w:val="nil"/>
            </w:tcBorders>
            <w:shd w:val="clear" w:color="auto" w:fill="auto"/>
            <w:noWrap/>
            <w:hideMark/>
          </w:tcPr>
          <w:p w14:paraId="296F3EEB"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0.59%</w:t>
            </w:r>
          </w:p>
        </w:tc>
        <w:tc>
          <w:tcPr>
            <w:tcW w:w="0" w:type="auto"/>
            <w:tcBorders>
              <w:top w:val="nil"/>
              <w:bottom w:val="nil"/>
            </w:tcBorders>
            <w:shd w:val="clear" w:color="auto" w:fill="auto"/>
            <w:noWrap/>
            <w:hideMark/>
          </w:tcPr>
          <w:p w14:paraId="2BCD7AE4"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0.50%</w:t>
            </w:r>
          </w:p>
        </w:tc>
        <w:tc>
          <w:tcPr>
            <w:tcW w:w="0" w:type="auto"/>
            <w:tcBorders>
              <w:top w:val="nil"/>
              <w:bottom w:val="nil"/>
            </w:tcBorders>
            <w:shd w:val="clear" w:color="auto" w:fill="auto"/>
            <w:noWrap/>
            <w:vAlign w:val="bottom"/>
            <w:hideMark/>
          </w:tcPr>
          <w:p w14:paraId="04F0352E" w14:textId="7B80E9B8"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0.09%  </w:t>
            </w:r>
          </w:p>
        </w:tc>
        <w:tc>
          <w:tcPr>
            <w:tcW w:w="0" w:type="auto"/>
            <w:tcBorders>
              <w:top w:val="nil"/>
              <w:bottom w:val="nil"/>
            </w:tcBorders>
            <w:shd w:val="clear" w:color="auto" w:fill="auto"/>
            <w:noWrap/>
            <w:hideMark/>
          </w:tcPr>
          <w:p w14:paraId="0E34C99B"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0.59%</w:t>
            </w:r>
          </w:p>
        </w:tc>
        <w:tc>
          <w:tcPr>
            <w:tcW w:w="0" w:type="auto"/>
            <w:tcBorders>
              <w:top w:val="nil"/>
              <w:bottom w:val="nil"/>
            </w:tcBorders>
            <w:shd w:val="clear" w:color="auto" w:fill="auto"/>
            <w:noWrap/>
            <w:hideMark/>
          </w:tcPr>
          <w:p w14:paraId="1A26F303"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0.48%</w:t>
            </w:r>
          </w:p>
        </w:tc>
        <w:tc>
          <w:tcPr>
            <w:tcW w:w="0" w:type="auto"/>
            <w:tcBorders>
              <w:top w:val="nil"/>
              <w:bottom w:val="nil"/>
            </w:tcBorders>
            <w:shd w:val="clear" w:color="auto" w:fill="auto"/>
            <w:noWrap/>
            <w:vAlign w:val="bottom"/>
            <w:hideMark/>
          </w:tcPr>
          <w:p w14:paraId="63457A4D" w14:textId="16BEC5BF"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0.11%  </w:t>
            </w:r>
          </w:p>
        </w:tc>
        <w:tc>
          <w:tcPr>
            <w:tcW w:w="0" w:type="auto"/>
            <w:tcBorders>
              <w:top w:val="nil"/>
              <w:bottom w:val="nil"/>
            </w:tcBorders>
            <w:shd w:val="clear" w:color="auto" w:fill="auto"/>
            <w:noWrap/>
            <w:hideMark/>
          </w:tcPr>
          <w:p w14:paraId="7B71CF5C"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0.41%</w:t>
            </w:r>
          </w:p>
        </w:tc>
        <w:tc>
          <w:tcPr>
            <w:tcW w:w="0" w:type="auto"/>
            <w:tcBorders>
              <w:top w:val="nil"/>
              <w:bottom w:val="nil"/>
            </w:tcBorders>
            <w:shd w:val="clear" w:color="auto" w:fill="auto"/>
            <w:noWrap/>
            <w:hideMark/>
          </w:tcPr>
          <w:p w14:paraId="582CF22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0.45%</w:t>
            </w:r>
          </w:p>
        </w:tc>
        <w:tc>
          <w:tcPr>
            <w:tcW w:w="0" w:type="auto"/>
            <w:tcBorders>
              <w:top w:val="nil"/>
              <w:bottom w:val="nil"/>
            </w:tcBorders>
            <w:shd w:val="clear" w:color="auto" w:fill="auto"/>
            <w:noWrap/>
            <w:vAlign w:val="bottom"/>
            <w:hideMark/>
          </w:tcPr>
          <w:p w14:paraId="4F51E9FA" w14:textId="44F94B42"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-0.04%  </w:t>
            </w:r>
          </w:p>
        </w:tc>
      </w:tr>
      <w:tr w:rsidR="00D11152" w:rsidRPr="00D11152" w14:paraId="6595C28B" w14:textId="77777777" w:rsidTr="00BC00D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0CD5B83B"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4</w:t>
            </w:r>
          </w:p>
        </w:tc>
        <w:tc>
          <w:tcPr>
            <w:tcW w:w="0" w:type="auto"/>
            <w:tcBorders>
              <w:top w:val="nil"/>
              <w:bottom w:val="nil"/>
            </w:tcBorders>
            <w:shd w:val="clear" w:color="auto" w:fill="auto"/>
            <w:noWrap/>
            <w:hideMark/>
          </w:tcPr>
          <w:p w14:paraId="7E0975DD"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0.71%</w:t>
            </w:r>
          </w:p>
        </w:tc>
        <w:tc>
          <w:tcPr>
            <w:tcW w:w="0" w:type="auto"/>
            <w:tcBorders>
              <w:top w:val="nil"/>
              <w:bottom w:val="nil"/>
            </w:tcBorders>
            <w:shd w:val="clear" w:color="auto" w:fill="auto"/>
            <w:noWrap/>
            <w:hideMark/>
          </w:tcPr>
          <w:p w14:paraId="4BFB9599"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0.43%</w:t>
            </w:r>
          </w:p>
        </w:tc>
        <w:tc>
          <w:tcPr>
            <w:tcW w:w="0" w:type="auto"/>
            <w:tcBorders>
              <w:top w:val="nil"/>
              <w:bottom w:val="nil"/>
            </w:tcBorders>
            <w:shd w:val="clear" w:color="auto" w:fill="auto"/>
            <w:noWrap/>
            <w:vAlign w:val="bottom"/>
            <w:hideMark/>
          </w:tcPr>
          <w:p w14:paraId="0DA6E13B" w14:textId="1EF96D15"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0.29%  </w:t>
            </w:r>
          </w:p>
        </w:tc>
        <w:tc>
          <w:tcPr>
            <w:tcW w:w="0" w:type="auto"/>
            <w:tcBorders>
              <w:top w:val="nil"/>
              <w:bottom w:val="nil"/>
            </w:tcBorders>
            <w:shd w:val="clear" w:color="auto" w:fill="auto"/>
            <w:noWrap/>
            <w:hideMark/>
          </w:tcPr>
          <w:p w14:paraId="561B5552"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0.81%</w:t>
            </w:r>
          </w:p>
        </w:tc>
        <w:tc>
          <w:tcPr>
            <w:tcW w:w="0" w:type="auto"/>
            <w:tcBorders>
              <w:top w:val="nil"/>
              <w:bottom w:val="nil"/>
            </w:tcBorders>
            <w:shd w:val="clear" w:color="auto" w:fill="auto"/>
            <w:noWrap/>
            <w:hideMark/>
          </w:tcPr>
          <w:p w14:paraId="71A5102A"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0.68%</w:t>
            </w:r>
          </w:p>
        </w:tc>
        <w:tc>
          <w:tcPr>
            <w:tcW w:w="0" w:type="auto"/>
            <w:tcBorders>
              <w:top w:val="nil"/>
              <w:bottom w:val="nil"/>
            </w:tcBorders>
            <w:shd w:val="clear" w:color="auto" w:fill="auto"/>
            <w:noWrap/>
            <w:vAlign w:val="bottom"/>
            <w:hideMark/>
          </w:tcPr>
          <w:p w14:paraId="646A123E" w14:textId="7A2D524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0.13%  </w:t>
            </w:r>
          </w:p>
        </w:tc>
        <w:tc>
          <w:tcPr>
            <w:tcW w:w="0" w:type="auto"/>
            <w:tcBorders>
              <w:top w:val="nil"/>
              <w:bottom w:val="nil"/>
            </w:tcBorders>
            <w:shd w:val="clear" w:color="auto" w:fill="auto"/>
            <w:noWrap/>
            <w:hideMark/>
          </w:tcPr>
          <w:p w14:paraId="544ABF72"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0.89%</w:t>
            </w:r>
          </w:p>
        </w:tc>
        <w:tc>
          <w:tcPr>
            <w:tcW w:w="0" w:type="auto"/>
            <w:tcBorders>
              <w:top w:val="nil"/>
              <w:bottom w:val="nil"/>
            </w:tcBorders>
            <w:shd w:val="clear" w:color="auto" w:fill="auto"/>
            <w:noWrap/>
            <w:hideMark/>
          </w:tcPr>
          <w:p w14:paraId="529F59F8"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0.72%</w:t>
            </w:r>
          </w:p>
        </w:tc>
        <w:tc>
          <w:tcPr>
            <w:tcW w:w="0" w:type="auto"/>
            <w:tcBorders>
              <w:top w:val="nil"/>
              <w:bottom w:val="nil"/>
            </w:tcBorders>
            <w:shd w:val="clear" w:color="auto" w:fill="auto"/>
            <w:noWrap/>
            <w:vAlign w:val="bottom"/>
            <w:hideMark/>
          </w:tcPr>
          <w:p w14:paraId="464B6BF7" w14:textId="4DD4F612"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0.17%  </w:t>
            </w:r>
          </w:p>
        </w:tc>
        <w:tc>
          <w:tcPr>
            <w:tcW w:w="0" w:type="auto"/>
            <w:tcBorders>
              <w:top w:val="nil"/>
              <w:bottom w:val="nil"/>
            </w:tcBorders>
            <w:shd w:val="clear" w:color="auto" w:fill="auto"/>
            <w:noWrap/>
            <w:hideMark/>
          </w:tcPr>
          <w:p w14:paraId="5679B9A5"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0.81%</w:t>
            </w:r>
          </w:p>
        </w:tc>
        <w:tc>
          <w:tcPr>
            <w:tcW w:w="0" w:type="auto"/>
            <w:tcBorders>
              <w:top w:val="nil"/>
              <w:bottom w:val="nil"/>
            </w:tcBorders>
            <w:shd w:val="clear" w:color="auto" w:fill="auto"/>
            <w:noWrap/>
            <w:hideMark/>
          </w:tcPr>
          <w:p w14:paraId="16D3E3C2"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0.83%</w:t>
            </w:r>
          </w:p>
        </w:tc>
        <w:tc>
          <w:tcPr>
            <w:tcW w:w="0" w:type="auto"/>
            <w:tcBorders>
              <w:top w:val="nil"/>
              <w:bottom w:val="nil"/>
            </w:tcBorders>
            <w:shd w:val="clear" w:color="auto" w:fill="auto"/>
            <w:noWrap/>
            <w:vAlign w:val="bottom"/>
            <w:hideMark/>
          </w:tcPr>
          <w:p w14:paraId="59D543C5" w14:textId="78C07050"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-0.02%  </w:t>
            </w:r>
          </w:p>
        </w:tc>
      </w:tr>
      <w:tr w:rsidR="00D11152" w:rsidRPr="00D11152" w14:paraId="4F9C2CEB" w14:textId="77777777" w:rsidTr="00BC00D6">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3D553081"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up markets</w:t>
            </w:r>
          </w:p>
        </w:tc>
        <w:tc>
          <w:tcPr>
            <w:tcW w:w="0" w:type="auto"/>
            <w:tcBorders>
              <w:top w:val="nil"/>
              <w:bottom w:val="nil"/>
            </w:tcBorders>
            <w:shd w:val="clear" w:color="auto" w:fill="auto"/>
            <w:noWrap/>
            <w:hideMark/>
          </w:tcPr>
          <w:p w14:paraId="08328ED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169DCC7B"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vAlign w:val="bottom"/>
            <w:hideMark/>
          </w:tcPr>
          <w:p w14:paraId="3EBA5B6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0E508A2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42CFF16D"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vAlign w:val="bottom"/>
            <w:hideMark/>
          </w:tcPr>
          <w:p w14:paraId="3E6DA97B"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100BA715"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2A158A7A"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vAlign w:val="bottom"/>
            <w:hideMark/>
          </w:tcPr>
          <w:p w14:paraId="176E267E"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77C75DC7"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3665895D"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vAlign w:val="bottom"/>
            <w:hideMark/>
          </w:tcPr>
          <w:p w14:paraId="7053882D"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6"/>
                <w:szCs w:val="16"/>
              </w:rPr>
            </w:pPr>
          </w:p>
        </w:tc>
      </w:tr>
      <w:tr w:rsidR="00D11152" w:rsidRPr="00D11152" w14:paraId="7E5566C2" w14:textId="77777777" w:rsidTr="00BC00D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357415E7"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1</w:t>
            </w:r>
          </w:p>
        </w:tc>
        <w:tc>
          <w:tcPr>
            <w:tcW w:w="0" w:type="auto"/>
            <w:tcBorders>
              <w:top w:val="nil"/>
              <w:bottom w:val="nil"/>
            </w:tcBorders>
            <w:shd w:val="clear" w:color="auto" w:fill="auto"/>
            <w:noWrap/>
            <w:hideMark/>
          </w:tcPr>
          <w:p w14:paraId="4179134A"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1.40%</w:t>
            </w:r>
          </w:p>
        </w:tc>
        <w:tc>
          <w:tcPr>
            <w:tcW w:w="0" w:type="auto"/>
            <w:tcBorders>
              <w:top w:val="nil"/>
              <w:bottom w:val="nil"/>
            </w:tcBorders>
            <w:shd w:val="clear" w:color="auto" w:fill="auto"/>
            <w:noWrap/>
            <w:hideMark/>
          </w:tcPr>
          <w:p w14:paraId="5CE5C596"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1.71%</w:t>
            </w:r>
          </w:p>
        </w:tc>
        <w:tc>
          <w:tcPr>
            <w:tcW w:w="0" w:type="auto"/>
            <w:tcBorders>
              <w:top w:val="nil"/>
              <w:bottom w:val="nil"/>
            </w:tcBorders>
            <w:shd w:val="clear" w:color="auto" w:fill="auto"/>
            <w:noWrap/>
            <w:vAlign w:val="bottom"/>
            <w:hideMark/>
          </w:tcPr>
          <w:p w14:paraId="75DA052C" w14:textId="176BE40C"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-0.31%  </w:t>
            </w:r>
          </w:p>
        </w:tc>
        <w:tc>
          <w:tcPr>
            <w:tcW w:w="0" w:type="auto"/>
            <w:tcBorders>
              <w:top w:val="nil"/>
              <w:bottom w:val="nil"/>
            </w:tcBorders>
            <w:shd w:val="clear" w:color="auto" w:fill="auto"/>
            <w:noWrap/>
            <w:hideMark/>
          </w:tcPr>
          <w:p w14:paraId="48056896"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1.61%</w:t>
            </w:r>
          </w:p>
        </w:tc>
        <w:tc>
          <w:tcPr>
            <w:tcW w:w="0" w:type="auto"/>
            <w:tcBorders>
              <w:top w:val="nil"/>
              <w:bottom w:val="nil"/>
            </w:tcBorders>
            <w:shd w:val="clear" w:color="auto" w:fill="auto"/>
            <w:noWrap/>
            <w:hideMark/>
          </w:tcPr>
          <w:p w14:paraId="128A2939"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1.77%</w:t>
            </w:r>
          </w:p>
        </w:tc>
        <w:tc>
          <w:tcPr>
            <w:tcW w:w="0" w:type="auto"/>
            <w:tcBorders>
              <w:top w:val="nil"/>
              <w:bottom w:val="nil"/>
            </w:tcBorders>
            <w:shd w:val="clear" w:color="auto" w:fill="auto"/>
            <w:noWrap/>
            <w:vAlign w:val="bottom"/>
            <w:hideMark/>
          </w:tcPr>
          <w:p w14:paraId="595C244E" w14:textId="055FC9DE"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-0.16%  </w:t>
            </w:r>
          </w:p>
        </w:tc>
        <w:tc>
          <w:tcPr>
            <w:tcW w:w="0" w:type="auto"/>
            <w:tcBorders>
              <w:top w:val="nil"/>
              <w:bottom w:val="nil"/>
            </w:tcBorders>
            <w:shd w:val="clear" w:color="auto" w:fill="auto"/>
            <w:noWrap/>
            <w:hideMark/>
          </w:tcPr>
          <w:p w14:paraId="3EE9B1CE"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1.38%</w:t>
            </w:r>
          </w:p>
        </w:tc>
        <w:tc>
          <w:tcPr>
            <w:tcW w:w="0" w:type="auto"/>
            <w:tcBorders>
              <w:top w:val="nil"/>
              <w:bottom w:val="nil"/>
            </w:tcBorders>
            <w:shd w:val="clear" w:color="auto" w:fill="auto"/>
            <w:noWrap/>
            <w:hideMark/>
          </w:tcPr>
          <w:p w14:paraId="26571423"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1.75%</w:t>
            </w:r>
          </w:p>
        </w:tc>
        <w:tc>
          <w:tcPr>
            <w:tcW w:w="0" w:type="auto"/>
            <w:tcBorders>
              <w:top w:val="nil"/>
              <w:bottom w:val="nil"/>
            </w:tcBorders>
            <w:shd w:val="clear" w:color="auto" w:fill="auto"/>
            <w:noWrap/>
            <w:vAlign w:val="bottom"/>
            <w:hideMark/>
          </w:tcPr>
          <w:p w14:paraId="75AC568F" w14:textId="208FC391"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-0.37%  </w:t>
            </w:r>
          </w:p>
        </w:tc>
        <w:tc>
          <w:tcPr>
            <w:tcW w:w="0" w:type="auto"/>
            <w:tcBorders>
              <w:top w:val="nil"/>
              <w:bottom w:val="nil"/>
            </w:tcBorders>
            <w:shd w:val="clear" w:color="auto" w:fill="auto"/>
            <w:noWrap/>
            <w:hideMark/>
          </w:tcPr>
          <w:p w14:paraId="6F818F9A"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1.40%</w:t>
            </w:r>
          </w:p>
        </w:tc>
        <w:tc>
          <w:tcPr>
            <w:tcW w:w="0" w:type="auto"/>
            <w:tcBorders>
              <w:top w:val="nil"/>
              <w:bottom w:val="nil"/>
            </w:tcBorders>
            <w:shd w:val="clear" w:color="auto" w:fill="auto"/>
            <w:noWrap/>
            <w:hideMark/>
          </w:tcPr>
          <w:p w14:paraId="586EF743"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1.52%</w:t>
            </w:r>
          </w:p>
        </w:tc>
        <w:tc>
          <w:tcPr>
            <w:tcW w:w="0" w:type="auto"/>
            <w:tcBorders>
              <w:top w:val="nil"/>
              <w:bottom w:val="nil"/>
            </w:tcBorders>
            <w:shd w:val="clear" w:color="auto" w:fill="auto"/>
            <w:noWrap/>
            <w:vAlign w:val="bottom"/>
            <w:hideMark/>
          </w:tcPr>
          <w:p w14:paraId="3410A9F8" w14:textId="1B753063"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-0.12%  </w:t>
            </w:r>
          </w:p>
        </w:tc>
      </w:tr>
      <w:tr w:rsidR="00D11152" w:rsidRPr="00D11152" w14:paraId="3E7A1B27" w14:textId="77777777" w:rsidTr="00BC00D6">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2D540E3F"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w:t>
            </w:r>
          </w:p>
        </w:tc>
        <w:tc>
          <w:tcPr>
            <w:tcW w:w="0" w:type="auto"/>
            <w:tcBorders>
              <w:top w:val="nil"/>
              <w:bottom w:val="nil"/>
            </w:tcBorders>
            <w:shd w:val="clear" w:color="auto" w:fill="auto"/>
            <w:noWrap/>
            <w:hideMark/>
          </w:tcPr>
          <w:p w14:paraId="0CB364C6"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2.03%</w:t>
            </w:r>
          </w:p>
        </w:tc>
        <w:tc>
          <w:tcPr>
            <w:tcW w:w="0" w:type="auto"/>
            <w:tcBorders>
              <w:top w:val="nil"/>
              <w:bottom w:val="nil"/>
            </w:tcBorders>
            <w:shd w:val="clear" w:color="auto" w:fill="auto"/>
            <w:noWrap/>
            <w:hideMark/>
          </w:tcPr>
          <w:p w14:paraId="592DCA4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2.13%</w:t>
            </w:r>
          </w:p>
        </w:tc>
        <w:tc>
          <w:tcPr>
            <w:tcW w:w="0" w:type="auto"/>
            <w:tcBorders>
              <w:top w:val="nil"/>
              <w:bottom w:val="nil"/>
            </w:tcBorders>
            <w:shd w:val="clear" w:color="auto" w:fill="auto"/>
            <w:noWrap/>
            <w:vAlign w:val="bottom"/>
            <w:hideMark/>
          </w:tcPr>
          <w:p w14:paraId="4CB52702" w14:textId="408565B0"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-0.1%  </w:t>
            </w:r>
          </w:p>
        </w:tc>
        <w:tc>
          <w:tcPr>
            <w:tcW w:w="0" w:type="auto"/>
            <w:tcBorders>
              <w:top w:val="nil"/>
              <w:bottom w:val="nil"/>
            </w:tcBorders>
            <w:shd w:val="clear" w:color="auto" w:fill="auto"/>
            <w:noWrap/>
            <w:hideMark/>
          </w:tcPr>
          <w:p w14:paraId="5CA65A2E"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2.26%</w:t>
            </w:r>
          </w:p>
        </w:tc>
        <w:tc>
          <w:tcPr>
            <w:tcW w:w="0" w:type="auto"/>
            <w:tcBorders>
              <w:top w:val="nil"/>
              <w:bottom w:val="nil"/>
            </w:tcBorders>
            <w:shd w:val="clear" w:color="auto" w:fill="auto"/>
            <w:noWrap/>
            <w:hideMark/>
          </w:tcPr>
          <w:p w14:paraId="74DE8A79"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2.58%</w:t>
            </w:r>
          </w:p>
        </w:tc>
        <w:tc>
          <w:tcPr>
            <w:tcW w:w="0" w:type="auto"/>
            <w:tcBorders>
              <w:top w:val="nil"/>
              <w:bottom w:val="nil"/>
            </w:tcBorders>
            <w:shd w:val="clear" w:color="auto" w:fill="auto"/>
            <w:noWrap/>
            <w:vAlign w:val="bottom"/>
            <w:hideMark/>
          </w:tcPr>
          <w:p w14:paraId="18733627" w14:textId="361A102F"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-0.32%  </w:t>
            </w:r>
          </w:p>
        </w:tc>
        <w:tc>
          <w:tcPr>
            <w:tcW w:w="0" w:type="auto"/>
            <w:tcBorders>
              <w:top w:val="nil"/>
              <w:bottom w:val="nil"/>
            </w:tcBorders>
            <w:shd w:val="clear" w:color="auto" w:fill="auto"/>
            <w:noWrap/>
            <w:hideMark/>
          </w:tcPr>
          <w:p w14:paraId="16F122C1"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2.29%</w:t>
            </w:r>
          </w:p>
        </w:tc>
        <w:tc>
          <w:tcPr>
            <w:tcW w:w="0" w:type="auto"/>
            <w:tcBorders>
              <w:top w:val="nil"/>
              <w:bottom w:val="nil"/>
            </w:tcBorders>
            <w:shd w:val="clear" w:color="auto" w:fill="auto"/>
            <w:noWrap/>
            <w:hideMark/>
          </w:tcPr>
          <w:p w14:paraId="3BCEFC83"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2.36%</w:t>
            </w:r>
          </w:p>
        </w:tc>
        <w:tc>
          <w:tcPr>
            <w:tcW w:w="0" w:type="auto"/>
            <w:tcBorders>
              <w:top w:val="nil"/>
              <w:bottom w:val="nil"/>
            </w:tcBorders>
            <w:shd w:val="clear" w:color="auto" w:fill="auto"/>
            <w:noWrap/>
            <w:vAlign w:val="bottom"/>
            <w:hideMark/>
          </w:tcPr>
          <w:p w14:paraId="0EBA027D" w14:textId="4363BEFA"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-0.07%  </w:t>
            </w:r>
          </w:p>
        </w:tc>
        <w:tc>
          <w:tcPr>
            <w:tcW w:w="0" w:type="auto"/>
            <w:tcBorders>
              <w:top w:val="nil"/>
              <w:bottom w:val="nil"/>
            </w:tcBorders>
            <w:shd w:val="clear" w:color="auto" w:fill="auto"/>
            <w:noWrap/>
            <w:hideMark/>
          </w:tcPr>
          <w:p w14:paraId="10FE212C"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2.04%</w:t>
            </w:r>
          </w:p>
        </w:tc>
        <w:tc>
          <w:tcPr>
            <w:tcW w:w="0" w:type="auto"/>
            <w:tcBorders>
              <w:top w:val="nil"/>
              <w:bottom w:val="nil"/>
            </w:tcBorders>
            <w:shd w:val="clear" w:color="auto" w:fill="auto"/>
            <w:noWrap/>
            <w:hideMark/>
          </w:tcPr>
          <w:p w14:paraId="004B4B76"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2.14%</w:t>
            </w:r>
          </w:p>
        </w:tc>
        <w:tc>
          <w:tcPr>
            <w:tcW w:w="0" w:type="auto"/>
            <w:tcBorders>
              <w:top w:val="nil"/>
              <w:bottom w:val="nil"/>
            </w:tcBorders>
            <w:shd w:val="clear" w:color="auto" w:fill="auto"/>
            <w:noWrap/>
            <w:vAlign w:val="bottom"/>
            <w:hideMark/>
          </w:tcPr>
          <w:p w14:paraId="639AA35D" w14:textId="6D155F29"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-0.1%  </w:t>
            </w:r>
          </w:p>
        </w:tc>
      </w:tr>
      <w:tr w:rsidR="00D11152" w:rsidRPr="00D11152" w14:paraId="3A195B33" w14:textId="77777777" w:rsidTr="00BC00D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6D706C66"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3</w:t>
            </w:r>
          </w:p>
        </w:tc>
        <w:tc>
          <w:tcPr>
            <w:tcW w:w="0" w:type="auto"/>
            <w:tcBorders>
              <w:top w:val="nil"/>
              <w:bottom w:val="nil"/>
            </w:tcBorders>
            <w:shd w:val="clear" w:color="auto" w:fill="auto"/>
            <w:noWrap/>
            <w:hideMark/>
          </w:tcPr>
          <w:p w14:paraId="0CFB7EF7"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2.35%</w:t>
            </w:r>
          </w:p>
        </w:tc>
        <w:tc>
          <w:tcPr>
            <w:tcW w:w="0" w:type="auto"/>
            <w:tcBorders>
              <w:top w:val="nil"/>
              <w:bottom w:val="nil"/>
            </w:tcBorders>
            <w:shd w:val="clear" w:color="auto" w:fill="auto"/>
            <w:noWrap/>
            <w:hideMark/>
          </w:tcPr>
          <w:p w14:paraId="27429197"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2.74%</w:t>
            </w:r>
          </w:p>
        </w:tc>
        <w:tc>
          <w:tcPr>
            <w:tcW w:w="0" w:type="auto"/>
            <w:tcBorders>
              <w:top w:val="nil"/>
              <w:bottom w:val="nil"/>
            </w:tcBorders>
            <w:shd w:val="clear" w:color="auto" w:fill="auto"/>
            <w:noWrap/>
            <w:vAlign w:val="bottom"/>
            <w:hideMark/>
          </w:tcPr>
          <w:p w14:paraId="3FD808C0" w14:textId="4731085E"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-0.4%  </w:t>
            </w:r>
          </w:p>
        </w:tc>
        <w:tc>
          <w:tcPr>
            <w:tcW w:w="0" w:type="auto"/>
            <w:tcBorders>
              <w:top w:val="nil"/>
              <w:bottom w:val="nil"/>
            </w:tcBorders>
            <w:shd w:val="clear" w:color="auto" w:fill="auto"/>
            <w:noWrap/>
            <w:hideMark/>
          </w:tcPr>
          <w:p w14:paraId="5DD47EBF"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2.58%</w:t>
            </w:r>
          </w:p>
        </w:tc>
        <w:tc>
          <w:tcPr>
            <w:tcW w:w="0" w:type="auto"/>
            <w:tcBorders>
              <w:top w:val="nil"/>
              <w:bottom w:val="nil"/>
            </w:tcBorders>
            <w:shd w:val="clear" w:color="auto" w:fill="auto"/>
            <w:noWrap/>
            <w:hideMark/>
          </w:tcPr>
          <w:p w14:paraId="3C0F4CCA"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3.05%</w:t>
            </w:r>
          </w:p>
        </w:tc>
        <w:tc>
          <w:tcPr>
            <w:tcW w:w="0" w:type="auto"/>
            <w:tcBorders>
              <w:top w:val="nil"/>
              <w:bottom w:val="nil"/>
            </w:tcBorders>
            <w:shd w:val="clear" w:color="auto" w:fill="auto"/>
            <w:noWrap/>
            <w:vAlign w:val="bottom"/>
            <w:hideMark/>
          </w:tcPr>
          <w:p w14:paraId="3201AE56" w14:textId="0B57BFE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-0.47%  </w:t>
            </w:r>
          </w:p>
        </w:tc>
        <w:tc>
          <w:tcPr>
            <w:tcW w:w="0" w:type="auto"/>
            <w:tcBorders>
              <w:top w:val="nil"/>
              <w:bottom w:val="nil"/>
            </w:tcBorders>
            <w:shd w:val="clear" w:color="auto" w:fill="auto"/>
            <w:noWrap/>
            <w:hideMark/>
          </w:tcPr>
          <w:p w14:paraId="0589E1A0"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2.73%</w:t>
            </w:r>
          </w:p>
        </w:tc>
        <w:tc>
          <w:tcPr>
            <w:tcW w:w="0" w:type="auto"/>
            <w:tcBorders>
              <w:top w:val="nil"/>
              <w:bottom w:val="nil"/>
            </w:tcBorders>
            <w:shd w:val="clear" w:color="auto" w:fill="auto"/>
            <w:noWrap/>
            <w:hideMark/>
          </w:tcPr>
          <w:p w14:paraId="15A17C70"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3.13%</w:t>
            </w:r>
          </w:p>
        </w:tc>
        <w:tc>
          <w:tcPr>
            <w:tcW w:w="0" w:type="auto"/>
            <w:tcBorders>
              <w:top w:val="nil"/>
              <w:bottom w:val="nil"/>
            </w:tcBorders>
            <w:shd w:val="clear" w:color="auto" w:fill="auto"/>
            <w:noWrap/>
            <w:vAlign w:val="bottom"/>
            <w:hideMark/>
          </w:tcPr>
          <w:p w14:paraId="6F2F88D6" w14:textId="455606E0"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-0.41%  </w:t>
            </w:r>
          </w:p>
        </w:tc>
        <w:tc>
          <w:tcPr>
            <w:tcW w:w="0" w:type="auto"/>
            <w:tcBorders>
              <w:top w:val="nil"/>
              <w:bottom w:val="nil"/>
            </w:tcBorders>
            <w:shd w:val="clear" w:color="auto" w:fill="auto"/>
            <w:noWrap/>
            <w:hideMark/>
          </w:tcPr>
          <w:p w14:paraId="0DA163C5"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2.43%</w:t>
            </w:r>
          </w:p>
        </w:tc>
        <w:tc>
          <w:tcPr>
            <w:tcW w:w="0" w:type="auto"/>
            <w:tcBorders>
              <w:top w:val="nil"/>
              <w:bottom w:val="nil"/>
            </w:tcBorders>
            <w:shd w:val="clear" w:color="auto" w:fill="auto"/>
            <w:noWrap/>
            <w:hideMark/>
          </w:tcPr>
          <w:p w14:paraId="037D30F2"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2.67%</w:t>
            </w:r>
          </w:p>
        </w:tc>
        <w:tc>
          <w:tcPr>
            <w:tcW w:w="0" w:type="auto"/>
            <w:tcBorders>
              <w:top w:val="nil"/>
              <w:bottom w:val="nil"/>
            </w:tcBorders>
            <w:shd w:val="clear" w:color="auto" w:fill="auto"/>
            <w:noWrap/>
            <w:vAlign w:val="bottom"/>
            <w:hideMark/>
          </w:tcPr>
          <w:p w14:paraId="74CB661D" w14:textId="157663F4"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-0.24%  </w:t>
            </w:r>
          </w:p>
        </w:tc>
      </w:tr>
      <w:tr w:rsidR="00D11152" w:rsidRPr="00D11152" w14:paraId="7B558C70" w14:textId="77777777" w:rsidTr="00BC00D6">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79CC8652"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4</w:t>
            </w:r>
          </w:p>
        </w:tc>
        <w:tc>
          <w:tcPr>
            <w:tcW w:w="0" w:type="auto"/>
            <w:tcBorders>
              <w:top w:val="nil"/>
              <w:bottom w:val="nil"/>
            </w:tcBorders>
            <w:shd w:val="clear" w:color="auto" w:fill="auto"/>
            <w:noWrap/>
            <w:hideMark/>
          </w:tcPr>
          <w:p w14:paraId="3649ECFA"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2.51%</w:t>
            </w:r>
          </w:p>
        </w:tc>
        <w:tc>
          <w:tcPr>
            <w:tcW w:w="0" w:type="auto"/>
            <w:tcBorders>
              <w:top w:val="nil"/>
              <w:bottom w:val="nil"/>
            </w:tcBorders>
            <w:shd w:val="clear" w:color="auto" w:fill="auto"/>
            <w:noWrap/>
            <w:hideMark/>
          </w:tcPr>
          <w:p w14:paraId="4D150FF5"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2.54%</w:t>
            </w:r>
          </w:p>
        </w:tc>
        <w:tc>
          <w:tcPr>
            <w:tcW w:w="0" w:type="auto"/>
            <w:tcBorders>
              <w:top w:val="nil"/>
              <w:bottom w:val="nil"/>
            </w:tcBorders>
            <w:shd w:val="clear" w:color="auto" w:fill="auto"/>
            <w:noWrap/>
            <w:vAlign w:val="bottom"/>
            <w:hideMark/>
          </w:tcPr>
          <w:p w14:paraId="3C11FB60" w14:textId="0158F38E"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-0.04%  </w:t>
            </w:r>
          </w:p>
        </w:tc>
        <w:tc>
          <w:tcPr>
            <w:tcW w:w="0" w:type="auto"/>
            <w:tcBorders>
              <w:top w:val="nil"/>
              <w:bottom w:val="nil"/>
            </w:tcBorders>
            <w:shd w:val="clear" w:color="auto" w:fill="auto"/>
            <w:noWrap/>
            <w:hideMark/>
          </w:tcPr>
          <w:p w14:paraId="18E575C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2.75%</w:t>
            </w:r>
          </w:p>
        </w:tc>
        <w:tc>
          <w:tcPr>
            <w:tcW w:w="0" w:type="auto"/>
            <w:tcBorders>
              <w:top w:val="nil"/>
              <w:bottom w:val="nil"/>
            </w:tcBorders>
            <w:shd w:val="clear" w:color="auto" w:fill="auto"/>
            <w:noWrap/>
            <w:hideMark/>
          </w:tcPr>
          <w:p w14:paraId="35E34BD3"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3.23%</w:t>
            </w:r>
          </w:p>
        </w:tc>
        <w:tc>
          <w:tcPr>
            <w:tcW w:w="0" w:type="auto"/>
            <w:tcBorders>
              <w:top w:val="nil"/>
              <w:bottom w:val="nil"/>
            </w:tcBorders>
            <w:shd w:val="clear" w:color="auto" w:fill="auto"/>
            <w:noWrap/>
            <w:vAlign w:val="bottom"/>
            <w:hideMark/>
          </w:tcPr>
          <w:p w14:paraId="6BE0A7E7" w14:textId="31DB7CA2"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-0.48%  </w:t>
            </w:r>
          </w:p>
        </w:tc>
        <w:tc>
          <w:tcPr>
            <w:tcW w:w="0" w:type="auto"/>
            <w:tcBorders>
              <w:top w:val="nil"/>
              <w:bottom w:val="nil"/>
            </w:tcBorders>
            <w:shd w:val="clear" w:color="auto" w:fill="auto"/>
            <w:noWrap/>
            <w:hideMark/>
          </w:tcPr>
          <w:p w14:paraId="24964959"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2.95%</w:t>
            </w:r>
          </w:p>
        </w:tc>
        <w:tc>
          <w:tcPr>
            <w:tcW w:w="0" w:type="auto"/>
            <w:tcBorders>
              <w:top w:val="nil"/>
              <w:bottom w:val="nil"/>
            </w:tcBorders>
            <w:shd w:val="clear" w:color="auto" w:fill="auto"/>
            <w:noWrap/>
            <w:hideMark/>
          </w:tcPr>
          <w:p w14:paraId="34889BB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3.39%</w:t>
            </w:r>
          </w:p>
        </w:tc>
        <w:tc>
          <w:tcPr>
            <w:tcW w:w="0" w:type="auto"/>
            <w:tcBorders>
              <w:top w:val="nil"/>
              <w:bottom w:val="nil"/>
            </w:tcBorders>
            <w:shd w:val="clear" w:color="auto" w:fill="auto"/>
            <w:noWrap/>
            <w:vAlign w:val="bottom"/>
            <w:hideMark/>
          </w:tcPr>
          <w:p w14:paraId="77C9D6A0" w14:textId="4954411B"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 xml:space="preserve">-0.44%  </w:t>
            </w:r>
          </w:p>
        </w:tc>
        <w:tc>
          <w:tcPr>
            <w:tcW w:w="0" w:type="auto"/>
            <w:tcBorders>
              <w:top w:val="nil"/>
              <w:bottom w:val="nil"/>
            </w:tcBorders>
            <w:shd w:val="clear" w:color="auto" w:fill="auto"/>
            <w:noWrap/>
            <w:hideMark/>
          </w:tcPr>
          <w:p w14:paraId="153BA599"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2.94%</w:t>
            </w:r>
          </w:p>
        </w:tc>
        <w:tc>
          <w:tcPr>
            <w:tcW w:w="0" w:type="auto"/>
            <w:tcBorders>
              <w:top w:val="nil"/>
              <w:bottom w:val="nil"/>
            </w:tcBorders>
            <w:shd w:val="clear" w:color="auto" w:fill="auto"/>
            <w:noWrap/>
            <w:hideMark/>
          </w:tcPr>
          <w:p w14:paraId="2C4CA098"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3.27%</w:t>
            </w:r>
          </w:p>
        </w:tc>
        <w:tc>
          <w:tcPr>
            <w:tcW w:w="0" w:type="auto"/>
            <w:tcBorders>
              <w:top w:val="nil"/>
              <w:bottom w:val="nil"/>
            </w:tcBorders>
            <w:shd w:val="clear" w:color="auto" w:fill="auto"/>
            <w:noWrap/>
            <w:vAlign w:val="bottom"/>
            <w:hideMark/>
          </w:tcPr>
          <w:p w14:paraId="12B9C209" w14:textId="6C72848A"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-0.33%  </w:t>
            </w:r>
          </w:p>
        </w:tc>
      </w:tr>
      <w:tr w:rsidR="00D11152" w:rsidRPr="00D11152" w14:paraId="1B00B9EF" w14:textId="77777777" w:rsidTr="00BC00D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1BF9953B"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down markets</w:t>
            </w:r>
          </w:p>
        </w:tc>
        <w:tc>
          <w:tcPr>
            <w:tcW w:w="0" w:type="auto"/>
            <w:tcBorders>
              <w:top w:val="nil"/>
              <w:bottom w:val="nil"/>
            </w:tcBorders>
            <w:shd w:val="clear" w:color="auto" w:fill="auto"/>
            <w:noWrap/>
            <w:hideMark/>
          </w:tcPr>
          <w:p w14:paraId="50DECBAE"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hideMark/>
          </w:tcPr>
          <w:p w14:paraId="0E38A47C"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rPr>
            </w:pPr>
          </w:p>
        </w:tc>
        <w:tc>
          <w:tcPr>
            <w:tcW w:w="0" w:type="auto"/>
            <w:tcBorders>
              <w:top w:val="nil"/>
              <w:bottom w:val="nil"/>
            </w:tcBorders>
            <w:shd w:val="clear" w:color="auto" w:fill="auto"/>
            <w:noWrap/>
            <w:vAlign w:val="bottom"/>
            <w:hideMark/>
          </w:tcPr>
          <w:p w14:paraId="2E0AED75"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7444751F"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014E1B61"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vAlign w:val="bottom"/>
            <w:hideMark/>
          </w:tcPr>
          <w:p w14:paraId="2C7D081E"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53AD435C"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38FE0B4F"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vAlign w:val="bottom"/>
            <w:hideMark/>
          </w:tcPr>
          <w:p w14:paraId="0504A0A2"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1D930C8B"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hideMark/>
          </w:tcPr>
          <w:p w14:paraId="2D54F1FC"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c>
          <w:tcPr>
            <w:tcW w:w="0" w:type="auto"/>
            <w:tcBorders>
              <w:top w:val="nil"/>
              <w:bottom w:val="nil"/>
            </w:tcBorders>
            <w:shd w:val="clear" w:color="auto" w:fill="auto"/>
            <w:noWrap/>
            <w:vAlign w:val="bottom"/>
            <w:hideMark/>
          </w:tcPr>
          <w:p w14:paraId="2ED420F2"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6"/>
                <w:szCs w:val="16"/>
              </w:rPr>
            </w:pPr>
          </w:p>
        </w:tc>
      </w:tr>
      <w:tr w:rsidR="00D11152" w:rsidRPr="00D11152" w14:paraId="21A5AED8" w14:textId="77777777" w:rsidTr="00BC00D6">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05E9CD62"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1</w:t>
            </w:r>
          </w:p>
        </w:tc>
        <w:tc>
          <w:tcPr>
            <w:tcW w:w="0" w:type="auto"/>
            <w:tcBorders>
              <w:top w:val="nil"/>
              <w:bottom w:val="nil"/>
            </w:tcBorders>
            <w:shd w:val="clear" w:color="auto" w:fill="auto"/>
            <w:noWrap/>
            <w:hideMark/>
          </w:tcPr>
          <w:p w14:paraId="7578EDFB"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-2.40%</w:t>
            </w:r>
          </w:p>
        </w:tc>
        <w:tc>
          <w:tcPr>
            <w:tcW w:w="0" w:type="auto"/>
            <w:tcBorders>
              <w:top w:val="nil"/>
              <w:bottom w:val="nil"/>
            </w:tcBorders>
            <w:shd w:val="clear" w:color="auto" w:fill="auto"/>
            <w:noWrap/>
            <w:hideMark/>
          </w:tcPr>
          <w:p w14:paraId="3B4EBE07"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-4.19%</w:t>
            </w:r>
          </w:p>
        </w:tc>
        <w:tc>
          <w:tcPr>
            <w:tcW w:w="0" w:type="auto"/>
            <w:tcBorders>
              <w:top w:val="nil"/>
              <w:bottom w:val="nil"/>
            </w:tcBorders>
            <w:shd w:val="clear" w:color="auto" w:fill="auto"/>
            <w:noWrap/>
            <w:vAlign w:val="bottom"/>
            <w:hideMark/>
          </w:tcPr>
          <w:p w14:paraId="56DCF885" w14:textId="0931EE20"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1.8% ***</w:t>
            </w:r>
          </w:p>
        </w:tc>
        <w:tc>
          <w:tcPr>
            <w:tcW w:w="0" w:type="auto"/>
            <w:tcBorders>
              <w:top w:val="nil"/>
              <w:bottom w:val="nil"/>
            </w:tcBorders>
            <w:shd w:val="clear" w:color="auto" w:fill="auto"/>
            <w:noWrap/>
            <w:hideMark/>
          </w:tcPr>
          <w:p w14:paraId="7636E852"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-2.86%</w:t>
            </w:r>
          </w:p>
        </w:tc>
        <w:tc>
          <w:tcPr>
            <w:tcW w:w="0" w:type="auto"/>
            <w:tcBorders>
              <w:top w:val="nil"/>
              <w:bottom w:val="nil"/>
            </w:tcBorders>
            <w:shd w:val="clear" w:color="auto" w:fill="auto"/>
            <w:noWrap/>
            <w:hideMark/>
          </w:tcPr>
          <w:p w14:paraId="337B821C"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-4.46%</w:t>
            </w:r>
          </w:p>
        </w:tc>
        <w:tc>
          <w:tcPr>
            <w:tcW w:w="0" w:type="auto"/>
            <w:tcBorders>
              <w:top w:val="nil"/>
              <w:bottom w:val="nil"/>
            </w:tcBorders>
            <w:shd w:val="clear" w:color="auto" w:fill="auto"/>
            <w:noWrap/>
            <w:vAlign w:val="bottom"/>
            <w:hideMark/>
          </w:tcPr>
          <w:p w14:paraId="243B2A70" w14:textId="2B9552E2"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1.6% ***</w:t>
            </w:r>
          </w:p>
        </w:tc>
        <w:tc>
          <w:tcPr>
            <w:tcW w:w="0" w:type="auto"/>
            <w:tcBorders>
              <w:top w:val="nil"/>
              <w:bottom w:val="nil"/>
            </w:tcBorders>
            <w:shd w:val="clear" w:color="auto" w:fill="auto"/>
            <w:noWrap/>
            <w:hideMark/>
          </w:tcPr>
          <w:p w14:paraId="0CD7E25B"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-3.50%</w:t>
            </w:r>
          </w:p>
        </w:tc>
        <w:tc>
          <w:tcPr>
            <w:tcW w:w="0" w:type="auto"/>
            <w:tcBorders>
              <w:top w:val="nil"/>
              <w:bottom w:val="nil"/>
            </w:tcBorders>
            <w:shd w:val="clear" w:color="auto" w:fill="auto"/>
            <w:noWrap/>
            <w:hideMark/>
          </w:tcPr>
          <w:p w14:paraId="51138477"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-4.20%</w:t>
            </w:r>
          </w:p>
        </w:tc>
        <w:tc>
          <w:tcPr>
            <w:tcW w:w="0" w:type="auto"/>
            <w:tcBorders>
              <w:top w:val="nil"/>
              <w:bottom w:val="nil"/>
            </w:tcBorders>
            <w:shd w:val="clear" w:color="auto" w:fill="auto"/>
            <w:noWrap/>
            <w:vAlign w:val="bottom"/>
            <w:hideMark/>
          </w:tcPr>
          <w:p w14:paraId="74CDA70A" w14:textId="363D4511"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0.7% *</w:t>
            </w:r>
          </w:p>
        </w:tc>
        <w:tc>
          <w:tcPr>
            <w:tcW w:w="0" w:type="auto"/>
            <w:tcBorders>
              <w:top w:val="nil"/>
              <w:bottom w:val="nil"/>
            </w:tcBorders>
            <w:shd w:val="clear" w:color="auto" w:fill="auto"/>
            <w:noWrap/>
            <w:hideMark/>
          </w:tcPr>
          <w:p w14:paraId="108E145C"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-4.08%</w:t>
            </w:r>
          </w:p>
        </w:tc>
        <w:tc>
          <w:tcPr>
            <w:tcW w:w="0" w:type="auto"/>
            <w:tcBorders>
              <w:top w:val="nil"/>
              <w:bottom w:val="nil"/>
            </w:tcBorders>
            <w:shd w:val="clear" w:color="auto" w:fill="auto"/>
            <w:noWrap/>
            <w:hideMark/>
          </w:tcPr>
          <w:p w14:paraId="35AFCC4A"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-4.48%</w:t>
            </w:r>
          </w:p>
        </w:tc>
        <w:tc>
          <w:tcPr>
            <w:tcW w:w="0" w:type="auto"/>
            <w:tcBorders>
              <w:top w:val="nil"/>
              <w:bottom w:val="nil"/>
            </w:tcBorders>
            <w:shd w:val="clear" w:color="auto" w:fill="auto"/>
            <w:noWrap/>
            <w:vAlign w:val="bottom"/>
            <w:hideMark/>
          </w:tcPr>
          <w:p w14:paraId="343CF592" w14:textId="20E12D83"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0.41%  </w:t>
            </w:r>
          </w:p>
        </w:tc>
      </w:tr>
      <w:tr w:rsidR="00D11152" w:rsidRPr="00D11152" w14:paraId="2216858C" w14:textId="77777777" w:rsidTr="00BC00D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6C314EE9"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w:t>
            </w:r>
          </w:p>
        </w:tc>
        <w:tc>
          <w:tcPr>
            <w:tcW w:w="0" w:type="auto"/>
            <w:tcBorders>
              <w:top w:val="nil"/>
              <w:bottom w:val="nil"/>
            </w:tcBorders>
            <w:shd w:val="clear" w:color="auto" w:fill="auto"/>
            <w:noWrap/>
            <w:hideMark/>
          </w:tcPr>
          <w:p w14:paraId="3AAD348F"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-2.87%</w:t>
            </w:r>
          </w:p>
        </w:tc>
        <w:tc>
          <w:tcPr>
            <w:tcW w:w="0" w:type="auto"/>
            <w:tcBorders>
              <w:top w:val="nil"/>
              <w:bottom w:val="nil"/>
            </w:tcBorders>
            <w:shd w:val="clear" w:color="auto" w:fill="auto"/>
            <w:noWrap/>
            <w:hideMark/>
          </w:tcPr>
          <w:p w14:paraId="21C62BCA"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-4.10%</w:t>
            </w:r>
          </w:p>
        </w:tc>
        <w:tc>
          <w:tcPr>
            <w:tcW w:w="0" w:type="auto"/>
            <w:tcBorders>
              <w:top w:val="nil"/>
              <w:bottom w:val="nil"/>
            </w:tcBorders>
            <w:shd w:val="clear" w:color="auto" w:fill="auto"/>
            <w:noWrap/>
            <w:vAlign w:val="bottom"/>
            <w:hideMark/>
          </w:tcPr>
          <w:p w14:paraId="4A8AB60E" w14:textId="3306F766"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1.23% ***</w:t>
            </w:r>
          </w:p>
        </w:tc>
        <w:tc>
          <w:tcPr>
            <w:tcW w:w="0" w:type="auto"/>
            <w:tcBorders>
              <w:top w:val="nil"/>
              <w:bottom w:val="nil"/>
            </w:tcBorders>
            <w:shd w:val="clear" w:color="auto" w:fill="auto"/>
            <w:noWrap/>
            <w:hideMark/>
          </w:tcPr>
          <w:p w14:paraId="4677107A"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-3.06%</w:t>
            </w:r>
          </w:p>
        </w:tc>
        <w:tc>
          <w:tcPr>
            <w:tcW w:w="0" w:type="auto"/>
            <w:tcBorders>
              <w:top w:val="nil"/>
              <w:bottom w:val="nil"/>
            </w:tcBorders>
            <w:shd w:val="clear" w:color="auto" w:fill="auto"/>
            <w:noWrap/>
            <w:hideMark/>
          </w:tcPr>
          <w:p w14:paraId="60BFE68B"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-4.42%</w:t>
            </w:r>
          </w:p>
        </w:tc>
        <w:tc>
          <w:tcPr>
            <w:tcW w:w="0" w:type="auto"/>
            <w:tcBorders>
              <w:top w:val="nil"/>
              <w:bottom w:val="nil"/>
            </w:tcBorders>
            <w:shd w:val="clear" w:color="auto" w:fill="auto"/>
            <w:noWrap/>
            <w:vAlign w:val="bottom"/>
            <w:hideMark/>
          </w:tcPr>
          <w:p w14:paraId="3CFC549D" w14:textId="0C298299"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1.36% ***</w:t>
            </w:r>
          </w:p>
        </w:tc>
        <w:tc>
          <w:tcPr>
            <w:tcW w:w="0" w:type="auto"/>
            <w:tcBorders>
              <w:top w:val="nil"/>
              <w:bottom w:val="nil"/>
            </w:tcBorders>
            <w:shd w:val="clear" w:color="auto" w:fill="auto"/>
            <w:noWrap/>
            <w:hideMark/>
          </w:tcPr>
          <w:p w14:paraId="3746D703"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-3.42%</w:t>
            </w:r>
          </w:p>
        </w:tc>
        <w:tc>
          <w:tcPr>
            <w:tcW w:w="0" w:type="auto"/>
            <w:tcBorders>
              <w:top w:val="nil"/>
              <w:bottom w:val="nil"/>
            </w:tcBorders>
            <w:shd w:val="clear" w:color="auto" w:fill="auto"/>
            <w:noWrap/>
            <w:hideMark/>
          </w:tcPr>
          <w:p w14:paraId="33B36EF9"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-4.25%</w:t>
            </w:r>
          </w:p>
        </w:tc>
        <w:tc>
          <w:tcPr>
            <w:tcW w:w="0" w:type="auto"/>
            <w:tcBorders>
              <w:top w:val="nil"/>
              <w:bottom w:val="nil"/>
            </w:tcBorders>
            <w:shd w:val="clear" w:color="auto" w:fill="auto"/>
            <w:noWrap/>
            <w:vAlign w:val="bottom"/>
            <w:hideMark/>
          </w:tcPr>
          <w:p w14:paraId="05B51AFB" w14:textId="04D8B182"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0.82% **</w:t>
            </w:r>
          </w:p>
        </w:tc>
        <w:tc>
          <w:tcPr>
            <w:tcW w:w="0" w:type="auto"/>
            <w:tcBorders>
              <w:top w:val="nil"/>
              <w:bottom w:val="nil"/>
            </w:tcBorders>
            <w:shd w:val="clear" w:color="auto" w:fill="auto"/>
            <w:noWrap/>
            <w:hideMark/>
          </w:tcPr>
          <w:p w14:paraId="0FD8BE77"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-3.88%</w:t>
            </w:r>
          </w:p>
        </w:tc>
        <w:tc>
          <w:tcPr>
            <w:tcW w:w="0" w:type="auto"/>
            <w:tcBorders>
              <w:top w:val="nil"/>
              <w:bottom w:val="nil"/>
            </w:tcBorders>
            <w:shd w:val="clear" w:color="auto" w:fill="auto"/>
            <w:noWrap/>
            <w:hideMark/>
          </w:tcPr>
          <w:p w14:paraId="090FA650"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-4.14%</w:t>
            </w:r>
          </w:p>
        </w:tc>
        <w:tc>
          <w:tcPr>
            <w:tcW w:w="0" w:type="auto"/>
            <w:tcBorders>
              <w:top w:val="nil"/>
              <w:bottom w:val="nil"/>
            </w:tcBorders>
            <w:shd w:val="clear" w:color="auto" w:fill="auto"/>
            <w:noWrap/>
            <w:vAlign w:val="bottom"/>
            <w:hideMark/>
          </w:tcPr>
          <w:p w14:paraId="386BFEB0" w14:textId="67711FB4"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0.26%  </w:t>
            </w:r>
          </w:p>
        </w:tc>
      </w:tr>
      <w:tr w:rsidR="00D11152" w:rsidRPr="00D11152" w14:paraId="3E055C69" w14:textId="77777777" w:rsidTr="00BC00D6">
        <w:trPr>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shd w:val="clear" w:color="auto" w:fill="auto"/>
            <w:noWrap/>
            <w:hideMark/>
          </w:tcPr>
          <w:p w14:paraId="550E1D01"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3</w:t>
            </w:r>
          </w:p>
        </w:tc>
        <w:tc>
          <w:tcPr>
            <w:tcW w:w="0" w:type="auto"/>
            <w:tcBorders>
              <w:top w:val="nil"/>
              <w:bottom w:val="nil"/>
            </w:tcBorders>
            <w:shd w:val="clear" w:color="auto" w:fill="auto"/>
            <w:noWrap/>
            <w:hideMark/>
          </w:tcPr>
          <w:p w14:paraId="197BA4B4"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-2.76%</w:t>
            </w:r>
          </w:p>
        </w:tc>
        <w:tc>
          <w:tcPr>
            <w:tcW w:w="0" w:type="auto"/>
            <w:tcBorders>
              <w:top w:val="nil"/>
              <w:bottom w:val="nil"/>
            </w:tcBorders>
            <w:shd w:val="clear" w:color="auto" w:fill="auto"/>
            <w:noWrap/>
            <w:hideMark/>
          </w:tcPr>
          <w:p w14:paraId="376A521A"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-4.09%</w:t>
            </w:r>
          </w:p>
        </w:tc>
        <w:tc>
          <w:tcPr>
            <w:tcW w:w="0" w:type="auto"/>
            <w:tcBorders>
              <w:top w:val="nil"/>
              <w:bottom w:val="nil"/>
            </w:tcBorders>
            <w:shd w:val="clear" w:color="auto" w:fill="auto"/>
            <w:noWrap/>
            <w:vAlign w:val="bottom"/>
            <w:hideMark/>
          </w:tcPr>
          <w:p w14:paraId="04DC7894" w14:textId="1E2F9869"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1.33% ***</w:t>
            </w:r>
          </w:p>
        </w:tc>
        <w:tc>
          <w:tcPr>
            <w:tcW w:w="0" w:type="auto"/>
            <w:tcBorders>
              <w:top w:val="nil"/>
              <w:bottom w:val="nil"/>
            </w:tcBorders>
            <w:shd w:val="clear" w:color="auto" w:fill="auto"/>
            <w:noWrap/>
            <w:hideMark/>
          </w:tcPr>
          <w:p w14:paraId="190A8409"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-3.05%</w:t>
            </w:r>
          </w:p>
        </w:tc>
        <w:tc>
          <w:tcPr>
            <w:tcW w:w="0" w:type="auto"/>
            <w:tcBorders>
              <w:top w:val="nil"/>
              <w:bottom w:val="nil"/>
            </w:tcBorders>
            <w:shd w:val="clear" w:color="auto" w:fill="auto"/>
            <w:noWrap/>
            <w:hideMark/>
          </w:tcPr>
          <w:p w14:paraId="4377FE93"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-4.16%</w:t>
            </w:r>
          </w:p>
        </w:tc>
        <w:tc>
          <w:tcPr>
            <w:tcW w:w="0" w:type="auto"/>
            <w:tcBorders>
              <w:top w:val="nil"/>
              <w:bottom w:val="nil"/>
            </w:tcBorders>
            <w:shd w:val="clear" w:color="auto" w:fill="auto"/>
            <w:noWrap/>
            <w:vAlign w:val="bottom"/>
            <w:hideMark/>
          </w:tcPr>
          <w:p w14:paraId="6D6E14CE" w14:textId="73C1DA3A"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1.11% ***</w:t>
            </w:r>
          </w:p>
        </w:tc>
        <w:tc>
          <w:tcPr>
            <w:tcW w:w="0" w:type="auto"/>
            <w:tcBorders>
              <w:top w:val="nil"/>
              <w:bottom w:val="nil"/>
            </w:tcBorders>
            <w:shd w:val="clear" w:color="auto" w:fill="auto"/>
            <w:noWrap/>
            <w:hideMark/>
          </w:tcPr>
          <w:p w14:paraId="33212703"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-3.30%</w:t>
            </w:r>
          </w:p>
        </w:tc>
        <w:tc>
          <w:tcPr>
            <w:tcW w:w="0" w:type="auto"/>
            <w:tcBorders>
              <w:top w:val="nil"/>
              <w:bottom w:val="nil"/>
            </w:tcBorders>
            <w:shd w:val="clear" w:color="auto" w:fill="auto"/>
            <w:noWrap/>
            <w:hideMark/>
          </w:tcPr>
          <w:p w14:paraId="19E26174"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-4.36%</w:t>
            </w:r>
          </w:p>
        </w:tc>
        <w:tc>
          <w:tcPr>
            <w:tcW w:w="0" w:type="auto"/>
            <w:tcBorders>
              <w:top w:val="nil"/>
              <w:bottom w:val="nil"/>
            </w:tcBorders>
            <w:shd w:val="clear" w:color="auto" w:fill="auto"/>
            <w:noWrap/>
            <w:vAlign w:val="bottom"/>
            <w:hideMark/>
          </w:tcPr>
          <w:p w14:paraId="1CC15DEF" w14:textId="17061CD6"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1.06% ***</w:t>
            </w:r>
          </w:p>
        </w:tc>
        <w:tc>
          <w:tcPr>
            <w:tcW w:w="0" w:type="auto"/>
            <w:tcBorders>
              <w:top w:val="nil"/>
              <w:bottom w:val="nil"/>
            </w:tcBorders>
            <w:shd w:val="clear" w:color="auto" w:fill="auto"/>
            <w:noWrap/>
            <w:hideMark/>
          </w:tcPr>
          <w:p w14:paraId="413D558B"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-3.29%</w:t>
            </w:r>
          </w:p>
        </w:tc>
        <w:tc>
          <w:tcPr>
            <w:tcW w:w="0" w:type="auto"/>
            <w:tcBorders>
              <w:top w:val="nil"/>
              <w:bottom w:val="nil"/>
            </w:tcBorders>
            <w:shd w:val="clear" w:color="auto" w:fill="auto"/>
            <w:noWrap/>
            <w:hideMark/>
          </w:tcPr>
          <w:p w14:paraId="6907866B" w14:textId="77777777"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-3.61%</w:t>
            </w:r>
          </w:p>
        </w:tc>
        <w:tc>
          <w:tcPr>
            <w:tcW w:w="0" w:type="auto"/>
            <w:tcBorders>
              <w:top w:val="nil"/>
              <w:bottom w:val="nil"/>
            </w:tcBorders>
            <w:shd w:val="clear" w:color="auto" w:fill="auto"/>
            <w:noWrap/>
            <w:vAlign w:val="bottom"/>
            <w:hideMark/>
          </w:tcPr>
          <w:p w14:paraId="60BC974D" w14:textId="3FA1DAF3" w:rsidR="00D11152" w:rsidRPr="00D11152" w:rsidRDefault="00D11152" w:rsidP="00D1115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 xml:space="preserve">0.33%  </w:t>
            </w:r>
          </w:p>
        </w:tc>
      </w:tr>
      <w:tr w:rsidR="00D11152" w:rsidRPr="00D11152" w14:paraId="6BB0F11D" w14:textId="77777777" w:rsidTr="00BC00D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000000" w:themeColor="text1"/>
            </w:tcBorders>
            <w:shd w:val="clear" w:color="auto" w:fill="auto"/>
            <w:noWrap/>
            <w:hideMark/>
          </w:tcPr>
          <w:p w14:paraId="6EB6F026" w14:textId="77777777" w:rsidR="00D11152" w:rsidRPr="00D11152" w:rsidRDefault="00D11152" w:rsidP="00D11152">
            <w:pPr>
              <w:spacing w:after="0" w:line="240" w:lineRule="auto"/>
              <w:jc w:val="center"/>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4</w:t>
            </w:r>
          </w:p>
        </w:tc>
        <w:tc>
          <w:tcPr>
            <w:tcW w:w="0" w:type="auto"/>
            <w:tcBorders>
              <w:top w:val="nil"/>
              <w:bottom w:val="single" w:sz="8" w:space="0" w:color="000000" w:themeColor="text1"/>
            </w:tcBorders>
            <w:shd w:val="clear" w:color="auto" w:fill="auto"/>
            <w:noWrap/>
            <w:hideMark/>
          </w:tcPr>
          <w:p w14:paraId="7B27D0FF"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-2.56%</w:t>
            </w:r>
          </w:p>
        </w:tc>
        <w:tc>
          <w:tcPr>
            <w:tcW w:w="0" w:type="auto"/>
            <w:tcBorders>
              <w:top w:val="nil"/>
              <w:bottom w:val="single" w:sz="8" w:space="0" w:color="000000" w:themeColor="text1"/>
            </w:tcBorders>
            <w:shd w:val="clear" w:color="auto" w:fill="auto"/>
            <w:noWrap/>
            <w:hideMark/>
          </w:tcPr>
          <w:p w14:paraId="4189B5C1"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rPr>
            </w:pPr>
            <w:r w:rsidRPr="00D11152">
              <w:rPr>
                <w:rFonts w:ascii="Times New Roman" w:eastAsia="Times New Roman" w:hAnsi="Times New Roman" w:cs="Times New Roman"/>
                <w:color w:val="000000"/>
                <w:sz w:val="16"/>
                <w:szCs w:val="16"/>
              </w:rPr>
              <w:t>-3.44%</w:t>
            </w:r>
          </w:p>
        </w:tc>
        <w:tc>
          <w:tcPr>
            <w:tcW w:w="0" w:type="auto"/>
            <w:tcBorders>
              <w:top w:val="nil"/>
              <w:bottom w:val="single" w:sz="8" w:space="0" w:color="000000" w:themeColor="text1"/>
            </w:tcBorders>
            <w:shd w:val="clear" w:color="auto" w:fill="auto"/>
            <w:noWrap/>
            <w:vAlign w:val="bottom"/>
            <w:hideMark/>
          </w:tcPr>
          <w:p w14:paraId="5B0E9556" w14:textId="6DE2156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0.88% ***</w:t>
            </w:r>
          </w:p>
        </w:tc>
        <w:tc>
          <w:tcPr>
            <w:tcW w:w="0" w:type="auto"/>
            <w:tcBorders>
              <w:top w:val="nil"/>
              <w:bottom w:val="single" w:sz="8" w:space="0" w:color="000000" w:themeColor="text1"/>
            </w:tcBorders>
            <w:shd w:val="clear" w:color="auto" w:fill="auto"/>
            <w:noWrap/>
            <w:hideMark/>
          </w:tcPr>
          <w:p w14:paraId="5983F77B"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-2.73%</w:t>
            </w:r>
          </w:p>
        </w:tc>
        <w:tc>
          <w:tcPr>
            <w:tcW w:w="0" w:type="auto"/>
            <w:tcBorders>
              <w:top w:val="nil"/>
              <w:bottom w:val="single" w:sz="8" w:space="0" w:color="000000" w:themeColor="text1"/>
            </w:tcBorders>
            <w:shd w:val="clear" w:color="auto" w:fill="auto"/>
            <w:noWrap/>
            <w:hideMark/>
          </w:tcPr>
          <w:p w14:paraId="36BA1176"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-3.97%</w:t>
            </w:r>
          </w:p>
        </w:tc>
        <w:tc>
          <w:tcPr>
            <w:tcW w:w="0" w:type="auto"/>
            <w:tcBorders>
              <w:top w:val="nil"/>
              <w:bottom w:val="single" w:sz="8" w:space="0" w:color="000000" w:themeColor="text1"/>
            </w:tcBorders>
            <w:shd w:val="clear" w:color="auto" w:fill="auto"/>
            <w:noWrap/>
            <w:vAlign w:val="bottom"/>
            <w:hideMark/>
          </w:tcPr>
          <w:p w14:paraId="1B3CA54D" w14:textId="4E990674"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1.24% ***</w:t>
            </w:r>
          </w:p>
        </w:tc>
        <w:tc>
          <w:tcPr>
            <w:tcW w:w="0" w:type="auto"/>
            <w:tcBorders>
              <w:top w:val="nil"/>
              <w:bottom w:val="single" w:sz="8" w:space="0" w:color="000000" w:themeColor="text1"/>
            </w:tcBorders>
            <w:shd w:val="clear" w:color="auto" w:fill="auto"/>
            <w:noWrap/>
            <w:hideMark/>
          </w:tcPr>
          <w:p w14:paraId="009E2EC1"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-2.86%</w:t>
            </w:r>
          </w:p>
        </w:tc>
        <w:tc>
          <w:tcPr>
            <w:tcW w:w="0" w:type="auto"/>
            <w:tcBorders>
              <w:top w:val="nil"/>
              <w:bottom w:val="single" w:sz="8" w:space="0" w:color="000000" w:themeColor="text1"/>
            </w:tcBorders>
            <w:shd w:val="clear" w:color="auto" w:fill="auto"/>
            <w:noWrap/>
            <w:hideMark/>
          </w:tcPr>
          <w:p w14:paraId="4F7442EE"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-4.15%</w:t>
            </w:r>
          </w:p>
        </w:tc>
        <w:tc>
          <w:tcPr>
            <w:tcW w:w="0" w:type="auto"/>
            <w:tcBorders>
              <w:top w:val="nil"/>
              <w:bottom w:val="single" w:sz="8" w:space="0" w:color="000000" w:themeColor="text1"/>
            </w:tcBorders>
            <w:shd w:val="clear" w:color="auto" w:fill="auto"/>
            <w:noWrap/>
            <w:vAlign w:val="bottom"/>
            <w:hideMark/>
          </w:tcPr>
          <w:p w14:paraId="3A3893BB" w14:textId="1E2513F2"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hAnsi="Times New Roman" w:cs="Times New Roman"/>
                <w:color w:val="000000"/>
                <w:sz w:val="16"/>
                <w:szCs w:val="16"/>
              </w:rPr>
              <w:t>1.29% ***</w:t>
            </w:r>
          </w:p>
        </w:tc>
        <w:tc>
          <w:tcPr>
            <w:tcW w:w="0" w:type="auto"/>
            <w:tcBorders>
              <w:top w:val="nil"/>
              <w:bottom w:val="single" w:sz="8" w:space="0" w:color="000000" w:themeColor="text1"/>
            </w:tcBorders>
            <w:shd w:val="clear" w:color="auto" w:fill="auto"/>
            <w:noWrap/>
            <w:hideMark/>
          </w:tcPr>
          <w:p w14:paraId="27884820"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-3.09%</w:t>
            </w:r>
          </w:p>
        </w:tc>
        <w:tc>
          <w:tcPr>
            <w:tcW w:w="0" w:type="auto"/>
            <w:tcBorders>
              <w:top w:val="nil"/>
              <w:bottom w:val="single" w:sz="8" w:space="0" w:color="000000" w:themeColor="text1"/>
            </w:tcBorders>
            <w:shd w:val="clear" w:color="auto" w:fill="auto"/>
            <w:noWrap/>
            <w:hideMark/>
          </w:tcPr>
          <w:p w14:paraId="3243A946" w14:textId="77777777"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16"/>
                <w:szCs w:val="16"/>
              </w:rPr>
            </w:pPr>
            <w:r w:rsidRPr="00D11152">
              <w:rPr>
                <w:rFonts w:ascii="Times New Roman" w:eastAsia="Times New Roman" w:hAnsi="Times New Roman" w:cs="Times New Roman"/>
                <w:color w:val="auto"/>
                <w:sz w:val="16"/>
                <w:szCs w:val="16"/>
              </w:rPr>
              <w:t>-3.62%</w:t>
            </w:r>
          </w:p>
        </w:tc>
        <w:tc>
          <w:tcPr>
            <w:tcW w:w="0" w:type="auto"/>
            <w:tcBorders>
              <w:top w:val="nil"/>
              <w:bottom w:val="single" w:sz="8" w:space="0" w:color="000000" w:themeColor="text1"/>
            </w:tcBorders>
            <w:shd w:val="clear" w:color="auto" w:fill="auto"/>
            <w:noWrap/>
            <w:vAlign w:val="bottom"/>
            <w:hideMark/>
          </w:tcPr>
          <w:p w14:paraId="68C1BE5D" w14:textId="657435D0" w:rsidR="00D11152" w:rsidRPr="00D11152" w:rsidRDefault="00D11152" w:rsidP="00D1115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Cs/>
                <w:color w:val="auto"/>
                <w:sz w:val="16"/>
                <w:szCs w:val="16"/>
              </w:rPr>
            </w:pPr>
            <w:r w:rsidRPr="00D11152">
              <w:rPr>
                <w:rFonts w:ascii="Times New Roman" w:hAnsi="Times New Roman" w:cs="Times New Roman"/>
                <w:color w:val="000000"/>
                <w:sz w:val="16"/>
                <w:szCs w:val="16"/>
              </w:rPr>
              <w:t>0.53% *</w:t>
            </w:r>
          </w:p>
        </w:tc>
      </w:tr>
    </w:tbl>
    <w:p w14:paraId="7E1EE4FC" w14:textId="77777777" w:rsidR="00664705" w:rsidRPr="00437FE3" w:rsidRDefault="00664705" w:rsidP="00437FE3">
      <w:pPr>
        <w:spacing w:line="240" w:lineRule="auto"/>
        <w:ind w:left="1469" w:right="1584"/>
        <w:contextualSpacing/>
        <w:rPr>
          <w:rFonts w:ascii="Times New Roman" w:hAnsi="Times New Roman" w:cs="Times New Roman"/>
          <w:sz w:val="18"/>
          <w:szCs w:val="18"/>
        </w:rPr>
        <w:sectPr w:rsidR="00664705" w:rsidRPr="00437FE3" w:rsidSect="00664705">
          <w:pgSz w:w="16838" w:h="11906" w:orient="landscape" w:code="9"/>
          <w:pgMar w:top="1440" w:right="1440" w:bottom="1440" w:left="1440" w:header="706" w:footer="706" w:gutter="0"/>
          <w:cols w:space="708"/>
          <w:vAlign w:val="center"/>
          <w:docGrid w:linePitch="360"/>
        </w:sectPr>
      </w:pPr>
      <w:r w:rsidRPr="00437FE3">
        <w:rPr>
          <w:rFonts w:ascii="Times New Roman" w:hAnsi="Times New Roman" w:cs="Times New Roman"/>
          <w:sz w:val="18"/>
          <w:szCs w:val="18"/>
        </w:rPr>
        <w:t>Notes: This table divides firms into quartiles of market capitalization and market to book ratios.  Within each of the 16 groups of firms we examine the average reactions of firms with and without foreign sales in all markets, up markets and down markets.  In every case we find a greater reaction for firms with positive foreign sales in down markets.</w:t>
      </w:r>
    </w:p>
    <w:p w14:paraId="024396B4" w14:textId="77777777" w:rsidR="00D84163" w:rsidRDefault="00C912DF" w:rsidP="00166C53">
      <w:pPr>
        <w:pStyle w:val="Heading3"/>
      </w:pPr>
      <w:r w:rsidRPr="00A2041A">
        <w:lastRenderedPageBreak/>
        <w:t>Table 6</w:t>
      </w:r>
      <w:r w:rsidR="00A2041A" w:rsidRPr="00A2041A">
        <w:t xml:space="preserve"> </w:t>
      </w:r>
      <w:proofErr w:type="spellStart"/>
      <w:r w:rsidR="00A2041A" w:rsidRPr="00A2041A">
        <w:t>Fama</w:t>
      </w:r>
      <w:proofErr w:type="spellEnd"/>
      <w:r w:rsidR="00A2041A" w:rsidRPr="00A2041A">
        <w:t>-French Adjusted 3 Factor Regressions</w:t>
      </w:r>
    </w:p>
    <w:tbl>
      <w:tblPr>
        <w:tblStyle w:val="PlainTable31"/>
        <w:tblW w:w="0" w:type="auto"/>
        <w:jc w:val="center"/>
        <w:tblLayout w:type="fixed"/>
        <w:tblLook w:val="04A0" w:firstRow="1" w:lastRow="0" w:firstColumn="1" w:lastColumn="0" w:noHBand="0" w:noVBand="1"/>
      </w:tblPr>
      <w:tblGrid>
        <w:gridCol w:w="1251"/>
        <w:gridCol w:w="1083"/>
        <w:gridCol w:w="1108"/>
        <w:gridCol w:w="1108"/>
        <w:gridCol w:w="1108"/>
        <w:gridCol w:w="1083"/>
        <w:gridCol w:w="1056"/>
        <w:gridCol w:w="1229"/>
      </w:tblGrid>
      <w:tr w:rsidR="00AA724B" w:rsidRPr="00AA724B" w14:paraId="35B7FCAD" w14:textId="77777777" w:rsidTr="00E80013">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100" w:firstRow="0" w:lastRow="0" w:firstColumn="1" w:lastColumn="0" w:oddVBand="0" w:evenVBand="0" w:oddHBand="0" w:evenHBand="0" w:firstRowFirstColumn="1" w:firstRowLastColumn="0" w:lastRowFirstColumn="0" w:lastRowLastColumn="0"/>
            <w:tcW w:w="1251" w:type="dxa"/>
            <w:shd w:val="clear" w:color="auto" w:fill="auto"/>
            <w:noWrap/>
            <w:hideMark/>
          </w:tcPr>
          <w:p w14:paraId="7EDC610C" w14:textId="77777777" w:rsidR="00AA724B" w:rsidRPr="00AA724B" w:rsidRDefault="00AA724B" w:rsidP="00AA724B">
            <w:pPr>
              <w:spacing w:after="0" w:line="240" w:lineRule="auto"/>
              <w:rPr>
                <w:rFonts w:ascii="Calibri" w:eastAsia="Times New Roman" w:hAnsi="Calibri" w:cs="Times New Roman"/>
                <w:color w:val="000000"/>
                <w:lang w:val="en-IE" w:eastAsia="en-IE"/>
              </w:rPr>
            </w:pPr>
            <w:bookmarkStart w:id="0" w:name="OLE_LINK1"/>
            <w:bookmarkStart w:id="1" w:name="OLE_LINK2"/>
            <w:r w:rsidRPr="00AA724B">
              <w:rPr>
                <w:rFonts w:ascii="Calibri" w:eastAsia="Times New Roman" w:hAnsi="Calibri" w:cs="Times New Roman"/>
                <w:color w:val="000000"/>
                <w:lang w:val="en-IE" w:eastAsia="en-IE"/>
              </w:rPr>
              <w:t> </w:t>
            </w:r>
          </w:p>
        </w:tc>
        <w:tc>
          <w:tcPr>
            <w:tcW w:w="1083" w:type="dxa"/>
            <w:shd w:val="clear" w:color="auto" w:fill="auto"/>
            <w:noWrap/>
            <w:hideMark/>
          </w:tcPr>
          <w:p w14:paraId="6783FFAB" w14:textId="77777777" w:rsidR="00AA724B" w:rsidRPr="00AA724B" w:rsidRDefault="00AA724B" w:rsidP="00AA72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C</w:t>
            </w:r>
          </w:p>
        </w:tc>
        <w:tc>
          <w:tcPr>
            <w:tcW w:w="1108" w:type="dxa"/>
            <w:shd w:val="clear" w:color="auto" w:fill="auto"/>
            <w:noWrap/>
            <w:hideMark/>
          </w:tcPr>
          <w:p w14:paraId="4DF43C21" w14:textId="77777777" w:rsidR="00AA724B" w:rsidRPr="00AA724B" w:rsidRDefault="00AA724B" w:rsidP="00AA72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MKT_RF</w:t>
            </w:r>
          </w:p>
        </w:tc>
        <w:tc>
          <w:tcPr>
            <w:tcW w:w="1108" w:type="dxa"/>
            <w:shd w:val="clear" w:color="auto" w:fill="auto"/>
            <w:noWrap/>
            <w:hideMark/>
          </w:tcPr>
          <w:p w14:paraId="2DB3A53E" w14:textId="77777777" w:rsidR="00AA724B" w:rsidRPr="00AA724B" w:rsidRDefault="00AA724B" w:rsidP="00AA72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SMB</w:t>
            </w:r>
          </w:p>
        </w:tc>
        <w:tc>
          <w:tcPr>
            <w:tcW w:w="1108" w:type="dxa"/>
            <w:shd w:val="clear" w:color="auto" w:fill="auto"/>
            <w:noWrap/>
            <w:hideMark/>
          </w:tcPr>
          <w:p w14:paraId="5FD6FA89" w14:textId="77777777" w:rsidR="00AA724B" w:rsidRPr="00AA724B" w:rsidRDefault="00AA724B" w:rsidP="00AA72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HML</w:t>
            </w:r>
          </w:p>
        </w:tc>
        <w:tc>
          <w:tcPr>
            <w:tcW w:w="1083" w:type="dxa"/>
            <w:shd w:val="clear" w:color="auto" w:fill="auto"/>
            <w:noWrap/>
            <w:hideMark/>
          </w:tcPr>
          <w:p w14:paraId="555650C1" w14:textId="77777777" w:rsidR="00AA724B" w:rsidRPr="00AA724B" w:rsidRDefault="00AA724B" w:rsidP="00AA72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Down</w:t>
            </w:r>
          </w:p>
        </w:tc>
        <w:tc>
          <w:tcPr>
            <w:tcW w:w="1056" w:type="dxa"/>
            <w:shd w:val="clear" w:color="auto" w:fill="auto"/>
            <w:noWrap/>
            <w:hideMark/>
          </w:tcPr>
          <w:p w14:paraId="6B64E709" w14:textId="77777777" w:rsidR="00AA724B" w:rsidRPr="00AA724B" w:rsidRDefault="00AA724B" w:rsidP="00AA72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R squared</w:t>
            </w:r>
          </w:p>
        </w:tc>
        <w:tc>
          <w:tcPr>
            <w:tcW w:w="1229" w:type="dxa"/>
            <w:shd w:val="clear" w:color="auto" w:fill="auto"/>
            <w:noWrap/>
            <w:hideMark/>
          </w:tcPr>
          <w:p w14:paraId="190025D4" w14:textId="77777777" w:rsidR="00AA724B" w:rsidRPr="00AA724B" w:rsidRDefault="00AA724B" w:rsidP="00AA724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Adjusted R squared</w:t>
            </w:r>
          </w:p>
        </w:tc>
      </w:tr>
      <w:tr w:rsidR="000A68CA" w:rsidRPr="00AA724B" w14:paraId="5FDA6044" w14:textId="77777777" w:rsidTr="00E8001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tcPr>
          <w:p w14:paraId="4DB4559C" w14:textId="2DE58688" w:rsidR="000A68CA" w:rsidRPr="00AA724B" w:rsidRDefault="000A68CA" w:rsidP="000A68CA">
            <w:pPr>
              <w:spacing w:after="0" w:line="240" w:lineRule="auto"/>
              <w:jc w:val="center"/>
              <w:rPr>
                <w:rFonts w:ascii="Calibri" w:eastAsia="Times New Roman" w:hAnsi="Calibri" w:cs="Times New Roman"/>
                <w:color w:val="000000"/>
                <w:sz w:val="16"/>
                <w:szCs w:val="16"/>
                <w:lang w:eastAsia="en-IE"/>
              </w:rPr>
            </w:pPr>
            <w:r>
              <w:rPr>
                <w:rFonts w:ascii="Calibri" w:eastAsia="Times New Roman" w:hAnsi="Calibri" w:cs="Times New Roman"/>
                <w:color w:val="000000"/>
                <w:sz w:val="16"/>
                <w:szCs w:val="16"/>
                <w:lang w:eastAsia="en-IE"/>
              </w:rPr>
              <w:t>0% FS</w:t>
            </w:r>
          </w:p>
        </w:tc>
        <w:tc>
          <w:tcPr>
            <w:tcW w:w="1083" w:type="dxa"/>
            <w:shd w:val="clear" w:color="auto" w:fill="auto"/>
            <w:noWrap/>
          </w:tcPr>
          <w:p w14:paraId="1A452C13" w14:textId="5966E92B"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-0.005** (0.002)</w:t>
            </w:r>
          </w:p>
        </w:tc>
        <w:tc>
          <w:tcPr>
            <w:tcW w:w="1108" w:type="dxa"/>
            <w:shd w:val="clear" w:color="auto" w:fill="auto"/>
            <w:noWrap/>
          </w:tcPr>
          <w:p w14:paraId="6AB885AE" w14:textId="5C0C07B0"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0.652*** (0.054)</w:t>
            </w:r>
          </w:p>
        </w:tc>
        <w:tc>
          <w:tcPr>
            <w:tcW w:w="1108" w:type="dxa"/>
            <w:shd w:val="clear" w:color="auto" w:fill="auto"/>
            <w:noWrap/>
          </w:tcPr>
          <w:p w14:paraId="43ED4791" w14:textId="548FC872"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0.462*** (0.047)</w:t>
            </w:r>
          </w:p>
        </w:tc>
        <w:tc>
          <w:tcPr>
            <w:tcW w:w="1108" w:type="dxa"/>
            <w:shd w:val="clear" w:color="auto" w:fill="auto"/>
            <w:noWrap/>
          </w:tcPr>
          <w:p w14:paraId="00DF59F9" w14:textId="2B09B1A1"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0.395*** (0.073)</w:t>
            </w:r>
          </w:p>
        </w:tc>
        <w:tc>
          <w:tcPr>
            <w:tcW w:w="1083" w:type="dxa"/>
            <w:shd w:val="clear" w:color="auto" w:fill="auto"/>
            <w:noWrap/>
            <w:vAlign w:val="center"/>
          </w:tcPr>
          <w:p w14:paraId="138B6633" w14:textId="2DF03CC4"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Pr>
                <w:rFonts w:ascii="Calibri" w:hAnsi="Calibri"/>
                <w:color w:val="000000"/>
                <w:sz w:val="16"/>
                <w:szCs w:val="16"/>
              </w:rPr>
              <w:t>-0.007* (0.003)</w:t>
            </w:r>
          </w:p>
        </w:tc>
        <w:tc>
          <w:tcPr>
            <w:tcW w:w="1056" w:type="dxa"/>
            <w:shd w:val="clear" w:color="auto" w:fill="auto"/>
            <w:noWrap/>
          </w:tcPr>
          <w:p w14:paraId="65DC639B" w14:textId="7457E56B"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0.838</w:t>
            </w:r>
          </w:p>
        </w:tc>
        <w:tc>
          <w:tcPr>
            <w:tcW w:w="1229" w:type="dxa"/>
            <w:shd w:val="clear" w:color="auto" w:fill="auto"/>
            <w:noWrap/>
          </w:tcPr>
          <w:p w14:paraId="52E615AD" w14:textId="6B093F3E"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0.821</w:t>
            </w:r>
          </w:p>
        </w:tc>
      </w:tr>
      <w:tr w:rsidR="000A68CA" w:rsidRPr="00AA724B" w14:paraId="7C4F6531" w14:textId="77777777" w:rsidTr="00E80013">
        <w:trPr>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tcPr>
          <w:p w14:paraId="57AC0969" w14:textId="5CCC13A6" w:rsidR="000A68CA" w:rsidRPr="00AA724B" w:rsidRDefault="000A68CA" w:rsidP="000A68CA">
            <w:pPr>
              <w:spacing w:after="0" w:line="240" w:lineRule="auto"/>
              <w:jc w:val="center"/>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1-25</w:t>
            </w:r>
          </w:p>
        </w:tc>
        <w:tc>
          <w:tcPr>
            <w:tcW w:w="1083" w:type="dxa"/>
            <w:shd w:val="clear" w:color="auto" w:fill="auto"/>
            <w:noWrap/>
          </w:tcPr>
          <w:p w14:paraId="7DF1F2E2" w14:textId="1C1AB753"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-0.006** (0.002)</w:t>
            </w:r>
          </w:p>
        </w:tc>
        <w:tc>
          <w:tcPr>
            <w:tcW w:w="1108" w:type="dxa"/>
            <w:shd w:val="clear" w:color="auto" w:fill="auto"/>
            <w:noWrap/>
          </w:tcPr>
          <w:p w14:paraId="45FFBDF7" w14:textId="47F7B3D5"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0.888*** (0.066)</w:t>
            </w:r>
          </w:p>
        </w:tc>
        <w:tc>
          <w:tcPr>
            <w:tcW w:w="1108" w:type="dxa"/>
            <w:shd w:val="clear" w:color="auto" w:fill="auto"/>
            <w:noWrap/>
          </w:tcPr>
          <w:p w14:paraId="7F277BED" w14:textId="04BAD391"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0.504*** (0.057)</w:t>
            </w:r>
          </w:p>
        </w:tc>
        <w:tc>
          <w:tcPr>
            <w:tcW w:w="1108" w:type="dxa"/>
            <w:shd w:val="clear" w:color="auto" w:fill="auto"/>
            <w:noWrap/>
          </w:tcPr>
          <w:p w14:paraId="28CA3314" w14:textId="0E530558"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0.328*** (0.081)</w:t>
            </w:r>
          </w:p>
        </w:tc>
        <w:tc>
          <w:tcPr>
            <w:tcW w:w="1083" w:type="dxa"/>
            <w:shd w:val="clear" w:color="auto" w:fill="auto"/>
            <w:noWrap/>
            <w:vAlign w:val="center"/>
          </w:tcPr>
          <w:p w14:paraId="70164308" w14:textId="2200C621"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Pr>
                <w:rFonts w:ascii="Calibri" w:hAnsi="Calibri"/>
                <w:color w:val="000000"/>
                <w:sz w:val="16"/>
                <w:szCs w:val="16"/>
              </w:rPr>
              <w:t>-0.009* (0.004)</w:t>
            </w:r>
          </w:p>
        </w:tc>
        <w:tc>
          <w:tcPr>
            <w:tcW w:w="1056" w:type="dxa"/>
            <w:shd w:val="clear" w:color="auto" w:fill="auto"/>
            <w:noWrap/>
          </w:tcPr>
          <w:p w14:paraId="21166FA9" w14:textId="12BDAC91"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0.863</w:t>
            </w:r>
          </w:p>
        </w:tc>
        <w:tc>
          <w:tcPr>
            <w:tcW w:w="1229" w:type="dxa"/>
            <w:shd w:val="clear" w:color="auto" w:fill="auto"/>
            <w:noWrap/>
          </w:tcPr>
          <w:p w14:paraId="74C673A5" w14:textId="11920295"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0.849</w:t>
            </w:r>
          </w:p>
        </w:tc>
      </w:tr>
      <w:tr w:rsidR="000A68CA" w:rsidRPr="00AA724B" w14:paraId="777DE701" w14:textId="77777777" w:rsidTr="00E8001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tcPr>
          <w:p w14:paraId="0CEA0A81" w14:textId="2979C1AE" w:rsidR="000A68CA" w:rsidRPr="00AA724B" w:rsidRDefault="000A68CA" w:rsidP="000A68CA">
            <w:pPr>
              <w:spacing w:after="0" w:line="240" w:lineRule="auto"/>
              <w:jc w:val="center"/>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25-50</w:t>
            </w:r>
          </w:p>
        </w:tc>
        <w:tc>
          <w:tcPr>
            <w:tcW w:w="1083" w:type="dxa"/>
            <w:shd w:val="clear" w:color="auto" w:fill="auto"/>
            <w:noWrap/>
          </w:tcPr>
          <w:p w14:paraId="3F0808DA" w14:textId="77777777" w:rsidR="000A68CA"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 xml:space="preserve">0.000 </w:t>
            </w:r>
          </w:p>
          <w:p w14:paraId="09A1BA87" w14:textId="324868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(0.003)</w:t>
            </w:r>
          </w:p>
        </w:tc>
        <w:tc>
          <w:tcPr>
            <w:tcW w:w="1108" w:type="dxa"/>
            <w:shd w:val="clear" w:color="auto" w:fill="auto"/>
            <w:noWrap/>
          </w:tcPr>
          <w:p w14:paraId="1C7D8158" w14:textId="1EDC6BD5"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0.97*** (0.065)</w:t>
            </w:r>
          </w:p>
        </w:tc>
        <w:tc>
          <w:tcPr>
            <w:tcW w:w="1108" w:type="dxa"/>
            <w:shd w:val="clear" w:color="auto" w:fill="auto"/>
            <w:noWrap/>
          </w:tcPr>
          <w:p w14:paraId="15D7DE92" w14:textId="0921929D"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0.533*** (0.061)</w:t>
            </w:r>
          </w:p>
        </w:tc>
        <w:tc>
          <w:tcPr>
            <w:tcW w:w="1108" w:type="dxa"/>
            <w:shd w:val="clear" w:color="auto" w:fill="auto"/>
            <w:noWrap/>
          </w:tcPr>
          <w:p w14:paraId="1582331A" w14:textId="68024868"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0.184** (0.083)</w:t>
            </w:r>
          </w:p>
        </w:tc>
        <w:tc>
          <w:tcPr>
            <w:tcW w:w="1083" w:type="dxa"/>
            <w:shd w:val="clear" w:color="auto" w:fill="auto"/>
            <w:noWrap/>
          </w:tcPr>
          <w:p w14:paraId="3EEF186E" w14:textId="3AA0A08A"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-0.01** (0.004)</w:t>
            </w:r>
          </w:p>
        </w:tc>
        <w:tc>
          <w:tcPr>
            <w:tcW w:w="1056" w:type="dxa"/>
            <w:shd w:val="clear" w:color="auto" w:fill="auto"/>
            <w:noWrap/>
          </w:tcPr>
          <w:p w14:paraId="7588FF56" w14:textId="3F3B910B"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0.863</w:t>
            </w:r>
          </w:p>
        </w:tc>
        <w:tc>
          <w:tcPr>
            <w:tcW w:w="1229" w:type="dxa"/>
            <w:shd w:val="clear" w:color="auto" w:fill="auto"/>
            <w:noWrap/>
          </w:tcPr>
          <w:p w14:paraId="23B87C1B" w14:textId="6B3834B3"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0.848</w:t>
            </w:r>
          </w:p>
        </w:tc>
      </w:tr>
      <w:tr w:rsidR="000A68CA" w:rsidRPr="00AA724B" w14:paraId="36997243" w14:textId="77777777" w:rsidTr="00E80013">
        <w:trPr>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tcPr>
          <w:p w14:paraId="34141158" w14:textId="664AB1D5" w:rsidR="000A68CA" w:rsidRPr="00AA724B" w:rsidRDefault="000A68CA" w:rsidP="000A68CA">
            <w:pPr>
              <w:spacing w:after="0" w:line="240" w:lineRule="auto"/>
              <w:jc w:val="center"/>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&gt; 50</w:t>
            </w:r>
          </w:p>
        </w:tc>
        <w:tc>
          <w:tcPr>
            <w:tcW w:w="1083" w:type="dxa"/>
            <w:shd w:val="clear" w:color="auto" w:fill="auto"/>
            <w:noWrap/>
          </w:tcPr>
          <w:p w14:paraId="00EA19BD" w14:textId="5A952D7E"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-0.005 (0.004)</w:t>
            </w:r>
          </w:p>
        </w:tc>
        <w:tc>
          <w:tcPr>
            <w:tcW w:w="1108" w:type="dxa"/>
            <w:shd w:val="clear" w:color="auto" w:fill="auto"/>
            <w:noWrap/>
          </w:tcPr>
          <w:p w14:paraId="2FEA270D" w14:textId="27FF10F1"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1.065*** (0.08)</w:t>
            </w:r>
          </w:p>
        </w:tc>
        <w:tc>
          <w:tcPr>
            <w:tcW w:w="1108" w:type="dxa"/>
            <w:shd w:val="clear" w:color="auto" w:fill="auto"/>
            <w:noWrap/>
          </w:tcPr>
          <w:p w14:paraId="44E8EAD3" w14:textId="7F39C30A"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0.606*** (0.065)</w:t>
            </w:r>
          </w:p>
        </w:tc>
        <w:tc>
          <w:tcPr>
            <w:tcW w:w="1108" w:type="dxa"/>
            <w:shd w:val="clear" w:color="auto" w:fill="auto"/>
            <w:noWrap/>
          </w:tcPr>
          <w:p w14:paraId="65FC6080" w14:textId="77777777" w:rsidR="000A68CA"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 xml:space="preserve">0.13 </w:t>
            </w:r>
          </w:p>
          <w:p w14:paraId="36858279" w14:textId="1E0EF0BC"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(0.093)</w:t>
            </w:r>
          </w:p>
        </w:tc>
        <w:tc>
          <w:tcPr>
            <w:tcW w:w="1083" w:type="dxa"/>
            <w:shd w:val="clear" w:color="auto" w:fill="auto"/>
            <w:noWrap/>
          </w:tcPr>
          <w:p w14:paraId="3AEB27A3" w14:textId="3E3614CB"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-0.008 (0.005)</w:t>
            </w:r>
          </w:p>
        </w:tc>
        <w:tc>
          <w:tcPr>
            <w:tcW w:w="1056" w:type="dxa"/>
            <w:shd w:val="clear" w:color="auto" w:fill="auto"/>
            <w:noWrap/>
          </w:tcPr>
          <w:p w14:paraId="6A5C5D39" w14:textId="3BC887F0"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0.851</w:t>
            </w:r>
          </w:p>
        </w:tc>
        <w:tc>
          <w:tcPr>
            <w:tcW w:w="1229" w:type="dxa"/>
            <w:shd w:val="clear" w:color="auto" w:fill="auto"/>
            <w:noWrap/>
          </w:tcPr>
          <w:p w14:paraId="747138B5" w14:textId="1713D403"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0.836</w:t>
            </w:r>
          </w:p>
        </w:tc>
      </w:tr>
      <w:tr w:rsidR="000A68CA" w:rsidRPr="00AA724B" w14:paraId="18FCA0EB" w14:textId="77777777" w:rsidTr="00E8001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tcPr>
          <w:p w14:paraId="37C14D95" w14:textId="77777777" w:rsidR="000A68CA" w:rsidRPr="00AA724B" w:rsidRDefault="000A68CA" w:rsidP="000A68CA">
            <w:pPr>
              <w:spacing w:after="0" w:line="240" w:lineRule="auto"/>
              <w:jc w:val="center"/>
              <w:rPr>
                <w:rFonts w:ascii="Calibri" w:eastAsia="Times New Roman" w:hAnsi="Calibri" w:cs="Times New Roman"/>
                <w:color w:val="000000"/>
                <w:sz w:val="16"/>
                <w:szCs w:val="16"/>
                <w:lang w:eastAsia="en-IE"/>
              </w:rPr>
            </w:pPr>
          </w:p>
        </w:tc>
        <w:tc>
          <w:tcPr>
            <w:tcW w:w="1083" w:type="dxa"/>
            <w:shd w:val="clear" w:color="auto" w:fill="auto"/>
            <w:noWrap/>
          </w:tcPr>
          <w:p w14:paraId="0DCA0D6C"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p>
        </w:tc>
        <w:tc>
          <w:tcPr>
            <w:tcW w:w="1108" w:type="dxa"/>
            <w:shd w:val="clear" w:color="auto" w:fill="auto"/>
            <w:noWrap/>
          </w:tcPr>
          <w:p w14:paraId="1B7195DE"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p>
        </w:tc>
        <w:tc>
          <w:tcPr>
            <w:tcW w:w="1108" w:type="dxa"/>
            <w:shd w:val="clear" w:color="auto" w:fill="auto"/>
            <w:noWrap/>
          </w:tcPr>
          <w:p w14:paraId="6F8F30E0"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p>
        </w:tc>
        <w:tc>
          <w:tcPr>
            <w:tcW w:w="1108" w:type="dxa"/>
            <w:shd w:val="clear" w:color="auto" w:fill="auto"/>
            <w:noWrap/>
          </w:tcPr>
          <w:p w14:paraId="6352E94C"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p>
        </w:tc>
        <w:tc>
          <w:tcPr>
            <w:tcW w:w="1083" w:type="dxa"/>
            <w:shd w:val="clear" w:color="auto" w:fill="auto"/>
            <w:noWrap/>
          </w:tcPr>
          <w:p w14:paraId="7ECD0669"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p>
        </w:tc>
        <w:tc>
          <w:tcPr>
            <w:tcW w:w="1056" w:type="dxa"/>
            <w:shd w:val="clear" w:color="auto" w:fill="auto"/>
            <w:noWrap/>
          </w:tcPr>
          <w:p w14:paraId="1A7BE960"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p>
        </w:tc>
        <w:tc>
          <w:tcPr>
            <w:tcW w:w="1229" w:type="dxa"/>
            <w:shd w:val="clear" w:color="auto" w:fill="auto"/>
            <w:noWrap/>
          </w:tcPr>
          <w:p w14:paraId="1EB4CBD6"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p>
        </w:tc>
      </w:tr>
      <w:tr w:rsidR="000A68CA" w:rsidRPr="00AA724B" w14:paraId="27596110" w14:textId="77777777" w:rsidTr="00E80013">
        <w:trPr>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hideMark/>
          </w:tcPr>
          <w:p w14:paraId="6E653756" w14:textId="77777777" w:rsidR="000A68CA" w:rsidRPr="00AA724B" w:rsidRDefault="000A68CA" w:rsidP="000A68CA">
            <w:pPr>
              <w:spacing w:after="0" w:line="240" w:lineRule="auto"/>
              <w:jc w:val="center"/>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ABHK0</w:t>
            </w:r>
          </w:p>
        </w:tc>
        <w:tc>
          <w:tcPr>
            <w:tcW w:w="1083" w:type="dxa"/>
            <w:shd w:val="clear" w:color="auto" w:fill="auto"/>
            <w:noWrap/>
            <w:hideMark/>
          </w:tcPr>
          <w:p w14:paraId="3C08CAD0"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-0.001 (0.002)</w:t>
            </w:r>
          </w:p>
        </w:tc>
        <w:tc>
          <w:tcPr>
            <w:tcW w:w="1108" w:type="dxa"/>
            <w:shd w:val="clear" w:color="auto" w:fill="auto"/>
            <w:noWrap/>
            <w:hideMark/>
          </w:tcPr>
          <w:p w14:paraId="38596F0C"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0.651*** (0.054)</w:t>
            </w:r>
          </w:p>
        </w:tc>
        <w:tc>
          <w:tcPr>
            <w:tcW w:w="1108" w:type="dxa"/>
            <w:shd w:val="clear" w:color="auto" w:fill="auto"/>
            <w:noWrap/>
            <w:hideMark/>
          </w:tcPr>
          <w:p w14:paraId="5A05DEE6"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0.462*** (0.048)</w:t>
            </w:r>
          </w:p>
        </w:tc>
        <w:tc>
          <w:tcPr>
            <w:tcW w:w="1108" w:type="dxa"/>
            <w:shd w:val="clear" w:color="auto" w:fill="auto"/>
            <w:noWrap/>
            <w:hideMark/>
          </w:tcPr>
          <w:p w14:paraId="2E44F898"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0.393*** (0.073)</w:t>
            </w:r>
          </w:p>
        </w:tc>
        <w:tc>
          <w:tcPr>
            <w:tcW w:w="1083" w:type="dxa"/>
            <w:shd w:val="clear" w:color="auto" w:fill="auto"/>
            <w:noWrap/>
            <w:hideMark/>
          </w:tcPr>
          <w:p w14:paraId="2701AD4C"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-0.007** (0.003)</w:t>
            </w:r>
          </w:p>
        </w:tc>
        <w:tc>
          <w:tcPr>
            <w:tcW w:w="1056" w:type="dxa"/>
            <w:shd w:val="clear" w:color="auto" w:fill="auto"/>
            <w:noWrap/>
            <w:hideMark/>
          </w:tcPr>
          <w:p w14:paraId="0661FA6E"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0.84</w:t>
            </w:r>
          </w:p>
        </w:tc>
        <w:tc>
          <w:tcPr>
            <w:tcW w:w="1229" w:type="dxa"/>
            <w:shd w:val="clear" w:color="auto" w:fill="auto"/>
            <w:noWrap/>
            <w:hideMark/>
          </w:tcPr>
          <w:p w14:paraId="77D0FBD0"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0.823</w:t>
            </w:r>
          </w:p>
        </w:tc>
      </w:tr>
      <w:tr w:rsidR="000A68CA" w:rsidRPr="00AA724B" w14:paraId="3EDF6EAA" w14:textId="77777777" w:rsidTr="00E8001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hideMark/>
          </w:tcPr>
          <w:p w14:paraId="2AED5817" w14:textId="77777777" w:rsidR="000A68CA" w:rsidRPr="00AA724B" w:rsidRDefault="000A68CA" w:rsidP="000A68CA">
            <w:pPr>
              <w:spacing w:after="0" w:line="240" w:lineRule="auto"/>
              <w:jc w:val="center"/>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ABHK1</w:t>
            </w:r>
          </w:p>
        </w:tc>
        <w:tc>
          <w:tcPr>
            <w:tcW w:w="1083" w:type="dxa"/>
            <w:shd w:val="clear" w:color="auto" w:fill="auto"/>
            <w:noWrap/>
            <w:hideMark/>
          </w:tcPr>
          <w:p w14:paraId="6E592373" w14:textId="4123C82A"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16"/>
                <w:szCs w:val="16"/>
                <w:lang w:val="en-IE"/>
              </w:rPr>
            </w:pPr>
            <w:r>
              <w:rPr>
                <w:rFonts w:ascii="Calibri" w:hAnsi="Calibri"/>
                <w:color w:val="000000"/>
                <w:sz w:val="16"/>
                <w:szCs w:val="16"/>
              </w:rPr>
              <w:t>-0.008* (0.004)</w:t>
            </w:r>
          </w:p>
        </w:tc>
        <w:tc>
          <w:tcPr>
            <w:tcW w:w="1108" w:type="dxa"/>
            <w:shd w:val="clear" w:color="auto" w:fill="auto"/>
            <w:noWrap/>
            <w:hideMark/>
          </w:tcPr>
          <w:p w14:paraId="6CB1DC59"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0.751*** (0.063)</w:t>
            </w:r>
          </w:p>
        </w:tc>
        <w:tc>
          <w:tcPr>
            <w:tcW w:w="1108" w:type="dxa"/>
            <w:shd w:val="clear" w:color="auto" w:fill="auto"/>
            <w:noWrap/>
            <w:hideMark/>
          </w:tcPr>
          <w:p w14:paraId="7E5F3FFC"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0.471*** (0.054)</w:t>
            </w:r>
          </w:p>
        </w:tc>
        <w:tc>
          <w:tcPr>
            <w:tcW w:w="1108" w:type="dxa"/>
            <w:shd w:val="clear" w:color="auto" w:fill="auto"/>
            <w:noWrap/>
            <w:hideMark/>
          </w:tcPr>
          <w:p w14:paraId="272697EA"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0.459*** (0.08)</w:t>
            </w:r>
          </w:p>
        </w:tc>
        <w:tc>
          <w:tcPr>
            <w:tcW w:w="1083" w:type="dxa"/>
            <w:shd w:val="clear" w:color="auto" w:fill="auto"/>
            <w:noWrap/>
            <w:hideMark/>
          </w:tcPr>
          <w:p w14:paraId="0E9EBF1B"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-0.007 (0.005)</w:t>
            </w:r>
          </w:p>
        </w:tc>
        <w:tc>
          <w:tcPr>
            <w:tcW w:w="1056" w:type="dxa"/>
            <w:shd w:val="clear" w:color="auto" w:fill="auto"/>
            <w:noWrap/>
            <w:hideMark/>
          </w:tcPr>
          <w:p w14:paraId="7B163324"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0.801</w:t>
            </w:r>
          </w:p>
        </w:tc>
        <w:tc>
          <w:tcPr>
            <w:tcW w:w="1229" w:type="dxa"/>
            <w:shd w:val="clear" w:color="auto" w:fill="auto"/>
            <w:noWrap/>
            <w:hideMark/>
          </w:tcPr>
          <w:p w14:paraId="1DB4DF18"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0.78</w:t>
            </w:r>
          </w:p>
        </w:tc>
      </w:tr>
      <w:tr w:rsidR="000A68CA" w:rsidRPr="00AA724B" w14:paraId="3B6F27C3" w14:textId="77777777" w:rsidTr="00E80013">
        <w:trPr>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hideMark/>
          </w:tcPr>
          <w:p w14:paraId="1CA54C86" w14:textId="77777777" w:rsidR="000A68CA" w:rsidRPr="00AA724B" w:rsidRDefault="000A68CA" w:rsidP="000A68CA">
            <w:pPr>
              <w:spacing w:after="0" w:line="240" w:lineRule="auto"/>
              <w:jc w:val="center"/>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ABHK2</w:t>
            </w:r>
          </w:p>
        </w:tc>
        <w:tc>
          <w:tcPr>
            <w:tcW w:w="1083" w:type="dxa"/>
            <w:shd w:val="clear" w:color="auto" w:fill="auto"/>
            <w:noWrap/>
            <w:hideMark/>
          </w:tcPr>
          <w:p w14:paraId="0C755F37"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-0.003 (0.002)</w:t>
            </w:r>
          </w:p>
        </w:tc>
        <w:tc>
          <w:tcPr>
            <w:tcW w:w="1108" w:type="dxa"/>
            <w:shd w:val="clear" w:color="auto" w:fill="auto"/>
            <w:noWrap/>
            <w:hideMark/>
          </w:tcPr>
          <w:p w14:paraId="0DD26CBE"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0.882*** (0.059)</w:t>
            </w:r>
          </w:p>
        </w:tc>
        <w:tc>
          <w:tcPr>
            <w:tcW w:w="1108" w:type="dxa"/>
            <w:shd w:val="clear" w:color="auto" w:fill="auto"/>
            <w:noWrap/>
            <w:hideMark/>
          </w:tcPr>
          <w:p w14:paraId="5CA26B7F"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0.506*** (0.059)</w:t>
            </w:r>
          </w:p>
        </w:tc>
        <w:tc>
          <w:tcPr>
            <w:tcW w:w="1108" w:type="dxa"/>
            <w:shd w:val="clear" w:color="auto" w:fill="auto"/>
            <w:noWrap/>
            <w:hideMark/>
          </w:tcPr>
          <w:p w14:paraId="5E02C2FF"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0.289*** (0.08)</w:t>
            </w:r>
          </w:p>
        </w:tc>
        <w:tc>
          <w:tcPr>
            <w:tcW w:w="1083" w:type="dxa"/>
            <w:shd w:val="clear" w:color="auto" w:fill="auto"/>
            <w:noWrap/>
            <w:hideMark/>
          </w:tcPr>
          <w:p w14:paraId="2AFFA501" w14:textId="71D95590"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lang w:val="en-IE"/>
              </w:rPr>
            </w:pPr>
            <w:r>
              <w:rPr>
                <w:rFonts w:ascii="Calibri" w:hAnsi="Calibri"/>
                <w:color w:val="000000"/>
                <w:sz w:val="16"/>
                <w:szCs w:val="16"/>
              </w:rPr>
              <w:t>-0.008* (0.004)</w:t>
            </w:r>
          </w:p>
        </w:tc>
        <w:tc>
          <w:tcPr>
            <w:tcW w:w="1056" w:type="dxa"/>
            <w:shd w:val="clear" w:color="auto" w:fill="auto"/>
            <w:noWrap/>
            <w:hideMark/>
          </w:tcPr>
          <w:p w14:paraId="2C69CE36"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0.864</w:t>
            </w:r>
          </w:p>
        </w:tc>
        <w:tc>
          <w:tcPr>
            <w:tcW w:w="1229" w:type="dxa"/>
            <w:shd w:val="clear" w:color="auto" w:fill="auto"/>
            <w:noWrap/>
            <w:hideMark/>
          </w:tcPr>
          <w:p w14:paraId="7218C5F4"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0.849</w:t>
            </w:r>
          </w:p>
        </w:tc>
      </w:tr>
      <w:tr w:rsidR="000A68CA" w:rsidRPr="00AA724B" w14:paraId="5F50004C" w14:textId="77777777" w:rsidTr="00E8001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hideMark/>
          </w:tcPr>
          <w:p w14:paraId="32554313" w14:textId="77777777" w:rsidR="000A68CA" w:rsidRPr="00AA724B" w:rsidRDefault="000A68CA" w:rsidP="000A68CA">
            <w:pPr>
              <w:spacing w:after="0" w:line="240" w:lineRule="auto"/>
              <w:jc w:val="center"/>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ABHK3</w:t>
            </w:r>
          </w:p>
        </w:tc>
        <w:tc>
          <w:tcPr>
            <w:tcW w:w="1083" w:type="dxa"/>
            <w:shd w:val="clear" w:color="auto" w:fill="auto"/>
            <w:noWrap/>
            <w:hideMark/>
          </w:tcPr>
          <w:p w14:paraId="0BFB0493"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-0.008** (0.003)</w:t>
            </w:r>
          </w:p>
        </w:tc>
        <w:tc>
          <w:tcPr>
            <w:tcW w:w="1108" w:type="dxa"/>
            <w:shd w:val="clear" w:color="auto" w:fill="auto"/>
            <w:noWrap/>
            <w:hideMark/>
          </w:tcPr>
          <w:p w14:paraId="37EB389F"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1.026*** (0.082)</w:t>
            </w:r>
          </w:p>
        </w:tc>
        <w:tc>
          <w:tcPr>
            <w:tcW w:w="1108" w:type="dxa"/>
            <w:shd w:val="clear" w:color="auto" w:fill="auto"/>
            <w:noWrap/>
            <w:hideMark/>
          </w:tcPr>
          <w:p w14:paraId="55E7EE99"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0.549*** (0.063)</w:t>
            </w:r>
          </w:p>
        </w:tc>
        <w:tc>
          <w:tcPr>
            <w:tcW w:w="1108" w:type="dxa"/>
            <w:shd w:val="clear" w:color="auto" w:fill="auto"/>
            <w:noWrap/>
            <w:hideMark/>
          </w:tcPr>
          <w:p w14:paraId="2B405003" w14:textId="77777777" w:rsidR="000A68CA"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 xml:space="preserve">0.21** </w:t>
            </w:r>
          </w:p>
          <w:p w14:paraId="3DB93E52" w14:textId="5D4A416E"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(0.09)</w:t>
            </w:r>
          </w:p>
        </w:tc>
        <w:tc>
          <w:tcPr>
            <w:tcW w:w="1083" w:type="dxa"/>
            <w:shd w:val="clear" w:color="auto" w:fill="auto"/>
            <w:noWrap/>
            <w:hideMark/>
          </w:tcPr>
          <w:p w14:paraId="0698A85C"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-0.006 (0.005)</w:t>
            </w:r>
          </w:p>
        </w:tc>
        <w:tc>
          <w:tcPr>
            <w:tcW w:w="1056" w:type="dxa"/>
            <w:shd w:val="clear" w:color="auto" w:fill="auto"/>
            <w:noWrap/>
            <w:hideMark/>
          </w:tcPr>
          <w:p w14:paraId="297F795C"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0.857</w:t>
            </w:r>
          </w:p>
        </w:tc>
        <w:tc>
          <w:tcPr>
            <w:tcW w:w="1229" w:type="dxa"/>
            <w:shd w:val="clear" w:color="auto" w:fill="auto"/>
            <w:noWrap/>
            <w:hideMark/>
          </w:tcPr>
          <w:p w14:paraId="1A5F9125"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0.841</w:t>
            </w:r>
          </w:p>
        </w:tc>
      </w:tr>
      <w:tr w:rsidR="000A68CA" w:rsidRPr="00AA724B" w14:paraId="2C1A4FBC" w14:textId="77777777" w:rsidTr="00E80013">
        <w:trPr>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hideMark/>
          </w:tcPr>
          <w:p w14:paraId="1B2844DE" w14:textId="77777777" w:rsidR="000A68CA" w:rsidRPr="00AA724B" w:rsidRDefault="000A68CA" w:rsidP="000A68CA">
            <w:pPr>
              <w:spacing w:after="0" w:line="240" w:lineRule="auto"/>
              <w:jc w:val="center"/>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ABHK4</w:t>
            </w:r>
          </w:p>
        </w:tc>
        <w:tc>
          <w:tcPr>
            <w:tcW w:w="1083" w:type="dxa"/>
            <w:shd w:val="clear" w:color="auto" w:fill="auto"/>
            <w:noWrap/>
            <w:hideMark/>
          </w:tcPr>
          <w:p w14:paraId="14C2C887" w14:textId="77777777" w:rsidR="000A68CA"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 xml:space="preserve">0.000 </w:t>
            </w:r>
          </w:p>
          <w:p w14:paraId="72E6C9A5" w14:textId="0F93B1A5"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(0.004)</w:t>
            </w:r>
          </w:p>
        </w:tc>
        <w:tc>
          <w:tcPr>
            <w:tcW w:w="1108" w:type="dxa"/>
            <w:shd w:val="clear" w:color="auto" w:fill="auto"/>
            <w:noWrap/>
            <w:hideMark/>
          </w:tcPr>
          <w:p w14:paraId="1AD2A658"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1.034*** (0.081)</w:t>
            </w:r>
          </w:p>
        </w:tc>
        <w:tc>
          <w:tcPr>
            <w:tcW w:w="1108" w:type="dxa"/>
            <w:shd w:val="clear" w:color="auto" w:fill="auto"/>
            <w:noWrap/>
            <w:hideMark/>
          </w:tcPr>
          <w:p w14:paraId="1E444AEC"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0.644*** (0.062)</w:t>
            </w:r>
          </w:p>
        </w:tc>
        <w:tc>
          <w:tcPr>
            <w:tcW w:w="1108" w:type="dxa"/>
            <w:shd w:val="clear" w:color="auto" w:fill="auto"/>
            <w:noWrap/>
            <w:hideMark/>
          </w:tcPr>
          <w:p w14:paraId="04BCF799" w14:textId="77777777" w:rsidR="000A68CA"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 xml:space="preserve">0.044 </w:t>
            </w:r>
          </w:p>
          <w:p w14:paraId="3CFB081E" w14:textId="60736BDE"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(0.091)</w:t>
            </w:r>
          </w:p>
        </w:tc>
        <w:tc>
          <w:tcPr>
            <w:tcW w:w="1083" w:type="dxa"/>
            <w:shd w:val="clear" w:color="auto" w:fill="auto"/>
            <w:noWrap/>
            <w:hideMark/>
          </w:tcPr>
          <w:p w14:paraId="05732C36"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-0.012** (0.005)</w:t>
            </w:r>
          </w:p>
        </w:tc>
        <w:tc>
          <w:tcPr>
            <w:tcW w:w="1056" w:type="dxa"/>
            <w:shd w:val="clear" w:color="auto" w:fill="auto"/>
            <w:noWrap/>
            <w:hideMark/>
          </w:tcPr>
          <w:p w14:paraId="2E73C7C5"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0.861</w:t>
            </w:r>
          </w:p>
        </w:tc>
        <w:tc>
          <w:tcPr>
            <w:tcW w:w="1229" w:type="dxa"/>
            <w:shd w:val="clear" w:color="auto" w:fill="auto"/>
            <w:noWrap/>
            <w:hideMark/>
          </w:tcPr>
          <w:p w14:paraId="2AC3943A"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0.847</w:t>
            </w:r>
          </w:p>
        </w:tc>
      </w:tr>
      <w:tr w:rsidR="000A68CA" w:rsidRPr="00AA724B" w14:paraId="5405FDAD" w14:textId="77777777" w:rsidTr="00E8001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hideMark/>
          </w:tcPr>
          <w:p w14:paraId="0871B0E6" w14:textId="77777777" w:rsidR="000A68CA" w:rsidRPr="00AA724B" w:rsidRDefault="000A68CA" w:rsidP="000A68CA">
            <w:pPr>
              <w:spacing w:after="0" w:line="240" w:lineRule="auto"/>
              <w:jc w:val="center"/>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ABHK5</w:t>
            </w:r>
          </w:p>
        </w:tc>
        <w:tc>
          <w:tcPr>
            <w:tcW w:w="1083" w:type="dxa"/>
            <w:shd w:val="clear" w:color="auto" w:fill="auto"/>
            <w:noWrap/>
            <w:hideMark/>
          </w:tcPr>
          <w:p w14:paraId="0C9C139E"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-0.005 (0.004)</w:t>
            </w:r>
          </w:p>
        </w:tc>
        <w:tc>
          <w:tcPr>
            <w:tcW w:w="1108" w:type="dxa"/>
            <w:shd w:val="clear" w:color="auto" w:fill="auto"/>
            <w:noWrap/>
            <w:hideMark/>
          </w:tcPr>
          <w:p w14:paraId="5AA94061"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1.035*** (0.077)</w:t>
            </w:r>
          </w:p>
        </w:tc>
        <w:tc>
          <w:tcPr>
            <w:tcW w:w="1108" w:type="dxa"/>
            <w:shd w:val="clear" w:color="auto" w:fill="auto"/>
            <w:noWrap/>
            <w:hideMark/>
          </w:tcPr>
          <w:p w14:paraId="2A17BAFB"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0.508*** (0.062)</w:t>
            </w:r>
          </w:p>
        </w:tc>
        <w:tc>
          <w:tcPr>
            <w:tcW w:w="1108" w:type="dxa"/>
            <w:shd w:val="clear" w:color="auto" w:fill="auto"/>
            <w:noWrap/>
            <w:hideMark/>
          </w:tcPr>
          <w:p w14:paraId="6B6CFEAE"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0.196** (0.093)</w:t>
            </w:r>
          </w:p>
        </w:tc>
        <w:tc>
          <w:tcPr>
            <w:tcW w:w="1083" w:type="dxa"/>
            <w:shd w:val="clear" w:color="auto" w:fill="auto"/>
            <w:noWrap/>
            <w:hideMark/>
          </w:tcPr>
          <w:p w14:paraId="4F734EB3"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-0.011** (0.005)</w:t>
            </w:r>
          </w:p>
        </w:tc>
        <w:tc>
          <w:tcPr>
            <w:tcW w:w="1056" w:type="dxa"/>
            <w:shd w:val="clear" w:color="auto" w:fill="auto"/>
            <w:noWrap/>
            <w:hideMark/>
          </w:tcPr>
          <w:p w14:paraId="159EFBAD"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0.846</w:t>
            </w:r>
          </w:p>
        </w:tc>
        <w:tc>
          <w:tcPr>
            <w:tcW w:w="1229" w:type="dxa"/>
            <w:shd w:val="clear" w:color="auto" w:fill="auto"/>
            <w:noWrap/>
            <w:hideMark/>
          </w:tcPr>
          <w:p w14:paraId="0F29DCBD" w14:textId="77777777" w:rsidR="000A68CA" w:rsidRPr="00AA724B"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0.829</w:t>
            </w:r>
          </w:p>
        </w:tc>
      </w:tr>
      <w:tr w:rsidR="000A68CA" w:rsidRPr="00AA724B" w14:paraId="1BCA18B9" w14:textId="77777777" w:rsidTr="00E80013">
        <w:trPr>
          <w:trHeight w:val="300"/>
          <w:jc w:val="center"/>
        </w:trPr>
        <w:tc>
          <w:tcPr>
            <w:cnfStyle w:val="001000000000" w:firstRow="0" w:lastRow="0" w:firstColumn="1" w:lastColumn="0" w:oddVBand="0" w:evenVBand="0" w:oddHBand="0" w:evenHBand="0" w:firstRowFirstColumn="0" w:firstRowLastColumn="0" w:lastRowFirstColumn="0" w:lastRowLastColumn="0"/>
            <w:tcW w:w="1251" w:type="dxa"/>
            <w:shd w:val="clear" w:color="auto" w:fill="auto"/>
            <w:noWrap/>
            <w:hideMark/>
          </w:tcPr>
          <w:p w14:paraId="04E1A679" w14:textId="77777777" w:rsidR="000A68CA" w:rsidRPr="00AA724B" w:rsidRDefault="000A68CA" w:rsidP="000A68CA">
            <w:pPr>
              <w:spacing w:after="0" w:line="240" w:lineRule="auto"/>
              <w:jc w:val="center"/>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ABHK6</w:t>
            </w:r>
          </w:p>
        </w:tc>
        <w:tc>
          <w:tcPr>
            <w:tcW w:w="1083" w:type="dxa"/>
            <w:shd w:val="clear" w:color="auto" w:fill="auto"/>
            <w:noWrap/>
            <w:hideMark/>
          </w:tcPr>
          <w:p w14:paraId="3012CF2C" w14:textId="77777777" w:rsidR="000A68CA"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eastAsia="en-IE"/>
              </w:rPr>
            </w:pPr>
            <w:r w:rsidRPr="00AA724B">
              <w:rPr>
                <w:rFonts w:ascii="Calibri" w:eastAsia="Times New Roman" w:hAnsi="Calibri" w:cs="Times New Roman"/>
                <w:color w:val="000000"/>
                <w:sz w:val="16"/>
                <w:szCs w:val="16"/>
                <w:lang w:eastAsia="en-IE"/>
              </w:rPr>
              <w:t xml:space="preserve">0.001 </w:t>
            </w:r>
          </w:p>
          <w:p w14:paraId="5FBC3484" w14:textId="5CA2A8B8"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(0.007)</w:t>
            </w:r>
          </w:p>
        </w:tc>
        <w:tc>
          <w:tcPr>
            <w:tcW w:w="1108" w:type="dxa"/>
            <w:shd w:val="clear" w:color="auto" w:fill="auto"/>
            <w:noWrap/>
            <w:hideMark/>
          </w:tcPr>
          <w:p w14:paraId="52378D82"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0.983*** (0.06)</w:t>
            </w:r>
          </w:p>
        </w:tc>
        <w:tc>
          <w:tcPr>
            <w:tcW w:w="1108" w:type="dxa"/>
            <w:shd w:val="clear" w:color="auto" w:fill="auto"/>
            <w:noWrap/>
            <w:hideMark/>
          </w:tcPr>
          <w:p w14:paraId="383CA119"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0.447*** (0.057)</w:t>
            </w:r>
          </w:p>
        </w:tc>
        <w:tc>
          <w:tcPr>
            <w:tcW w:w="1108" w:type="dxa"/>
            <w:shd w:val="clear" w:color="auto" w:fill="auto"/>
            <w:noWrap/>
            <w:hideMark/>
          </w:tcPr>
          <w:p w14:paraId="08FD1301"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0.224*** (0.061)</w:t>
            </w:r>
          </w:p>
        </w:tc>
        <w:tc>
          <w:tcPr>
            <w:tcW w:w="1083" w:type="dxa"/>
            <w:shd w:val="clear" w:color="auto" w:fill="auto"/>
            <w:noWrap/>
            <w:hideMark/>
          </w:tcPr>
          <w:p w14:paraId="6FCEB573"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-0.014** (0.005)</w:t>
            </w:r>
          </w:p>
        </w:tc>
        <w:tc>
          <w:tcPr>
            <w:tcW w:w="1056" w:type="dxa"/>
            <w:shd w:val="clear" w:color="auto" w:fill="auto"/>
            <w:noWrap/>
            <w:hideMark/>
          </w:tcPr>
          <w:p w14:paraId="6813DD6F"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0.824</w:t>
            </w:r>
          </w:p>
        </w:tc>
        <w:tc>
          <w:tcPr>
            <w:tcW w:w="1229" w:type="dxa"/>
            <w:shd w:val="clear" w:color="auto" w:fill="auto"/>
            <w:noWrap/>
            <w:hideMark/>
          </w:tcPr>
          <w:p w14:paraId="5D22D173" w14:textId="77777777" w:rsidR="000A68CA" w:rsidRPr="00AA724B"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6"/>
                <w:szCs w:val="16"/>
                <w:lang w:val="en-IE" w:eastAsia="en-IE"/>
              </w:rPr>
            </w:pPr>
            <w:r w:rsidRPr="00AA724B">
              <w:rPr>
                <w:rFonts w:ascii="Calibri" w:eastAsia="Times New Roman" w:hAnsi="Calibri" w:cs="Times New Roman"/>
                <w:color w:val="000000"/>
                <w:sz w:val="16"/>
                <w:szCs w:val="16"/>
                <w:lang w:eastAsia="en-IE"/>
              </w:rPr>
              <w:t>0.806</w:t>
            </w:r>
          </w:p>
        </w:tc>
      </w:tr>
      <w:bookmarkEnd w:id="0"/>
      <w:bookmarkEnd w:id="1"/>
    </w:tbl>
    <w:p w14:paraId="3AB9F448" w14:textId="77777777" w:rsidR="00437FE3" w:rsidRDefault="00437FE3" w:rsidP="00437FE3">
      <w:pPr>
        <w:spacing w:line="240" w:lineRule="auto"/>
        <w:ind w:left="283" w:right="144"/>
        <w:contextualSpacing/>
        <w:rPr>
          <w:rFonts w:ascii="Times New Roman" w:hAnsi="Times New Roman" w:cs="Times New Roman"/>
          <w:sz w:val="18"/>
          <w:szCs w:val="18"/>
        </w:rPr>
      </w:pPr>
    </w:p>
    <w:p w14:paraId="3E34195B" w14:textId="370AF731" w:rsidR="00E2076B" w:rsidRPr="00437FE3" w:rsidRDefault="00A2041A" w:rsidP="00E80013">
      <w:pPr>
        <w:spacing w:line="240" w:lineRule="auto"/>
        <w:ind w:left="283" w:right="144"/>
        <w:contextualSpacing/>
        <w:jc w:val="center"/>
        <w:rPr>
          <w:rFonts w:ascii="Times New Roman" w:hAnsi="Times New Roman" w:cs="Times New Roman"/>
          <w:sz w:val="18"/>
          <w:szCs w:val="18"/>
        </w:rPr>
      </w:pPr>
      <w:r w:rsidRPr="00437FE3">
        <w:rPr>
          <w:rFonts w:ascii="Times New Roman" w:hAnsi="Times New Roman" w:cs="Times New Roman"/>
          <w:sz w:val="18"/>
          <w:szCs w:val="18"/>
        </w:rPr>
        <w:t xml:space="preserve">Notes: This table shows the coefficient results for </w:t>
      </w:r>
      <w:proofErr w:type="spellStart"/>
      <w:r w:rsidRPr="00437FE3">
        <w:rPr>
          <w:rFonts w:ascii="Times New Roman" w:hAnsi="Times New Roman" w:cs="Times New Roman"/>
          <w:sz w:val="18"/>
          <w:szCs w:val="18"/>
        </w:rPr>
        <w:t>Fama</w:t>
      </w:r>
      <w:proofErr w:type="spellEnd"/>
      <w:r w:rsidRPr="00437FE3">
        <w:rPr>
          <w:rFonts w:ascii="Times New Roman" w:hAnsi="Times New Roman" w:cs="Times New Roman"/>
          <w:sz w:val="18"/>
          <w:szCs w:val="18"/>
        </w:rPr>
        <w:t>-French 3 factor model with and without a down dummy.</w:t>
      </w:r>
    </w:p>
    <w:p w14:paraId="54EF491B" w14:textId="7C0A6D2B" w:rsidR="008D289A" w:rsidRPr="00437FE3" w:rsidRDefault="008D289A" w:rsidP="00E80013">
      <w:pPr>
        <w:ind w:left="283"/>
        <w:contextualSpacing/>
        <w:jc w:val="center"/>
        <w:rPr>
          <w:rFonts w:ascii="Times New Roman" w:hAnsi="Times New Roman" w:cs="Times New Roman"/>
          <w:sz w:val="18"/>
          <w:szCs w:val="18"/>
        </w:rPr>
      </w:pPr>
      <w:r w:rsidRPr="00437FE3">
        <w:rPr>
          <w:rFonts w:ascii="Times New Roman" w:hAnsi="Times New Roman" w:cs="Times New Roman"/>
          <w:sz w:val="18"/>
          <w:szCs w:val="18"/>
        </w:rPr>
        <w:t>Standard errors are in brackets.</w:t>
      </w:r>
      <w:r w:rsidR="00437FE3">
        <w:rPr>
          <w:rFonts w:ascii="Times New Roman" w:hAnsi="Times New Roman" w:cs="Times New Roman"/>
          <w:sz w:val="18"/>
          <w:szCs w:val="18"/>
        </w:rPr>
        <w:t xml:space="preserve"> </w:t>
      </w:r>
      <w:r w:rsidRPr="00437FE3">
        <w:rPr>
          <w:rFonts w:ascii="Times New Roman" w:hAnsi="Times New Roman" w:cs="Times New Roman"/>
          <w:sz w:val="18"/>
          <w:szCs w:val="18"/>
        </w:rPr>
        <w:t>Significantly different from 0 at: *** 0.01 level, ** 0.05 level, or * 0.10 level.</w:t>
      </w:r>
    </w:p>
    <w:p w14:paraId="7AD4846B" w14:textId="77777777" w:rsidR="004D1ED9" w:rsidRDefault="004D1ED9">
      <w:pPr>
        <w:spacing w:after="160" w:line="259" w:lineRule="auto"/>
      </w:pPr>
      <w:r>
        <w:br w:type="page"/>
      </w:r>
    </w:p>
    <w:p w14:paraId="17D121C0" w14:textId="5AA30C5D" w:rsidR="00574270" w:rsidRDefault="00A2041A" w:rsidP="00166C53">
      <w:pPr>
        <w:pStyle w:val="Heading3"/>
      </w:pPr>
      <w:r>
        <w:lastRenderedPageBreak/>
        <w:t xml:space="preserve">Table 7 </w:t>
      </w:r>
      <w:proofErr w:type="spellStart"/>
      <w:r>
        <w:t>Fama</w:t>
      </w:r>
      <w:proofErr w:type="spellEnd"/>
      <w:r>
        <w:t>-French Adjusted 5 Factor Model</w:t>
      </w:r>
    </w:p>
    <w:tbl>
      <w:tblPr>
        <w:tblStyle w:val="PlainTable31"/>
        <w:tblW w:w="0" w:type="auto"/>
        <w:jc w:val="center"/>
        <w:tblLayout w:type="fixed"/>
        <w:tblLook w:val="04A0" w:firstRow="1" w:lastRow="0" w:firstColumn="1" w:lastColumn="0" w:noHBand="0" w:noVBand="1"/>
      </w:tblPr>
      <w:tblGrid>
        <w:gridCol w:w="851"/>
        <w:gridCol w:w="709"/>
        <w:gridCol w:w="850"/>
        <w:gridCol w:w="810"/>
        <w:gridCol w:w="942"/>
        <w:gridCol w:w="974"/>
        <w:gridCol w:w="974"/>
        <w:gridCol w:w="978"/>
        <w:gridCol w:w="850"/>
        <w:gridCol w:w="1088"/>
      </w:tblGrid>
      <w:tr w:rsidR="001D5F45" w:rsidRPr="001D5F45" w14:paraId="0B1C0ECF" w14:textId="77777777" w:rsidTr="00475C99">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100" w:firstRow="0" w:lastRow="0" w:firstColumn="1" w:lastColumn="0" w:oddVBand="0" w:evenVBand="0" w:oddHBand="0" w:evenHBand="0" w:firstRowFirstColumn="1" w:firstRowLastColumn="0" w:lastRowFirstColumn="0" w:lastRowLastColumn="0"/>
            <w:tcW w:w="851" w:type="dxa"/>
            <w:shd w:val="clear" w:color="auto" w:fill="auto"/>
            <w:noWrap/>
            <w:hideMark/>
          </w:tcPr>
          <w:p w14:paraId="729379AA" w14:textId="77777777" w:rsidR="001D5F45" w:rsidRPr="001D5F45" w:rsidRDefault="001D5F45" w:rsidP="001D5F45">
            <w:pPr>
              <w:spacing w:after="0" w:line="240" w:lineRule="auto"/>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val="en-IE" w:eastAsia="en-IE"/>
              </w:rPr>
              <w:t> </w:t>
            </w:r>
          </w:p>
        </w:tc>
        <w:tc>
          <w:tcPr>
            <w:tcW w:w="709" w:type="dxa"/>
            <w:shd w:val="clear" w:color="auto" w:fill="auto"/>
            <w:noWrap/>
            <w:hideMark/>
          </w:tcPr>
          <w:p w14:paraId="1EAF50B1" w14:textId="77777777"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C</w:t>
            </w:r>
          </w:p>
        </w:tc>
        <w:tc>
          <w:tcPr>
            <w:tcW w:w="850" w:type="dxa"/>
            <w:shd w:val="clear" w:color="auto" w:fill="auto"/>
            <w:noWrap/>
            <w:hideMark/>
          </w:tcPr>
          <w:p w14:paraId="46B7595D" w14:textId="30E7288F"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proofErr w:type="spellStart"/>
            <w:r>
              <w:rPr>
                <w:rFonts w:ascii="Times New Roman" w:eastAsia="Times New Roman" w:hAnsi="Times New Roman" w:cs="Times New Roman"/>
                <w:caps w:val="0"/>
                <w:color w:val="000000"/>
                <w:sz w:val="16"/>
                <w:szCs w:val="16"/>
                <w:lang w:eastAsia="en-IE"/>
              </w:rPr>
              <w:t>Mkt_R</w:t>
            </w:r>
            <w:r w:rsidRPr="001D5F45">
              <w:rPr>
                <w:rFonts w:ascii="Times New Roman" w:eastAsia="Times New Roman" w:hAnsi="Times New Roman" w:cs="Times New Roman"/>
                <w:caps w:val="0"/>
                <w:color w:val="000000"/>
                <w:sz w:val="16"/>
                <w:szCs w:val="16"/>
                <w:lang w:eastAsia="en-IE"/>
              </w:rPr>
              <w:t>f</w:t>
            </w:r>
            <w:proofErr w:type="spellEnd"/>
          </w:p>
        </w:tc>
        <w:tc>
          <w:tcPr>
            <w:tcW w:w="810" w:type="dxa"/>
            <w:shd w:val="clear" w:color="auto" w:fill="auto"/>
            <w:noWrap/>
            <w:hideMark/>
          </w:tcPr>
          <w:p w14:paraId="02EC0E12" w14:textId="4BF4439E"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aps w:val="0"/>
                <w:color w:val="000000"/>
                <w:sz w:val="16"/>
                <w:szCs w:val="16"/>
                <w:lang w:eastAsia="en-IE"/>
              </w:rPr>
              <w:t>SMB</w:t>
            </w:r>
          </w:p>
        </w:tc>
        <w:tc>
          <w:tcPr>
            <w:tcW w:w="942" w:type="dxa"/>
            <w:shd w:val="clear" w:color="auto" w:fill="auto"/>
            <w:noWrap/>
            <w:hideMark/>
          </w:tcPr>
          <w:p w14:paraId="34E46E61" w14:textId="5C05D4E7"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aps w:val="0"/>
                <w:color w:val="000000"/>
                <w:sz w:val="16"/>
                <w:szCs w:val="16"/>
                <w:lang w:eastAsia="en-IE"/>
              </w:rPr>
              <w:t>HML</w:t>
            </w:r>
          </w:p>
        </w:tc>
        <w:tc>
          <w:tcPr>
            <w:tcW w:w="974" w:type="dxa"/>
            <w:shd w:val="clear" w:color="auto" w:fill="auto"/>
            <w:noWrap/>
            <w:hideMark/>
          </w:tcPr>
          <w:p w14:paraId="3A6B4EAA" w14:textId="44EF67B2"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aps w:val="0"/>
                <w:color w:val="000000"/>
                <w:sz w:val="16"/>
                <w:szCs w:val="16"/>
                <w:lang w:eastAsia="en-IE"/>
              </w:rPr>
              <w:t>RMW</w:t>
            </w:r>
          </w:p>
        </w:tc>
        <w:tc>
          <w:tcPr>
            <w:tcW w:w="974" w:type="dxa"/>
            <w:shd w:val="clear" w:color="auto" w:fill="auto"/>
            <w:noWrap/>
            <w:hideMark/>
          </w:tcPr>
          <w:p w14:paraId="41B5AEEB" w14:textId="0DC77A86"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aps w:val="0"/>
                <w:color w:val="000000"/>
                <w:sz w:val="16"/>
                <w:szCs w:val="16"/>
                <w:lang w:eastAsia="en-IE"/>
              </w:rPr>
              <w:t>CMA</w:t>
            </w:r>
          </w:p>
        </w:tc>
        <w:tc>
          <w:tcPr>
            <w:tcW w:w="978" w:type="dxa"/>
            <w:shd w:val="clear" w:color="auto" w:fill="auto"/>
            <w:noWrap/>
            <w:hideMark/>
          </w:tcPr>
          <w:p w14:paraId="72043B12" w14:textId="3BD3620C"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aps w:val="0"/>
                <w:color w:val="000000"/>
                <w:sz w:val="16"/>
                <w:szCs w:val="16"/>
                <w:lang w:eastAsia="en-IE"/>
              </w:rPr>
              <w:t>Down</w:t>
            </w:r>
          </w:p>
        </w:tc>
        <w:tc>
          <w:tcPr>
            <w:tcW w:w="850" w:type="dxa"/>
            <w:shd w:val="clear" w:color="auto" w:fill="auto"/>
            <w:noWrap/>
            <w:hideMark/>
          </w:tcPr>
          <w:p w14:paraId="275B093E" w14:textId="12C5367C"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Pr>
                <w:rFonts w:ascii="Times New Roman" w:eastAsia="Times New Roman" w:hAnsi="Times New Roman" w:cs="Times New Roman"/>
                <w:caps w:val="0"/>
                <w:color w:val="000000"/>
                <w:sz w:val="16"/>
                <w:szCs w:val="16"/>
                <w:lang w:eastAsia="en-IE"/>
              </w:rPr>
              <w:t>R S</w:t>
            </w:r>
            <w:r w:rsidRPr="001D5F45">
              <w:rPr>
                <w:rFonts w:ascii="Times New Roman" w:eastAsia="Times New Roman" w:hAnsi="Times New Roman" w:cs="Times New Roman"/>
                <w:caps w:val="0"/>
                <w:color w:val="000000"/>
                <w:sz w:val="16"/>
                <w:szCs w:val="16"/>
                <w:lang w:eastAsia="en-IE"/>
              </w:rPr>
              <w:t>quared</w:t>
            </w:r>
          </w:p>
        </w:tc>
        <w:tc>
          <w:tcPr>
            <w:tcW w:w="1088" w:type="dxa"/>
            <w:shd w:val="clear" w:color="auto" w:fill="auto"/>
            <w:noWrap/>
            <w:hideMark/>
          </w:tcPr>
          <w:p w14:paraId="6A7E51FC" w14:textId="2C0CFD21" w:rsidR="001D5F45" w:rsidRPr="001D5F45" w:rsidRDefault="001D5F45" w:rsidP="001D5F4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Pr>
                <w:rFonts w:ascii="Times New Roman" w:eastAsia="Times New Roman" w:hAnsi="Times New Roman" w:cs="Times New Roman"/>
                <w:caps w:val="0"/>
                <w:color w:val="000000"/>
                <w:sz w:val="16"/>
                <w:szCs w:val="16"/>
                <w:lang w:val="en-IE" w:eastAsia="en-IE"/>
              </w:rPr>
              <w:t>Adjusted R Squared</w:t>
            </w:r>
          </w:p>
        </w:tc>
      </w:tr>
      <w:tr w:rsidR="000A68CA" w:rsidRPr="001D5F45" w14:paraId="05FAB980" w14:textId="77777777" w:rsidTr="00475C9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tcPr>
          <w:p w14:paraId="6CE6E239" w14:textId="75D2D57A"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 FS</w:t>
            </w:r>
          </w:p>
        </w:tc>
        <w:tc>
          <w:tcPr>
            <w:tcW w:w="709" w:type="dxa"/>
            <w:shd w:val="clear" w:color="auto" w:fill="auto"/>
            <w:noWrap/>
          </w:tcPr>
          <w:p w14:paraId="70819AF1" w14:textId="3454B23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-0.004 (0.005)</w:t>
            </w:r>
          </w:p>
        </w:tc>
        <w:tc>
          <w:tcPr>
            <w:tcW w:w="850" w:type="dxa"/>
            <w:shd w:val="clear" w:color="auto" w:fill="auto"/>
            <w:noWrap/>
          </w:tcPr>
          <w:p w14:paraId="372201AB" w14:textId="3045BC6D"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0.588*** (0.045)</w:t>
            </w:r>
          </w:p>
        </w:tc>
        <w:tc>
          <w:tcPr>
            <w:tcW w:w="810" w:type="dxa"/>
            <w:shd w:val="clear" w:color="auto" w:fill="auto"/>
            <w:noWrap/>
          </w:tcPr>
          <w:p w14:paraId="2EA6C92D" w14:textId="7E5A7045"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0.464*** (0.044)</w:t>
            </w:r>
          </w:p>
        </w:tc>
        <w:tc>
          <w:tcPr>
            <w:tcW w:w="942" w:type="dxa"/>
            <w:shd w:val="clear" w:color="auto" w:fill="auto"/>
            <w:noWrap/>
          </w:tcPr>
          <w:p w14:paraId="4F8084D6" w14:textId="6E91FCA0"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0.440*** (0.056)</w:t>
            </w:r>
          </w:p>
        </w:tc>
        <w:tc>
          <w:tcPr>
            <w:tcW w:w="974" w:type="dxa"/>
            <w:shd w:val="clear" w:color="auto" w:fill="auto"/>
            <w:noWrap/>
          </w:tcPr>
          <w:p w14:paraId="1074D625" w14:textId="7195862D"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-0.068 (0.059)</w:t>
            </w:r>
          </w:p>
        </w:tc>
        <w:tc>
          <w:tcPr>
            <w:tcW w:w="974" w:type="dxa"/>
            <w:shd w:val="clear" w:color="auto" w:fill="auto"/>
            <w:noWrap/>
          </w:tcPr>
          <w:p w14:paraId="6D47F918" w14:textId="10495686"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1D5F45">
              <w:rPr>
                <w:rFonts w:ascii="Times New Roman" w:eastAsia="Times New Roman" w:hAnsi="Times New Roman" w:cs="Times New Roman"/>
                <w:color w:val="000000"/>
                <w:sz w:val="16"/>
                <w:szCs w:val="16"/>
                <w:lang w:eastAsia="en-IE"/>
              </w:rPr>
              <w:t>-0.270*** (0.078)</w:t>
            </w:r>
          </w:p>
        </w:tc>
        <w:tc>
          <w:tcPr>
            <w:tcW w:w="978" w:type="dxa"/>
            <w:shd w:val="clear" w:color="auto" w:fill="auto"/>
            <w:noWrap/>
          </w:tcPr>
          <w:p w14:paraId="7D2BFBA3" w14:textId="688914FD"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1D5F45">
              <w:rPr>
                <w:rFonts w:ascii="Times New Roman" w:eastAsia="Times New Roman" w:hAnsi="Times New Roman" w:cs="Times New Roman"/>
                <w:color w:val="000000"/>
                <w:sz w:val="16"/>
                <w:szCs w:val="16"/>
                <w:lang w:eastAsia="en-IE"/>
              </w:rPr>
              <w:t>-0.008** (0.003)</w:t>
            </w:r>
          </w:p>
        </w:tc>
        <w:tc>
          <w:tcPr>
            <w:tcW w:w="850" w:type="dxa"/>
            <w:shd w:val="clear" w:color="auto" w:fill="auto"/>
            <w:noWrap/>
          </w:tcPr>
          <w:p w14:paraId="1B61880A" w14:textId="6DF72498"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0.847</w:t>
            </w:r>
          </w:p>
        </w:tc>
        <w:tc>
          <w:tcPr>
            <w:tcW w:w="1088" w:type="dxa"/>
            <w:shd w:val="clear" w:color="auto" w:fill="auto"/>
            <w:noWrap/>
          </w:tcPr>
          <w:p w14:paraId="07ACA9CC" w14:textId="3D43D0A2"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0.829</w:t>
            </w:r>
          </w:p>
        </w:tc>
      </w:tr>
      <w:tr w:rsidR="000A68CA" w:rsidRPr="001D5F45" w14:paraId="5366B37A" w14:textId="77777777" w:rsidTr="00475C99">
        <w:trPr>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tcPr>
          <w:p w14:paraId="7EAB146D" w14:textId="6DA7A29A"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1-25</w:t>
            </w:r>
          </w:p>
        </w:tc>
        <w:tc>
          <w:tcPr>
            <w:tcW w:w="709" w:type="dxa"/>
            <w:shd w:val="clear" w:color="auto" w:fill="auto"/>
            <w:noWrap/>
          </w:tcPr>
          <w:p w14:paraId="043B8AE5" w14:textId="5315E049"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-0.005 (0.005)</w:t>
            </w:r>
          </w:p>
        </w:tc>
        <w:tc>
          <w:tcPr>
            <w:tcW w:w="850" w:type="dxa"/>
            <w:shd w:val="clear" w:color="auto" w:fill="auto"/>
            <w:noWrap/>
          </w:tcPr>
          <w:p w14:paraId="7B4C18E1" w14:textId="094A318E"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0.808*** (0.051)</w:t>
            </w:r>
          </w:p>
        </w:tc>
        <w:tc>
          <w:tcPr>
            <w:tcW w:w="810" w:type="dxa"/>
            <w:shd w:val="clear" w:color="auto" w:fill="auto"/>
            <w:noWrap/>
          </w:tcPr>
          <w:p w14:paraId="31635797" w14:textId="7E5BD0AD"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0.514*** (0.05)</w:t>
            </w:r>
          </w:p>
        </w:tc>
        <w:tc>
          <w:tcPr>
            <w:tcW w:w="942" w:type="dxa"/>
            <w:shd w:val="clear" w:color="auto" w:fill="auto"/>
            <w:noWrap/>
          </w:tcPr>
          <w:p w14:paraId="4B240C67" w14:textId="2361709D"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0.406*** (0.063)</w:t>
            </w:r>
          </w:p>
        </w:tc>
        <w:tc>
          <w:tcPr>
            <w:tcW w:w="974" w:type="dxa"/>
            <w:shd w:val="clear" w:color="auto" w:fill="auto"/>
            <w:noWrap/>
          </w:tcPr>
          <w:p w14:paraId="40FCAF5F" w14:textId="6C2A02EF"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-0.073 (0.067)</w:t>
            </w:r>
          </w:p>
        </w:tc>
        <w:tc>
          <w:tcPr>
            <w:tcW w:w="974" w:type="dxa"/>
            <w:shd w:val="clear" w:color="auto" w:fill="auto"/>
            <w:noWrap/>
          </w:tcPr>
          <w:p w14:paraId="38E0B531" w14:textId="22BF8B1B"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1D5F45">
              <w:rPr>
                <w:rFonts w:ascii="Times New Roman" w:eastAsia="Times New Roman" w:hAnsi="Times New Roman" w:cs="Times New Roman"/>
                <w:color w:val="000000"/>
                <w:sz w:val="16"/>
                <w:szCs w:val="16"/>
                <w:lang w:eastAsia="en-IE"/>
              </w:rPr>
              <w:t>-0.363*** (0.088)</w:t>
            </w:r>
          </w:p>
        </w:tc>
        <w:tc>
          <w:tcPr>
            <w:tcW w:w="978" w:type="dxa"/>
            <w:shd w:val="clear" w:color="auto" w:fill="auto"/>
            <w:noWrap/>
          </w:tcPr>
          <w:p w14:paraId="1F93DEF0" w14:textId="29483D16"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1D5F45">
              <w:rPr>
                <w:rFonts w:ascii="Times New Roman" w:eastAsia="Times New Roman" w:hAnsi="Times New Roman" w:cs="Times New Roman"/>
                <w:color w:val="000000"/>
                <w:sz w:val="16"/>
                <w:szCs w:val="16"/>
                <w:lang w:eastAsia="en-IE"/>
              </w:rPr>
              <w:t>-0.010** (0.004)</w:t>
            </w:r>
          </w:p>
        </w:tc>
        <w:tc>
          <w:tcPr>
            <w:tcW w:w="850" w:type="dxa"/>
            <w:shd w:val="clear" w:color="auto" w:fill="auto"/>
            <w:noWrap/>
          </w:tcPr>
          <w:p w14:paraId="06DC5144" w14:textId="535C4A42"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0.874</w:t>
            </w:r>
          </w:p>
        </w:tc>
        <w:tc>
          <w:tcPr>
            <w:tcW w:w="1088" w:type="dxa"/>
            <w:shd w:val="clear" w:color="auto" w:fill="auto"/>
            <w:noWrap/>
          </w:tcPr>
          <w:p w14:paraId="4D265A65" w14:textId="1699BAF1"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0.859</w:t>
            </w:r>
          </w:p>
        </w:tc>
      </w:tr>
      <w:tr w:rsidR="000A68CA" w:rsidRPr="001D5F45" w14:paraId="53323589" w14:textId="77777777" w:rsidTr="00475C9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tcPr>
          <w:p w14:paraId="2600208B" w14:textId="22A577C9"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25-50</w:t>
            </w:r>
          </w:p>
        </w:tc>
        <w:tc>
          <w:tcPr>
            <w:tcW w:w="709" w:type="dxa"/>
            <w:shd w:val="clear" w:color="auto" w:fill="auto"/>
            <w:noWrap/>
          </w:tcPr>
          <w:p w14:paraId="6DED4A70" w14:textId="40F11164"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0.000 (0.006)</w:t>
            </w:r>
          </w:p>
        </w:tc>
        <w:tc>
          <w:tcPr>
            <w:tcW w:w="850" w:type="dxa"/>
            <w:shd w:val="clear" w:color="auto" w:fill="auto"/>
            <w:noWrap/>
          </w:tcPr>
          <w:p w14:paraId="434D91A4" w14:textId="7B350C15"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0.876*** (0.057)</w:t>
            </w:r>
          </w:p>
        </w:tc>
        <w:tc>
          <w:tcPr>
            <w:tcW w:w="810" w:type="dxa"/>
            <w:shd w:val="clear" w:color="auto" w:fill="auto"/>
            <w:noWrap/>
          </w:tcPr>
          <w:p w14:paraId="11D90A3C" w14:textId="3D1D6AE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0.488*** (0.056)</w:t>
            </w:r>
          </w:p>
        </w:tc>
        <w:tc>
          <w:tcPr>
            <w:tcW w:w="942" w:type="dxa"/>
            <w:shd w:val="clear" w:color="auto" w:fill="auto"/>
            <w:noWrap/>
          </w:tcPr>
          <w:p w14:paraId="4E6A687A" w14:textId="2C9B01B3"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0.251*** (0.07)</w:t>
            </w:r>
          </w:p>
        </w:tc>
        <w:tc>
          <w:tcPr>
            <w:tcW w:w="974" w:type="dxa"/>
            <w:shd w:val="clear" w:color="auto" w:fill="auto"/>
            <w:noWrap/>
          </w:tcPr>
          <w:p w14:paraId="6336F180" w14:textId="519D0B70"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-0.183** (0.074)</w:t>
            </w:r>
          </w:p>
        </w:tc>
        <w:tc>
          <w:tcPr>
            <w:tcW w:w="974" w:type="dxa"/>
            <w:shd w:val="clear" w:color="auto" w:fill="auto"/>
            <w:noWrap/>
          </w:tcPr>
          <w:p w14:paraId="4DDBABE4" w14:textId="10CCB89C"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1D5F45">
              <w:rPr>
                <w:rFonts w:ascii="Times New Roman" w:eastAsia="Times New Roman" w:hAnsi="Times New Roman" w:cs="Times New Roman"/>
                <w:color w:val="000000"/>
                <w:sz w:val="16"/>
                <w:szCs w:val="16"/>
                <w:lang w:eastAsia="en-IE"/>
              </w:rPr>
              <w:t>-0.266*** (0.098)</w:t>
            </w:r>
          </w:p>
        </w:tc>
        <w:tc>
          <w:tcPr>
            <w:tcW w:w="978" w:type="dxa"/>
            <w:shd w:val="clear" w:color="auto" w:fill="auto"/>
            <w:noWrap/>
          </w:tcPr>
          <w:p w14:paraId="7F5E3559" w14:textId="18D2E1E3"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r w:rsidRPr="001D5F45">
              <w:rPr>
                <w:rFonts w:ascii="Times New Roman" w:eastAsia="Times New Roman" w:hAnsi="Times New Roman" w:cs="Times New Roman"/>
                <w:color w:val="000000"/>
                <w:sz w:val="16"/>
                <w:szCs w:val="16"/>
                <w:lang w:eastAsia="en-IE"/>
              </w:rPr>
              <w:t>-0.012** (0.004)</w:t>
            </w:r>
          </w:p>
        </w:tc>
        <w:tc>
          <w:tcPr>
            <w:tcW w:w="850" w:type="dxa"/>
            <w:shd w:val="clear" w:color="auto" w:fill="auto"/>
            <w:noWrap/>
          </w:tcPr>
          <w:p w14:paraId="5C318A45" w14:textId="6D307131"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0.869</w:t>
            </w:r>
          </w:p>
        </w:tc>
        <w:tc>
          <w:tcPr>
            <w:tcW w:w="1088" w:type="dxa"/>
            <w:shd w:val="clear" w:color="auto" w:fill="auto"/>
            <w:noWrap/>
          </w:tcPr>
          <w:p w14:paraId="73926B7B" w14:textId="767359B0"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0.854</w:t>
            </w:r>
          </w:p>
        </w:tc>
      </w:tr>
      <w:tr w:rsidR="000A68CA" w:rsidRPr="001D5F45" w14:paraId="1F9FD3EF" w14:textId="77777777" w:rsidTr="00475C99">
        <w:trPr>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tcPr>
          <w:p w14:paraId="483C9951" w14:textId="42449C90"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&gt; 50</w:t>
            </w:r>
          </w:p>
        </w:tc>
        <w:tc>
          <w:tcPr>
            <w:tcW w:w="709" w:type="dxa"/>
            <w:shd w:val="clear" w:color="auto" w:fill="auto"/>
            <w:noWrap/>
          </w:tcPr>
          <w:p w14:paraId="57D29C61" w14:textId="5D37223E"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-0.003 (0.007)</w:t>
            </w:r>
          </w:p>
        </w:tc>
        <w:tc>
          <w:tcPr>
            <w:tcW w:w="850" w:type="dxa"/>
            <w:shd w:val="clear" w:color="auto" w:fill="auto"/>
            <w:noWrap/>
          </w:tcPr>
          <w:p w14:paraId="45C61AEA" w14:textId="27298DE0"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0.942*** (0.065)</w:t>
            </w:r>
          </w:p>
        </w:tc>
        <w:tc>
          <w:tcPr>
            <w:tcW w:w="810" w:type="dxa"/>
            <w:shd w:val="clear" w:color="auto" w:fill="auto"/>
            <w:noWrap/>
          </w:tcPr>
          <w:p w14:paraId="5C036F81" w14:textId="00348CB1"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0.524*** (0.064)</w:t>
            </w:r>
          </w:p>
        </w:tc>
        <w:tc>
          <w:tcPr>
            <w:tcW w:w="942" w:type="dxa"/>
            <w:shd w:val="clear" w:color="auto" w:fill="auto"/>
            <w:noWrap/>
          </w:tcPr>
          <w:p w14:paraId="0AD9824E" w14:textId="7B060C42"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0.226*** (0.081)</w:t>
            </w:r>
          </w:p>
        </w:tc>
        <w:tc>
          <w:tcPr>
            <w:tcW w:w="974" w:type="dxa"/>
            <w:shd w:val="clear" w:color="auto" w:fill="auto"/>
            <w:noWrap/>
          </w:tcPr>
          <w:p w14:paraId="5568A707" w14:textId="32113564"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-0.285*** (0.085)</w:t>
            </w:r>
          </w:p>
        </w:tc>
        <w:tc>
          <w:tcPr>
            <w:tcW w:w="974" w:type="dxa"/>
            <w:shd w:val="clear" w:color="auto" w:fill="auto"/>
            <w:noWrap/>
          </w:tcPr>
          <w:p w14:paraId="2ADC9654" w14:textId="593A1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1D5F45">
              <w:rPr>
                <w:rFonts w:ascii="Times New Roman" w:eastAsia="Times New Roman" w:hAnsi="Times New Roman" w:cs="Times New Roman"/>
                <w:color w:val="000000"/>
                <w:sz w:val="16"/>
                <w:szCs w:val="16"/>
                <w:lang w:eastAsia="en-IE"/>
              </w:rPr>
              <w:t>-0.288** (0.112)</w:t>
            </w:r>
          </w:p>
        </w:tc>
        <w:tc>
          <w:tcPr>
            <w:tcW w:w="978" w:type="dxa"/>
            <w:shd w:val="clear" w:color="auto" w:fill="auto"/>
            <w:noWrap/>
          </w:tcPr>
          <w:p w14:paraId="6B7FE5BC" w14:textId="24A31DC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1D5F45">
              <w:rPr>
                <w:rFonts w:ascii="Times New Roman" w:eastAsia="Times New Roman" w:hAnsi="Times New Roman" w:cs="Times New Roman"/>
                <w:color w:val="000000"/>
                <w:sz w:val="16"/>
                <w:szCs w:val="16"/>
                <w:lang w:eastAsia="en-IE"/>
              </w:rPr>
              <w:t>-0.011** (0.005)</w:t>
            </w:r>
          </w:p>
        </w:tc>
        <w:tc>
          <w:tcPr>
            <w:tcW w:w="850" w:type="dxa"/>
            <w:shd w:val="clear" w:color="auto" w:fill="auto"/>
            <w:noWrap/>
          </w:tcPr>
          <w:p w14:paraId="249D599B" w14:textId="20BA2433"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0.86</w:t>
            </w:r>
            <w:r>
              <w:rPr>
                <w:rFonts w:ascii="Times New Roman" w:eastAsia="Times New Roman" w:hAnsi="Times New Roman" w:cs="Times New Roman"/>
                <w:color w:val="000000"/>
                <w:sz w:val="16"/>
                <w:szCs w:val="16"/>
                <w:lang w:eastAsia="en-IE"/>
              </w:rPr>
              <w:t>0</w:t>
            </w:r>
          </w:p>
        </w:tc>
        <w:tc>
          <w:tcPr>
            <w:tcW w:w="1088" w:type="dxa"/>
            <w:shd w:val="clear" w:color="auto" w:fill="auto"/>
            <w:noWrap/>
          </w:tcPr>
          <w:p w14:paraId="43834FF9" w14:textId="200B8841"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n-IE"/>
              </w:rPr>
            </w:pPr>
            <w:r w:rsidRPr="001D5F45">
              <w:rPr>
                <w:rFonts w:ascii="Times New Roman" w:eastAsia="Times New Roman" w:hAnsi="Times New Roman" w:cs="Times New Roman"/>
                <w:color w:val="000000"/>
                <w:sz w:val="16"/>
                <w:szCs w:val="16"/>
                <w:lang w:eastAsia="en-IE"/>
              </w:rPr>
              <w:t>0.844</w:t>
            </w:r>
          </w:p>
        </w:tc>
      </w:tr>
      <w:tr w:rsidR="000A68CA" w:rsidRPr="001D5F45" w14:paraId="09F85B4F" w14:textId="77777777" w:rsidTr="00475C9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tcPr>
          <w:p w14:paraId="51922E72" w14:textId="77777777"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eastAsia="en-IE"/>
              </w:rPr>
            </w:pPr>
          </w:p>
        </w:tc>
        <w:tc>
          <w:tcPr>
            <w:tcW w:w="709" w:type="dxa"/>
            <w:shd w:val="clear" w:color="auto" w:fill="auto"/>
            <w:noWrap/>
          </w:tcPr>
          <w:p w14:paraId="700CB536"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p>
        </w:tc>
        <w:tc>
          <w:tcPr>
            <w:tcW w:w="850" w:type="dxa"/>
            <w:shd w:val="clear" w:color="auto" w:fill="auto"/>
            <w:noWrap/>
          </w:tcPr>
          <w:p w14:paraId="3290C4BD"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p>
        </w:tc>
        <w:tc>
          <w:tcPr>
            <w:tcW w:w="810" w:type="dxa"/>
            <w:shd w:val="clear" w:color="auto" w:fill="auto"/>
            <w:noWrap/>
          </w:tcPr>
          <w:p w14:paraId="76D864B1"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p>
        </w:tc>
        <w:tc>
          <w:tcPr>
            <w:tcW w:w="942" w:type="dxa"/>
            <w:shd w:val="clear" w:color="auto" w:fill="auto"/>
            <w:noWrap/>
          </w:tcPr>
          <w:p w14:paraId="669BD8ED"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p>
        </w:tc>
        <w:tc>
          <w:tcPr>
            <w:tcW w:w="974" w:type="dxa"/>
            <w:shd w:val="clear" w:color="auto" w:fill="auto"/>
            <w:noWrap/>
          </w:tcPr>
          <w:p w14:paraId="03DDFB68"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p>
        </w:tc>
        <w:tc>
          <w:tcPr>
            <w:tcW w:w="974" w:type="dxa"/>
            <w:shd w:val="clear" w:color="auto" w:fill="auto"/>
            <w:noWrap/>
            <w:vAlign w:val="center"/>
          </w:tcPr>
          <w:p w14:paraId="76026932"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c>
          <w:tcPr>
            <w:tcW w:w="978" w:type="dxa"/>
            <w:shd w:val="clear" w:color="auto" w:fill="auto"/>
            <w:noWrap/>
            <w:vAlign w:val="center"/>
          </w:tcPr>
          <w:p w14:paraId="558A87A4"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6"/>
                <w:szCs w:val="16"/>
              </w:rPr>
            </w:pPr>
          </w:p>
        </w:tc>
        <w:tc>
          <w:tcPr>
            <w:tcW w:w="850" w:type="dxa"/>
            <w:shd w:val="clear" w:color="auto" w:fill="auto"/>
            <w:noWrap/>
          </w:tcPr>
          <w:p w14:paraId="3E828EBF" w14:textId="77777777"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p>
        </w:tc>
        <w:tc>
          <w:tcPr>
            <w:tcW w:w="1088" w:type="dxa"/>
            <w:shd w:val="clear" w:color="auto" w:fill="auto"/>
            <w:noWrap/>
          </w:tcPr>
          <w:p w14:paraId="31AB0C01" w14:textId="77777777"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n-IE"/>
              </w:rPr>
            </w:pPr>
          </w:p>
        </w:tc>
      </w:tr>
      <w:tr w:rsidR="000A68CA" w:rsidRPr="001D5F45" w14:paraId="76B77AAF" w14:textId="77777777" w:rsidTr="00475C99">
        <w:trPr>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hideMark/>
          </w:tcPr>
          <w:p w14:paraId="4E70E202" w14:textId="77777777"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ABHK0</w:t>
            </w:r>
          </w:p>
        </w:tc>
        <w:tc>
          <w:tcPr>
            <w:tcW w:w="709" w:type="dxa"/>
            <w:shd w:val="clear" w:color="auto" w:fill="auto"/>
            <w:noWrap/>
            <w:hideMark/>
          </w:tcPr>
          <w:p w14:paraId="5B9B3327"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0.000 (0.005)</w:t>
            </w:r>
          </w:p>
        </w:tc>
        <w:tc>
          <w:tcPr>
            <w:tcW w:w="850" w:type="dxa"/>
            <w:shd w:val="clear" w:color="auto" w:fill="auto"/>
            <w:noWrap/>
            <w:hideMark/>
          </w:tcPr>
          <w:p w14:paraId="6C06437F"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0.591*** (0.045)</w:t>
            </w:r>
          </w:p>
        </w:tc>
        <w:tc>
          <w:tcPr>
            <w:tcW w:w="810" w:type="dxa"/>
            <w:shd w:val="clear" w:color="auto" w:fill="auto"/>
            <w:noWrap/>
            <w:hideMark/>
          </w:tcPr>
          <w:p w14:paraId="4758414B"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0.469*** (0.044)</w:t>
            </w:r>
          </w:p>
        </w:tc>
        <w:tc>
          <w:tcPr>
            <w:tcW w:w="942" w:type="dxa"/>
            <w:shd w:val="clear" w:color="auto" w:fill="auto"/>
            <w:noWrap/>
            <w:hideMark/>
          </w:tcPr>
          <w:p w14:paraId="1FCDB24A"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0.433*** (0.055)</w:t>
            </w:r>
          </w:p>
        </w:tc>
        <w:tc>
          <w:tcPr>
            <w:tcW w:w="974" w:type="dxa"/>
            <w:shd w:val="clear" w:color="auto" w:fill="auto"/>
            <w:noWrap/>
            <w:hideMark/>
          </w:tcPr>
          <w:p w14:paraId="313D84C5"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-0.057 (0.058)</w:t>
            </w:r>
          </w:p>
        </w:tc>
        <w:tc>
          <w:tcPr>
            <w:tcW w:w="974" w:type="dxa"/>
            <w:shd w:val="clear" w:color="auto" w:fill="auto"/>
            <w:noWrap/>
            <w:vAlign w:val="center"/>
            <w:hideMark/>
          </w:tcPr>
          <w:p w14:paraId="201B42C6" w14:textId="4B15B671"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-0.266*** (0.077)</w:t>
            </w:r>
          </w:p>
        </w:tc>
        <w:tc>
          <w:tcPr>
            <w:tcW w:w="978" w:type="dxa"/>
            <w:shd w:val="clear" w:color="auto" w:fill="auto"/>
            <w:noWrap/>
            <w:vAlign w:val="center"/>
            <w:hideMark/>
          </w:tcPr>
          <w:p w14:paraId="50DD6B2A" w14:textId="4C50180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-0.008** (0.003)</w:t>
            </w:r>
          </w:p>
        </w:tc>
        <w:tc>
          <w:tcPr>
            <w:tcW w:w="850" w:type="dxa"/>
            <w:shd w:val="clear" w:color="auto" w:fill="auto"/>
            <w:noWrap/>
            <w:hideMark/>
          </w:tcPr>
          <w:p w14:paraId="5964FDCD" w14:textId="77777777"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0.849</w:t>
            </w:r>
          </w:p>
        </w:tc>
        <w:tc>
          <w:tcPr>
            <w:tcW w:w="1088" w:type="dxa"/>
            <w:shd w:val="clear" w:color="auto" w:fill="auto"/>
            <w:noWrap/>
            <w:hideMark/>
          </w:tcPr>
          <w:p w14:paraId="12698F9F" w14:textId="77777777"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0.831</w:t>
            </w:r>
          </w:p>
        </w:tc>
      </w:tr>
      <w:tr w:rsidR="000A68CA" w:rsidRPr="001D5F45" w14:paraId="2B762FCB" w14:textId="77777777" w:rsidTr="00475C9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hideMark/>
          </w:tcPr>
          <w:p w14:paraId="77EA870E" w14:textId="77777777"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ABHK1</w:t>
            </w:r>
          </w:p>
        </w:tc>
        <w:tc>
          <w:tcPr>
            <w:tcW w:w="709" w:type="dxa"/>
            <w:shd w:val="clear" w:color="auto" w:fill="auto"/>
            <w:noWrap/>
            <w:hideMark/>
          </w:tcPr>
          <w:p w14:paraId="7B4C0B1C"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-0.008 (0.006)</w:t>
            </w:r>
          </w:p>
        </w:tc>
        <w:tc>
          <w:tcPr>
            <w:tcW w:w="850" w:type="dxa"/>
            <w:shd w:val="clear" w:color="auto" w:fill="auto"/>
            <w:noWrap/>
            <w:hideMark/>
          </w:tcPr>
          <w:p w14:paraId="2F532816"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0.726*** (0.057)</w:t>
            </w:r>
          </w:p>
        </w:tc>
        <w:tc>
          <w:tcPr>
            <w:tcW w:w="810" w:type="dxa"/>
            <w:shd w:val="clear" w:color="auto" w:fill="auto"/>
            <w:noWrap/>
            <w:hideMark/>
          </w:tcPr>
          <w:p w14:paraId="243591A9"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0.515*** (0.056)</w:t>
            </w:r>
          </w:p>
        </w:tc>
        <w:tc>
          <w:tcPr>
            <w:tcW w:w="942" w:type="dxa"/>
            <w:shd w:val="clear" w:color="auto" w:fill="auto"/>
            <w:noWrap/>
            <w:hideMark/>
          </w:tcPr>
          <w:p w14:paraId="3621C6AE"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0.435*** (0.071)</w:t>
            </w:r>
          </w:p>
        </w:tc>
        <w:tc>
          <w:tcPr>
            <w:tcW w:w="974" w:type="dxa"/>
            <w:shd w:val="clear" w:color="auto" w:fill="auto"/>
            <w:noWrap/>
            <w:hideMark/>
          </w:tcPr>
          <w:p w14:paraId="48CFC339"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0.031 (0.074)</w:t>
            </w:r>
          </w:p>
        </w:tc>
        <w:tc>
          <w:tcPr>
            <w:tcW w:w="974" w:type="dxa"/>
            <w:shd w:val="clear" w:color="auto" w:fill="auto"/>
            <w:noWrap/>
            <w:vAlign w:val="center"/>
            <w:hideMark/>
          </w:tcPr>
          <w:p w14:paraId="65813C85" w14:textId="27CC96F9"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-0.183* (0.098)</w:t>
            </w:r>
          </w:p>
        </w:tc>
        <w:tc>
          <w:tcPr>
            <w:tcW w:w="978" w:type="dxa"/>
            <w:shd w:val="clear" w:color="auto" w:fill="auto"/>
            <w:noWrap/>
            <w:vAlign w:val="center"/>
            <w:hideMark/>
          </w:tcPr>
          <w:p w14:paraId="29FB99DA" w14:textId="761A4DEC"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-0.008* (0.004)</w:t>
            </w:r>
          </w:p>
        </w:tc>
        <w:tc>
          <w:tcPr>
            <w:tcW w:w="850" w:type="dxa"/>
            <w:shd w:val="clear" w:color="auto" w:fill="auto"/>
            <w:noWrap/>
            <w:hideMark/>
          </w:tcPr>
          <w:p w14:paraId="344A0A60" w14:textId="77777777"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0.808</w:t>
            </w:r>
          </w:p>
        </w:tc>
        <w:tc>
          <w:tcPr>
            <w:tcW w:w="1088" w:type="dxa"/>
            <w:shd w:val="clear" w:color="auto" w:fill="auto"/>
            <w:noWrap/>
            <w:hideMark/>
          </w:tcPr>
          <w:p w14:paraId="177CD7F9" w14:textId="77777777"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0.786</w:t>
            </w:r>
          </w:p>
        </w:tc>
      </w:tr>
      <w:tr w:rsidR="000A68CA" w:rsidRPr="001D5F45" w14:paraId="358E9CE0" w14:textId="77777777" w:rsidTr="00475C99">
        <w:trPr>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hideMark/>
          </w:tcPr>
          <w:p w14:paraId="70144B65" w14:textId="77777777"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ABHK2</w:t>
            </w:r>
          </w:p>
        </w:tc>
        <w:tc>
          <w:tcPr>
            <w:tcW w:w="709" w:type="dxa"/>
            <w:shd w:val="clear" w:color="auto" w:fill="auto"/>
            <w:noWrap/>
            <w:hideMark/>
          </w:tcPr>
          <w:p w14:paraId="559D5AED"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-0.002 (0.005)</w:t>
            </w:r>
          </w:p>
        </w:tc>
        <w:tc>
          <w:tcPr>
            <w:tcW w:w="850" w:type="dxa"/>
            <w:shd w:val="clear" w:color="auto" w:fill="auto"/>
            <w:noWrap/>
            <w:hideMark/>
          </w:tcPr>
          <w:p w14:paraId="10B60C0B"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0.806*** (0.051)</w:t>
            </w:r>
          </w:p>
        </w:tc>
        <w:tc>
          <w:tcPr>
            <w:tcW w:w="810" w:type="dxa"/>
            <w:shd w:val="clear" w:color="auto" w:fill="auto"/>
            <w:noWrap/>
            <w:hideMark/>
          </w:tcPr>
          <w:p w14:paraId="32F8C296"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0.523*** (0.05)</w:t>
            </w:r>
          </w:p>
        </w:tc>
        <w:tc>
          <w:tcPr>
            <w:tcW w:w="942" w:type="dxa"/>
            <w:shd w:val="clear" w:color="auto" w:fill="auto"/>
            <w:noWrap/>
            <w:hideMark/>
          </w:tcPr>
          <w:p w14:paraId="0C4DBE00"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0.360*** (0.063)</w:t>
            </w:r>
          </w:p>
        </w:tc>
        <w:tc>
          <w:tcPr>
            <w:tcW w:w="974" w:type="dxa"/>
            <w:shd w:val="clear" w:color="auto" w:fill="auto"/>
            <w:noWrap/>
            <w:hideMark/>
          </w:tcPr>
          <w:p w14:paraId="1D7EC0BF"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-0.056 (0.066)</w:t>
            </w:r>
          </w:p>
        </w:tc>
        <w:tc>
          <w:tcPr>
            <w:tcW w:w="974" w:type="dxa"/>
            <w:shd w:val="clear" w:color="auto" w:fill="auto"/>
            <w:noWrap/>
            <w:vAlign w:val="center"/>
            <w:hideMark/>
          </w:tcPr>
          <w:p w14:paraId="22B52273" w14:textId="21972CAC"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-0.359*** (0.087)</w:t>
            </w:r>
          </w:p>
        </w:tc>
        <w:tc>
          <w:tcPr>
            <w:tcW w:w="978" w:type="dxa"/>
            <w:shd w:val="clear" w:color="auto" w:fill="auto"/>
            <w:noWrap/>
            <w:vAlign w:val="center"/>
            <w:hideMark/>
          </w:tcPr>
          <w:p w14:paraId="19F75F0F" w14:textId="41AE4B55"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-0.009** (0.004)</w:t>
            </w:r>
          </w:p>
        </w:tc>
        <w:tc>
          <w:tcPr>
            <w:tcW w:w="850" w:type="dxa"/>
            <w:shd w:val="clear" w:color="auto" w:fill="auto"/>
            <w:noWrap/>
            <w:hideMark/>
          </w:tcPr>
          <w:p w14:paraId="42068EA7" w14:textId="77777777"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0.875</w:t>
            </w:r>
          </w:p>
        </w:tc>
        <w:tc>
          <w:tcPr>
            <w:tcW w:w="1088" w:type="dxa"/>
            <w:shd w:val="clear" w:color="auto" w:fill="auto"/>
            <w:noWrap/>
            <w:hideMark/>
          </w:tcPr>
          <w:p w14:paraId="109B6C18" w14:textId="719FBC07"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0.86</w:t>
            </w:r>
            <w:r>
              <w:rPr>
                <w:rFonts w:ascii="Times New Roman" w:eastAsia="Times New Roman" w:hAnsi="Times New Roman" w:cs="Times New Roman"/>
                <w:color w:val="000000"/>
                <w:sz w:val="16"/>
                <w:szCs w:val="16"/>
                <w:lang w:eastAsia="en-IE"/>
              </w:rPr>
              <w:t>0</w:t>
            </w:r>
          </w:p>
        </w:tc>
      </w:tr>
      <w:tr w:rsidR="000A68CA" w:rsidRPr="001D5F45" w14:paraId="6B6397F2" w14:textId="77777777" w:rsidTr="00475C9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hideMark/>
          </w:tcPr>
          <w:p w14:paraId="3B251425" w14:textId="77777777"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ABHK3</w:t>
            </w:r>
          </w:p>
        </w:tc>
        <w:tc>
          <w:tcPr>
            <w:tcW w:w="709" w:type="dxa"/>
            <w:shd w:val="clear" w:color="auto" w:fill="auto"/>
            <w:noWrap/>
            <w:hideMark/>
          </w:tcPr>
          <w:p w14:paraId="18828FF5"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-0.006 (0.006)</w:t>
            </w:r>
          </w:p>
        </w:tc>
        <w:tc>
          <w:tcPr>
            <w:tcW w:w="850" w:type="dxa"/>
            <w:shd w:val="clear" w:color="auto" w:fill="auto"/>
            <w:noWrap/>
            <w:hideMark/>
          </w:tcPr>
          <w:p w14:paraId="63D96C8A"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0.926*** (0.060)</w:t>
            </w:r>
          </w:p>
        </w:tc>
        <w:tc>
          <w:tcPr>
            <w:tcW w:w="810" w:type="dxa"/>
            <w:shd w:val="clear" w:color="auto" w:fill="auto"/>
            <w:noWrap/>
            <w:hideMark/>
          </w:tcPr>
          <w:p w14:paraId="2725CF5D"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0.507*** (0.059)</w:t>
            </w:r>
          </w:p>
        </w:tc>
        <w:tc>
          <w:tcPr>
            <w:tcW w:w="942" w:type="dxa"/>
            <w:shd w:val="clear" w:color="auto" w:fill="auto"/>
            <w:noWrap/>
            <w:hideMark/>
          </w:tcPr>
          <w:p w14:paraId="7090E578"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0.288*** (0.074)</w:t>
            </w:r>
          </w:p>
        </w:tc>
        <w:tc>
          <w:tcPr>
            <w:tcW w:w="974" w:type="dxa"/>
            <w:shd w:val="clear" w:color="auto" w:fill="auto"/>
            <w:noWrap/>
            <w:hideMark/>
          </w:tcPr>
          <w:p w14:paraId="01C01FC3"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-0.190** (0.078)</w:t>
            </w:r>
          </w:p>
        </w:tc>
        <w:tc>
          <w:tcPr>
            <w:tcW w:w="974" w:type="dxa"/>
            <w:shd w:val="clear" w:color="auto" w:fill="auto"/>
            <w:noWrap/>
            <w:vAlign w:val="center"/>
            <w:hideMark/>
          </w:tcPr>
          <w:p w14:paraId="428F365C" w14:textId="01C17CD5"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-0.293*** (0.103)</w:t>
            </w:r>
          </w:p>
        </w:tc>
        <w:tc>
          <w:tcPr>
            <w:tcW w:w="978" w:type="dxa"/>
            <w:shd w:val="clear" w:color="auto" w:fill="auto"/>
            <w:noWrap/>
            <w:vAlign w:val="center"/>
            <w:hideMark/>
          </w:tcPr>
          <w:p w14:paraId="0B253BF2" w14:textId="72EA3148"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-0.008* (0.005)</w:t>
            </w:r>
          </w:p>
        </w:tc>
        <w:tc>
          <w:tcPr>
            <w:tcW w:w="850" w:type="dxa"/>
            <w:shd w:val="clear" w:color="auto" w:fill="auto"/>
            <w:noWrap/>
            <w:hideMark/>
          </w:tcPr>
          <w:p w14:paraId="2E797933" w14:textId="77777777"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0.864</w:t>
            </w:r>
          </w:p>
        </w:tc>
        <w:tc>
          <w:tcPr>
            <w:tcW w:w="1088" w:type="dxa"/>
            <w:shd w:val="clear" w:color="auto" w:fill="auto"/>
            <w:noWrap/>
            <w:hideMark/>
          </w:tcPr>
          <w:p w14:paraId="052B5B8B" w14:textId="77777777"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0.848</w:t>
            </w:r>
          </w:p>
        </w:tc>
      </w:tr>
      <w:tr w:rsidR="000A68CA" w:rsidRPr="001D5F45" w14:paraId="19C6A8F5" w14:textId="77777777" w:rsidTr="00475C99">
        <w:trPr>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hideMark/>
          </w:tcPr>
          <w:p w14:paraId="66C8FE72" w14:textId="77777777"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ABHK4</w:t>
            </w:r>
          </w:p>
        </w:tc>
        <w:tc>
          <w:tcPr>
            <w:tcW w:w="709" w:type="dxa"/>
            <w:shd w:val="clear" w:color="auto" w:fill="auto"/>
            <w:noWrap/>
            <w:hideMark/>
          </w:tcPr>
          <w:p w14:paraId="47D64C08"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0.002 (0.007)</w:t>
            </w:r>
          </w:p>
        </w:tc>
        <w:tc>
          <w:tcPr>
            <w:tcW w:w="850" w:type="dxa"/>
            <w:shd w:val="clear" w:color="auto" w:fill="auto"/>
            <w:noWrap/>
            <w:hideMark/>
          </w:tcPr>
          <w:p w14:paraId="032FA8F9"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0.89*** (0.063)</w:t>
            </w:r>
          </w:p>
        </w:tc>
        <w:tc>
          <w:tcPr>
            <w:tcW w:w="810" w:type="dxa"/>
            <w:shd w:val="clear" w:color="auto" w:fill="auto"/>
            <w:noWrap/>
            <w:hideMark/>
          </w:tcPr>
          <w:p w14:paraId="567218AB"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0.532*** (0.062)</w:t>
            </w:r>
          </w:p>
        </w:tc>
        <w:tc>
          <w:tcPr>
            <w:tcW w:w="942" w:type="dxa"/>
            <w:shd w:val="clear" w:color="auto" w:fill="auto"/>
            <w:noWrap/>
            <w:hideMark/>
          </w:tcPr>
          <w:p w14:paraId="72294B83"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0.162** (0.078)</w:t>
            </w:r>
          </w:p>
        </w:tc>
        <w:tc>
          <w:tcPr>
            <w:tcW w:w="974" w:type="dxa"/>
            <w:shd w:val="clear" w:color="auto" w:fill="auto"/>
            <w:noWrap/>
            <w:hideMark/>
          </w:tcPr>
          <w:p w14:paraId="3542C6F1"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-0.353*** (0.082)</w:t>
            </w:r>
          </w:p>
        </w:tc>
        <w:tc>
          <w:tcPr>
            <w:tcW w:w="974" w:type="dxa"/>
            <w:shd w:val="clear" w:color="auto" w:fill="auto"/>
            <w:noWrap/>
            <w:vAlign w:val="center"/>
            <w:hideMark/>
          </w:tcPr>
          <w:p w14:paraId="5DD6EA2F" w14:textId="5422C9B4"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-0.308*** (0.108)</w:t>
            </w:r>
          </w:p>
        </w:tc>
        <w:tc>
          <w:tcPr>
            <w:tcW w:w="978" w:type="dxa"/>
            <w:shd w:val="clear" w:color="auto" w:fill="auto"/>
            <w:noWrap/>
            <w:vAlign w:val="center"/>
            <w:hideMark/>
          </w:tcPr>
          <w:p w14:paraId="18E2F6BA" w14:textId="286CA5E5"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-0.015*** (0.005)</w:t>
            </w:r>
          </w:p>
        </w:tc>
        <w:tc>
          <w:tcPr>
            <w:tcW w:w="850" w:type="dxa"/>
            <w:shd w:val="clear" w:color="auto" w:fill="auto"/>
            <w:noWrap/>
            <w:hideMark/>
          </w:tcPr>
          <w:p w14:paraId="561FF564" w14:textId="77777777"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0.872</w:t>
            </w:r>
          </w:p>
        </w:tc>
        <w:tc>
          <w:tcPr>
            <w:tcW w:w="1088" w:type="dxa"/>
            <w:shd w:val="clear" w:color="auto" w:fill="auto"/>
            <w:noWrap/>
            <w:hideMark/>
          </w:tcPr>
          <w:p w14:paraId="2315E388" w14:textId="77777777"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0.858</w:t>
            </w:r>
          </w:p>
        </w:tc>
      </w:tr>
      <w:tr w:rsidR="000A68CA" w:rsidRPr="001D5F45" w14:paraId="3421D5EA" w14:textId="77777777" w:rsidTr="00475C9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hideMark/>
          </w:tcPr>
          <w:p w14:paraId="754C7C98" w14:textId="77777777"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ABHK5</w:t>
            </w:r>
          </w:p>
        </w:tc>
        <w:tc>
          <w:tcPr>
            <w:tcW w:w="709" w:type="dxa"/>
            <w:shd w:val="clear" w:color="auto" w:fill="auto"/>
            <w:noWrap/>
            <w:hideMark/>
          </w:tcPr>
          <w:p w14:paraId="1254B8E6"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-0.003 (0.007)</w:t>
            </w:r>
          </w:p>
        </w:tc>
        <w:tc>
          <w:tcPr>
            <w:tcW w:w="850" w:type="dxa"/>
            <w:shd w:val="clear" w:color="auto" w:fill="auto"/>
            <w:noWrap/>
            <w:hideMark/>
          </w:tcPr>
          <w:p w14:paraId="574615C3"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0.927*** (0.064)</w:t>
            </w:r>
          </w:p>
        </w:tc>
        <w:tc>
          <w:tcPr>
            <w:tcW w:w="810" w:type="dxa"/>
            <w:shd w:val="clear" w:color="auto" w:fill="auto"/>
            <w:noWrap/>
            <w:hideMark/>
          </w:tcPr>
          <w:p w14:paraId="36BDBB3F"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0.416*** (0.063)</w:t>
            </w:r>
          </w:p>
        </w:tc>
        <w:tc>
          <w:tcPr>
            <w:tcW w:w="942" w:type="dxa"/>
            <w:shd w:val="clear" w:color="auto" w:fill="auto"/>
            <w:noWrap/>
            <w:hideMark/>
          </w:tcPr>
          <w:p w14:paraId="27C53ED3"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0.273*** (0.08)</w:t>
            </w:r>
          </w:p>
        </w:tc>
        <w:tc>
          <w:tcPr>
            <w:tcW w:w="974" w:type="dxa"/>
            <w:shd w:val="clear" w:color="auto" w:fill="auto"/>
            <w:noWrap/>
            <w:hideMark/>
          </w:tcPr>
          <w:p w14:paraId="5507DD72" w14:textId="77777777"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-0.280*** (0.084)</w:t>
            </w:r>
          </w:p>
        </w:tc>
        <w:tc>
          <w:tcPr>
            <w:tcW w:w="974" w:type="dxa"/>
            <w:shd w:val="clear" w:color="auto" w:fill="auto"/>
            <w:noWrap/>
            <w:vAlign w:val="center"/>
            <w:hideMark/>
          </w:tcPr>
          <w:p w14:paraId="29C7527B" w14:textId="15E7A8DE"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-0.203* (0.11)</w:t>
            </w:r>
          </w:p>
        </w:tc>
        <w:tc>
          <w:tcPr>
            <w:tcW w:w="978" w:type="dxa"/>
            <w:shd w:val="clear" w:color="auto" w:fill="auto"/>
            <w:noWrap/>
            <w:vAlign w:val="center"/>
            <w:hideMark/>
          </w:tcPr>
          <w:p w14:paraId="5EB3FA05" w14:textId="05F3FBA6" w:rsidR="000A68CA" w:rsidRPr="001D5F45" w:rsidRDefault="000A68CA" w:rsidP="000A68C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-0.013** (0.005)</w:t>
            </w:r>
          </w:p>
        </w:tc>
        <w:tc>
          <w:tcPr>
            <w:tcW w:w="850" w:type="dxa"/>
            <w:shd w:val="clear" w:color="auto" w:fill="auto"/>
            <w:noWrap/>
            <w:hideMark/>
          </w:tcPr>
          <w:p w14:paraId="398B7AA4" w14:textId="77777777"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0.852</w:t>
            </w:r>
          </w:p>
        </w:tc>
        <w:tc>
          <w:tcPr>
            <w:tcW w:w="1088" w:type="dxa"/>
            <w:shd w:val="clear" w:color="auto" w:fill="auto"/>
            <w:noWrap/>
            <w:hideMark/>
          </w:tcPr>
          <w:p w14:paraId="36ECC3D7" w14:textId="77777777" w:rsidR="000A68CA" w:rsidRPr="001D5F45" w:rsidRDefault="000A68CA" w:rsidP="000A68C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0.835</w:t>
            </w:r>
          </w:p>
        </w:tc>
      </w:tr>
      <w:tr w:rsidR="000A68CA" w:rsidRPr="001D5F45" w14:paraId="352DDCFB" w14:textId="77777777" w:rsidTr="00475C99">
        <w:trPr>
          <w:trHeight w:val="300"/>
          <w:jc w:val="center"/>
        </w:trPr>
        <w:tc>
          <w:tcPr>
            <w:cnfStyle w:val="001000000000" w:firstRow="0" w:lastRow="0" w:firstColumn="1" w:lastColumn="0" w:oddVBand="0" w:evenVBand="0" w:oddHBand="0" w:evenHBand="0" w:firstRowFirstColumn="0" w:firstRowLastColumn="0" w:lastRowFirstColumn="0" w:lastRowLastColumn="0"/>
            <w:tcW w:w="851" w:type="dxa"/>
            <w:shd w:val="clear" w:color="auto" w:fill="auto"/>
            <w:noWrap/>
            <w:hideMark/>
          </w:tcPr>
          <w:p w14:paraId="11183E70" w14:textId="77777777" w:rsidR="000A68CA" w:rsidRPr="001D5F45" w:rsidRDefault="000A68CA" w:rsidP="000A68CA">
            <w:pPr>
              <w:spacing w:after="0" w:line="240" w:lineRule="auto"/>
              <w:jc w:val="center"/>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ABHK6</w:t>
            </w:r>
          </w:p>
        </w:tc>
        <w:tc>
          <w:tcPr>
            <w:tcW w:w="709" w:type="dxa"/>
            <w:shd w:val="clear" w:color="auto" w:fill="auto"/>
            <w:noWrap/>
            <w:hideMark/>
          </w:tcPr>
          <w:p w14:paraId="6A200CA7"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0.002 (0.007)</w:t>
            </w:r>
          </w:p>
        </w:tc>
        <w:tc>
          <w:tcPr>
            <w:tcW w:w="850" w:type="dxa"/>
            <w:shd w:val="clear" w:color="auto" w:fill="auto"/>
            <w:noWrap/>
            <w:hideMark/>
          </w:tcPr>
          <w:p w14:paraId="6A9244D2"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0.877*** (0.067)</w:t>
            </w:r>
          </w:p>
        </w:tc>
        <w:tc>
          <w:tcPr>
            <w:tcW w:w="810" w:type="dxa"/>
            <w:shd w:val="clear" w:color="auto" w:fill="auto"/>
            <w:noWrap/>
            <w:hideMark/>
          </w:tcPr>
          <w:p w14:paraId="08672A8C"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0.385*** (0.066)</w:t>
            </w:r>
          </w:p>
        </w:tc>
        <w:tc>
          <w:tcPr>
            <w:tcW w:w="942" w:type="dxa"/>
            <w:shd w:val="clear" w:color="auto" w:fill="auto"/>
            <w:noWrap/>
            <w:hideMark/>
          </w:tcPr>
          <w:p w14:paraId="78D7F2CE"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0.330*** (0.083)</w:t>
            </w:r>
          </w:p>
        </w:tc>
        <w:tc>
          <w:tcPr>
            <w:tcW w:w="974" w:type="dxa"/>
            <w:shd w:val="clear" w:color="auto" w:fill="auto"/>
            <w:noWrap/>
            <w:hideMark/>
          </w:tcPr>
          <w:p w14:paraId="0F8AC0A6" w14:textId="77777777"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-0.224** (0.087)</w:t>
            </w:r>
          </w:p>
        </w:tc>
        <w:tc>
          <w:tcPr>
            <w:tcW w:w="974" w:type="dxa"/>
            <w:shd w:val="clear" w:color="auto" w:fill="auto"/>
            <w:noWrap/>
            <w:vAlign w:val="center"/>
            <w:hideMark/>
          </w:tcPr>
          <w:p w14:paraId="590D64DD" w14:textId="61FDC096"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-0.287** (0.115)</w:t>
            </w:r>
          </w:p>
        </w:tc>
        <w:tc>
          <w:tcPr>
            <w:tcW w:w="978" w:type="dxa"/>
            <w:shd w:val="clear" w:color="auto" w:fill="auto"/>
            <w:noWrap/>
            <w:vAlign w:val="center"/>
            <w:hideMark/>
          </w:tcPr>
          <w:p w14:paraId="71E353D7" w14:textId="1C23941C" w:rsidR="000A68CA" w:rsidRPr="001D5F45" w:rsidRDefault="000A68CA" w:rsidP="000A68C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hAnsi="Times New Roman" w:cs="Times New Roman"/>
                <w:color w:val="000000"/>
                <w:sz w:val="16"/>
                <w:szCs w:val="16"/>
              </w:rPr>
              <w:t>-0.016*** (0.005)</w:t>
            </w:r>
          </w:p>
        </w:tc>
        <w:tc>
          <w:tcPr>
            <w:tcW w:w="850" w:type="dxa"/>
            <w:shd w:val="clear" w:color="auto" w:fill="auto"/>
            <w:noWrap/>
            <w:hideMark/>
          </w:tcPr>
          <w:p w14:paraId="39144BFA" w14:textId="77777777"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0.832</w:t>
            </w:r>
          </w:p>
        </w:tc>
        <w:tc>
          <w:tcPr>
            <w:tcW w:w="1088" w:type="dxa"/>
            <w:shd w:val="clear" w:color="auto" w:fill="auto"/>
            <w:noWrap/>
            <w:hideMark/>
          </w:tcPr>
          <w:p w14:paraId="5AB38CD0" w14:textId="77777777" w:rsidR="000A68CA" w:rsidRPr="001D5F45" w:rsidRDefault="000A68CA" w:rsidP="000A68C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val="en-IE" w:eastAsia="en-IE"/>
              </w:rPr>
            </w:pPr>
            <w:r w:rsidRPr="001D5F45">
              <w:rPr>
                <w:rFonts w:ascii="Times New Roman" w:eastAsia="Times New Roman" w:hAnsi="Times New Roman" w:cs="Times New Roman"/>
                <w:color w:val="000000"/>
                <w:sz w:val="16"/>
                <w:szCs w:val="16"/>
                <w:lang w:eastAsia="en-IE"/>
              </w:rPr>
              <w:t>0.812</w:t>
            </w:r>
          </w:p>
        </w:tc>
      </w:tr>
    </w:tbl>
    <w:p w14:paraId="4D18B4B4" w14:textId="77777777" w:rsidR="00E9548A" w:rsidRDefault="00E9548A" w:rsidP="00E2076B">
      <w:pPr>
        <w:spacing w:line="240" w:lineRule="auto"/>
        <w:contextualSpacing/>
        <w:jc w:val="center"/>
        <w:rPr>
          <w:rFonts w:ascii="Times New Roman" w:hAnsi="Times New Roman" w:cs="Times New Roman"/>
          <w:sz w:val="20"/>
          <w:szCs w:val="20"/>
        </w:rPr>
      </w:pPr>
    </w:p>
    <w:p w14:paraId="7FC439BB" w14:textId="43826285" w:rsidR="00B87B16" w:rsidRPr="00437FE3" w:rsidRDefault="00A2041A" w:rsidP="00E222AB">
      <w:pPr>
        <w:spacing w:line="240" w:lineRule="auto"/>
        <w:ind w:left="454" w:right="-57"/>
        <w:contextualSpacing/>
        <w:rPr>
          <w:rFonts w:ascii="Times New Roman" w:hAnsi="Times New Roman" w:cs="Times New Roman"/>
          <w:sz w:val="18"/>
          <w:szCs w:val="18"/>
        </w:rPr>
      </w:pPr>
      <w:r w:rsidRPr="00437FE3">
        <w:rPr>
          <w:rFonts w:ascii="Times New Roman" w:hAnsi="Times New Roman" w:cs="Times New Roman"/>
          <w:sz w:val="18"/>
          <w:szCs w:val="18"/>
        </w:rPr>
        <w:t>Notes: This table shows the results for the 5 factor model with and without a dummy variable.</w:t>
      </w:r>
      <w:r w:rsidR="00437FE3">
        <w:rPr>
          <w:rFonts w:ascii="Times New Roman" w:hAnsi="Times New Roman" w:cs="Times New Roman"/>
          <w:sz w:val="18"/>
          <w:szCs w:val="18"/>
        </w:rPr>
        <w:t xml:space="preserve">  </w:t>
      </w:r>
      <w:r w:rsidR="00B87B16" w:rsidRPr="00437FE3">
        <w:rPr>
          <w:rFonts w:ascii="Times New Roman" w:hAnsi="Times New Roman" w:cs="Times New Roman"/>
          <w:sz w:val="18"/>
          <w:szCs w:val="18"/>
        </w:rPr>
        <w:t>Standard errors are in brackets.  Significantly different from 0 at: *** 0.01 level, ** 0.05 level, or * 0.10 level.</w:t>
      </w:r>
    </w:p>
    <w:p w14:paraId="0E2F7140" w14:textId="2FCA626B" w:rsidR="00155DE2" w:rsidRDefault="00155DE2">
      <w:pPr>
        <w:spacing w:after="160" w:line="259" w:lineRule="auto"/>
        <w:rPr>
          <w:rFonts w:ascii="Times New Roman" w:hAnsi="Times New Roman" w:cs="Times New Roman"/>
          <w:color w:val="FF0000"/>
          <w:sz w:val="20"/>
          <w:szCs w:val="20"/>
        </w:rPr>
      </w:pPr>
    </w:p>
    <w:sectPr w:rsidR="00155DE2" w:rsidSect="00924D94">
      <w:pgSz w:w="11906" w:h="16838" w:code="9"/>
      <w:pgMar w:top="1440" w:right="1440" w:bottom="1440" w:left="1440" w:header="709" w:footer="709"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87154" w14:textId="77777777" w:rsidR="00DB21FA" w:rsidRDefault="00DB21FA" w:rsidP="009E5627">
      <w:pPr>
        <w:spacing w:after="0" w:line="240" w:lineRule="auto"/>
      </w:pPr>
      <w:r>
        <w:separator/>
      </w:r>
    </w:p>
  </w:endnote>
  <w:endnote w:type="continuationSeparator" w:id="0">
    <w:p w14:paraId="0C5D4EAD" w14:textId="77777777" w:rsidR="00DB21FA" w:rsidRDefault="00DB21FA" w:rsidP="009E5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847980"/>
      <w:docPartObj>
        <w:docPartGallery w:val="Page Numbers (Bottom of Page)"/>
        <w:docPartUnique/>
      </w:docPartObj>
    </w:sdtPr>
    <w:sdtEndPr>
      <w:rPr>
        <w:noProof/>
      </w:rPr>
    </w:sdtEndPr>
    <w:sdtContent>
      <w:p w14:paraId="1DC4A3FF" w14:textId="22F4C671" w:rsidR="00C408DB" w:rsidRDefault="00C408DB">
        <w:pPr>
          <w:pStyle w:val="Footer"/>
          <w:jc w:val="center"/>
        </w:pPr>
        <w:r>
          <w:fldChar w:fldCharType="begin"/>
        </w:r>
        <w:r>
          <w:instrText xml:space="preserve"> PAGE   \* MERGEFORMAT </w:instrText>
        </w:r>
        <w:r>
          <w:fldChar w:fldCharType="separate"/>
        </w:r>
        <w:r w:rsidR="00E222AB">
          <w:rPr>
            <w:noProof/>
          </w:rPr>
          <w:t>16</w:t>
        </w:r>
        <w:r>
          <w:rPr>
            <w:noProof/>
          </w:rPr>
          <w:fldChar w:fldCharType="end"/>
        </w:r>
      </w:p>
    </w:sdtContent>
  </w:sdt>
  <w:p w14:paraId="20EBC398" w14:textId="77777777" w:rsidR="00C408DB" w:rsidRDefault="00C40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DEB61" w14:textId="77777777" w:rsidR="00DB21FA" w:rsidRDefault="00DB21FA" w:rsidP="009E5627">
      <w:pPr>
        <w:spacing w:after="0" w:line="240" w:lineRule="auto"/>
      </w:pPr>
      <w:r>
        <w:separator/>
      </w:r>
    </w:p>
  </w:footnote>
  <w:footnote w:type="continuationSeparator" w:id="0">
    <w:p w14:paraId="0C0F2DEA" w14:textId="77777777" w:rsidR="00DB21FA" w:rsidRDefault="00DB21FA" w:rsidP="009E5627">
      <w:pPr>
        <w:spacing w:after="0" w:line="240" w:lineRule="auto"/>
      </w:pPr>
      <w:r>
        <w:continuationSeparator/>
      </w:r>
    </w:p>
  </w:footnote>
  <w:footnote w:id="1">
    <w:p w14:paraId="03137E17" w14:textId="4DF50F95" w:rsidR="00C408DB" w:rsidRPr="00447D1D" w:rsidRDefault="00C408DB" w:rsidP="008B35E9">
      <w:pPr>
        <w:spacing w:after="0" w:line="360" w:lineRule="auto"/>
        <w:jc w:val="both"/>
        <w:rPr>
          <w:rFonts w:ascii="Times New Roman" w:eastAsia="Times New Roman" w:hAnsi="Times New Roman" w:cs="Times New Roman"/>
          <w:color w:val="000000"/>
          <w:sz w:val="20"/>
          <w:szCs w:val="20"/>
        </w:rPr>
      </w:pPr>
      <w:r w:rsidRPr="0080161D">
        <w:rPr>
          <w:rStyle w:val="FootnoteReference"/>
        </w:rPr>
        <w:footnoteRef/>
      </w:r>
      <w:r w:rsidRPr="00447D1D">
        <w:rPr>
          <w:rFonts w:ascii="Times New Roman" w:hAnsi="Times New Roman" w:cs="Times New Roman"/>
          <w:sz w:val="20"/>
          <w:szCs w:val="20"/>
        </w:rPr>
        <w:t xml:space="preserve"> </w:t>
      </w:r>
      <w:r w:rsidRPr="00447D1D">
        <w:rPr>
          <w:rFonts w:ascii="Times New Roman" w:eastAsia="Times New Roman" w:hAnsi="Times New Roman" w:cs="Times New Roman"/>
          <w:color w:val="000000"/>
          <w:sz w:val="20"/>
          <w:szCs w:val="20"/>
        </w:rPr>
        <w:t>Financial Times June 30, 2015, ‘FTSE 100 sets worst monthly record in 3 years</w:t>
      </w:r>
      <w:r>
        <w:rPr>
          <w:rFonts w:ascii="Times New Roman" w:eastAsia="Times New Roman" w:hAnsi="Times New Roman" w:cs="Times New Roman"/>
          <w:color w:val="000000"/>
          <w:sz w:val="20"/>
          <w:szCs w:val="20"/>
        </w:rPr>
        <w:t xml:space="preserve">… </w:t>
      </w:r>
      <w:r w:rsidRPr="00373E03">
        <w:rPr>
          <w:rFonts w:ascii="Times New Roman" w:eastAsia="Times New Roman" w:hAnsi="Times New Roman" w:cs="Times New Roman"/>
          <w:color w:val="000000"/>
          <w:sz w:val="20"/>
          <w:szCs w:val="20"/>
        </w:rPr>
        <w:t>The split in domestic and international stocks is reflected in the stronger performance of the FTSE 250, which has a greater domestic weighting.</w:t>
      </w:r>
      <w:r w:rsidRPr="00447D1D">
        <w:rPr>
          <w:rFonts w:ascii="Times New Roman" w:eastAsia="Times New Roman" w:hAnsi="Times New Roman" w:cs="Times New Roman"/>
          <w:color w:val="000000"/>
          <w:sz w:val="20"/>
          <w:szCs w:val="20"/>
        </w:rPr>
        <w:t>”  Financial Times, July 12, 2012</w:t>
      </w:r>
      <w:r>
        <w:rPr>
          <w:rFonts w:ascii="Times New Roman" w:eastAsia="Times New Roman" w:hAnsi="Times New Roman" w:cs="Times New Roman"/>
          <w:color w:val="000000"/>
          <w:sz w:val="20"/>
          <w:szCs w:val="20"/>
        </w:rPr>
        <w:t>,</w:t>
      </w:r>
      <w:r w:rsidRPr="00447D1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447D1D">
        <w:rPr>
          <w:rFonts w:ascii="Times New Roman" w:eastAsia="Times New Roman" w:hAnsi="Times New Roman" w:cs="Times New Roman"/>
          <w:color w:val="000000"/>
          <w:sz w:val="20"/>
          <w:szCs w:val="20"/>
        </w:rPr>
        <w:t>US domestic stocks beat multinationals’.</w:t>
      </w:r>
    </w:p>
    <w:p w14:paraId="1DD8FAE5" w14:textId="77777777" w:rsidR="00C408DB" w:rsidRPr="00447D1D" w:rsidRDefault="00C408DB" w:rsidP="008B35E9">
      <w:pPr>
        <w:pStyle w:val="FootnoteText"/>
        <w:rPr>
          <w:lang w:val="en-IE"/>
        </w:rPr>
      </w:pPr>
    </w:p>
  </w:footnote>
  <w:footnote w:id="2">
    <w:p w14:paraId="30B71027" w14:textId="77777777" w:rsidR="00C408DB" w:rsidRPr="00E12394" w:rsidRDefault="00C408DB" w:rsidP="00023BC1">
      <w:pPr>
        <w:pStyle w:val="FootnoteText"/>
        <w:spacing w:line="360" w:lineRule="auto"/>
        <w:rPr>
          <w:rFonts w:ascii="Times New Roman" w:hAnsi="Times New Roman" w:cs="Times New Roman"/>
          <w:lang w:val="en-IE"/>
        </w:rPr>
      </w:pPr>
      <w:r w:rsidRPr="0080161D">
        <w:rPr>
          <w:rStyle w:val="FootnoteReference"/>
        </w:rPr>
        <w:footnoteRef/>
      </w:r>
      <w:r w:rsidRPr="00E12394">
        <w:rPr>
          <w:rFonts w:ascii="Times New Roman" w:hAnsi="Times New Roman" w:cs="Times New Roman"/>
        </w:rPr>
        <w:t xml:space="preserve"> </w:t>
      </w:r>
      <w:r w:rsidRPr="00E12394">
        <w:rPr>
          <w:rFonts w:ascii="Times New Roman" w:hAnsi="Times New Roman" w:cs="Times New Roman"/>
          <w:lang w:val="en-IE"/>
        </w:rPr>
        <w:t>To ensure that outlier firms are not biasing our results, we exclude observations that fall into the highest or lowest 5 percent for market capitalisation, market to book ratio, operating profitability and annual growth in total assets.</w:t>
      </w:r>
      <w:r w:rsidRPr="00E12394">
        <w:rPr>
          <w:rFonts w:ascii="Times New Roman" w:hAnsi="Times New Roman" w:cs="Times New Roman"/>
          <w:lang w:val="en-GB"/>
        </w:rPr>
        <w:t xml:space="preserve">  </w:t>
      </w:r>
    </w:p>
  </w:footnote>
  <w:footnote w:id="3">
    <w:p w14:paraId="01DBBD07" w14:textId="77777777" w:rsidR="00C408DB" w:rsidRPr="00E12394" w:rsidRDefault="00C408DB" w:rsidP="00023BC1">
      <w:pPr>
        <w:pStyle w:val="FootnoteText"/>
        <w:spacing w:line="360" w:lineRule="auto"/>
        <w:rPr>
          <w:lang w:val="en-IE"/>
        </w:rPr>
      </w:pPr>
      <w:r w:rsidRPr="0080161D">
        <w:rPr>
          <w:rStyle w:val="FootnoteReference"/>
        </w:rPr>
        <w:footnoteRef/>
      </w:r>
      <w:r w:rsidRPr="00E12394">
        <w:rPr>
          <w:rFonts w:ascii="Times New Roman" w:hAnsi="Times New Roman" w:cs="Times New Roman"/>
        </w:rPr>
        <w:t xml:space="preserve"> </w:t>
      </w:r>
      <w:r w:rsidRPr="00E12394">
        <w:rPr>
          <w:rFonts w:ascii="Times New Roman" w:eastAsia="Times New Roman" w:hAnsi="Times New Roman" w:cs="Times New Roman"/>
          <w:color w:val="000000"/>
        </w:rPr>
        <w:t>Insufficient data is available for 1995 and 1996.</w:t>
      </w:r>
    </w:p>
  </w:footnote>
  <w:footnote w:id="4">
    <w:p w14:paraId="6B57724F" w14:textId="77777777" w:rsidR="00C408DB" w:rsidRPr="007C6640" w:rsidRDefault="00C408DB" w:rsidP="00023BC1">
      <w:pPr>
        <w:pStyle w:val="FootnoteText"/>
        <w:spacing w:line="360" w:lineRule="auto"/>
        <w:rPr>
          <w:rFonts w:ascii="Times New Roman" w:hAnsi="Times New Roman" w:cs="Times New Roman"/>
        </w:rPr>
      </w:pPr>
      <w:r w:rsidRPr="0080161D">
        <w:rPr>
          <w:rStyle w:val="FootnoteReference"/>
        </w:rPr>
        <w:footnoteRef/>
      </w:r>
      <w:r w:rsidRPr="007C6640">
        <w:rPr>
          <w:rFonts w:ascii="Times New Roman" w:hAnsi="Times New Roman" w:cs="Times New Roman"/>
        </w:rPr>
        <w:t xml:space="preserve"> http://mba.tuck.dartmouth.edu/pages/faculty/ken.french/data_library.html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5654"/>
    <w:multiLevelType w:val="hybridMultilevel"/>
    <w:tmpl w:val="491054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54A775D"/>
    <w:multiLevelType w:val="hybridMultilevel"/>
    <w:tmpl w:val="E104F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D6130"/>
    <w:multiLevelType w:val="hybridMultilevel"/>
    <w:tmpl w:val="E9CA764A"/>
    <w:lvl w:ilvl="0" w:tplc="E8B06E3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5C4E01"/>
    <w:multiLevelType w:val="hybridMultilevel"/>
    <w:tmpl w:val="14987BFA"/>
    <w:lvl w:ilvl="0" w:tplc="387084B8">
      <w:numFmt w:val="bullet"/>
      <w:lvlText w:val=""/>
      <w:lvlJc w:val="left"/>
      <w:pPr>
        <w:ind w:left="1800" w:hanging="360"/>
      </w:pPr>
      <w:rPr>
        <w:rFonts w:ascii="Symbol" w:eastAsiaTheme="minorHAns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29F2FFF"/>
    <w:multiLevelType w:val="hybridMultilevel"/>
    <w:tmpl w:val="70060088"/>
    <w:lvl w:ilvl="0" w:tplc="0409000B">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BE49EC"/>
    <w:multiLevelType w:val="hybridMultilevel"/>
    <w:tmpl w:val="2BBAD3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627"/>
    <w:rsid w:val="00001863"/>
    <w:rsid w:val="00004DEF"/>
    <w:rsid w:val="00005CA5"/>
    <w:rsid w:val="00005F85"/>
    <w:rsid w:val="00010D13"/>
    <w:rsid w:val="000111A5"/>
    <w:rsid w:val="0001242F"/>
    <w:rsid w:val="000154B7"/>
    <w:rsid w:val="00016260"/>
    <w:rsid w:val="000206A0"/>
    <w:rsid w:val="000217D6"/>
    <w:rsid w:val="0002190F"/>
    <w:rsid w:val="000228AE"/>
    <w:rsid w:val="00023BC1"/>
    <w:rsid w:val="0002596F"/>
    <w:rsid w:val="000259B6"/>
    <w:rsid w:val="00026639"/>
    <w:rsid w:val="00031B76"/>
    <w:rsid w:val="00032DC2"/>
    <w:rsid w:val="00040340"/>
    <w:rsid w:val="00041F46"/>
    <w:rsid w:val="0004469E"/>
    <w:rsid w:val="00052211"/>
    <w:rsid w:val="000576DE"/>
    <w:rsid w:val="00061E1B"/>
    <w:rsid w:val="00072800"/>
    <w:rsid w:val="00074B5E"/>
    <w:rsid w:val="00075639"/>
    <w:rsid w:val="00082620"/>
    <w:rsid w:val="00083613"/>
    <w:rsid w:val="0009720D"/>
    <w:rsid w:val="000A28A6"/>
    <w:rsid w:val="000A327E"/>
    <w:rsid w:val="000A68CA"/>
    <w:rsid w:val="000A7DE9"/>
    <w:rsid w:val="000B45FA"/>
    <w:rsid w:val="000B61FF"/>
    <w:rsid w:val="000B6D8C"/>
    <w:rsid w:val="000C1258"/>
    <w:rsid w:val="000C3022"/>
    <w:rsid w:val="000C4ED1"/>
    <w:rsid w:val="000C4F99"/>
    <w:rsid w:val="000C663D"/>
    <w:rsid w:val="000D13FC"/>
    <w:rsid w:val="000D1AC8"/>
    <w:rsid w:val="000D2679"/>
    <w:rsid w:val="000D2C51"/>
    <w:rsid w:val="000D332F"/>
    <w:rsid w:val="000D62D4"/>
    <w:rsid w:val="000E3014"/>
    <w:rsid w:val="000E4C2A"/>
    <w:rsid w:val="000E66F0"/>
    <w:rsid w:val="000F0163"/>
    <w:rsid w:val="000F1850"/>
    <w:rsid w:val="000F21E1"/>
    <w:rsid w:val="000F2A33"/>
    <w:rsid w:val="000F35EA"/>
    <w:rsid w:val="000F36A7"/>
    <w:rsid w:val="000F4D36"/>
    <w:rsid w:val="001044E4"/>
    <w:rsid w:val="001138BB"/>
    <w:rsid w:val="00113D5B"/>
    <w:rsid w:val="00120B45"/>
    <w:rsid w:val="0012272F"/>
    <w:rsid w:val="0012788E"/>
    <w:rsid w:val="00131036"/>
    <w:rsid w:val="00133E02"/>
    <w:rsid w:val="00134A3E"/>
    <w:rsid w:val="0013615A"/>
    <w:rsid w:val="00140D09"/>
    <w:rsid w:val="00150AA5"/>
    <w:rsid w:val="00151210"/>
    <w:rsid w:val="0015419A"/>
    <w:rsid w:val="00155CE6"/>
    <w:rsid w:val="00155DE2"/>
    <w:rsid w:val="00160ED8"/>
    <w:rsid w:val="0016514F"/>
    <w:rsid w:val="00166C53"/>
    <w:rsid w:val="00170149"/>
    <w:rsid w:val="00180B76"/>
    <w:rsid w:val="00180B85"/>
    <w:rsid w:val="00181353"/>
    <w:rsid w:val="0018450E"/>
    <w:rsid w:val="001923BF"/>
    <w:rsid w:val="0019316D"/>
    <w:rsid w:val="00193C00"/>
    <w:rsid w:val="001A281F"/>
    <w:rsid w:val="001A56A3"/>
    <w:rsid w:val="001B2E0B"/>
    <w:rsid w:val="001C1B72"/>
    <w:rsid w:val="001C2666"/>
    <w:rsid w:val="001C355D"/>
    <w:rsid w:val="001C482D"/>
    <w:rsid w:val="001C5785"/>
    <w:rsid w:val="001C621B"/>
    <w:rsid w:val="001C7F79"/>
    <w:rsid w:val="001D33E7"/>
    <w:rsid w:val="001D4C3C"/>
    <w:rsid w:val="001D5F45"/>
    <w:rsid w:val="001E1404"/>
    <w:rsid w:val="001E33C4"/>
    <w:rsid w:val="001E4568"/>
    <w:rsid w:val="001E469C"/>
    <w:rsid w:val="001E5D1D"/>
    <w:rsid w:val="001F1D61"/>
    <w:rsid w:val="001F4019"/>
    <w:rsid w:val="001F5A76"/>
    <w:rsid w:val="001F7305"/>
    <w:rsid w:val="001F754F"/>
    <w:rsid w:val="00204900"/>
    <w:rsid w:val="00205BA4"/>
    <w:rsid w:val="00206196"/>
    <w:rsid w:val="00215858"/>
    <w:rsid w:val="00220850"/>
    <w:rsid w:val="002209E5"/>
    <w:rsid w:val="00220B25"/>
    <w:rsid w:val="00230FAC"/>
    <w:rsid w:val="00233A66"/>
    <w:rsid w:val="002353B1"/>
    <w:rsid w:val="00236914"/>
    <w:rsid w:val="0024147D"/>
    <w:rsid w:val="00243C47"/>
    <w:rsid w:val="00251108"/>
    <w:rsid w:val="00255BCB"/>
    <w:rsid w:val="00257D42"/>
    <w:rsid w:val="00262ED6"/>
    <w:rsid w:val="00266EFC"/>
    <w:rsid w:val="00267130"/>
    <w:rsid w:val="00270CA3"/>
    <w:rsid w:val="00271162"/>
    <w:rsid w:val="0027565D"/>
    <w:rsid w:val="002823AC"/>
    <w:rsid w:val="00282E68"/>
    <w:rsid w:val="00283345"/>
    <w:rsid w:val="002A1ACB"/>
    <w:rsid w:val="002A40E3"/>
    <w:rsid w:val="002A5B94"/>
    <w:rsid w:val="002B2076"/>
    <w:rsid w:val="002B3BCB"/>
    <w:rsid w:val="002B4900"/>
    <w:rsid w:val="002B49E0"/>
    <w:rsid w:val="002B6DD4"/>
    <w:rsid w:val="002C1A22"/>
    <w:rsid w:val="002D3A35"/>
    <w:rsid w:val="002D49FA"/>
    <w:rsid w:val="002E2B35"/>
    <w:rsid w:val="002E3350"/>
    <w:rsid w:val="002E64EC"/>
    <w:rsid w:val="002F5750"/>
    <w:rsid w:val="00314F79"/>
    <w:rsid w:val="00315A90"/>
    <w:rsid w:val="00320BCB"/>
    <w:rsid w:val="003216DA"/>
    <w:rsid w:val="00325537"/>
    <w:rsid w:val="00346233"/>
    <w:rsid w:val="0035127E"/>
    <w:rsid w:val="00361A8F"/>
    <w:rsid w:val="003649DD"/>
    <w:rsid w:val="003723A3"/>
    <w:rsid w:val="00373E03"/>
    <w:rsid w:val="00380DC2"/>
    <w:rsid w:val="0038208E"/>
    <w:rsid w:val="00385701"/>
    <w:rsid w:val="00397E6A"/>
    <w:rsid w:val="003A6885"/>
    <w:rsid w:val="003B0746"/>
    <w:rsid w:val="003B2236"/>
    <w:rsid w:val="003B3152"/>
    <w:rsid w:val="003B3579"/>
    <w:rsid w:val="003B365F"/>
    <w:rsid w:val="003C6845"/>
    <w:rsid w:val="003D6F42"/>
    <w:rsid w:val="003E3BD1"/>
    <w:rsid w:val="003E6430"/>
    <w:rsid w:val="003F5888"/>
    <w:rsid w:val="00400BB6"/>
    <w:rsid w:val="00401CB9"/>
    <w:rsid w:val="00413B8B"/>
    <w:rsid w:val="00414A68"/>
    <w:rsid w:val="00415811"/>
    <w:rsid w:val="00417399"/>
    <w:rsid w:val="0042314E"/>
    <w:rsid w:val="00433AEA"/>
    <w:rsid w:val="00437FE3"/>
    <w:rsid w:val="00444894"/>
    <w:rsid w:val="00445505"/>
    <w:rsid w:val="00450E8A"/>
    <w:rsid w:val="004518E8"/>
    <w:rsid w:val="004535B7"/>
    <w:rsid w:val="004562DC"/>
    <w:rsid w:val="0046061C"/>
    <w:rsid w:val="00465F55"/>
    <w:rsid w:val="0047221F"/>
    <w:rsid w:val="00472B4E"/>
    <w:rsid w:val="00475C99"/>
    <w:rsid w:val="00483C8B"/>
    <w:rsid w:val="0048506E"/>
    <w:rsid w:val="0048611C"/>
    <w:rsid w:val="004908EF"/>
    <w:rsid w:val="00490C59"/>
    <w:rsid w:val="00492C1C"/>
    <w:rsid w:val="004A04D0"/>
    <w:rsid w:val="004A3EF5"/>
    <w:rsid w:val="004A4B49"/>
    <w:rsid w:val="004B2B39"/>
    <w:rsid w:val="004B6FD7"/>
    <w:rsid w:val="004B75A6"/>
    <w:rsid w:val="004B7F99"/>
    <w:rsid w:val="004C0E5E"/>
    <w:rsid w:val="004C11E6"/>
    <w:rsid w:val="004C1E50"/>
    <w:rsid w:val="004C2DC0"/>
    <w:rsid w:val="004C44E2"/>
    <w:rsid w:val="004C6D25"/>
    <w:rsid w:val="004D1ED9"/>
    <w:rsid w:val="004D7846"/>
    <w:rsid w:val="004E63F0"/>
    <w:rsid w:val="0050037E"/>
    <w:rsid w:val="00501A86"/>
    <w:rsid w:val="00501D6A"/>
    <w:rsid w:val="00501E02"/>
    <w:rsid w:val="005031DE"/>
    <w:rsid w:val="00504E5C"/>
    <w:rsid w:val="00507C72"/>
    <w:rsid w:val="005118DD"/>
    <w:rsid w:val="00513C68"/>
    <w:rsid w:val="005163CB"/>
    <w:rsid w:val="005168DB"/>
    <w:rsid w:val="00516DB3"/>
    <w:rsid w:val="00520150"/>
    <w:rsid w:val="00525879"/>
    <w:rsid w:val="005309C8"/>
    <w:rsid w:val="0053709E"/>
    <w:rsid w:val="005403E1"/>
    <w:rsid w:val="0054054F"/>
    <w:rsid w:val="005422D3"/>
    <w:rsid w:val="005438F4"/>
    <w:rsid w:val="00543F8B"/>
    <w:rsid w:val="005441F9"/>
    <w:rsid w:val="00546D49"/>
    <w:rsid w:val="00554961"/>
    <w:rsid w:val="00561E07"/>
    <w:rsid w:val="00563DC3"/>
    <w:rsid w:val="0056737A"/>
    <w:rsid w:val="005732D6"/>
    <w:rsid w:val="005733A3"/>
    <w:rsid w:val="00574270"/>
    <w:rsid w:val="00577751"/>
    <w:rsid w:val="0058005E"/>
    <w:rsid w:val="00582A87"/>
    <w:rsid w:val="005857C5"/>
    <w:rsid w:val="00585C9C"/>
    <w:rsid w:val="00590DF7"/>
    <w:rsid w:val="00591670"/>
    <w:rsid w:val="00594799"/>
    <w:rsid w:val="005A3EF3"/>
    <w:rsid w:val="005A4CEE"/>
    <w:rsid w:val="005A5E35"/>
    <w:rsid w:val="005A5EAE"/>
    <w:rsid w:val="005A6903"/>
    <w:rsid w:val="005B04E5"/>
    <w:rsid w:val="005B1B63"/>
    <w:rsid w:val="005B35C7"/>
    <w:rsid w:val="005B6B79"/>
    <w:rsid w:val="005C1558"/>
    <w:rsid w:val="005C504B"/>
    <w:rsid w:val="005D1F8A"/>
    <w:rsid w:val="005D33F5"/>
    <w:rsid w:val="005D3A15"/>
    <w:rsid w:val="005E2218"/>
    <w:rsid w:val="005F29FD"/>
    <w:rsid w:val="00600834"/>
    <w:rsid w:val="00606E96"/>
    <w:rsid w:val="00607075"/>
    <w:rsid w:val="006075F2"/>
    <w:rsid w:val="0061323D"/>
    <w:rsid w:val="00616166"/>
    <w:rsid w:val="006166B3"/>
    <w:rsid w:val="00622D39"/>
    <w:rsid w:val="00625184"/>
    <w:rsid w:val="00626486"/>
    <w:rsid w:val="006307B0"/>
    <w:rsid w:val="00634378"/>
    <w:rsid w:val="006415BD"/>
    <w:rsid w:val="00642B69"/>
    <w:rsid w:val="00645159"/>
    <w:rsid w:val="00646E98"/>
    <w:rsid w:val="00650C4A"/>
    <w:rsid w:val="00650EE2"/>
    <w:rsid w:val="00651246"/>
    <w:rsid w:val="00655C18"/>
    <w:rsid w:val="00664705"/>
    <w:rsid w:val="00664B2C"/>
    <w:rsid w:val="0066706D"/>
    <w:rsid w:val="006701C7"/>
    <w:rsid w:val="0067129D"/>
    <w:rsid w:val="00672DC6"/>
    <w:rsid w:val="00674C09"/>
    <w:rsid w:val="0068438B"/>
    <w:rsid w:val="00685A16"/>
    <w:rsid w:val="006953C8"/>
    <w:rsid w:val="00696951"/>
    <w:rsid w:val="006A217C"/>
    <w:rsid w:val="006A24CA"/>
    <w:rsid w:val="006C0287"/>
    <w:rsid w:val="006C0984"/>
    <w:rsid w:val="006C505B"/>
    <w:rsid w:val="006C54D3"/>
    <w:rsid w:val="006D381E"/>
    <w:rsid w:val="006D53C2"/>
    <w:rsid w:val="006D6450"/>
    <w:rsid w:val="006E0BA0"/>
    <w:rsid w:val="006E37EB"/>
    <w:rsid w:val="006E633A"/>
    <w:rsid w:val="006F1D89"/>
    <w:rsid w:val="006F4ACA"/>
    <w:rsid w:val="00700CD4"/>
    <w:rsid w:val="00702E7A"/>
    <w:rsid w:val="00705982"/>
    <w:rsid w:val="00705D7B"/>
    <w:rsid w:val="007123DE"/>
    <w:rsid w:val="007149A1"/>
    <w:rsid w:val="00715DF6"/>
    <w:rsid w:val="00717339"/>
    <w:rsid w:val="007213BF"/>
    <w:rsid w:val="007219BF"/>
    <w:rsid w:val="0072231C"/>
    <w:rsid w:val="0072631D"/>
    <w:rsid w:val="00727359"/>
    <w:rsid w:val="00736B96"/>
    <w:rsid w:val="00736D43"/>
    <w:rsid w:val="00737CB2"/>
    <w:rsid w:val="00745AE3"/>
    <w:rsid w:val="00747255"/>
    <w:rsid w:val="00753EFA"/>
    <w:rsid w:val="007543D7"/>
    <w:rsid w:val="00756263"/>
    <w:rsid w:val="007712CC"/>
    <w:rsid w:val="007802F2"/>
    <w:rsid w:val="00784116"/>
    <w:rsid w:val="00784901"/>
    <w:rsid w:val="0078668B"/>
    <w:rsid w:val="007866B1"/>
    <w:rsid w:val="00786AA4"/>
    <w:rsid w:val="007A1314"/>
    <w:rsid w:val="007A2B02"/>
    <w:rsid w:val="007A4509"/>
    <w:rsid w:val="007A79B6"/>
    <w:rsid w:val="007B0DCF"/>
    <w:rsid w:val="007B5134"/>
    <w:rsid w:val="007C10FF"/>
    <w:rsid w:val="007C1AA6"/>
    <w:rsid w:val="007C5BD7"/>
    <w:rsid w:val="007C6640"/>
    <w:rsid w:val="007D4327"/>
    <w:rsid w:val="007D6783"/>
    <w:rsid w:val="007E1611"/>
    <w:rsid w:val="007E63B2"/>
    <w:rsid w:val="007E73BE"/>
    <w:rsid w:val="007F586A"/>
    <w:rsid w:val="007F6496"/>
    <w:rsid w:val="00800DA9"/>
    <w:rsid w:val="0080161D"/>
    <w:rsid w:val="00806315"/>
    <w:rsid w:val="008173E9"/>
    <w:rsid w:val="008210E9"/>
    <w:rsid w:val="0082161A"/>
    <w:rsid w:val="0082223F"/>
    <w:rsid w:val="008236C7"/>
    <w:rsid w:val="00823A4A"/>
    <w:rsid w:val="00833CA3"/>
    <w:rsid w:val="00835681"/>
    <w:rsid w:val="00836276"/>
    <w:rsid w:val="00836D0D"/>
    <w:rsid w:val="00840228"/>
    <w:rsid w:val="00844241"/>
    <w:rsid w:val="00845836"/>
    <w:rsid w:val="00847147"/>
    <w:rsid w:val="00862ABB"/>
    <w:rsid w:val="00863D17"/>
    <w:rsid w:val="00864704"/>
    <w:rsid w:val="00870695"/>
    <w:rsid w:val="00873E40"/>
    <w:rsid w:val="0087545D"/>
    <w:rsid w:val="008766CB"/>
    <w:rsid w:val="00882A8C"/>
    <w:rsid w:val="008860EF"/>
    <w:rsid w:val="0088675D"/>
    <w:rsid w:val="008903B8"/>
    <w:rsid w:val="00891506"/>
    <w:rsid w:val="00893EFB"/>
    <w:rsid w:val="00895768"/>
    <w:rsid w:val="00895A86"/>
    <w:rsid w:val="008A704F"/>
    <w:rsid w:val="008B0BC1"/>
    <w:rsid w:val="008B0E6F"/>
    <w:rsid w:val="008B1C29"/>
    <w:rsid w:val="008B2CA3"/>
    <w:rsid w:val="008B35E9"/>
    <w:rsid w:val="008B7111"/>
    <w:rsid w:val="008C21D5"/>
    <w:rsid w:val="008C4F84"/>
    <w:rsid w:val="008C5B1D"/>
    <w:rsid w:val="008C7A9F"/>
    <w:rsid w:val="008D05DC"/>
    <w:rsid w:val="008D289A"/>
    <w:rsid w:val="008D3561"/>
    <w:rsid w:val="008D47EE"/>
    <w:rsid w:val="008D4FEE"/>
    <w:rsid w:val="008D5BC0"/>
    <w:rsid w:val="008E0B04"/>
    <w:rsid w:val="008E0BEF"/>
    <w:rsid w:val="008E55A0"/>
    <w:rsid w:val="008E5A1E"/>
    <w:rsid w:val="008F1A9F"/>
    <w:rsid w:val="0090343E"/>
    <w:rsid w:val="0090411A"/>
    <w:rsid w:val="00904739"/>
    <w:rsid w:val="009111E8"/>
    <w:rsid w:val="009127FE"/>
    <w:rsid w:val="00913234"/>
    <w:rsid w:val="00916833"/>
    <w:rsid w:val="00924D94"/>
    <w:rsid w:val="00931735"/>
    <w:rsid w:val="00944D2D"/>
    <w:rsid w:val="00946BD0"/>
    <w:rsid w:val="00952DDE"/>
    <w:rsid w:val="009556C4"/>
    <w:rsid w:val="00957FD7"/>
    <w:rsid w:val="009629B0"/>
    <w:rsid w:val="00966711"/>
    <w:rsid w:val="00967CDE"/>
    <w:rsid w:val="00970BE2"/>
    <w:rsid w:val="00971893"/>
    <w:rsid w:val="00971DC6"/>
    <w:rsid w:val="0097349E"/>
    <w:rsid w:val="009800C0"/>
    <w:rsid w:val="0098685D"/>
    <w:rsid w:val="00987552"/>
    <w:rsid w:val="00991B88"/>
    <w:rsid w:val="0099279E"/>
    <w:rsid w:val="009934BC"/>
    <w:rsid w:val="00994FA4"/>
    <w:rsid w:val="009969DD"/>
    <w:rsid w:val="00997537"/>
    <w:rsid w:val="009A1444"/>
    <w:rsid w:val="009A1C02"/>
    <w:rsid w:val="009A41C8"/>
    <w:rsid w:val="009A42B5"/>
    <w:rsid w:val="009A677A"/>
    <w:rsid w:val="009A7847"/>
    <w:rsid w:val="009B445C"/>
    <w:rsid w:val="009C5B69"/>
    <w:rsid w:val="009C6762"/>
    <w:rsid w:val="009C6F75"/>
    <w:rsid w:val="009C7DB7"/>
    <w:rsid w:val="009D0F99"/>
    <w:rsid w:val="009D3AF3"/>
    <w:rsid w:val="009D5B7F"/>
    <w:rsid w:val="009E06C0"/>
    <w:rsid w:val="009E5627"/>
    <w:rsid w:val="009F7D6C"/>
    <w:rsid w:val="00A00EA8"/>
    <w:rsid w:val="00A045C3"/>
    <w:rsid w:val="00A065A5"/>
    <w:rsid w:val="00A106CB"/>
    <w:rsid w:val="00A11A6D"/>
    <w:rsid w:val="00A1703B"/>
    <w:rsid w:val="00A17CA8"/>
    <w:rsid w:val="00A2041A"/>
    <w:rsid w:val="00A20C19"/>
    <w:rsid w:val="00A23E0E"/>
    <w:rsid w:val="00A24113"/>
    <w:rsid w:val="00A25156"/>
    <w:rsid w:val="00A26E55"/>
    <w:rsid w:val="00A30CFE"/>
    <w:rsid w:val="00A340BD"/>
    <w:rsid w:val="00A34AE6"/>
    <w:rsid w:val="00A35EA0"/>
    <w:rsid w:val="00A40564"/>
    <w:rsid w:val="00A43A97"/>
    <w:rsid w:val="00A44484"/>
    <w:rsid w:val="00A4530A"/>
    <w:rsid w:val="00A46299"/>
    <w:rsid w:val="00A46953"/>
    <w:rsid w:val="00A524D6"/>
    <w:rsid w:val="00A546B2"/>
    <w:rsid w:val="00A61B76"/>
    <w:rsid w:val="00A71810"/>
    <w:rsid w:val="00A7414E"/>
    <w:rsid w:val="00A82806"/>
    <w:rsid w:val="00A90035"/>
    <w:rsid w:val="00A903D9"/>
    <w:rsid w:val="00A96880"/>
    <w:rsid w:val="00A97A2D"/>
    <w:rsid w:val="00AA1FD9"/>
    <w:rsid w:val="00AA724B"/>
    <w:rsid w:val="00AB0069"/>
    <w:rsid w:val="00AB7588"/>
    <w:rsid w:val="00AC0DE0"/>
    <w:rsid w:val="00AC6A69"/>
    <w:rsid w:val="00AE1028"/>
    <w:rsid w:val="00AE13B7"/>
    <w:rsid w:val="00AE17D2"/>
    <w:rsid w:val="00AE19A7"/>
    <w:rsid w:val="00AE2CCF"/>
    <w:rsid w:val="00AE3024"/>
    <w:rsid w:val="00AE6A42"/>
    <w:rsid w:val="00AF31F4"/>
    <w:rsid w:val="00AF3635"/>
    <w:rsid w:val="00AF6BF8"/>
    <w:rsid w:val="00B06085"/>
    <w:rsid w:val="00B07388"/>
    <w:rsid w:val="00B20AA5"/>
    <w:rsid w:val="00B22111"/>
    <w:rsid w:val="00B36CA3"/>
    <w:rsid w:val="00B4073D"/>
    <w:rsid w:val="00B46C81"/>
    <w:rsid w:val="00B46EA5"/>
    <w:rsid w:val="00B47E14"/>
    <w:rsid w:val="00B51E04"/>
    <w:rsid w:val="00B56804"/>
    <w:rsid w:val="00B572FE"/>
    <w:rsid w:val="00B6198E"/>
    <w:rsid w:val="00B6389F"/>
    <w:rsid w:val="00B654D4"/>
    <w:rsid w:val="00B67A3F"/>
    <w:rsid w:val="00B81AEC"/>
    <w:rsid w:val="00B81CA5"/>
    <w:rsid w:val="00B85BD8"/>
    <w:rsid w:val="00B87834"/>
    <w:rsid w:val="00B87B16"/>
    <w:rsid w:val="00BA4902"/>
    <w:rsid w:val="00BA5FEF"/>
    <w:rsid w:val="00BA6BA9"/>
    <w:rsid w:val="00BB1B48"/>
    <w:rsid w:val="00BB72D0"/>
    <w:rsid w:val="00BB7C58"/>
    <w:rsid w:val="00BC00D6"/>
    <w:rsid w:val="00BC310D"/>
    <w:rsid w:val="00BC569D"/>
    <w:rsid w:val="00BD2440"/>
    <w:rsid w:val="00BD3355"/>
    <w:rsid w:val="00BD53CA"/>
    <w:rsid w:val="00BD5496"/>
    <w:rsid w:val="00BD74F1"/>
    <w:rsid w:val="00BE3481"/>
    <w:rsid w:val="00BE6CE7"/>
    <w:rsid w:val="00BF5137"/>
    <w:rsid w:val="00BF5FEE"/>
    <w:rsid w:val="00C01AD6"/>
    <w:rsid w:val="00C04E51"/>
    <w:rsid w:val="00C051D9"/>
    <w:rsid w:val="00C0583D"/>
    <w:rsid w:val="00C10969"/>
    <w:rsid w:val="00C122AC"/>
    <w:rsid w:val="00C13047"/>
    <w:rsid w:val="00C14BCF"/>
    <w:rsid w:val="00C178AA"/>
    <w:rsid w:val="00C25858"/>
    <w:rsid w:val="00C2739C"/>
    <w:rsid w:val="00C27967"/>
    <w:rsid w:val="00C353A2"/>
    <w:rsid w:val="00C374D3"/>
    <w:rsid w:val="00C408DB"/>
    <w:rsid w:val="00C451F6"/>
    <w:rsid w:val="00C47599"/>
    <w:rsid w:val="00C50588"/>
    <w:rsid w:val="00C57E3D"/>
    <w:rsid w:val="00C668D2"/>
    <w:rsid w:val="00C66F06"/>
    <w:rsid w:val="00C74664"/>
    <w:rsid w:val="00C74B1F"/>
    <w:rsid w:val="00C7637B"/>
    <w:rsid w:val="00C766E0"/>
    <w:rsid w:val="00C811CD"/>
    <w:rsid w:val="00C81F25"/>
    <w:rsid w:val="00C84781"/>
    <w:rsid w:val="00C87F93"/>
    <w:rsid w:val="00C912DF"/>
    <w:rsid w:val="00CA0227"/>
    <w:rsid w:val="00CA0DE5"/>
    <w:rsid w:val="00CA10B3"/>
    <w:rsid w:val="00CA1ECA"/>
    <w:rsid w:val="00CA231E"/>
    <w:rsid w:val="00CA6885"/>
    <w:rsid w:val="00CB1B13"/>
    <w:rsid w:val="00CB747B"/>
    <w:rsid w:val="00CC24E3"/>
    <w:rsid w:val="00CD5EC8"/>
    <w:rsid w:val="00CE027B"/>
    <w:rsid w:val="00CE515B"/>
    <w:rsid w:val="00CF6D89"/>
    <w:rsid w:val="00CF72C5"/>
    <w:rsid w:val="00D01151"/>
    <w:rsid w:val="00D02251"/>
    <w:rsid w:val="00D0467D"/>
    <w:rsid w:val="00D11152"/>
    <w:rsid w:val="00D12D44"/>
    <w:rsid w:val="00D16A4E"/>
    <w:rsid w:val="00D2157E"/>
    <w:rsid w:val="00D301AF"/>
    <w:rsid w:val="00D31BCB"/>
    <w:rsid w:val="00D36707"/>
    <w:rsid w:val="00D368CE"/>
    <w:rsid w:val="00D42A90"/>
    <w:rsid w:val="00D51F22"/>
    <w:rsid w:val="00D5350C"/>
    <w:rsid w:val="00D552BA"/>
    <w:rsid w:val="00D568CD"/>
    <w:rsid w:val="00D61256"/>
    <w:rsid w:val="00D629E5"/>
    <w:rsid w:val="00D67D4F"/>
    <w:rsid w:val="00D71E88"/>
    <w:rsid w:val="00D8076A"/>
    <w:rsid w:val="00D84163"/>
    <w:rsid w:val="00D843C4"/>
    <w:rsid w:val="00D84DA1"/>
    <w:rsid w:val="00D904F7"/>
    <w:rsid w:val="00D9108B"/>
    <w:rsid w:val="00D92334"/>
    <w:rsid w:val="00D94FF5"/>
    <w:rsid w:val="00DA0250"/>
    <w:rsid w:val="00DA0D20"/>
    <w:rsid w:val="00DA32A2"/>
    <w:rsid w:val="00DA33A3"/>
    <w:rsid w:val="00DA45A4"/>
    <w:rsid w:val="00DA6795"/>
    <w:rsid w:val="00DB0398"/>
    <w:rsid w:val="00DB21FA"/>
    <w:rsid w:val="00DB63CA"/>
    <w:rsid w:val="00DC1912"/>
    <w:rsid w:val="00DC4430"/>
    <w:rsid w:val="00DC73E4"/>
    <w:rsid w:val="00DC7DFC"/>
    <w:rsid w:val="00DD68A3"/>
    <w:rsid w:val="00DE0943"/>
    <w:rsid w:val="00DE1554"/>
    <w:rsid w:val="00DE189E"/>
    <w:rsid w:val="00DE3761"/>
    <w:rsid w:val="00DE49C6"/>
    <w:rsid w:val="00DE5B62"/>
    <w:rsid w:val="00DE7103"/>
    <w:rsid w:val="00DE764B"/>
    <w:rsid w:val="00DE7DEA"/>
    <w:rsid w:val="00DF0784"/>
    <w:rsid w:val="00DF5761"/>
    <w:rsid w:val="00E0197D"/>
    <w:rsid w:val="00E04D45"/>
    <w:rsid w:val="00E05FF8"/>
    <w:rsid w:val="00E07F28"/>
    <w:rsid w:val="00E102B2"/>
    <w:rsid w:val="00E12394"/>
    <w:rsid w:val="00E13CB4"/>
    <w:rsid w:val="00E173CA"/>
    <w:rsid w:val="00E2076B"/>
    <w:rsid w:val="00E20C8E"/>
    <w:rsid w:val="00E210EE"/>
    <w:rsid w:val="00E222AB"/>
    <w:rsid w:val="00E24315"/>
    <w:rsid w:val="00E27279"/>
    <w:rsid w:val="00E2791B"/>
    <w:rsid w:val="00E308CF"/>
    <w:rsid w:val="00E30B22"/>
    <w:rsid w:val="00E410EF"/>
    <w:rsid w:val="00E42881"/>
    <w:rsid w:val="00E438B1"/>
    <w:rsid w:val="00E44C0D"/>
    <w:rsid w:val="00E4502E"/>
    <w:rsid w:val="00E50E8E"/>
    <w:rsid w:val="00E519FE"/>
    <w:rsid w:val="00E520E3"/>
    <w:rsid w:val="00E52BD1"/>
    <w:rsid w:val="00E5366B"/>
    <w:rsid w:val="00E57BEA"/>
    <w:rsid w:val="00E62CEF"/>
    <w:rsid w:val="00E63643"/>
    <w:rsid w:val="00E7057D"/>
    <w:rsid w:val="00E705A0"/>
    <w:rsid w:val="00E731ED"/>
    <w:rsid w:val="00E80013"/>
    <w:rsid w:val="00E829F5"/>
    <w:rsid w:val="00E8412A"/>
    <w:rsid w:val="00E945BD"/>
    <w:rsid w:val="00E9548A"/>
    <w:rsid w:val="00E9624A"/>
    <w:rsid w:val="00E978E4"/>
    <w:rsid w:val="00EB3C3D"/>
    <w:rsid w:val="00EC324C"/>
    <w:rsid w:val="00EC4A63"/>
    <w:rsid w:val="00EC74BA"/>
    <w:rsid w:val="00ED0D05"/>
    <w:rsid w:val="00ED3E82"/>
    <w:rsid w:val="00ED7581"/>
    <w:rsid w:val="00ED76CB"/>
    <w:rsid w:val="00ED7D8B"/>
    <w:rsid w:val="00EE3A40"/>
    <w:rsid w:val="00EE5A0F"/>
    <w:rsid w:val="00EF379E"/>
    <w:rsid w:val="00EF752D"/>
    <w:rsid w:val="00EF7A33"/>
    <w:rsid w:val="00F0081F"/>
    <w:rsid w:val="00F01D6E"/>
    <w:rsid w:val="00F02D43"/>
    <w:rsid w:val="00F114C5"/>
    <w:rsid w:val="00F2176C"/>
    <w:rsid w:val="00F219EF"/>
    <w:rsid w:val="00F2399C"/>
    <w:rsid w:val="00F278A6"/>
    <w:rsid w:val="00F37C5D"/>
    <w:rsid w:val="00F41804"/>
    <w:rsid w:val="00F41E4E"/>
    <w:rsid w:val="00F47E17"/>
    <w:rsid w:val="00F52493"/>
    <w:rsid w:val="00F577F5"/>
    <w:rsid w:val="00F62519"/>
    <w:rsid w:val="00F643F2"/>
    <w:rsid w:val="00F70981"/>
    <w:rsid w:val="00F70BFC"/>
    <w:rsid w:val="00F71EDC"/>
    <w:rsid w:val="00F72200"/>
    <w:rsid w:val="00F75061"/>
    <w:rsid w:val="00F7524D"/>
    <w:rsid w:val="00F808BF"/>
    <w:rsid w:val="00F836D9"/>
    <w:rsid w:val="00F851C9"/>
    <w:rsid w:val="00F94568"/>
    <w:rsid w:val="00FA6427"/>
    <w:rsid w:val="00FB1D9F"/>
    <w:rsid w:val="00FB312A"/>
    <w:rsid w:val="00FB6B33"/>
    <w:rsid w:val="00FB7DEB"/>
    <w:rsid w:val="00FC6F50"/>
    <w:rsid w:val="00FD3A09"/>
    <w:rsid w:val="00FD4A4A"/>
    <w:rsid w:val="00FD5383"/>
    <w:rsid w:val="00FE1A81"/>
    <w:rsid w:val="00FE54A9"/>
    <w:rsid w:val="00FF570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76DD5"/>
  <w15:docId w15:val="{1ADB051F-7968-4A09-8233-6434CAF2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627"/>
    <w:pPr>
      <w:spacing w:after="200" w:line="276" w:lineRule="auto"/>
    </w:pPr>
    <w:rPr>
      <w:lang w:val="en-US"/>
    </w:rPr>
  </w:style>
  <w:style w:type="paragraph" w:styleId="Heading1">
    <w:name w:val="heading 1"/>
    <w:basedOn w:val="Normal"/>
    <w:next w:val="Normal"/>
    <w:link w:val="Heading1Char"/>
    <w:uiPriority w:val="9"/>
    <w:qFormat/>
    <w:rsid w:val="00166C53"/>
    <w:pPr>
      <w:keepNext/>
      <w:keepLines/>
      <w:spacing w:before="480" w:after="0"/>
      <w:jc w:val="center"/>
      <w:outlineLvl w:val="0"/>
    </w:pPr>
    <w:rPr>
      <w:rFonts w:ascii="Times New Roman" w:eastAsiaTheme="majorEastAsia" w:hAnsi="Times New Roman" w:cs="Times New Roman"/>
      <w:bCs/>
      <w:sz w:val="28"/>
      <w:szCs w:val="28"/>
    </w:rPr>
  </w:style>
  <w:style w:type="paragraph" w:styleId="Heading2">
    <w:name w:val="heading 2"/>
    <w:basedOn w:val="Normal"/>
    <w:next w:val="Normal"/>
    <w:link w:val="Heading2Char"/>
    <w:uiPriority w:val="9"/>
    <w:unhideWhenUsed/>
    <w:qFormat/>
    <w:rsid w:val="00166C53"/>
    <w:pPr>
      <w:keepNext/>
      <w:keepLines/>
      <w:spacing w:before="200" w:after="0"/>
      <w:outlineLvl w:val="1"/>
    </w:pPr>
    <w:rPr>
      <w:rFonts w:ascii="Times New Roman" w:eastAsia="Times New Roman" w:hAnsi="Times New Roman" w:cs="Times New Roman"/>
      <w:bCs/>
      <w:sz w:val="24"/>
      <w:szCs w:val="24"/>
      <w:u w:val="single"/>
    </w:rPr>
  </w:style>
  <w:style w:type="paragraph" w:styleId="Heading3">
    <w:name w:val="heading 3"/>
    <w:basedOn w:val="Heading2"/>
    <w:next w:val="Normal"/>
    <w:link w:val="Heading3Char"/>
    <w:uiPriority w:val="9"/>
    <w:unhideWhenUsed/>
    <w:qFormat/>
    <w:rsid w:val="00166C53"/>
    <w:pPr>
      <w:jc w:val="center"/>
      <w:outlineLvl w:val="2"/>
    </w:pPr>
    <w:rPr>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C53"/>
    <w:rPr>
      <w:rFonts w:ascii="Times New Roman" w:eastAsiaTheme="majorEastAsia" w:hAnsi="Times New Roman" w:cs="Times New Roman"/>
      <w:bCs/>
      <w:sz w:val="28"/>
      <w:szCs w:val="28"/>
      <w:lang w:val="en-US"/>
    </w:rPr>
  </w:style>
  <w:style w:type="paragraph" w:styleId="FootnoteText">
    <w:name w:val="footnote text"/>
    <w:basedOn w:val="Normal"/>
    <w:link w:val="FootnoteTextChar"/>
    <w:unhideWhenUsed/>
    <w:rsid w:val="009E5627"/>
    <w:pPr>
      <w:spacing w:after="0" w:line="240" w:lineRule="auto"/>
    </w:pPr>
    <w:rPr>
      <w:sz w:val="20"/>
      <w:szCs w:val="20"/>
    </w:rPr>
  </w:style>
  <w:style w:type="character" w:customStyle="1" w:styleId="FootnoteTextChar">
    <w:name w:val="Footnote Text Char"/>
    <w:basedOn w:val="DefaultParagraphFont"/>
    <w:link w:val="FootnoteText"/>
    <w:rsid w:val="009E5627"/>
    <w:rPr>
      <w:sz w:val="20"/>
      <w:szCs w:val="20"/>
      <w:lang w:val="en-US"/>
    </w:rPr>
  </w:style>
  <w:style w:type="character" w:styleId="FootnoteReference">
    <w:name w:val="footnote reference"/>
    <w:basedOn w:val="DefaultParagraphFont"/>
    <w:unhideWhenUsed/>
    <w:rsid w:val="009E5627"/>
    <w:rPr>
      <w:vertAlign w:val="superscript"/>
    </w:rPr>
  </w:style>
  <w:style w:type="paragraph" w:styleId="ListParagraph">
    <w:name w:val="List Paragraph"/>
    <w:basedOn w:val="Normal"/>
    <w:uiPriority w:val="34"/>
    <w:qFormat/>
    <w:rsid w:val="009E5627"/>
    <w:pPr>
      <w:ind w:left="720"/>
      <w:contextualSpacing/>
    </w:pPr>
  </w:style>
  <w:style w:type="table" w:styleId="LightShading">
    <w:name w:val="Light Shading"/>
    <w:basedOn w:val="TableNormal"/>
    <w:uiPriority w:val="60"/>
    <w:rsid w:val="009E5627"/>
    <w:pPr>
      <w:spacing w:after="0" w:line="240" w:lineRule="auto"/>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E5627"/>
    <w:pPr>
      <w:spacing w:after="0" w:line="240" w:lineRule="auto"/>
    </w:pPr>
    <w:rPr>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styleId="Hyperlink">
    <w:name w:val="Hyperlink"/>
    <w:basedOn w:val="DefaultParagraphFont"/>
    <w:uiPriority w:val="99"/>
    <w:unhideWhenUsed/>
    <w:rsid w:val="00863D17"/>
    <w:rPr>
      <w:color w:val="0563C1"/>
      <w:u w:val="single"/>
    </w:rPr>
  </w:style>
  <w:style w:type="character" w:styleId="FollowedHyperlink">
    <w:name w:val="FollowedHyperlink"/>
    <w:basedOn w:val="DefaultParagraphFont"/>
    <w:uiPriority w:val="99"/>
    <w:semiHidden/>
    <w:unhideWhenUsed/>
    <w:rsid w:val="00863D17"/>
    <w:rPr>
      <w:color w:val="954F72"/>
      <w:u w:val="single"/>
    </w:rPr>
  </w:style>
  <w:style w:type="paragraph" w:customStyle="1" w:styleId="font5">
    <w:name w:val="font5"/>
    <w:basedOn w:val="Normal"/>
    <w:rsid w:val="00863D1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rsid w:val="00863D1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65">
    <w:name w:val="xl65"/>
    <w:basedOn w:val="Normal"/>
    <w:rsid w:val="00863D17"/>
    <w:pPr>
      <w:spacing w:before="100" w:beforeAutospacing="1" w:after="100" w:afterAutospacing="1" w:line="240" w:lineRule="auto"/>
    </w:pPr>
    <w:rPr>
      <w:rFonts w:ascii="Times New Roman" w:eastAsia="Times New Roman" w:hAnsi="Times New Roman" w:cs="Times New Roman"/>
      <w:color w:val="00B050"/>
      <w:sz w:val="24"/>
      <w:szCs w:val="24"/>
    </w:rPr>
  </w:style>
  <w:style w:type="paragraph" w:customStyle="1" w:styleId="xl66">
    <w:name w:val="xl66"/>
    <w:basedOn w:val="Normal"/>
    <w:rsid w:val="00863D17"/>
    <w:pPr>
      <w:spacing w:before="100" w:beforeAutospacing="1" w:after="100" w:afterAutospacing="1" w:line="240" w:lineRule="auto"/>
    </w:pPr>
    <w:rPr>
      <w:rFonts w:ascii="Times New Roman" w:eastAsia="Times New Roman" w:hAnsi="Times New Roman" w:cs="Times New Roman"/>
      <w:color w:val="00B050"/>
      <w:sz w:val="24"/>
      <w:szCs w:val="24"/>
    </w:rPr>
  </w:style>
  <w:style w:type="paragraph" w:customStyle="1" w:styleId="xl67">
    <w:name w:val="xl67"/>
    <w:basedOn w:val="Normal"/>
    <w:rsid w:val="00863D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863D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863D17"/>
    <w:pPr>
      <w:spacing w:before="100" w:beforeAutospacing="1" w:after="100" w:afterAutospacing="1" w:line="240" w:lineRule="auto"/>
    </w:pPr>
    <w:rPr>
      <w:rFonts w:ascii="Times New Roman" w:eastAsia="Times New Roman" w:hAnsi="Times New Roman" w:cs="Times New Roman"/>
      <w:color w:val="00B050"/>
      <w:sz w:val="24"/>
      <w:szCs w:val="24"/>
    </w:rPr>
  </w:style>
  <w:style w:type="paragraph" w:customStyle="1" w:styleId="xl70">
    <w:name w:val="xl70"/>
    <w:basedOn w:val="Normal"/>
    <w:rsid w:val="00863D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863D17"/>
    <w:pPr>
      <w:shd w:val="clear" w:color="000000" w:fill="FF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863D17"/>
    <w:pPr>
      <w:spacing w:before="100" w:beforeAutospacing="1" w:after="100" w:afterAutospacing="1" w:line="240" w:lineRule="auto"/>
    </w:pPr>
    <w:rPr>
      <w:rFonts w:ascii="Times New Roman" w:eastAsia="Times New Roman" w:hAnsi="Times New Roman" w:cs="Times New Roman"/>
      <w:color w:val="00B050"/>
      <w:sz w:val="24"/>
      <w:szCs w:val="24"/>
    </w:rPr>
  </w:style>
  <w:style w:type="paragraph" w:customStyle="1" w:styleId="xl73">
    <w:name w:val="xl73"/>
    <w:basedOn w:val="Normal"/>
    <w:rsid w:val="00863D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Normal"/>
    <w:rsid w:val="00863D17"/>
    <w:pPr>
      <w:shd w:val="clear" w:color="000000" w:fill="FF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863D17"/>
    <w:pPr>
      <w:spacing w:before="100" w:beforeAutospacing="1" w:after="100" w:afterAutospacing="1" w:line="240" w:lineRule="auto"/>
    </w:pPr>
    <w:rPr>
      <w:rFonts w:ascii="Times New Roman" w:eastAsia="Times New Roman" w:hAnsi="Times New Roman" w:cs="Times New Roman"/>
      <w:color w:val="00B050"/>
      <w:sz w:val="24"/>
      <w:szCs w:val="24"/>
    </w:rPr>
  </w:style>
  <w:style w:type="paragraph" w:customStyle="1" w:styleId="xl77">
    <w:name w:val="xl77"/>
    <w:basedOn w:val="Normal"/>
    <w:rsid w:val="00863D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863D17"/>
    <w:pPr>
      <w:shd w:val="clear" w:color="000000" w:fill="FF0000"/>
      <w:spacing w:before="100" w:beforeAutospacing="1" w:after="100" w:afterAutospacing="1" w:line="240" w:lineRule="auto"/>
    </w:pPr>
    <w:rPr>
      <w:rFonts w:ascii="Times New Roman" w:eastAsia="Times New Roman" w:hAnsi="Times New Roman" w:cs="Times New Roman"/>
      <w:color w:val="00B050"/>
      <w:sz w:val="24"/>
      <w:szCs w:val="24"/>
    </w:rPr>
  </w:style>
  <w:style w:type="table" w:styleId="LightShading-Accent3">
    <w:name w:val="Light Shading Accent 3"/>
    <w:basedOn w:val="TableNormal"/>
    <w:uiPriority w:val="60"/>
    <w:rsid w:val="00863D17"/>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BalloonText">
    <w:name w:val="Balloon Text"/>
    <w:basedOn w:val="Normal"/>
    <w:link w:val="BalloonTextChar"/>
    <w:uiPriority w:val="99"/>
    <w:semiHidden/>
    <w:unhideWhenUsed/>
    <w:rsid w:val="00005F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5F85"/>
    <w:rPr>
      <w:rFonts w:ascii="Tahoma" w:hAnsi="Tahoma" w:cs="Tahoma"/>
      <w:sz w:val="16"/>
      <w:szCs w:val="16"/>
      <w:lang w:val="en-US"/>
    </w:rPr>
  </w:style>
  <w:style w:type="character" w:customStyle="1" w:styleId="apple-style-span">
    <w:name w:val="apple-style-span"/>
    <w:rsid w:val="00F114C5"/>
  </w:style>
  <w:style w:type="character" w:customStyle="1" w:styleId="Heading2Char">
    <w:name w:val="Heading 2 Char"/>
    <w:basedOn w:val="DefaultParagraphFont"/>
    <w:link w:val="Heading2"/>
    <w:uiPriority w:val="9"/>
    <w:rsid w:val="00166C53"/>
    <w:rPr>
      <w:rFonts w:ascii="Times New Roman" w:eastAsia="Times New Roman" w:hAnsi="Times New Roman" w:cs="Times New Roman"/>
      <w:bCs/>
      <w:sz w:val="24"/>
      <w:szCs w:val="24"/>
      <w:u w:val="single"/>
      <w:lang w:val="en-US"/>
    </w:rPr>
  </w:style>
  <w:style w:type="character" w:styleId="CommentReference">
    <w:name w:val="annotation reference"/>
    <w:basedOn w:val="DefaultParagraphFont"/>
    <w:uiPriority w:val="99"/>
    <w:semiHidden/>
    <w:unhideWhenUsed/>
    <w:rsid w:val="00806315"/>
    <w:rPr>
      <w:sz w:val="16"/>
      <w:szCs w:val="16"/>
    </w:rPr>
  </w:style>
  <w:style w:type="paragraph" w:styleId="CommentText">
    <w:name w:val="annotation text"/>
    <w:basedOn w:val="Normal"/>
    <w:link w:val="CommentTextChar"/>
    <w:uiPriority w:val="99"/>
    <w:unhideWhenUsed/>
    <w:rsid w:val="00806315"/>
    <w:pPr>
      <w:spacing w:line="240" w:lineRule="auto"/>
    </w:pPr>
    <w:rPr>
      <w:sz w:val="20"/>
      <w:szCs w:val="20"/>
    </w:rPr>
  </w:style>
  <w:style w:type="character" w:customStyle="1" w:styleId="CommentTextChar">
    <w:name w:val="Comment Text Char"/>
    <w:basedOn w:val="DefaultParagraphFont"/>
    <w:link w:val="CommentText"/>
    <w:uiPriority w:val="99"/>
    <w:rsid w:val="00806315"/>
    <w:rPr>
      <w:sz w:val="20"/>
      <w:szCs w:val="20"/>
      <w:lang w:val="en-US"/>
    </w:rPr>
  </w:style>
  <w:style w:type="paragraph" w:styleId="CommentSubject">
    <w:name w:val="annotation subject"/>
    <w:basedOn w:val="CommentText"/>
    <w:next w:val="CommentText"/>
    <w:link w:val="CommentSubjectChar"/>
    <w:uiPriority w:val="99"/>
    <w:semiHidden/>
    <w:unhideWhenUsed/>
    <w:rsid w:val="00806315"/>
    <w:rPr>
      <w:b/>
      <w:bCs/>
    </w:rPr>
  </w:style>
  <w:style w:type="character" w:customStyle="1" w:styleId="CommentSubjectChar">
    <w:name w:val="Comment Subject Char"/>
    <w:basedOn w:val="CommentTextChar"/>
    <w:link w:val="CommentSubject"/>
    <w:uiPriority w:val="99"/>
    <w:semiHidden/>
    <w:rsid w:val="00806315"/>
    <w:rPr>
      <w:b/>
      <w:bCs/>
      <w:sz w:val="20"/>
      <w:szCs w:val="20"/>
      <w:lang w:val="en-US"/>
    </w:rPr>
  </w:style>
  <w:style w:type="character" w:customStyle="1" w:styleId="apple-converted-space">
    <w:name w:val="apple-converted-space"/>
    <w:basedOn w:val="DefaultParagraphFont"/>
    <w:rsid w:val="00A045C3"/>
  </w:style>
  <w:style w:type="character" w:customStyle="1" w:styleId="Heading3Char">
    <w:name w:val="Heading 3 Char"/>
    <w:basedOn w:val="DefaultParagraphFont"/>
    <w:link w:val="Heading3"/>
    <w:uiPriority w:val="9"/>
    <w:rsid w:val="00166C53"/>
    <w:rPr>
      <w:rFonts w:ascii="Times New Roman" w:eastAsia="Times New Roman" w:hAnsi="Times New Roman" w:cs="Times New Roman"/>
      <w:bCs/>
      <w:sz w:val="24"/>
      <w:szCs w:val="24"/>
      <w:lang w:val="en-US"/>
    </w:rPr>
  </w:style>
  <w:style w:type="table" w:customStyle="1" w:styleId="PlainTable21">
    <w:name w:val="Plain Table 21"/>
    <w:basedOn w:val="TableNormal"/>
    <w:uiPriority w:val="42"/>
    <w:rsid w:val="00AA72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AA72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AA724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AA1F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D91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08B"/>
    <w:rPr>
      <w:lang w:val="en-US"/>
    </w:rPr>
  </w:style>
  <w:style w:type="paragraph" w:styleId="Footer">
    <w:name w:val="footer"/>
    <w:basedOn w:val="Normal"/>
    <w:link w:val="FooterChar"/>
    <w:uiPriority w:val="99"/>
    <w:unhideWhenUsed/>
    <w:rsid w:val="00D91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08B"/>
    <w:rPr>
      <w:lang w:val="en-US"/>
    </w:rPr>
  </w:style>
  <w:style w:type="character" w:customStyle="1" w:styleId="currenthithighlight">
    <w:name w:val="currenthithighlight"/>
    <w:basedOn w:val="DefaultParagraphFont"/>
    <w:rsid w:val="003D6F42"/>
  </w:style>
  <w:style w:type="character" w:styleId="EndnoteReference">
    <w:name w:val="endnote reference"/>
    <w:basedOn w:val="DefaultParagraphFont"/>
    <w:uiPriority w:val="99"/>
    <w:semiHidden/>
    <w:unhideWhenUsed/>
    <w:rsid w:val="0080161D"/>
    <w:rPr>
      <w:vertAlign w:val="superscript"/>
    </w:rPr>
  </w:style>
  <w:style w:type="character" w:styleId="Emphasis">
    <w:name w:val="Emphasis"/>
    <w:basedOn w:val="DefaultParagraphFont"/>
    <w:uiPriority w:val="20"/>
    <w:qFormat/>
    <w:rsid w:val="00845836"/>
    <w:rPr>
      <w:i/>
      <w:iCs/>
    </w:rPr>
  </w:style>
  <w:style w:type="character" w:styleId="Strong">
    <w:name w:val="Strong"/>
    <w:basedOn w:val="DefaultParagraphFont"/>
    <w:uiPriority w:val="22"/>
    <w:qFormat/>
    <w:rsid w:val="008458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235305">
      <w:bodyDiv w:val="1"/>
      <w:marLeft w:val="0"/>
      <w:marRight w:val="0"/>
      <w:marTop w:val="0"/>
      <w:marBottom w:val="0"/>
      <w:divBdr>
        <w:top w:val="none" w:sz="0" w:space="0" w:color="auto"/>
        <w:left w:val="none" w:sz="0" w:space="0" w:color="auto"/>
        <w:bottom w:val="none" w:sz="0" w:space="0" w:color="auto"/>
        <w:right w:val="none" w:sz="0" w:space="0" w:color="auto"/>
      </w:divBdr>
    </w:div>
    <w:div w:id="294607597">
      <w:bodyDiv w:val="1"/>
      <w:marLeft w:val="0"/>
      <w:marRight w:val="0"/>
      <w:marTop w:val="0"/>
      <w:marBottom w:val="0"/>
      <w:divBdr>
        <w:top w:val="none" w:sz="0" w:space="0" w:color="auto"/>
        <w:left w:val="none" w:sz="0" w:space="0" w:color="auto"/>
        <w:bottom w:val="none" w:sz="0" w:space="0" w:color="auto"/>
        <w:right w:val="none" w:sz="0" w:space="0" w:color="auto"/>
      </w:divBdr>
    </w:div>
    <w:div w:id="334648822">
      <w:bodyDiv w:val="1"/>
      <w:marLeft w:val="0"/>
      <w:marRight w:val="0"/>
      <w:marTop w:val="0"/>
      <w:marBottom w:val="0"/>
      <w:divBdr>
        <w:top w:val="none" w:sz="0" w:space="0" w:color="auto"/>
        <w:left w:val="none" w:sz="0" w:space="0" w:color="auto"/>
        <w:bottom w:val="none" w:sz="0" w:space="0" w:color="auto"/>
        <w:right w:val="none" w:sz="0" w:space="0" w:color="auto"/>
      </w:divBdr>
    </w:div>
    <w:div w:id="391275207">
      <w:bodyDiv w:val="1"/>
      <w:marLeft w:val="0"/>
      <w:marRight w:val="0"/>
      <w:marTop w:val="0"/>
      <w:marBottom w:val="0"/>
      <w:divBdr>
        <w:top w:val="none" w:sz="0" w:space="0" w:color="auto"/>
        <w:left w:val="none" w:sz="0" w:space="0" w:color="auto"/>
        <w:bottom w:val="none" w:sz="0" w:space="0" w:color="auto"/>
        <w:right w:val="none" w:sz="0" w:space="0" w:color="auto"/>
      </w:divBdr>
    </w:div>
    <w:div w:id="405345050">
      <w:bodyDiv w:val="1"/>
      <w:marLeft w:val="0"/>
      <w:marRight w:val="0"/>
      <w:marTop w:val="0"/>
      <w:marBottom w:val="0"/>
      <w:divBdr>
        <w:top w:val="none" w:sz="0" w:space="0" w:color="auto"/>
        <w:left w:val="none" w:sz="0" w:space="0" w:color="auto"/>
        <w:bottom w:val="none" w:sz="0" w:space="0" w:color="auto"/>
        <w:right w:val="none" w:sz="0" w:space="0" w:color="auto"/>
      </w:divBdr>
    </w:div>
    <w:div w:id="516310288">
      <w:bodyDiv w:val="1"/>
      <w:marLeft w:val="0"/>
      <w:marRight w:val="0"/>
      <w:marTop w:val="0"/>
      <w:marBottom w:val="0"/>
      <w:divBdr>
        <w:top w:val="none" w:sz="0" w:space="0" w:color="auto"/>
        <w:left w:val="none" w:sz="0" w:space="0" w:color="auto"/>
        <w:bottom w:val="none" w:sz="0" w:space="0" w:color="auto"/>
        <w:right w:val="none" w:sz="0" w:space="0" w:color="auto"/>
      </w:divBdr>
    </w:div>
    <w:div w:id="678586423">
      <w:bodyDiv w:val="1"/>
      <w:marLeft w:val="0"/>
      <w:marRight w:val="0"/>
      <w:marTop w:val="0"/>
      <w:marBottom w:val="0"/>
      <w:divBdr>
        <w:top w:val="none" w:sz="0" w:space="0" w:color="auto"/>
        <w:left w:val="none" w:sz="0" w:space="0" w:color="auto"/>
        <w:bottom w:val="none" w:sz="0" w:space="0" w:color="auto"/>
        <w:right w:val="none" w:sz="0" w:space="0" w:color="auto"/>
      </w:divBdr>
    </w:div>
    <w:div w:id="706026978">
      <w:bodyDiv w:val="1"/>
      <w:marLeft w:val="0"/>
      <w:marRight w:val="0"/>
      <w:marTop w:val="0"/>
      <w:marBottom w:val="0"/>
      <w:divBdr>
        <w:top w:val="none" w:sz="0" w:space="0" w:color="auto"/>
        <w:left w:val="none" w:sz="0" w:space="0" w:color="auto"/>
        <w:bottom w:val="none" w:sz="0" w:space="0" w:color="auto"/>
        <w:right w:val="none" w:sz="0" w:space="0" w:color="auto"/>
      </w:divBdr>
    </w:div>
    <w:div w:id="720641382">
      <w:bodyDiv w:val="1"/>
      <w:marLeft w:val="0"/>
      <w:marRight w:val="0"/>
      <w:marTop w:val="0"/>
      <w:marBottom w:val="0"/>
      <w:divBdr>
        <w:top w:val="none" w:sz="0" w:space="0" w:color="auto"/>
        <w:left w:val="none" w:sz="0" w:space="0" w:color="auto"/>
        <w:bottom w:val="none" w:sz="0" w:space="0" w:color="auto"/>
        <w:right w:val="none" w:sz="0" w:space="0" w:color="auto"/>
      </w:divBdr>
    </w:div>
    <w:div w:id="773522066">
      <w:bodyDiv w:val="1"/>
      <w:marLeft w:val="0"/>
      <w:marRight w:val="0"/>
      <w:marTop w:val="0"/>
      <w:marBottom w:val="0"/>
      <w:divBdr>
        <w:top w:val="none" w:sz="0" w:space="0" w:color="auto"/>
        <w:left w:val="none" w:sz="0" w:space="0" w:color="auto"/>
        <w:bottom w:val="none" w:sz="0" w:space="0" w:color="auto"/>
        <w:right w:val="none" w:sz="0" w:space="0" w:color="auto"/>
      </w:divBdr>
    </w:div>
    <w:div w:id="888996031">
      <w:bodyDiv w:val="1"/>
      <w:marLeft w:val="0"/>
      <w:marRight w:val="0"/>
      <w:marTop w:val="0"/>
      <w:marBottom w:val="0"/>
      <w:divBdr>
        <w:top w:val="none" w:sz="0" w:space="0" w:color="auto"/>
        <w:left w:val="none" w:sz="0" w:space="0" w:color="auto"/>
        <w:bottom w:val="none" w:sz="0" w:space="0" w:color="auto"/>
        <w:right w:val="none" w:sz="0" w:space="0" w:color="auto"/>
      </w:divBdr>
    </w:div>
    <w:div w:id="917598349">
      <w:bodyDiv w:val="1"/>
      <w:marLeft w:val="0"/>
      <w:marRight w:val="0"/>
      <w:marTop w:val="0"/>
      <w:marBottom w:val="0"/>
      <w:divBdr>
        <w:top w:val="none" w:sz="0" w:space="0" w:color="auto"/>
        <w:left w:val="none" w:sz="0" w:space="0" w:color="auto"/>
        <w:bottom w:val="none" w:sz="0" w:space="0" w:color="auto"/>
        <w:right w:val="none" w:sz="0" w:space="0" w:color="auto"/>
      </w:divBdr>
    </w:div>
    <w:div w:id="932250432">
      <w:bodyDiv w:val="1"/>
      <w:marLeft w:val="0"/>
      <w:marRight w:val="0"/>
      <w:marTop w:val="0"/>
      <w:marBottom w:val="0"/>
      <w:divBdr>
        <w:top w:val="none" w:sz="0" w:space="0" w:color="auto"/>
        <w:left w:val="none" w:sz="0" w:space="0" w:color="auto"/>
        <w:bottom w:val="none" w:sz="0" w:space="0" w:color="auto"/>
        <w:right w:val="none" w:sz="0" w:space="0" w:color="auto"/>
      </w:divBdr>
    </w:div>
    <w:div w:id="1049573910">
      <w:bodyDiv w:val="1"/>
      <w:marLeft w:val="0"/>
      <w:marRight w:val="0"/>
      <w:marTop w:val="0"/>
      <w:marBottom w:val="0"/>
      <w:divBdr>
        <w:top w:val="none" w:sz="0" w:space="0" w:color="auto"/>
        <w:left w:val="none" w:sz="0" w:space="0" w:color="auto"/>
        <w:bottom w:val="none" w:sz="0" w:space="0" w:color="auto"/>
        <w:right w:val="none" w:sz="0" w:space="0" w:color="auto"/>
      </w:divBdr>
    </w:div>
    <w:div w:id="1095399120">
      <w:bodyDiv w:val="1"/>
      <w:marLeft w:val="0"/>
      <w:marRight w:val="0"/>
      <w:marTop w:val="0"/>
      <w:marBottom w:val="0"/>
      <w:divBdr>
        <w:top w:val="none" w:sz="0" w:space="0" w:color="auto"/>
        <w:left w:val="none" w:sz="0" w:space="0" w:color="auto"/>
        <w:bottom w:val="none" w:sz="0" w:space="0" w:color="auto"/>
        <w:right w:val="none" w:sz="0" w:space="0" w:color="auto"/>
      </w:divBdr>
    </w:div>
    <w:div w:id="1107850835">
      <w:bodyDiv w:val="1"/>
      <w:marLeft w:val="0"/>
      <w:marRight w:val="0"/>
      <w:marTop w:val="0"/>
      <w:marBottom w:val="0"/>
      <w:divBdr>
        <w:top w:val="none" w:sz="0" w:space="0" w:color="auto"/>
        <w:left w:val="none" w:sz="0" w:space="0" w:color="auto"/>
        <w:bottom w:val="none" w:sz="0" w:space="0" w:color="auto"/>
        <w:right w:val="none" w:sz="0" w:space="0" w:color="auto"/>
      </w:divBdr>
    </w:div>
    <w:div w:id="1149323641">
      <w:bodyDiv w:val="1"/>
      <w:marLeft w:val="0"/>
      <w:marRight w:val="0"/>
      <w:marTop w:val="0"/>
      <w:marBottom w:val="0"/>
      <w:divBdr>
        <w:top w:val="none" w:sz="0" w:space="0" w:color="auto"/>
        <w:left w:val="none" w:sz="0" w:space="0" w:color="auto"/>
        <w:bottom w:val="none" w:sz="0" w:space="0" w:color="auto"/>
        <w:right w:val="none" w:sz="0" w:space="0" w:color="auto"/>
      </w:divBdr>
    </w:div>
    <w:div w:id="1250653910">
      <w:bodyDiv w:val="1"/>
      <w:marLeft w:val="0"/>
      <w:marRight w:val="0"/>
      <w:marTop w:val="0"/>
      <w:marBottom w:val="0"/>
      <w:divBdr>
        <w:top w:val="none" w:sz="0" w:space="0" w:color="auto"/>
        <w:left w:val="none" w:sz="0" w:space="0" w:color="auto"/>
        <w:bottom w:val="none" w:sz="0" w:space="0" w:color="auto"/>
        <w:right w:val="none" w:sz="0" w:space="0" w:color="auto"/>
      </w:divBdr>
    </w:div>
    <w:div w:id="1356811563">
      <w:bodyDiv w:val="1"/>
      <w:marLeft w:val="0"/>
      <w:marRight w:val="0"/>
      <w:marTop w:val="0"/>
      <w:marBottom w:val="0"/>
      <w:divBdr>
        <w:top w:val="none" w:sz="0" w:space="0" w:color="auto"/>
        <w:left w:val="none" w:sz="0" w:space="0" w:color="auto"/>
        <w:bottom w:val="none" w:sz="0" w:space="0" w:color="auto"/>
        <w:right w:val="none" w:sz="0" w:space="0" w:color="auto"/>
      </w:divBdr>
    </w:div>
    <w:div w:id="1390153402">
      <w:bodyDiv w:val="1"/>
      <w:marLeft w:val="0"/>
      <w:marRight w:val="0"/>
      <w:marTop w:val="0"/>
      <w:marBottom w:val="0"/>
      <w:divBdr>
        <w:top w:val="none" w:sz="0" w:space="0" w:color="auto"/>
        <w:left w:val="none" w:sz="0" w:space="0" w:color="auto"/>
        <w:bottom w:val="none" w:sz="0" w:space="0" w:color="auto"/>
        <w:right w:val="none" w:sz="0" w:space="0" w:color="auto"/>
      </w:divBdr>
    </w:div>
    <w:div w:id="1395661897">
      <w:bodyDiv w:val="1"/>
      <w:marLeft w:val="0"/>
      <w:marRight w:val="0"/>
      <w:marTop w:val="0"/>
      <w:marBottom w:val="0"/>
      <w:divBdr>
        <w:top w:val="none" w:sz="0" w:space="0" w:color="auto"/>
        <w:left w:val="none" w:sz="0" w:space="0" w:color="auto"/>
        <w:bottom w:val="none" w:sz="0" w:space="0" w:color="auto"/>
        <w:right w:val="none" w:sz="0" w:space="0" w:color="auto"/>
      </w:divBdr>
    </w:div>
    <w:div w:id="1414358394">
      <w:bodyDiv w:val="1"/>
      <w:marLeft w:val="0"/>
      <w:marRight w:val="0"/>
      <w:marTop w:val="0"/>
      <w:marBottom w:val="0"/>
      <w:divBdr>
        <w:top w:val="none" w:sz="0" w:space="0" w:color="auto"/>
        <w:left w:val="none" w:sz="0" w:space="0" w:color="auto"/>
        <w:bottom w:val="none" w:sz="0" w:space="0" w:color="auto"/>
        <w:right w:val="none" w:sz="0" w:space="0" w:color="auto"/>
      </w:divBdr>
    </w:div>
    <w:div w:id="1442413021">
      <w:bodyDiv w:val="1"/>
      <w:marLeft w:val="0"/>
      <w:marRight w:val="0"/>
      <w:marTop w:val="0"/>
      <w:marBottom w:val="0"/>
      <w:divBdr>
        <w:top w:val="none" w:sz="0" w:space="0" w:color="auto"/>
        <w:left w:val="none" w:sz="0" w:space="0" w:color="auto"/>
        <w:bottom w:val="none" w:sz="0" w:space="0" w:color="auto"/>
        <w:right w:val="none" w:sz="0" w:space="0" w:color="auto"/>
      </w:divBdr>
    </w:div>
    <w:div w:id="1458600840">
      <w:bodyDiv w:val="1"/>
      <w:marLeft w:val="0"/>
      <w:marRight w:val="0"/>
      <w:marTop w:val="0"/>
      <w:marBottom w:val="0"/>
      <w:divBdr>
        <w:top w:val="none" w:sz="0" w:space="0" w:color="auto"/>
        <w:left w:val="none" w:sz="0" w:space="0" w:color="auto"/>
        <w:bottom w:val="none" w:sz="0" w:space="0" w:color="auto"/>
        <w:right w:val="none" w:sz="0" w:space="0" w:color="auto"/>
      </w:divBdr>
    </w:div>
    <w:div w:id="1791626062">
      <w:bodyDiv w:val="1"/>
      <w:marLeft w:val="0"/>
      <w:marRight w:val="0"/>
      <w:marTop w:val="0"/>
      <w:marBottom w:val="0"/>
      <w:divBdr>
        <w:top w:val="none" w:sz="0" w:space="0" w:color="auto"/>
        <w:left w:val="none" w:sz="0" w:space="0" w:color="auto"/>
        <w:bottom w:val="none" w:sz="0" w:space="0" w:color="auto"/>
        <w:right w:val="none" w:sz="0" w:space="0" w:color="auto"/>
      </w:divBdr>
    </w:div>
    <w:div w:id="1799956060">
      <w:bodyDiv w:val="1"/>
      <w:marLeft w:val="0"/>
      <w:marRight w:val="0"/>
      <w:marTop w:val="0"/>
      <w:marBottom w:val="0"/>
      <w:divBdr>
        <w:top w:val="none" w:sz="0" w:space="0" w:color="auto"/>
        <w:left w:val="none" w:sz="0" w:space="0" w:color="auto"/>
        <w:bottom w:val="none" w:sz="0" w:space="0" w:color="auto"/>
        <w:right w:val="none" w:sz="0" w:space="0" w:color="auto"/>
      </w:divBdr>
    </w:div>
    <w:div w:id="1800490154">
      <w:bodyDiv w:val="1"/>
      <w:marLeft w:val="0"/>
      <w:marRight w:val="0"/>
      <w:marTop w:val="0"/>
      <w:marBottom w:val="0"/>
      <w:divBdr>
        <w:top w:val="none" w:sz="0" w:space="0" w:color="auto"/>
        <w:left w:val="none" w:sz="0" w:space="0" w:color="auto"/>
        <w:bottom w:val="none" w:sz="0" w:space="0" w:color="auto"/>
        <w:right w:val="none" w:sz="0" w:space="0" w:color="auto"/>
      </w:divBdr>
    </w:div>
    <w:div w:id="1909879193">
      <w:bodyDiv w:val="1"/>
      <w:marLeft w:val="0"/>
      <w:marRight w:val="0"/>
      <w:marTop w:val="0"/>
      <w:marBottom w:val="0"/>
      <w:divBdr>
        <w:top w:val="none" w:sz="0" w:space="0" w:color="auto"/>
        <w:left w:val="none" w:sz="0" w:space="0" w:color="auto"/>
        <w:bottom w:val="none" w:sz="0" w:space="0" w:color="auto"/>
        <w:right w:val="none" w:sz="0" w:space="0" w:color="auto"/>
      </w:divBdr>
    </w:div>
    <w:div w:id="1918706643">
      <w:bodyDiv w:val="1"/>
      <w:marLeft w:val="0"/>
      <w:marRight w:val="0"/>
      <w:marTop w:val="0"/>
      <w:marBottom w:val="0"/>
      <w:divBdr>
        <w:top w:val="none" w:sz="0" w:space="0" w:color="auto"/>
        <w:left w:val="none" w:sz="0" w:space="0" w:color="auto"/>
        <w:bottom w:val="none" w:sz="0" w:space="0" w:color="auto"/>
        <w:right w:val="none" w:sz="0" w:space="0" w:color="auto"/>
      </w:divBdr>
    </w:div>
    <w:div w:id="1939754967">
      <w:bodyDiv w:val="1"/>
      <w:marLeft w:val="0"/>
      <w:marRight w:val="0"/>
      <w:marTop w:val="0"/>
      <w:marBottom w:val="0"/>
      <w:divBdr>
        <w:top w:val="none" w:sz="0" w:space="0" w:color="auto"/>
        <w:left w:val="none" w:sz="0" w:space="0" w:color="auto"/>
        <w:bottom w:val="none" w:sz="0" w:space="0" w:color="auto"/>
        <w:right w:val="none" w:sz="0" w:space="0" w:color="auto"/>
      </w:divBdr>
    </w:div>
    <w:div w:id="1986861006">
      <w:bodyDiv w:val="1"/>
      <w:marLeft w:val="0"/>
      <w:marRight w:val="0"/>
      <w:marTop w:val="0"/>
      <w:marBottom w:val="0"/>
      <w:divBdr>
        <w:top w:val="none" w:sz="0" w:space="0" w:color="auto"/>
        <w:left w:val="none" w:sz="0" w:space="0" w:color="auto"/>
        <w:bottom w:val="none" w:sz="0" w:space="0" w:color="auto"/>
        <w:right w:val="none" w:sz="0" w:space="0" w:color="auto"/>
      </w:divBdr>
    </w:div>
    <w:div w:id="198989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11/j.1540-6261.1997.tb03808.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FDBE1-CC59-4106-BF19-5D6CFA6C5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20988</Words>
  <Characters>119634</Characters>
  <Application>Microsoft Office Word</Application>
  <DocSecurity>0</DocSecurity>
  <Lines>996</Lines>
  <Paragraphs>280</Paragraphs>
  <ScaleCrop>false</ScaleCrop>
  <HeadingPairs>
    <vt:vector size="2" baseType="variant">
      <vt:variant>
        <vt:lpstr>Title</vt:lpstr>
      </vt:variant>
      <vt:variant>
        <vt:i4>1</vt:i4>
      </vt:variant>
    </vt:vector>
  </HeadingPairs>
  <TitlesOfParts>
    <vt:vector size="1" baseType="lpstr">
      <vt:lpstr/>
    </vt:vector>
  </TitlesOfParts>
  <Company>Trinity College Dublin</Company>
  <LinksUpToDate>false</LinksUpToDate>
  <CharactersWithSpaces>140342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O'Hagan Luff</dc:creator>
  <cp:lastModifiedBy>Martha O'Hagan Luff</cp:lastModifiedBy>
  <cp:revision>3</cp:revision>
  <cp:lastPrinted>2016-05-17T15:36:00Z</cp:lastPrinted>
  <dcterms:created xsi:type="dcterms:W3CDTF">2019-10-22T12:14:00Z</dcterms:created>
  <dcterms:modified xsi:type="dcterms:W3CDTF">2022-06-20T13:23:00Z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http://www.zotero.org/styles/international-business-review</vt:lpwstr>
  </property>
  <property fmtid="{D5CDD505-2E9C-101B-9397-08002B2CF9AE}" pid="4" name="Mendeley Recent Style Id 0_1">
    <vt:lpwstr>http://www.zotero.org/styles/american-political-science-association</vt:lpwstr>
  </property>
  <property fmtid="{D5CDD505-2E9C-101B-9397-08002B2CF9AE}" pid="5" name="Mendeley Recent Style Name 0_1">
    <vt:lpwstr>American Political Science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17th edition (author-date)</vt:lpwstr>
  </property>
  <property fmtid="{D5CDD505-2E9C-101B-9397-08002B2CF9AE}" pid="12" name="Mendeley Recent Style Id 4_1">
    <vt:lpwstr>http://www.zotero.org/styles/chicago-fullnote-bibliography</vt:lpwstr>
  </property>
  <property fmtid="{D5CDD505-2E9C-101B-9397-08002B2CF9AE}" pid="13" name="Mendeley Recent Style Name 4_1">
    <vt:lpwstr>Chicago Manual of Style 17th edition (full note)</vt:lpwstr>
  </property>
  <property fmtid="{D5CDD505-2E9C-101B-9397-08002B2CF9AE}" pid="14" name="Mendeley Recent Style Id 5_1">
    <vt:lpwstr>http://www.zotero.org/styles/chicago-note-bibliography</vt:lpwstr>
  </property>
  <property fmtid="{D5CDD505-2E9C-101B-9397-08002B2CF9AE}" pid="15" name="Mendeley Recent Style Name 5_1">
    <vt:lpwstr>Chicago Manual of Style 17th edition (note)</vt:lpwstr>
  </property>
  <property fmtid="{D5CDD505-2E9C-101B-9397-08002B2CF9AE}" pid="16" name="Mendeley Recent Style Id 6_1">
    <vt:lpwstr>http://www.zotero.org/styles/harvard1</vt:lpwstr>
  </property>
  <property fmtid="{D5CDD505-2E9C-101B-9397-08002B2CF9AE}" pid="17" name="Mendeley Recent Style Name 6_1">
    <vt:lpwstr>Harvard reference format 1 (deprecated)</vt:lpwstr>
  </property>
  <property fmtid="{D5CDD505-2E9C-101B-9397-08002B2CF9AE}" pid="18" name="Mendeley Recent Style Id 7_1">
    <vt:lpwstr>http://www.zotero.org/styles/international-business-review</vt:lpwstr>
  </property>
  <property fmtid="{D5CDD505-2E9C-101B-9397-08002B2CF9AE}" pid="19" name="Mendeley Recent Style Name 7_1">
    <vt:lpwstr>International Business Review</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2f196152-8064-3a44-b976-100bf94c5289</vt:lpwstr>
  </property>
</Properties>
</file>