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60C9" w:rsidRDefault="00E7559A" w:rsidP="005A772D">
      <w:pPr>
        <w:rPr>
          <w:b/>
          <w:color w:val="000000" w:themeColor="text1"/>
        </w:rPr>
      </w:pPr>
      <w:r>
        <w:rPr>
          <w:b/>
          <w:color w:val="000000" w:themeColor="text1"/>
        </w:rPr>
        <w:t>2020</w:t>
      </w:r>
      <w:r w:rsidR="00E87DDB" w:rsidRPr="006E2281">
        <w:rPr>
          <w:b/>
          <w:color w:val="000000" w:themeColor="text1"/>
        </w:rPr>
        <w:t xml:space="preserve"> international consensus on </w:t>
      </w:r>
      <w:r w:rsidR="00F8340D" w:rsidRPr="006E2281">
        <w:rPr>
          <w:b/>
          <w:color w:val="000000" w:themeColor="text1"/>
        </w:rPr>
        <w:t xml:space="preserve">ANCA </w:t>
      </w:r>
      <w:r w:rsidR="00E87DDB" w:rsidRPr="006E2281">
        <w:rPr>
          <w:b/>
          <w:color w:val="000000" w:themeColor="text1"/>
        </w:rPr>
        <w:t xml:space="preserve">testing </w:t>
      </w:r>
      <w:r w:rsidR="0033648C" w:rsidRPr="006E2281">
        <w:rPr>
          <w:b/>
          <w:color w:val="000000" w:themeColor="text1"/>
        </w:rPr>
        <w:t>beyond systemic vasculitis</w:t>
      </w:r>
    </w:p>
    <w:p w:rsidR="00A760C9" w:rsidRPr="00273675" w:rsidRDefault="00A760C9" w:rsidP="00A760C9">
      <w:r w:rsidRPr="00273675">
        <w:t>Sergey Moiseev</w:t>
      </w:r>
      <w:r w:rsidRPr="00273675">
        <w:rPr>
          <w:vertAlign w:val="superscript"/>
        </w:rPr>
        <w:t>1</w:t>
      </w:r>
      <w:r w:rsidRPr="00273675">
        <w:t>, MD, PhD, Jan Willem Cohen Tervaert</w:t>
      </w:r>
      <w:r w:rsidRPr="00273675">
        <w:rPr>
          <w:vertAlign w:val="superscript"/>
        </w:rPr>
        <w:t>2</w:t>
      </w:r>
      <w:r w:rsidRPr="00273675">
        <w:t>, MD, PhD, Yoshihiro Arimura</w:t>
      </w:r>
      <w:r w:rsidR="00885516">
        <w:rPr>
          <w:vertAlign w:val="superscript"/>
        </w:rPr>
        <w:t>3</w:t>
      </w:r>
      <w:r w:rsidRPr="00273675">
        <w:t>, MD, PhD, Dimitrios P. Bogdanos</w:t>
      </w:r>
      <w:r w:rsidR="00885516">
        <w:rPr>
          <w:vertAlign w:val="superscript"/>
        </w:rPr>
        <w:t>4</w:t>
      </w:r>
      <w:r w:rsidRPr="00273675">
        <w:t>, MD, PhD, Elena Csernok</w:t>
      </w:r>
      <w:r w:rsidR="00885516">
        <w:rPr>
          <w:vertAlign w:val="superscript"/>
        </w:rPr>
        <w:t>5</w:t>
      </w:r>
      <w:r w:rsidRPr="00273675">
        <w:t>, MD, PhD, Jan Damoiseaux</w:t>
      </w:r>
      <w:r w:rsidR="00885516">
        <w:rPr>
          <w:vertAlign w:val="superscript"/>
        </w:rPr>
        <w:t>6</w:t>
      </w:r>
      <w:r w:rsidRPr="00273675">
        <w:t>, PhD, Iris Dotan</w:t>
      </w:r>
      <w:r w:rsidR="00885516">
        <w:rPr>
          <w:vertAlign w:val="superscript"/>
        </w:rPr>
        <w:t>7</w:t>
      </w:r>
      <w:r w:rsidRPr="00273675">
        <w:t>, MD, PhD, Marc Ferrante</w:t>
      </w:r>
      <w:r w:rsidR="00885516">
        <w:rPr>
          <w:vertAlign w:val="superscript"/>
        </w:rPr>
        <w:t>8</w:t>
      </w:r>
      <w:r w:rsidRPr="00273675">
        <w:t>, MD, PhD, Luis Felipe Flores-Suárez</w:t>
      </w:r>
      <w:r w:rsidR="00885516">
        <w:rPr>
          <w:vertAlign w:val="superscript"/>
        </w:rPr>
        <w:t>9</w:t>
      </w:r>
      <w:r w:rsidRPr="00273675">
        <w:t>, MD, PhD, Marvin J Fritzler</w:t>
      </w:r>
      <w:r w:rsidR="00885516">
        <w:rPr>
          <w:vertAlign w:val="superscript"/>
        </w:rPr>
        <w:t>10</w:t>
      </w:r>
      <w:r w:rsidRPr="00273675">
        <w:t>, MD, PhD, Pietro Invernizzi</w:t>
      </w:r>
      <w:r w:rsidR="00885516">
        <w:rPr>
          <w:vertAlign w:val="superscript"/>
        </w:rPr>
        <w:t>11</w:t>
      </w:r>
      <w:r w:rsidRPr="00273675">
        <w:t>, MD, PhD, David Jayne</w:t>
      </w:r>
      <w:r w:rsidR="00885516">
        <w:rPr>
          <w:vertAlign w:val="superscript"/>
        </w:rPr>
        <w:t>12</w:t>
      </w:r>
      <w:r w:rsidRPr="00273675">
        <w:t xml:space="preserve">, MD, PhD, </w:t>
      </w:r>
      <w:r w:rsidR="00885516" w:rsidRPr="00273675">
        <w:t xml:space="preserve">J. </w:t>
      </w:r>
      <w:r w:rsidRPr="00273675">
        <w:t>Charles Jennette</w:t>
      </w:r>
      <w:r w:rsidR="00885516">
        <w:rPr>
          <w:vertAlign w:val="superscript"/>
        </w:rPr>
        <w:t>13</w:t>
      </w:r>
      <w:r w:rsidRPr="00273675">
        <w:t>, MD, PhD, Mark Little</w:t>
      </w:r>
      <w:r w:rsidR="00885516">
        <w:rPr>
          <w:vertAlign w:val="superscript"/>
        </w:rPr>
        <w:t>14</w:t>
      </w:r>
      <w:r w:rsidRPr="00273675">
        <w:t>, MD, PhD, Stephen P. McAdoo</w:t>
      </w:r>
      <w:r w:rsidR="00885516">
        <w:rPr>
          <w:vertAlign w:val="superscript"/>
        </w:rPr>
        <w:t>15</w:t>
      </w:r>
      <w:r w:rsidRPr="00273675">
        <w:t>, MD, PhD, Pavel Novikov</w:t>
      </w:r>
      <w:r w:rsidRPr="00273675">
        <w:rPr>
          <w:vertAlign w:val="superscript"/>
        </w:rPr>
        <w:t>1</w:t>
      </w:r>
      <w:r w:rsidRPr="00273675">
        <w:t>, MD, PhD, Charles D. Pusey</w:t>
      </w:r>
      <w:r w:rsidR="00885516">
        <w:rPr>
          <w:vertAlign w:val="superscript"/>
        </w:rPr>
        <w:t>15</w:t>
      </w:r>
      <w:r w:rsidRPr="00273675">
        <w:t>, MD, PhD, Antonella Radice</w:t>
      </w:r>
      <w:r w:rsidR="00885516">
        <w:rPr>
          <w:vertAlign w:val="superscript"/>
        </w:rPr>
        <w:t>16</w:t>
      </w:r>
      <w:r w:rsidRPr="00273675">
        <w:t xml:space="preserve">, MD, PhD, </w:t>
      </w:r>
      <w:r w:rsidR="00273675" w:rsidRPr="00273675">
        <w:t>Alan D. Salama</w:t>
      </w:r>
      <w:r w:rsidR="00885516">
        <w:rPr>
          <w:vertAlign w:val="superscript"/>
        </w:rPr>
        <w:t>17</w:t>
      </w:r>
      <w:r w:rsidR="00273675" w:rsidRPr="00273675">
        <w:t>, MD, PhD,</w:t>
      </w:r>
      <w:r w:rsidR="00273675">
        <w:t xml:space="preserve"> </w:t>
      </w:r>
      <w:r w:rsidRPr="00273675">
        <w:t>Judith A. Savige</w:t>
      </w:r>
      <w:r w:rsidR="00885516">
        <w:rPr>
          <w:vertAlign w:val="superscript"/>
        </w:rPr>
        <w:t>18</w:t>
      </w:r>
      <w:r w:rsidRPr="00273675">
        <w:t xml:space="preserve">, MD, PhD, </w:t>
      </w:r>
      <w:r w:rsidR="00273675" w:rsidRPr="00273675">
        <w:t>Mårten Segelmark</w:t>
      </w:r>
      <w:r w:rsidR="00885516">
        <w:rPr>
          <w:vertAlign w:val="superscript"/>
        </w:rPr>
        <w:t>19</w:t>
      </w:r>
      <w:r w:rsidR="00273675" w:rsidRPr="00273675">
        <w:t>, MD, PhD, Yehuda Shoenfeld</w:t>
      </w:r>
      <w:r w:rsidR="00885516">
        <w:rPr>
          <w:vertAlign w:val="superscript"/>
        </w:rPr>
        <w:t>20</w:t>
      </w:r>
      <w:r w:rsidR="00273675" w:rsidRPr="00273675">
        <w:t>, MD, PhD, Renato Sinico</w:t>
      </w:r>
      <w:r w:rsidR="00885516">
        <w:rPr>
          <w:vertAlign w:val="superscript"/>
        </w:rPr>
        <w:t>21</w:t>
      </w:r>
      <w:r w:rsidR="00273675" w:rsidRPr="00273675">
        <w:t>, MD, PhD, Maria-José Sousa</w:t>
      </w:r>
      <w:r w:rsidR="00885516">
        <w:rPr>
          <w:vertAlign w:val="superscript"/>
        </w:rPr>
        <w:t>22</w:t>
      </w:r>
      <w:r w:rsidR="00273675" w:rsidRPr="00273675">
        <w:t>, MD, PhD, Ulrich Specks</w:t>
      </w:r>
      <w:r w:rsidR="00885516">
        <w:rPr>
          <w:vertAlign w:val="superscript"/>
        </w:rPr>
        <w:t>23</w:t>
      </w:r>
      <w:r w:rsidR="00273675" w:rsidRPr="00273675">
        <w:t>, MD, PhD, Benjamin Terrier</w:t>
      </w:r>
      <w:r w:rsidR="00885516">
        <w:rPr>
          <w:vertAlign w:val="superscript"/>
        </w:rPr>
        <w:t>24</w:t>
      </w:r>
      <w:r w:rsidR="00273675" w:rsidRPr="00273675">
        <w:t>, MD, PhD, Athanasios G. Tzioufas</w:t>
      </w:r>
      <w:r w:rsidR="00885516">
        <w:rPr>
          <w:vertAlign w:val="superscript"/>
        </w:rPr>
        <w:t>25</w:t>
      </w:r>
      <w:r w:rsidR="00273675" w:rsidRPr="00273675">
        <w:t xml:space="preserve">, MD, PhD, </w:t>
      </w:r>
      <w:r w:rsidRPr="00273675">
        <w:t>Severine Vermeire</w:t>
      </w:r>
      <w:r w:rsidR="00885516">
        <w:rPr>
          <w:vertAlign w:val="superscript"/>
        </w:rPr>
        <w:t>8</w:t>
      </w:r>
      <w:r w:rsidRPr="00273675">
        <w:t>, MD</w:t>
      </w:r>
      <w:r w:rsidR="00273675" w:rsidRPr="00273675">
        <w:t xml:space="preserve">, PhD, </w:t>
      </w:r>
      <w:r w:rsidRPr="00273675">
        <w:t>Ming-Hui Zhao</w:t>
      </w:r>
      <w:r w:rsidR="00885516">
        <w:rPr>
          <w:vertAlign w:val="superscript"/>
        </w:rPr>
        <w:t>26</w:t>
      </w:r>
      <w:r w:rsidRPr="00273675">
        <w:t>, MD</w:t>
      </w:r>
      <w:r w:rsidR="00273675" w:rsidRPr="00273675">
        <w:t>, PhD</w:t>
      </w:r>
      <w:r w:rsidR="00885516">
        <w:t xml:space="preserve">, </w:t>
      </w:r>
      <w:r w:rsidR="00885516" w:rsidRPr="00273675">
        <w:t>Xavier Bossuyt</w:t>
      </w:r>
      <w:r w:rsidR="00885516">
        <w:rPr>
          <w:vertAlign w:val="superscript"/>
        </w:rPr>
        <w:t>27</w:t>
      </w:r>
      <w:r w:rsidR="00885516">
        <w:t>, MD, PhD</w:t>
      </w:r>
    </w:p>
    <w:p w:rsidR="000008D0" w:rsidRDefault="00A760C9" w:rsidP="00273675">
      <w:pPr>
        <w:rPr>
          <w:sz w:val="22"/>
        </w:rPr>
      </w:pPr>
      <w:r w:rsidRPr="00273675">
        <w:rPr>
          <w:sz w:val="22"/>
          <w:vertAlign w:val="superscript"/>
        </w:rPr>
        <w:t>1</w:t>
      </w:r>
      <w:r w:rsidRPr="00273675">
        <w:rPr>
          <w:sz w:val="22"/>
        </w:rPr>
        <w:t xml:space="preserve">Tareev Clinic of Internal Diseases, Sechenov First Moscow State Medical University, Moscow, Russia, </w:t>
      </w:r>
    </w:p>
    <w:p w:rsidR="000008D0" w:rsidRDefault="00A760C9" w:rsidP="00273675">
      <w:pPr>
        <w:rPr>
          <w:sz w:val="22"/>
        </w:rPr>
      </w:pPr>
      <w:r w:rsidRPr="00273675">
        <w:rPr>
          <w:sz w:val="22"/>
          <w:vertAlign w:val="superscript"/>
        </w:rPr>
        <w:t>2</w:t>
      </w:r>
      <w:r w:rsidRPr="00273675">
        <w:rPr>
          <w:sz w:val="22"/>
        </w:rPr>
        <w:t xml:space="preserve">Department of Medicine, </w:t>
      </w:r>
      <w:r w:rsidR="00492E33">
        <w:rPr>
          <w:sz w:val="22"/>
        </w:rPr>
        <w:t xml:space="preserve">Division of Rheumatology, </w:t>
      </w:r>
      <w:r w:rsidR="00492E33" w:rsidRPr="00273675">
        <w:rPr>
          <w:sz w:val="22"/>
        </w:rPr>
        <w:t>University of Alberta, Edmonton, Canada</w:t>
      </w:r>
      <w:r w:rsidR="00492E33">
        <w:rPr>
          <w:sz w:val="22"/>
        </w:rPr>
        <w:t xml:space="preserve"> and </w:t>
      </w:r>
      <w:r w:rsidR="00492E33" w:rsidRPr="00273675">
        <w:rPr>
          <w:sz w:val="22"/>
        </w:rPr>
        <w:t>Maastricht University, Maastricht, The Netherlands</w:t>
      </w:r>
      <w:r w:rsidR="00492E33">
        <w:rPr>
          <w:sz w:val="22"/>
        </w:rPr>
        <w:t>,</w:t>
      </w:r>
      <w:r w:rsidRPr="00273675">
        <w:rPr>
          <w:sz w:val="22"/>
        </w:rPr>
        <w:t xml:space="preserve"> </w:t>
      </w:r>
    </w:p>
    <w:p w:rsidR="000008D0" w:rsidRDefault="00885516" w:rsidP="00273675">
      <w:pPr>
        <w:rPr>
          <w:sz w:val="22"/>
        </w:rPr>
      </w:pPr>
      <w:r>
        <w:rPr>
          <w:sz w:val="22"/>
          <w:vertAlign w:val="superscript"/>
        </w:rPr>
        <w:t>3</w:t>
      </w:r>
      <w:r w:rsidR="0000669E" w:rsidRPr="0000669E">
        <w:rPr>
          <w:sz w:val="22"/>
        </w:rPr>
        <w:t>Department of Nephrology and Rheumatology, Kyorin University School of Medicine</w:t>
      </w:r>
      <w:r w:rsidR="00A760C9" w:rsidRPr="00273675">
        <w:rPr>
          <w:sz w:val="22"/>
        </w:rPr>
        <w:t xml:space="preserve">, Tokyo, Japan, </w:t>
      </w:r>
    </w:p>
    <w:p w:rsidR="000008D0" w:rsidRDefault="00885516" w:rsidP="00273675">
      <w:pPr>
        <w:rPr>
          <w:sz w:val="22"/>
        </w:rPr>
      </w:pPr>
      <w:r>
        <w:rPr>
          <w:sz w:val="22"/>
          <w:vertAlign w:val="superscript"/>
        </w:rPr>
        <w:t>4</w:t>
      </w:r>
      <w:r w:rsidR="00A760C9" w:rsidRPr="00273675">
        <w:rPr>
          <w:sz w:val="22"/>
        </w:rPr>
        <w:t xml:space="preserve">Department of Rheumatology and Clinical Immunology, Faculty of Medicine, School of Health Sciences, University of Thessaly, Biopolis, Larissa, Greece, </w:t>
      </w:r>
    </w:p>
    <w:p w:rsidR="000008D0" w:rsidRPr="00D308C1" w:rsidRDefault="00885516" w:rsidP="00273675">
      <w:pPr>
        <w:rPr>
          <w:sz w:val="22"/>
        </w:rPr>
      </w:pPr>
      <w:r>
        <w:rPr>
          <w:sz w:val="22"/>
          <w:vertAlign w:val="superscript"/>
        </w:rPr>
        <w:t>5</w:t>
      </w:r>
      <w:r w:rsidR="00A760C9" w:rsidRPr="00273675">
        <w:rPr>
          <w:sz w:val="22"/>
        </w:rPr>
        <w:t xml:space="preserve">Department of Internal Medicine, Rheumatology and Immunology, Vasculitis-Center Tübingen-Kirchheim, Medius Klinik Kirchheim, University of Tübingen, Kirchheim-Teck, Germany, </w:t>
      </w:r>
    </w:p>
    <w:p w:rsidR="000008D0" w:rsidRDefault="00885516" w:rsidP="00273675">
      <w:pPr>
        <w:rPr>
          <w:sz w:val="22"/>
          <w:vertAlign w:val="superscript"/>
        </w:rPr>
      </w:pPr>
      <w:r>
        <w:rPr>
          <w:sz w:val="22"/>
          <w:vertAlign w:val="superscript"/>
        </w:rPr>
        <w:t>6</w:t>
      </w:r>
      <w:r w:rsidR="00657689">
        <w:rPr>
          <w:sz w:val="22"/>
        </w:rPr>
        <w:t xml:space="preserve">Central Diagnostic Laboratory, </w:t>
      </w:r>
      <w:r w:rsidR="00A760C9" w:rsidRPr="00273675">
        <w:rPr>
          <w:sz w:val="22"/>
        </w:rPr>
        <w:t xml:space="preserve">Maastricht University Medical Centre, Maastricht, </w:t>
      </w:r>
      <w:r w:rsidR="00657689">
        <w:rPr>
          <w:sz w:val="22"/>
        </w:rPr>
        <w:t xml:space="preserve">The </w:t>
      </w:r>
      <w:r w:rsidR="00A760C9" w:rsidRPr="00273675">
        <w:rPr>
          <w:sz w:val="22"/>
        </w:rPr>
        <w:t>Netherlands,</w:t>
      </w:r>
      <w:r w:rsidR="00A760C9" w:rsidRPr="00273675">
        <w:rPr>
          <w:sz w:val="22"/>
          <w:vertAlign w:val="superscript"/>
        </w:rPr>
        <w:t xml:space="preserve"> </w:t>
      </w:r>
    </w:p>
    <w:p w:rsidR="000008D0" w:rsidRDefault="00885516" w:rsidP="00273675">
      <w:pPr>
        <w:rPr>
          <w:sz w:val="22"/>
        </w:rPr>
      </w:pPr>
      <w:r>
        <w:rPr>
          <w:sz w:val="22"/>
          <w:vertAlign w:val="superscript"/>
        </w:rPr>
        <w:t>7</w:t>
      </w:r>
      <w:r w:rsidR="00A760C9" w:rsidRPr="00273675">
        <w:rPr>
          <w:sz w:val="22"/>
        </w:rPr>
        <w:t xml:space="preserve">Sackler Faculty of Medicine, Tel Aviv University, Division of Gastroenterology, Rabin Medical Center, Beilinson Campus, Petah Tikva, Israel, </w:t>
      </w:r>
    </w:p>
    <w:p w:rsidR="000008D0" w:rsidRDefault="00885516" w:rsidP="00273675">
      <w:pPr>
        <w:rPr>
          <w:sz w:val="22"/>
        </w:rPr>
      </w:pPr>
      <w:r>
        <w:rPr>
          <w:sz w:val="22"/>
          <w:vertAlign w:val="superscript"/>
        </w:rPr>
        <w:t>8</w:t>
      </w:r>
      <w:r w:rsidR="00A760C9" w:rsidRPr="00273675">
        <w:rPr>
          <w:sz w:val="22"/>
        </w:rPr>
        <w:t xml:space="preserve">University Hospitals Leuven, Department of Gastroenterology and Hepatology, KU Leuven, Leuven, Belgium, </w:t>
      </w:r>
    </w:p>
    <w:p w:rsidR="000008D0" w:rsidRDefault="00885516" w:rsidP="00273675">
      <w:pPr>
        <w:rPr>
          <w:sz w:val="22"/>
        </w:rPr>
      </w:pPr>
      <w:r>
        <w:rPr>
          <w:sz w:val="22"/>
          <w:vertAlign w:val="superscript"/>
        </w:rPr>
        <w:t>9</w:t>
      </w:r>
      <w:r w:rsidR="00A760C9" w:rsidRPr="00273675">
        <w:rPr>
          <w:sz w:val="22"/>
        </w:rPr>
        <w:t xml:space="preserve">Instituto Nacional de Enfermedades Respiratorias, Mexico, Mexico City, Mexico, </w:t>
      </w:r>
    </w:p>
    <w:p w:rsidR="00885516" w:rsidRDefault="00A760C9" w:rsidP="00273675">
      <w:pPr>
        <w:rPr>
          <w:sz w:val="22"/>
        </w:rPr>
      </w:pPr>
      <w:r w:rsidRPr="00273675">
        <w:rPr>
          <w:b/>
          <w:sz w:val="22"/>
          <w:vertAlign w:val="superscript"/>
        </w:rPr>
        <w:t>1</w:t>
      </w:r>
      <w:r w:rsidR="00885516">
        <w:rPr>
          <w:b/>
          <w:sz w:val="22"/>
          <w:vertAlign w:val="superscript"/>
        </w:rPr>
        <w:t>0</w:t>
      </w:r>
      <w:r w:rsidRPr="00273675">
        <w:rPr>
          <w:sz w:val="22"/>
        </w:rPr>
        <w:t>Cumming School of Medicine, University of Calgary, Calgary, Alberta, Canada,</w:t>
      </w:r>
    </w:p>
    <w:p w:rsidR="000008D0" w:rsidRDefault="00885516" w:rsidP="0000669E">
      <w:pPr>
        <w:rPr>
          <w:sz w:val="22"/>
        </w:rPr>
      </w:pPr>
      <w:r>
        <w:rPr>
          <w:sz w:val="22"/>
          <w:vertAlign w:val="superscript"/>
        </w:rPr>
        <w:lastRenderedPageBreak/>
        <w:t>11</w:t>
      </w:r>
      <w:r w:rsidR="0000669E" w:rsidRPr="0000669E">
        <w:rPr>
          <w:sz w:val="22"/>
        </w:rPr>
        <w:t>Division Gastroenterology and Center for Autoimmune Liver Diseases</w:t>
      </w:r>
      <w:r w:rsidR="0000669E">
        <w:rPr>
          <w:sz w:val="22"/>
        </w:rPr>
        <w:t xml:space="preserve">, </w:t>
      </w:r>
      <w:r w:rsidR="0000669E" w:rsidRPr="0000669E">
        <w:rPr>
          <w:sz w:val="22"/>
        </w:rPr>
        <w:t>University of Milano - Bicocca School of Medicine</w:t>
      </w:r>
      <w:r w:rsidR="0000669E">
        <w:rPr>
          <w:sz w:val="22"/>
        </w:rPr>
        <w:t xml:space="preserve">, </w:t>
      </w:r>
      <w:r w:rsidR="0000669E" w:rsidRPr="0000669E">
        <w:rPr>
          <w:sz w:val="22"/>
        </w:rPr>
        <w:t>Monza,</w:t>
      </w:r>
      <w:r w:rsidR="00A760C9" w:rsidRPr="00273675">
        <w:rPr>
          <w:sz w:val="22"/>
        </w:rPr>
        <w:t xml:space="preserve"> Italy, </w:t>
      </w:r>
    </w:p>
    <w:p w:rsidR="000008D0" w:rsidRDefault="00885516" w:rsidP="00273675">
      <w:pPr>
        <w:rPr>
          <w:sz w:val="22"/>
        </w:rPr>
      </w:pPr>
      <w:r>
        <w:rPr>
          <w:sz w:val="22"/>
          <w:vertAlign w:val="superscript"/>
        </w:rPr>
        <w:t>12</w:t>
      </w:r>
      <w:r w:rsidR="00A760C9" w:rsidRPr="00273675">
        <w:rPr>
          <w:sz w:val="22"/>
        </w:rPr>
        <w:t xml:space="preserve">Department of Medicine, University of Cambridge, Cambridge, UK, </w:t>
      </w:r>
    </w:p>
    <w:p w:rsidR="000008D0" w:rsidRDefault="00885516" w:rsidP="00273675">
      <w:pPr>
        <w:rPr>
          <w:sz w:val="22"/>
        </w:rPr>
      </w:pPr>
      <w:r>
        <w:rPr>
          <w:sz w:val="22"/>
          <w:vertAlign w:val="superscript"/>
        </w:rPr>
        <w:t>13</w:t>
      </w:r>
      <w:r w:rsidR="0000669E" w:rsidRPr="0000669E">
        <w:rPr>
          <w:sz w:val="22"/>
        </w:rPr>
        <w:t>Division of Nephropathology</w:t>
      </w:r>
      <w:r w:rsidR="0000669E">
        <w:rPr>
          <w:sz w:val="22"/>
        </w:rPr>
        <w:t xml:space="preserve">, </w:t>
      </w:r>
      <w:r w:rsidR="0000669E" w:rsidRPr="0000669E">
        <w:rPr>
          <w:sz w:val="22"/>
        </w:rPr>
        <w:t>School of Medicine</w:t>
      </w:r>
      <w:r w:rsidR="0000669E">
        <w:rPr>
          <w:sz w:val="22"/>
        </w:rPr>
        <w:t xml:space="preserve">, </w:t>
      </w:r>
      <w:r w:rsidR="0000669E" w:rsidRPr="0000669E">
        <w:rPr>
          <w:sz w:val="22"/>
        </w:rPr>
        <w:t>University of No</w:t>
      </w:r>
      <w:r w:rsidR="007D35B3">
        <w:rPr>
          <w:sz w:val="22"/>
        </w:rPr>
        <w:t>r</w:t>
      </w:r>
      <w:r w:rsidR="0000669E" w:rsidRPr="0000669E">
        <w:rPr>
          <w:sz w:val="22"/>
        </w:rPr>
        <w:t>th Carolina</w:t>
      </w:r>
      <w:r w:rsidR="00A760C9" w:rsidRPr="00273675">
        <w:rPr>
          <w:sz w:val="22"/>
        </w:rPr>
        <w:t xml:space="preserve">, Chapel Hill, NC, USA, </w:t>
      </w:r>
    </w:p>
    <w:p w:rsidR="000008D0" w:rsidRDefault="00885516" w:rsidP="00273675">
      <w:pPr>
        <w:rPr>
          <w:sz w:val="22"/>
        </w:rPr>
      </w:pPr>
      <w:r>
        <w:rPr>
          <w:sz w:val="22"/>
          <w:vertAlign w:val="superscript"/>
        </w:rPr>
        <w:t>14</w:t>
      </w:r>
      <w:r w:rsidR="00A760C9" w:rsidRPr="00273675">
        <w:rPr>
          <w:sz w:val="22"/>
        </w:rPr>
        <w:t xml:space="preserve">Trinity Health Kidney Centre, Trinity Translational Medicine Institute, Dublin, Ireland, </w:t>
      </w:r>
    </w:p>
    <w:p w:rsidR="000008D0" w:rsidRDefault="00885516" w:rsidP="00273675">
      <w:pPr>
        <w:rPr>
          <w:sz w:val="22"/>
        </w:rPr>
      </w:pPr>
      <w:r>
        <w:rPr>
          <w:sz w:val="22"/>
          <w:vertAlign w:val="superscript"/>
        </w:rPr>
        <w:t>15</w:t>
      </w:r>
      <w:r w:rsidR="00A760C9" w:rsidRPr="00273675">
        <w:rPr>
          <w:sz w:val="22"/>
        </w:rPr>
        <w:t xml:space="preserve">Centre for Inflammatory Disease, Department of Medicine, Imperial College London, London, UK, </w:t>
      </w:r>
    </w:p>
    <w:p w:rsidR="000008D0" w:rsidRDefault="00A760C9" w:rsidP="00273675">
      <w:pPr>
        <w:rPr>
          <w:sz w:val="22"/>
        </w:rPr>
      </w:pPr>
      <w:r w:rsidRPr="00273675">
        <w:rPr>
          <w:b/>
          <w:sz w:val="22"/>
          <w:vertAlign w:val="superscript"/>
        </w:rPr>
        <w:t>1</w:t>
      </w:r>
      <w:r w:rsidR="00885516">
        <w:rPr>
          <w:b/>
          <w:sz w:val="22"/>
          <w:vertAlign w:val="superscript"/>
        </w:rPr>
        <w:t>6</w:t>
      </w:r>
      <w:r w:rsidRPr="00273675">
        <w:rPr>
          <w:sz w:val="22"/>
        </w:rPr>
        <w:t xml:space="preserve">Microbiology and Virology Institute, ASST Santi Paolo e Carlo, San Carlo Borromeo Hospital, Milan, Italy, </w:t>
      </w:r>
    </w:p>
    <w:p w:rsidR="000008D0" w:rsidRDefault="00885516" w:rsidP="00273675">
      <w:pPr>
        <w:rPr>
          <w:sz w:val="22"/>
        </w:rPr>
      </w:pPr>
      <w:r>
        <w:rPr>
          <w:sz w:val="22"/>
          <w:vertAlign w:val="superscript"/>
        </w:rPr>
        <w:t>17</w:t>
      </w:r>
      <w:r w:rsidR="00EB040A" w:rsidRPr="00EB040A">
        <w:rPr>
          <w:sz w:val="22"/>
        </w:rPr>
        <w:t>UCL</w:t>
      </w:r>
      <w:r w:rsidR="00657689">
        <w:rPr>
          <w:sz w:val="22"/>
        </w:rPr>
        <w:t xml:space="preserve"> </w:t>
      </w:r>
      <w:r w:rsidR="00657689" w:rsidRPr="00657689">
        <w:rPr>
          <w:sz w:val="22"/>
        </w:rPr>
        <w:t>Department of Renal medicine</w:t>
      </w:r>
      <w:r w:rsidR="00EB040A" w:rsidRPr="00EB040A">
        <w:rPr>
          <w:sz w:val="22"/>
        </w:rPr>
        <w:t>, Royal Free Hospital</w:t>
      </w:r>
      <w:r w:rsidR="00273675" w:rsidRPr="00273675">
        <w:rPr>
          <w:sz w:val="22"/>
        </w:rPr>
        <w:t xml:space="preserve">, London, UK, </w:t>
      </w:r>
    </w:p>
    <w:p w:rsidR="000008D0" w:rsidRDefault="00885516" w:rsidP="00273675">
      <w:pPr>
        <w:rPr>
          <w:sz w:val="22"/>
        </w:rPr>
      </w:pPr>
      <w:r>
        <w:rPr>
          <w:sz w:val="22"/>
          <w:vertAlign w:val="superscript"/>
        </w:rPr>
        <w:t>18</w:t>
      </w:r>
      <w:r w:rsidR="00A760C9" w:rsidRPr="00273675">
        <w:rPr>
          <w:sz w:val="22"/>
        </w:rPr>
        <w:t xml:space="preserve">Department of Medicine, Melbourne Health, University of Melbourne, Melbourne, Australia, </w:t>
      </w:r>
    </w:p>
    <w:p w:rsidR="000008D0" w:rsidRDefault="00885516" w:rsidP="00273675">
      <w:pPr>
        <w:rPr>
          <w:sz w:val="22"/>
        </w:rPr>
      </w:pPr>
      <w:r>
        <w:rPr>
          <w:sz w:val="22"/>
          <w:vertAlign w:val="superscript"/>
        </w:rPr>
        <w:t>19</w:t>
      </w:r>
      <w:r w:rsidR="00273675" w:rsidRPr="00273675">
        <w:rPr>
          <w:sz w:val="22"/>
        </w:rPr>
        <w:t>Department of Clinical Sciences, Lund University</w:t>
      </w:r>
      <w:r w:rsidR="007C70F8">
        <w:rPr>
          <w:sz w:val="22"/>
        </w:rPr>
        <w:t>,</w:t>
      </w:r>
      <w:r w:rsidR="00273675" w:rsidRPr="00273675">
        <w:rPr>
          <w:sz w:val="22"/>
        </w:rPr>
        <w:t xml:space="preserve"> Department of Nephrology and Rheumatology, Skane University Hospital, Lund, Sweden, </w:t>
      </w:r>
    </w:p>
    <w:p w:rsidR="000008D0" w:rsidRDefault="00885516" w:rsidP="00273675">
      <w:pPr>
        <w:rPr>
          <w:sz w:val="22"/>
        </w:rPr>
      </w:pPr>
      <w:r>
        <w:rPr>
          <w:sz w:val="22"/>
          <w:vertAlign w:val="superscript"/>
        </w:rPr>
        <w:t>20</w:t>
      </w:r>
      <w:r w:rsidR="00273675" w:rsidRPr="00273675">
        <w:rPr>
          <w:sz w:val="22"/>
        </w:rPr>
        <w:t xml:space="preserve">Zabludowicz Center for Autoimmune Diseases, Sheba Medical Center, Tel Hashomer, Sackler Faculty of Medicine, Tel Aviv University, Tel Aviv, Israel, Sechenov First Moscow State Medical University, Moscow, Russia, </w:t>
      </w:r>
    </w:p>
    <w:p w:rsidR="000008D0" w:rsidRDefault="00885516" w:rsidP="00273675">
      <w:pPr>
        <w:rPr>
          <w:sz w:val="22"/>
        </w:rPr>
      </w:pPr>
      <w:r>
        <w:rPr>
          <w:sz w:val="22"/>
          <w:vertAlign w:val="superscript"/>
        </w:rPr>
        <w:t>21</w:t>
      </w:r>
      <w:r w:rsidR="00273675" w:rsidRPr="00273675">
        <w:rPr>
          <w:sz w:val="22"/>
        </w:rPr>
        <w:t xml:space="preserve">Department of Medicine and Surgery, Università degli Studi di Milano-Bicocca, Monza, Italy, </w:t>
      </w:r>
    </w:p>
    <w:p w:rsidR="000008D0" w:rsidRDefault="00885516" w:rsidP="00273675">
      <w:pPr>
        <w:rPr>
          <w:sz w:val="22"/>
        </w:rPr>
      </w:pPr>
      <w:r>
        <w:rPr>
          <w:sz w:val="22"/>
          <w:vertAlign w:val="superscript"/>
        </w:rPr>
        <w:t>22</w:t>
      </w:r>
      <w:r w:rsidR="00273675" w:rsidRPr="00273675">
        <w:rPr>
          <w:sz w:val="22"/>
        </w:rPr>
        <w:t xml:space="preserve">Immunopathology and Autoimmunity Department, Centro de Medicina Laboratorial Germano de Sousa, Lisbon, Portugal, </w:t>
      </w:r>
    </w:p>
    <w:p w:rsidR="000008D0" w:rsidRDefault="00885516" w:rsidP="00273675">
      <w:pPr>
        <w:rPr>
          <w:sz w:val="22"/>
        </w:rPr>
      </w:pPr>
      <w:r>
        <w:rPr>
          <w:sz w:val="22"/>
          <w:vertAlign w:val="superscript"/>
        </w:rPr>
        <w:t>23</w:t>
      </w:r>
      <w:r w:rsidR="00273675" w:rsidRPr="00273675">
        <w:rPr>
          <w:sz w:val="22"/>
        </w:rPr>
        <w:t xml:space="preserve">Division of Pulmonary and Critical Care Medicine, Mayo Clinic, Rochester, MN, USA, </w:t>
      </w:r>
    </w:p>
    <w:p w:rsidR="000008D0" w:rsidRDefault="00885516" w:rsidP="00273675">
      <w:pPr>
        <w:rPr>
          <w:sz w:val="22"/>
        </w:rPr>
      </w:pPr>
      <w:r>
        <w:rPr>
          <w:sz w:val="22"/>
          <w:vertAlign w:val="superscript"/>
        </w:rPr>
        <w:t>24</w:t>
      </w:r>
      <w:r w:rsidR="00273675" w:rsidRPr="00273675">
        <w:rPr>
          <w:sz w:val="22"/>
        </w:rPr>
        <w:t xml:space="preserve">Department of Internal Medicine, National Referral Center for Rare Systemic and Autoimmune Diseases, Hôpital Cochin, Paris, France, </w:t>
      </w:r>
    </w:p>
    <w:p w:rsidR="000008D0" w:rsidRDefault="00885516" w:rsidP="00273675">
      <w:pPr>
        <w:rPr>
          <w:sz w:val="22"/>
        </w:rPr>
      </w:pPr>
      <w:r>
        <w:rPr>
          <w:sz w:val="22"/>
          <w:vertAlign w:val="superscript"/>
        </w:rPr>
        <w:t>25</w:t>
      </w:r>
      <w:r w:rsidR="00273675" w:rsidRPr="00273675">
        <w:rPr>
          <w:sz w:val="22"/>
        </w:rPr>
        <w:t xml:space="preserve">Department of Pathophysiology, Medical School, National and Kapodistrian University of Athens, Athens, Greece, </w:t>
      </w:r>
    </w:p>
    <w:p w:rsidR="00885516" w:rsidRDefault="00273675" w:rsidP="00273675">
      <w:pPr>
        <w:rPr>
          <w:sz w:val="22"/>
        </w:rPr>
      </w:pPr>
      <w:r w:rsidRPr="00273675">
        <w:rPr>
          <w:sz w:val="22"/>
          <w:vertAlign w:val="superscript"/>
        </w:rPr>
        <w:t>2</w:t>
      </w:r>
      <w:r w:rsidR="00885516">
        <w:rPr>
          <w:sz w:val="22"/>
          <w:vertAlign w:val="superscript"/>
        </w:rPr>
        <w:t>6</w:t>
      </w:r>
      <w:r w:rsidRPr="00273675">
        <w:rPr>
          <w:sz w:val="22"/>
        </w:rPr>
        <w:t>Renal Division, Peking University First Hospital; Key Laboratory of Renal Disease, Ministry of Health of China; Key Laboratory of CKD Prevention and Treatment, Ministry of Education of China; Peking-Tsinghua Centre for</w:t>
      </w:r>
      <w:r w:rsidR="00885516">
        <w:rPr>
          <w:sz w:val="22"/>
        </w:rPr>
        <w:t xml:space="preserve"> Life Sciences; Beijing, China,</w:t>
      </w:r>
    </w:p>
    <w:p w:rsidR="00885516" w:rsidRDefault="00885516" w:rsidP="00885516">
      <w:pPr>
        <w:rPr>
          <w:sz w:val="22"/>
        </w:rPr>
      </w:pPr>
      <w:r>
        <w:rPr>
          <w:sz w:val="22"/>
          <w:vertAlign w:val="superscript"/>
        </w:rPr>
        <w:t>27</w:t>
      </w:r>
      <w:r w:rsidRPr="00273675">
        <w:rPr>
          <w:sz w:val="22"/>
        </w:rPr>
        <w:t xml:space="preserve">Laboratory Medicine, University Hospitals Leuven, Department of Microbiology and Immunology, KU Leuven, Leuven, Belgium, </w:t>
      </w:r>
    </w:p>
    <w:p w:rsidR="00657689" w:rsidRPr="00657689" w:rsidRDefault="00657689" w:rsidP="00A760C9">
      <w:pPr>
        <w:rPr>
          <w:b/>
          <w:color w:val="000000" w:themeColor="text1"/>
        </w:rPr>
      </w:pPr>
      <w:r>
        <w:rPr>
          <w:b/>
          <w:color w:val="000000" w:themeColor="text1"/>
        </w:rPr>
        <w:lastRenderedPageBreak/>
        <w:t>Abstract</w:t>
      </w:r>
    </w:p>
    <w:p w:rsidR="00A760C9" w:rsidRDefault="00A760C9" w:rsidP="00A760C9">
      <w:pPr>
        <w:rPr>
          <w:rFonts w:cs="Times New Roman"/>
          <w:color w:val="000000" w:themeColor="text1"/>
          <w:szCs w:val="20"/>
        </w:rPr>
      </w:pPr>
      <w:r w:rsidRPr="00D308C1">
        <w:rPr>
          <w:color w:val="000000" w:themeColor="text1"/>
        </w:rPr>
        <w:t xml:space="preserve">This </w:t>
      </w:r>
      <w:r w:rsidRPr="006E2281">
        <w:rPr>
          <w:color w:val="000000" w:themeColor="text1"/>
        </w:rPr>
        <w:t>document</w:t>
      </w:r>
      <w:r>
        <w:rPr>
          <w:color w:val="000000" w:themeColor="text1"/>
        </w:rPr>
        <w:t xml:space="preserve"> </w:t>
      </w:r>
      <w:r w:rsidRPr="00D308C1">
        <w:rPr>
          <w:color w:val="000000" w:themeColor="text1"/>
        </w:rPr>
        <w:t>follows up on a 2017 revised international</w:t>
      </w:r>
      <w:r w:rsidRPr="006E2281">
        <w:rPr>
          <w:color w:val="000000" w:themeColor="text1"/>
        </w:rPr>
        <w:t xml:space="preserve"> </w:t>
      </w:r>
      <w:r w:rsidRPr="00D308C1">
        <w:rPr>
          <w:color w:val="000000" w:themeColor="text1"/>
        </w:rPr>
        <w:t xml:space="preserve">consensus on </w:t>
      </w:r>
      <w:r>
        <w:rPr>
          <w:color w:val="000000" w:themeColor="text1"/>
        </w:rPr>
        <w:t>anti-neutrophil cytoplasm antibodies</w:t>
      </w:r>
      <w:r w:rsidRPr="00D308C1">
        <w:rPr>
          <w:color w:val="000000" w:themeColor="text1"/>
        </w:rPr>
        <w:t xml:space="preserve"> (ANCA) testing in granulomatosis with polyangiitis and microscopic polyangiitis</w:t>
      </w:r>
      <w:r w:rsidRPr="006E2281">
        <w:rPr>
          <w:color w:val="000000" w:themeColor="text1"/>
        </w:rPr>
        <w:t xml:space="preserve"> and</w:t>
      </w:r>
      <w:r w:rsidRPr="00D308C1">
        <w:rPr>
          <w:color w:val="000000" w:themeColor="text1"/>
        </w:rPr>
        <w:t xml:space="preserve"> focuses on the clinical and diagnostic value of</w:t>
      </w:r>
      <w:r w:rsidRPr="00D1448F">
        <w:rPr>
          <w:lang w:val="en-IE"/>
        </w:rPr>
        <w:t xml:space="preserve"> </w:t>
      </w:r>
      <w:r w:rsidRPr="00D308C1">
        <w:rPr>
          <w:color w:val="000000" w:themeColor="text1"/>
        </w:rPr>
        <w:t xml:space="preserve">ANCA detection in patients with connective tissue diseases, idiopathic interstitial pneumonia, autoimmune liver diseases, inflammatory bowel diseases, anti-glomerular basement membrane (GBM) disease, infections, malignancy, </w:t>
      </w:r>
      <w:r w:rsidR="00D7017F" w:rsidRPr="00D308C1">
        <w:rPr>
          <w:color w:val="000000" w:themeColor="text1"/>
        </w:rPr>
        <w:t xml:space="preserve">and during </w:t>
      </w:r>
      <w:r w:rsidRPr="00D308C1">
        <w:rPr>
          <w:color w:val="000000" w:themeColor="text1"/>
        </w:rPr>
        <w:t>drug</w:t>
      </w:r>
      <w:r w:rsidR="00D7017F" w:rsidRPr="00D308C1">
        <w:rPr>
          <w:color w:val="000000" w:themeColor="text1"/>
        </w:rPr>
        <w:t xml:space="preserve"> treatment</w:t>
      </w:r>
      <w:r w:rsidRPr="00D308C1">
        <w:rPr>
          <w:color w:val="000000" w:themeColor="text1"/>
        </w:rPr>
        <w:t xml:space="preserve">. </w:t>
      </w:r>
      <w:r w:rsidR="00940C6A">
        <w:rPr>
          <w:rFonts w:cs="Times New Roman"/>
          <w:color w:val="000000" w:themeColor="text1"/>
          <w:szCs w:val="20"/>
        </w:rPr>
        <w:t>Current</w:t>
      </w:r>
      <w:r w:rsidRPr="006E2281">
        <w:rPr>
          <w:rFonts w:cs="Times New Roman"/>
          <w:color w:val="000000" w:themeColor="text1"/>
          <w:szCs w:val="20"/>
        </w:rPr>
        <w:t xml:space="preserve"> evidence suggests</w:t>
      </w:r>
      <w:r>
        <w:rPr>
          <w:rFonts w:cs="Times New Roman"/>
          <w:color w:val="000000" w:themeColor="text1"/>
          <w:szCs w:val="20"/>
        </w:rPr>
        <w:t xml:space="preserve"> that in certain settings beyond systemic vasculitis</w:t>
      </w:r>
      <w:r w:rsidR="00940C6A">
        <w:rPr>
          <w:rFonts w:cs="Times New Roman"/>
          <w:color w:val="000000" w:themeColor="text1"/>
          <w:szCs w:val="20"/>
        </w:rPr>
        <w:t>,</w:t>
      </w:r>
      <w:r>
        <w:rPr>
          <w:rFonts w:cs="Times New Roman"/>
          <w:color w:val="000000" w:themeColor="text1"/>
          <w:szCs w:val="20"/>
        </w:rPr>
        <w:t xml:space="preserve"> ANCA </w:t>
      </w:r>
      <w:r w:rsidRPr="006E2281">
        <w:rPr>
          <w:rFonts w:cs="Times New Roman"/>
          <w:color w:val="000000" w:themeColor="text1"/>
          <w:szCs w:val="20"/>
        </w:rPr>
        <w:t>may have clinical</w:t>
      </w:r>
      <w:r>
        <w:rPr>
          <w:rFonts w:cs="Times New Roman"/>
          <w:color w:val="000000" w:themeColor="text1"/>
          <w:szCs w:val="20"/>
        </w:rPr>
        <w:t xml:space="preserve">, </w:t>
      </w:r>
      <w:r w:rsidRPr="00DD1D49">
        <w:rPr>
          <w:rFonts w:cs="Times New Roman"/>
          <w:color w:val="000000" w:themeColor="text1"/>
          <w:szCs w:val="20"/>
        </w:rPr>
        <w:t>pathogenic</w:t>
      </w:r>
      <w:r>
        <w:rPr>
          <w:rFonts w:cs="Times New Roman"/>
          <w:color w:val="000000" w:themeColor="text1"/>
          <w:szCs w:val="20"/>
        </w:rPr>
        <w:t xml:space="preserve"> and/or diagnostic</w:t>
      </w:r>
      <w:r w:rsidRPr="00DD1D49">
        <w:rPr>
          <w:rFonts w:cs="Times New Roman"/>
          <w:color w:val="000000" w:themeColor="text1"/>
          <w:szCs w:val="20"/>
        </w:rPr>
        <w:t xml:space="preserve"> relevance</w:t>
      </w:r>
      <w:r>
        <w:rPr>
          <w:rFonts w:cs="Times New Roman"/>
          <w:color w:val="000000" w:themeColor="text1"/>
          <w:szCs w:val="20"/>
        </w:rPr>
        <w:t xml:space="preserve">. Antigen-specific </w:t>
      </w:r>
      <w:r w:rsidRPr="006E2281">
        <w:rPr>
          <w:rFonts w:cs="Times New Roman"/>
          <w:color w:val="000000" w:themeColor="text1"/>
          <w:szCs w:val="20"/>
        </w:rPr>
        <w:t>ANCA</w:t>
      </w:r>
      <w:r>
        <w:rPr>
          <w:rFonts w:cs="Times New Roman"/>
          <w:color w:val="000000" w:themeColor="text1"/>
          <w:szCs w:val="20"/>
        </w:rPr>
        <w:t xml:space="preserve"> targeting proteinase-3 and myeloperoxidase should be tested by </w:t>
      </w:r>
      <w:r>
        <w:t>s</w:t>
      </w:r>
      <w:r w:rsidRPr="00410192">
        <w:t xml:space="preserve">olid phase </w:t>
      </w:r>
      <w:r>
        <w:t>immunoassays</w:t>
      </w:r>
      <w:r>
        <w:rPr>
          <w:rFonts w:cs="Times New Roman"/>
          <w:color w:val="000000" w:themeColor="text1"/>
          <w:szCs w:val="20"/>
        </w:rPr>
        <w:t xml:space="preserve"> in </w:t>
      </w:r>
      <w:r w:rsidRPr="006E2281">
        <w:rPr>
          <w:rFonts w:cs="Times New Roman"/>
          <w:color w:val="000000" w:themeColor="text1"/>
          <w:szCs w:val="20"/>
        </w:rPr>
        <w:t xml:space="preserve">any patient with clinical features suggesting </w:t>
      </w:r>
      <w:r>
        <w:rPr>
          <w:rFonts w:cs="Times New Roman"/>
          <w:color w:val="000000" w:themeColor="text1"/>
          <w:szCs w:val="20"/>
        </w:rPr>
        <w:t xml:space="preserve">ANCA-associated vasculitis and in all </w:t>
      </w:r>
      <w:r w:rsidRPr="0047627D">
        <w:rPr>
          <w:rFonts w:cs="Times New Roman"/>
          <w:color w:val="000000" w:themeColor="text1"/>
          <w:szCs w:val="20"/>
        </w:rPr>
        <w:t>patients with anti-GBM disease</w:t>
      </w:r>
      <w:r>
        <w:rPr>
          <w:rFonts w:cs="Times New Roman"/>
          <w:color w:val="000000" w:themeColor="text1"/>
          <w:szCs w:val="20"/>
        </w:rPr>
        <w:t>,</w:t>
      </w:r>
      <w:r w:rsidRPr="0047627D">
        <w:rPr>
          <w:rFonts w:cs="Times New Roman"/>
          <w:color w:val="000000" w:themeColor="text1"/>
          <w:szCs w:val="20"/>
        </w:rPr>
        <w:t xml:space="preserve"> </w:t>
      </w:r>
      <w:r>
        <w:rPr>
          <w:rFonts w:cs="Times New Roman"/>
          <w:color w:val="000000" w:themeColor="text1"/>
          <w:szCs w:val="20"/>
        </w:rPr>
        <w:t>idiopathic interstitial pneumonia, and infective</w:t>
      </w:r>
      <w:r w:rsidRPr="00DD1D49">
        <w:rPr>
          <w:rFonts w:cs="Times New Roman"/>
          <w:color w:val="000000" w:themeColor="text1"/>
          <w:szCs w:val="20"/>
        </w:rPr>
        <w:t xml:space="preserve"> endocarditis associated with nephritis</w:t>
      </w:r>
      <w:r>
        <w:rPr>
          <w:rFonts w:cs="Times New Roman"/>
          <w:color w:val="000000" w:themeColor="text1"/>
          <w:szCs w:val="20"/>
        </w:rPr>
        <w:t xml:space="preserve">, whereas in patients with other </w:t>
      </w:r>
      <w:r w:rsidR="00940C6A">
        <w:rPr>
          <w:rFonts w:cs="Times New Roman"/>
          <w:color w:val="000000" w:themeColor="text1"/>
          <w:szCs w:val="20"/>
        </w:rPr>
        <w:t>aforementioned</w:t>
      </w:r>
      <w:r>
        <w:rPr>
          <w:rFonts w:cs="Times New Roman"/>
          <w:color w:val="000000" w:themeColor="text1"/>
          <w:szCs w:val="20"/>
        </w:rPr>
        <w:t xml:space="preserve"> disorders routine ANCA testing is not recommended. Among</w:t>
      </w:r>
      <w:r w:rsidRPr="006E2281">
        <w:rPr>
          <w:rFonts w:cs="Times New Roman"/>
          <w:color w:val="000000" w:themeColor="text1"/>
          <w:szCs w:val="20"/>
        </w:rPr>
        <w:t xml:space="preserve"> patients with </w:t>
      </w:r>
      <w:r>
        <w:rPr>
          <w:rFonts w:cs="Times New Roman"/>
          <w:color w:val="000000" w:themeColor="text1"/>
          <w:szCs w:val="20"/>
        </w:rPr>
        <w:t>autoimmune liver diseases or inflammatory bowel diseases</w:t>
      </w:r>
      <w:r w:rsidRPr="006E2281">
        <w:rPr>
          <w:rFonts w:cs="Times New Roman"/>
          <w:color w:val="000000" w:themeColor="text1"/>
          <w:szCs w:val="20"/>
        </w:rPr>
        <w:t xml:space="preserve">, ANCA testing may be justified </w:t>
      </w:r>
      <w:r w:rsidRPr="00A760C9">
        <w:rPr>
          <w:rFonts w:cs="Times New Roman"/>
          <w:color w:val="000000" w:themeColor="text1"/>
          <w:szCs w:val="20"/>
        </w:rPr>
        <w:t xml:space="preserve">in patients with suspected </w:t>
      </w:r>
      <w:r>
        <w:rPr>
          <w:rFonts w:cs="Times New Roman"/>
          <w:color w:val="000000" w:themeColor="text1"/>
          <w:szCs w:val="20"/>
        </w:rPr>
        <w:t xml:space="preserve">autoimmune hepatitis type </w:t>
      </w:r>
      <w:r w:rsidRPr="00A760C9">
        <w:rPr>
          <w:rFonts w:cs="Times New Roman"/>
          <w:color w:val="000000" w:themeColor="text1"/>
          <w:szCs w:val="20"/>
        </w:rPr>
        <w:t xml:space="preserve">1 </w:t>
      </w:r>
      <w:r>
        <w:rPr>
          <w:rFonts w:cs="Times New Roman"/>
          <w:color w:val="000000" w:themeColor="text1"/>
          <w:szCs w:val="20"/>
        </w:rPr>
        <w:t>who do not have conventional auto</w:t>
      </w:r>
      <w:r w:rsidRPr="00A760C9">
        <w:rPr>
          <w:rFonts w:cs="Times New Roman"/>
          <w:color w:val="000000" w:themeColor="text1"/>
          <w:szCs w:val="20"/>
        </w:rPr>
        <w:t>antibodies</w:t>
      </w:r>
      <w:r>
        <w:rPr>
          <w:rFonts w:cs="Times New Roman"/>
          <w:color w:val="000000" w:themeColor="text1"/>
          <w:szCs w:val="20"/>
        </w:rPr>
        <w:t xml:space="preserve"> or </w:t>
      </w:r>
      <w:r w:rsidRPr="00A760C9">
        <w:rPr>
          <w:rFonts w:cs="Times New Roman"/>
          <w:color w:val="000000" w:themeColor="text1"/>
          <w:szCs w:val="20"/>
        </w:rPr>
        <w:t xml:space="preserve">in case of diagnostic uncertainty to discriminate </w:t>
      </w:r>
      <w:r>
        <w:rPr>
          <w:rFonts w:cs="Times New Roman"/>
          <w:color w:val="000000" w:themeColor="text1"/>
          <w:szCs w:val="20"/>
        </w:rPr>
        <w:t>ulcerative colitis</w:t>
      </w:r>
      <w:r w:rsidRPr="00A760C9">
        <w:rPr>
          <w:rFonts w:cs="Times New Roman"/>
          <w:color w:val="000000" w:themeColor="text1"/>
          <w:szCs w:val="20"/>
        </w:rPr>
        <w:t xml:space="preserve"> from </w:t>
      </w:r>
      <w:r>
        <w:rPr>
          <w:rFonts w:cs="Times New Roman"/>
          <w:color w:val="000000" w:themeColor="text1"/>
          <w:szCs w:val="20"/>
        </w:rPr>
        <w:t xml:space="preserve">Crohn’s disease. </w:t>
      </w:r>
      <w:r w:rsidRPr="006E2281">
        <w:rPr>
          <w:rFonts w:cs="Times New Roman"/>
          <w:color w:val="000000" w:themeColor="text1"/>
          <w:szCs w:val="20"/>
        </w:rPr>
        <w:t xml:space="preserve">In these cases, ANCA should be tested by </w:t>
      </w:r>
      <w:r>
        <w:rPr>
          <w:rFonts w:cs="Times New Roman"/>
          <w:color w:val="000000" w:themeColor="text1"/>
          <w:szCs w:val="20"/>
        </w:rPr>
        <w:t>i</w:t>
      </w:r>
      <w:r w:rsidRPr="00A760C9">
        <w:rPr>
          <w:rFonts w:cs="Times New Roman"/>
          <w:color w:val="000000" w:themeColor="text1"/>
          <w:szCs w:val="20"/>
        </w:rPr>
        <w:t>ndirect immunofluorescence</w:t>
      </w:r>
      <w:r w:rsidRPr="006E2281">
        <w:rPr>
          <w:rFonts w:cs="Times New Roman"/>
          <w:color w:val="000000" w:themeColor="text1"/>
          <w:szCs w:val="20"/>
        </w:rPr>
        <w:t xml:space="preserve"> as the target antigens are not yet well characterized</w:t>
      </w:r>
      <w:r>
        <w:rPr>
          <w:rFonts w:cs="Times New Roman"/>
          <w:color w:val="000000" w:themeColor="text1"/>
          <w:szCs w:val="20"/>
        </w:rPr>
        <w:t>.</w:t>
      </w:r>
      <w:r w:rsidR="00D7017F">
        <w:rPr>
          <w:rFonts w:cs="Times New Roman"/>
          <w:color w:val="000000" w:themeColor="text1"/>
          <w:szCs w:val="20"/>
        </w:rPr>
        <w:t xml:space="preserve"> M</w:t>
      </w:r>
      <w:r w:rsidR="00D7017F">
        <w:rPr>
          <w:color w:val="000000" w:themeColor="text1"/>
          <w:lang w:val="en-GB"/>
        </w:rPr>
        <w:t>any questions concerning the optimal use of ANCA testing in patients without ANCA-associated vasculitis remain to be answered.</w:t>
      </w:r>
    </w:p>
    <w:p w:rsidR="00A760C9" w:rsidRPr="00657689" w:rsidRDefault="00657689" w:rsidP="00A760C9">
      <w:pPr>
        <w:rPr>
          <w:rFonts w:cs="Times New Roman"/>
          <w:b/>
          <w:color w:val="000000" w:themeColor="text1"/>
          <w:szCs w:val="20"/>
        </w:rPr>
      </w:pPr>
      <w:r>
        <w:rPr>
          <w:rFonts w:cs="Times New Roman"/>
          <w:b/>
          <w:color w:val="000000" w:themeColor="text1"/>
          <w:szCs w:val="20"/>
        </w:rPr>
        <w:t>Introduction</w:t>
      </w:r>
    </w:p>
    <w:p w:rsidR="00326DA4" w:rsidRPr="00D308C1" w:rsidRDefault="00E87DDB" w:rsidP="00326DA4">
      <w:pPr>
        <w:rPr>
          <w:color w:val="000000" w:themeColor="text1"/>
        </w:rPr>
      </w:pPr>
      <w:r w:rsidRPr="006E2281">
        <w:rPr>
          <w:color w:val="000000" w:themeColor="text1"/>
        </w:rPr>
        <w:t>Testing</w:t>
      </w:r>
      <w:r w:rsidR="009F34EB">
        <w:rPr>
          <w:color w:val="000000" w:themeColor="text1"/>
        </w:rPr>
        <w:t xml:space="preserve"> for anti-neutrophil cytoplasm</w:t>
      </w:r>
      <w:r w:rsidR="008F756B">
        <w:rPr>
          <w:color w:val="000000" w:themeColor="text1"/>
        </w:rPr>
        <w:t xml:space="preserve"> antibodies (ANCA</w:t>
      </w:r>
      <w:r w:rsidRPr="006E2281">
        <w:rPr>
          <w:color w:val="000000" w:themeColor="text1"/>
        </w:rPr>
        <w:t xml:space="preserve">) directed towards proteinase 3 (PR3) and myeloperoxidase (MPO) is </w:t>
      </w:r>
      <w:r w:rsidR="003439D8" w:rsidRPr="006E2281">
        <w:rPr>
          <w:color w:val="000000" w:themeColor="text1"/>
        </w:rPr>
        <w:t xml:space="preserve">commonly </w:t>
      </w:r>
      <w:r w:rsidR="0005440B" w:rsidRPr="006E2281">
        <w:rPr>
          <w:color w:val="000000" w:themeColor="text1"/>
        </w:rPr>
        <w:t xml:space="preserve">performed </w:t>
      </w:r>
      <w:r w:rsidR="003439D8" w:rsidRPr="006E2281">
        <w:rPr>
          <w:color w:val="000000" w:themeColor="text1"/>
        </w:rPr>
        <w:t xml:space="preserve">to support the diagnosis of </w:t>
      </w:r>
      <w:r w:rsidRPr="006E2281">
        <w:rPr>
          <w:color w:val="000000" w:themeColor="text1"/>
        </w:rPr>
        <w:t>ANCA-associa</w:t>
      </w:r>
      <w:r w:rsidR="00260F96">
        <w:rPr>
          <w:color w:val="000000" w:themeColor="text1"/>
        </w:rPr>
        <w:t>ted vasculiti</w:t>
      </w:r>
      <w:r w:rsidR="008F756B">
        <w:rPr>
          <w:color w:val="000000" w:themeColor="text1"/>
        </w:rPr>
        <w:t>de</w:t>
      </w:r>
      <w:r w:rsidR="00260F96">
        <w:rPr>
          <w:color w:val="000000" w:themeColor="text1"/>
        </w:rPr>
        <w:t>s (AAV)</w:t>
      </w:r>
      <w:r w:rsidRPr="006E2281">
        <w:rPr>
          <w:color w:val="000000" w:themeColor="text1"/>
        </w:rPr>
        <w:t xml:space="preserve"> </w:t>
      </w:r>
      <w:r w:rsidR="009F34EB">
        <w:rPr>
          <w:color w:val="000000" w:themeColor="text1"/>
        </w:rPr>
        <w:t xml:space="preserve">that </w:t>
      </w:r>
      <w:r w:rsidRPr="006E2281">
        <w:rPr>
          <w:color w:val="000000" w:themeColor="text1"/>
        </w:rPr>
        <w:t>encompa</w:t>
      </w:r>
      <w:r w:rsidR="003439D8" w:rsidRPr="006E2281">
        <w:rPr>
          <w:color w:val="000000" w:themeColor="text1"/>
        </w:rPr>
        <w:t>s</w:t>
      </w:r>
      <w:r w:rsidR="009F34EB">
        <w:rPr>
          <w:color w:val="000000" w:themeColor="text1"/>
        </w:rPr>
        <w:t>ses</w:t>
      </w:r>
      <w:r w:rsidRPr="006E2281">
        <w:rPr>
          <w:color w:val="000000" w:themeColor="text1"/>
        </w:rPr>
        <w:t xml:space="preserve"> granulomatosis with polyangiitis (GPA), microscopic polyangiitis (MPA), and eosinophilic granulomatosis with polyangiitis (EGPA). In 2017, </w:t>
      </w:r>
      <w:r w:rsidRPr="00D308C1">
        <w:rPr>
          <w:color w:val="000000" w:themeColor="text1"/>
        </w:rPr>
        <w:t>a revised international</w:t>
      </w:r>
      <w:r w:rsidRPr="006E2281">
        <w:rPr>
          <w:color w:val="000000" w:themeColor="text1"/>
        </w:rPr>
        <w:t xml:space="preserve"> </w:t>
      </w:r>
      <w:r w:rsidRPr="00D308C1">
        <w:rPr>
          <w:color w:val="000000" w:themeColor="text1"/>
        </w:rPr>
        <w:t xml:space="preserve">consensus on testing of </w:t>
      </w:r>
      <w:r w:rsidR="008F756B" w:rsidRPr="00D308C1">
        <w:rPr>
          <w:color w:val="000000" w:themeColor="text1"/>
        </w:rPr>
        <w:t>ANCA</w:t>
      </w:r>
      <w:r w:rsidRPr="00D308C1">
        <w:rPr>
          <w:color w:val="000000" w:themeColor="text1"/>
        </w:rPr>
        <w:t xml:space="preserve"> in GPA and MPA was proposed [</w:t>
      </w:r>
      <w:r w:rsidR="00C637DF" w:rsidRPr="00D308C1">
        <w:rPr>
          <w:color w:val="000000" w:themeColor="text1"/>
        </w:rPr>
        <w:t>1</w:t>
      </w:r>
      <w:r w:rsidRPr="00D308C1">
        <w:rPr>
          <w:color w:val="000000" w:themeColor="text1"/>
        </w:rPr>
        <w:t>].</w:t>
      </w:r>
      <w:r w:rsidR="00A85291" w:rsidRPr="00D308C1">
        <w:rPr>
          <w:color w:val="000000" w:themeColor="text1"/>
        </w:rPr>
        <w:t xml:space="preserve"> This consensus </w:t>
      </w:r>
      <w:r w:rsidR="003439D8" w:rsidRPr="006E2281">
        <w:rPr>
          <w:color w:val="000000" w:themeColor="text1"/>
        </w:rPr>
        <w:t xml:space="preserve">document </w:t>
      </w:r>
      <w:r w:rsidR="0005440B" w:rsidRPr="006E2281">
        <w:rPr>
          <w:color w:val="000000" w:themeColor="text1"/>
        </w:rPr>
        <w:t xml:space="preserve">focused on ANCA testing in AAV and </w:t>
      </w:r>
      <w:r w:rsidR="00260F96">
        <w:rPr>
          <w:color w:val="000000" w:themeColor="text1"/>
        </w:rPr>
        <w:t xml:space="preserve">briefly described </w:t>
      </w:r>
      <w:r w:rsidR="00A85291" w:rsidRPr="00D308C1">
        <w:rPr>
          <w:color w:val="000000" w:themeColor="text1"/>
        </w:rPr>
        <w:t>other conditions</w:t>
      </w:r>
      <w:r w:rsidR="003439D8" w:rsidRPr="006E2281">
        <w:rPr>
          <w:color w:val="000000" w:themeColor="text1"/>
        </w:rPr>
        <w:t xml:space="preserve"> that</w:t>
      </w:r>
      <w:r w:rsidR="00A85291" w:rsidRPr="00D308C1">
        <w:rPr>
          <w:color w:val="000000" w:themeColor="text1"/>
        </w:rPr>
        <w:t xml:space="preserve"> </w:t>
      </w:r>
      <w:r w:rsidR="00260F96" w:rsidRPr="00D308C1">
        <w:rPr>
          <w:color w:val="000000" w:themeColor="text1"/>
        </w:rPr>
        <w:t>were reported to</w:t>
      </w:r>
      <w:r w:rsidR="00A85291" w:rsidRPr="00D308C1">
        <w:rPr>
          <w:color w:val="000000" w:themeColor="text1"/>
        </w:rPr>
        <w:t xml:space="preserve"> be associated with ANCA positivity, mostly in </w:t>
      </w:r>
      <w:r w:rsidR="003439D8" w:rsidRPr="006E2281">
        <w:rPr>
          <w:color w:val="000000" w:themeColor="text1"/>
        </w:rPr>
        <w:t xml:space="preserve">the </w:t>
      </w:r>
      <w:r w:rsidR="00A85291" w:rsidRPr="00D308C1">
        <w:rPr>
          <w:color w:val="000000" w:themeColor="text1"/>
        </w:rPr>
        <w:t xml:space="preserve">context of </w:t>
      </w:r>
      <w:r w:rsidR="00260F96" w:rsidRPr="00D308C1">
        <w:rPr>
          <w:color w:val="000000" w:themeColor="text1"/>
        </w:rPr>
        <w:t xml:space="preserve">the </w:t>
      </w:r>
      <w:r w:rsidR="00A85291" w:rsidRPr="00D308C1">
        <w:rPr>
          <w:color w:val="000000" w:themeColor="text1"/>
        </w:rPr>
        <w:t>differential diagnosis</w:t>
      </w:r>
      <w:r w:rsidR="00260F96" w:rsidRPr="00D308C1">
        <w:rPr>
          <w:color w:val="000000" w:themeColor="text1"/>
        </w:rPr>
        <w:t xml:space="preserve"> of other inflammatory diseases</w:t>
      </w:r>
      <w:r w:rsidR="00326DA4" w:rsidRPr="00D308C1">
        <w:rPr>
          <w:color w:val="000000" w:themeColor="text1"/>
        </w:rPr>
        <w:t xml:space="preserve"> [</w:t>
      </w:r>
      <w:r w:rsidR="00C637DF" w:rsidRPr="00D308C1">
        <w:rPr>
          <w:color w:val="000000" w:themeColor="text1"/>
        </w:rPr>
        <w:t>2</w:t>
      </w:r>
      <w:r w:rsidR="00326DA4" w:rsidRPr="00D308C1">
        <w:rPr>
          <w:color w:val="000000" w:themeColor="text1"/>
        </w:rPr>
        <w:t>]</w:t>
      </w:r>
      <w:r w:rsidR="00A85291" w:rsidRPr="00D308C1">
        <w:rPr>
          <w:color w:val="000000" w:themeColor="text1"/>
        </w:rPr>
        <w:t xml:space="preserve">. The current document </w:t>
      </w:r>
      <w:r w:rsidR="003439D8" w:rsidRPr="00D308C1">
        <w:rPr>
          <w:color w:val="000000" w:themeColor="text1"/>
        </w:rPr>
        <w:t>is a follow-up on the previous consensus statement</w:t>
      </w:r>
      <w:r w:rsidR="00326DA4" w:rsidRPr="00D308C1">
        <w:rPr>
          <w:color w:val="000000" w:themeColor="text1"/>
        </w:rPr>
        <w:t>s</w:t>
      </w:r>
      <w:r w:rsidR="003439D8" w:rsidRPr="006E2281">
        <w:rPr>
          <w:color w:val="000000" w:themeColor="text1"/>
        </w:rPr>
        <w:t xml:space="preserve"> </w:t>
      </w:r>
      <w:r w:rsidR="0005440B" w:rsidRPr="00D308C1">
        <w:rPr>
          <w:color w:val="000000" w:themeColor="text1"/>
        </w:rPr>
        <w:t>[</w:t>
      </w:r>
      <w:r w:rsidR="00C637DF" w:rsidRPr="00D308C1">
        <w:rPr>
          <w:color w:val="000000" w:themeColor="text1"/>
        </w:rPr>
        <w:t>1,3,4</w:t>
      </w:r>
      <w:r w:rsidR="0005440B" w:rsidRPr="006E2281">
        <w:rPr>
          <w:color w:val="000000" w:themeColor="text1"/>
        </w:rPr>
        <w:t xml:space="preserve">] </w:t>
      </w:r>
      <w:r w:rsidR="003439D8" w:rsidRPr="006E2281">
        <w:rPr>
          <w:color w:val="000000" w:themeColor="text1"/>
        </w:rPr>
        <w:t>and</w:t>
      </w:r>
      <w:r w:rsidR="003439D8" w:rsidRPr="00D308C1">
        <w:rPr>
          <w:color w:val="000000" w:themeColor="text1"/>
        </w:rPr>
        <w:t xml:space="preserve"> </w:t>
      </w:r>
      <w:r w:rsidR="00A85291" w:rsidRPr="00D308C1">
        <w:rPr>
          <w:color w:val="000000" w:themeColor="text1"/>
        </w:rPr>
        <w:t>highlight</w:t>
      </w:r>
      <w:r w:rsidR="003439D8" w:rsidRPr="006E2281">
        <w:rPr>
          <w:color w:val="000000" w:themeColor="text1"/>
        </w:rPr>
        <w:t>s</w:t>
      </w:r>
      <w:r w:rsidR="00A85291" w:rsidRPr="00D308C1">
        <w:rPr>
          <w:color w:val="000000" w:themeColor="text1"/>
        </w:rPr>
        <w:t xml:space="preserve"> the clinical and diagnostic </w:t>
      </w:r>
      <w:r w:rsidR="006E23B6" w:rsidRPr="00D308C1">
        <w:rPr>
          <w:color w:val="000000" w:themeColor="text1"/>
        </w:rPr>
        <w:t>value</w:t>
      </w:r>
      <w:r w:rsidR="00A85291" w:rsidRPr="00D308C1">
        <w:rPr>
          <w:color w:val="000000" w:themeColor="text1"/>
        </w:rPr>
        <w:t xml:space="preserve"> of</w:t>
      </w:r>
      <w:r w:rsidR="009F34EB" w:rsidRPr="00D1448F">
        <w:rPr>
          <w:lang w:val="en-IE"/>
        </w:rPr>
        <w:t xml:space="preserve"> </w:t>
      </w:r>
      <w:r w:rsidR="008F756B" w:rsidRPr="00D308C1">
        <w:rPr>
          <w:color w:val="000000" w:themeColor="text1"/>
        </w:rPr>
        <w:t>ANCA</w:t>
      </w:r>
      <w:r w:rsidR="00A85291" w:rsidRPr="00D308C1">
        <w:rPr>
          <w:color w:val="000000" w:themeColor="text1"/>
        </w:rPr>
        <w:t xml:space="preserve"> </w:t>
      </w:r>
      <w:r w:rsidR="006E23B6" w:rsidRPr="00D308C1">
        <w:rPr>
          <w:color w:val="000000" w:themeColor="text1"/>
        </w:rPr>
        <w:t>testing</w:t>
      </w:r>
      <w:r w:rsidR="009F34EB" w:rsidRPr="00D308C1">
        <w:rPr>
          <w:color w:val="000000" w:themeColor="text1"/>
        </w:rPr>
        <w:t xml:space="preserve"> </w:t>
      </w:r>
      <w:r w:rsidR="00A85291" w:rsidRPr="00D308C1">
        <w:rPr>
          <w:color w:val="000000" w:themeColor="text1"/>
        </w:rPr>
        <w:t>in patients with various autoimmune</w:t>
      </w:r>
      <w:r w:rsidR="00260F96" w:rsidRPr="00D308C1">
        <w:rPr>
          <w:color w:val="000000" w:themeColor="text1"/>
        </w:rPr>
        <w:t>, infectious</w:t>
      </w:r>
      <w:r w:rsidR="00A85291" w:rsidRPr="00D308C1">
        <w:rPr>
          <w:color w:val="000000" w:themeColor="text1"/>
        </w:rPr>
        <w:t xml:space="preserve"> </w:t>
      </w:r>
      <w:r w:rsidR="00A85291" w:rsidRPr="00D308C1">
        <w:rPr>
          <w:color w:val="000000" w:themeColor="text1"/>
        </w:rPr>
        <w:lastRenderedPageBreak/>
        <w:t xml:space="preserve">and </w:t>
      </w:r>
      <w:r w:rsidR="006E23B6" w:rsidRPr="00D308C1">
        <w:rPr>
          <w:color w:val="000000" w:themeColor="text1"/>
        </w:rPr>
        <w:t>neoplastic</w:t>
      </w:r>
      <w:r w:rsidR="00260F96" w:rsidRPr="00D308C1">
        <w:rPr>
          <w:color w:val="000000" w:themeColor="text1"/>
        </w:rPr>
        <w:t xml:space="preserve"> diseases</w:t>
      </w:r>
      <w:r w:rsidR="00A85291" w:rsidRPr="00D308C1">
        <w:rPr>
          <w:color w:val="000000" w:themeColor="text1"/>
        </w:rPr>
        <w:t>.</w:t>
      </w:r>
      <w:r w:rsidR="0040691F" w:rsidRPr="00D308C1">
        <w:rPr>
          <w:color w:val="000000" w:themeColor="text1"/>
        </w:rPr>
        <w:t xml:space="preserve"> </w:t>
      </w:r>
      <w:r w:rsidR="0040691F">
        <w:rPr>
          <w:color w:val="000000" w:themeColor="text1"/>
          <w:lang w:val="en-GB"/>
        </w:rPr>
        <w:t xml:space="preserve">However, the number of high quality studies addressing this issue is limited, and many </w:t>
      </w:r>
      <w:r w:rsidR="00940C6A">
        <w:rPr>
          <w:color w:val="000000" w:themeColor="text1"/>
          <w:lang w:val="en-GB"/>
        </w:rPr>
        <w:t>unresolved issues</w:t>
      </w:r>
      <w:r w:rsidR="0040691F">
        <w:rPr>
          <w:color w:val="000000" w:themeColor="text1"/>
          <w:lang w:val="en-GB"/>
        </w:rPr>
        <w:t xml:space="preserve"> concerning the optimal use of ANCA testing in non-AAV remain to be </w:t>
      </w:r>
      <w:r w:rsidR="00940C6A">
        <w:rPr>
          <w:color w:val="000000" w:themeColor="text1"/>
          <w:lang w:val="en-GB"/>
        </w:rPr>
        <w:t>elucidated</w:t>
      </w:r>
      <w:r w:rsidR="0040691F">
        <w:rPr>
          <w:color w:val="000000" w:themeColor="text1"/>
          <w:lang w:val="en-GB"/>
        </w:rPr>
        <w:t>.</w:t>
      </w:r>
    </w:p>
    <w:p w:rsidR="00326DA4" w:rsidRPr="00326DA4" w:rsidRDefault="00326DA4" w:rsidP="00326DA4">
      <w:pPr>
        <w:rPr>
          <w:color w:val="000000" w:themeColor="text1"/>
        </w:rPr>
      </w:pPr>
    </w:p>
    <w:p w:rsidR="0033648C" w:rsidRPr="006E2281" w:rsidRDefault="0033648C" w:rsidP="005A772D">
      <w:pPr>
        <w:rPr>
          <w:b/>
          <w:color w:val="000000" w:themeColor="text1"/>
        </w:rPr>
      </w:pPr>
      <w:r w:rsidRPr="006E2281">
        <w:rPr>
          <w:b/>
          <w:color w:val="000000" w:themeColor="text1"/>
        </w:rPr>
        <w:t>Metho</w:t>
      </w:r>
      <w:r w:rsidR="00A85291" w:rsidRPr="006E2281">
        <w:rPr>
          <w:b/>
          <w:color w:val="000000" w:themeColor="text1"/>
        </w:rPr>
        <w:t>ds</w:t>
      </w:r>
    </w:p>
    <w:p w:rsidR="00D7017F" w:rsidRDefault="00A85291" w:rsidP="00A85291">
      <w:pPr>
        <w:rPr>
          <w:color w:val="000000" w:themeColor="text1"/>
        </w:rPr>
      </w:pPr>
      <w:r w:rsidRPr="006E2281">
        <w:rPr>
          <w:color w:val="000000" w:themeColor="text1"/>
        </w:rPr>
        <w:t xml:space="preserve">This Consensus Statement was prepared by a group of experts based on the results of </w:t>
      </w:r>
      <w:r w:rsidR="00507C71" w:rsidRPr="006E2281">
        <w:rPr>
          <w:color w:val="000000" w:themeColor="text1"/>
        </w:rPr>
        <w:t xml:space="preserve">a </w:t>
      </w:r>
      <w:r w:rsidRPr="006E2281">
        <w:rPr>
          <w:color w:val="000000" w:themeColor="text1"/>
        </w:rPr>
        <w:t>comprehensive search in PubMed for disorders</w:t>
      </w:r>
      <w:r w:rsidR="006E23B6">
        <w:rPr>
          <w:color w:val="000000" w:themeColor="text1"/>
        </w:rPr>
        <w:t xml:space="preserve"> that</w:t>
      </w:r>
      <w:r w:rsidRPr="006E2281">
        <w:rPr>
          <w:color w:val="000000" w:themeColor="text1"/>
        </w:rPr>
        <w:t xml:space="preserve"> can be associated with ANCA-positivity</w:t>
      </w:r>
      <w:r w:rsidR="0040691F">
        <w:rPr>
          <w:color w:val="000000" w:themeColor="text1"/>
        </w:rPr>
        <w:t>,</w:t>
      </w:r>
      <w:r w:rsidR="0040691F" w:rsidRPr="00D62ADA">
        <w:rPr>
          <w:color w:val="000000" w:themeColor="text1"/>
        </w:rPr>
        <w:t xml:space="preserve"> </w:t>
      </w:r>
      <w:r w:rsidR="0040691F">
        <w:rPr>
          <w:color w:val="000000" w:themeColor="text1"/>
        </w:rPr>
        <w:t>by using a variety of search terms, and all relevant available literature was critical reviewed</w:t>
      </w:r>
      <w:r w:rsidRPr="006E2281">
        <w:rPr>
          <w:color w:val="000000" w:themeColor="text1"/>
        </w:rPr>
        <w:t xml:space="preserve">. Additional publications were identified in the references of the available articles. The resulting </w:t>
      </w:r>
      <w:r w:rsidR="00260F96">
        <w:rPr>
          <w:color w:val="000000" w:themeColor="text1"/>
        </w:rPr>
        <w:t>manuscript</w:t>
      </w:r>
      <w:r w:rsidRPr="006E2281">
        <w:rPr>
          <w:color w:val="000000" w:themeColor="text1"/>
        </w:rPr>
        <w:t xml:space="preserve"> was distributed by email to </w:t>
      </w:r>
      <w:r w:rsidR="00971242">
        <w:rPr>
          <w:color w:val="000000" w:themeColor="text1"/>
        </w:rPr>
        <w:t>30</w:t>
      </w:r>
      <w:r w:rsidRPr="006E2281">
        <w:rPr>
          <w:color w:val="000000" w:themeColor="text1"/>
        </w:rPr>
        <w:t xml:space="preserve"> experts from four continents</w:t>
      </w:r>
      <w:r w:rsidR="00D7017F">
        <w:rPr>
          <w:color w:val="000000" w:themeColor="text1"/>
        </w:rPr>
        <w:t xml:space="preserve"> (Australia, Belgium, Canada, China, France, Germany, Greece, Ireland, Israel, Italy, Japan, Mexico, Portugal, Russia, Sweden, </w:t>
      </w:r>
      <w:r w:rsidR="00BF7470">
        <w:rPr>
          <w:color w:val="000000" w:themeColor="text1"/>
        </w:rPr>
        <w:t>t</w:t>
      </w:r>
      <w:r w:rsidR="00D7017F">
        <w:rPr>
          <w:color w:val="000000" w:themeColor="text1"/>
        </w:rPr>
        <w:t>he Netherlands, UK, USA)</w:t>
      </w:r>
      <w:r w:rsidR="00492E33">
        <w:rPr>
          <w:color w:val="000000" w:themeColor="text1"/>
        </w:rPr>
        <w:t>. Experts</w:t>
      </w:r>
      <w:r w:rsidRPr="006E2281">
        <w:rPr>
          <w:color w:val="000000" w:themeColor="text1"/>
        </w:rPr>
        <w:t xml:space="preserve"> </w:t>
      </w:r>
      <w:r w:rsidR="00492E33">
        <w:rPr>
          <w:color w:val="000000" w:themeColor="text1"/>
        </w:rPr>
        <w:t xml:space="preserve">included rheumatologists, nephrologists, </w:t>
      </w:r>
      <w:r w:rsidR="00D7017F">
        <w:rPr>
          <w:color w:val="000000" w:themeColor="text1"/>
        </w:rPr>
        <w:t xml:space="preserve">pulmonologists,  gastroenterologists/hepatologists, </w:t>
      </w:r>
      <w:r w:rsidR="00492E33">
        <w:rPr>
          <w:color w:val="000000" w:themeColor="text1"/>
        </w:rPr>
        <w:t xml:space="preserve">pathologists, </w:t>
      </w:r>
      <w:r w:rsidR="00940C6A">
        <w:rPr>
          <w:color w:val="000000" w:themeColor="text1"/>
        </w:rPr>
        <w:t>clinical immunologists and</w:t>
      </w:r>
      <w:r w:rsidR="00492E33">
        <w:rPr>
          <w:color w:val="000000" w:themeColor="text1"/>
        </w:rPr>
        <w:t>/or</w:t>
      </w:r>
      <w:r w:rsidR="00940C6A">
        <w:rPr>
          <w:color w:val="000000" w:themeColor="text1"/>
        </w:rPr>
        <w:t xml:space="preserve"> </w:t>
      </w:r>
      <w:r w:rsidR="00D7017F">
        <w:rPr>
          <w:color w:val="000000" w:themeColor="text1"/>
        </w:rPr>
        <w:t>specialists in laboratory medici</w:t>
      </w:r>
      <w:r w:rsidR="00492E33">
        <w:rPr>
          <w:color w:val="000000" w:themeColor="text1"/>
        </w:rPr>
        <w:t>ne and were</w:t>
      </w:r>
      <w:r w:rsidR="00D7017F">
        <w:rPr>
          <w:color w:val="000000" w:themeColor="text1"/>
        </w:rPr>
        <w:t xml:space="preserve"> </w:t>
      </w:r>
      <w:r w:rsidRPr="006E2281">
        <w:rPr>
          <w:color w:val="000000" w:themeColor="text1"/>
        </w:rPr>
        <w:t>selected based on their expertise and knowle</w:t>
      </w:r>
      <w:r w:rsidR="00260F96">
        <w:rPr>
          <w:color w:val="000000" w:themeColor="text1"/>
        </w:rPr>
        <w:t>dge in clinical</w:t>
      </w:r>
      <w:r w:rsidR="000342D9">
        <w:rPr>
          <w:color w:val="000000" w:themeColor="text1"/>
        </w:rPr>
        <w:t xml:space="preserve"> and laboratory</w:t>
      </w:r>
      <w:r w:rsidR="00260F96">
        <w:rPr>
          <w:color w:val="000000" w:themeColor="text1"/>
        </w:rPr>
        <w:t xml:space="preserve"> aspects of ANCA testing</w:t>
      </w:r>
      <w:r w:rsidRPr="006E2281">
        <w:rPr>
          <w:color w:val="000000" w:themeColor="text1"/>
        </w:rPr>
        <w:t xml:space="preserve">. </w:t>
      </w:r>
      <w:r w:rsidR="00223616" w:rsidRPr="006E2281">
        <w:rPr>
          <w:color w:val="000000" w:themeColor="text1"/>
        </w:rPr>
        <w:t>All contributors approved the final document</w:t>
      </w:r>
      <w:r w:rsidR="00D7017F">
        <w:rPr>
          <w:color w:val="000000" w:themeColor="text1"/>
        </w:rPr>
        <w:t xml:space="preserve"> and voted for each statement using a 5-point Lickert scale (strongly disagree, disagree, uncertain, agree, and strongly agree). The </w:t>
      </w:r>
      <w:r w:rsidR="00D7017F">
        <w:t>definition for consensus included percentage agreement at least 75% and the median score greater or equal to 4.</w:t>
      </w:r>
    </w:p>
    <w:p w:rsidR="00BB2244" w:rsidRPr="006E2281" w:rsidRDefault="00BB2244" w:rsidP="00A85291">
      <w:pPr>
        <w:rPr>
          <w:color w:val="000000" w:themeColor="text1"/>
        </w:rPr>
      </w:pPr>
    </w:p>
    <w:p w:rsidR="000F4A0D" w:rsidRPr="000F4A0D" w:rsidRDefault="000F4A0D" w:rsidP="000F4A0D">
      <w:pPr>
        <w:rPr>
          <w:b/>
        </w:rPr>
      </w:pPr>
      <w:r w:rsidRPr="000F4A0D">
        <w:rPr>
          <w:b/>
        </w:rPr>
        <w:t>Methods for ANCA detection and nomenclature</w:t>
      </w:r>
    </w:p>
    <w:p w:rsidR="000F4A0D" w:rsidRDefault="000F4A0D" w:rsidP="000F4A0D">
      <w:r>
        <w:t>ANCA can be screened by indirect immunofluorescence</w:t>
      </w:r>
      <w:r w:rsidR="00940C6A">
        <w:t xml:space="preserve"> (IIF)</w:t>
      </w:r>
      <w:r>
        <w:t xml:space="preserve"> using ethanol fixed neutrophils.  The antibodies that bind to the neutrophils are visualized with </w:t>
      </w:r>
      <w:r w:rsidRPr="0027478A">
        <w:t xml:space="preserve">a fluorescence microscope after staining with fluorescein-labeled anti-human antibodies.  </w:t>
      </w:r>
      <w:r w:rsidR="00940C6A">
        <w:t>A titer and a pattern are</w:t>
      </w:r>
      <w:r>
        <w:t xml:space="preserve"> reported.  Two major patterns are reported: a cytoplasmic pattern (C-ANCA) and a perinuclear pattern (P-ANCA) (with or without nuclear extension).  Antibodies to proteinase-3 typically give a C-ANCA pattern with central or interlobular accentuation, whereas antibodies to myeloperoxidase typically give a P-ANCA pattern with nuclear extension [</w:t>
      </w:r>
      <w:r w:rsidR="00C637DF">
        <w:t>5</w:t>
      </w:r>
      <w:r>
        <w:t xml:space="preserve">].  P-ANCA can also be found in patients with antibodies to </w:t>
      </w:r>
      <w:r w:rsidR="00940C6A">
        <w:t>other antigens such as</w:t>
      </w:r>
      <w:r>
        <w:t xml:space="preserve"> elastase, cathepsin G, lactoferrin, lysozyme [</w:t>
      </w:r>
      <w:r w:rsidR="00C637DF">
        <w:t>5</w:t>
      </w:r>
      <w:r>
        <w:t xml:space="preserve">].  P-ANCA </w:t>
      </w:r>
      <w:r w:rsidR="00657689">
        <w:t xml:space="preserve">may be obscured by the presence of </w:t>
      </w:r>
      <w:r>
        <w:t>anti-nuclear antibodies</w:t>
      </w:r>
      <w:r w:rsidR="00A146E7">
        <w:t xml:space="preserve"> </w:t>
      </w:r>
      <w:r w:rsidR="00A146E7">
        <w:lastRenderedPageBreak/>
        <w:t>(ANA)</w:t>
      </w:r>
      <w:r>
        <w:t>.  Antibodies to b</w:t>
      </w:r>
      <w:r w:rsidRPr="00CE6398">
        <w:t>actericidal permeability increasing protein</w:t>
      </w:r>
      <w:r>
        <w:t xml:space="preserve"> give an atypical C-ANCA without interlobular accentuation [</w:t>
      </w:r>
      <w:r w:rsidR="00C637DF">
        <w:t>5</w:t>
      </w:r>
      <w:r>
        <w:t xml:space="preserve">].  </w:t>
      </w:r>
    </w:p>
    <w:p w:rsidR="000F4A0D" w:rsidRDefault="000F4A0D" w:rsidP="000F4A0D">
      <w:r>
        <w:t>S</w:t>
      </w:r>
      <w:r w:rsidRPr="00410192">
        <w:t xml:space="preserve">olid phase </w:t>
      </w:r>
      <w:r w:rsidR="00940C6A">
        <w:t xml:space="preserve">immunoassays, e.g. </w:t>
      </w:r>
      <w:r w:rsidR="00940C6A" w:rsidRPr="006E2281">
        <w:rPr>
          <w:color w:val="000000" w:themeColor="text1"/>
        </w:rPr>
        <w:t>enzyme-linked immunosorbent assay</w:t>
      </w:r>
      <w:r w:rsidR="00940C6A">
        <w:rPr>
          <w:color w:val="000000" w:themeColor="text1"/>
        </w:rPr>
        <w:t xml:space="preserve"> (</w:t>
      </w:r>
      <w:r w:rsidR="00940C6A">
        <w:t>ELISA)</w:t>
      </w:r>
      <w:r>
        <w:t xml:space="preserve">, fluoro-enzyme immunoassay, chemiluminescence immunoassay, laser </w:t>
      </w:r>
      <w:r w:rsidR="00940C6A">
        <w:t>bead immunoassay, dot/line blot,</w:t>
      </w:r>
      <w:r>
        <w:t xml:space="preserve"> are used for detection of specific antibodies to proteinase-3 (PR3-ANCA) or myeloperoxidase (MPO-ANCA) [</w:t>
      </w:r>
      <w:r w:rsidR="00C637DF">
        <w:t>6</w:t>
      </w:r>
      <w:r>
        <w:t xml:space="preserve">].  The antigens (PR3 or MPO) can be directly attached to the solid phase or indirectly, either through a monoclonal capture antibody or through a smaller anchor molecule (e.g. biotin).  </w:t>
      </w:r>
      <w:r w:rsidRPr="00410192">
        <w:t xml:space="preserve">Autoantibodies </w:t>
      </w:r>
      <w:r>
        <w:t xml:space="preserve">that bind </w:t>
      </w:r>
      <w:r w:rsidRPr="00410192">
        <w:t xml:space="preserve">to the antigen </w:t>
      </w:r>
      <w:r>
        <w:t xml:space="preserve">(PR3 or MPO) </w:t>
      </w:r>
      <w:r w:rsidRPr="00410192">
        <w:t>are complexed with a detection antibody</w:t>
      </w:r>
      <w:r>
        <w:t xml:space="preserve">.  </w:t>
      </w:r>
    </w:p>
    <w:p w:rsidR="00075734" w:rsidRPr="006E2281" w:rsidRDefault="00075734" w:rsidP="005A772D">
      <w:pPr>
        <w:rPr>
          <w:b/>
          <w:color w:val="000000" w:themeColor="text1"/>
        </w:rPr>
      </w:pPr>
      <w:r w:rsidRPr="006E2281">
        <w:rPr>
          <w:b/>
          <w:color w:val="000000" w:themeColor="text1"/>
        </w:rPr>
        <w:t>Rheumatoid arthritis</w:t>
      </w:r>
    </w:p>
    <w:p w:rsidR="00FD150D" w:rsidRPr="006E2281" w:rsidRDefault="00075734" w:rsidP="00FD150D">
      <w:pPr>
        <w:rPr>
          <w:color w:val="000000" w:themeColor="text1"/>
        </w:rPr>
      </w:pPr>
      <w:r w:rsidRPr="006E2281">
        <w:rPr>
          <w:color w:val="000000" w:themeColor="text1"/>
        </w:rPr>
        <w:t>Draibe and Salama reported 6 patients who developed AAV at a median of 10.5 years after the diagnosis of RA, and</w:t>
      </w:r>
      <w:r w:rsidR="00BB2244" w:rsidRPr="006E2281">
        <w:rPr>
          <w:color w:val="000000" w:themeColor="text1"/>
        </w:rPr>
        <w:t xml:space="preserve"> 29</w:t>
      </w:r>
      <w:r w:rsidRPr="006E2281">
        <w:rPr>
          <w:color w:val="000000" w:themeColor="text1"/>
        </w:rPr>
        <w:t xml:space="preserve"> additional cases with </w:t>
      </w:r>
      <w:r w:rsidR="00BB2244" w:rsidRPr="006E2281">
        <w:rPr>
          <w:color w:val="000000" w:themeColor="text1"/>
        </w:rPr>
        <w:t xml:space="preserve">RA/AAV </w:t>
      </w:r>
      <w:r w:rsidR="00657689">
        <w:rPr>
          <w:color w:val="000000" w:themeColor="text1"/>
        </w:rPr>
        <w:t>overlap</w:t>
      </w:r>
      <w:r w:rsidRPr="006E2281">
        <w:rPr>
          <w:color w:val="000000" w:themeColor="text1"/>
        </w:rPr>
        <w:t xml:space="preserve"> [</w:t>
      </w:r>
      <w:r w:rsidR="00C637DF">
        <w:rPr>
          <w:color w:val="000000" w:themeColor="text1"/>
        </w:rPr>
        <w:t>7</w:t>
      </w:r>
      <w:r w:rsidRPr="006E2281">
        <w:rPr>
          <w:color w:val="000000" w:themeColor="text1"/>
        </w:rPr>
        <w:t>]. MPA and MPO-ANCA positivity</w:t>
      </w:r>
      <w:r w:rsidR="006E23B6">
        <w:rPr>
          <w:color w:val="000000" w:themeColor="text1"/>
        </w:rPr>
        <w:t xml:space="preserve"> were most common</w:t>
      </w:r>
      <w:r w:rsidRPr="006E2281">
        <w:rPr>
          <w:color w:val="000000" w:themeColor="text1"/>
        </w:rPr>
        <w:t xml:space="preserve">. </w:t>
      </w:r>
      <w:r w:rsidR="009F34EB">
        <w:rPr>
          <w:color w:val="000000" w:themeColor="text1"/>
        </w:rPr>
        <w:t>Seventy four percent</w:t>
      </w:r>
      <w:r w:rsidR="00D4283A" w:rsidRPr="006E2281">
        <w:rPr>
          <w:color w:val="000000" w:themeColor="text1"/>
        </w:rPr>
        <w:t xml:space="preserve"> of </w:t>
      </w:r>
      <w:r w:rsidR="005E09C3" w:rsidRPr="006E2281">
        <w:rPr>
          <w:color w:val="000000" w:themeColor="text1"/>
        </w:rPr>
        <w:t xml:space="preserve">the </w:t>
      </w:r>
      <w:r w:rsidR="00D4283A" w:rsidRPr="006E2281">
        <w:rPr>
          <w:color w:val="000000" w:themeColor="text1"/>
        </w:rPr>
        <w:t xml:space="preserve">reported patients presented with kidney involvement. A few patients with RA and renal-limited AAV have </w:t>
      </w:r>
      <w:r w:rsidR="005E09C3" w:rsidRPr="006E2281">
        <w:rPr>
          <w:color w:val="000000" w:themeColor="text1"/>
        </w:rPr>
        <w:t xml:space="preserve">also </w:t>
      </w:r>
      <w:r w:rsidR="00D4283A" w:rsidRPr="006E2281">
        <w:rPr>
          <w:color w:val="000000" w:themeColor="text1"/>
        </w:rPr>
        <w:t>been reported [</w:t>
      </w:r>
      <w:r w:rsidR="00C637DF">
        <w:rPr>
          <w:color w:val="000000" w:themeColor="text1"/>
        </w:rPr>
        <w:t>8</w:t>
      </w:r>
      <w:r w:rsidR="00D4283A" w:rsidRPr="006E2281">
        <w:rPr>
          <w:color w:val="000000" w:themeColor="text1"/>
        </w:rPr>
        <w:t xml:space="preserve">]. </w:t>
      </w:r>
      <w:r w:rsidR="00F000F4" w:rsidRPr="006E2281">
        <w:rPr>
          <w:color w:val="000000" w:themeColor="text1"/>
        </w:rPr>
        <w:t>T</w:t>
      </w:r>
      <w:r w:rsidR="00D4283A" w:rsidRPr="006E2281">
        <w:rPr>
          <w:color w:val="000000" w:themeColor="text1"/>
        </w:rPr>
        <w:t>reatment with tumor necrosis factor</w:t>
      </w:r>
      <w:r w:rsidR="00F000F4" w:rsidRPr="006E2281">
        <w:rPr>
          <w:color w:val="000000" w:themeColor="text1"/>
        </w:rPr>
        <w:t xml:space="preserve"> (TNF)</w:t>
      </w:r>
      <w:r w:rsidR="00D4283A" w:rsidRPr="006E2281">
        <w:rPr>
          <w:color w:val="000000" w:themeColor="text1"/>
        </w:rPr>
        <w:t xml:space="preserve"> </w:t>
      </w:r>
      <w:r w:rsidR="00D4283A" w:rsidRPr="006E2281">
        <w:rPr>
          <w:color w:val="000000" w:themeColor="text1"/>
        </w:rPr>
        <w:sym w:font="Symbol" w:char="F061"/>
      </w:r>
      <w:r w:rsidR="00D4283A" w:rsidRPr="006E2281">
        <w:rPr>
          <w:color w:val="000000" w:themeColor="text1"/>
        </w:rPr>
        <w:t xml:space="preserve"> inhibitors </w:t>
      </w:r>
      <w:r w:rsidR="00260F96">
        <w:rPr>
          <w:color w:val="000000" w:themeColor="text1"/>
        </w:rPr>
        <w:t>was reported to</w:t>
      </w:r>
      <w:r w:rsidR="00D4283A" w:rsidRPr="006E2281">
        <w:rPr>
          <w:color w:val="000000" w:themeColor="text1"/>
        </w:rPr>
        <w:t xml:space="preserve"> contribute to the development of AAV in </w:t>
      </w:r>
      <w:r w:rsidR="00BB2244" w:rsidRPr="006E2281">
        <w:rPr>
          <w:color w:val="000000" w:themeColor="text1"/>
        </w:rPr>
        <w:t>som</w:t>
      </w:r>
      <w:r w:rsidR="00F25391" w:rsidRPr="006E2281">
        <w:rPr>
          <w:color w:val="000000" w:themeColor="text1"/>
        </w:rPr>
        <w:t>e</w:t>
      </w:r>
      <w:r w:rsidR="00BB2244" w:rsidRPr="006E2281">
        <w:rPr>
          <w:color w:val="000000" w:themeColor="text1"/>
        </w:rPr>
        <w:t xml:space="preserve"> RA </w:t>
      </w:r>
      <w:r w:rsidR="00D4283A" w:rsidRPr="006E2281">
        <w:rPr>
          <w:color w:val="000000" w:themeColor="text1"/>
        </w:rPr>
        <w:t>patients</w:t>
      </w:r>
      <w:r w:rsidR="00A85291" w:rsidRPr="006E2281">
        <w:rPr>
          <w:color w:val="000000" w:themeColor="text1"/>
        </w:rPr>
        <w:t xml:space="preserve"> </w:t>
      </w:r>
      <w:r w:rsidR="00F25391" w:rsidRPr="006E2281">
        <w:rPr>
          <w:color w:val="000000" w:themeColor="text1"/>
        </w:rPr>
        <w:t>[</w:t>
      </w:r>
      <w:r w:rsidR="00C637DF">
        <w:rPr>
          <w:color w:val="000000" w:themeColor="text1"/>
        </w:rPr>
        <w:t>9,10</w:t>
      </w:r>
      <w:r w:rsidR="00D4283A" w:rsidRPr="006E2281">
        <w:rPr>
          <w:color w:val="000000" w:themeColor="text1"/>
        </w:rPr>
        <w:t>].</w:t>
      </w:r>
      <w:r w:rsidR="00DE0AC7" w:rsidRPr="006E2281">
        <w:rPr>
          <w:color w:val="000000" w:themeColor="text1"/>
        </w:rPr>
        <w:t xml:space="preserve"> </w:t>
      </w:r>
    </w:p>
    <w:p w:rsidR="003B3846" w:rsidRDefault="006E23B6" w:rsidP="00D4283A">
      <w:pPr>
        <w:rPr>
          <w:color w:val="000000" w:themeColor="text1"/>
        </w:rPr>
      </w:pPr>
      <w:r w:rsidRPr="006E23B6">
        <w:rPr>
          <w:color w:val="000000" w:themeColor="text1"/>
        </w:rPr>
        <w:t>P-ANCA, previously called granulocyt</w:t>
      </w:r>
      <w:r>
        <w:rPr>
          <w:color w:val="000000" w:themeColor="text1"/>
        </w:rPr>
        <w:t>e-specific antinuclear antibody (GS-ANA)</w:t>
      </w:r>
      <w:r>
        <w:t>, was</w:t>
      </w:r>
      <w:r w:rsidR="009F34EB" w:rsidRPr="006E2281">
        <w:rPr>
          <w:color w:val="000000" w:themeColor="text1"/>
        </w:rPr>
        <w:t xml:space="preserve"> </w:t>
      </w:r>
      <w:r w:rsidR="00897CCB" w:rsidRPr="006E2281">
        <w:rPr>
          <w:color w:val="000000" w:themeColor="text1"/>
        </w:rPr>
        <w:t>originally described in patients with Felty’s syndrome [</w:t>
      </w:r>
      <w:r w:rsidR="00C637DF">
        <w:rPr>
          <w:color w:val="000000" w:themeColor="text1"/>
        </w:rPr>
        <w:t>11</w:t>
      </w:r>
      <w:r w:rsidR="00897CCB" w:rsidRPr="006E2281">
        <w:rPr>
          <w:color w:val="000000" w:themeColor="text1"/>
        </w:rPr>
        <w:t xml:space="preserve">] and later detected in 50% to 70% of patients with RA complicated by vasculitis and in 20% to 40% of patients with </w:t>
      </w:r>
      <w:r w:rsidR="00940C6A" w:rsidRPr="006E2281">
        <w:rPr>
          <w:color w:val="000000" w:themeColor="text1"/>
        </w:rPr>
        <w:t>RA</w:t>
      </w:r>
      <w:r w:rsidR="00940C6A">
        <w:rPr>
          <w:color w:val="000000" w:themeColor="text1"/>
        </w:rPr>
        <w:t xml:space="preserve"> </w:t>
      </w:r>
      <w:r w:rsidR="00940C6A" w:rsidRPr="006E2281">
        <w:rPr>
          <w:color w:val="000000" w:themeColor="text1"/>
        </w:rPr>
        <w:t>uncomplicated</w:t>
      </w:r>
      <w:r w:rsidR="00940C6A">
        <w:rPr>
          <w:color w:val="000000" w:themeColor="text1"/>
        </w:rPr>
        <w:t xml:space="preserve"> by vasculitis or Felty’s syndrome</w:t>
      </w:r>
      <w:r w:rsidR="00897CCB" w:rsidRPr="006E2281">
        <w:rPr>
          <w:color w:val="000000" w:themeColor="text1"/>
        </w:rPr>
        <w:t xml:space="preserve"> [</w:t>
      </w:r>
      <w:r w:rsidR="00C637DF">
        <w:rPr>
          <w:color w:val="000000" w:themeColor="text1"/>
        </w:rPr>
        <w:t>12,13</w:t>
      </w:r>
      <w:r w:rsidR="00897CCB" w:rsidRPr="006E2281">
        <w:rPr>
          <w:color w:val="000000" w:themeColor="text1"/>
        </w:rPr>
        <w:t>].</w:t>
      </w:r>
      <w:r>
        <w:rPr>
          <w:color w:val="000000" w:themeColor="text1"/>
        </w:rPr>
        <w:t xml:space="preserve"> </w:t>
      </w:r>
      <w:r w:rsidRPr="006E23B6">
        <w:rPr>
          <w:color w:val="000000" w:themeColor="text1"/>
        </w:rPr>
        <w:t>GS-ANA had been mistakenly thought to be caused by anti-nuclear antibodies un</w:t>
      </w:r>
      <w:r>
        <w:rPr>
          <w:color w:val="000000" w:themeColor="text1"/>
        </w:rPr>
        <w:t>til the discovery that MPO-ANCA</w:t>
      </w:r>
      <w:r w:rsidRPr="006E23B6">
        <w:rPr>
          <w:color w:val="000000" w:themeColor="text1"/>
        </w:rPr>
        <w:t xml:space="preserve"> bind to nuclei causing perinuclear staining (P-ANCA pattern) [</w:t>
      </w:r>
      <w:r w:rsidR="00C637DF">
        <w:rPr>
          <w:color w:val="000000" w:themeColor="text1"/>
        </w:rPr>
        <w:t>14</w:t>
      </w:r>
      <w:r w:rsidRPr="006E23B6">
        <w:rPr>
          <w:color w:val="000000" w:themeColor="text1"/>
        </w:rPr>
        <w:t>].</w:t>
      </w:r>
      <w:r w:rsidR="00897CCB" w:rsidRPr="006E2281">
        <w:rPr>
          <w:color w:val="000000" w:themeColor="text1"/>
        </w:rPr>
        <w:t xml:space="preserve"> In </w:t>
      </w:r>
      <w:r w:rsidR="005E09C3" w:rsidRPr="006E2281">
        <w:rPr>
          <w:color w:val="000000" w:themeColor="text1"/>
        </w:rPr>
        <w:t>sub</w:t>
      </w:r>
      <w:r w:rsidR="00326DA4">
        <w:rPr>
          <w:color w:val="000000" w:themeColor="text1"/>
        </w:rPr>
        <w:t>s</w:t>
      </w:r>
      <w:r w:rsidR="005E09C3" w:rsidRPr="006E2281">
        <w:rPr>
          <w:color w:val="000000" w:themeColor="text1"/>
        </w:rPr>
        <w:t xml:space="preserve">equent </w:t>
      </w:r>
      <w:r w:rsidR="00897CCB" w:rsidRPr="006E2281">
        <w:rPr>
          <w:color w:val="000000" w:themeColor="text1"/>
        </w:rPr>
        <w:t>studies, t</w:t>
      </w:r>
      <w:r w:rsidR="00FD150D" w:rsidRPr="006E2281">
        <w:rPr>
          <w:color w:val="000000" w:themeColor="text1"/>
        </w:rPr>
        <w:t xml:space="preserve">he reported prevalence of </w:t>
      </w:r>
      <w:r w:rsidR="008F756B">
        <w:rPr>
          <w:color w:val="000000" w:themeColor="text1"/>
        </w:rPr>
        <w:t>P-ANCA</w:t>
      </w:r>
      <w:r w:rsidR="00FD150D" w:rsidRPr="006E2281">
        <w:rPr>
          <w:color w:val="000000" w:themeColor="text1"/>
        </w:rPr>
        <w:t xml:space="preserve"> </w:t>
      </w:r>
      <w:r w:rsidR="00BB2244" w:rsidRPr="006E2281">
        <w:rPr>
          <w:color w:val="000000" w:themeColor="text1"/>
        </w:rPr>
        <w:t xml:space="preserve">by IIF </w:t>
      </w:r>
      <w:r w:rsidR="00F000F4" w:rsidRPr="006E2281">
        <w:rPr>
          <w:color w:val="000000" w:themeColor="text1"/>
        </w:rPr>
        <w:t xml:space="preserve">in RA </w:t>
      </w:r>
      <w:r w:rsidR="00FD150D" w:rsidRPr="006E2281">
        <w:rPr>
          <w:color w:val="000000" w:themeColor="text1"/>
        </w:rPr>
        <w:t>varied from 16% to 50% [</w:t>
      </w:r>
      <w:r w:rsidR="00C637DF">
        <w:rPr>
          <w:color w:val="000000" w:themeColor="text1"/>
        </w:rPr>
        <w:t>15-19</w:t>
      </w:r>
      <w:r w:rsidR="00FD150D" w:rsidRPr="006E2281">
        <w:rPr>
          <w:color w:val="000000" w:themeColor="text1"/>
        </w:rPr>
        <w:t xml:space="preserve">]. </w:t>
      </w:r>
      <w:r w:rsidR="009F34EB">
        <w:rPr>
          <w:color w:val="000000" w:themeColor="text1"/>
        </w:rPr>
        <w:t xml:space="preserve">However, </w:t>
      </w:r>
      <w:r w:rsidR="00FD150D" w:rsidRPr="006E2281">
        <w:rPr>
          <w:color w:val="000000" w:themeColor="text1"/>
        </w:rPr>
        <w:t xml:space="preserve">MPO-ANCA positivity </w:t>
      </w:r>
      <w:r w:rsidR="00BB2244" w:rsidRPr="006E2281">
        <w:rPr>
          <w:color w:val="000000" w:themeColor="text1"/>
        </w:rPr>
        <w:t xml:space="preserve">by </w:t>
      </w:r>
      <w:r w:rsidR="00C41596">
        <w:t>antigen-specific immunoassays</w:t>
      </w:r>
      <w:r w:rsidR="00BB2244" w:rsidRPr="006E2281">
        <w:rPr>
          <w:color w:val="000000" w:themeColor="text1"/>
        </w:rPr>
        <w:t xml:space="preserve"> was </w:t>
      </w:r>
      <w:r w:rsidR="00FD150D" w:rsidRPr="006E2281">
        <w:rPr>
          <w:color w:val="000000" w:themeColor="text1"/>
        </w:rPr>
        <w:t xml:space="preserve">confirmed in </w:t>
      </w:r>
      <w:r w:rsidR="00BB2244" w:rsidRPr="006E2281">
        <w:rPr>
          <w:color w:val="000000" w:themeColor="text1"/>
        </w:rPr>
        <w:t xml:space="preserve">only </w:t>
      </w:r>
      <w:r w:rsidR="00FD150D" w:rsidRPr="006E2281">
        <w:rPr>
          <w:color w:val="000000" w:themeColor="text1"/>
        </w:rPr>
        <w:t>0-4% of patients (up</w:t>
      </w:r>
      <w:r w:rsidR="00C41596">
        <w:rPr>
          <w:color w:val="000000" w:themeColor="text1"/>
        </w:rPr>
        <w:t xml:space="preserve"> to 18</w:t>
      </w:r>
      <w:r w:rsidR="00F25391" w:rsidRPr="006E2281">
        <w:rPr>
          <w:color w:val="000000" w:themeColor="text1"/>
        </w:rPr>
        <w:t>% in one study) [</w:t>
      </w:r>
      <w:r w:rsidR="00C637DF">
        <w:rPr>
          <w:color w:val="000000" w:themeColor="text1"/>
        </w:rPr>
        <w:t>18,20</w:t>
      </w:r>
      <w:r w:rsidR="00FD150D" w:rsidRPr="006E2281">
        <w:rPr>
          <w:color w:val="000000" w:themeColor="text1"/>
        </w:rPr>
        <w:t>]. Some authors suggested</w:t>
      </w:r>
      <w:r w:rsidR="00223616">
        <w:rPr>
          <w:color w:val="000000" w:themeColor="text1"/>
        </w:rPr>
        <w:t xml:space="preserve"> that </w:t>
      </w:r>
      <w:r w:rsidR="008F756B">
        <w:rPr>
          <w:color w:val="000000" w:themeColor="text1"/>
        </w:rPr>
        <w:t>P-ANCA</w:t>
      </w:r>
      <w:r w:rsidR="00223616">
        <w:rPr>
          <w:color w:val="000000" w:themeColor="text1"/>
        </w:rPr>
        <w:t xml:space="preserve"> positivity in RA m</w:t>
      </w:r>
      <w:r w:rsidR="00940C6A">
        <w:rPr>
          <w:color w:val="000000" w:themeColor="text1"/>
        </w:rPr>
        <w:t>ay correlate</w:t>
      </w:r>
      <w:r w:rsidR="00FD150D" w:rsidRPr="006E2281">
        <w:rPr>
          <w:color w:val="000000" w:themeColor="text1"/>
        </w:rPr>
        <w:t xml:space="preserve"> with disease activity</w:t>
      </w:r>
      <w:r w:rsidR="00505A0E" w:rsidRPr="006E2281">
        <w:rPr>
          <w:color w:val="000000" w:themeColor="text1"/>
        </w:rPr>
        <w:t xml:space="preserve"> and severity</w:t>
      </w:r>
      <w:r w:rsidR="00FD150D" w:rsidRPr="006E2281">
        <w:rPr>
          <w:color w:val="000000" w:themeColor="text1"/>
        </w:rPr>
        <w:t xml:space="preserve"> [</w:t>
      </w:r>
      <w:r w:rsidR="00C637DF">
        <w:rPr>
          <w:color w:val="000000" w:themeColor="text1"/>
        </w:rPr>
        <w:t>15-17,19</w:t>
      </w:r>
      <w:r w:rsidR="00FD150D" w:rsidRPr="006E2281">
        <w:rPr>
          <w:color w:val="000000" w:themeColor="text1"/>
        </w:rPr>
        <w:t xml:space="preserve">]. However, this </w:t>
      </w:r>
      <w:r>
        <w:rPr>
          <w:color w:val="000000" w:themeColor="text1"/>
        </w:rPr>
        <w:t>correlation</w:t>
      </w:r>
      <w:r w:rsidR="00FD150D" w:rsidRPr="006E2281">
        <w:rPr>
          <w:color w:val="000000" w:themeColor="text1"/>
        </w:rPr>
        <w:t xml:space="preserve"> </w:t>
      </w:r>
      <w:r w:rsidR="005E09C3" w:rsidRPr="006E2281">
        <w:rPr>
          <w:color w:val="000000" w:themeColor="text1"/>
        </w:rPr>
        <w:t xml:space="preserve">was not </w:t>
      </w:r>
      <w:r w:rsidR="00FD150D" w:rsidRPr="006E2281">
        <w:rPr>
          <w:color w:val="000000" w:themeColor="text1"/>
        </w:rPr>
        <w:t>confirmed in other studies [</w:t>
      </w:r>
      <w:r w:rsidR="00C637DF">
        <w:rPr>
          <w:color w:val="000000" w:themeColor="text1"/>
        </w:rPr>
        <w:t>18,21</w:t>
      </w:r>
      <w:r w:rsidR="00FD150D" w:rsidRPr="006E2281">
        <w:rPr>
          <w:color w:val="000000" w:themeColor="text1"/>
        </w:rPr>
        <w:t>].</w:t>
      </w:r>
      <w:r w:rsidR="008F756B">
        <w:rPr>
          <w:color w:val="000000" w:themeColor="text1"/>
        </w:rPr>
        <w:t xml:space="preserve"> </w:t>
      </w:r>
      <w:r w:rsidR="003B3846">
        <w:rPr>
          <w:color w:val="000000" w:themeColor="text1"/>
        </w:rPr>
        <w:t>Other ANCA</w:t>
      </w:r>
      <w:r w:rsidR="00940C6A">
        <w:rPr>
          <w:color w:val="000000" w:themeColor="text1"/>
        </w:rPr>
        <w:t>-related</w:t>
      </w:r>
      <w:r w:rsidR="003B3846">
        <w:rPr>
          <w:color w:val="000000" w:themeColor="text1"/>
        </w:rPr>
        <w:t xml:space="preserve"> autoantigens were detected in RA, including cathepsins, elastase and lactoferrin, but were not found to have clinical utility [</w:t>
      </w:r>
      <w:r w:rsidR="00C637DF">
        <w:rPr>
          <w:color w:val="000000" w:themeColor="text1"/>
        </w:rPr>
        <w:t>22</w:t>
      </w:r>
      <w:r w:rsidR="003B3846">
        <w:rPr>
          <w:color w:val="000000" w:themeColor="text1"/>
        </w:rPr>
        <w:t>].</w:t>
      </w:r>
    </w:p>
    <w:p w:rsidR="00BB2244" w:rsidRPr="006E2281" w:rsidRDefault="000342D9" w:rsidP="00D4283A">
      <w:pPr>
        <w:rPr>
          <w:color w:val="000000" w:themeColor="text1"/>
        </w:rPr>
      </w:pPr>
      <w:r>
        <w:rPr>
          <w:color w:val="000000" w:themeColor="text1"/>
        </w:rPr>
        <w:lastRenderedPageBreak/>
        <w:t>In summary, the largest</w:t>
      </w:r>
      <w:r w:rsidR="00FD150D" w:rsidRPr="006E2281">
        <w:rPr>
          <w:color w:val="000000" w:themeColor="text1"/>
        </w:rPr>
        <w:t xml:space="preserve"> studies reported </w:t>
      </w:r>
      <w:r w:rsidR="008F756B">
        <w:rPr>
          <w:color w:val="000000" w:themeColor="text1"/>
        </w:rPr>
        <w:t>P-ANCA</w:t>
      </w:r>
      <w:r w:rsidR="00FD150D" w:rsidRPr="006E2281">
        <w:rPr>
          <w:color w:val="000000" w:themeColor="text1"/>
        </w:rPr>
        <w:t xml:space="preserve"> positivity by IIF in 15-20% of </w:t>
      </w:r>
      <w:r w:rsidR="00BB2244" w:rsidRPr="006E2281">
        <w:rPr>
          <w:color w:val="000000" w:themeColor="text1"/>
        </w:rPr>
        <w:t xml:space="preserve">RA </w:t>
      </w:r>
      <w:r w:rsidR="00FD150D" w:rsidRPr="006E2281">
        <w:rPr>
          <w:color w:val="000000" w:themeColor="text1"/>
        </w:rPr>
        <w:t xml:space="preserve">patients. However, the presence of MPO-ANCA was a </w:t>
      </w:r>
      <w:r w:rsidR="009F34EB">
        <w:rPr>
          <w:color w:val="000000" w:themeColor="text1"/>
        </w:rPr>
        <w:t xml:space="preserve">relatively </w:t>
      </w:r>
      <w:r w:rsidR="00FD150D" w:rsidRPr="006E2281">
        <w:rPr>
          <w:color w:val="000000" w:themeColor="text1"/>
        </w:rPr>
        <w:t>rare finding in RA. The evidence demonst</w:t>
      </w:r>
      <w:r w:rsidR="00A85291" w:rsidRPr="006E2281">
        <w:rPr>
          <w:color w:val="000000" w:themeColor="text1"/>
        </w:rPr>
        <w:t xml:space="preserve">rating clinical implication of </w:t>
      </w:r>
      <w:r w:rsidR="00FD150D" w:rsidRPr="006E2281">
        <w:rPr>
          <w:color w:val="000000" w:themeColor="text1"/>
        </w:rPr>
        <w:t xml:space="preserve">ANCA positivity for assessing the disease activity or predicting the progression of joint destruction in RA patients </w:t>
      </w:r>
      <w:r w:rsidR="005E09C3" w:rsidRPr="006E2281">
        <w:rPr>
          <w:color w:val="000000" w:themeColor="text1"/>
        </w:rPr>
        <w:t>is</w:t>
      </w:r>
      <w:r w:rsidR="00FD150D" w:rsidRPr="006E2281">
        <w:rPr>
          <w:color w:val="000000" w:themeColor="text1"/>
        </w:rPr>
        <w:t xml:space="preserve"> conflicting. MPO-ANCA testing by </w:t>
      </w:r>
      <w:r w:rsidR="00C41596">
        <w:t>antigen-specific immunoassays</w:t>
      </w:r>
      <w:r w:rsidR="00FD150D" w:rsidRPr="006E2281">
        <w:rPr>
          <w:color w:val="000000" w:themeColor="text1"/>
        </w:rPr>
        <w:t xml:space="preserve"> may be justified in RA patients who develop kidney disease</w:t>
      </w:r>
      <w:r w:rsidR="001E082C">
        <w:rPr>
          <w:color w:val="000000" w:themeColor="text1"/>
        </w:rPr>
        <w:t xml:space="preserve"> </w:t>
      </w:r>
      <w:r w:rsidR="001E082C" w:rsidRPr="001E082C">
        <w:rPr>
          <w:color w:val="000000" w:themeColor="text1"/>
        </w:rPr>
        <w:t>with a nephritic sediment</w:t>
      </w:r>
      <w:r w:rsidR="00FD150D" w:rsidRPr="006E2281">
        <w:rPr>
          <w:color w:val="000000" w:themeColor="text1"/>
        </w:rPr>
        <w:t>, particularly in the presence of necrotizing pauci-immune glo</w:t>
      </w:r>
      <w:r w:rsidR="00897CCB" w:rsidRPr="006E2281">
        <w:rPr>
          <w:color w:val="000000" w:themeColor="text1"/>
        </w:rPr>
        <w:t>merulonephritis on renal biopsy, and when other signs of AAV are present such as necrotizing scleritis or mononeuritis multiplex.</w:t>
      </w:r>
    </w:p>
    <w:p w:rsidR="005E09C3" w:rsidRPr="006E2281" w:rsidRDefault="005E09C3" w:rsidP="00D4283A">
      <w:pPr>
        <w:rPr>
          <w:b/>
          <w:color w:val="000000" w:themeColor="text1"/>
        </w:rPr>
      </w:pPr>
    </w:p>
    <w:p w:rsidR="004A0477" w:rsidRPr="006E2281" w:rsidRDefault="004A0477" w:rsidP="00D4283A">
      <w:pPr>
        <w:rPr>
          <w:b/>
          <w:color w:val="000000" w:themeColor="text1"/>
        </w:rPr>
      </w:pPr>
      <w:r w:rsidRPr="006E2281">
        <w:rPr>
          <w:b/>
          <w:color w:val="000000" w:themeColor="text1"/>
        </w:rPr>
        <w:t>Systemic lupus erythematosus</w:t>
      </w:r>
    </w:p>
    <w:p w:rsidR="00B529D1" w:rsidRPr="00D308C1" w:rsidRDefault="004A0477" w:rsidP="004A0477">
      <w:pPr>
        <w:rPr>
          <w:color w:val="000000" w:themeColor="text1"/>
        </w:rPr>
      </w:pPr>
      <w:r w:rsidRPr="00D308C1">
        <w:rPr>
          <w:color w:val="000000" w:themeColor="text1"/>
        </w:rPr>
        <w:t xml:space="preserve">Jarrot et al </w:t>
      </w:r>
      <w:r w:rsidR="00260F96" w:rsidRPr="00D308C1">
        <w:rPr>
          <w:color w:val="000000" w:themeColor="text1"/>
        </w:rPr>
        <w:t>described</w:t>
      </w:r>
      <w:r w:rsidRPr="00D308C1">
        <w:rPr>
          <w:color w:val="000000" w:themeColor="text1"/>
        </w:rPr>
        <w:t xml:space="preserve"> 8 </w:t>
      </w:r>
      <w:r w:rsidR="00260F96" w:rsidRPr="00D308C1">
        <w:rPr>
          <w:color w:val="000000" w:themeColor="text1"/>
        </w:rPr>
        <w:t>patients with</w:t>
      </w:r>
      <w:r w:rsidRPr="00D308C1">
        <w:rPr>
          <w:color w:val="000000" w:themeColor="text1"/>
        </w:rPr>
        <w:t xml:space="preserve"> </w:t>
      </w:r>
      <w:r w:rsidR="00A85291" w:rsidRPr="00D308C1">
        <w:rPr>
          <w:color w:val="000000" w:themeColor="text1"/>
        </w:rPr>
        <w:t>systemic lupus erythematosus (</w:t>
      </w:r>
      <w:r w:rsidRPr="00D308C1">
        <w:rPr>
          <w:color w:val="000000" w:themeColor="text1"/>
        </w:rPr>
        <w:t>SLE</w:t>
      </w:r>
      <w:r w:rsidR="00A85291" w:rsidRPr="00D308C1">
        <w:rPr>
          <w:color w:val="000000" w:themeColor="text1"/>
        </w:rPr>
        <w:t>)</w:t>
      </w:r>
      <w:r w:rsidRPr="00D308C1">
        <w:rPr>
          <w:color w:val="000000" w:themeColor="text1"/>
        </w:rPr>
        <w:t>/AAV overlap syndrome through a survey of 3300 cases of vasculitis</w:t>
      </w:r>
      <w:r w:rsidR="00F25391" w:rsidRPr="00D308C1">
        <w:rPr>
          <w:color w:val="000000" w:themeColor="text1"/>
        </w:rPr>
        <w:t xml:space="preserve"> and identified 31 previously reported cases </w:t>
      </w:r>
      <w:r w:rsidRPr="00D308C1">
        <w:rPr>
          <w:color w:val="000000" w:themeColor="text1"/>
        </w:rPr>
        <w:t>[</w:t>
      </w:r>
      <w:r w:rsidR="00C637DF" w:rsidRPr="00D308C1">
        <w:rPr>
          <w:color w:val="000000" w:themeColor="text1"/>
        </w:rPr>
        <w:t>23</w:t>
      </w:r>
      <w:r w:rsidRPr="00D308C1">
        <w:rPr>
          <w:color w:val="000000" w:themeColor="text1"/>
        </w:rPr>
        <w:t>]. Patients with SLE/AAV overlap syndrome were mostly female, and usually presented with MPO-ANCA positive rapidly progressive glomerulonephritis, joint and skin disease, and frequent pul</w:t>
      </w:r>
      <w:r w:rsidR="00260F96" w:rsidRPr="00D308C1">
        <w:rPr>
          <w:color w:val="000000" w:themeColor="text1"/>
        </w:rPr>
        <w:t>monary involvement. Renal biopsies</w:t>
      </w:r>
      <w:r w:rsidRPr="00D308C1">
        <w:rPr>
          <w:color w:val="000000" w:themeColor="text1"/>
        </w:rPr>
        <w:t>, classified as either lupus nephritis or pauci-immune glomerulonephritis, showed overlapping lesions in some cases. All patients were positive f</w:t>
      </w:r>
      <w:r w:rsidR="00C41596" w:rsidRPr="00D308C1">
        <w:rPr>
          <w:color w:val="000000" w:themeColor="text1"/>
        </w:rPr>
        <w:t xml:space="preserve">or </w:t>
      </w:r>
      <w:r w:rsidR="00940C6A" w:rsidRPr="00D308C1">
        <w:rPr>
          <w:color w:val="000000" w:themeColor="text1"/>
        </w:rPr>
        <w:t>ANA</w:t>
      </w:r>
      <w:r w:rsidR="00C41596" w:rsidRPr="00D308C1">
        <w:rPr>
          <w:color w:val="000000" w:themeColor="text1"/>
        </w:rPr>
        <w:t>, whereas anti-dsDNA were detected in 50% of cases</w:t>
      </w:r>
      <w:r w:rsidR="00B148E9" w:rsidRPr="00D308C1">
        <w:rPr>
          <w:color w:val="000000" w:themeColor="text1"/>
        </w:rPr>
        <w:t xml:space="preserve">. </w:t>
      </w:r>
    </w:p>
    <w:p w:rsidR="004A0477" w:rsidRPr="00D308C1" w:rsidRDefault="008F756B" w:rsidP="004A0477">
      <w:pPr>
        <w:rPr>
          <w:color w:val="000000" w:themeColor="text1"/>
        </w:rPr>
      </w:pPr>
      <w:r w:rsidRPr="00D308C1">
        <w:rPr>
          <w:color w:val="000000" w:themeColor="text1"/>
        </w:rPr>
        <w:t>P-ANCA</w:t>
      </w:r>
      <w:r w:rsidR="00B529D1" w:rsidRPr="00D308C1">
        <w:rPr>
          <w:color w:val="000000" w:themeColor="text1"/>
        </w:rPr>
        <w:t xml:space="preserve"> positivity was first documented in patients with SLE </w:t>
      </w:r>
      <w:r w:rsidR="009F34EB" w:rsidRPr="00D1448F">
        <w:rPr>
          <w:lang w:val="en-IE"/>
        </w:rPr>
        <w:t>in the early 1990’s</w:t>
      </w:r>
      <w:r w:rsidR="00B529D1" w:rsidRPr="00D308C1">
        <w:rPr>
          <w:color w:val="000000" w:themeColor="text1"/>
        </w:rPr>
        <w:t xml:space="preserve"> [</w:t>
      </w:r>
      <w:r w:rsidR="00C637DF" w:rsidRPr="00D308C1">
        <w:rPr>
          <w:color w:val="000000" w:themeColor="text1"/>
        </w:rPr>
        <w:t>24</w:t>
      </w:r>
      <w:r w:rsidR="00B529D1" w:rsidRPr="00D308C1">
        <w:rPr>
          <w:color w:val="000000" w:themeColor="text1"/>
        </w:rPr>
        <w:t>].</w:t>
      </w:r>
      <w:r w:rsidR="0040691F" w:rsidRPr="00D308C1">
        <w:rPr>
          <w:color w:val="000000" w:themeColor="text1"/>
        </w:rPr>
        <w:t xml:space="preserve"> </w:t>
      </w:r>
      <w:r w:rsidR="0040691F" w:rsidRPr="0015777E">
        <w:rPr>
          <w:color w:val="000000" w:themeColor="text1"/>
          <w:lang w:val="en-GB"/>
        </w:rPr>
        <w:t>Schnabel et al</w:t>
      </w:r>
      <w:r w:rsidR="0040691F">
        <w:rPr>
          <w:color w:val="000000" w:themeColor="text1"/>
          <w:lang w:val="en-GB"/>
        </w:rPr>
        <w:t xml:space="preserve">. detected ANCA by IIF </w:t>
      </w:r>
      <w:r w:rsidR="0040691F">
        <w:t>in 40 of the 157 sera (25%) from patients with SLE [</w:t>
      </w:r>
      <w:r w:rsidR="00C637DF">
        <w:t>25</w:t>
      </w:r>
      <w:r w:rsidR="0040691F">
        <w:t xml:space="preserve">]. Only a </w:t>
      </w:r>
      <w:r>
        <w:t>P-ANCA</w:t>
      </w:r>
      <w:r w:rsidR="0040691F">
        <w:t xml:space="preserve"> pattern of fluorescence was seen. By ELISA testing, 16 sera reacted to lactoferrin, 8 to elastase, and 4 to lysozyme. Notably, there was no correlation of ANCA results with lupus vasculitis.</w:t>
      </w:r>
      <w:r w:rsidR="00B529D1" w:rsidRPr="00D308C1">
        <w:rPr>
          <w:color w:val="000000" w:themeColor="text1"/>
        </w:rPr>
        <w:t xml:space="preserve"> In a more recent large study, </w:t>
      </w:r>
      <w:r w:rsidR="004A0477" w:rsidRPr="00D308C1">
        <w:rPr>
          <w:color w:val="000000" w:themeColor="text1"/>
        </w:rPr>
        <w:t xml:space="preserve">ANCA were detected by IIF in 16.4% of 566 European patients with SLE, whereas MPO-ANCA and PR3-ANCA </w:t>
      </w:r>
      <w:r w:rsidR="0047689C" w:rsidRPr="006E2281">
        <w:rPr>
          <w:color w:val="000000" w:themeColor="text1"/>
        </w:rPr>
        <w:t xml:space="preserve">by ELISA </w:t>
      </w:r>
      <w:r w:rsidR="004A0477" w:rsidRPr="00D308C1">
        <w:rPr>
          <w:color w:val="000000" w:themeColor="text1"/>
        </w:rPr>
        <w:t>were found in 9.3% and 1.7% of patients, respectively [</w:t>
      </w:r>
      <w:r w:rsidR="00C637DF" w:rsidRPr="00D308C1">
        <w:rPr>
          <w:color w:val="000000" w:themeColor="text1"/>
        </w:rPr>
        <w:t>26</w:t>
      </w:r>
      <w:r w:rsidR="004A0477" w:rsidRPr="00D308C1">
        <w:rPr>
          <w:color w:val="000000" w:themeColor="text1"/>
        </w:rPr>
        <w:t xml:space="preserve">]. </w:t>
      </w:r>
      <w:r w:rsidR="00B148E9" w:rsidRPr="00D308C1">
        <w:rPr>
          <w:color w:val="000000" w:themeColor="text1"/>
        </w:rPr>
        <w:t xml:space="preserve">Of note, </w:t>
      </w:r>
      <w:r w:rsidR="00940C6A">
        <w:t>ANA, usually at high titres,</w:t>
      </w:r>
      <w:r w:rsidR="00B148E9">
        <w:t xml:space="preserve"> can produce IIF staining patterns on ethanol-fixed neutrophils that may be indistinguishable from </w:t>
      </w:r>
      <w:r>
        <w:t>P-ANCA</w:t>
      </w:r>
      <w:r w:rsidR="00B148E9">
        <w:t>.</w:t>
      </w:r>
      <w:r w:rsidR="00B148E9" w:rsidRPr="00D308C1">
        <w:rPr>
          <w:color w:val="000000" w:themeColor="text1"/>
        </w:rPr>
        <w:t xml:space="preserve"> </w:t>
      </w:r>
      <w:r w:rsidR="004A0477" w:rsidRPr="00D308C1">
        <w:rPr>
          <w:color w:val="000000" w:themeColor="text1"/>
        </w:rPr>
        <w:t xml:space="preserve">In smaller studies, the reported prevalence </w:t>
      </w:r>
      <w:r w:rsidR="00C41596" w:rsidRPr="00D308C1">
        <w:rPr>
          <w:color w:val="000000" w:themeColor="text1"/>
        </w:rPr>
        <w:t xml:space="preserve">of </w:t>
      </w:r>
      <w:r w:rsidRPr="00D308C1">
        <w:rPr>
          <w:color w:val="000000" w:themeColor="text1"/>
        </w:rPr>
        <w:t>P-ANCA</w:t>
      </w:r>
      <w:r w:rsidR="00C41596" w:rsidRPr="00D308C1">
        <w:rPr>
          <w:color w:val="000000" w:themeColor="text1"/>
        </w:rPr>
        <w:t xml:space="preserve"> varied from 14.0 to 31.4</w:t>
      </w:r>
      <w:r w:rsidR="004A0477" w:rsidRPr="00D308C1">
        <w:rPr>
          <w:color w:val="000000" w:themeColor="text1"/>
        </w:rPr>
        <w:t xml:space="preserve">%, </w:t>
      </w:r>
      <w:r w:rsidR="0047689C" w:rsidRPr="006E2281">
        <w:rPr>
          <w:color w:val="000000" w:themeColor="text1"/>
        </w:rPr>
        <w:t xml:space="preserve">of </w:t>
      </w:r>
      <w:r w:rsidR="004A0477" w:rsidRPr="00D308C1">
        <w:rPr>
          <w:color w:val="000000" w:themeColor="text1"/>
        </w:rPr>
        <w:t xml:space="preserve">MPO-ANCA from 0 to 23.8%, and </w:t>
      </w:r>
      <w:r w:rsidR="0047689C" w:rsidRPr="006E2281">
        <w:rPr>
          <w:color w:val="000000" w:themeColor="text1"/>
        </w:rPr>
        <w:t xml:space="preserve">of </w:t>
      </w:r>
      <w:r w:rsidR="004A0477" w:rsidRPr="00D308C1">
        <w:rPr>
          <w:color w:val="000000" w:themeColor="text1"/>
        </w:rPr>
        <w:t>PR3-ANCA from 0 to 12.7% [</w:t>
      </w:r>
      <w:r w:rsidR="00C637DF" w:rsidRPr="00D308C1">
        <w:rPr>
          <w:color w:val="000000" w:themeColor="text1"/>
        </w:rPr>
        <w:t>27</w:t>
      </w:r>
      <w:r w:rsidR="004A0477" w:rsidRPr="00D308C1">
        <w:rPr>
          <w:color w:val="000000" w:themeColor="text1"/>
        </w:rPr>
        <w:t xml:space="preserve">]. In one study, </w:t>
      </w:r>
      <w:r w:rsidR="00C637DF" w:rsidRPr="00D308C1">
        <w:rPr>
          <w:color w:val="000000" w:themeColor="text1"/>
        </w:rPr>
        <w:t>MPO-ANCA was</w:t>
      </w:r>
      <w:r w:rsidR="004A0477" w:rsidRPr="00D308C1">
        <w:rPr>
          <w:color w:val="000000" w:themeColor="text1"/>
        </w:rPr>
        <w:t xml:space="preserve"> more frequently encountered in patients with crescentic lupus nephritis than in patients with noncrescentic lupus nephritis (21.2% vs. 0.8%) </w:t>
      </w:r>
      <w:r w:rsidR="004A0477" w:rsidRPr="00D308C1">
        <w:rPr>
          <w:color w:val="000000" w:themeColor="text1"/>
        </w:rPr>
        <w:lastRenderedPageBreak/>
        <w:t>[</w:t>
      </w:r>
      <w:r w:rsidR="00C637DF" w:rsidRPr="00D308C1">
        <w:rPr>
          <w:color w:val="000000" w:themeColor="text1"/>
        </w:rPr>
        <w:t>28</w:t>
      </w:r>
      <w:r w:rsidR="004A0477" w:rsidRPr="00D308C1">
        <w:rPr>
          <w:color w:val="000000" w:themeColor="text1"/>
        </w:rPr>
        <w:t>].</w:t>
      </w:r>
      <w:r w:rsidRPr="00D308C1">
        <w:rPr>
          <w:color w:val="000000" w:themeColor="text1"/>
        </w:rPr>
        <w:t xml:space="preserve"> As in RA patients, other specificities were found besides those targeting PR3 and MPO. In one study, ANCA for lactoferrin were detected in 14.3% of SLE patients [</w:t>
      </w:r>
      <w:r w:rsidR="00C637DF" w:rsidRPr="00D308C1">
        <w:rPr>
          <w:color w:val="000000" w:themeColor="text1"/>
        </w:rPr>
        <w:t>26</w:t>
      </w:r>
      <w:r w:rsidRPr="00D308C1">
        <w:rPr>
          <w:color w:val="000000" w:themeColor="text1"/>
        </w:rPr>
        <w:t>].</w:t>
      </w:r>
    </w:p>
    <w:p w:rsidR="00897CCB" w:rsidRPr="00D308C1" w:rsidRDefault="00446210" w:rsidP="00897CCB">
      <w:pPr>
        <w:rPr>
          <w:color w:val="000000" w:themeColor="text1"/>
        </w:rPr>
      </w:pPr>
      <w:r w:rsidRPr="00D308C1">
        <w:rPr>
          <w:color w:val="000000" w:themeColor="text1"/>
        </w:rPr>
        <w:t xml:space="preserve">Recently, </w:t>
      </w:r>
      <w:r w:rsidR="009F34EB" w:rsidRPr="00D1448F">
        <w:rPr>
          <w:lang w:val="en-IE"/>
        </w:rPr>
        <w:t>Turner-Stokes et al</w:t>
      </w:r>
      <w:r w:rsidR="009F34EB">
        <w:rPr>
          <w:lang w:val="en-IE"/>
        </w:rPr>
        <w:t>.</w:t>
      </w:r>
      <w:r w:rsidR="009F34EB" w:rsidRPr="00D1448F">
        <w:rPr>
          <w:lang w:val="en-IE"/>
        </w:rPr>
        <w:t xml:space="preserve"> found</w:t>
      </w:r>
      <w:r w:rsidR="00A85291" w:rsidRPr="00D308C1">
        <w:rPr>
          <w:color w:val="000000" w:themeColor="text1"/>
        </w:rPr>
        <w:t xml:space="preserve"> that </w:t>
      </w:r>
      <w:r w:rsidR="00C41596" w:rsidRPr="00D308C1">
        <w:rPr>
          <w:color w:val="000000" w:themeColor="text1"/>
        </w:rPr>
        <w:t xml:space="preserve">antigen-specific </w:t>
      </w:r>
      <w:r w:rsidR="000342D9" w:rsidRPr="00D308C1">
        <w:rPr>
          <w:color w:val="000000" w:themeColor="text1"/>
        </w:rPr>
        <w:t>ANCA-</w:t>
      </w:r>
      <w:r w:rsidR="00A85291" w:rsidRPr="00D308C1">
        <w:rPr>
          <w:color w:val="000000" w:themeColor="text1"/>
        </w:rPr>
        <w:t>positive patients with lupus nephritis tended to have a more segmental and necrotizing pattern of glomerular inflammation on renal biopsy, serologically more active disease, and a worse baseline re</w:t>
      </w:r>
      <w:r w:rsidR="00940C6A" w:rsidRPr="00D308C1">
        <w:rPr>
          <w:color w:val="000000" w:themeColor="text1"/>
        </w:rPr>
        <w:t>nal function compared to</w:t>
      </w:r>
      <w:r w:rsidR="000342D9" w:rsidRPr="00D308C1">
        <w:rPr>
          <w:color w:val="000000" w:themeColor="text1"/>
        </w:rPr>
        <w:t xml:space="preserve"> ANCA-</w:t>
      </w:r>
      <w:r w:rsidR="00A85291" w:rsidRPr="00D308C1">
        <w:rPr>
          <w:color w:val="000000" w:themeColor="text1"/>
        </w:rPr>
        <w:t xml:space="preserve">negative patients </w:t>
      </w:r>
      <w:r w:rsidRPr="00D308C1">
        <w:rPr>
          <w:color w:val="000000" w:themeColor="text1"/>
        </w:rPr>
        <w:t>[</w:t>
      </w:r>
      <w:r w:rsidR="00C637DF" w:rsidRPr="00D308C1">
        <w:rPr>
          <w:color w:val="000000" w:themeColor="text1"/>
        </w:rPr>
        <w:t>29</w:t>
      </w:r>
      <w:r w:rsidRPr="00D308C1">
        <w:rPr>
          <w:color w:val="000000" w:themeColor="text1"/>
        </w:rPr>
        <w:t>].</w:t>
      </w:r>
      <w:r w:rsidR="00A85291" w:rsidRPr="006E2281">
        <w:rPr>
          <w:color w:val="000000" w:themeColor="text1"/>
        </w:rPr>
        <w:t xml:space="preserve"> </w:t>
      </w:r>
      <w:r w:rsidRPr="00D308C1">
        <w:rPr>
          <w:color w:val="000000" w:themeColor="text1"/>
        </w:rPr>
        <w:t xml:space="preserve">However, there was no significant difference in the time to death or renal replacement therapy between the two groups. </w:t>
      </w:r>
      <w:r w:rsidR="000342D9" w:rsidRPr="00D308C1">
        <w:rPr>
          <w:color w:val="000000" w:themeColor="text1"/>
        </w:rPr>
        <w:t>The authors suggested that ANCA</w:t>
      </w:r>
      <w:r w:rsidRPr="00D308C1">
        <w:rPr>
          <w:color w:val="000000" w:themeColor="text1"/>
        </w:rPr>
        <w:t xml:space="preserve"> may mediate distinct mechanisms of glomerular inflammation in patients with lupus nephritis, superimposed on the effects of immune complex deposition.</w:t>
      </w:r>
      <w:r w:rsidR="00897CCB" w:rsidRPr="00D308C1">
        <w:rPr>
          <w:color w:val="000000" w:themeColor="text1"/>
        </w:rPr>
        <w:t xml:space="preserve"> In </w:t>
      </w:r>
      <w:r w:rsidR="005E32B0" w:rsidRPr="006E2281">
        <w:rPr>
          <w:color w:val="000000" w:themeColor="text1"/>
        </w:rPr>
        <w:t>an</w:t>
      </w:r>
      <w:r w:rsidR="00897CCB" w:rsidRPr="00D308C1">
        <w:rPr>
          <w:color w:val="000000" w:themeColor="text1"/>
        </w:rPr>
        <w:t xml:space="preserve">other study, </w:t>
      </w:r>
      <w:r w:rsidR="00C41596" w:rsidRPr="00D308C1">
        <w:rPr>
          <w:color w:val="000000" w:themeColor="text1"/>
        </w:rPr>
        <w:t xml:space="preserve">antigen-specific </w:t>
      </w:r>
      <w:r w:rsidR="00897CCB" w:rsidRPr="00D308C1">
        <w:rPr>
          <w:color w:val="000000" w:themeColor="text1"/>
        </w:rPr>
        <w:t>ANCA-positivity in 49 patients with biopsy-proven lupus nephritis was associated with massive haematuria, advanced renal failure, and higher activity index and chronicity index scores, including cellular crescents, interstitial inflammation, tubular atrophy and interstitial fibrosis [</w:t>
      </w:r>
      <w:r w:rsidR="00C637DF" w:rsidRPr="00D308C1">
        <w:rPr>
          <w:color w:val="000000" w:themeColor="text1"/>
        </w:rPr>
        <w:t>30</w:t>
      </w:r>
      <w:r w:rsidR="00897CCB" w:rsidRPr="00D308C1">
        <w:rPr>
          <w:color w:val="000000" w:themeColor="text1"/>
        </w:rPr>
        <w:t>]. In a retrospective case-control study, MPO-ANCA</w:t>
      </w:r>
      <w:r w:rsidR="00897CCB" w:rsidRPr="006E2281">
        <w:rPr>
          <w:color w:val="000000" w:themeColor="text1"/>
        </w:rPr>
        <w:t xml:space="preserve"> were found prior to clinical</w:t>
      </w:r>
      <w:r w:rsidR="00897CCB" w:rsidRPr="00D308C1">
        <w:rPr>
          <w:color w:val="000000" w:themeColor="text1"/>
        </w:rPr>
        <w:t xml:space="preserve"> </w:t>
      </w:r>
      <w:r w:rsidR="00897CCB" w:rsidRPr="006E2281">
        <w:rPr>
          <w:color w:val="000000" w:themeColor="text1"/>
        </w:rPr>
        <w:t xml:space="preserve">lupus nephritis and </w:t>
      </w:r>
      <w:r w:rsidR="009F34EB" w:rsidRPr="00D1448F">
        <w:rPr>
          <w:lang w:val="en-IE"/>
        </w:rPr>
        <w:t xml:space="preserve">predicted </w:t>
      </w:r>
      <w:r w:rsidR="009F34EB">
        <w:rPr>
          <w:lang w:val="en-IE"/>
        </w:rPr>
        <w:t>its</w:t>
      </w:r>
      <w:r w:rsidR="009F34EB" w:rsidRPr="00D1448F">
        <w:rPr>
          <w:lang w:val="en-IE"/>
        </w:rPr>
        <w:t xml:space="preserve"> development</w:t>
      </w:r>
      <w:r w:rsidR="00897CCB" w:rsidRPr="00D308C1">
        <w:rPr>
          <w:color w:val="000000" w:themeColor="text1"/>
        </w:rPr>
        <w:t xml:space="preserve"> [</w:t>
      </w:r>
      <w:r w:rsidR="00C637DF" w:rsidRPr="00D308C1">
        <w:rPr>
          <w:color w:val="000000" w:themeColor="text1"/>
        </w:rPr>
        <w:t>31</w:t>
      </w:r>
      <w:r w:rsidR="00897CCB" w:rsidRPr="00D308C1">
        <w:rPr>
          <w:color w:val="000000" w:themeColor="text1"/>
        </w:rPr>
        <w:t>].</w:t>
      </w:r>
    </w:p>
    <w:p w:rsidR="003805F0" w:rsidRPr="006E2281" w:rsidRDefault="005F34CC" w:rsidP="004A0477">
      <w:pPr>
        <w:rPr>
          <w:color w:val="000000" w:themeColor="text1"/>
        </w:rPr>
      </w:pPr>
      <w:r w:rsidRPr="00D308C1">
        <w:rPr>
          <w:color w:val="000000" w:themeColor="text1"/>
        </w:rPr>
        <w:t xml:space="preserve">In summary, </w:t>
      </w:r>
      <w:r w:rsidR="005B15C5" w:rsidRPr="006E2281">
        <w:rPr>
          <w:color w:val="000000" w:themeColor="text1"/>
        </w:rPr>
        <w:t xml:space="preserve">SLE may overlap with AAV in a small proportion of patients. By </w:t>
      </w:r>
      <w:r w:rsidR="00C41596">
        <w:rPr>
          <w:color w:val="000000" w:themeColor="text1"/>
        </w:rPr>
        <w:t>antigen-specific</w:t>
      </w:r>
      <w:r w:rsidR="00940C6A">
        <w:rPr>
          <w:color w:val="000000" w:themeColor="text1"/>
        </w:rPr>
        <w:t xml:space="preserve"> assays</w:t>
      </w:r>
      <w:r w:rsidR="000342D9">
        <w:rPr>
          <w:color w:val="000000" w:themeColor="text1"/>
        </w:rPr>
        <w:t>, ANCA-</w:t>
      </w:r>
      <w:r w:rsidR="005B15C5" w:rsidRPr="006E2281">
        <w:rPr>
          <w:color w:val="000000" w:themeColor="text1"/>
        </w:rPr>
        <w:t>positivity (particularly MPO-ANCA) is not uncommon in SLE patients</w:t>
      </w:r>
      <w:r w:rsidR="00C41596">
        <w:rPr>
          <w:color w:val="000000" w:themeColor="text1"/>
        </w:rPr>
        <w:t>, but this could be due to technical issues</w:t>
      </w:r>
      <w:r w:rsidR="00C41596" w:rsidRPr="006E2281">
        <w:rPr>
          <w:color w:val="000000" w:themeColor="text1"/>
        </w:rPr>
        <w:t>.</w:t>
      </w:r>
      <w:r w:rsidR="005B15C5" w:rsidRPr="006E2281">
        <w:rPr>
          <w:color w:val="000000" w:themeColor="text1"/>
        </w:rPr>
        <w:t xml:space="preserve"> </w:t>
      </w:r>
      <w:r w:rsidR="003B3846">
        <w:rPr>
          <w:color w:val="000000" w:themeColor="text1"/>
        </w:rPr>
        <w:t>It has been proposed that sera containing high levels of anti-dsDNA antibodies may cause false positive results in MPO-ANCA assays due to charge interactions between DNA in sera and MPO [</w:t>
      </w:r>
      <w:r w:rsidR="00C637DF">
        <w:rPr>
          <w:color w:val="000000" w:themeColor="text1"/>
        </w:rPr>
        <w:t>32</w:t>
      </w:r>
      <w:r w:rsidR="00F86B7F">
        <w:rPr>
          <w:color w:val="000000" w:themeColor="text1"/>
        </w:rPr>
        <w:t>,33</w:t>
      </w:r>
      <w:r w:rsidR="003B3846">
        <w:rPr>
          <w:color w:val="000000" w:themeColor="text1"/>
        </w:rPr>
        <w:t>].</w:t>
      </w:r>
      <w:r w:rsidR="003B3846" w:rsidRPr="003B3846">
        <w:rPr>
          <w:color w:val="000000" w:themeColor="text1"/>
        </w:rPr>
        <w:t xml:space="preserve"> </w:t>
      </w:r>
      <w:r w:rsidR="005B15C5" w:rsidRPr="006E2281">
        <w:rPr>
          <w:color w:val="000000" w:themeColor="text1"/>
        </w:rPr>
        <w:t>The clinical implication of the presence of ANCA in SLE is not established</w:t>
      </w:r>
      <w:r w:rsidR="009F34EB">
        <w:rPr>
          <w:color w:val="000000" w:themeColor="text1"/>
        </w:rPr>
        <w:t xml:space="preserve">, </w:t>
      </w:r>
      <w:r w:rsidR="009F34EB" w:rsidRPr="00D1448F">
        <w:t>although it</w:t>
      </w:r>
      <w:r w:rsidR="008F756B">
        <w:rPr>
          <w:color w:val="000000" w:themeColor="text1"/>
        </w:rPr>
        <w:t xml:space="preserve"> may be associated with </w:t>
      </w:r>
      <w:r w:rsidR="006E23B6">
        <w:rPr>
          <w:color w:val="000000" w:themeColor="text1"/>
        </w:rPr>
        <w:t>a</w:t>
      </w:r>
      <w:r w:rsidR="00897CCB" w:rsidRPr="006E2281">
        <w:rPr>
          <w:color w:val="000000" w:themeColor="text1"/>
        </w:rPr>
        <w:t xml:space="preserve"> more severe </w:t>
      </w:r>
      <w:r w:rsidR="006E23B6">
        <w:rPr>
          <w:color w:val="000000" w:themeColor="text1"/>
        </w:rPr>
        <w:t>glomerulonephritis.</w:t>
      </w:r>
    </w:p>
    <w:p w:rsidR="005E32B0" w:rsidRPr="006E2281" w:rsidRDefault="005E32B0" w:rsidP="005A772D">
      <w:pPr>
        <w:rPr>
          <w:b/>
          <w:color w:val="000000" w:themeColor="text1"/>
        </w:rPr>
      </w:pPr>
    </w:p>
    <w:p w:rsidR="0033648C" w:rsidRPr="006E2281" w:rsidRDefault="0033648C" w:rsidP="005A772D">
      <w:pPr>
        <w:rPr>
          <w:b/>
          <w:color w:val="000000" w:themeColor="text1"/>
        </w:rPr>
      </w:pPr>
      <w:r w:rsidRPr="006E2281">
        <w:rPr>
          <w:b/>
          <w:color w:val="000000" w:themeColor="text1"/>
        </w:rPr>
        <w:t>Systemic sclerosis</w:t>
      </w:r>
    </w:p>
    <w:p w:rsidR="00505A0E" w:rsidRPr="006E2281" w:rsidRDefault="0033648C" w:rsidP="00505A0E">
      <w:pPr>
        <w:rPr>
          <w:color w:val="000000" w:themeColor="text1"/>
        </w:rPr>
      </w:pPr>
      <w:r w:rsidRPr="006E2281">
        <w:rPr>
          <w:color w:val="000000" w:themeColor="text1"/>
        </w:rPr>
        <w:t>Autoantibody profiles in systemic sclerosis (SSc) are important for diagnosis and a stratified</w:t>
      </w:r>
      <w:r w:rsidR="00797349" w:rsidRPr="006E2281">
        <w:rPr>
          <w:color w:val="000000" w:themeColor="text1"/>
        </w:rPr>
        <w:t xml:space="preserve"> approach to </w:t>
      </w:r>
      <w:r w:rsidR="00260F96">
        <w:rPr>
          <w:color w:val="000000" w:themeColor="text1"/>
        </w:rPr>
        <w:t xml:space="preserve">patient </w:t>
      </w:r>
      <w:r w:rsidR="00797349" w:rsidRPr="006E2281">
        <w:rPr>
          <w:color w:val="000000" w:themeColor="text1"/>
        </w:rPr>
        <w:t>management [</w:t>
      </w:r>
      <w:r w:rsidR="00F86B7F">
        <w:rPr>
          <w:color w:val="000000" w:themeColor="text1"/>
        </w:rPr>
        <w:t>34,35</w:t>
      </w:r>
      <w:r w:rsidRPr="006E2281">
        <w:rPr>
          <w:color w:val="000000" w:themeColor="text1"/>
        </w:rPr>
        <w:t xml:space="preserve">]. In several relatively small studies, the prevalence of ANCA-positivity (mainly MPO-ANCA) in SSc </w:t>
      </w:r>
      <w:r w:rsidR="00246E8C" w:rsidRPr="006E2281">
        <w:rPr>
          <w:color w:val="000000" w:themeColor="text1"/>
        </w:rPr>
        <w:t xml:space="preserve">varied </w:t>
      </w:r>
      <w:r w:rsidR="00F25391" w:rsidRPr="006E2281">
        <w:rPr>
          <w:color w:val="000000" w:themeColor="text1"/>
        </w:rPr>
        <w:t>from 0 to 9.1% [</w:t>
      </w:r>
      <w:r w:rsidR="00F86B7F">
        <w:rPr>
          <w:color w:val="000000" w:themeColor="text1"/>
        </w:rPr>
        <w:t>36-39</w:t>
      </w:r>
      <w:r w:rsidRPr="006E2281">
        <w:rPr>
          <w:color w:val="000000" w:themeColor="text1"/>
        </w:rPr>
        <w:t xml:space="preserve">]. </w:t>
      </w:r>
      <w:r w:rsidR="00F000F4" w:rsidRPr="006E2281">
        <w:rPr>
          <w:color w:val="000000" w:themeColor="text1"/>
        </w:rPr>
        <w:t>O</w:t>
      </w:r>
      <w:r w:rsidRPr="006E2281">
        <w:rPr>
          <w:color w:val="000000" w:themeColor="text1"/>
        </w:rPr>
        <w:t xml:space="preserve">nly a few ANCA-positive </w:t>
      </w:r>
      <w:r w:rsidR="00260F96">
        <w:rPr>
          <w:color w:val="000000" w:themeColor="text1"/>
        </w:rPr>
        <w:t xml:space="preserve">SSc </w:t>
      </w:r>
      <w:r w:rsidRPr="006E2281">
        <w:rPr>
          <w:color w:val="000000" w:themeColor="text1"/>
        </w:rPr>
        <w:t xml:space="preserve">patients had </w:t>
      </w:r>
      <w:r w:rsidR="00260F96">
        <w:rPr>
          <w:color w:val="000000" w:themeColor="text1"/>
        </w:rPr>
        <w:t xml:space="preserve">documented </w:t>
      </w:r>
      <w:r w:rsidR="00246E8C" w:rsidRPr="006E2281">
        <w:rPr>
          <w:color w:val="000000" w:themeColor="text1"/>
        </w:rPr>
        <w:t>AAV</w:t>
      </w:r>
      <w:r w:rsidRPr="006E2281">
        <w:rPr>
          <w:color w:val="000000" w:themeColor="text1"/>
        </w:rPr>
        <w:t xml:space="preserve">. </w:t>
      </w:r>
      <w:r w:rsidR="00505A0E" w:rsidRPr="006E2281">
        <w:rPr>
          <w:color w:val="000000" w:themeColor="text1"/>
        </w:rPr>
        <w:t>In a clin</w:t>
      </w:r>
      <w:r w:rsidR="00260F96">
        <w:rPr>
          <w:color w:val="000000" w:themeColor="text1"/>
        </w:rPr>
        <w:t xml:space="preserve">ical database of 2,200 patients </w:t>
      </w:r>
      <w:r w:rsidR="00505A0E" w:rsidRPr="006E2281">
        <w:rPr>
          <w:color w:val="000000" w:themeColor="text1"/>
        </w:rPr>
        <w:t xml:space="preserve">with SSc, 8 (0.4%) patients had AAV, </w:t>
      </w:r>
      <w:r w:rsidR="009F34EB">
        <w:rPr>
          <w:color w:val="000000" w:themeColor="text1"/>
        </w:rPr>
        <w:t>usually manifesting as</w:t>
      </w:r>
      <w:r w:rsidR="00260F96">
        <w:rPr>
          <w:color w:val="000000" w:themeColor="text1"/>
        </w:rPr>
        <w:t xml:space="preserve"> </w:t>
      </w:r>
      <w:r w:rsidR="00505A0E" w:rsidRPr="006E2281">
        <w:rPr>
          <w:color w:val="000000" w:themeColor="text1"/>
        </w:rPr>
        <w:t>glomerulonephritis and pulmonary fi</w:t>
      </w:r>
      <w:r w:rsidR="009F34EB">
        <w:rPr>
          <w:color w:val="000000" w:themeColor="text1"/>
        </w:rPr>
        <w:t>brosis [</w:t>
      </w:r>
      <w:r w:rsidR="00F86B7F">
        <w:rPr>
          <w:color w:val="000000" w:themeColor="text1"/>
        </w:rPr>
        <w:t>40</w:t>
      </w:r>
      <w:r w:rsidR="009F34EB">
        <w:rPr>
          <w:color w:val="000000" w:themeColor="text1"/>
        </w:rPr>
        <w:t>]. In an</w:t>
      </w:r>
      <w:r w:rsidR="00505A0E" w:rsidRPr="006E2281">
        <w:rPr>
          <w:color w:val="000000" w:themeColor="text1"/>
        </w:rPr>
        <w:t xml:space="preserve">other </w:t>
      </w:r>
      <w:r w:rsidR="00505A0E" w:rsidRPr="006E2281">
        <w:rPr>
          <w:color w:val="000000" w:themeColor="text1"/>
        </w:rPr>
        <w:lastRenderedPageBreak/>
        <w:t xml:space="preserve">retrospective study of 3,570 </w:t>
      </w:r>
      <w:r w:rsidR="00260F96">
        <w:rPr>
          <w:color w:val="000000" w:themeColor="text1"/>
        </w:rPr>
        <w:t>SSc patients</w:t>
      </w:r>
      <w:r w:rsidR="00505A0E" w:rsidRPr="006E2281">
        <w:rPr>
          <w:color w:val="000000" w:themeColor="text1"/>
        </w:rPr>
        <w:t xml:space="preserve">, Kant et al identified 7 (0.2%) patients who developed MPO-ANCA associated crescentic glomerulonephritis within 6 years </w:t>
      </w:r>
      <w:r w:rsidR="00260F96">
        <w:rPr>
          <w:color w:val="000000" w:themeColor="text1"/>
        </w:rPr>
        <w:t xml:space="preserve">of the </w:t>
      </w:r>
      <w:r w:rsidR="00505A0E" w:rsidRPr="006E2281">
        <w:rPr>
          <w:color w:val="000000" w:themeColor="text1"/>
        </w:rPr>
        <w:t>diagnosis of SSc [</w:t>
      </w:r>
      <w:r w:rsidR="00F86B7F">
        <w:rPr>
          <w:color w:val="000000" w:themeColor="text1"/>
        </w:rPr>
        <w:t>41</w:t>
      </w:r>
      <w:r w:rsidR="00505A0E" w:rsidRPr="006E2281">
        <w:rPr>
          <w:color w:val="000000" w:themeColor="text1"/>
        </w:rPr>
        <w:t xml:space="preserve">]. </w:t>
      </w:r>
    </w:p>
    <w:p w:rsidR="0082013F" w:rsidRPr="006E2281" w:rsidRDefault="0033648C" w:rsidP="0082013F">
      <w:pPr>
        <w:rPr>
          <w:color w:val="000000" w:themeColor="text1"/>
        </w:rPr>
      </w:pPr>
      <w:r w:rsidRPr="006E2281">
        <w:rPr>
          <w:color w:val="000000" w:themeColor="text1"/>
        </w:rPr>
        <w:t xml:space="preserve">Quéméneur </w:t>
      </w:r>
      <w:r w:rsidR="008E42CC" w:rsidRPr="006E2281">
        <w:rPr>
          <w:color w:val="000000" w:themeColor="text1"/>
        </w:rPr>
        <w:t>et al.</w:t>
      </w:r>
      <w:r w:rsidRPr="006E2281">
        <w:rPr>
          <w:color w:val="000000" w:themeColor="text1"/>
        </w:rPr>
        <w:t xml:space="preserve"> reviewed 51 </w:t>
      </w:r>
      <w:r w:rsidR="00260F96">
        <w:rPr>
          <w:color w:val="000000" w:themeColor="text1"/>
        </w:rPr>
        <w:t xml:space="preserve">SSc </w:t>
      </w:r>
      <w:r w:rsidRPr="006E2281">
        <w:rPr>
          <w:color w:val="000000" w:themeColor="text1"/>
        </w:rPr>
        <w:t xml:space="preserve">cases </w:t>
      </w:r>
      <w:r w:rsidR="00260F96">
        <w:rPr>
          <w:color w:val="000000" w:themeColor="text1"/>
        </w:rPr>
        <w:t xml:space="preserve">associated </w:t>
      </w:r>
      <w:r w:rsidR="00260F96" w:rsidRPr="006E2281">
        <w:rPr>
          <w:color w:val="000000" w:themeColor="text1"/>
        </w:rPr>
        <w:t>with</w:t>
      </w:r>
      <w:r w:rsidRPr="006E2281">
        <w:rPr>
          <w:color w:val="000000" w:themeColor="text1"/>
        </w:rPr>
        <w:t xml:space="preserve"> AAV</w:t>
      </w:r>
      <w:r w:rsidR="00F25391" w:rsidRPr="006E2281">
        <w:rPr>
          <w:color w:val="000000" w:themeColor="text1"/>
        </w:rPr>
        <w:t xml:space="preserve"> [</w:t>
      </w:r>
      <w:r w:rsidR="00F86B7F">
        <w:rPr>
          <w:color w:val="000000" w:themeColor="text1"/>
        </w:rPr>
        <w:t>42</w:t>
      </w:r>
      <w:r w:rsidRPr="006E2281">
        <w:rPr>
          <w:color w:val="000000" w:themeColor="text1"/>
        </w:rPr>
        <w:t xml:space="preserve">]. </w:t>
      </w:r>
      <w:r w:rsidR="0082013F" w:rsidRPr="006E2281">
        <w:rPr>
          <w:color w:val="000000" w:themeColor="text1"/>
        </w:rPr>
        <w:t xml:space="preserve">D-penicillamine was implicated as a possible cause of AAV in 8 patients. </w:t>
      </w:r>
      <w:r w:rsidRPr="006E2281">
        <w:rPr>
          <w:color w:val="000000" w:themeColor="text1"/>
        </w:rPr>
        <w:t xml:space="preserve">The majority of </w:t>
      </w:r>
      <w:r w:rsidR="00246E8C" w:rsidRPr="006E2281">
        <w:rPr>
          <w:color w:val="000000" w:themeColor="text1"/>
        </w:rPr>
        <w:t xml:space="preserve">the </w:t>
      </w:r>
      <w:r w:rsidR="0082013F" w:rsidRPr="006E2281">
        <w:rPr>
          <w:color w:val="000000" w:themeColor="text1"/>
        </w:rPr>
        <w:t xml:space="preserve">51 </w:t>
      </w:r>
      <w:r w:rsidR="00246E8C" w:rsidRPr="006E2281">
        <w:rPr>
          <w:color w:val="000000" w:themeColor="text1"/>
        </w:rPr>
        <w:t xml:space="preserve">AAV </w:t>
      </w:r>
      <w:r w:rsidRPr="006E2281">
        <w:rPr>
          <w:color w:val="000000" w:themeColor="text1"/>
        </w:rPr>
        <w:t>patients tested positive for MPO-ANCA and were diagnosed with MPA or renal limited vasculitis</w:t>
      </w:r>
      <w:r w:rsidR="00A85291" w:rsidRPr="006E2281">
        <w:rPr>
          <w:color w:val="000000" w:themeColor="text1"/>
        </w:rPr>
        <w:t xml:space="preserve"> with </w:t>
      </w:r>
      <w:r w:rsidR="00C637DF">
        <w:rPr>
          <w:color w:val="000000" w:themeColor="text1"/>
        </w:rPr>
        <w:t>rapidly progressive glomerulonephritis</w:t>
      </w:r>
      <w:r w:rsidRPr="006E2281">
        <w:rPr>
          <w:color w:val="000000" w:themeColor="text1"/>
        </w:rPr>
        <w:t>.</w:t>
      </w:r>
      <w:r w:rsidR="0082013F" w:rsidRPr="006E2281">
        <w:rPr>
          <w:color w:val="000000" w:themeColor="text1"/>
        </w:rPr>
        <w:t xml:space="preserve"> The latter can be confused with scleroderma renal crisis (SRC) </w:t>
      </w:r>
      <w:r w:rsidR="00F25391" w:rsidRPr="006E2281">
        <w:rPr>
          <w:color w:val="000000" w:themeColor="text1"/>
        </w:rPr>
        <w:t>[</w:t>
      </w:r>
      <w:r w:rsidR="00F86B7F">
        <w:rPr>
          <w:color w:val="000000" w:themeColor="text1"/>
        </w:rPr>
        <w:t>34</w:t>
      </w:r>
      <w:r w:rsidR="0082013F" w:rsidRPr="006E2281">
        <w:rPr>
          <w:color w:val="000000" w:themeColor="text1"/>
        </w:rPr>
        <w:t>]. Normotensive renal failure, although reported in about 10% of cases of SRC, and markers of  inflammation, such as fever and elevated acute phase reactants, may indicate underlying AAV [</w:t>
      </w:r>
      <w:r w:rsidR="00F86B7F">
        <w:rPr>
          <w:color w:val="000000" w:themeColor="text1"/>
        </w:rPr>
        <w:t>43,44</w:t>
      </w:r>
      <w:r w:rsidR="0082013F" w:rsidRPr="006E2281">
        <w:rPr>
          <w:color w:val="000000" w:themeColor="text1"/>
        </w:rPr>
        <w:t xml:space="preserve">]. </w:t>
      </w:r>
      <w:r w:rsidR="00712B2B">
        <w:t>A nephritic urinary sediment can help to differentiate renal vasculitis from scleroderma renal crisis, however, a</w:t>
      </w:r>
      <w:r w:rsidR="00712B2B" w:rsidRPr="006E2281">
        <w:rPr>
          <w:color w:val="000000" w:themeColor="text1"/>
        </w:rPr>
        <w:t xml:space="preserve"> </w:t>
      </w:r>
      <w:r w:rsidR="0082013F" w:rsidRPr="006E2281">
        <w:rPr>
          <w:color w:val="000000" w:themeColor="text1"/>
        </w:rPr>
        <w:t xml:space="preserve">kidney biopsy is </w:t>
      </w:r>
      <w:r w:rsidR="006E23B6" w:rsidRPr="006E23B6">
        <w:rPr>
          <w:color w:val="000000" w:themeColor="text1"/>
        </w:rPr>
        <w:t>required</w:t>
      </w:r>
      <w:r w:rsidR="0082013F" w:rsidRPr="006E2281">
        <w:rPr>
          <w:color w:val="000000" w:themeColor="text1"/>
        </w:rPr>
        <w:t xml:space="preserve"> to confirm</w:t>
      </w:r>
      <w:r w:rsidR="006E23B6">
        <w:rPr>
          <w:color w:val="000000" w:themeColor="text1"/>
        </w:rPr>
        <w:t xml:space="preserve"> a</w:t>
      </w:r>
      <w:r w:rsidR="0082013F" w:rsidRPr="006E2281">
        <w:rPr>
          <w:color w:val="000000" w:themeColor="text1"/>
        </w:rPr>
        <w:t xml:space="preserve"> diagnosis of pauci</w:t>
      </w:r>
      <w:r w:rsidR="00F60917" w:rsidRPr="006E2281">
        <w:rPr>
          <w:color w:val="000000" w:themeColor="text1"/>
        </w:rPr>
        <w:t>-</w:t>
      </w:r>
      <w:r w:rsidR="0082013F" w:rsidRPr="006E2281">
        <w:rPr>
          <w:color w:val="000000" w:themeColor="text1"/>
        </w:rPr>
        <w:t>immune crescentic glomerulonephritis.</w:t>
      </w:r>
    </w:p>
    <w:p w:rsidR="0082013F" w:rsidRPr="006E2281" w:rsidRDefault="0082013F" w:rsidP="0082013F">
      <w:pPr>
        <w:rPr>
          <w:color w:val="000000" w:themeColor="text1"/>
        </w:rPr>
      </w:pPr>
      <w:r w:rsidRPr="006E2281">
        <w:rPr>
          <w:color w:val="000000" w:themeColor="text1"/>
        </w:rPr>
        <w:t xml:space="preserve">In the Australian Scleroderma Cohort Study, </w:t>
      </w:r>
      <w:r w:rsidR="00F000F4" w:rsidRPr="006E2281">
        <w:rPr>
          <w:color w:val="000000" w:themeColor="text1"/>
        </w:rPr>
        <w:t>ANCA was</w:t>
      </w:r>
      <w:r w:rsidRPr="006E2281">
        <w:rPr>
          <w:color w:val="000000" w:themeColor="text1"/>
        </w:rPr>
        <w:t xml:space="preserve"> detected by </w:t>
      </w:r>
      <w:r w:rsidR="00F25391" w:rsidRPr="006E2281">
        <w:rPr>
          <w:color w:val="000000" w:themeColor="text1"/>
        </w:rPr>
        <w:t>IIF</w:t>
      </w:r>
      <w:r w:rsidRPr="006E2281">
        <w:rPr>
          <w:color w:val="000000" w:themeColor="text1"/>
        </w:rPr>
        <w:t xml:space="preserve"> in 116 (8.9%) of 1303 patients, whereas MPO-ANCA or PR3-ANCA tested </w:t>
      </w:r>
      <w:r w:rsidR="00866EA1" w:rsidRPr="006E2281">
        <w:rPr>
          <w:color w:val="000000" w:themeColor="text1"/>
        </w:rPr>
        <w:t xml:space="preserve">by </w:t>
      </w:r>
      <w:r w:rsidR="00940C6A">
        <w:rPr>
          <w:color w:val="000000" w:themeColor="text1"/>
        </w:rPr>
        <w:t>ELISA</w:t>
      </w:r>
      <w:r w:rsidRPr="006E2281">
        <w:rPr>
          <w:color w:val="000000" w:themeColor="text1"/>
        </w:rPr>
        <w:t xml:space="preserve"> </w:t>
      </w:r>
      <w:r w:rsidR="00866EA1" w:rsidRPr="006E2281">
        <w:rPr>
          <w:color w:val="000000" w:themeColor="text1"/>
        </w:rPr>
        <w:t xml:space="preserve">was positive </w:t>
      </w:r>
      <w:r w:rsidR="00F25391" w:rsidRPr="006E2281">
        <w:rPr>
          <w:color w:val="000000" w:themeColor="text1"/>
        </w:rPr>
        <w:t>in 31 (2.4%) patients [</w:t>
      </w:r>
      <w:r w:rsidR="00F86B7F">
        <w:rPr>
          <w:color w:val="000000" w:themeColor="text1"/>
        </w:rPr>
        <w:t>45</w:t>
      </w:r>
      <w:r w:rsidRPr="006E2281">
        <w:rPr>
          <w:color w:val="000000" w:themeColor="text1"/>
        </w:rPr>
        <w:t>]. Only 3 (0.23%) patients had MPO-ANCA associated vasculitis. PR3-ANCA positivity was associated with a significantly higher prevalence of interstitial lung disease</w:t>
      </w:r>
      <w:r w:rsidR="00C41596">
        <w:rPr>
          <w:color w:val="000000" w:themeColor="text1"/>
        </w:rPr>
        <w:t xml:space="preserve"> (ILD)</w:t>
      </w:r>
      <w:r w:rsidRPr="006E2281">
        <w:rPr>
          <w:color w:val="000000" w:themeColor="text1"/>
        </w:rPr>
        <w:t xml:space="preserve"> and pulmonary embolism, whereas MPO-ANCA positiv</w:t>
      </w:r>
      <w:r w:rsidR="00866EA1" w:rsidRPr="006E2281">
        <w:rPr>
          <w:color w:val="000000" w:themeColor="text1"/>
        </w:rPr>
        <w:t xml:space="preserve">ity tended to be </w:t>
      </w:r>
      <w:r w:rsidR="00C41596">
        <w:rPr>
          <w:color w:val="000000" w:themeColor="text1"/>
        </w:rPr>
        <w:t xml:space="preserve">only </w:t>
      </w:r>
      <w:r w:rsidR="00866EA1" w:rsidRPr="006E2281">
        <w:rPr>
          <w:color w:val="000000" w:themeColor="text1"/>
        </w:rPr>
        <w:t xml:space="preserve">associated with </w:t>
      </w:r>
      <w:r w:rsidR="00C41596">
        <w:rPr>
          <w:color w:val="000000" w:themeColor="text1"/>
        </w:rPr>
        <w:t>ILD</w:t>
      </w:r>
      <w:r w:rsidR="00F25391" w:rsidRPr="006E2281">
        <w:rPr>
          <w:color w:val="000000" w:themeColor="text1"/>
        </w:rPr>
        <w:t xml:space="preserve">. </w:t>
      </w:r>
      <w:r w:rsidR="00260F96">
        <w:rPr>
          <w:color w:val="000000" w:themeColor="text1"/>
        </w:rPr>
        <w:t>A</w:t>
      </w:r>
      <w:r w:rsidR="00260F96" w:rsidRPr="006E2281">
        <w:rPr>
          <w:color w:val="000000" w:themeColor="text1"/>
        </w:rPr>
        <w:t>fter adjusting for age and sex</w:t>
      </w:r>
      <w:r w:rsidR="00260F96">
        <w:rPr>
          <w:color w:val="000000" w:themeColor="text1"/>
        </w:rPr>
        <w:t>,</w:t>
      </w:r>
      <w:r w:rsidR="00260F96" w:rsidRPr="006E2281">
        <w:rPr>
          <w:color w:val="000000" w:themeColor="text1"/>
        </w:rPr>
        <w:t xml:space="preserve"> </w:t>
      </w:r>
      <w:r w:rsidR="00C41596">
        <w:rPr>
          <w:color w:val="000000" w:themeColor="text1"/>
        </w:rPr>
        <w:t xml:space="preserve">antigen-specific </w:t>
      </w:r>
      <w:r w:rsidR="00F25391" w:rsidRPr="006E2281">
        <w:rPr>
          <w:color w:val="000000" w:themeColor="text1"/>
        </w:rPr>
        <w:t>A</w:t>
      </w:r>
      <w:r w:rsidRPr="006E2281">
        <w:rPr>
          <w:color w:val="000000" w:themeColor="text1"/>
        </w:rPr>
        <w:t>NCA was</w:t>
      </w:r>
      <w:r w:rsidR="00260F96">
        <w:rPr>
          <w:color w:val="000000" w:themeColor="text1"/>
        </w:rPr>
        <w:t xml:space="preserve"> also</w:t>
      </w:r>
      <w:r w:rsidRPr="006E2281">
        <w:rPr>
          <w:color w:val="000000" w:themeColor="text1"/>
        </w:rPr>
        <w:t xml:space="preserve"> asso</w:t>
      </w:r>
      <w:r w:rsidR="00260F96">
        <w:rPr>
          <w:color w:val="000000" w:themeColor="text1"/>
        </w:rPr>
        <w:t>ciated with increased mortality</w:t>
      </w:r>
      <w:r w:rsidRPr="006E2281">
        <w:rPr>
          <w:color w:val="000000" w:themeColor="text1"/>
        </w:rPr>
        <w:t xml:space="preserve">. Of note, 6 (19.4%) of 31 PR3-ANCA-positive </w:t>
      </w:r>
      <w:r w:rsidR="00866EA1" w:rsidRPr="006E2281">
        <w:rPr>
          <w:color w:val="000000" w:themeColor="text1"/>
        </w:rPr>
        <w:t xml:space="preserve">or </w:t>
      </w:r>
      <w:r w:rsidRPr="006E2281">
        <w:rPr>
          <w:color w:val="000000" w:themeColor="text1"/>
        </w:rPr>
        <w:t>MPO-ANCA-positive patients were treated with D-penicillamine</w:t>
      </w:r>
      <w:r w:rsidR="00866EA1" w:rsidRPr="006E2281">
        <w:rPr>
          <w:color w:val="000000" w:themeColor="text1"/>
        </w:rPr>
        <w:t>, which</w:t>
      </w:r>
      <w:r w:rsidRPr="006E2281">
        <w:rPr>
          <w:color w:val="000000" w:themeColor="text1"/>
        </w:rPr>
        <w:t xml:space="preserve"> could contribute to the development of ANCA.</w:t>
      </w:r>
      <w:r w:rsidR="0040691F">
        <w:rPr>
          <w:color w:val="000000" w:themeColor="text1"/>
        </w:rPr>
        <w:t xml:space="preserve"> </w:t>
      </w:r>
    </w:p>
    <w:p w:rsidR="00712B2B" w:rsidRDefault="0082013F" w:rsidP="00D00E00">
      <w:pPr>
        <w:rPr>
          <w:color w:val="000000" w:themeColor="text1"/>
        </w:rPr>
      </w:pPr>
      <w:r w:rsidRPr="006E2281">
        <w:rPr>
          <w:color w:val="000000" w:themeColor="text1"/>
        </w:rPr>
        <w:t xml:space="preserve">In summary, </w:t>
      </w:r>
      <w:r w:rsidR="00D00E00" w:rsidRPr="006E2281">
        <w:rPr>
          <w:color w:val="000000" w:themeColor="text1"/>
        </w:rPr>
        <w:t xml:space="preserve">ANCA positivity is uncommon in patients with SSc, </w:t>
      </w:r>
      <w:r w:rsidR="009F34EB">
        <w:rPr>
          <w:color w:val="000000" w:themeColor="text1"/>
        </w:rPr>
        <w:t xml:space="preserve">and </w:t>
      </w:r>
      <w:r w:rsidR="00D00E00" w:rsidRPr="006E2281">
        <w:rPr>
          <w:color w:val="000000" w:themeColor="text1"/>
        </w:rPr>
        <w:t xml:space="preserve">overt AAV occurs even more rarely. </w:t>
      </w:r>
      <w:r w:rsidR="00F86B7F">
        <w:rPr>
          <w:color w:val="000000" w:themeColor="text1"/>
        </w:rPr>
        <w:t>A</w:t>
      </w:r>
      <w:r w:rsidR="00C41596">
        <w:rPr>
          <w:color w:val="000000" w:themeColor="text1"/>
        </w:rPr>
        <w:t xml:space="preserve">ntigen-specific </w:t>
      </w:r>
      <w:r w:rsidR="008F756B">
        <w:rPr>
          <w:color w:val="000000" w:themeColor="text1"/>
        </w:rPr>
        <w:t>ANCA</w:t>
      </w:r>
      <w:r w:rsidR="00D00E00" w:rsidRPr="006E2281">
        <w:rPr>
          <w:color w:val="000000" w:themeColor="text1"/>
        </w:rPr>
        <w:t xml:space="preserve"> in SSc may be associated with a higher incidence of unfavorable outcomes and hence </w:t>
      </w:r>
      <w:r w:rsidR="00DD1D49">
        <w:rPr>
          <w:color w:val="000000" w:themeColor="text1"/>
        </w:rPr>
        <w:t>warrant</w:t>
      </w:r>
      <w:r w:rsidR="00D00E00" w:rsidRPr="006E2281">
        <w:rPr>
          <w:color w:val="000000" w:themeColor="text1"/>
        </w:rPr>
        <w:t xml:space="preserve"> a thorough investigation and follow-up. </w:t>
      </w:r>
    </w:p>
    <w:p w:rsidR="00712B2B" w:rsidRDefault="00712B2B" w:rsidP="00D00E00">
      <w:pPr>
        <w:rPr>
          <w:color w:val="000000" w:themeColor="text1"/>
        </w:rPr>
      </w:pPr>
    </w:p>
    <w:p w:rsidR="00D00E00" w:rsidRPr="00712B2B" w:rsidRDefault="00712B2B" w:rsidP="00D00E00">
      <w:pPr>
        <w:rPr>
          <w:b/>
          <w:color w:val="000000" w:themeColor="text1"/>
        </w:rPr>
      </w:pPr>
      <w:r w:rsidRPr="00712B2B">
        <w:rPr>
          <w:b/>
          <w:color w:val="000000" w:themeColor="text1"/>
        </w:rPr>
        <w:t>Sjögren's syndrome</w:t>
      </w:r>
    </w:p>
    <w:p w:rsidR="00712B2B" w:rsidRPr="00712B2B" w:rsidRDefault="00712B2B" w:rsidP="00712B2B">
      <w:pPr>
        <w:rPr>
          <w:color w:val="000000" w:themeColor="text1"/>
        </w:rPr>
      </w:pPr>
      <w:r w:rsidRPr="00712B2B">
        <w:rPr>
          <w:color w:val="000000" w:themeColor="text1"/>
        </w:rPr>
        <w:t>Guellec</w:t>
      </w:r>
      <w:r>
        <w:rPr>
          <w:color w:val="000000" w:themeColor="text1"/>
        </w:rPr>
        <w:t xml:space="preserve"> et al. reviewed 22 patients with AAV (mostly MPO-ANCA) that occurred </w:t>
      </w:r>
      <w:r w:rsidRPr="00712B2B">
        <w:rPr>
          <w:color w:val="000000" w:themeColor="text1"/>
        </w:rPr>
        <w:t>concomitant</w:t>
      </w:r>
      <w:r>
        <w:rPr>
          <w:color w:val="000000" w:themeColor="text1"/>
        </w:rPr>
        <w:t>ly</w:t>
      </w:r>
      <w:r w:rsidRPr="00712B2B">
        <w:rPr>
          <w:color w:val="000000" w:themeColor="text1"/>
        </w:rPr>
        <w:t xml:space="preserve"> or subsequent</w:t>
      </w:r>
      <w:r>
        <w:rPr>
          <w:color w:val="000000" w:themeColor="text1"/>
        </w:rPr>
        <w:t>ly but not prior</w:t>
      </w:r>
      <w:r w:rsidRPr="00712B2B">
        <w:rPr>
          <w:color w:val="000000" w:themeColor="text1"/>
        </w:rPr>
        <w:t xml:space="preserve"> to </w:t>
      </w:r>
      <w:r>
        <w:rPr>
          <w:color w:val="000000" w:themeColor="text1"/>
        </w:rPr>
        <w:t xml:space="preserve">primary </w:t>
      </w:r>
      <w:r w:rsidRPr="00712B2B">
        <w:rPr>
          <w:color w:val="000000" w:themeColor="text1"/>
        </w:rPr>
        <w:t>Sjögren's syndrome</w:t>
      </w:r>
      <w:r>
        <w:rPr>
          <w:color w:val="000000" w:themeColor="text1"/>
        </w:rPr>
        <w:t xml:space="preserve"> [</w:t>
      </w:r>
      <w:r w:rsidR="00F86B7F">
        <w:rPr>
          <w:color w:val="000000" w:themeColor="text1"/>
        </w:rPr>
        <w:t>46</w:t>
      </w:r>
      <w:r>
        <w:rPr>
          <w:color w:val="000000" w:themeColor="text1"/>
        </w:rPr>
        <w:t>]</w:t>
      </w:r>
      <w:r w:rsidRPr="00712B2B">
        <w:rPr>
          <w:color w:val="000000" w:themeColor="text1"/>
        </w:rPr>
        <w:t>.</w:t>
      </w:r>
      <w:r>
        <w:rPr>
          <w:color w:val="000000" w:themeColor="text1"/>
        </w:rPr>
        <w:t xml:space="preserve"> All patients </w:t>
      </w:r>
      <w:r w:rsidRPr="00712B2B">
        <w:rPr>
          <w:color w:val="000000" w:themeColor="text1"/>
        </w:rPr>
        <w:t>experienced at least one extra-glandular manifestation attributable to p</w:t>
      </w:r>
      <w:r>
        <w:rPr>
          <w:color w:val="000000" w:themeColor="text1"/>
        </w:rPr>
        <w:t xml:space="preserve">rimary </w:t>
      </w:r>
      <w:r w:rsidRPr="00712B2B">
        <w:rPr>
          <w:color w:val="000000" w:themeColor="text1"/>
        </w:rPr>
        <w:lastRenderedPageBreak/>
        <w:t>Sjögren's syndrome</w:t>
      </w:r>
      <w:r>
        <w:rPr>
          <w:color w:val="000000" w:themeColor="text1"/>
        </w:rPr>
        <w:t xml:space="preserve">. </w:t>
      </w:r>
      <w:r w:rsidRPr="00712B2B">
        <w:rPr>
          <w:color w:val="000000" w:themeColor="text1"/>
        </w:rPr>
        <w:t xml:space="preserve">Half of the patients had </w:t>
      </w:r>
      <w:r>
        <w:rPr>
          <w:color w:val="000000" w:themeColor="text1"/>
        </w:rPr>
        <w:t>AAV renal involve</w:t>
      </w:r>
      <w:r w:rsidRPr="00712B2B">
        <w:rPr>
          <w:color w:val="000000" w:themeColor="text1"/>
        </w:rPr>
        <w:t xml:space="preserve">ment and </w:t>
      </w:r>
      <w:r>
        <w:rPr>
          <w:color w:val="000000" w:themeColor="text1"/>
        </w:rPr>
        <w:t>approximately one third had MPO-</w:t>
      </w:r>
      <w:r w:rsidRPr="00712B2B">
        <w:rPr>
          <w:color w:val="000000" w:themeColor="text1"/>
        </w:rPr>
        <w:t>ANCA renal-limited</w:t>
      </w:r>
      <w:r>
        <w:rPr>
          <w:color w:val="000000" w:themeColor="text1"/>
        </w:rPr>
        <w:t xml:space="preserve"> </w:t>
      </w:r>
      <w:r w:rsidRPr="00712B2B">
        <w:rPr>
          <w:color w:val="000000" w:themeColor="text1"/>
        </w:rPr>
        <w:t>AA</w:t>
      </w:r>
      <w:r>
        <w:rPr>
          <w:color w:val="000000" w:themeColor="text1"/>
        </w:rPr>
        <w:t>V.</w:t>
      </w:r>
    </w:p>
    <w:p w:rsidR="00712B2B" w:rsidRDefault="00F86B7F" w:rsidP="00712B2B">
      <w:pPr>
        <w:rPr>
          <w:color w:val="000000" w:themeColor="text1"/>
        </w:rPr>
      </w:pPr>
      <w:r>
        <w:rPr>
          <w:color w:val="000000" w:themeColor="text1"/>
        </w:rPr>
        <w:t xml:space="preserve">In </w:t>
      </w:r>
      <w:r w:rsidR="00712B2B">
        <w:rPr>
          <w:color w:val="000000" w:themeColor="text1"/>
        </w:rPr>
        <w:t xml:space="preserve">3 </w:t>
      </w:r>
      <w:r>
        <w:rPr>
          <w:color w:val="000000" w:themeColor="text1"/>
        </w:rPr>
        <w:t xml:space="preserve">other </w:t>
      </w:r>
      <w:r w:rsidR="00712B2B">
        <w:rPr>
          <w:color w:val="000000" w:themeColor="text1"/>
        </w:rPr>
        <w:t>studies, the total prevalence of ANCA as detected by IIF was 9% (31/343) [</w:t>
      </w:r>
      <w:r>
        <w:rPr>
          <w:color w:val="000000" w:themeColor="text1"/>
        </w:rPr>
        <w:t>47-49</w:t>
      </w:r>
      <w:r w:rsidR="00712B2B">
        <w:rPr>
          <w:color w:val="000000" w:themeColor="text1"/>
        </w:rPr>
        <w:t xml:space="preserve">]. The majority of patients had </w:t>
      </w:r>
      <w:r w:rsidR="008F756B">
        <w:rPr>
          <w:color w:val="000000" w:themeColor="text1"/>
        </w:rPr>
        <w:t>P-ANCA</w:t>
      </w:r>
      <w:r w:rsidR="00712B2B">
        <w:rPr>
          <w:color w:val="000000" w:themeColor="text1"/>
        </w:rPr>
        <w:t xml:space="preserve">. The prevalence of MPO-ANCA was even lower (3%), whereas PR3-ANCA </w:t>
      </w:r>
      <w:r>
        <w:rPr>
          <w:color w:val="000000" w:themeColor="text1"/>
        </w:rPr>
        <w:t>was not present</w:t>
      </w:r>
      <w:r w:rsidR="00712B2B">
        <w:rPr>
          <w:color w:val="000000" w:themeColor="text1"/>
        </w:rPr>
        <w:t>. A</w:t>
      </w:r>
      <w:r w:rsidR="00712B2B" w:rsidRPr="00712B2B">
        <w:rPr>
          <w:color w:val="000000" w:themeColor="text1"/>
        </w:rPr>
        <w:t xml:space="preserve"> signif</w:t>
      </w:r>
      <w:r w:rsidR="00712B2B">
        <w:rPr>
          <w:color w:val="000000" w:themeColor="text1"/>
        </w:rPr>
        <w:t>icant association between ANCA</w:t>
      </w:r>
      <w:r w:rsidR="00712B2B" w:rsidRPr="00712B2B">
        <w:rPr>
          <w:color w:val="000000" w:themeColor="text1"/>
        </w:rPr>
        <w:t xml:space="preserve"> positivity </w:t>
      </w:r>
      <w:r w:rsidR="00712B2B">
        <w:rPr>
          <w:color w:val="000000" w:themeColor="text1"/>
        </w:rPr>
        <w:t xml:space="preserve"> </w:t>
      </w:r>
      <w:r w:rsidR="00712B2B" w:rsidRPr="00712B2B">
        <w:rPr>
          <w:color w:val="000000" w:themeColor="text1"/>
        </w:rPr>
        <w:t xml:space="preserve">and Raynaud's phenomenon, cutaneous vasculitis, and peripheral neuropathies </w:t>
      </w:r>
      <w:r w:rsidR="00712B2B">
        <w:rPr>
          <w:color w:val="000000" w:themeColor="text1"/>
        </w:rPr>
        <w:t xml:space="preserve">was demonstrated </w:t>
      </w:r>
      <w:r w:rsidR="00712B2B" w:rsidRPr="00712B2B">
        <w:rPr>
          <w:color w:val="000000" w:themeColor="text1"/>
        </w:rPr>
        <w:t>among patients</w:t>
      </w:r>
      <w:r w:rsidR="00223616">
        <w:rPr>
          <w:color w:val="000000" w:themeColor="text1"/>
        </w:rPr>
        <w:t xml:space="preserve"> with</w:t>
      </w:r>
      <w:r w:rsidR="00712B2B">
        <w:rPr>
          <w:color w:val="000000" w:themeColor="text1"/>
        </w:rPr>
        <w:t xml:space="preserve"> </w:t>
      </w:r>
      <w:r w:rsidR="00712B2B" w:rsidRPr="00712B2B">
        <w:rPr>
          <w:color w:val="000000" w:themeColor="text1"/>
        </w:rPr>
        <w:t>primary Sjögren's syndrome</w:t>
      </w:r>
      <w:r w:rsidR="00712B2B">
        <w:rPr>
          <w:color w:val="000000" w:themeColor="text1"/>
        </w:rPr>
        <w:t xml:space="preserve"> [</w:t>
      </w:r>
      <w:r w:rsidR="00C637DF">
        <w:rPr>
          <w:color w:val="000000" w:themeColor="text1"/>
        </w:rPr>
        <w:t>4</w:t>
      </w:r>
      <w:r>
        <w:rPr>
          <w:color w:val="000000" w:themeColor="text1"/>
        </w:rPr>
        <w:t>7</w:t>
      </w:r>
      <w:r w:rsidR="00712B2B">
        <w:rPr>
          <w:color w:val="000000" w:themeColor="text1"/>
        </w:rPr>
        <w:t xml:space="preserve">]. </w:t>
      </w:r>
    </w:p>
    <w:p w:rsidR="00712B2B" w:rsidRDefault="00712B2B" w:rsidP="00712B2B">
      <w:pPr>
        <w:rPr>
          <w:color w:val="000000" w:themeColor="text1"/>
        </w:rPr>
      </w:pPr>
      <w:r w:rsidRPr="006E2281">
        <w:rPr>
          <w:color w:val="000000" w:themeColor="text1"/>
        </w:rPr>
        <w:t>In summary,</w:t>
      </w:r>
      <w:r>
        <w:rPr>
          <w:color w:val="000000" w:themeColor="text1"/>
        </w:rPr>
        <w:t xml:space="preserve"> MPO-ANCA are rarely found in patients with </w:t>
      </w:r>
      <w:r w:rsidRPr="00712B2B">
        <w:rPr>
          <w:color w:val="000000" w:themeColor="text1"/>
        </w:rPr>
        <w:t>primary Sjögren's syndrome</w:t>
      </w:r>
      <w:r>
        <w:rPr>
          <w:color w:val="000000" w:themeColor="text1"/>
        </w:rPr>
        <w:t xml:space="preserve">. ANCA positivity seems to be associated with a higher prevalence of  extraglandular manifestations and can reveal AAV that infrequently occurs in patients with </w:t>
      </w:r>
      <w:r w:rsidRPr="00712B2B">
        <w:rPr>
          <w:color w:val="000000" w:themeColor="text1"/>
        </w:rPr>
        <w:t>Sjögren's syndrome</w:t>
      </w:r>
      <w:r>
        <w:rPr>
          <w:color w:val="000000" w:themeColor="text1"/>
        </w:rPr>
        <w:t>.</w:t>
      </w:r>
    </w:p>
    <w:p w:rsidR="0000272C" w:rsidRPr="00712B2B" w:rsidRDefault="0000272C" w:rsidP="00712B2B">
      <w:pPr>
        <w:rPr>
          <w:color w:val="000000" w:themeColor="text1"/>
        </w:rPr>
      </w:pPr>
    </w:p>
    <w:p w:rsidR="005A772D" w:rsidRPr="00D308C1" w:rsidRDefault="00F67E78" w:rsidP="0033648C">
      <w:pPr>
        <w:rPr>
          <w:b/>
          <w:color w:val="000000" w:themeColor="text1"/>
        </w:rPr>
      </w:pPr>
      <w:r w:rsidRPr="006E2281">
        <w:rPr>
          <w:b/>
          <w:color w:val="000000" w:themeColor="text1"/>
        </w:rPr>
        <w:t>Autoimmune liver diseases</w:t>
      </w:r>
    </w:p>
    <w:p w:rsidR="00F60917" w:rsidRPr="006E2281" w:rsidRDefault="00F67E78" w:rsidP="00F60917">
      <w:pPr>
        <w:rPr>
          <w:color w:val="000000" w:themeColor="text1"/>
        </w:rPr>
      </w:pPr>
      <w:r w:rsidRPr="006E2281">
        <w:rPr>
          <w:color w:val="000000" w:themeColor="text1"/>
        </w:rPr>
        <w:t>Autoimmune liver diseases</w:t>
      </w:r>
      <w:r w:rsidR="00F000F4" w:rsidRPr="006E2281">
        <w:rPr>
          <w:color w:val="000000" w:themeColor="text1"/>
        </w:rPr>
        <w:t xml:space="preserve"> (AILD)</w:t>
      </w:r>
      <w:r w:rsidRPr="006E2281">
        <w:rPr>
          <w:color w:val="000000" w:themeColor="text1"/>
        </w:rPr>
        <w:t xml:space="preserve"> include autoimmune hepatitis (AIH), primary sclerosing cholangitis (PSC), and primary biliary cholangitis (PBC). </w:t>
      </w:r>
      <w:r w:rsidR="009F34EB">
        <w:rPr>
          <w:color w:val="000000" w:themeColor="text1"/>
        </w:rPr>
        <w:t>O</w:t>
      </w:r>
      <w:r w:rsidRPr="006E2281">
        <w:rPr>
          <w:color w:val="000000" w:themeColor="text1"/>
        </w:rPr>
        <w:t>nly eleven cases</w:t>
      </w:r>
      <w:r w:rsidR="00F60917" w:rsidRPr="006E2281">
        <w:rPr>
          <w:color w:val="000000" w:themeColor="text1"/>
        </w:rPr>
        <w:t xml:space="preserve"> of</w:t>
      </w:r>
      <w:r w:rsidRPr="006E2281">
        <w:rPr>
          <w:color w:val="000000" w:themeColor="text1"/>
        </w:rPr>
        <w:t xml:space="preserve"> </w:t>
      </w:r>
      <w:r w:rsidR="00F60917" w:rsidRPr="006E2281">
        <w:rPr>
          <w:color w:val="000000" w:themeColor="text1"/>
        </w:rPr>
        <w:t xml:space="preserve">GPA, MPA or </w:t>
      </w:r>
      <w:r w:rsidR="00F000F4" w:rsidRPr="006E2281">
        <w:rPr>
          <w:color w:val="000000" w:themeColor="text1"/>
        </w:rPr>
        <w:t>EGPA</w:t>
      </w:r>
      <w:r w:rsidRPr="006E2281">
        <w:rPr>
          <w:color w:val="000000" w:themeColor="text1"/>
        </w:rPr>
        <w:t xml:space="preserve"> have been reported</w:t>
      </w:r>
      <w:r w:rsidR="00F60917" w:rsidRPr="006E2281">
        <w:rPr>
          <w:color w:val="000000" w:themeColor="text1"/>
        </w:rPr>
        <w:t xml:space="preserve"> in patients with various AILD</w:t>
      </w:r>
      <w:r w:rsidR="00F25391" w:rsidRPr="006E2281">
        <w:rPr>
          <w:color w:val="000000" w:themeColor="text1"/>
        </w:rPr>
        <w:t xml:space="preserve"> [</w:t>
      </w:r>
      <w:r w:rsidR="00AF26B6">
        <w:rPr>
          <w:color w:val="000000" w:themeColor="text1"/>
        </w:rPr>
        <w:t>50,51</w:t>
      </w:r>
      <w:r w:rsidRPr="006E2281">
        <w:rPr>
          <w:color w:val="000000" w:themeColor="text1"/>
        </w:rPr>
        <w:t xml:space="preserve">]. </w:t>
      </w:r>
      <w:r w:rsidR="00C41596">
        <w:rPr>
          <w:color w:val="000000" w:themeColor="text1"/>
        </w:rPr>
        <w:t xml:space="preserve">In contrast, </w:t>
      </w:r>
      <w:r w:rsidR="00F60917" w:rsidRPr="006E2281">
        <w:rPr>
          <w:color w:val="000000" w:themeColor="text1"/>
        </w:rPr>
        <w:t xml:space="preserve">ANCA are frequently found by </w:t>
      </w:r>
      <w:r w:rsidR="00F25391" w:rsidRPr="006E2281">
        <w:rPr>
          <w:color w:val="000000" w:themeColor="text1"/>
        </w:rPr>
        <w:t>IIF</w:t>
      </w:r>
      <w:r w:rsidR="00F60917" w:rsidRPr="006E2281">
        <w:rPr>
          <w:color w:val="000000" w:themeColor="text1"/>
        </w:rPr>
        <w:t xml:space="preserve"> in patients with AILD, particularly with AIH and</w:t>
      </w:r>
      <w:r w:rsidR="00E20168">
        <w:rPr>
          <w:color w:val="000000" w:themeColor="text1"/>
        </w:rPr>
        <w:t xml:space="preserve">/or </w:t>
      </w:r>
      <w:r w:rsidR="00F60917" w:rsidRPr="006E2281">
        <w:rPr>
          <w:color w:val="000000" w:themeColor="text1"/>
        </w:rPr>
        <w:t xml:space="preserve">PSC. </w:t>
      </w:r>
      <w:r w:rsidR="00DC137A" w:rsidRPr="006E2281">
        <w:rPr>
          <w:color w:val="000000" w:themeColor="text1"/>
        </w:rPr>
        <w:t>P</w:t>
      </w:r>
      <w:r w:rsidR="00F60917" w:rsidRPr="006E2281">
        <w:rPr>
          <w:color w:val="000000" w:themeColor="text1"/>
        </w:rPr>
        <w:t xml:space="preserve">atients with </w:t>
      </w:r>
      <w:r w:rsidR="00F25391" w:rsidRPr="006E2281">
        <w:rPr>
          <w:color w:val="000000" w:themeColor="text1"/>
        </w:rPr>
        <w:t xml:space="preserve">AILD usually develop atypical </w:t>
      </w:r>
      <w:r w:rsidR="008F756B">
        <w:rPr>
          <w:color w:val="000000" w:themeColor="text1"/>
        </w:rPr>
        <w:t>P-ANCA</w:t>
      </w:r>
      <w:r w:rsidR="00F60917" w:rsidRPr="006E2281">
        <w:rPr>
          <w:color w:val="000000" w:themeColor="text1"/>
        </w:rPr>
        <w:t>, which unlike classical MPO-ANCA and PR3-ANCA</w:t>
      </w:r>
      <w:r w:rsidR="00C41596">
        <w:rPr>
          <w:color w:val="000000" w:themeColor="text1"/>
        </w:rPr>
        <w:t xml:space="preserve"> may</w:t>
      </w:r>
      <w:r w:rsidR="00F60917" w:rsidRPr="006E2281">
        <w:rPr>
          <w:color w:val="000000" w:themeColor="text1"/>
        </w:rPr>
        <w:t xml:space="preserve"> target antigens located at the periphery of the nucleus</w:t>
      </w:r>
      <w:r w:rsidR="00F000F4" w:rsidRPr="006E2281">
        <w:rPr>
          <w:color w:val="000000" w:themeColor="text1"/>
        </w:rPr>
        <w:t xml:space="preserve">, and </w:t>
      </w:r>
      <w:r w:rsidR="009501E1" w:rsidRPr="006E2281">
        <w:rPr>
          <w:color w:val="000000" w:themeColor="text1"/>
        </w:rPr>
        <w:t xml:space="preserve">have been </w:t>
      </w:r>
      <w:r w:rsidR="00F60917" w:rsidRPr="006E2281">
        <w:rPr>
          <w:color w:val="000000" w:themeColor="text1"/>
        </w:rPr>
        <w:t>referred to as peripheral anti-nuclear neutr</w:t>
      </w:r>
      <w:r w:rsidR="00F25391" w:rsidRPr="006E2281">
        <w:rPr>
          <w:color w:val="000000" w:themeColor="text1"/>
        </w:rPr>
        <w:t>ophil antibodies (pANNA) [</w:t>
      </w:r>
      <w:r w:rsidR="00AF26B6">
        <w:rPr>
          <w:color w:val="000000" w:themeColor="text1"/>
        </w:rPr>
        <w:t>52</w:t>
      </w:r>
      <w:r w:rsidR="00F000F4" w:rsidRPr="006E2281">
        <w:rPr>
          <w:color w:val="000000" w:themeColor="text1"/>
        </w:rPr>
        <w:t xml:space="preserve">]. Atypical </w:t>
      </w:r>
      <w:r w:rsidR="008F756B">
        <w:rPr>
          <w:color w:val="000000" w:themeColor="text1"/>
        </w:rPr>
        <w:t>P-ANCA</w:t>
      </w:r>
      <w:r w:rsidR="00F60917" w:rsidRPr="006E2281">
        <w:rPr>
          <w:color w:val="000000" w:themeColor="text1"/>
        </w:rPr>
        <w:t xml:space="preserve"> reacts with beta-tubulin isotype 5 </w:t>
      </w:r>
      <w:r w:rsidR="00F25391" w:rsidRPr="006E2281">
        <w:rPr>
          <w:color w:val="000000" w:themeColor="text1"/>
        </w:rPr>
        <w:t>(TBB5)</w:t>
      </w:r>
      <w:r w:rsidR="009F34EB">
        <w:rPr>
          <w:color w:val="000000" w:themeColor="text1"/>
        </w:rPr>
        <w:t>, which</w:t>
      </w:r>
      <w:r w:rsidR="00F60917" w:rsidRPr="006E2281">
        <w:rPr>
          <w:color w:val="000000" w:themeColor="text1"/>
        </w:rPr>
        <w:t xml:space="preserve"> shares a high degree of structural homology with the bacterial protein FtsZ. The latter is present in almost all bacteria of the</w:t>
      </w:r>
      <w:r w:rsidR="00F25391" w:rsidRPr="006E2281">
        <w:rPr>
          <w:color w:val="000000" w:themeColor="text1"/>
        </w:rPr>
        <w:t xml:space="preserve"> intestinal microflora [</w:t>
      </w:r>
      <w:r w:rsidR="00AF26B6">
        <w:rPr>
          <w:color w:val="000000" w:themeColor="text1"/>
        </w:rPr>
        <w:t>53</w:t>
      </w:r>
      <w:r w:rsidR="00F60917" w:rsidRPr="006E2281">
        <w:rPr>
          <w:color w:val="000000" w:themeColor="text1"/>
        </w:rPr>
        <w:t xml:space="preserve">]. </w:t>
      </w:r>
      <w:r w:rsidR="00F25391" w:rsidRPr="006E2281">
        <w:rPr>
          <w:color w:val="000000" w:themeColor="text1"/>
        </w:rPr>
        <w:t>Vesicular integral membrane protein 36 that plays a role as an intracellular lectin in the early secretory pathway was identif</w:t>
      </w:r>
      <w:r w:rsidR="004A3CFF" w:rsidRPr="006E2281">
        <w:rPr>
          <w:color w:val="000000" w:themeColor="text1"/>
        </w:rPr>
        <w:t>i</w:t>
      </w:r>
      <w:r w:rsidR="00F25391" w:rsidRPr="006E2281">
        <w:rPr>
          <w:color w:val="000000" w:themeColor="text1"/>
        </w:rPr>
        <w:t xml:space="preserve">ed as another </w:t>
      </w:r>
      <w:r w:rsidR="004A3CFF" w:rsidRPr="006E2281">
        <w:rPr>
          <w:color w:val="000000" w:themeColor="text1"/>
        </w:rPr>
        <w:t xml:space="preserve">potential </w:t>
      </w:r>
      <w:r w:rsidR="00F25391" w:rsidRPr="006E2281">
        <w:rPr>
          <w:color w:val="000000" w:themeColor="text1"/>
        </w:rPr>
        <w:t xml:space="preserve">target antigen of </w:t>
      </w:r>
      <w:r w:rsidR="00940C6A">
        <w:rPr>
          <w:color w:val="000000" w:themeColor="text1"/>
        </w:rPr>
        <w:t xml:space="preserve">these </w:t>
      </w:r>
      <w:r w:rsidR="00F25391" w:rsidRPr="006E2281">
        <w:rPr>
          <w:color w:val="000000" w:themeColor="text1"/>
        </w:rPr>
        <w:t>aut</w:t>
      </w:r>
      <w:r w:rsidR="002F7558" w:rsidRPr="006E2281">
        <w:rPr>
          <w:color w:val="000000" w:themeColor="text1"/>
        </w:rPr>
        <w:t>o</w:t>
      </w:r>
      <w:r w:rsidR="00F25391" w:rsidRPr="006E2281">
        <w:rPr>
          <w:color w:val="000000" w:themeColor="text1"/>
        </w:rPr>
        <w:t>antibodies in AILD [</w:t>
      </w:r>
      <w:r w:rsidR="00AF26B6">
        <w:rPr>
          <w:color w:val="000000" w:themeColor="text1"/>
        </w:rPr>
        <w:t>54</w:t>
      </w:r>
      <w:r w:rsidR="00F25391" w:rsidRPr="006E2281">
        <w:rPr>
          <w:color w:val="000000" w:themeColor="text1"/>
        </w:rPr>
        <w:t xml:space="preserve">]. </w:t>
      </w:r>
      <w:r w:rsidR="00D5264B" w:rsidRPr="006E2281">
        <w:rPr>
          <w:color w:val="000000" w:themeColor="text1"/>
        </w:rPr>
        <w:t xml:space="preserve">In addition, </w:t>
      </w:r>
      <w:r w:rsidR="009F34EB">
        <w:rPr>
          <w:color w:val="000000" w:themeColor="text1"/>
        </w:rPr>
        <w:t>several</w:t>
      </w:r>
      <w:r w:rsidR="00F60917" w:rsidRPr="006E2281">
        <w:rPr>
          <w:color w:val="000000" w:themeColor="text1"/>
        </w:rPr>
        <w:t xml:space="preserve"> neutrophil granule proteins have been proposed as </w:t>
      </w:r>
      <w:r w:rsidR="004A3CFF" w:rsidRPr="006E2281">
        <w:rPr>
          <w:color w:val="000000" w:themeColor="text1"/>
        </w:rPr>
        <w:t>possible</w:t>
      </w:r>
      <w:r w:rsidR="004A3CFF" w:rsidRPr="006E2281" w:rsidDel="004A3CFF">
        <w:rPr>
          <w:color w:val="000000" w:themeColor="text1"/>
        </w:rPr>
        <w:t xml:space="preserve"> </w:t>
      </w:r>
      <w:r w:rsidR="00F25391" w:rsidRPr="006E2281">
        <w:rPr>
          <w:color w:val="000000" w:themeColor="text1"/>
        </w:rPr>
        <w:t xml:space="preserve">targets for atypical </w:t>
      </w:r>
      <w:r w:rsidR="008F756B">
        <w:rPr>
          <w:color w:val="000000" w:themeColor="text1"/>
        </w:rPr>
        <w:t>P-ANCA</w:t>
      </w:r>
      <w:r w:rsidR="00F60917" w:rsidRPr="006E2281">
        <w:rPr>
          <w:color w:val="000000" w:themeColor="text1"/>
        </w:rPr>
        <w:t>, including lactoferrin, cathepsin G, bacterial/permeability increasing protein, catalase, alpha-enolase. However, reactivity to these antigens was found only in a minority of sera fro</w:t>
      </w:r>
      <w:r w:rsidR="00F25391" w:rsidRPr="006E2281">
        <w:rPr>
          <w:color w:val="000000" w:themeColor="text1"/>
        </w:rPr>
        <w:t>m patients with AILD [</w:t>
      </w:r>
      <w:r w:rsidR="00AF26B6">
        <w:rPr>
          <w:color w:val="000000" w:themeColor="text1"/>
        </w:rPr>
        <w:t>55</w:t>
      </w:r>
      <w:r w:rsidR="00F60917" w:rsidRPr="006E2281">
        <w:rPr>
          <w:color w:val="000000" w:themeColor="text1"/>
        </w:rPr>
        <w:t>].</w:t>
      </w:r>
      <w:r w:rsidR="00DC137A" w:rsidRPr="006E2281">
        <w:rPr>
          <w:color w:val="000000" w:themeColor="text1"/>
        </w:rPr>
        <w:t xml:space="preserve"> </w:t>
      </w:r>
      <w:r w:rsidR="00C41596">
        <w:rPr>
          <w:color w:val="000000" w:themeColor="text1"/>
        </w:rPr>
        <w:t xml:space="preserve">Atypical </w:t>
      </w:r>
      <w:r w:rsidR="008F756B">
        <w:rPr>
          <w:color w:val="000000" w:themeColor="text1"/>
        </w:rPr>
        <w:t>P-ANCA</w:t>
      </w:r>
      <w:r w:rsidR="00DC137A" w:rsidRPr="006E2281">
        <w:rPr>
          <w:color w:val="000000" w:themeColor="text1"/>
        </w:rPr>
        <w:t xml:space="preserve"> positivity is not specific for </w:t>
      </w:r>
      <w:r w:rsidR="00DC137A" w:rsidRPr="006E2281">
        <w:rPr>
          <w:color w:val="000000" w:themeColor="text1"/>
        </w:rPr>
        <w:lastRenderedPageBreak/>
        <w:t>AILD and can be detected in</w:t>
      </w:r>
      <w:r w:rsidR="00885104" w:rsidRPr="006E2281">
        <w:rPr>
          <w:color w:val="000000" w:themeColor="text1"/>
        </w:rPr>
        <w:t xml:space="preserve"> a significant proportion of</w:t>
      </w:r>
      <w:r w:rsidR="00DC137A" w:rsidRPr="006E2281">
        <w:rPr>
          <w:color w:val="000000" w:themeColor="text1"/>
        </w:rPr>
        <w:t xml:space="preserve"> patients with both viral</w:t>
      </w:r>
      <w:r w:rsidR="00F25391" w:rsidRPr="006E2281">
        <w:rPr>
          <w:color w:val="000000" w:themeColor="text1"/>
        </w:rPr>
        <w:t xml:space="preserve"> and alcohol liver diseases [</w:t>
      </w:r>
      <w:r w:rsidR="00AF26B6">
        <w:rPr>
          <w:color w:val="000000" w:themeColor="text1"/>
        </w:rPr>
        <w:t>56</w:t>
      </w:r>
      <w:r w:rsidR="00DC137A" w:rsidRPr="006E2281">
        <w:rPr>
          <w:color w:val="000000" w:themeColor="text1"/>
        </w:rPr>
        <w:t>].</w:t>
      </w:r>
    </w:p>
    <w:p w:rsidR="00C637DF" w:rsidRDefault="00F60917" w:rsidP="00F60917">
      <w:pPr>
        <w:rPr>
          <w:color w:val="000000" w:themeColor="text1"/>
        </w:rPr>
      </w:pPr>
      <w:r w:rsidRPr="006E2281">
        <w:rPr>
          <w:color w:val="000000" w:themeColor="text1"/>
        </w:rPr>
        <w:t xml:space="preserve">Adults with AIH are currently subdivided </w:t>
      </w:r>
      <w:r w:rsidR="009F34EB">
        <w:rPr>
          <w:color w:val="000000" w:themeColor="text1"/>
        </w:rPr>
        <w:t>based on</w:t>
      </w:r>
      <w:r w:rsidRPr="006E2281">
        <w:rPr>
          <w:color w:val="000000" w:themeColor="text1"/>
        </w:rPr>
        <w:t xml:space="preserve"> their autoantibody profiles  into AIH type 1  (frequency of ~95%) and AIH type 2 (fr</w:t>
      </w:r>
      <w:r w:rsidR="00F25391" w:rsidRPr="006E2281">
        <w:rPr>
          <w:color w:val="000000" w:themeColor="text1"/>
        </w:rPr>
        <w:t>equency of ~5%) [</w:t>
      </w:r>
      <w:r w:rsidR="00AF26B6">
        <w:rPr>
          <w:color w:val="000000" w:themeColor="text1"/>
        </w:rPr>
        <w:t>57</w:t>
      </w:r>
      <w:r w:rsidRPr="006E2281">
        <w:rPr>
          <w:color w:val="000000" w:themeColor="text1"/>
        </w:rPr>
        <w:t xml:space="preserve">]. </w:t>
      </w:r>
      <w:r w:rsidR="00F25391" w:rsidRPr="006E2281">
        <w:rPr>
          <w:color w:val="000000" w:themeColor="text1"/>
        </w:rPr>
        <w:t xml:space="preserve">Atypical </w:t>
      </w:r>
      <w:r w:rsidR="008F756B">
        <w:rPr>
          <w:color w:val="000000" w:themeColor="text1"/>
        </w:rPr>
        <w:t>P-ANCA</w:t>
      </w:r>
      <w:r w:rsidRPr="006E2281">
        <w:rPr>
          <w:color w:val="000000" w:themeColor="text1"/>
        </w:rPr>
        <w:t xml:space="preserve"> were frequently reported by IIF in patients with AIH-1 with a pr</w:t>
      </w:r>
      <w:r w:rsidR="00F25391" w:rsidRPr="006E2281">
        <w:rPr>
          <w:color w:val="000000" w:themeColor="text1"/>
        </w:rPr>
        <w:t>evalence of 65% to 81% [</w:t>
      </w:r>
      <w:r w:rsidR="00AF26B6">
        <w:rPr>
          <w:color w:val="000000" w:themeColor="text1"/>
        </w:rPr>
        <w:t>58-61</w:t>
      </w:r>
      <w:r w:rsidRPr="006E2281">
        <w:rPr>
          <w:color w:val="000000" w:themeColor="text1"/>
        </w:rPr>
        <w:t>], whereas these autoantibodies were usually negativ</w:t>
      </w:r>
      <w:r w:rsidR="00F25391" w:rsidRPr="006E2281">
        <w:rPr>
          <w:color w:val="000000" w:themeColor="text1"/>
        </w:rPr>
        <w:t>e in patients with AIH</w:t>
      </w:r>
      <w:r w:rsidR="00260F96">
        <w:rPr>
          <w:color w:val="000000" w:themeColor="text1"/>
        </w:rPr>
        <w:t xml:space="preserve"> type</w:t>
      </w:r>
      <w:r w:rsidR="00F25391" w:rsidRPr="006E2281">
        <w:rPr>
          <w:color w:val="000000" w:themeColor="text1"/>
        </w:rPr>
        <w:t>-2 [</w:t>
      </w:r>
      <w:r w:rsidR="00AF26B6">
        <w:rPr>
          <w:color w:val="000000" w:themeColor="text1"/>
        </w:rPr>
        <w:t>58</w:t>
      </w:r>
      <w:r w:rsidR="00F25391" w:rsidRPr="006E2281">
        <w:rPr>
          <w:color w:val="000000" w:themeColor="text1"/>
        </w:rPr>
        <w:t xml:space="preserve">]. The prognostic value of </w:t>
      </w:r>
      <w:r w:rsidR="00C41596">
        <w:rPr>
          <w:color w:val="000000" w:themeColor="text1"/>
        </w:rPr>
        <w:t xml:space="preserve">atypical </w:t>
      </w:r>
      <w:r w:rsidR="008F756B">
        <w:rPr>
          <w:color w:val="000000" w:themeColor="text1"/>
        </w:rPr>
        <w:t>P-ANCA</w:t>
      </w:r>
      <w:r w:rsidRPr="006E2281">
        <w:rPr>
          <w:color w:val="000000" w:themeColor="text1"/>
        </w:rPr>
        <w:t xml:space="preserve"> positivity in AIH remains controversial</w:t>
      </w:r>
      <w:r w:rsidR="00855CFD" w:rsidRPr="006E2281">
        <w:rPr>
          <w:color w:val="000000" w:themeColor="text1"/>
        </w:rPr>
        <w:t>,</w:t>
      </w:r>
      <w:r w:rsidRPr="006E2281">
        <w:rPr>
          <w:color w:val="000000" w:themeColor="text1"/>
        </w:rPr>
        <w:t xml:space="preserve"> </w:t>
      </w:r>
      <w:r w:rsidR="00855CFD" w:rsidRPr="006E2281">
        <w:rPr>
          <w:color w:val="000000" w:themeColor="text1"/>
        </w:rPr>
        <w:t>al</w:t>
      </w:r>
      <w:r w:rsidRPr="006E2281">
        <w:rPr>
          <w:color w:val="000000" w:themeColor="text1"/>
        </w:rPr>
        <w:t xml:space="preserve">though two studies suggested </w:t>
      </w:r>
      <w:r w:rsidR="00223616">
        <w:rPr>
          <w:color w:val="000000" w:themeColor="text1"/>
        </w:rPr>
        <w:t>that it might</w:t>
      </w:r>
      <w:r w:rsidRPr="006E2281">
        <w:rPr>
          <w:color w:val="000000" w:themeColor="text1"/>
        </w:rPr>
        <w:t xml:space="preserve"> be associated with relapses of</w:t>
      </w:r>
      <w:r w:rsidR="00DD1D49">
        <w:rPr>
          <w:color w:val="000000" w:themeColor="text1"/>
        </w:rPr>
        <w:t xml:space="preserve"> hepatitis or more severe necrotizing </w:t>
      </w:r>
      <w:r w:rsidRPr="006E2281">
        <w:rPr>
          <w:color w:val="000000" w:themeColor="text1"/>
        </w:rPr>
        <w:t>in</w:t>
      </w:r>
      <w:r w:rsidR="00F25391" w:rsidRPr="006E2281">
        <w:rPr>
          <w:color w:val="000000" w:themeColor="text1"/>
        </w:rPr>
        <w:t>flammatory activity [</w:t>
      </w:r>
      <w:r w:rsidR="00AF26B6">
        <w:rPr>
          <w:color w:val="000000" w:themeColor="text1"/>
        </w:rPr>
        <w:t>56,60</w:t>
      </w:r>
      <w:r w:rsidRPr="006E2281">
        <w:rPr>
          <w:color w:val="000000" w:themeColor="text1"/>
        </w:rPr>
        <w:t xml:space="preserve">]. </w:t>
      </w:r>
      <w:r w:rsidR="009F34EB">
        <w:rPr>
          <w:color w:val="000000" w:themeColor="text1"/>
        </w:rPr>
        <w:t>D</w:t>
      </w:r>
      <w:r w:rsidR="00F25391" w:rsidRPr="006E2281">
        <w:rPr>
          <w:color w:val="000000" w:themeColor="text1"/>
        </w:rPr>
        <w:t xml:space="preserve">etection of atypical </w:t>
      </w:r>
      <w:r w:rsidR="008F756B">
        <w:rPr>
          <w:color w:val="000000" w:themeColor="text1"/>
        </w:rPr>
        <w:t>P-ANCA</w:t>
      </w:r>
      <w:r w:rsidRPr="006E2281">
        <w:rPr>
          <w:color w:val="000000" w:themeColor="text1"/>
        </w:rPr>
        <w:t xml:space="preserve"> can be of diagnostic value</w:t>
      </w:r>
      <w:r w:rsidR="00940C6A">
        <w:rPr>
          <w:color w:val="000000" w:themeColor="text1"/>
        </w:rPr>
        <w:t xml:space="preserve"> in suspected cases</w:t>
      </w:r>
      <w:r w:rsidRPr="006E2281">
        <w:rPr>
          <w:color w:val="000000" w:themeColor="text1"/>
        </w:rPr>
        <w:t>, particularly in the absence of conventional</w:t>
      </w:r>
      <w:r w:rsidR="008F756B">
        <w:rPr>
          <w:color w:val="000000" w:themeColor="text1"/>
        </w:rPr>
        <w:t xml:space="preserve"> auto</w:t>
      </w:r>
      <w:r w:rsidR="00F25391" w:rsidRPr="006E2281">
        <w:rPr>
          <w:color w:val="000000" w:themeColor="text1"/>
        </w:rPr>
        <w:t>antibodies [</w:t>
      </w:r>
      <w:r w:rsidR="00AF26B6">
        <w:rPr>
          <w:color w:val="000000" w:themeColor="text1"/>
        </w:rPr>
        <w:t>57,61</w:t>
      </w:r>
      <w:r w:rsidRPr="006E2281">
        <w:rPr>
          <w:color w:val="000000" w:themeColor="text1"/>
        </w:rPr>
        <w:t>].</w:t>
      </w:r>
      <w:r w:rsidR="00B529D1" w:rsidRPr="006E2281">
        <w:rPr>
          <w:color w:val="000000" w:themeColor="text1"/>
        </w:rPr>
        <w:t xml:space="preserve"> </w:t>
      </w:r>
    </w:p>
    <w:p w:rsidR="00F60917" w:rsidRPr="006E2281" w:rsidRDefault="00F60917" w:rsidP="00F60917">
      <w:pPr>
        <w:rPr>
          <w:color w:val="000000" w:themeColor="text1"/>
        </w:rPr>
      </w:pPr>
      <w:r w:rsidRPr="006E2281">
        <w:rPr>
          <w:color w:val="000000" w:themeColor="text1"/>
        </w:rPr>
        <w:t>The r</w:t>
      </w:r>
      <w:r w:rsidR="00505A0E" w:rsidRPr="006E2281">
        <w:rPr>
          <w:color w:val="000000" w:themeColor="text1"/>
        </w:rPr>
        <w:t xml:space="preserve">eported frequency of atypical </w:t>
      </w:r>
      <w:r w:rsidR="008F756B">
        <w:rPr>
          <w:color w:val="000000" w:themeColor="text1"/>
        </w:rPr>
        <w:t>P-ANCA</w:t>
      </w:r>
      <w:r w:rsidRPr="006E2281">
        <w:rPr>
          <w:color w:val="000000" w:themeColor="text1"/>
        </w:rPr>
        <w:t xml:space="preserve"> in PBC ranged from 26% to 67% [</w:t>
      </w:r>
      <w:r w:rsidR="00AF26B6">
        <w:rPr>
          <w:color w:val="000000" w:themeColor="text1"/>
        </w:rPr>
        <w:t>60,62,63</w:t>
      </w:r>
      <w:r w:rsidRPr="006E2281">
        <w:rPr>
          <w:color w:val="000000" w:themeColor="text1"/>
        </w:rPr>
        <w:t>]. There is no evidence that</w:t>
      </w:r>
      <w:r w:rsidR="00C41596">
        <w:rPr>
          <w:color w:val="000000" w:themeColor="text1"/>
        </w:rPr>
        <w:t xml:space="preserve"> atypical </w:t>
      </w:r>
      <w:r w:rsidR="008F756B">
        <w:rPr>
          <w:color w:val="000000" w:themeColor="text1"/>
        </w:rPr>
        <w:t>P-ANCA</w:t>
      </w:r>
      <w:r w:rsidRPr="006E2281">
        <w:rPr>
          <w:color w:val="000000" w:themeColor="text1"/>
        </w:rPr>
        <w:t xml:space="preserve"> positivity </w:t>
      </w:r>
      <w:r w:rsidR="009F34EB">
        <w:rPr>
          <w:color w:val="000000" w:themeColor="text1"/>
        </w:rPr>
        <w:t xml:space="preserve">has </w:t>
      </w:r>
      <w:r w:rsidRPr="006E2281">
        <w:rPr>
          <w:color w:val="000000" w:themeColor="text1"/>
        </w:rPr>
        <w:t>any clinical or diagnostic value in patients with PBC.</w:t>
      </w:r>
    </w:p>
    <w:p w:rsidR="00B529D1" w:rsidRPr="006E2281" w:rsidRDefault="00F60917" w:rsidP="00DC137A">
      <w:pPr>
        <w:rPr>
          <w:color w:val="000000" w:themeColor="text1"/>
        </w:rPr>
      </w:pPr>
      <w:r w:rsidRPr="006E2281">
        <w:rPr>
          <w:color w:val="000000" w:themeColor="text1"/>
        </w:rPr>
        <w:t xml:space="preserve">PSC can overlap with AIH </w:t>
      </w:r>
      <w:r w:rsidR="004F7B8A">
        <w:rPr>
          <w:color w:val="000000" w:themeColor="text1"/>
        </w:rPr>
        <w:t>in 5-10% of cases</w:t>
      </w:r>
      <w:r w:rsidR="004F7B8A" w:rsidRPr="006E2281">
        <w:rPr>
          <w:color w:val="000000" w:themeColor="text1"/>
        </w:rPr>
        <w:t xml:space="preserve"> </w:t>
      </w:r>
      <w:r w:rsidRPr="006E2281">
        <w:rPr>
          <w:color w:val="000000" w:themeColor="text1"/>
        </w:rPr>
        <w:t>and is closely associated with inflammatory bowel disease, most often u</w:t>
      </w:r>
      <w:r w:rsidR="00F25391" w:rsidRPr="006E2281">
        <w:rPr>
          <w:color w:val="000000" w:themeColor="text1"/>
        </w:rPr>
        <w:t>lcerative colitis (UC) [</w:t>
      </w:r>
      <w:r w:rsidR="00AF26B6">
        <w:rPr>
          <w:color w:val="000000" w:themeColor="text1"/>
        </w:rPr>
        <w:t>64</w:t>
      </w:r>
      <w:r w:rsidRPr="006E2281">
        <w:rPr>
          <w:color w:val="000000" w:themeColor="text1"/>
        </w:rPr>
        <w:t xml:space="preserve">]. In </w:t>
      </w:r>
      <w:r w:rsidR="009F34EB">
        <w:rPr>
          <w:color w:val="000000" w:themeColor="text1"/>
        </w:rPr>
        <w:t>several</w:t>
      </w:r>
      <w:r w:rsidRPr="006E2281">
        <w:rPr>
          <w:color w:val="000000" w:themeColor="text1"/>
        </w:rPr>
        <w:t xml:space="preserve"> small studies (</w:t>
      </w:r>
      <w:r w:rsidR="00797349" w:rsidRPr="006E2281">
        <w:rPr>
          <w:color w:val="000000" w:themeColor="text1"/>
        </w:rPr>
        <w:t>reviewed in [</w:t>
      </w:r>
      <w:r w:rsidR="00AF26B6">
        <w:rPr>
          <w:color w:val="000000" w:themeColor="text1"/>
        </w:rPr>
        <w:t>65</w:t>
      </w:r>
      <w:r w:rsidRPr="006E2281">
        <w:rPr>
          <w:color w:val="000000" w:themeColor="text1"/>
        </w:rPr>
        <w:t>]</w:t>
      </w:r>
      <w:r w:rsidR="00F25391" w:rsidRPr="006E2281">
        <w:rPr>
          <w:color w:val="000000" w:themeColor="text1"/>
        </w:rPr>
        <w:t xml:space="preserve">), the prevalence of atypical </w:t>
      </w:r>
      <w:r w:rsidR="008F756B">
        <w:rPr>
          <w:color w:val="000000" w:themeColor="text1"/>
        </w:rPr>
        <w:t>P-ANCA</w:t>
      </w:r>
      <w:r w:rsidRPr="006E2281">
        <w:rPr>
          <w:color w:val="000000" w:themeColor="text1"/>
        </w:rPr>
        <w:t xml:space="preserve"> </w:t>
      </w:r>
      <w:r w:rsidR="000342D9">
        <w:rPr>
          <w:color w:val="000000" w:themeColor="text1"/>
        </w:rPr>
        <w:t>ranged</w:t>
      </w:r>
      <w:r w:rsidRPr="006E2281">
        <w:rPr>
          <w:color w:val="000000" w:themeColor="text1"/>
        </w:rPr>
        <w:t xml:space="preserve"> from 26% to 94% (median of 63%). In one study, atypical </w:t>
      </w:r>
      <w:r w:rsidR="008F756B">
        <w:rPr>
          <w:color w:val="000000" w:themeColor="text1"/>
        </w:rPr>
        <w:t>P-ANCA</w:t>
      </w:r>
      <w:r w:rsidRPr="006E2281">
        <w:rPr>
          <w:color w:val="000000" w:themeColor="text1"/>
        </w:rPr>
        <w:t xml:space="preserve"> </w:t>
      </w:r>
      <w:r w:rsidR="00C34665" w:rsidRPr="00C34665">
        <w:rPr>
          <w:color w:val="000000" w:themeColor="text1"/>
        </w:rPr>
        <w:t xml:space="preserve">emerged as </w:t>
      </w:r>
      <w:r w:rsidR="00C34665">
        <w:rPr>
          <w:color w:val="000000" w:themeColor="text1"/>
        </w:rPr>
        <w:t>a</w:t>
      </w:r>
      <w:r w:rsidR="00C34665" w:rsidRPr="00C34665">
        <w:rPr>
          <w:color w:val="000000" w:themeColor="text1"/>
        </w:rPr>
        <w:t xml:space="preserve"> diagnostically relevant seromarker for PSC</w:t>
      </w:r>
      <w:r w:rsidRPr="006E2281">
        <w:rPr>
          <w:color w:val="000000" w:themeColor="text1"/>
        </w:rPr>
        <w:t xml:space="preserve"> [</w:t>
      </w:r>
      <w:r w:rsidR="00AF26B6">
        <w:rPr>
          <w:color w:val="000000" w:themeColor="text1"/>
        </w:rPr>
        <w:t>61</w:t>
      </w:r>
      <w:r w:rsidRPr="006E2281">
        <w:rPr>
          <w:color w:val="000000" w:themeColor="text1"/>
        </w:rPr>
        <w:t>]. Several</w:t>
      </w:r>
      <w:r w:rsidR="00F25391" w:rsidRPr="006E2281">
        <w:rPr>
          <w:color w:val="000000" w:themeColor="text1"/>
        </w:rPr>
        <w:t xml:space="preserve"> investigators suggested that </w:t>
      </w:r>
      <w:r w:rsidR="008F756B">
        <w:rPr>
          <w:color w:val="000000" w:themeColor="text1"/>
        </w:rPr>
        <w:t>P-ANCA</w:t>
      </w:r>
      <w:r w:rsidRPr="006E2281">
        <w:rPr>
          <w:color w:val="000000" w:themeColor="text1"/>
        </w:rPr>
        <w:t xml:space="preserve"> positivity in PSC may be associated with biliary calculi or cholangiocarcinoma</w:t>
      </w:r>
      <w:r w:rsidR="00F25391" w:rsidRPr="006E2281">
        <w:rPr>
          <w:color w:val="000000" w:themeColor="text1"/>
        </w:rPr>
        <w:t xml:space="preserve"> [</w:t>
      </w:r>
      <w:r w:rsidR="00AF26B6">
        <w:rPr>
          <w:color w:val="000000" w:themeColor="text1"/>
        </w:rPr>
        <w:t>66</w:t>
      </w:r>
      <w:r w:rsidRPr="006E2281">
        <w:rPr>
          <w:color w:val="000000" w:themeColor="text1"/>
        </w:rPr>
        <w:t xml:space="preserve">], more extensive involvement of the biliary tree </w:t>
      </w:r>
      <w:r w:rsidR="00F25391" w:rsidRPr="006E2281">
        <w:rPr>
          <w:color w:val="000000" w:themeColor="text1"/>
        </w:rPr>
        <w:t>[</w:t>
      </w:r>
      <w:r w:rsidR="00AF26B6">
        <w:rPr>
          <w:color w:val="000000" w:themeColor="text1"/>
        </w:rPr>
        <w:t>67</w:t>
      </w:r>
      <w:r w:rsidRPr="006E2281">
        <w:rPr>
          <w:color w:val="000000" w:themeColor="text1"/>
        </w:rPr>
        <w:t xml:space="preserve">] </w:t>
      </w:r>
      <w:r w:rsidR="00DC137A" w:rsidRPr="006E2281">
        <w:rPr>
          <w:color w:val="000000" w:themeColor="text1"/>
        </w:rPr>
        <w:t>or liver transplantation</w:t>
      </w:r>
      <w:r w:rsidRPr="006E2281">
        <w:rPr>
          <w:color w:val="000000" w:themeColor="text1"/>
        </w:rPr>
        <w:t xml:space="preserve"> [</w:t>
      </w:r>
      <w:r w:rsidR="00AF26B6">
        <w:rPr>
          <w:color w:val="000000" w:themeColor="text1"/>
        </w:rPr>
        <w:t>66</w:t>
      </w:r>
      <w:r w:rsidRPr="006E2281">
        <w:rPr>
          <w:color w:val="000000" w:themeColor="text1"/>
        </w:rPr>
        <w:t xml:space="preserve">]. </w:t>
      </w:r>
      <w:r w:rsidR="00F25391" w:rsidRPr="006E2281">
        <w:rPr>
          <w:color w:val="000000" w:themeColor="text1"/>
        </w:rPr>
        <w:t xml:space="preserve">In a recent study, ANCA were found by IIF in 193 (80%) of 241 Norwegian PSC patients, with </w:t>
      </w:r>
      <w:r w:rsidR="008F756B">
        <w:rPr>
          <w:color w:val="000000" w:themeColor="text1"/>
        </w:rPr>
        <w:t>P-ANCA</w:t>
      </w:r>
      <w:r w:rsidR="00F25391" w:rsidRPr="006E2281">
        <w:rPr>
          <w:color w:val="000000" w:themeColor="text1"/>
        </w:rPr>
        <w:t xml:space="preserve"> in 169 (70%) </w:t>
      </w:r>
      <w:r w:rsidR="00855CFD" w:rsidRPr="006E2281">
        <w:rPr>
          <w:color w:val="000000" w:themeColor="text1"/>
        </w:rPr>
        <w:t xml:space="preserve">of the patients </w:t>
      </w:r>
      <w:r w:rsidR="00F25391" w:rsidRPr="006E2281">
        <w:rPr>
          <w:color w:val="000000" w:themeColor="text1"/>
        </w:rPr>
        <w:t>[</w:t>
      </w:r>
      <w:r w:rsidR="00AF26B6">
        <w:rPr>
          <w:color w:val="000000" w:themeColor="text1"/>
        </w:rPr>
        <w:t>68</w:t>
      </w:r>
      <w:r w:rsidR="00F25391" w:rsidRPr="00D308C1">
        <w:rPr>
          <w:color w:val="000000" w:themeColor="text1"/>
        </w:rPr>
        <w:t xml:space="preserve">]. </w:t>
      </w:r>
      <w:r w:rsidR="00260F96" w:rsidRPr="00D308C1">
        <w:rPr>
          <w:color w:val="000000" w:themeColor="text1"/>
        </w:rPr>
        <w:t xml:space="preserve">These </w:t>
      </w:r>
      <w:r w:rsidR="00F25391" w:rsidRPr="00D308C1">
        <w:rPr>
          <w:color w:val="000000" w:themeColor="text1"/>
        </w:rPr>
        <w:t xml:space="preserve">ANCA positive patients were younger at diagnosis and had a lower risk of biliary cancer, while there was no association with IBD status. The differences in biliary cancer frequency had a stronger association with age at diagnosis than </w:t>
      </w:r>
      <w:r w:rsidR="008F756B" w:rsidRPr="00D308C1">
        <w:rPr>
          <w:color w:val="000000" w:themeColor="text1"/>
        </w:rPr>
        <w:t xml:space="preserve">with </w:t>
      </w:r>
      <w:r w:rsidR="00F25391" w:rsidRPr="00D308C1">
        <w:rPr>
          <w:color w:val="000000" w:themeColor="text1"/>
        </w:rPr>
        <w:t xml:space="preserve">ANCA status. </w:t>
      </w:r>
      <w:r w:rsidR="00F25391" w:rsidRPr="006E2281">
        <w:rPr>
          <w:color w:val="000000" w:themeColor="text1"/>
        </w:rPr>
        <w:t>Therefore</w:t>
      </w:r>
      <w:r w:rsidRPr="006E2281">
        <w:rPr>
          <w:color w:val="000000" w:themeColor="text1"/>
        </w:rPr>
        <w:t xml:space="preserve">, </w:t>
      </w:r>
      <w:r w:rsidR="00940C6A">
        <w:rPr>
          <w:color w:val="000000" w:themeColor="text1"/>
        </w:rPr>
        <w:t>firm</w:t>
      </w:r>
      <w:r w:rsidRPr="006E2281">
        <w:rPr>
          <w:color w:val="000000" w:themeColor="text1"/>
        </w:rPr>
        <w:t xml:space="preserve"> evidence </w:t>
      </w:r>
      <w:r w:rsidR="00A02290" w:rsidRPr="006E2281">
        <w:rPr>
          <w:color w:val="000000" w:themeColor="text1"/>
        </w:rPr>
        <w:t>indicating</w:t>
      </w:r>
      <w:r w:rsidRPr="006E2281">
        <w:rPr>
          <w:color w:val="000000" w:themeColor="text1"/>
        </w:rPr>
        <w:t xml:space="preserve"> a prognostic</w:t>
      </w:r>
      <w:r w:rsidR="00F25391" w:rsidRPr="006E2281">
        <w:rPr>
          <w:color w:val="000000" w:themeColor="text1"/>
        </w:rPr>
        <w:t xml:space="preserve"> value of </w:t>
      </w:r>
      <w:r w:rsidR="00C41596">
        <w:rPr>
          <w:color w:val="000000" w:themeColor="text1"/>
        </w:rPr>
        <w:t xml:space="preserve">atypical </w:t>
      </w:r>
      <w:r w:rsidR="008F756B">
        <w:rPr>
          <w:color w:val="000000" w:themeColor="text1"/>
        </w:rPr>
        <w:t>P-ANCA</w:t>
      </w:r>
      <w:r w:rsidRPr="006E2281">
        <w:rPr>
          <w:color w:val="000000" w:themeColor="text1"/>
        </w:rPr>
        <w:t xml:space="preserve"> positivity</w:t>
      </w:r>
      <w:r w:rsidR="00DC137A" w:rsidRPr="006E2281">
        <w:rPr>
          <w:color w:val="000000" w:themeColor="text1"/>
        </w:rPr>
        <w:t xml:space="preserve"> in PSC</w:t>
      </w:r>
      <w:r w:rsidRPr="006E2281">
        <w:rPr>
          <w:color w:val="000000" w:themeColor="text1"/>
        </w:rPr>
        <w:t xml:space="preserve"> is lacking.</w:t>
      </w:r>
    </w:p>
    <w:p w:rsidR="00DC137A" w:rsidRPr="006E2281" w:rsidRDefault="00DC137A" w:rsidP="00DC137A">
      <w:pPr>
        <w:rPr>
          <w:color w:val="000000" w:themeColor="text1"/>
        </w:rPr>
      </w:pPr>
      <w:r w:rsidRPr="006E2281">
        <w:rPr>
          <w:color w:val="000000" w:themeColor="text1"/>
        </w:rPr>
        <w:t>ANCA was detected by IIF in the bile of PSC patients significantly more often (38%</w:t>
      </w:r>
      <w:r w:rsidR="00606A61" w:rsidRPr="006E2281">
        <w:rPr>
          <w:color w:val="000000" w:themeColor="text1"/>
        </w:rPr>
        <w:t xml:space="preserve">) than in non-PSC patients (6%; </w:t>
      </w:r>
      <w:r w:rsidRPr="006E2281">
        <w:rPr>
          <w:color w:val="000000" w:themeColor="text1"/>
        </w:rPr>
        <w:t>p = 0.001), and was associated with a ten</w:t>
      </w:r>
      <w:r w:rsidR="00C271FD" w:rsidRPr="006E2281">
        <w:rPr>
          <w:color w:val="000000" w:themeColor="text1"/>
        </w:rPr>
        <w:t>-fold</w:t>
      </w:r>
      <w:r w:rsidRPr="006E2281">
        <w:rPr>
          <w:color w:val="000000" w:themeColor="text1"/>
        </w:rPr>
        <w:t xml:space="preserve"> higher risk of PSC </w:t>
      </w:r>
      <w:r w:rsidR="00606A61" w:rsidRPr="006E2281">
        <w:rPr>
          <w:color w:val="000000" w:themeColor="text1"/>
        </w:rPr>
        <w:t>[</w:t>
      </w:r>
      <w:r w:rsidR="00AF26B6">
        <w:rPr>
          <w:color w:val="000000" w:themeColor="text1"/>
        </w:rPr>
        <w:t>69</w:t>
      </w:r>
      <w:r w:rsidR="00606A61" w:rsidRPr="006E2281">
        <w:rPr>
          <w:color w:val="000000" w:themeColor="text1"/>
        </w:rPr>
        <w:t>]</w:t>
      </w:r>
      <w:r w:rsidRPr="006E2281">
        <w:rPr>
          <w:color w:val="000000" w:themeColor="text1"/>
        </w:rPr>
        <w:t xml:space="preserve">. Biliary ANCA correlated with the severity of bile duct strictures and </w:t>
      </w:r>
      <w:r w:rsidRPr="006E2281">
        <w:rPr>
          <w:color w:val="000000" w:themeColor="text1"/>
        </w:rPr>
        <w:lastRenderedPageBreak/>
        <w:t>the ensuing number of interventions.</w:t>
      </w:r>
      <w:r w:rsidR="00C637DF">
        <w:rPr>
          <w:color w:val="000000" w:themeColor="text1"/>
        </w:rPr>
        <w:t xml:space="preserve"> P-ANCA</w:t>
      </w:r>
      <w:r w:rsidR="00C637DF" w:rsidRPr="006E2281">
        <w:rPr>
          <w:color w:val="000000" w:themeColor="text1"/>
        </w:rPr>
        <w:t xml:space="preserve"> can also be found in small-duct PSC [</w:t>
      </w:r>
      <w:r w:rsidR="00AF26B6">
        <w:rPr>
          <w:color w:val="000000" w:themeColor="text1"/>
        </w:rPr>
        <w:t>70</w:t>
      </w:r>
      <w:r w:rsidR="00C637DF" w:rsidRPr="006E2281">
        <w:rPr>
          <w:color w:val="000000" w:themeColor="text1"/>
        </w:rPr>
        <w:t>].</w:t>
      </w:r>
    </w:p>
    <w:p w:rsidR="00885104" w:rsidRPr="006E2281" w:rsidRDefault="00885104" w:rsidP="00885104">
      <w:pPr>
        <w:rPr>
          <w:color w:val="000000" w:themeColor="text1"/>
        </w:rPr>
      </w:pPr>
      <w:r w:rsidRPr="006E2281">
        <w:rPr>
          <w:color w:val="000000" w:themeColor="text1"/>
        </w:rPr>
        <w:t xml:space="preserve">In several studies, </w:t>
      </w:r>
      <w:r w:rsidR="009F34EB">
        <w:rPr>
          <w:color w:val="000000" w:themeColor="text1"/>
        </w:rPr>
        <w:t>the median frequency</w:t>
      </w:r>
      <w:r w:rsidRPr="006E2281">
        <w:rPr>
          <w:color w:val="000000" w:themeColor="text1"/>
        </w:rPr>
        <w:t xml:space="preserve"> of MPO-ANCA and PR</w:t>
      </w:r>
      <w:r w:rsidR="009F34EB">
        <w:rPr>
          <w:color w:val="000000" w:themeColor="text1"/>
        </w:rPr>
        <w:t>3-ANCA in patients with PSC was</w:t>
      </w:r>
      <w:r w:rsidRPr="006E2281">
        <w:rPr>
          <w:color w:val="000000" w:themeColor="text1"/>
        </w:rPr>
        <w:t xml:space="preserve"> only 2% (0-33) a</w:t>
      </w:r>
      <w:r w:rsidR="00F25391" w:rsidRPr="006E2281">
        <w:rPr>
          <w:color w:val="000000" w:themeColor="text1"/>
        </w:rPr>
        <w:t>nd 4% (0-44), respectively [</w:t>
      </w:r>
      <w:r w:rsidR="00AF26B6">
        <w:rPr>
          <w:color w:val="000000" w:themeColor="text1"/>
        </w:rPr>
        <w:t>65</w:t>
      </w:r>
      <w:r w:rsidRPr="006E2281">
        <w:rPr>
          <w:color w:val="000000" w:themeColor="text1"/>
        </w:rPr>
        <w:t>]. Recently, Stinton et al</w:t>
      </w:r>
      <w:r w:rsidR="0041730A" w:rsidRPr="006E2281">
        <w:rPr>
          <w:color w:val="000000" w:themeColor="text1"/>
        </w:rPr>
        <w:t>.</w:t>
      </w:r>
      <w:r w:rsidRPr="006E2281">
        <w:rPr>
          <w:color w:val="000000" w:themeColor="text1"/>
        </w:rPr>
        <w:t xml:space="preserve"> evaluated the </w:t>
      </w:r>
      <w:r w:rsidR="00A02290" w:rsidRPr="006E2281">
        <w:rPr>
          <w:color w:val="000000" w:themeColor="text1"/>
        </w:rPr>
        <w:t>prevalence</w:t>
      </w:r>
      <w:r w:rsidRPr="006E2281">
        <w:rPr>
          <w:color w:val="000000" w:themeColor="text1"/>
        </w:rPr>
        <w:t xml:space="preserve"> and clinical significance of PR3-ANCA using ELISA and a new chemiluminescence immunoassay (C</w:t>
      </w:r>
      <w:r w:rsidR="00C41596">
        <w:rPr>
          <w:color w:val="000000" w:themeColor="text1"/>
        </w:rPr>
        <w:t>L</w:t>
      </w:r>
      <w:r w:rsidRPr="006E2281">
        <w:rPr>
          <w:color w:val="000000" w:themeColor="text1"/>
        </w:rPr>
        <w:t>IA) in 244 PSC patients and 254 controls, which included patients with AIH, PBC, hepatitis C and B viral infections, and healthy volunteers [</w:t>
      </w:r>
      <w:r w:rsidR="00AF26B6">
        <w:rPr>
          <w:color w:val="000000" w:themeColor="text1"/>
        </w:rPr>
        <w:t>71</w:t>
      </w:r>
      <w:r w:rsidRPr="006E2281">
        <w:rPr>
          <w:color w:val="000000" w:themeColor="text1"/>
        </w:rPr>
        <w:t xml:space="preserve">]. </w:t>
      </w:r>
      <w:r w:rsidR="00F000F4" w:rsidRPr="006E2281">
        <w:rPr>
          <w:color w:val="000000" w:themeColor="text1"/>
        </w:rPr>
        <w:t>T</w:t>
      </w:r>
      <w:r w:rsidRPr="006E2281">
        <w:rPr>
          <w:color w:val="000000" w:themeColor="text1"/>
        </w:rPr>
        <w:t>he sensitivity of PR3-ANCA detected by C</w:t>
      </w:r>
      <w:r w:rsidR="00C41596">
        <w:rPr>
          <w:color w:val="000000" w:themeColor="text1"/>
        </w:rPr>
        <w:t>L</w:t>
      </w:r>
      <w:r w:rsidRPr="006E2281">
        <w:rPr>
          <w:color w:val="000000" w:themeColor="text1"/>
        </w:rPr>
        <w:t>IA and ELISA for PSC was low (38.5% and 23.5%, respectively)</w:t>
      </w:r>
      <w:r w:rsidR="00C41596">
        <w:rPr>
          <w:color w:val="000000" w:themeColor="text1"/>
        </w:rPr>
        <w:t>, but much higher than previously anticipated [</w:t>
      </w:r>
      <w:r w:rsidR="00AF26B6">
        <w:rPr>
          <w:color w:val="000000" w:themeColor="text1"/>
        </w:rPr>
        <w:t>65</w:t>
      </w:r>
      <w:r w:rsidR="00C41596">
        <w:rPr>
          <w:color w:val="000000" w:themeColor="text1"/>
        </w:rPr>
        <w:t>]</w:t>
      </w:r>
      <w:r w:rsidRPr="006E2281">
        <w:rPr>
          <w:color w:val="000000" w:themeColor="text1"/>
        </w:rPr>
        <w:t xml:space="preserve">. However, both </w:t>
      </w:r>
      <w:r w:rsidR="00C41596">
        <w:rPr>
          <w:color w:val="000000" w:themeColor="text1"/>
        </w:rPr>
        <w:t>CLIA and, in particular,</w:t>
      </w:r>
      <w:r w:rsidR="00C41596" w:rsidRPr="006E2281">
        <w:rPr>
          <w:color w:val="000000" w:themeColor="text1"/>
        </w:rPr>
        <w:t xml:space="preserve"> ELISA had </w:t>
      </w:r>
      <w:r w:rsidR="00C41596">
        <w:rPr>
          <w:color w:val="000000" w:themeColor="text1"/>
        </w:rPr>
        <w:t>medium to</w:t>
      </w:r>
      <w:r w:rsidRPr="006E2281">
        <w:rPr>
          <w:color w:val="000000" w:themeColor="text1"/>
        </w:rPr>
        <w:t xml:space="preserve"> high specificit</w:t>
      </w:r>
      <w:r w:rsidR="00940C6A">
        <w:rPr>
          <w:color w:val="000000" w:themeColor="text1"/>
        </w:rPr>
        <w:t>y, when compared to all contro</w:t>
      </w:r>
      <w:r w:rsidR="00716784">
        <w:rPr>
          <w:color w:val="000000" w:themeColor="text1"/>
        </w:rPr>
        <w:t>l</w:t>
      </w:r>
      <w:r w:rsidR="00940C6A">
        <w:rPr>
          <w:color w:val="000000" w:themeColor="text1"/>
        </w:rPr>
        <w:t xml:space="preserve"> groups</w:t>
      </w:r>
      <w:r w:rsidRPr="006E2281">
        <w:rPr>
          <w:color w:val="000000" w:themeColor="text1"/>
        </w:rPr>
        <w:t>, AIH, and PBC (78.5-86.8% and 92.3-100%, respectively). Moreover, PR3-ANCA mea</w:t>
      </w:r>
      <w:r w:rsidR="00223616">
        <w:rPr>
          <w:color w:val="000000" w:themeColor="text1"/>
        </w:rPr>
        <w:t>sured by both C</w:t>
      </w:r>
      <w:r w:rsidR="00C41596">
        <w:rPr>
          <w:color w:val="000000" w:themeColor="text1"/>
        </w:rPr>
        <w:t>L</w:t>
      </w:r>
      <w:r w:rsidR="00223616">
        <w:rPr>
          <w:color w:val="000000" w:themeColor="text1"/>
        </w:rPr>
        <w:t>IA and ELISA was</w:t>
      </w:r>
      <w:r w:rsidRPr="006E2281">
        <w:rPr>
          <w:color w:val="000000" w:themeColor="text1"/>
        </w:rPr>
        <w:t xml:space="preserve"> more specific</w:t>
      </w:r>
      <w:r w:rsidR="00A02290" w:rsidRPr="006E2281">
        <w:rPr>
          <w:color w:val="000000" w:themeColor="text1"/>
        </w:rPr>
        <w:t xml:space="preserve"> for PSC</w:t>
      </w:r>
      <w:r w:rsidRPr="006E2281">
        <w:rPr>
          <w:color w:val="000000" w:themeColor="text1"/>
        </w:rPr>
        <w:t xml:space="preserve"> than the atypical </w:t>
      </w:r>
      <w:r w:rsidR="008F756B">
        <w:rPr>
          <w:color w:val="000000" w:themeColor="text1"/>
        </w:rPr>
        <w:t>P-ANCA</w:t>
      </w:r>
      <w:r w:rsidRPr="006E2281">
        <w:rPr>
          <w:color w:val="000000" w:themeColor="text1"/>
        </w:rPr>
        <w:t xml:space="preserve"> detected by IIF. </w:t>
      </w:r>
    </w:p>
    <w:p w:rsidR="001A2ECA" w:rsidRPr="006E2281" w:rsidRDefault="00A02290" w:rsidP="00F67E78">
      <w:pPr>
        <w:rPr>
          <w:color w:val="000000" w:themeColor="text1"/>
        </w:rPr>
      </w:pPr>
      <w:r w:rsidRPr="006E2281">
        <w:rPr>
          <w:color w:val="000000" w:themeColor="text1"/>
        </w:rPr>
        <w:t>In summary, aty</w:t>
      </w:r>
      <w:r w:rsidR="00F25391" w:rsidRPr="006E2281">
        <w:rPr>
          <w:color w:val="000000" w:themeColor="text1"/>
        </w:rPr>
        <w:t xml:space="preserve">pical </w:t>
      </w:r>
      <w:r w:rsidR="008F756B">
        <w:rPr>
          <w:color w:val="000000" w:themeColor="text1"/>
        </w:rPr>
        <w:t>P-ANCA</w:t>
      </w:r>
      <w:r w:rsidRPr="006E2281">
        <w:rPr>
          <w:color w:val="000000" w:themeColor="text1"/>
        </w:rPr>
        <w:t xml:space="preserve"> target</w:t>
      </w:r>
      <w:r w:rsidR="00F25391" w:rsidRPr="006E2281">
        <w:rPr>
          <w:color w:val="000000" w:themeColor="text1"/>
        </w:rPr>
        <w:t xml:space="preserve">ing certain nuclear antigens </w:t>
      </w:r>
      <w:r w:rsidRPr="006E2281">
        <w:rPr>
          <w:color w:val="000000" w:themeColor="text1"/>
        </w:rPr>
        <w:t>or various neutrophil granule proteins are frequently found by IIF in sera of patients with AILD and may aid diagnosis in patients with AIH-1, particularly in the absence of conventio</w:t>
      </w:r>
      <w:r w:rsidR="00F25391" w:rsidRPr="006E2281">
        <w:rPr>
          <w:color w:val="000000" w:themeColor="text1"/>
        </w:rPr>
        <w:t xml:space="preserve">nal </w:t>
      </w:r>
      <w:r w:rsidR="001E082C">
        <w:rPr>
          <w:color w:val="000000" w:themeColor="text1"/>
        </w:rPr>
        <w:t>autoantibodies</w:t>
      </w:r>
      <w:r w:rsidR="00F25391" w:rsidRPr="006E2281">
        <w:rPr>
          <w:color w:val="000000" w:themeColor="text1"/>
        </w:rPr>
        <w:t xml:space="preserve">. Atypical </w:t>
      </w:r>
      <w:r w:rsidR="008F756B">
        <w:rPr>
          <w:color w:val="000000" w:themeColor="text1"/>
        </w:rPr>
        <w:t>P-ANCA</w:t>
      </w:r>
      <w:r w:rsidRPr="006E2281">
        <w:rPr>
          <w:color w:val="000000" w:themeColor="text1"/>
        </w:rPr>
        <w:t xml:space="preserve"> are not specific for AILD and can be present in patients with viral or alcohol liver diseases. One study showed that</w:t>
      </w:r>
      <w:r w:rsidR="00223616">
        <w:rPr>
          <w:color w:val="000000" w:themeColor="text1"/>
        </w:rPr>
        <w:t xml:space="preserve"> PR3-ANCA might</w:t>
      </w:r>
      <w:r w:rsidRPr="006E2281">
        <w:rPr>
          <w:color w:val="000000" w:themeColor="text1"/>
        </w:rPr>
        <w:t xml:space="preserve"> be a specific biomarker for PSC, distinguishing it from AIH and PBC. </w:t>
      </w:r>
      <w:r w:rsidR="00C41596">
        <w:rPr>
          <w:color w:val="000000" w:themeColor="text1"/>
        </w:rPr>
        <w:t xml:space="preserve">This is true for some PR3-ANCA assays, but not for all. </w:t>
      </w:r>
      <w:r w:rsidRPr="006E2281">
        <w:rPr>
          <w:color w:val="000000" w:themeColor="text1"/>
        </w:rPr>
        <w:t xml:space="preserve">There is no </w:t>
      </w:r>
      <w:r w:rsidR="00716784">
        <w:rPr>
          <w:color w:val="000000" w:themeColor="text1"/>
        </w:rPr>
        <w:t>firm</w:t>
      </w:r>
      <w:r w:rsidRPr="006E2281">
        <w:rPr>
          <w:color w:val="000000" w:themeColor="text1"/>
        </w:rPr>
        <w:t xml:space="preserve"> evidence confirming clinical and</w:t>
      </w:r>
      <w:r w:rsidR="00C271FD" w:rsidRPr="006E2281">
        <w:rPr>
          <w:color w:val="000000" w:themeColor="text1"/>
        </w:rPr>
        <w:t xml:space="preserve"> prognostic</w:t>
      </w:r>
      <w:r w:rsidRPr="006E2281">
        <w:rPr>
          <w:color w:val="000000" w:themeColor="text1"/>
        </w:rPr>
        <w:t xml:space="preserve"> value of ANCA in patients with AILD.</w:t>
      </w:r>
    </w:p>
    <w:p w:rsidR="0041730A" w:rsidRPr="006E2281" w:rsidRDefault="0041730A" w:rsidP="008170A4">
      <w:pPr>
        <w:rPr>
          <w:b/>
          <w:color w:val="000000" w:themeColor="text1"/>
        </w:rPr>
      </w:pPr>
    </w:p>
    <w:p w:rsidR="008170A4" w:rsidRPr="006E2281" w:rsidRDefault="008170A4" w:rsidP="008170A4">
      <w:pPr>
        <w:rPr>
          <w:b/>
          <w:color w:val="000000" w:themeColor="text1"/>
        </w:rPr>
      </w:pPr>
      <w:r w:rsidRPr="006E2281">
        <w:rPr>
          <w:b/>
          <w:color w:val="000000" w:themeColor="text1"/>
        </w:rPr>
        <w:t>Inflammatory bowel disease</w:t>
      </w:r>
    </w:p>
    <w:p w:rsidR="008170A4" w:rsidRPr="006E2281" w:rsidRDefault="008170A4" w:rsidP="008170A4">
      <w:pPr>
        <w:rPr>
          <w:color w:val="000000" w:themeColor="text1"/>
        </w:rPr>
      </w:pPr>
      <w:r w:rsidRPr="006E2281">
        <w:rPr>
          <w:color w:val="000000" w:themeColor="text1"/>
        </w:rPr>
        <w:t xml:space="preserve">The two main forms of </w:t>
      </w:r>
      <w:r w:rsidR="00E06D05" w:rsidRPr="006E2281">
        <w:rPr>
          <w:color w:val="000000" w:themeColor="text1"/>
        </w:rPr>
        <w:t>inflammatory bowel disease (</w:t>
      </w:r>
      <w:r w:rsidRPr="006E2281">
        <w:rPr>
          <w:color w:val="000000" w:themeColor="text1"/>
        </w:rPr>
        <w:t>IBD</w:t>
      </w:r>
      <w:r w:rsidR="00E06D05" w:rsidRPr="006E2281">
        <w:rPr>
          <w:color w:val="000000" w:themeColor="text1"/>
        </w:rPr>
        <w:t>)</w:t>
      </w:r>
      <w:r w:rsidRPr="006E2281">
        <w:rPr>
          <w:color w:val="000000" w:themeColor="text1"/>
        </w:rPr>
        <w:t xml:space="preserve"> are Crohn’s disease (CD) and </w:t>
      </w:r>
      <w:r w:rsidR="008F756B">
        <w:rPr>
          <w:color w:val="000000" w:themeColor="text1"/>
        </w:rPr>
        <w:t>ulcerative colitis (</w:t>
      </w:r>
      <w:r w:rsidR="00505A0E" w:rsidRPr="006E2281">
        <w:rPr>
          <w:color w:val="000000" w:themeColor="text1"/>
        </w:rPr>
        <w:t>UC</w:t>
      </w:r>
      <w:r w:rsidR="008F756B">
        <w:rPr>
          <w:color w:val="000000" w:themeColor="text1"/>
        </w:rPr>
        <w:t>)</w:t>
      </w:r>
      <w:r w:rsidRPr="006E2281">
        <w:rPr>
          <w:color w:val="000000" w:themeColor="text1"/>
        </w:rPr>
        <w:t>, which have both overlapping and distinct clinical and pathological features. Sy et al</w:t>
      </w:r>
      <w:r w:rsidR="00C54A63" w:rsidRPr="006E2281">
        <w:rPr>
          <w:color w:val="000000" w:themeColor="text1"/>
        </w:rPr>
        <w:t>.</w:t>
      </w:r>
      <w:r w:rsidRPr="006E2281">
        <w:rPr>
          <w:color w:val="000000" w:themeColor="text1"/>
        </w:rPr>
        <w:t xml:space="preserve"> reviewed 338 patients with </w:t>
      </w:r>
      <w:r w:rsidR="00AF26B6">
        <w:rPr>
          <w:color w:val="000000" w:themeColor="text1"/>
        </w:rPr>
        <w:t xml:space="preserve">both </w:t>
      </w:r>
      <w:r w:rsidRPr="006E2281">
        <w:rPr>
          <w:color w:val="000000" w:themeColor="text1"/>
        </w:rPr>
        <w:t xml:space="preserve">IBD and vasculitis. Only 27 of them had </w:t>
      </w:r>
      <w:r w:rsidR="009F34EB">
        <w:rPr>
          <w:color w:val="000000" w:themeColor="text1"/>
        </w:rPr>
        <w:t xml:space="preserve">clinical evidence of </w:t>
      </w:r>
      <w:r w:rsidRPr="006E2281">
        <w:rPr>
          <w:color w:val="000000" w:themeColor="text1"/>
        </w:rPr>
        <w:t>AAV [</w:t>
      </w:r>
      <w:r w:rsidR="00AF26B6">
        <w:rPr>
          <w:color w:val="000000" w:themeColor="text1"/>
        </w:rPr>
        <w:t>72</w:t>
      </w:r>
      <w:r w:rsidRPr="006E2281">
        <w:rPr>
          <w:color w:val="000000" w:themeColor="text1"/>
        </w:rPr>
        <w:t xml:space="preserve">]. Notably, granulomatous inflammation of the bowel mucosa that occasionally develops in GPA and EGPA can mimic </w:t>
      </w:r>
      <w:r w:rsidR="001A2ECA" w:rsidRPr="006E2281">
        <w:rPr>
          <w:color w:val="000000" w:themeColor="text1"/>
        </w:rPr>
        <w:t xml:space="preserve">the </w:t>
      </w:r>
      <w:r w:rsidRPr="006E2281">
        <w:rPr>
          <w:color w:val="000000" w:themeColor="text1"/>
        </w:rPr>
        <w:t>histological picture of IBD [</w:t>
      </w:r>
      <w:r w:rsidR="00AF26B6">
        <w:rPr>
          <w:color w:val="000000" w:themeColor="text1"/>
        </w:rPr>
        <w:t>73</w:t>
      </w:r>
      <w:r w:rsidRPr="006E2281">
        <w:rPr>
          <w:color w:val="000000" w:themeColor="text1"/>
        </w:rPr>
        <w:t>].</w:t>
      </w:r>
    </w:p>
    <w:p w:rsidR="008170A4" w:rsidRPr="006E2281" w:rsidRDefault="00B529D1" w:rsidP="000042AA">
      <w:pPr>
        <w:rPr>
          <w:color w:val="000000" w:themeColor="text1"/>
        </w:rPr>
      </w:pPr>
      <w:r w:rsidRPr="006E2281">
        <w:rPr>
          <w:color w:val="000000" w:themeColor="text1"/>
        </w:rPr>
        <w:t xml:space="preserve">In 1961, Calabresi </w:t>
      </w:r>
      <w:r w:rsidR="008E42CC" w:rsidRPr="006E2281">
        <w:rPr>
          <w:color w:val="000000" w:themeColor="text1"/>
        </w:rPr>
        <w:t>et al.</w:t>
      </w:r>
      <w:r w:rsidR="003B3846">
        <w:rPr>
          <w:color w:val="000000" w:themeColor="text1"/>
        </w:rPr>
        <w:t xml:space="preserve"> found P</w:t>
      </w:r>
      <w:r w:rsidRPr="006E2281">
        <w:rPr>
          <w:color w:val="000000" w:themeColor="text1"/>
        </w:rPr>
        <w:t xml:space="preserve">-ANCA in 75% of 24 sera from </w:t>
      </w:r>
      <w:r w:rsidR="00260F96">
        <w:rPr>
          <w:color w:val="000000" w:themeColor="text1"/>
        </w:rPr>
        <w:t xml:space="preserve">UC </w:t>
      </w:r>
      <w:r w:rsidRPr="006E2281">
        <w:rPr>
          <w:color w:val="000000" w:themeColor="text1"/>
        </w:rPr>
        <w:t>patients [</w:t>
      </w:r>
      <w:r w:rsidR="00AF26B6">
        <w:rPr>
          <w:color w:val="000000" w:themeColor="text1"/>
        </w:rPr>
        <w:t>74</w:t>
      </w:r>
      <w:r w:rsidRPr="006E2281">
        <w:rPr>
          <w:color w:val="000000" w:themeColor="text1"/>
        </w:rPr>
        <w:t xml:space="preserve">]. Later it was confirmed that </w:t>
      </w:r>
      <w:r w:rsidR="00260F96">
        <w:rPr>
          <w:color w:val="000000" w:themeColor="text1"/>
        </w:rPr>
        <w:t xml:space="preserve">IBD </w:t>
      </w:r>
      <w:r w:rsidRPr="006E2281">
        <w:rPr>
          <w:color w:val="000000" w:themeColor="text1"/>
        </w:rPr>
        <w:t>p</w:t>
      </w:r>
      <w:r w:rsidR="008170A4" w:rsidRPr="006E2281">
        <w:rPr>
          <w:color w:val="000000" w:themeColor="text1"/>
        </w:rPr>
        <w:t xml:space="preserve">atients frequently test positive for atypical </w:t>
      </w:r>
      <w:r w:rsidR="008F756B">
        <w:rPr>
          <w:color w:val="000000" w:themeColor="text1"/>
        </w:rPr>
        <w:t>P-</w:t>
      </w:r>
      <w:r w:rsidR="008F756B">
        <w:rPr>
          <w:color w:val="000000" w:themeColor="text1"/>
        </w:rPr>
        <w:lastRenderedPageBreak/>
        <w:t>ANCA</w:t>
      </w:r>
      <w:r w:rsidR="008170A4" w:rsidRPr="006E2281">
        <w:rPr>
          <w:color w:val="000000" w:themeColor="text1"/>
        </w:rPr>
        <w:t>, anti-gl</w:t>
      </w:r>
      <w:r w:rsidR="001A2ECA" w:rsidRPr="006E2281">
        <w:rPr>
          <w:color w:val="000000" w:themeColor="text1"/>
        </w:rPr>
        <w:t>y</w:t>
      </w:r>
      <w:r w:rsidR="00E06D05" w:rsidRPr="006E2281">
        <w:rPr>
          <w:color w:val="000000" w:themeColor="text1"/>
        </w:rPr>
        <w:t xml:space="preserve">can antibodies, e.g. </w:t>
      </w:r>
      <w:r w:rsidR="008170A4" w:rsidRPr="006E2281">
        <w:rPr>
          <w:color w:val="000000" w:themeColor="text1"/>
        </w:rPr>
        <w:t>anti-Sacch</w:t>
      </w:r>
      <w:r w:rsidR="00E06D05" w:rsidRPr="006E2281">
        <w:rPr>
          <w:color w:val="000000" w:themeColor="text1"/>
        </w:rPr>
        <w:t>aromyces cerevisiae antibodies (</w:t>
      </w:r>
      <w:r w:rsidR="008170A4" w:rsidRPr="006E2281">
        <w:rPr>
          <w:color w:val="000000" w:themeColor="text1"/>
        </w:rPr>
        <w:t>ASCA</w:t>
      </w:r>
      <w:r w:rsidR="00E06D05" w:rsidRPr="006E2281">
        <w:rPr>
          <w:color w:val="000000" w:themeColor="text1"/>
        </w:rPr>
        <w:t>)</w:t>
      </w:r>
      <w:r w:rsidR="008170A4" w:rsidRPr="006E2281">
        <w:rPr>
          <w:color w:val="000000" w:themeColor="text1"/>
        </w:rPr>
        <w:t xml:space="preserve">, </w:t>
      </w:r>
      <w:r w:rsidR="00E06D05" w:rsidRPr="006E2281">
        <w:rPr>
          <w:color w:val="000000" w:themeColor="text1"/>
        </w:rPr>
        <w:t>and other antibodies</w:t>
      </w:r>
      <w:r w:rsidR="00223616">
        <w:rPr>
          <w:color w:val="000000" w:themeColor="text1"/>
        </w:rPr>
        <w:t xml:space="preserve"> mostly directed against microbial or yeast peptides</w:t>
      </w:r>
      <w:r w:rsidR="008170A4" w:rsidRPr="006E2281">
        <w:rPr>
          <w:color w:val="000000" w:themeColor="text1"/>
        </w:rPr>
        <w:t xml:space="preserve"> [</w:t>
      </w:r>
      <w:r w:rsidR="00AF26B6">
        <w:rPr>
          <w:color w:val="000000" w:themeColor="text1"/>
        </w:rPr>
        <w:t>75</w:t>
      </w:r>
      <w:r w:rsidR="00C637DF">
        <w:rPr>
          <w:color w:val="000000" w:themeColor="text1"/>
        </w:rPr>
        <w:t>-</w:t>
      </w:r>
      <w:r w:rsidR="00AF26B6">
        <w:rPr>
          <w:color w:val="000000" w:themeColor="text1"/>
        </w:rPr>
        <w:t>77</w:t>
      </w:r>
      <w:r w:rsidR="008170A4" w:rsidRPr="006E2281">
        <w:rPr>
          <w:color w:val="000000" w:themeColor="text1"/>
        </w:rPr>
        <w:t>]. ASCA, detected by ELISA, are directed against the cell wall mannan of the yeast Saccharomyces that shares homology with intestinal bacteria [</w:t>
      </w:r>
      <w:r w:rsidR="00AF26B6">
        <w:rPr>
          <w:color w:val="000000" w:themeColor="text1"/>
        </w:rPr>
        <w:t>78</w:t>
      </w:r>
      <w:r w:rsidR="008170A4" w:rsidRPr="006E2281">
        <w:rPr>
          <w:color w:val="000000" w:themeColor="text1"/>
        </w:rPr>
        <w:t xml:space="preserve">]. </w:t>
      </w:r>
      <w:r w:rsidR="00606A61" w:rsidRPr="006E2281">
        <w:rPr>
          <w:color w:val="000000" w:themeColor="text1"/>
        </w:rPr>
        <w:t>I</w:t>
      </w:r>
      <w:r w:rsidR="008170A4" w:rsidRPr="006E2281">
        <w:rPr>
          <w:color w:val="000000" w:themeColor="text1"/>
        </w:rPr>
        <w:t xml:space="preserve">n case of diagnostic uncertainty, serological profiles may be useful for differentiating CD from UC, </w:t>
      </w:r>
      <w:r w:rsidR="001A2ECA" w:rsidRPr="006E2281">
        <w:rPr>
          <w:color w:val="000000" w:themeColor="text1"/>
        </w:rPr>
        <w:t xml:space="preserve">which </w:t>
      </w:r>
      <w:r w:rsidR="008170A4" w:rsidRPr="006E2281">
        <w:rPr>
          <w:color w:val="000000" w:themeColor="text1"/>
        </w:rPr>
        <w:t>has treatment implication</w:t>
      </w:r>
      <w:r w:rsidR="00223616">
        <w:rPr>
          <w:color w:val="000000" w:themeColor="text1"/>
        </w:rPr>
        <w:t>s especially when surgery is needed</w:t>
      </w:r>
      <w:r w:rsidR="008170A4" w:rsidRPr="006E2281">
        <w:rPr>
          <w:color w:val="000000" w:themeColor="text1"/>
        </w:rPr>
        <w:t xml:space="preserve">. According to </w:t>
      </w:r>
      <w:r w:rsidR="00F34F2E" w:rsidRPr="006E2281">
        <w:rPr>
          <w:color w:val="000000" w:themeColor="text1"/>
        </w:rPr>
        <w:t>a</w:t>
      </w:r>
      <w:r w:rsidR="00E06D05" w:rsidRPr="006E2281">
        <w:rPr>
          <w:color w:val="000000" w:themeColor="text1"/>
        </w:rPr>
        <w:t xml:space="preserve"> </w:t>
      </w:r>
      <w:r w:rsidR="008170A4" w:rsidRPr="006E2281">
        <w:rPr>
          <w:color w:val="000000" w:themeColor="text1"/>
        </w:rPr>
        <w:t xml:space="preserve">systematic review, ASCA and atypical </w:t>
      </w:r>
      <w:r w:rsidR="008F756B">
        <w:rPr>
          <w:color w:val="000000" w:themeColor="text1"/>
        </w:rPr>
        <w:t>P-ANCA</w:t>
      </w:r>
      <w:r w:rsidR="008170A4" w:rsidRPr="006E2281">
        <w:rPr>
          <w:color w:val="000000" w:themeColor="text1"/>
        </w:rPr>
        <w:t xml:space="preserve"> were found, respectively, in 29-69% and 6-38% of patients with CD, 0-29% and 41-73% of patients with UC, 0-23% and 8% of patients with other</w:t>
      </w:r>
      <w:r w:rsidR="00F000F4" w:rsidRPr="006E2281">
        <w:rPr>
          <w:color w:val="000000" w:themeColor="text1"/>
        </w:rPr>
        <w:t xml:space="preserve"> gastrointestinal diseases, </w:t>
      </w:r>
      <w:r w:rsidR="008170A4" w:rsidRPr="006E2281">
        <w:rPr>
          <w:color w:val="000000" w:themeColor="text1"/>
        </w:rPr>
        <w:t xml:space="preserve">0-16% and 0-8% healthy controls. ASCA had the best sensitivity and specificity for CD, and </w:t>
      </w:r>
      <w:r w:rsidR="008F756B">
        <w:rPr>
          <w:color w:val="000000" w:themeColor="text1"/>
        </w:rPr>
        <w:t>P-ANCA</w:t>
      </w:r>
      <w:r w:rsidR="008170A4" w:rsidRPr="006E2281">
        <w:rPr>
          <w:color w:val="000000" w:themeColor="text1"/>
        </w:rPr>
        <w:t xml:space="preserve"> for UC [</w:t>
      </w:r>
      <w:r w:rsidR="00AF26B6">
        <w:rPr>
          <w:color w:val="000000" w:themeColor="text1"/>
        </w:rPr>
        <w:t>76</w:t>
      </w:r>
      <w:r w:rsidR="008170A4" w:rsidRPr="006E2281">
        <w:rPr>
          <w:color w:val="000000" w:themeColor="text1"/>
        </w:rPr>
        <w:t xml:space="preserve">]. </w:t>
      </w:r>
      <w:r w:rsidR="00F34F2E" w:rsidRPr="006E2281">
        <w:rPr>
          <w:color w:val="000000" w:themeColor="text1"/>
        </w:rPr>
        <w:t xml:space="preserve">ASCA positivity was associated with </w:t>
      </w:r>
      <w:r w:rsidR="00606A61" w:rsidRPr="006E2281">
        <w:rPr>
          <w:color w:val="000000" w:themeColor="text1"/>
        </w:rPr>
        <w:t>small bowel disease</w:t>
      </w:r>
      <w:r w:rsidR="008170A4" w:rsidRPr="006E2281">
        <w:rPr>
          <w:color w:val="000000" w:themeColor="text1"/>
        </w:rPr>
        <w:t xml:space="preserve">, whereas </w:t>
      </w:r>
      <w:r w:rsidR="00C41596">
        <w:rPr>
          <w:color w:val="000000" w:themeColor="text1"/>
        </w:rPr>
        <w:t xml:space="preserve">atypical </w:t>
      </w:r>
      <w:r w:rsidR="008F756B">
        <w:rPr>
          <w:color w:val="000000" w:themeColor="text1"/>
        </w:rPr>
        <w:t>P-ANCA</w:t>
      </w:r>
      <w:r w:rsidR="008170A4" w:rsidRPr="006E2281">
        <w:rPr>
          <w:color w:val="000000" w:themeColor="text1"/>
        </w:rPr>
        <w:t xml:space="preserve"> positivity was associated with a greater likelihood of colonic disease [</w:t>
      </w:r>
      <w:r w:rsidR="00AF26B6">
        <w:rPr>
          <w:color w:val="000000" w:themeColor="text1"/>
        </w:rPr>
        <w:t>76</w:t>
      </w:r>
      <w:r w:rsidR="008170A4" w:rsidRPr="006E2281">
        <w:rPr>
          <w:color w:val="000000" w:themeColor="text1"/>
        </w:rPr>
        <w:t xml:space="preserve">]. </w:t>
      </w:r>
    </w:p>
    <w:p w:rsidR="008170A4" w:rsidRPr="006E2281" w:rsidRDefault="008170A4" w:rsidP="008170A4">
      <w:pPr>
        <w:rPr>
          <w:color w:val="000000" w:themeColor="text1"/>
        </w:rPr>
      </w:pPr>
      <w:r w:rsidRPr="006E2281">
        <w:rPr>
          <w:color w:val="000000" w:themeColor="text1"/>
        </w:rPr>
        <w:t>In some patients with colonic disease, particularly in children, the diagnosis</w:t>
      </w:r>
      <w:r w:rsidR="00223616">
        <w:rPr>
          <w:color w:val="000000" w:themeColor="text1"/>
        </w:rPr>
        <w:t xml:space="preserve"> of IBD cannot be further differentiated into </w:t>
      </w:r>
      <w:r w:rsidRPr="006E2281">
        <w:rPr>
          <w:color w:val="000000" w:themeColor="text1"/>
        </w:rPr>
        <w:t xml:space="preserve">CD or UC. </w:t>
      </w:r>
      <w:r w:rsidR="00657689">
        <w:rPr>
          <w:color w:val="000000" w:themeColor="text1"/>
        </w:rPr>
        <w:t>I</w:t>
      </w:r>
      <w:r w:rsidR="00657689" w:rsidRPr="006E2281">
        <w:rPr>
          <w:color w:val="000000" w:themeColor="text1"/>
        </w:rPr>
        <w:t>n a meta-analysis</w:t>
      </w:r>
      <w:r w:rsidR="00657689">
        <w:rPr>
          <w:color w:val="000000" w:themeColor="text1"/>
        </w:rPr>
        <w:t>, t</w:t>
      </w:r>
      <w:r w:rsidRPr="006E2281">
        <w:rPr>
          <w:color w:val="000000" w:themeColor="text1"/>
        </w:rPr>
        <w:t>he proportion of IBD</w:t>
      </w:r>
      <w:r w:rsidR="009F34EB">
        <w:rPr>
          <w:color w:val="000000" w:themeColor="text1"/>
        </w:rPr>
        <w:t xml:space="preserve"> that remained unclassified</w:t>
      </w:r>
      <w:r w:rsidRPr="006E2281">
        <w:rPr>
          <w:color w:val="000000" w:themeColor="text1"/>
        </w:rPr>
        <w:t xml:space="preserve"> (IBD-U) ranged from 1 to 20% in adults and from 4 to 22% in pediatric patients [</w:t>
      </w:r>
      <w:r w:rsidR="00AF26B6">
        <w:rPr>
          <w:color w:val="000000" w:themeColor="text1"/>
        </w:rPr>
        <w:t>79</w:t>
      </w:r>
      <w:r w:rsidRPr="006E2281">
        <w:rPr>
          <w:color w:val="000000" w:themeColor="text1"/>
        </w:rPr>
        <w:t>], and was on av</w:t>
      </w:r>
      <w:r w:rsidR="00657689">
        <w:rPr>
          <w:color w:val="000000" w:themeColor="text1"/>
        </w:rPr>
        <w:t>erage 6% and 13%, respectively</w:t>
      </w:r>
      <w:r w:rsidRPr="006E2281">
        <w:rPr>
          <w:color w:val="000000" w:themeColor="text1"/>
        </w:rPr>
        <w:t xml:space="preserve"> [</w:t>
      </w:r>
      <w:r w:rsidR="00AF26B6">
        <w:rPr>
          <w:color w:val="000000" w:themeColor="text1"/>
        </w:rPr>
        <w:t>80</w:t>
      </w:r>
      <w:r w:rsidRPr="006E2281">
        <w:rPr>
          <w:color w:val="000000" w:themeColor="text1"/>
        </w:rPr>
        <w:t xml:space="preserve">]. In </w:t>
      </w:r>
      <w:r w:rsidR="00505A0E" w:rsidRPr="006E2281">
        <w:rPr>
          <w:color w:val="000000" w:themeColor="text1"/>
        </w:rPr>
        <w:t>a prospective study</w:t>
      </w:r>
      <w:r w:rsidR="009F34EB">
        <w:rPr>
          <w:color w:val="000000" w:themeColor="text1"/>
        </w:rPr>
        <w:t xml:space="preserve"> that</w:t>
      </w:r>
      <w:r w:rsidR="00505A0E" w:rsidRPr="006E2281">
        <w:rPr>
          <w:color w:val="000000" w:themeColor="text1"/>
        </w:rPr>
        <w:t xml:space="preserve"> in</w:t>
      </w:r>
      <w:r w:rsidR="009F34EB">
        <w:rPr>
          <w:color w:val="000000" w:themeColor="text1"/>
        </w:rPr>
        <w:t>cluded</w:t>
      </w:r>
      <w:r w:rsidRPr="006E2281">
        <w:rPr>
          <w:color w:val="000000" w:themeColor="text1"/>
        </w:rPr>
        <w:t xml:space="preserve"> 97 patients with IBD-U</w:t>
      </w:r>
      <w:r w:rsidR="00505A0E" w:rsidRPr="006E2281">
        <w:rPr>
          <w:color w:val="000000" w:themeColor="text1"/>
        </w:rPr>
        <w:t>,</w:t>
      </w:r>
      <w:r w:rsidRPr="006E2281">
        <w:rPr>
          <w:color w:val="000000" w:themeColor="text1"/>
        </w:rPr>
        <w:t xml:space="preserve"> ASCA+/</w:t>
      </w:r>
      <w:r w:rsidR="00C41596">
        <w:rPr>
          <w:color w:val="000000" w:themeColor="text1"/>
        </w:rPr>
        <w:t xml:space="preserve">atypical </w:t>
      </w:r>
      <w:r w:rsidR="008F756B">
        <w:rPr>
          <w:color w:val="000000" w:themeColor="text1"/>
        </w:rPr>
        <w:t>P-ANCA</w:t>
      </w:r>
      <w:r w:rsidR="00716784">
        <w:rPr>
          <w:color w:val="000000" w:themeColor="text1"/>
        </w:rPr>
        <w:t>-</w:t>
      </w:r>
      <w:r w:rsidRPr="006E2281">
        <w:rPr>
          <w:color w:val="000000" w:themeColor="text1"/>
        </w:rPr>
        <w:t xml:space="preserve"> predicted </w:t>
      </w:r>
      <w:r w:rsidR="00940C6A">
        <w:rPr>
          <w:color w:val="000000" w:themeColor="text1"/>
        </w:rPr>
        <w:t>an ultimate</w:t>
      </w:r>
      <w:r w:rsidR="009F34EB">
        <w:rPr>
          <w:color w:val="000000" w:themeColor="text1"/>
        </w:rPr>
        <w:t xml:space="preserve"> diagnosis of </w:t>
      </w:r>
      <w:r w:rsidRPr="006E2281">
        <w:rPr>
          <w:color w:val="000000" w:themeColor="text1"/>
        </w:rPr>
        <w:t>CD in 80% of patients, and ASCA-/</w:t>
      </w:r>
      <w:r w:rsidR="00C41596">
        <w:rPr>
          <w:color w:val="000000" w:themeColor="text1"/>
        </w:rPr>
        <w:t xml:space="preserve">atypical </w:t>
      </w:r>
      <w:r w:rsidR="008F756B">
        <w:rPr>
          <w:color w:val="000000" w:themeColor="text1"/>
        </w:rPr>
        <w:t>P-ANCA</w:t>
      </w:r>
      <w:r w:rsidRPr="006E2281">
        <w:rPr>
          <w:color w:val="000000" w:themeColor="text1"/>
        </w:rPr>
        <w:t xml:space="preserve">+ predicted </w:t>
      </w:r>
      <w:r w:rsidR="009F34EB">
        <w:rPr>
          <w:color w:val="000000" w:themeColor="text1"/>
        </w:rPr>
        <w:t xml:space="preserve">a diagnosis of </w:t>
      </w:r>
      <w:r w:rsidRPr="006E2281">
        <w:rPr>
          <w:color w:val="000000" w:themeColor="text1"/>
        </w:rPr>
        <w:t>UC in 63.6% of patients [</w:t>
      </w:r>
      <w:r w:rsidR="00AF26B6">
        <w:rPr>
          <w:color w:val="000000" w:themeColor="text1"/>
        </w:rPr>
        <w:t>81</w:t>
      </w:r>
      <w:r w:rsidRPr="006E2281">
        <w:rPr>
          <w:color w:val="000000" w:themeColor="text1"/>
        </w:rPr>
        <w:t xml:space="preserve">]. </w:t>
      </w:r>
      <w:r w:rsidR="00223616">
        <w:rPr>
          <w:color w:val="000000" w:themeColor="text1"/>
        </w:rPr>
        <w:t xml:space="preserve">The most </w:t>
      </w:r>
      <w:r w:rsidR="00940C6A">
        <w:rPr>
          <w:color w:val="000000" w:themeColor="text1"/>
        </w:rPr>
        <w:t>intriguing</w:t>
      </w:r>
      <w:r w:rsidR="00223616">
        <w:rPr>
          <w:color w:val="000000" w:themeColor="text1"/>
        </w:rPr>
        <w:t xml:space="preserve"> observation in this study was that almost half of the patients with IBD-U were negative for ASCA and </w:t>
      </w:r>
      <w:r w:rsidR="008F756B">
        <w:rPr>
          <w:color w:val="000000" w:themeColor="text1"/>
        </w:rPr>
        <w:t>P-ANCA</w:t>
      </w:r>
      <w:r w:rsidR="00223616">
        <w:rPr>
          <w:color w:val="000000" w:themeColor="text1"/>
        </w:rPr>
        <w:t xml:space="preserve">. </w:t>
      </w:r>
      <w:r w:rsidR="00DB1631" w:rsidRPr="006E2281">
        <w:rPr>
          <w:color w:val="000000" w:themeColor="text1"/>
        </w:rPr>
        <w:t>A s</w:t>
      </w:r>
      <w:r w:rsidRPr="006E2281">
        <w:rPr>
          <w:color w:val="000000" w:themeColor="text1"/>
        </w:rPr>
        <w:t xml:space="preserve">imilar trend was found in </w:t>
      </w:r>
      <w:r w:rsidR="00E06D05" w:rsidRPr="006E2281">
        <w:rPr>
          <w:color w:val="000000" w:themeColor="text1"/>
        </w:rPr>
        <w:t>other studies [</w:t>
      </w:r>
      <w:r w:rsidR="00AF26B6">
        <w:rPr>
          <w:color w:val="000000" w:themeColor="text1"/>
        </w:rPr>
        <w:t>82,83</w:t>
      </w:r>
      <w:r w:rsidRPr="006E2281">
        <w:rPr>
          <w:color w:val="000000" w:themeColor="text1"/>
        </w:rPr>
        <w:t xml:space="preserve">]. However, in another prospective study, both </w:t>
      </w:r>
      <w:r w:rsidR="00C41596">
        <w:rPr>
          <w:color w:val="000000" w:themeColor="text1"/>
        </w:rPr>
        <w:t xml:space="preserve">atypical </w:t>
      </w:r>
      <w:r w:rsidR="008F756B">
        <w:rPr>
          <w:color w:val="000000" w:themeColor="text1"/>
        </w:rPr>
        <w:t>P-ANCA</w:t>
      </w:r>
      <w:r w:rsidRPr="006E2281">
        <w:rPr>
          <w:color w:val="000000" w:themeColor="text1"/>
        </w:rPr>
        <w:t xml:space="preserve"> and ASCA were of limited utility in predicting a subsequent disease phenotype in patients with IBD-U [</w:t>
      </w:r>
      <w:r w:rsidR="00AF26B6">
        <w:rPr>
          <w:color w:val="000000" w:themeColor="text1"/>
        </w:rPr>
        <w:t>84</w:t>
      </w:r>
      <w:r w:rsidRPr="006E2281">
        <w:rPr>
          <w:color w:val="000000" w:themeColor="text1"/>
        </w:rPr>
        <w:t xml:space="preserve">]. </w:t>
      </w:r>
    </w:p>
    <w:p w:rsidR="003B3846" w:rsidRDefault="00D5264B" w:rsidP="008170A4">
      <w:pPr>
        <w:rPr>
          <w:color w:val="000000" w:themeColor="text1"/>
        </w:rPr>
      </w:pPr>
      <w:r w:rsidRPr="006E2281">
        <w:rPr>
          <w:color w:val="000000" w:themeColor="text1"/>
        </w:rPr>
        <w:t>High</w:t>
      </w:r>
      <w:r w:rsidR="00260F96">
        <w:rPr>
          <w:color w:val="000000" w:themeColor="text1"/>
        </w:rPr>
        <w:t xml:space="preserve"> </w:t>
      </w:r>
      <w:r w:rsidR="008F756B">
        <w:rPr>
          <w:color w:val="000000" w:themeColor="text1"/>
        </w:rPr>
        <w:t>P-ANCA</w:t>
      </w:r>
      <w:r w:rsidRPr="006E2281">
        <w:rPr>
          <w:color w:val="000000" w:themeColor="text1"/>
        </w:rPr>
        <w:t xml:space="preserve"> tite</w:t>
      </w:r>
      <w:r w:rsidR="00DD1D49">
        <w:rPr>
          <w:color w:val="000000" w:themeColor="text1"/>
        </w:rPr>
        <w:t>r</w:t>
      </w:r>
      <w:r w:rsidRPr="006E2281">
        <w:rPr>
          <w:color w:val="000000" w:themeColor="text1"/>
        </w:rPr>
        <w:t xml:space="preserve">s were observed in active UC. However, in </w:t>
      </w:r>
      <w:r w:rsidR="009F34EB">
        <w:rPr>
          <w:color w:val="000000" w:themeColor="text1"/>
        </w:rPr>
        <w:t>several</w:t>
      </w:r>
      <w:r w:rsidR="008170A4" w:rsidRPr="006E2281">
        <w:rPr>
          <w:color w:val="000000" w:themeColor="text1"/>
        </w:rPr>
        <w:t xml:space="preserve"> studies, there was no association between </w:t>
      </w:r>
      <w:r w:rsidR="00C41596">
        <w:rPr>
          <w:color w:val="000000" w:themeColor="text1"/>
        </w:rPr>
        <w:t xml:space="preserve">atypical </w:t>
      </w:r>
      <w:r w:rsidR="008F756B">
        <w:rPr>
          <w:color w:val="000000" w:themeColor="text1"/>
        </w:rPr>
        <w:t>P-ANCA</w:t>
      </w:r>
      <w:r w:rsidR="008170A4" w:rsidRPr="006E2281">
        <w:rPr>
          <w:color w:val="000000" w:themeColor="text1"/>
        </w:rPr>
        <w:t xml:space="preserve"> positiv</w:t>
      </w:r>
      <w:r w:rsidR="00E06D05" w:rsidRPr="006E2281">
        <w:rPr>
          <w:color w:val="000000" w:themeColor="text1"/>
        </w:rPr>
        <w:t>ity and activity of UC [</w:t>
      </w:r>
      <w:r w:rsidR="00AF26B6">
        <w:rPr>
          <w:color w:val="000000" w:themeColor="text1"/>
        </w:rPr>
        <w:t>85,86</w:t>
      </w:r>
      <w:r w:rsidR="008170A4" w:rsidRPr="006E2281">
        <w:rPr>
          <w:color w:val="000000" w:themeColor="text1"/>
        </w:rPr>
        <w:t>], whereas other</w:t>
      </w:r>
      <w:r w:rsidR="009F34EB">
        <w:rPr>
          <w:color w:val="000000" w:themeColor="text1"/>
        </w:rPr>
        <w:t>s</w:t>
      </w:r>
      <w:r w:rsidR="008170A4" w:rsidRPr="006E2281">
        <w:rPr>
          <w:color w:val="000000" w:themeColor="text1"/>
        </w:rPr>
        <w:t xml:space="preserve"> reported more aggressive UC in</w:t>
      </w:r>
      <w:r w:rsidR="00797349" w:rsidRPr="006E2281">
        <w:rPr>
          <w:color w:val="000000" w:themeColor="text1"/>
        </w:rPr>
        <w:t xml:space="preserve"> seropositive patients [</w:t>
      </w:r>
      <w:r w:rsidR="00AF26B6">
        <w:rPr>
          <w:color w:val="000000" w:themeColor="text1"/>
        </w:rPr>
        <w:t>87,88</w:t>
      </w:r>
      <w:r w:rsidR="008170A4" w:rsidRPr="006E2281">
        <w:rPr>
          <w:color w:val="000000" w:themeColor="text1"/>
        </w:rPr>
        <w:t>]. In a multicenter retrospective study involving 406 children</w:t>
      </w:r>
      <w:r w:rsidR="00223616">
        <w:rPr>
          <w:color w:val="000000" w:themeColor="text1"/>
        </w:rPr>
        <w:t xml:space="preserve"> with UC</w:t>
      </w:r>
      <w:r w:rsidR="008170A4" w:rsidRPr="006E2281">
        <w:rPr>
          <w:color w:val="000000" w:themeColor="text1"/>
        </w:rPr>
        <w:t xml:space="preserve">, </w:t>
      </w:r>
      <w:r w:rsidR="00C41596">
        <w:rPr>
          <w:color w:val="000000" w:themeColor="text1"/>
        </w:rPr>
        <w:t xml:space="preserve">atypical </w:t>
      </w:r>
      <w:r w:rsidR="008F756B">
        <w:rPr>
          <w:color w:val="000000" w:themeColor="text1"/>
        </w:rPr>
        <w:t>P-ANCA</w:t>
      </w:r>
      <w:r w:rsidR="008170A4" w:rsidRPr="006E2281">
        <w:rPr>
          <w:color w:val="000000" w:themeColor="text1"/>
        </w:rPr>
        <w:t xml:space="preserve">+/ASCA- patients more </w:t>
      </w:r>
      <w:r w:rsidR="009F34EB">
        <w:rPr>
          <w:color w:val="000000" w:themeColor="text1"/>
        </w:rPr>
        <w:t>frequently had</w:t>
      </w:r>
      <w:r w:rsidR="008170A4" w:rsidRPr="006E2281">
        <w:rPr>
          <w:color w:val="000000" w:themeColor="text1"/>
        </w:rPr>
        <w:t xml:space="preserve"> severe disease at diagnosis and </w:t>
      </w:r>
      <w:r w:rsidR="00223616" w:rsidRPr="006E2281">
        <w:rPr>
          <w:color w:val="000000" w:themeColor="text1"/>
        </w:rPr>
        <w:t xml:space="preserve">more often </w:t>
      </w:r>
      <w:r w:rsidR="00223616">
        <w:rPr>
          <w:color w:val="000000" w:themeColor="text1"/>
        </w:rPr>
        <w:t>required rescue therapy</w:t>
      </w:r>
      <w:r w:rsidR="00223616" w:rsidRPr="006E2281">
        <w:rPr>
          <w:color w:val="000000" w:themeColor="text1"/>
        </w:rPr>
        <w:t xml:space="preserve"> </w:t>
      </w:r>
      <w:r w:rsidR="008170A4" w:rsidRPr="006E2281">
        <w:rPr>
          <w:color w:val="000000" w:themeColor="text1"/>
        </w:rPr>
        <w:t>[</w:t>
      </w:r>
      <w:r w:rsidR="00AF26B6">
        <w:rPr>
          <w:color w:val="000000" w:themeColor="text1"/>
        </w:rPr>
        <w:t>83</w:t>
      </w:r>
      <w:r w:rsidR="008170A4" w:rsidRPr="006E2281">
        <w:rPr>
          <w:color w:val="000000" w:themeColor="text1"/>
        </w:rPr>
        <w:t xml:space="preserve">]. In a European cohort of 432 UC patients, </w:t>
      </w:r>
      <w:r w:rsidR="00C41596">
        <w:rPr>
          <w:color w:val="000000" w:themeColor="text1"/>
        </w:rPr>
        <w:t>atypical</w:t>
      </w:r>
      <w:r w:rsidR="00C41596" w:rsidRPr="006E2281">
        <w:rPr>
          <w:color w:val="000000" w:themeColor="text1"/>
        </w:rPr>
        <w:t xml:space="preserve"> </w:t>
      </w:r>
      <w:r w:rsidR="008F756B">
        <w:rPr>
          <w:color w:val="000000" w:themeColor="text1"/>
        </w:rPr>
        <w:t>P-ANCA</w:t>
      </w:r>
      <w:r w:rsidR="008170A4" w:rsidRPr="006E2281">
        <w:rPr>
          <w:color w:val="000000" w:themeColor="text1"/>
        </w:rPr>
        <w:t xml:space="preserve"> positivity was associated with an increased risk of relapsing disease and the total number of relapses</w:t>
      </w:r>
      <w:r w:rsidR="00E06D05" w:rsidRPr="006E2281">
        <w:rPr>
          <w:color w:val="000000" w:themeColor="text1"/>
        </w:rPr>
        <w:t xml:space="preserve"> [</w:t>
      </w:r>
      <w:r w:rsidR="00C637DF">
        <w:rPr>
          <w:color w:val="000000" w:themeColor="text1"/>
        </w:rPr>
        <w:t>89</w:t>
      </w:r>
      <w:r w:rsidR="008170A4" w:rsidRPr="006E2281">
        <w:rPr>
          <w:color w:val="000000" w:themeColor="text1"/>
        </w:rPr>
        <w:t xml:space="preserve">]. In a recent study in 601 </w:t>
      </w:r>
      <w:r w:rsidR="00260F96">
        <w:rPr>
          <w:color w:val="000000" w:themeColor="text1"/>
        </w:rPr>
        <w:t xml:space="preserve">UC </w:t>
      </w:r>
      <w:r w:rsidR="008170A4" w:rsidRPr="006E2281">
        <w:rPr>
          <w:color w:val="000000" w:themeColor="text1"/>
        </w:rPr>
        <w:t xml:space="preserve">patients, serum levels of </w:t>
      </w:r>
      <w:r w:rsidR="00C41596">
        <w:rPr>
          <w:color w:val="000000" w:themeColor="text1"/>
        </w:rPr>
        <w:t>atypical</w:t>
      </w:r>
      <w:r w:rsidR="00C41596" w:rsidRPr="006E2281">
        <w:rPr>
          <w:color w:val="000000" w:themeColor="text1"/>
        </w:rPr>
        <w:t xml:space="preserve"> </w:t>
      </w:r>
      <w:r w:rsidR="008F756B">
        <w:rPr>
          <w:color w:val="000000" w:themeColor="text1"/>
        </w:rPr>
        <w:t>P-ANCA</w:t>
      </w:r>
      <w:r w:rsidR="008170A4" w:rsidRPr="006E2281">
        <w:rPr>
          <w:color w:val="000000" w:themeColor="text1"/>
        </w:rPr>
        <w:t xml:space="preserve"> and ASCA were not associated with severe UC, proximal disease </w:t>
      </w:r>
      <w:r w:rsidR="008170A4" w:rsidRPr="006E2281">
        <w:rPr>
          <w:color w:val="000000" w:themeColor="text1"/>
        </w:rPr>
        <w:lastRenderedPageBreak/>
        <w:t>extension or colectomy [</w:t>
      </w:r>
      <w:r w:rsidR="00C637DF">
        <w:rPr>
          <w:color w:val="000000" w:themeColor="text1"/>
        </w:rPr>
        <w:t>90</w:t>
      </w:r>
      <w:r w:rsidR="008170A4" w:rsidRPr="006E2281">
        <w:rPr>
          <w:color w:val="000000" w:themeColor="text1"/>
        </w:rPr>
        <w:t xml:space="preserve">]. In </w:t>
      </w:r>
      <w:r w:rsidR="00260F96">
        <w:rPr>
          <w:color w:val="000000" w:themeColor="text1"/>
        </w:rPr>
        <w:t xml:space="preserve">UC </w:t>
      </w:r>
      <w:r w:rsidR="008170A4" w:rsidRPr="006E2281">
        <w:rPr>
          <w:color w:val="000000" w:themeColor="text1"/>
        </w:rPr>
        <w:t xml:space="preserve">patients, </w:t>
      </w:r>
      <w:r w:rsidR="00C41596">
        <w:rPr>
          <w:color w:val="000000" w:themeColor="text1"/>
        </w:rPr>
        <w:t>atypical</w:t>
      </w:r>
      <w:r w:rsidR="00C41596" w:rsidRPr="006E2281">
        <w:rPr>
          <w:color w:val="000000" w:themeColor="text1"/>
        </w:rPr>
        <w:t xml:space="preserve"> </w:t>
      </w:r>
      <w:r w:rsidR="008F756B">
        <w:rPr>
          <w:color w:val="000000" w:themeColor="text1"/>
        </w:rPr>
        <w:t>P-ANCA</w:t>
      </w:r>
      <w:r w:rsidR="008170A4" w:rsidRPr="006E2281">
        <w:rPr>
          <w:color w:val="000000" w:themeColor="text1"/>
        </w:rPr>
        <w:t xml:space="preserve"> seronegativity </w:t>
      </w:r>
      <w:r w:rsidR="00260F96">
        <w:rPr>
          <w:color w:val="000000" w:themeColor="text1"/>
        </w:rPr>
        <w:t>was</w:t>
      </w:r>
      <w:r w:rsidR="008170A4" w:rsidRPr="006E2281">
        <w:rPr>
          <w:color w:val="000000" w:themeColor="text1"/>
        </w:rPr>
        <w:t xml:space="preserve"> reported as a predictor of a better</w:t>
      </w:r>
      <w:r w:rsidR="00C637DF">
        <w:rPr>
          <w:color w:val="000000" w:themeColor="text1"/>
        </w:rPr>
        <w:t xml:space="preserve"> early response to infliximab [91,92</w:t>
      </w:r>
      <w:r w:rsidR="008170A4" w:rsidRPr="006E2281">
        <w:rPr>
          <w:color w:val="000000" w:themeColor="text1"/>
        </w:rPr>
        <w:t xml:space="preserve">]. In contrast, in 279 </w:t>
      </w:r>
      <w:r w:rsidR="00260F96">
        <w:rPr>
          <w:color w:val="000000" w:themeColor="text1"/>
        </w:rPr>
        <w:t xml:space="preserve">CD </w:t>
      </w:r>
      <w:r w:rsidR="008170A4" w:rsidRPr="006E2281">
        <w:rPr>
          <w:color w:val="000000" w:themeColor="text1"/>
        </w:rPr>
        <w:t xml:space="preserve">patients, there was no relationship between ASCA or </w:t>
      </w:r>
      <w:r w:rsidR="00C41596">
        <w:rPr>
          <w:color w:val="000000" w:themeColor="text1"/>
        </w:rPr>
        <w:t>atypical</w:t>
      </w:r>
      <w:r w:rsidR="00C41596" w:rsidRPr="006E2281">
        <w:rPr>
          <w:color w:val="000000" w:themeColor="text1"/>
        </w:rPr>
        <w:t xml:space="preserve"> </w:t>
      </w:r>
      <w:r w:rsidR="008F756B">
        <w:rPr>
          <w:color w:val="000000" w:themeColor="text1"/>
        </w:rPr>
        <w:t>P-ANCA</w:t>
      </w:r>
      <w:r w:rsidR="003B3846">
        <w:rPr>
          <w:color w:val="000000" w:themeColor="text1"/>
        </w:rPr>
        <w:t xml:space="preserve"> and response to infliximab</w:t>
      </w:r>
      <w:r w:rsidR="008170A4" w:rsidRPr="006E2281">
        <w:rPr>
          <w:color w:val="000000" w:themeColor="text1"/>
        </w:rPr>
        <w:t xml:space="preserve"> [</w:t>
      </w:r>
      <w:r w:rsidR="00C637DF">
        <w:rPr>
          <w:color w:val="000000" w:themeColor="text1"/>
        </w:rPr>
        <w:t>93</w:t>
      </w:r>
      <w:r w:rsidR="008170A4" w:rsidRPr="006E2281">
        <w:rPr>
          <w:color w:val="000000" w:themeColor="text1"/>
        </w:rPr>
        <w:t>].</w:t>
      </w:r>
    </w:p>
    <w:p w:rsidR="003B3846" w:rsidRPr="003B3846" w:rsidRDefault="003B3846" w:rsidP="003B3846">
      <w:pPr>
        <w:rPr>
          <w:color w:val="000000" w:themeColor="text1"/>
        </w:rPr>
      </w:pPr>
      <w:r>
        <w:rPr>
          <w:color w:val="000000" w:themeColor="text1"/>
        </w:rPr>
        <w:t>DNA-bound l</w:t>
      </w:r>
      <w:r w:rsidRPr="003B3846">
        <w:rPr>
          <w:color w:val="000000" w:themeColor="text1"/>
        </w:rPr>
        <w:t xml:space="preserve">actoferrin has </w:t>
      </w:r>
      <w:r>
        <w:rPr>
          <w:color w:val="000000" w:themeColor="text1"/>
        </w:rPr>
        <w:t>been</w:t>
      </w:r>
      <w:r w:rsidRPr="003B3846">
        <w:rPr>
          <w:color w:val="000000" w:themeColor="text1"/>
        </w:rPr>
        <w:t xml:space="preserve"> </w:t>
      </w:r>
      <w:r>
        <w:rPr>
          <w:color w:val="000000" w:themeColor="text1"/>
        </w:rPr>
        <w:t>shown</w:t>
      </w:r>
      <w:r w:rsidRPr="003B3846">
        <w:rPr>
          <w:color w:val="000000" w:themeColor="text1"/>
        </w:rPr>
        <w:t xml:space="preserve"> to be a </w:t>
      </w:r>
      <w:r>
        <w:rPr>
          <w:color w:val="000000" w:themeColor="text1"/>
        </w:rPr>
        <w:t xml:space="preserve">major </w:t>
      </w:r>
      <w:r w:rsidRPr="003B3846">
        <w:rPr>
          <w:color w:val="000000" w:themeColor="text1"/>
        </w:rPr>
        <w:t xml:space="preserve">target for </w:t>
      </w:r>
      <w:r>
        <w:rPr>
          <w:color w:val="000000" w:themeColor="text1"/>
        </w:rPr>
        <w:t>P-ANCA in UC patients [</w:t>
      </w:r>
      <w:r w:rsidR="00C637DF">
        <w:rPr>
          <w:color w:val="000000" w:themeColor="text1"/>
        </w:rPr>
        <w:t>94,95</w:t>
      </w:r>
      <w:r>
        <w:rPr>
          <w:color w:val="000000" w:themeColor="text1"/>
        </w:rPr>
        <w:t>].</w:t>
      </w:r>
    </w:p>
    <w:p w:rsidR="002E3AF8" w:rsidRPr="009F34EB" w:rsidRDefault="008170A4" w:rsidP="008170A4">
      <w:pPr>
        <w:rPr>
          <w:color w:val="000000" w:themeColor="text1"/>
          <w:szCs w:val="23"/>
        </w:rPr>
      </w:pPr>
      <w:r w:rsidRPr="006E2281">
        <w:rPr>
          <w:color w:val="000000" w:themeColor="text1"/>
        </w:rPr>
        <w:t xml:space="preserve">Recently, PR3-ANCA has emerged as a </w:t>
      </w:r>
      <w:r w:rsidR="00505A0E" w:rsidRPr="006E2281">
        <w:rPr>
          <w:color w:val="000000" w:themeColor="text1"/>
        </w:rPr>
        <w:t>potential biomarker for IBD. S</w:t>
      </w:r>
      <w:r w:rsidRPr="006E2281">
        <w:rPr>
          <w:color w:val="000000" w:themeColor="text1"/>
        </w:rPr>
        <w:t>erum PR3-ANCA, as detected by C</w:t>
      </w:r>
      <w:r w:rsidR="00C41596">
        <w:rPr>
          <w:color w:val="000000" w:themeColor="text1"/>
        </w:rPr>
        <w:t>LIA</w:t>
      </w:r>
      <w:r w:rsidRPr="006E2281">
        <w:rPr>
          <w:color w:val="000000" w:themeColor="text1"/>
        </w:rPr>
        <w:t>, were more prevalent in UC patients than in CD patients (29.2% vs. 2.7%; P &lt; 0.0001)</w:t>
      </w:r>
      <w:r w:rsidR="00260F96">
        <w:rPr>
          <w:color w:val="000000" w:themeColor="text1"/>
        </w:rPr>
        <w:t xml:space="preserve"> </w:t>
      </w:r>
      <w:r w:rsidR="00260F96" w:rsidRPr="006E2281">
        <w:rPr>
          <w:color w:val="000000" w:themeColor="text1"/>
        </w:rPr>
        <w:t>[</w:t>
      </w:r>
      <w:r w:rsidR="00C637DF">
        <w:rPr>
          <w:color w:val="000000" w:themeColor="text1"/>
        </w:rPr>
        <w:t>96</w:t>
      </w:r>
      <w:r w:rsidR="00260F96" w:rsidRPr="006E2281">
        <w:rPr>
          <w:color w:val="000000" w:themeColor="text1"/>
        </w:rPr>
        <w:t>]</w:t>
      </w:r>
      <w:r w:rsidRPr="006E2281">
        <w:rPr>
          <w:color w:val="000000" w:themeColor="text1"/>
        </w:rPr>
        <w:t xml:space="preserve">. However, no statistically relevant differences were found between PR3-ANCA-positive and PR3-ANCA-negative UC patients </w:t>
      </w:r>
      <w:r w:rsidR="009F34EB">
        <w:rPr>
          <w:color w:val="000000" w:themeColor="text1"/>
        </w:rPr>
        <w:t>with respect to</w:t>
      </w:r>
      <w:r w:rsidRPr="006E2281">
        <w:rPr>
          <w:color w:val="000000" w:themeColor="text1"/>
        </w:rPr>
        <w:t xml:space="preserve"> disease location and severi</w:t>
      </w:r>
      <w:r w:rsidR="009F34EB">
        <w:rPr>
          <w:color w:val="000000" w:themeColor="text1"/>
        </w:rPr>
        <w:t>ty, treatment, and complication</w:t>
      </w:r>
      <w:r w:rsidRPr="006E2281">
        <w:rPr>
          <w:color w:val="000000" w:themeColor="text1"/>
        </w:rPr>
        <w:t xml:space="preserve"> rate. In 283 UC patients and 208 CD patients</w:t>
      </w:r>
      <w:r w:rsidR="00260F96">
        <w:rPr>
          <w:color w:val="000000" w:themeColor="text1"/>
        </w:rPr>
        <w:t>,</w:t>
      </w:r>
      <w:r w:rsidRPr="006E2281">
        <w:rPr>
          <w:color w:val="000000" w:themeColor="text1"/>
        </w:rPr>
        <w:t xml:space="preserve"> </w:t>
      </w:r>
      <w:r w:rsidR="00260F96">
        <w:rPr>
          <w:color w:val="000000" w:themeColor="text1"/>
        </w:rPr>
        <w:t>both</w:t>
      </w:r>
      <w:r w:rsidRPr="006E2281">
        <w:rPr>
          <w:color w:val="000000" w:themeColor="text1"/>
        </w:rPr>
        <w:t xml:space="preserve"> PR3-ANCA</w:t>
      </w:r>
      <w:r w:rsidR="00260F96">
        <w:rPr>
          <w:color w:val="000000" w:themeColor="text1"/>
        </w:rPr>
        <w:t xml:space="preserve"> as tested</w:t>
      </w:r>
      <w:r w:rsidRPr="006E2281">
        <w:rPr>
          <w:color w:val="000000" w:themeColor="text1"/>
        </w:rPr>
        <w:t xml:space="preserve"> by C</w:t>
      </w:r>
      <w:r w:rsidR="00C41596">
        <w:rPr>
          <w:color w:val="000000" w:themeColor="text1"/>
        </w:rPr>
        <w:t>L</w:t>
      </w:r>
      <w:r w:rsidRPr="006E2281">
        <w:rPr>
          <w:color w:val="000000" w:themeColor="text1"/>
        </w:rPr>
        <w:t>IA and ELISA</w:t>
      </w:r>
      <w:r w:rsidR="00260F96" w:rsidRPr="00260F96">
        <w:rPr>
          <w:color w:val="000000" w:themeColor="text1"/>
        </w:rPr>
        <w:t xml:space="preserve"> </w:t>
      </w:r>
      <w:r w:rsidR="00260F96" w:rsidRPr="006E2281">
        <w:rPr>
          <w:color w:val="000000" w:themeColor="text1"/>
        </w:rPr>
        <w:t>accurately discriminated UC from CD</w:t>
      </w:r>
      <w:r w:rsidRPr="006E2281">
        <w:rPr>
          <w:color w:val="000000" w:themeColor="text1"/>
        </w:rPr>
        <w:t xml:space="preserve"> [</w:t>
      </w:r>
      <w:r w:rsidR="00C637DF">
        <w:rPr>
          <w:color w:val="000000" w:themeColor="text1"/>
        </w:rPr>
        <w:t>97</w:t>
      </w:r>
      <w:r w:rsidRPr="006E2281">
        <w:rPr>
          <w:color w:val="000000" w:themeColor="text1"/>
        </w:rPr>
        <w:t>]. Howe</w:t>
      </w:r>
      <w:r w:rsidR="00606A61" w:rsidRPr="006E2281">
        <w:rPr>
          <w:color w:val="000000" w:themeColor="text1"/>
        </w:rPr>
        <w:t>ver, C</w:t>
      </w:r>
      <w:r w:rsidR="00C41596">
        <w:rPr>
          <w:color w:val="000000" w:themeColor="text1"/>
        </w:rPr>
        <w:t>L</w:t>
      </w:r>
      <w:r w:rsidR="00606A61" w:rsidRPr="006E2281">
        <w:rPr>
          <w:color w:val="000000" w:themeColor="text1"/>
        </w:rPr>
        <w:t>IA was more sensitive than</w:t>
      </w:r>
      <w:r w:rsidRPr="006E2281">
        <w:rPr>
          <w:color w:val="000000" w:themeColor="text1"/>
        </w:rPr>
        <w:t xml:space="preserve"> ELISA. The presence of PR3-ANCA in UC  was associated with more extensive colitis and shorter disease duration. In 61 pediatric patients, </w:t>
      </w:r>
      <w:r w:rsidR="00F000F4" w:rsidRPr="006E2281">
        <w:rPr>
          <w:color w:val="000000" w:themeColor="text1"/>
        </w:rPr>
        <w:t>PR3-ANCA had the most balanced ratio of sensitivity and specificity for UC (58% and 93%, respectively)</w:t>
      </w:r>
      <w:r w:rsidRPr="006E2281">
        <w:rPr>
          <w:color w:val="000000" w:themeColor="text1"/>
        </w:rPr>
        <w:t xml:space="preserve"> [</w:t>
      </w:r>
      <w:r w:rsidR="00C637DF">
        <w:rPr>
          <w:color w:val="000000" w:themeColor="text1"/>
        </w:rPr>
        <w:t>98</w:t>
      </w:r>
      <w:r w:rsidRPr="006E2281">
        <w:rPr>
          <w:color w:val="000000" w:themeColor="text1"/>
        </w:rPr>
        <w:t xml:space="preserve">]. </w:t>
      </w:r>
      <w:r w:rsidR="00A11388" w:rsidRPr="006E2281">
        <w:rPr>
          <w:color w:val="000000" w:themeColor="text1"/>
        </w:rPr>
        <w:t>In adults</w:t>
      </w:r>
      <w:r w:rsidR="00F8340D" w:rsidRPr="006E2281">
        <w:rPr>
          <w:color w:val="000000" w:themeColor="text1"/>
        </w:rPr>
        <w:t>, t</w:t>
      </w:r>
      <w:r w:rsidRPr="006E2281">
        <w:rPr>
          <w:color w:val="000000" w:themeColor="text1"/>
        </w:rPr>
        <w:t xml:space="preserve">he addition of ASCA-negativity </w:t>
      </w:r>
      <w:r w:rsidR="00A11388" w:rsidRPr="006E2281">
        <w:rPr>
          <w:color w:val="000000" w:themeColor="text1"/>
        </w:rPr>
        <w:t>to PR3-ANCA by C</w:t>
      </w:r>
      <w:r w:rsidR="00C41596">
        <w:rPr>
          <w:color w:val="000000" w:themeColor="text1"/>
        </w:rPr>
        <w:t>L</w:t>
      </w:r>
      <w:r w:rsidR="00A11388" w:rsidRPr="006E2281">
        <w:rPr>
          <w:color w:val="000000" w:themeColor="text1"/>
        </w:rPr>
        <w:t>IA only marginally improve</w:t>
      </w:r>
      <w:r w:rsidR="00260F96">
        <w:rPr>
          <w:color w:val="000000" w:themeColor="text1"/>
        </w:rPr>
        <w:t>d</w:t>
      </w:r>
      <w:r w:rsidR="00A11388" w:rsidRPr="006E2281">
        <w:rPr>
          <w:color w:val="000000" w:themeColor="text1"/>
        </w:rPr>
        <w:t xml:space="preserve"> the </w:t>
      </w:r>
      <w:r w:rsidR="009F34EB">
        <w:rPr>
          <w:color w:val="000000" w:themeColor="text1"/>
        </w:rPr>
        <w:t>ability</w:t>
      </w:r>
      <w:r w:rsidR="00A11388" w:rsidRPr="006E2281">
        <w:rPr>
          <w:color w:val="000000" w:themeColor="text1"/>
        </w:rPr>
        <w:t xml:space="preserve"> to disti</w:t>
      </w:r>
      <w:r w:rsidRPr="006E2281">
        <w:rPr>
          <w:color w:val="000000" w:themeColor="text1"/>
        </w:rPr>
        <w:t>n</w:t>
      </w:r>
      <w:r w:rsidR="00A11388" w:rsidRPr="006E2281">
        <w:rPr>
          <w:color w:val="000000" w:themeColor="text1"/>
        </w:rPr>
        <w:t>guish UC from CD</w:t>
      </w:r>
      <w:r w:rsidRPr="006E2281">
        <w:rPr>
          <w:color w:val="000000" w:themeColor="text1"/>
        </w:rPr>
        <w:t xml:space="preserve"> [</w:t>
      </w:r>
      <w:r w:rsidR="00C637DF">
        <w:rPr>
          <w:color w:val="000000" w:themeColor="text1"/>
        </w:rPr>
        <w:t>99</w:t>
      </w:r>
      <w:r w:rsidRPr="006E2281">
        <w:rPr>
          <w:color w:val="000000" w:themeColor="text1"/>
        </w:rPr>
        <w:t>].</w:t>
      </w:r>
      <w:r w:rsidR="00606A61" w:rsidRPr="006E2281">
        <w:rPr>
          <w:color w:val="000000" w:themeColor="text1"/>
        </w:rPr>
        <w:t xml:space="preserve"> </w:t>
      </w:r>
      <w:r w:rsidR="00F000F4" w:rsidRPr="006E2281">
        <w:rPr>
          <w:color w:val="000000" w:themeColor="text1"/>
        </w:rPr>
        <w:t>In another study</w:t>
      </w:r>
      <w:r w:rsidR="00260F96">
        <w:rPr>
          <w:color w:val="000000" w:themeColor="text1"/>
        </w:rPr>
        <w:t xml:space="preserve"> using C</w:t>
      </w:r>
      <w:r w:rsidR="00C41596">
        <w:rPr>
          <w:color w:val="000000" w:themeColor="text1"/>
        </w:rPr>
        <w:t>L</w:t>
      </w:r>
      <w:r w:rsidR="00260F96">
        <w:rPr>
          <w:color w:val="000000" w:themeColor="text1"/>
        </w:rPr>
        <w:t>IA</w:t>
      </w:r>
      <w:r w:rsidR="00F000F4" w:rsidRPr="006E2281">
        <w:rPr>
          <w:color w:val="000000" w:themeColor="text1"/>
        </w:rPr>
        <w:t xml:space="preserve">, PR3-ANCA and MPO-ANCA were </w:t>
      </w:r>
      <w:r w:rsidR="00260F96">
        <w:rPr>
          <w:color w:val="000000" w:themeColor="text1"/>
        </w:rPr>
        <w:t>detected</w:t>
      </w:r>
      <w:r w:rsidR="000E42F2" w:rsidRPr="006E2281">
        <w:rPr>
          <w:color w:val="000000" w:themeColor="text1"/>
        </w:rPr>
        <w:t xml:space="preserve"> in</w:t>
      </w:r>
      <w:r w:rsidR="00505A0E" w:rsidRPr="006E2281">
        <w:rPr>
          <w:color w:val="000000" w:themeColor="text1"/>
        </w:rPr>
        <w:t xml:space="preserve"> </w:t>
      </w:r>
      <w:r w:rsidR="00F000F4" w:rsidRPr="006E2281">
        <w:rPr>
          <w:color w:val="000000" w:themeColor="text1"/>
        </w:rPr>
        <w:t>39.2% and 12.8% of 102 patients with UC,</w:t>
      </w:r>
      <w:r w:rsidRPr="006E2281">
        <w:rPr>
          <w:color w:val="000000" w:themeColor="text1"/>
        </w:rPr>
        <w:t xml:space="preserve"> </w:t>
      </w:r>
      <w:r w:rsidR="00260F96" w:rsidRPr="006E2281">
        <w:rPr>
          <w:color w:val="000000" w:themeColor="text1"/>
        </w:rPr>
        <w:t xml:space="preserve">respectively, </w:t>
      </w:r>
      <w:r w:rsidR="00F000F4" w:rsidRPr="006E2281">
        <w:rPr>
          <w:color w:val="000000" w:themeColor="text1"/>
        </w:rPr>
        <w:t>whereas the prevalence of PR3-ANCA in patients with CD, intestinal and healthy c</w:t>
      </w:r>
      <w:r w:rsidR="009F34EB">
        <w:rPr>
          <w:color w:val="000000" w:themeColor="text1"/>
        </w:rPr>
        <w:t>ontrols was very low (1.5-6.0%), a</w:t>
      </w:r>
      <w:r w:rsidR="000342D9">
        <w:rPr>
          <w:color w:val="000000" w:themeColor="text1"/>
        </w:rPr>
        <w:t>nd</w:t>
      </w:r>
      <w:r w:rsidR="009F34EB">
        <w:rPr>
          <w:color w:val="000000" w:themeColor="text1"/>
        </w:rPr>
        <w:t xml:space="preserve"> no patients or</w:t>
      </w:r>
      <w:r w:rsidR="000E42F2" w:rsidRPr="006E2281">
        <w:rPr>
          <w:color w:val="000000" w:themeColor="text1"/>
        </w:rPr>
        <w:t xml:space="preserve"> controls </w:t>
      </w:r>
      <w:r w:rsidR="000342D9">
        <w:rPr>
          <w:color w:val="000000" w:themeColor="text1"/>
        </w:rPr>
        <w:t>were</w:t>
      </w:r>
      <w:r w:rsidR="00F000F4" w:rsidRPr="006E2281">
        <w:rPr>
          <w:color w:val="000000" w:themeColor="text1"/>
        </w:rPr>
        <w:t xml:space="preserve"> positive for MPO-ANCA </w:t>
      </w:r>
      <w:r w:rsidR="00223616">
        <w:rPr>
          <w:color w:val="000000" w:themeColor="text1"/>
        </w:rPr>
        <w:t>[</w:t>
      </w:r>
      <w:r w:rsidR="00C637DF">
        <w:rPr>
          <w:color w:val="000000" w:themeColor="text1"/>
        </w:rPr>
        <w:t>100</w:t>
      </w:r>
      <w:r w:rsidRPr="006E2281">
        <w:rPr>
          <w:color w:val="000000" w:themeColor="text1"/>
        </w:rPr>
        <w:t xml:space="preserve">]. The presence of PR3-ANCA </w:t>
      </w:r>
      <w:r w:rsidRPr="006E2281">
        <w:rPr>
          <w:color w:val="000000" w:themeColor="text1"/>
          <w:sz w:val="23"/>
          <w:szCs w:val="23"/>
        </w:rPr>
        <w:t>had a sensitivity of 39.2% and specificity of 96.1% for UC</w:t>
      </w:r>
      <w:r w:rsidR="009F34EB">
        <w:rPr>
          <w:color w:val="000000" w:themeColor="text1"/>
          <w:sz w:val="23"/>
          <w:szCs w:val="23"/>
        </w:rPr>
        <w:t xml:space="preserve"> in this study</w:t>
      </w:r>
      <w:r w:rsidRPr="006E2281">
        <w:rPr>
          <w:color w:val="000000" w:themeColor="text1"/>
          <w:sz w:val="23"/>
          <w:szCs w:val="23"/>
        </w:rPr>
        <w:t>.</w:t>
      </w:r>
      <w:r w:rsidR="00A11388" w:rsidRPr="006E2281">
        <w:rPr>
          <w:color w:val="000000" w:themeColor="text1"/>
          <w:sz w:val="23"/>
          <w:szCs w:val="23"/>
        </w:rPr>
        <w:t xml:space="preserve"> </w:t>
      </w:r>
      <w:r w:rsidR="00260F96" w:rsidRPr="009F34EB">
        <w:rPr>
          <w:color w:val="000000" w:themeColor="text1"/>
          <w:szCs w:val="23"/>
        </w:rPr>
        <w:t>On balance, distinguishing UC from CD based on PR3-ANCA</w:t>
      </w:r>
      <w:r w:rsidR="00C41596" w:rsidRPr="009F34EB">
        <w:rPr>
          <w:color w:val="000000" w:themeColor="text1"/>
          <w:szCs w:val="23"/>
        </w:rPr>
        <w:t xml:space="preserve">, as is the case for diagnosing PSC, </w:t>
      </w:r>
      <w:r w:rsidR="00260F96" w:rsidRPr="009F34EB">
        <w:rPr>
          <w:color w:val="000000" w:themeColor="text1"/>
          <w:szCs w:val="23"/>
        </w:rPr>
        <w:t xml:space="preserve"> is assay-dependent because C</w:t>
      </w:r>
      <w:r w:rsidR="00C41596" w:rsidRPr="009F34EB">
        <w:rPr>
          <w:color w:val="000000" w:themeColor="text1"/>
          <w:szCs w:val="23"/>
        </w:rPr>
        <w:t>L</w:t>
      </w:r>
      <w:r w:rsidR="00260F96" w:rsidRPr="009F34EB">
        <w:rPr>
          <w:color w:val="000000" w:themeColor="text1"/>
          <w:szCs w:val="23"/>
        </w:rPr>
        <w:t>IA but to a lesser extent fluoroenzyme or multiplexed bead assays provide this distinction [</w:t>
      </w:r>
      <w:r w:rsidR="00C637DF">
        <w:rPr>
          <w:color w:val="000000" w:themeColor="text1"/>
          <w:szCs w:val="23"/>
        </w:rPr>
        <w:t>101</w:t>
      </w:r>
      <w:r w:rsidR="00260F96" w:rsidRPr="009F34EB">
        <w:rPr>
          <w:color w:val="000000" w:themeColor="text1"/>
          <w:szCs w:val="23"/>
        </w:rPr>
        <w:t>]</w:t>
      </w:r>
      <w:r w:rsidR="00C41596" w:rsidRPr="009F34EB">
        <w:rPr>
          <w:color w:val="000000" w:themeColor="text1"/>
          <w:szCs w:val="23"/>
        </w:rPr>
        <w:t>.</w:t>
      </w:r>
      <w:r w:rsidR="00A11388" w:rsidRPr="009F34EB">
        <w:rPr>
          <w:color w:val="000000" w:themeColor="text1"/>
          <w:szCs w:val="23"/>
        </w:rPr>
        <w:t xml:space="preserve"> </w:t>
      </w:r>
      <w:r w:rsidR="00260F96" w:rsidRPr="009F34EB">
        <w:rPr>
          <w:color w:val="000000" w:themeColor="text1"/>
          <w:szCs w:val="23"/>
        </w:rPr>
        <w:t>Further, t</w:t>
      </w:r>
      <w:r w:rsidR="00D356EA" w:rsidRPr="009F34EB">
        <w:rPr>
          <w:color w:val="000000" w:themeColor="text1"/>
          <w:szCs w:val="23"/>
        </w:rPr>
        <w:t xml:space="preserve">he </w:t>
      </w:r>
      <w:r w:rsidR="00C41596" w:rsidRPr="009F34EB">
        <w:rPr>
          <w:color w:val="000000" w:themeColor="text1"/>
          <w:szCs w:val="23"/>
        </w:rPr>
        <w:t>levels</w:t>
      </w:r>
      <w:r w:rsidR="00D356EA" w:rsidRPr="009F34EB">
        <w:rPr>
          <w:color w:val="000000" w:themeColor="text1"/>
          <w:szCs w:val="23"/>
        </w:rPr>
        <w:t xml:space="preserve"> of PR3-ANCA </w:t>
      </w:r>
      <w:r w:rsidR="00055D1E" w:rsidRPr="009F34EB">
        <w:rPr>
          <w:color w:val="000000" w:themeColor="text1"/>
          <w:szCs w:val="23"/>
        </w:rPr>
        <w:t xml:space="preserve">in UC </w:t>
      </w:r>
      <w:r w:rsidR="00D356EA" w:rsidRPr="009F34EB">
        <w:rPr>
          <w:color w:val="000000" w:themeColor="text1"/>
          <w:szCs w:val="23"/>
        </w:rPr>
        <w:t>by C</w:t>
      </w:r>
      <w:r w:rsidR="00C41596" w:rsidRPr="009F34EB">
        <w:rPr>
          <w:color w:val="000000" w:themeColor="text1"/>
          <w:szCs w:val="23"/>
        </w:rPr>
        <w:t>LIA are</w:t>
      </w:r>
      <w:r w:rsidR="00D356EA" w:rsidRPr="009F34EB">
        <w:rPr>
          <w:color w:val="000000" w:themeColor="text1"/>
          <w:szCs w:val="23"/>
        </w:rPr>
        <w:t xml:space="preserve"> lower than t</w:t>
      </w:r>
      <w:r w:rsidR="00C41596" w:rsidRPr="009F34EB">
        <w:rPr>
          <w:color w:val="000000" w:themeColor="text1"/>
          <w:szCs w:val="23"/>
        </w:rPr>
        <w:t>he levels</w:t>
      </w:r>
      <w:r w:rsidR="002E3AF8" w:rsidRPr="009F34EB">
        <w:rPr>
          <w:color w:val="000000" w:themeColor="text1"/>
          <w:szCs w:val="23"/>
        </w:rPr>
        <w:t xml:space="preserve"> in AAV [</w:t>
      </w:r>
      <w:r w:rsidR="00C637DF">
        <w:rPr>
          <w:color w:val="000000" w:themeColor="text1"/>
          <w:szCs w:val="23"/>
        </w:rPr>
        <w:t>101</w:t>
      </w:r>
      <w:r w:rsidR="002E3AF8" w:rsidRPr="009F34EB">
        <w:rPr>
          <w:color w:val="000000" w:themeColor="text1"/>
          <w:szCs w:val="23"/>
        </w:rPr>
        <w:t xml:space="preserve">]. </w:t>
      </w:r>
    </w:p>
    <w:p w:rsidR="00B529D1" w:rsidRPr="006E2281" w:rsidRDefault="002E3AF8" w:rsidP="008170A4">
      <w:pPr>
        <w:rPr>
          <w:color w:val="000000" w:themeColor="text1"/>
          <w:sz w:val="23"/>
          <w:szCs w:val="23"/>
        </w:rPr>
      </w:pPr>
      <w:r w:rsidRPr="006E2281">
        <w:rPr>
          <w:color w:val="000000" w:themeColor="text1"/>
          <w:sz w:val="23"/>
          <w:szCs w:val="23"/>
        </w:rPr>
        <w:t>Like IBD, celiac disease is characterized by chronic diarrhea and</w:t>
      </w:r>
      <w:r w:rsidR="008F756B">
        <w:rPr>
          <w:color w:val="000000" w:themeColor="text1"/>
          <w:sz w:val="23"/>
          <w:szCs w:val="23"/>
        </w:rPr>
        <w:t xml:space="preserve"> the presence of distinct auto</w:t>
      </w:r>
      <w:r w:rsidRPr="006E2281">
        <w:rPr>
          <w:color w:val="000000" w:themeColor="text1"/>
          <w:sz w:val="23"/>
          <w:szCs w:val="23"/>
        </w:rPr>
        <w:t>antibodies</w:t>
      </w:r>
      <w:r w:rsidR="00260F96">
        <w:rPr>
          <w:color w:val="000000" w:themeColor="text1"/>
          <w:sz w:val="23"/>
          <w:szCs w:val="23"/>
        </w:rPr>
        <w:t xml:space="preserve"> directed to tissue transglutaminase, deimidated gliadin and other antigens</w:t>
      </w:r>
      <w:r w:rsidRPr="006E2281">
        <w:rPr>
          <w:color w:val="000000" w:themeColor="text1"/>
          <w:sz w:val="23"/>
          <w:szCs w:val="23"/>
        </w:rPr>
        <w:t xml:space="preserve">. </w:t>
      </w:r>
      <w:r w:rsidRPr="006E2281">
        <w:rPr>
          <w:color w:val="000000" w:themeColor="text1"/>
        </w:rPr>
        <w:t xml:space="preserve">Damoiseaux et al showed high prevalence of </w:t>
      </w:r>
      <w:r w:rsidR="00C41596">
        <w:rPr>
          <w:color w:val="000000" w:themeColor="text1"/>
        </w:rPr>
        <w:t xml:space="preserve">atypical </w:t>
      </w:r>
      <w:r w:rsidR="008F756B">
        <w:rPr>
          <w:color w:val="000000" w:themeColor="text1"/>
          <w:sz w:val="23"/>
          <w:szCs w:val="23"/>
        </w:rPr>
        <w:t>P-ANCA</w:t>
      </w:r>
      <w:r w:rsidRPr="006E2281">
        <w:rPr>
          <w:color w:val="000000" w:themeColor="text1"/>
          <w:sz w:val="23"/>
          <w:szCs w:val="23"/>
        </w:rPr>
        <w:t xml:space="preserve"> and ASCA in 37 patients with celiac disease (22% and 43%, respectively) [</w:t>
      </w:r>
      <w:r w:rsidR="00C637DF">
        <w:rPr>
          <w:color w:val="000000" w:themeColor="text1"/>
        </w:rPr>
        <w:t>102</w:t>
      </w:r>
      <w:r w:rsidRPr="006E2281">
        <w:rPr>
          <w:color w:val="000000" w:themeColor="text1"/>
        </w:rPr>
        <w:t>].</w:t>
      </w:r>
      <w:r w:rsidRPr="006E2281">
        <w:rPr>
          <w:color w:val="000000" w:themeColor="text1"/>
          <w:sz w:val="23"/>
          <w:szCs w:val="23"/>
        </w:rPr>
        <w:t xml:space="preserve"> Therefore, the presence of </w:t>
      </w:r>
      <w:r w:rsidR="00C41596">
        <w:rPr>
          <w:color w:val="000000" w:themeColor="text1"/>
          <w:sz w:val="23"/>
          <w:szCs w:val="23"/>
        </w:rPr>
        <w:t xml:space="preserve">atypical </w:t>
      </w:r>
      <w:r w:rsidR="008F756B">
        <w:rPr>
          <w:color w:val="000000" w:themeColor="text1"/>
          <w:sz w:val="23"/>
          <w:szCs w:val="23"/>
        </w:rPr>
        <w:t>P-ANCA</w:t>
      </w:r>
      <w:r w:rsidRPr="006E2281">
        <w:rPr>
          <w:color w:val="000000" w:themeColor="text1"/>
          <w:sz w:val="23"/>
          <w:szCs w:val="23"/>
        </w:rPr>
        <w:t xml:space="preserve"> or ASCA in the serum of patients with chronic diarrhea does not exclude </w:t>
      </w:r>
      <w:r w:rsidR="00260F96">
        <w:rPr>
          <w:color w:val="000000" w:themeColor="text1"/>
          <w:sz w:val="23"/>
          <w:szCs w:val="23"/>
        </w:rPr>
        <w:t xml:space="preserve">the diagnosis of </w:t>
      </w:r>
      <w:r w:rsidRPr="006E2281">
        <w:rPr>
          <w:color w:val="000000" w:themeColor="text1"/>
          <w:sz w:val="23"/>
          <w:szCs w:val="23"/>
        </w:rPr>
        <w:t xml:space="preserve">celiac disease. </w:t>
      </w:r>
    </w:p>
    <w:p w:rsidR="0052050D" w:rsidRPr="006E2281" w:rsidRDefault="008170A4" w:rsidP="008170A4">
      <w:pPr>
        <w:rPr>
          <w:color w:val="000000" w:themeColor="text1"/>
        </w:rPr>
      </w:pPr>
      <w:r w:rsidRPr="006E2281">
        <w:rPr>
          <w:color w:val="000000" w:themeColor="text1"/>
        </w:rPr>
        <w:lastRenderedPageBreak/>
        <w:t xml:space="preserve">In summary, atypical </w:t>
      </w:r>
      <w:r w:rsidR="008F756B">
        <w:rPr>
          <w:color w:val="000000" w:themeColor="text1"/>
        </w:rPr>
        <w:t>P-ANCA</w:t>
      </w:r>
      <w:r w:rsidRPr="006E2281">
        <w:rPr>
          <w:color w:val="000000" w:themeColor="text1"/>
        </w:rPr>
        <w:t xml:space="preserve"> can b</w:t>
      </w:r>
      <w:r w:rsidR="00B9002B" w:rsidRPr="006E2281">
        <w:rPr>
          <w:color w:val="000000" w:themeColor="text1"/>
        </w:rPr>
        <w:t>e</w:t>
      </w:r>
      <w:r w:rsidRPr="006E2281">
        <w:rPr>
          <w:color w:val="000000" w:themeColor="text1"/>
        </w:rPr>
        <w:t xml:space="preserve"> detected by IIF in up to 40-70% patients with UC, whereas </w:t>
      </w:r>
      <w:r w:rsidR="00B9002B" w:rsidRPr="006E2281">
        <w:rPr>
          <w:color w:val="000000" w:themeColor="text1"/>
        </w:rPr>
        <w:t xml:space="preserve">ASCA is found in </w:t>
      </w:r>
      <w:r w:rsidRPr="006E2281">
        <w:rPr>
          <w:color w:val="000000" w:themeColor="text1"/>
        </w:rPr>
        <w:t>CD patients.</w:t>
      </w:r>
      <w:r w:rsidR="00981373" w:rsidRPr="006E2281">
        <w:rPr>
          <w:color w:val="000000" w:themeColor="text1"/>
        </w:rPr>
        <w:t xml:space="preserve"> D</w:t>
      </w:r>
      <w:r w:rsidRPr="006E2281">
        <w:rPr>
          <w:color w:val="000000" w:themeColor="text1"/>
        </w:rPr>
        <w:t>etermination of these antibodies may aid in discriminating UC from CD in case</w:t>
      </w:r>
      <w:r w:rsidR="00E7559A">
        <w:rPr>
          <w:color w:val="000000" w:themeColor="text1"/>
        </w:rPr>
        <w:t>s</w:t>
      </w:r>
      <w:r w:rsidRPr="006E2281">
        <w:rPr>
          <w:color w:val="000000" w:themeColor="text1"/>
        </w:rPr>
        <w:t xml:space="preserve"> of diagnostic uncertainty. Accumulating evidence suggests that PR3-ANCA, as detected by C</w:t>
      </w:r>
      <w:r w:rsidR="00C41596">
        <w:rPr>
          <w:color w:val="000000" w:themeColor="text1"/>
        </w:rPr>
        <w:t>L</w:t>
      </w:r>
      <w:r w:rsidRPr="006E2281">
        <w:rPr>
          <w:color w:val="000000" w:themeColor="text1"/>
        </w:rPr>
        <w:t>IA</w:t>
      </w:r>
      <w:r w:rsidR="00C34665">
        <w:rPr>
          <w:color w:val="000000" w:themeColor="text1"/>
        </w:rPr>
        <w:t xml:space="preserve"> but not other commonly used PR3-ANCA detection methods</w:t>
      </w:r>
      <w:r w:rsidRPr="006E2281">
        <w:rPr>
          <w:color w:val="000000" w:themeColor="text1"/>
        </w:rPr>
        <w:t>, may be a sensitive and specific biomarker for UC</w:t>
      </w:r>
      <w:r w:rsidR="00C34665">
        <w:rPr>
          <w:color w:val="000000" w:themeColor="text1"/>
        </w:rPr>
        <w:t xml:space="preserve"> compared with CD</w:t>
      </w:r>
      <w:r w:rsidRPr="006E2281">
        <w:rPr>
          <w:color w:val="000000" w:themeColor="text1"/>
        </w:rPr>
        <w:t xml:space="preserve">. The existing data indicating an association between </w:t>
      </w:r>
      <w:r w:rsidR="00C41596">
        <w:rPr>
          <w:color w:val="000000" w:themeColor="text1"/>
        </w:rPr>
        <w:t xml:space="preserve">atypical </w:t>
      </w:r>
      <w:r w:rsidR="008F756B">
        <w:rPr>
          <w:color w:val="000000" w:themeColor="text1"/>
        </w:rPr>
        <w:t>P-ANCA</w:t>
      </w:r>
      <w:r w:rsidRPr="006E2281">
        <w:rPr>
          <w:color w:val="000000" w:themeColor="text1"/>
        </w:rPr>
        <w:t xml:space="preserve"> positivity o</w:t>
      </w:r>
      <w:r w:rsidR="00C271FD" w:rsidRPr="006E2281">
        <w:rPr>
          <w:color w:val="000000" w:themeColor="text1"/>
        </w:rPr>
        <w:t>r</w:t>
      </w:r>
      <w:r w:rsidRPr="006E2281">
        <w:rPr>
          <w:color w:val="000000" w:themeColor="text1"/>
        </w:rPr>
        <w:t xml:space="preserve"> PR3-ANCA posit</w:t>
      </w:r>
      <w:r w:rsidR="00C41596">
        <w:rPr>
          <w:color w:val="000000" w:themeColor="text1"/>
        </w:rPr>
        <w:t>i</w:t>
      </w:r>
      <w:r w:rsidRPr="006E2281">
        <w:rPr>
          <w:color w:val="000000" w:themeColor="text1"/>
        </w:rPr>
        <w:t>vity and more e</w:t>
      </w:r>
      <w:r w:rsidR="009F34EB">
        <w:rPr>
          <w:color w:val="000000" w:themeColor="text1"/>
        </w:rPr>
        <w:t>xtensive or relapsing disease are</w:t>
      </w:r>
      <w:r w:rsidRPr="006E2281">
        <w:rPr>
          <w:color w:val="000000" w:themeColor="text1"/>
        </w:rPr>
        <w:t xml:space="preserve"> inconclusive. </w:t>
      </w:r>
    </w:p>
    <w:p w:rsidR="000E42F2" w:rsidRPr="006E2281" w:rsidRDefault="000E42F2" w:rsidP="00E44C24">
      <w:pPr>
        <w:rPr>
          <w:b/>
          <w:color w:val="000000" w:themeColor="text1"/>
        </w:rPr>
      </w:pPr>
    </w:p>
    <w:p w:rsidR="00E44C24" w:rsidRPr="006E2281" w:rsidRDefault="00E44C24" w:rsidP="00E44C24">
      <w:pPr>
        <w:rPr>
          <w:b/>
          <w:color w:val="000000" w:themeColor="text1"/>
        </w:rPr>
      </w:pPr>
      <w:r w:rsidRPr="006E2281">
        <w:rPr>
          <w:b/>
          <w:color w:val="000000" w:themeColor="text1"/>
        </w:rPr>
        <w:t>Anti</w:t>
      </w:r>
      <w:r w:rsidR="009F34EB">
        <w:rPr>
          <w:b/>
          <w:color w:val="000000" w:themeColor="text1"/>
        </w:rPr>
        <w:t>-</w:t>
      </w:r>
      <w:r w:rsidRPr="006E2281">
        <w:rPr>
          <w:b/>
          <w:color w:val="000000" w:themeColor="text1"/>
        </w:rPr>
        <w:t>glomerular basement membrane disease</w:t>
      </w:r>
    </w:p>
    <w:p w:rsidR="00E44C24" w:rsidRPr="006E2281" w:rsidRDefault="00E44C24" w:rsidP="00E44C24">
      <w:pPr>
        <w:rPr>
          <w:color w:val="000000" w:themeColor="text1"/>
        </w:rPr>
      </w:pPr>
      <w:r w:rsidRPr="006E2281">
        <w:rPr>
          <w:color w:val="000000" w:themeColor="text1"/>
        </w:rPr>
        <w:t>Anti</w:t>
      </w:r>
      <w:r w:rsidR="009F34EB">
        <w:rPr>
          <w:color w:val="000000" w:themeColor="text1"/>
        </w:rPr>
        <w:t>-</w:t>
      </w:r>
      <w:r w:rsidRPr="006E2281">
        <w:rPr>
          <w:color w:val="000000" w:themeColor="text1"/>
        </w:rPr>
        <w:t>glomerular basement membrane (anti-GBM)</w:t>
      </w:r>
      <w:r w:rsidR="009F34EB">
        <w:rPr>
          <w:color w:val="000000" w:themeColor="text1"/>
        </w:rPr>
        <w:t>,</w:t>
      </w:r>
      <w:r w:rsidRPr="006E2281">
        <w:rPr>
          <w:color w:val="000000" w:themeColor="text1"/>
        </w:rPr>
        <w:t xml:space="preserve"> or Goodpasture's </w:t>
      </w:r>
      <w:r w:rsidR="009F34EB">
        <w:rPr>
          <w:color w:val="000000" w:themeColor="text1"/>
        </w:rPr>
        <w:t>disease,</w:t>
      </w:r>
      <w:r w:rsidRPr="006E2281">
        <w:rPr>
          <w:color w:val="000000" w:themeColor="text1"/>
        </w:rPr>
        <w:t xml:space="preserve"> is a rare systemic vasculitis characterized by the development of autoantibodies to type IV collagen antigens expressed in the glomerular and alveolar basement membrane</w:t>
      </w:r>
      <w:r w:rsidR="00E06D05" w:rsidRPr="006E2281">
        <w:rPr>
          <w:color w:val="000000" w:themeColor="text1"/>
        </w:rPr>
        <w:t>s [</w:t>
      </w:r>
      <w:r w:rsidR="00A760C9">
        <w:rPr>
          <w:color w:val="000000" w:themeColor="text1"/>
        </w:rPr>
        <w:t>103</w:t>
      </w:r>
      <w:r w:rsidRPr="006E2281">
        <w:rPr>
          <w:color w:val="000000" w:themeColor="text1"/>
        </w:rPr>
        <w:t xml:space="preserve">]. </w:t>
      </w:r>
      <w:r w:rsidR="00AF26B6">
        <w:rPr>
          <w:color w:val="000000" w:themeColor="text1"/>
        </w:rPr>
        <w:t>Approximately 50% of</w:t>
      </w:r>
      <w:r w:rsidRPr="006E2281">
        <w:rPr>
          <w:color w:val="000000" w:themeColor="text1"/>
        </w:rPr>
        <w:t xml:space="preserve"> patients develop </w:t>
      </w:r>
      <w:r w:rsidR="00C271FD" w:rsidRPr="006E2281">
        <w:rPr>
          <w:color w:val="000000" w:themeColor="text1"/>
        </w:rPr>
        <w:t>RP</w:t>
      </w:r>
      <w:r w:rsidR="00C41596">
        <w:rPr>
          <w:color w:val="000000" w:themeColor="text1"/>
        </w:rPr>
        <w:t>GN</w:t>
      </w:r>
      <w:r w:rsidRPr="006E2281">
        <w:rPr>
          <w:color w:val="000000" w:themeColor="text1"/>
        </w:rPr>
        <w:t xml:space="preserve"> with concurrent alveolar hemorrhage. Several</w:t>
      </w:r>
      <w:r w:rsidR="006070AE">
        <w:rPr>
          <w:color w:val="000000" w:themeColor="text1"/>
        </w:rPr>
        <w:t xml:space="preserve"> studies showed that up to 5-9</w:t>
      </w:r>
      <w:r w:rsidRPr="006E2281">
        <w:rPr>
          <w:color w:val="000000" w:themeColor="text1"/>
        </w:rPr>
        <w:t>% of ANCA positive</w:t>
      </w:r>
      <w:r w:rsidR="00C41596">
        <w:rPr>
          <w:color w:val="000000" w:themeColor="text1"/>
        </w:rPr>
        <w:t xml:space="preserve"> AAV</w:t>
      </w:r>
      <w:r w:rsidRPr="006E2281">
        <w:rPr>
          <w:color w:val="000000" w:themeColor="text1"/>
        </w:rPr>
        <w:t xml:space="preserve"> patients had detectable </w:t>
      </w:r>
      <w:r w:rsidR="00260F96">
        <w:rPr>
          <w:color w:val="000000" w:themeColor="text1"/>
        </w:rPr>
        <w:t>circulating</w:t>
      </w:r>
      <w:r w:rsidR="00C41596">
        <w:rPr>
          <w:color w:val="000000" w:themeColor="text1"/>
        </w:rPr>
        <w:t xml:space="preserve"> </w:t>
      </w:r>
      <w:r w:rsidRPr="006E2281">
        <w:rPr>
          <w:color w:val="000000" w:themeColor="text1"/>
        </w:rPr>
        <w:t xml:space="preserve">anti-GBM antibodies </w:t>
      </w:r>
      <w:r w:rsidR="00B670D2" w:rsidRPr="006E2281">
        <w:rPr>
          <w:color w:val="000000" w:themeColor="text1"/>
        </w:rPr>
        <w:t>[</w:t>
      </w:r>
      <w:r w:rsidR="00A760C9">
        <w:rPr>
          <w:color w:val="000000" w:themeColor="text1"/>
        </w:rPr>
        <w:t>104-106</w:t>
      </w:r>
      <w:r w:rsidRPr="006E2281">
        <w:rPr>
          <w:color w:val="000000" w:themeColor="text1"/>
        </w:rPr>
        <w:t xml:space="preserve">]. </w:t>
      </w:r>
      <w:r w:rsidR="009F34EB">
        <w:rPr>
          <w:color w:val="000000" w:themeColor="text1"/>
        </w:rPr>
        <w:t>On the other hand,</w:t>
      </w:r>
      <w:r w:rsidRPr="006E2281">
        <w:rPr>
          <w:color w:val="000000" w:themeColor="text1"/>
        </w:rPr>
        <w:t xml:space="preserve"> 13 to 47% of patients with anti-GBM disease had ANCA [reviewed in </w:t>
      </w:r>
      <w:r w:rsidR="00A760C9">
        <w:rPr>
          <w:color w:val="000000" w:themeColor="text1"/>
        </w:rPr>
        <w:t>103</w:t>
      </w:r>
      <w:r w:rsidRPr="006E2281">
        <w:rPr>
          <w:color w:val="000000" w:themeColor="text1"/>
        </w:rPr>
        <w:t>], mostly MPO-ANCA (61-90% of do</w:t>
      </w:r>
      <w:r w:rsidR="00B670D2" w:rsidRPr="006E2281">
        <w:rPr>
          <w:color w:val="000000" w:themeColor="text1"/>
        </w:rPr>
        <w:t>uble positive cases) [</w:t>
      </w:r>
      <w:r w:rsidR="00A760C9">
        <w:rPr>
          <w:color w:val="000000" w:themeColor="text1"/>
        </w:rPr>
        <w:t>107-112</w:t>
      </w:r>
      <w:r w:rsidRPr="006E2281">
        <w:rPr>
          <w:color w:val="000000" w:themeColor="text1"/>
        </w:rPr>
        <w:t>].</w:t>
      </w:r>
    </w:p>
    <w:p w:rsidR="00E44C24" w:rsidRPr="006E2281" w:rsidRDefault="00F000F4" w:rsidP="00E44C24">
      <w:pPr>
        <w:rPr>
          <w:color w:val="000000" w:themeColor="text1"/>
        </w:rPr>
      </w:pPr>
      <w:r w:rsidRPr="006E2281">
        <w:rPr>
          <w:color w:val="000000" w:themeColor="text1"/>
        </w:rPr>
        <w:t>L</w:t>
      </w:r>
      <w:r w:rsidR="00E44C24" w:rsidRPr="006E2281">
        <w:rPr>
          <w:color w:val="000000" w:themeColor="text1"/>
        </w:rPr>
        <w:t xml:space="preserve">ow level </w:t>
      </w:r>
      <w:r w:rsidR="008F756B">
        <w:rPr>
          <w:color w:val="000000" w:themeColor="text1"/>
        </w:rPr>
        <w:t>ANCA</w:t>
      </w:r>
      <w:r w:rsidR="00E44C24" w:rsidRPr="006E2281">
        <w:rPr>
          <w:color w:val="000000" w:themeColor="text1"/>
        </w:rPr>
        <w:t xml:space="preserve"> develop years to decades before </w:t>
      </w:r>
      <w:r w:rsidR="009F34EB">
        <w:rPr>
          <w:color w:val="000000" w:themeColor="text1"/>
        </w:rPr>
        <w:t xml:space="preserve">the </w:t>
      </w:r>
      <w:r w:rsidR="00E44C24" w:rsidRPr="006E2281">
        <w:rPr>
          <w:color w:val="000000" w:themeColor="text1"/>
        </w:rPr>
        <w:t xml:space="preserve">diagnosis of anti-GBM disease, followed later by the onset of low level anti-GBM antibodies persisting for years before an acute </w:t>
      </w:r>
      <w:r w:rsidR="00260F96">
        <w:rPr>
          <w:color w:val="000000" w:themeColor="text1"/>
        </w:rPr>
        <w:t>increase</w:t>
      </w:r>
      <w:r w:rsidR="00E44C24" w:rsidRPr="006E2281">
        <w:rPr>
          <w:color w:val="000000" w:themeColor="text1"/>
        </w:rPr>
        <w:t xml:space="preserve"> </w:t>
      </w:r>
      <w:r w:rsidR="009F34EB">
        <w:rPr>
          <w:color w:val="000000" w:themeColor="text1"/>
        </w:rPr>
        <w:t xml:space="preserve">in the </w:t>
      </w:r>
      <w:r w:rsidR="00E44C24" w:rsidRPr="006E2281">
        <w:rPr>
          <w:color w:val="000000" w:themeColor="text1"/>
        </w:rPr>
        <w:t>weeks to months prior to the onset of clinical disease [</w:t>
      </w:r>
      <w:r w:rsidR="00A760C9">
        <w:rPr>
          <w:color w:val="000000" w:themeColor="text1"/>
        </w:rPr>
        <w:t>113</w:t>
      </w:r>
      <w:r w:rsidR="00E44C24" w:rsidRPr="006E2281">
        <w:rPr>
          <w:color w:val="000000" w:themeColor="text1"/>
        </w:rPr>
        <w:t>]. These findings indicate that ANCA</w:t>
      </w:r>
      <w:r w:rsidR="0040691F">
        <w:rPr>
          <w:color w:val="000000" w:themeColor="text1"/>
        </w:rPr>
        <w:t xml:space="preserve"> or their target antigens</w:t>
      </w:r>
      <w:r w:rsidR="00E44C24" w:rsidRPr="006E2281">
        <w:rPr>
          <w:color w:val="000000" w:themeColor="text1"/>
        </w:rPr>
        <w:t xml:space="preserve"> may play a caus</w:t>
      </w:r>
      <w:r w:rsidR="00D2300A" w:rsidRPr="006E2281">
        <w:rPr>
          <w:color w:val="000000" w:themeColor="text1"/>
        </w:rPr>
        <w:t>at</w:t>
      </w:r>
      <w:r w:rsidR="00E44C24" w:rsidRPr="006E2281">
        <w:rPr>
          <w:color w:val="000000" w:themeColor="text1"/>
        </w:rPr>
        <w:t xml:space="preserve">ive role in the pathophysiology of anti-GBM disease, </w:t>
      </w:r>
      <w:r w:rsidR="003B3846">
        <w:rPr>
          <w:color w:val="000000" w:themeColor="text1"/>
        </w:rPr>
        <w:t>maybe</w:t>
      </w:r>
      <w:r w:rsidR="00E44C24" w:rsidRPr="006E2281">
        <w:rPr>
          <w:color w:val="000000" w:themeColor="text1"/>
        </w:rPr>
        <w:t xml:space="preserve"> by perturb</w:t>
      </w:r>
      <w:r w:rsidR="00260F96">
        <w:rPr>
          <w:color w:val="000000" w:themeColor="text1"/>
        </w:rPr>
        <w:t>ing</w:t>
      </w:r>
      <w:r w:rsidR="00E44C24" w:rsidRPr="006E2281">
        <w:rPr>
          <w:color w:val="000000" w:themeColor="text1"/>
        </w:rPr>
        <w:t xml:space="preserve"> the quaternary structure of the α345NC1 hexamer in GBM, which in turn elicits an</w:t>
      </w:r>
      <w:r w:rsidR="00B670D2" w:rsidRPr="006E2281">
        <w:rPr>
          <w:color w:val="000000" w:themeColor="text1"/>
        </w:rPr>
        <w:t xml:space="preserve"> autoimmune response [</w:t>
      </w:r>
      <w:r w:rsidR="00A760C9">
        <w:rPr>
          <w:color w:val="000000" w:themeColor="text1"/>
        </w:rPr>
        <w:t>114</w:t>
      </w:r>
      <w:r w:rsidR="00E44C24" w:rsidRPr="006E2281">
        <w:rPr>
          <w:color w:val="000000" w:themeColor="text1"/>
        </w:rPr>
        <w:t>].</w:t>
      </w:r>
      <w:r w:rsidR="006070AE">
        <w:rPr>
          <w:color w:val="000000" w:themeColor="text1"/>
        </w:rPr>
        <w:t xml:space="preserve"> A recent study suggested that sera from over half of</w:t>
      </w:r>
      <w:r w:rsidR="006070AE" w:rsidRPr="006E2281">
        <w:rPr>
          <w:color w:val="000000" w:themeColor="text1"/>
        </w:rPr>
        <w:t xml:space="preserve"> patients with anti-GBM disease </w:t>
      </w:r>
      <w:r w:rsidR="006070AE">
        <w:rPr>
          <w:color w:val="000000" w:themeColor="text1"/>
        </w:rPr>
        <w:t>could recognize deglycosylated MPO, indicating a potential common pathogenetic pathway between anti-GBM disease and MPO-ANCA vasculitis [</w:t>
      </w:r>
      <w:r w:rsidR="00A760C9">
        <w:rPr>
          <w:color w:val="000000" w:themeColor="text1"/>
        </w:rPr>
        <w:t>115</w:t>
      </w:r>
      <w:r w:rsidR="006070AE">
        <w:rPr>
          <w:color w:val="000000" w:themeColor="text1"/>
        </w:rPr>
        <w:t>].</w:t>
      </w:r>
    </w:p>
    <w:p w:rsidR="00E44C24" w:rsidRPr="005519AC" w:rsidRDefault="00E44C24" w:rsidP="00E44C24">
      <w:pPr>
        <w:rPr>
          <w:color w:val="000000" w:themeColor="text1"/>
        </w:rPr>
      </w:pPr>
      <w:r w:rsidRPr="006E2281">
        <w:rPr>
          <w:color w:val="000000" w:themeColor="text1"/>
        </w:rPr>
        <w:t xml:space="preserve">Bosch </w:t>
      </w:r>
      <w:r w:rsidR="008E42CC" w:rsidRPr="006E2281">
        <w:rPr>
          <w:color w:val="000000" w:themeColor="text1"/>
        </w:rPr>
        <w:t>et al.</w:t>
      </w:r>
      <w:r w:rsidRPr="006E2281">
        <w:rPr>
          <w:color w:val="000000" w:themeColor="text1"/>
        </w:rPr>
        <w:t xml:space="preserve"> suggested that in anti-GBM disease</w:t>
      </w:r>
      <w:r w:rsidR="000342D9">
        <w:rPr>
          <w:color w:val="000000" w:themeColor="text1"/>
        </w:rPr>
        <w:t>,</w:t>
      </w:r>
      <w:r w:rsidRPr="006E2281">
        <w:rPr>
          <w:color w:val="000000" w:themeColor="text1"/>
        </w:rPr>
        <w:t xml:space="preserve"> </w:t>
      </w:r>
      <w:r w:rsidR="00C41596">
        <w:rPr>
          <w:color w:val="000000" w:themeColor="text1"/>
        </w:rPr>
        <w:t>MPO-</w:t>
      </w:r>
      <w:r w:rsidR="00DD1D49">
        <w:rPr>
          <w:color w:val="000000" w:themeColor="text1"/>
        </w:rPr>
        <w:t>ANCA may be</w:t>
      </w:r>
      <w:r w:rsidRPr="006E2281">
        <w:rPr>
          <w:color w:val="000000" w:themeColor="text1"/>
        </w:rPr>
        <w:t xml:space="preserve"> a serologic marker of good prognosis identifying a subset of patients who ma</w:t>
      </w:r>
      <w:r w:rsidR="00B670D2" w:rsidRPr="006E2281">
        <w:rPr>
          <w:color w:val="000000" w:themeColor="text1"/>
        </w:rPr>
        <w:t>y recover renal function [</w:t>
      </w:r>
      <w:r w:rsidR="00A760C9">
        <w:rPr>
          <w:color w:val="000000" w:themeColor="text1"/>
        </w:rPr>
        <w:t>116</w:t>
      </w:r>
      <w:r w:rsidRPr="006E2281">
        <w:rPr>
          <w:color w:val="000000" w:themeColor="text1"/>
        </w:rPr>
        <w:t xml:space="preserve">]. In </w:t>
      </w:r>
      <w:r w:rsidR="00D2300A" w:rsidRPr="006E2281">
        <w:rPr>
          <w:color w:val="000000" w:themeColor="text1"/>
        </w:rPr>
        <w:t>a</w:t>
      </w:r>
      <w:r w:rsidRPr="006E2281">
        <w:rPr>
          <w:color w:val="000000" w:themeColor="text1"/>
        </w:rPr>
        <w:t xml:space="preserve"> Swedish study, 29 patients who tested positive for anti-GBM antibodies and ANCA were older and tended to have better renal survival than </w:t>
      </w:r>
      <w:r w:rsidRPr="006E2281">
        <w:rPr>
          <w:color w:val="000000" w:themeColor="text1"/>
        </w:rPr>
        <w:lastRenderedPageBreak/>
        <w:t>patients with isolated anti-GBM antibodies [</w:t>
      </w:r>
      <w:r w:rsidR="00A760C9">
        <w:rPr>
          <w:color w:val="000000" w:themeColor="text1"/>
        </w:rPr>
        <w:t>107</w:t>
      </w:r>
      <w:r w:rsidRPr="006E2281">
        <w:rPr>
          <w:color w:val="000000" w:themeColor="text1"/>
        </w:rPr>
        <w:t>]. On the contrary, in other studies, renal outcomes in double positive patients were worse or comparable to those in patients with iso</w:t>
      </w:r>
      <w:r w:rsidR="00B670D2" w:rsidRPr="006E2281">
        <w:rPr>
          <w:color w:val="000000" w:themeColor="text1"/>
        </w:rPr>
        <w:t>lated anti-GBM antibodies [</w:t>
      </w:r>
      <w:r w:rsidR="00A760C9">
        <w:rPr>
          <w:color w:val="000000" w:themeColor="text1"/>
        </w:rPr>
        <w:t>105,108,117</w:t>
      </w:r>
      <w:r w:rsidRPr="006E2281">
        <w:rPr>
          <w:color w:val="000000" w:themeColor="text1"/>
        </w:rPr>
        <w:t>].</w:t>
      </w:r>
      <w:r w:rsidR="00A86CA5" w:rsidRPr="006E2281">
        <w:rPr>
          <w:color w:val="000000" w:themeColor="text1"/>
        </w:rPr>
        <w:t xml:space="preserve"> </w:t>
      </w:r>
      <w:r w:rsidR="00D5264B" w:rsidRPr="005519AC">
        <w:rPr>
          <w:color w:val="000000" w:themeColor="text1"/>
        </w:rPr>
        <w:t xml:space="preserve">This finding is compatible with animal studies </w:t>
      </w:r>
      <w:r w:rsidR="00260F96" w:rsidRPr="005519AC">
        <w:rPr>
          <w:rFonts w:cs="Times New Roman"/>
          <w:color w:val="000000" w:themeColor="text1"/>
          <w:szCs w:val="22"/>
        </w:rPr>
        <w:t>showing</w:t>
      </w:r>
      <w:r w:rsidR="002712A8" w:rsidRPr="002712A8">
        <w:rPr>
          <w:rFonts w:cs="Times New Roman"/>
          <w:color w:val="000000" w:themeColor="text1"/>
          <w:szCs w:val="22"/>
        </w:rPr>
        <w:t xml:space="preserve"> that MPO-</w:t>
      </w:r>
      <w:r w:rsidR="008F756B">
        <w:rPr>
          <w:rFonts w:cs="Times New Roman"/>
          <w:color w:val="000000" w:themeColor="text1"/>
          <w:szCs w:val="22"/>
        </w:rPr>
        <w:t>ANCA</w:t>
      </w:r>
      <w:r w:rsidR="002712A8" w:rsidRPr="002712A8">
        <w:rPr>
          <w:rFonts w:cs="Times New Roman"/>
          <w:color w:val="000000" w:themeColor="text1"/>
          <w:szCs w:val="22"/>
        </w:rPr>
        <w:t xml:space="preserve"> increase the severity of anti-GBM</w:t>
      </w:r>
      <w:r w:rsidR="002712A8" w:rsidRPr="002712A8">
        <w:rPr>
          <w:rStyle w:val="Strong"/>
          <w:rFonts w:cs="Times New Roman"/>
          <w:color w:val="000000" w:themeColor="text1"/>
          <w:szCs w:val="22"/>
        </w:rPr>
        <w:t>-</w:t>
      </w:r>
      <w:r w:rsidR="002712A8" w:rsidRPr="002712A8">
        <w:rPr>
          <w:rFonts w:cs="Times New Roman"/>
          <w:color w:val="000000" w:themeColor="text1"/>
          <w:szCs w:val="22"/>
        </w:rPr>
        <w:t xml:space="preserve">mediated glomerulonephritis in a rat model of anti-GBM nephritis </w:t>
      </w:r>
      <w:r w:rsidR="002E3AF8" w:rsidRPr="005519AC">
        <w:rPr>
          <w:rFonts w:cs="Times New Roman"/>
          <w:color w:val="000000" w:themeColor="text1"/>
          <w:szCs w:val="22"/>
        </w:rPr>
        <w:t>[</w:t>
      </w:r>
      <w:r w:rsidR="00A760C9">
        <w:rPr>
          <w:rFonts w:cs="Times New Roman"/>
          <w:color w:val="000000" w:themeColor="text1"/>
          <w:szCs w:val="22"/>
        </w:rPr>
        <w:t>118</w:t>
      </w:r>
      <w:r w:rsidR="002E3AF8" w:rsidRPr="005519AC">
        <w:rPr>
          <w:rFonts w:cs="Times New Roman"/>
          <w:color w:val="000000" w:themeColor="text1"/>
          <w:szCs w:val="22"/>
        </w:rPr>
        <w:t>].</w:t>
      </w:r>
    </w:p>
    <w:p w:rsidR="00E44C24" w:rsidRPr="006E2281" w:rsidRDefault="00E44C24" w:rsidP="00E44C24">
      <w:pPr>
        <w:rPr>
          <w:color w:val="000000" w:themeColor="text1"/>
        </w:rPr>
      </w:pPr>
      <w:r w:rsidRPr="006E2281">
        <w:rPr>
          <w:color w:val="000000" w:themeColor="text1"/>
        </w:rPr>
        <w:t xml:space="preserve">McAdoo </w:t>
      </w:r>
      <w:r w:rsidR="008E42CC" w:rsidRPr="006E2281">
        <w:rPr>
          <w:color w:val="000000" w:themeColor="text1"/>
        </w:rPr>
        <w:t>et al.</w:t>
      </w:r>
      <w:r w:rsidRPr="006E2281">
        <w:rPr>
          <w:color w:val="000000" w:themeColor="text1"/>
        </w:rPr>
        <w:t xml:space="preserve"> compared clinical features and long-term outcomes </w:t>
      </w:r>
      <w:r w:rsidR="00D2300A" w:rsidRPr="006E2281">
        <w:rPr>
          <w:color w:val="000000" w:themeColor="text1"/>
        </w:rPr>
        <w:t>in</w:t>
      </w:r>
      <w:r w:rsidR="00797349" w:rsidRPr="006E2281">
        <w:rPr>
          <w:color w:val="000000" w:themeColor="text1"/>
        </w:rPr>
        <w:t xml:space="preserve"> </w:t>
      </w:r>
      <w:r w:rsidRPr="006E2281">
        <w:rPr>
          <w:color w:val="000000" w:themeColor="text1"/>
        </w:rPr>
        <w:t xml:space="preserve">568 patients with AAV, 41 patients with anti-GBM disease, and 37 double-positive patients with </w:t>
      </w:r>
      <w:r w:rsidR="00C41596">
        <w:rPr>
          <w:color w:val="000000" w:themeColor="text1"/>
        </w:rPr>
        <w:t xml:space="preserve">antigen-specific </w:t>
      </w:r>
      <w:r w:rsidRPr="006E2281">
        <w:rPr>
          <w:color w:val="000000" w:themeColor="text1"/>
        </w:rPr>
        <w:t>ANCA and anti-GBM disease from four European centers [</w:t>
      </w:r>
      <w:r w:rsidR="00A760C9">
        <w:rPr>
          <w:color w:val="000000" w:themeColor="text1"/>
        </w:rPr>
        <w:t>109</w:t>
      </w:r>
      <w:r w:rsidRPr="006E2281">
        <w:rPr>
          <w:color w:val="000000" w:themeColor="text1"/>
        </w:rPr>
        <w:t>]. Double-positive patients shared characteristics of AAV, such as older age</w:t>
      </w:r>
      <w:r w:rsidR="00702D21" w:rsidRPr="006E2281">
        <w:rPr>
          <w:color w:val="000000" w:themeColor="text1"/>
        </w:rPr>
        <w:t>,</w:t>
      </w:r>
      <w:r w:rsidRPr="006E2281">
        <w:rPr>
          <w:color w:val="000000" w:themeColor="text1"/>
        </w:rPr>
        <w:t xml:space="preserve"> </w:t>
      </w:r>
      <w:r w:rsidR="00702D21" w:rsidRPr="006E2281">
        <w:rPr>
          <w:color w:val="000000" w:themeColor="text1"/>
        </w:rPr>
        <w:t xml:space="preserve">additional extrarenal manifestations </w:t>
      </w:r>
      <w:r w:rsidRPr="006E2281">
        <w:rPr>
          <w:color w:val="000000" w:themeColor="text1"/>
        </w:rPr>
        <w:t xml:space="preserve">and longer symptom duration before diagnosis, and features of anti-GBM disease, such as severe renal disease and high frequency of lung hemorrhage at presentation. Double positive patients showed an intermediate risk of progression to </w:t>
      </w:r>
      <w:r w:rsidR="00C41596">
        <w:rPr>
          <w:color w:val="000000" w:themeColor="text1"/>
        </w:rPr>
        <w:t>end-stage renal disease (</w:t>
      </w:r>
      <w:r w:rsidR="00C41596" w:rsidRPr="006E2281">
        <w:rPr>
          <w:color w:val="000000" w:themeColor="text1"/>
        </w:rPr>
        <w:t>ESRD</w:t>
      </w:r>
      <w:r w:rsidR="00C41596">
        <w:rPr>
          <w:color w:val="000000" w:themeColor="text1"/>
        </w:rPr>
        <w:t>)</w:t>
      </w:r>
      <w:r w:rsidRPr="006E2281">
        <w:rPr>
          <w:color w:val="000000" w:themeColor="text1"/>
        </w:rPr>
        <w:t xml:space="preserve"> compared with patients with AAV or anti-GBM disease</w:t>
      </w:r>
      <w:r w:rsidR="00DD1D49">
        <w:rPr>
          <w:color w:val="000000" w:themeColor="text1"/>
        </w:rPr>
        <w:t xml:space="preserve"> without ANCA</w:t>
      </w:r>
      <w:r w:rsidRPr="006E2281">
        <w:rPr>
          <w:color w:val="000000" w:themeColor="text1"/>
        </w:rPr>
        <w:t xml:space="preserve">. More than one-third of the surviving patients who were double positive and required dialysis at presentation regained independent renal function by 3 months vs. only 10% among surviving single-positive patients with anti-GBM disease. There were no disease relapses in patients with </w:t>
      </w:r>
      <w:r w:rsidR="00DD1D49" w:rsidRPr="00DD1D49">
        <w:rPr>
          <w:color w:val="000000" w:themeColor="text1"/>
        </w:rPr>
        <w:t>ANCA-negative</w:t>
      </w:r>
      <w:r w:rsidR="00DD1D49">
        <w:rPr>
          <w:color w:val="000000" w:themeColor="text1"/>
        </w:rPr>
        <w:t xml:space="preserve"> </w:t>
      </w:r>
      <w:r w:rsidRPr="006E2281">
        <w:rPr>
          <w:color w:val="000000" w:themeColor="text1"/>
        </w:rPr>
        <w:t>anti-GBM disease. On the contrary, approximately one-half of surviving double positive patients developed relapses at a frequency comparable to that in AAV patients. The authors suggested t</w:t>
      </w:r>
      <w:r w:rsidR="00DD1D49">
        <w:rPr>
          <w:color w:val="000000" w:themeColor="text1"/>
        </w:rPr>
        <w:t xml:space="preserve">hat anti-GBM disease was the </w:t>
      </w:r>
      <w:r w:rsidRPr="006E2281">
        <w:rPr>
          <w:color w:val="000000" w:themeColor="text1"/>
        </w:rPr>
        <w:t xml:space="preserve">dominant disease phenotype in patients who were positive for both anti-GBM antibodies and ANCA. However, these patients were more responsive to initial immunosuppressive treatment, and, in contrast to anti-GBM disease, had a substantial risk of recurrent disease. </w:t>
      </w:r>
      <w:r w:rsidR="00DD1D49" w:rsidRPr="00DD1D49">
        <w:rPr>
          <w:color w:val="000000" w:themeColor="text1"/>
        </w:rPr>
        <w:t xml:space="preserve">The </w:t>
      </w:r>
      <w:r w:rsidR="00DD1D49">
        <w:rPr>
          <w:color w:val="000000" w:themeColor="text1"/>
        </w:rPr>
        <w:t>latter</w:t>
      </w:r>
      <w:r w:rsidR="00DD1D49" w:rsidRPr="00DD1D49">
        <w:rPr>
          <w:color w:val="000000" w:themeColor="text1"/>
        </w:rPr>
        <w:t xml:space="preserve"> was associated with ANCA rather than anti-GBM</w:t>
      </w:r>
      <w:r w:rsidR="00AF26B6">
        <w:rPr>
          <w:color w:val="000000" w:themeColor="text1"/>
        </w:rPr>
        <w:t>.</w:t>
      </w:r>
    </w:p>
    <w:p w:rsidR="00AF26B6" w:rsidRDefault="00F000F4" w:rsidP="00673753">
      <w:pPr>
        <w:rPr>
          <w:color w:val="000000" w:themeColor="text1"/>
        </w:rPr>
      </w:pPr>
      <w:r w:rsidRPr="006E2281">
        <w:rPr>
          <w:color w:val="000000" w:themeColor="text1"/>
        </w:rPr>
        <w:t>I</w:t>
      </w:r>
      <w:r w:rsidR="00E44C24" w:rsidRPr="006E2281">
        <w:rPr>
          <w:color w:val="000000" w:themeColor="text1"/>
        </w:rPr>
        <w:t xml:space="preserve">n </w:t>
      </w:r>
      <w:r w:rsidR="00D2300A" w:rsidRPr="006E2281">
        <w:rPr>
          <w:color w:val="000000" w:themeColor="text1"/>
        </w:rPr>
        <w:t>an</w:t>
      </w:r>
      <w:r w:rsidR="00E44C24" w:rsidRPr="006E2281">
        <w:rPr>
          <w:color w:val="000000" w:themeColor="text1"/>
        </w:rPr>
        <w:t xml:space="preserve">other recent study, </w:t>
      </w:r>
      <w:r w:rsidR="00D2300A" w:rsidRPr="006E2281">
        <w:rPr>
          <w:color w:val="000000" w:themeColor="text1"/>
        </w:rPr>
        <w:t>the</w:t>
      </w:r>
      <w:r w:rsidR="00C271FD" w:rsidRPr="006E2281">
        <w:rPr>
          <w:color w:val="000000" w:themeColor="text1"/>
        </w:rPr>
        <w:t xml:space="preserve"> proportion of double positivity</w:t>
      </w:r>
      <w:r w:rsidR="00E44C24" w:rsidRPr="006E2281">
        <w:rPr>
          <w:color w:val="000000" w:themeColor="text1"/>
        </w:rPr>
        <w:t xml:space="preserve"> among patients with anti-GBM disease was lower</w:t>
      </w:r>
      <w:r w:rsidR="005519AC">
        <w:rPr>
          <w:color w:val="000000" w:themeColor="text1"/>
        </w:rPr>
        <w:t xml:space="preserve"> than in the study of McAdoo et al</w:t>
      </w:r>
      <w:r w:rsidR="00E44C24" w:rsidRPr="006E2281">
        <w:rPr>
          <w:color w:val="000000" w:themeColor="text1"/>
        </w:rPr>
        <w:t xml:space="preserve"> (33% vs. 47%), and none </w:t>
      </w:r>
      <w:r w:rsidR="00AF26B6">
        <w:rPr>
          <w:color w:val="000000" w:themeColor="text1"/>
        </w:rPr>
        <w:t>of these double positive patients</w:t>
      </w:r>
      <w:r w:rsidR="00E44C24" w:rsidRPr="006E2281">
        <w:rPr>
          <w:color w:val="000000" w:themeColor="text1"/>
        </w:rPr>
        <w:t xml:space="preserve"> experienced a disease relapse during a mean follow-up of 2.9 years</w:t>
      </w:r>
      <w:r w:rsidR="00B670D2" w:rsidRPr="006E2281">
        <w:rPr>
          <w:color w:val="000000" w:themeColor="text1"/>
        </w:rPr>
        <w:t xml:space="preserve"> [</w:t>
      </w:r>
      <w:r w:rsidR="00A760C9">
        <w:rPr>
          <w:color w:val="000000" w:themeColor="text1"/>
        </w:rPr>
        <w:t>119</w:t>
      </w:r>
      <w:r w:rsidR="00E44C24" w:rsidRPr="006E2281">
        <w:rPr>
          <w:color w:val="000000" w:themeColor="text1"/>
        </w:rPr>
        <w:t xml:space="preserve">]. </w:t>
      </w:r>
    </w:p>
    <w:p w:rsidR="00207023" w:rsidRDefault="00AF26B6" w:rsidP="00673753">
      <w:pPr>
        <w:rPr>
          <w:color w:val="000000" w:themeColor="text1"/>
        </w:rPr>
      </w:pPr>
      <w:r>
        <w:rPr>
          <w:color w:val="000000" w:themeColor="text1"/>
        </w:rPr>
        <w:t>Importantly</w:t>
      </w:r>
      <w:r w:rsidR="00673753">
        <w:rPr>
          <w:color w:val="000000" w:themeColor="text1"/>
        </w:rPr>
        <w:t xml:space="preserve">, </w:t>
      </w:r>
      <w:r>
        <w:t xml:space="preserve">Rutgers et al. </w:t>
      </w:r>
      <w:r w:rsidR="00207023">
        <w:t xml:space="preserve">[108] </w:t>
      </w:r>
      <w:r>
        <w:t xml:space="preserve">and </w:t>
      </w:r>
      <w:r w:rsidR="00673753">
        <w:rPr>
          <w:color w:val="000000" w:themeColor="text1"/>
        </w:rPr>
        <w:t xml:space="preserve">Sadeghi-Alavijeh et al. </w:t>
      </w:r>
      <w:r w:rsidR="00207023">
        <w:rPr>
          <w:color w:val="000000" w:themeColor="text1"/>
        </w:rPr>
        <w:t xml:space="preserve">[120] </w:t>
      </w:r>
      <w:r w:rsidR="00673753">
        <w:rPr>
          <w:color w:val="000000" w:themeColor="text1"/>
        </w:rPr>
        <w:t xml:space="preserve">reported patients </w:t>
      </w:r>
      <w:r w:rsidR="00673753" w:rsidRPr="00673753">
        <w:rPr>
          <w:color w:val="000000" w:themeColor="text1"/>
        </w:rPr>
        <w:t>with circulating anti-GBM antibodies</w:t>
      </w:r>
      <w:r w:rsidR="00673753">
        <w:rPr>
          <w:color w:val="000000" w:themeColor="text1"/>
        </w:rPr>
        <w:t xml:space="preserve"> </w:t>
      </w:r>
      <w:r w:rsidR="00207023">
        <w:rPr>
          <w:color w:val="000000" w:themeColor="text1"/>
        </w:rPr>
        <w:t>and MPO-</w:t>
      </w:r>
      <w:r w:rsidR="00673753" w:rsidRPr="00673753">
        <w:rPr>
          <w:color w:val="000000" w:themeColor="text1"/>
        </w:rPr>
        <w:t>ANCA positive with focal necrotising crescentic glomerulonephritis but no linear GBM antibody deposition on immunohistochemistry.</w:t>
      </w:r>
      <w:r w:rsidR="00673753">
        <w:rPr>
          <w:color w:val="000000" w:themeColor="text1"/>
        </w:rPr>
        <w:t xml:space="preserve"> Therefore, </w:t>
      </w:r>
      <w:r w:rsidR="00673753">
        <w:t xml:space="preserve">biopsy is critical in deciding on the impact of the </w:t>
      </w:r>
      <w:r w:rsidR="00673753">
        <w:lastRenderedPageBreak/>
        <w:t>circulating antibody</w:t>
      </w:r>
      <w:r w:rsidR="00673753" w:rsidRPr="00673753">
        <w:rPr>
          <w:color w:val="000000" w:themeColor="text1"/>
        </w:rPr>
        <w:t xml:space="preserve">, as non-binding </w:t>
      </w:r>
      <w:r w:rsidR="00673753">
        <w:rPr>
          <w:color w:val="000000" w:themeColor="text1"/>
        </w:rPr>
        <w:t>anti-</w:t>
      </w:r>
      <w:r w:rsidR="00673753" w:rsidRPr="00673753">
        <w:rPr>
          <w:color w:val="000000" w:themeColor="text1"/>
        </w:rPr>
        <w:t>GBM antibodies may be associated with significant renal recovery</w:t>
      </w:r>
      <w:r w:rsidR="00673753">
        <w:rPr>
          <w:color w:val="000000" w:themeColor="text1"/>
        </w:rPr>
        <w:t>.</w:t>
      </w:r>
    </w:p>
    <w:p w:rsidR="00673753" w:rsidRPr="00673753" w:rsidRDefault="00207023" w:rsidP="00673753">
      <w:pPr>
        <w:rPr>
          <w:color w:val="000000" w:themeColor="text1"/>
        </w:rPr>
      </w:pPr>
      <w:r>
        <w:rPr>
          <w:color w:val="000000" w:themeColor="text1"/>
        </w:rPr>
        <w:t>Recently, Canney and Little suggested</w:t>
      </w:r>
      <w:r w:rsidRPr="006E2281">
        <w:rPr>
          <w:color w:val="000000" w:themeColor="text1"/>
        </w:rPr>
        <w:t xml:space="preserve"> that individual</w:t>
      </w:r>
      <w:r>
        <w:rPr>
          <w:color w:val="000000" w:themeColor="text1"/>
        </w:rPr>
        <w:t xml:space="preserve">s should be classified </w:t>
      </w:r>
      <w:r w:rsidRPr="006E2281">
        <w:rPr>
          <w:color w:val="000000" w:themeColor="text1"/>
        </w:rPr>
        <w:t xml:space="preserve">as having ‘ANCA vasculitis with anti-GBM antibodies’ or ‘anti-GBM disease with ANCA’ </w:t>
      </w:r>
      <w:r>
        <w:rPr>
          <w:color w:val="000000" w:themeColor="text1"/>
        </w:rPr>
        <w:t xml:space="preserve">based on the demonstration of linear IgG deposition on the GBM </w:t>
      </w:r>
      <w:r w:rsidRPr="006E2281">
        <w:rPr>
          <w:color w:val="000000" w:themeColor="text1"/>
        </w:rPr>
        <w:t>[</w:t>
      </w:r>
      <w:r>
        <w:rPr>
          <w:color w:val="000000" w:themeColor="text1"/>
        </w:rPr>
        <w:t>121</w:t>
      </w:r>
      <w:r w:rsidRPr="006E2281">
        <w:rPr>
          <w:color w:val="000000" w:themeColor="text1"/>
        </w:rPr>
        <w:t>].</w:t>
      </w:r>
    </w:p>
    <w:p w:rsidR="00940C6A" w:rsidRDefault="00E44C24" w:rsidP="00E44C24">
      <w:pPr>
        <w:rPr>
          <w:color w:val="000000" w:themeColor="text1"/>
        </w:rPr>
      </w:pPr>
      <w:r w:rsidRPr="006E2281">
        <w:rPr>
          <w:color w:val="000000" w:themeColor="text1"/>
        </w:rPr>
        <w:t xml:space="preserve">In summary, ANCA, mostly MPO-ANCA, can be detected in approximately </w:t>
      </w:r>
      <w:r w:rsidR="00FE226A" w:rsidRPr="006E2281">
        <w:rPr>
          <w:color w:val="000000" w:themeColor="text1"/>
        </w:rPr>
        <w:t xml:space="preserve">one third of </w:t>
      </w:r>
      <w:r w:rsidRPr="006E2281">
        <w:rPr>
          <w:color w:val="000000" w:themeColor="text1"/>
        </w:rPr>
        <w:t>patient</w:t>
      </w:r>
      <w:r w:rsidR="00FE226A" w:rsidRPr="006E2281">
        <w:rPr>
          <w:color w:val="000000" w:themeColor="text1"/>
        </w:rPr>
        <w:t>s</w:t>
      </w:r>
      <w:r w:rsidRPr="006E2281">
        <w:rPr>
          <w:color w:val="000000" w:themeColor="text1"/>
        </w:rPr>
        <w:t xml:space="preserve"> with anti-GBM disease. Double-positive patients have a clinical phenotype similar to that </w:t>
      </w:r>
      <w:r w:rsidR="00FE226A" w:rsidRPr="006E2281">
        <w:rPr>
          <w:color w:val="000000" w:themeColor="text1"/>
        </w:rPr>
        <w:t>of</w:t>
      </w:r>
      <w:r w:rsidRPr="006E2281">
        <w:rPr>
          <w:color w:val="000000" w:themeColor="text1"/>
        </w:rPr>
        <w:t xml:space="preserve"> anti-GBM disease</w:t>
      </w:r>
      <w:r w:rsidR="00DD1D49">
        <w:rPr>
          <w:color w:val="000000" w:themeColor="text1"/>
        </w:rPr>
        <w:t xml:space="preserve"> without ANCA</w:t>
      </w:r>
      <w:r w:rsidRPr="006E2281">
        <w:rPr>
          <w:color w:val="000000" w:themeColor="text1"/>
        </w:rPr>
        <w:t xml:space="preserve">, that is, severe kidney disease frequently requiring renal replacement therapy at presentation, and concurrent alveolar hemorrhage occurring in approximately 40% of patients. Patients who have both ANCA and anti-GBM antibodies may share certain clinical features with AAV, such as older age, the presence of extrarenal manifestations, a greater propensity to renal recovery, </w:t>
      </w:r>
      <w:r w:rsidR="00FE226A" w:rsidRPr="006E2281">
        <w:rPr>
          <w:color w:val="000000" w:themeColor="text1"/>
        </w:rPr>
        <w:t xml:space="preserve">as well as </w:t>
      </w:r>
      <w:r w:rsidRPr="006E2281">
        <w:rPr>
          <w:color w:val="000000" w:themeColor="text1"/>
        </w:rPr>
        <w:t>the risk of relapses requiri</w:t>
      </w:r>
      <w:r w:rsidR="00797349" w:rsidRPr="006E2281">
        <w:rPr>
          <w:color w:val="000000" w:themeColor="text1"/>
        </w:rPr>
        <w:t>ng careful long-term monitoring</w:t>
      </w:r>
      <w:r w:rsidR="000342D9">
        <w:rPr>
          <w:color w:val="000000" w:themeColor="text1"/>
        </w:rPr>
        <w:t>.</w:t>
      </w:r>
    </w:p>
    <w:p w:rsidR="00D2300A" w:rsidRPr="006E2281" w:rsidRDefault="00D2300A" w:rsidP="00E44C24">
      <w:pPr>
        <w:rPr>
          <w:color w:val="000000" w:themeColor="text1"/>
        </w:rPr>
      </w:pPr>
    </w:p>
    <w:p w:rsidR="000E105B" w:rsidRPr="006E2281" w:rsidRDefault="001D13A5" w:rsidP="008170A4">
      <w:pPr>
        <w:rPr>
          <w:b/>
          <w:color w:val="000000" w:themeColor="text1"/>
        </w:rPr>
      </w:pPr>
      <w:r>
        <w:rPr>
          <w:b/>
          <w:color w:val="000000" w:themeColor="text1"/>
        </w:rPr>
        <w:t>Interstitial lung</w:t>
      </w:r>
      <w:r w:rsidR="009F34EB">
        <w:rPr>
          <w:b/>
          <w:color w:val="000000" w:themeColor="text1"/>
        </w:rPr>
        <w:t xml:space="preserve"> disease</w:t>
      </w:r>
    </w:p>
    <w:p w:rsidR="001D13A5" w:rsidRDefault="000E105B" w:rsidP="000E105B">
      <w:pPr>
        <w:rPr>
          <w:color w:val="000000" w:themeColor="text1"/>
        </w:rPr>
      </w:pPr>
      <w:r w:rsidRPr="006E2281">
        <w:rPr>
          <w:color w:val="000000" w:themeColor="text1"/>
        </w:rPr>
        <w:t>The idiopathic interstitial pneumonias (IIPs)</w:t>
      </w:r>
      <w:r w:rsidR="00DD1D49" w:rsidRPr="00DD1D49">
        <w:rPr>
          <w:color w:val="000000" w:themeColor="text1"/>
        </w:rPr>
        <w:t>, which overlap with</w:t>
      </w:r>
      <w:r w:rsidR="00DD1D49">
        <w:rPr>
          <w:color w:val="000000" w:themeColor="text1"/>
        </w:rPr>
        <w:t xml:space="preserve"> </w:t>
      </w:r>
      <w:r w:rsidR="00DD1D49" w:rsidRPr="00DD1D49">
        <w:rPr>
          <w:color w:val="000000" w:themeColor="text1"/>
        </w:rPr>
        <w:t>ILD,</w:t>
      </w:r>
      <w:r w:rsidRPr="006E2281">
        <w:rPr>
          <w:color w:val="000000" w:themeColor="text1"/>
        </w:rPr>
        <w:t xml:space="preserve"> can be classified </w:t>
      </w:r>
      <w:r w:rsidR="00AE482C" w:rsidRPr="00AE482C">
        <w:rPr>
          <w:color w:val="000000" w:themeColor="text1"/>
        </w:rPr>
        <w:t>based on histopathologic, radio</w:t>
      </w:r>
      <w:r w:rsidR="00AE482C">
        <w:rPr>
          <w:color w:val="000000" w:themeColor="text1"/>
        </w:rPr>
        <w:t>graphic and clinical parameters</w:t>
      </w:r>
      <w:r w:rsidR="002E3AF8" w:rsidRPr="006E2281">
        <w:rPr>
          <w:color w:val="000000" w:themeColor="text1"/>
        </w:rPr>
        <w:t xml:space="preserve"> (table 1)</w:t>
      </w:r>
      <w:r w:rsidRPr="006E2281">
        <w:rPr>
          <w:color w:val="000000" w:themeColor="text1"/>
        </w:rPr>
        <w:t xml:space="preserve"> [</w:t>
      </w:r>
      <w:r w:rsidR="00207023">
        <w:rPr>
          <w:color w:val="000000" w:themeColor="text1"/>
        </w:rPr>
        <w:t>122</w:t>
      </w:r>
      <w:r w:rsidRPr="006E2281">
        <w:rPr>
          <w:color w:val="000000" w:themeColor="text1"/>
        </w:rPr>
        <w:t xml:space="preserve">]. </w:t>
      </w:r>
      <w:r w:rsidR="00623477" w:rsidRPr="006E2281">
        <w:rPr>
          <w:color w:val="000000" w:themeColor="text1"/>
        </w:rPr>
        <w:t>M</w:t>
      </w:r>
      <w:r w:rsidRPr="006E2281">
        <w:rPr>
          <w:color w:val="000000" w:themeColor="text1"/>
        </w:rPr>
        <w:t xml:space="preserve">any </w:t>
      </w:r>
      <w:r w:rsidR="00260F96">
        <w:rPr>
          <w:color w:val="000000" w:themeColor="text1"/>
        </w:rPr>
        <w:t xml:space="preserve">IIP </w:t>
      </w:r>
      <w:r w:rsidRPr="006E2281">
        <w:rPr>
          <w:color w:val="000000" w:themeColor="text1"/>
        </w:rPr>
        <w:t>patients have clinical and/or serological features sugge</w:t>
      </w:r>
      <w:r w:rsidR="005519AC">
        <w:rPr>
          <w:color w:val="000000" w:themeColor="text1"/>
        </w:rPr>
        <w:t>sting an underlying autoimmune disease,</w:t>
      </w:r>
      <w:r w:rsidRPr="006E2281">
        <w:rPr>
          <w:color w:val="000000" w:themeColor="text1"/>
        </w:rPr>
        <w:t xml:space="preserve"> but not meeting the established classi</w:t>
      </w:r>
      <w:r w:rsidR="00E03BF2" w:rsidRPr="006E2281">
        <w:rPr>
          <w:color w:val="000000" w:themeColor="text1"/>
        </w:rPr>
        <w:t>fi</w:t>
      </w:r>
      <w:r w:rsidRPr="006E2281">
        <w:rPr>
          <w:color w:val="000000" w:themeColor="text1"/>
        </w:rPr>
        <w:t xml:space="preserve">cation criteria for a particular </w:t>
      </w:r>
      <w:r w:rsidR="00702D21" w:rsidRPr="006E2281">
        <w:rPr>
          <w:color w:val="000000" w:themeColor="text1"/>
        </w:rPr>
        <w:t xml:space="preserve">connective tissue </w:t>
      </w:r>
      <w:r w:rsidRPr="006E2281">
        <w:rPr>
          <w:color w:val="000000" w:themeColor="text1"/>
        </w:rPr>
        <w:t>disease</w:t>
      </w:r>
      <w:r w:rsidR="00702D21" w:rsidRPr="006E2281">
        <w:rPr>
          <w:color w:val="000000" w:themeColor="text1"/>
        </w:rPr>
        <w:t xml:space="preserve"> (CTD)</w:t>
      </w:r>
      <w:r w:rsidRPr="006E2281">
        <w:rPr>
          <w:color w:val="000000" w:themeColor="text1"/>
        </w:rPr>
        <w:t xml:space="preserve">. </w:t>
      </w:r>
      <w:r w:rsidR="00505A0E" w:rsidRPr="006E2281">
        <w:rPr>
          <w:color w:val="000000" w:themeColor="text1"/>
        </w:rPr>
        <w:t>T</w:t>
      </w:r>
      <w:r w:rsidRPr="006E2281">
        <w:rPr>
          <w:color w:val="000000" w:themeColor="text1"/>
        </w:rPr>
        <w:t>he European Respiratory Society/American Thoracic Society task force has recently proposed the term ‘interstitial pneumonia with autoimmune features’ (IPAF) and offered classification criteria</w:t>
      </w:r>
      <w:r w:rsidR="00C271FD" w:rsidRPr="006E2281">
        <w:rPr>
          <w:color w:val="000000" w:themeColor="text1"/>
        </w:rPr>
        <w:t xml:space="preserve"> for this entity</w:t>
      </w:r>
      <w:r w:rsidRPr="006E2281">
        <w:rPr>
          <w:color w:val="000000" w:themeColor="text1"/>
        </w:rPr>
        <w:t xml:space="preserve"> from three domains [</w:t>
      </w:r>
      <w:r w:rsidR="00207023">
        <w:rPr>
          <w:color w:val="000000" w:themeColor="text1"/>
        </w:rPr>
        <w:t>123</w:t>
      </w:r>
      <w:r w:rsidRPr="006E2281">
        <w:rPr>
          <w:color w:val="000000" w:themeColor="text1"/>
        </w:rPr>
        <w:t xml:space="preserve">]. </w:t>
      </w:r>
      <w:r w:rsidRPr="006E2281">
        <w:rPr>
          <w:rFonts w:cs="Times New Roman"/>
          <w:color w:val="000000" w:themeColor="text1"/>
          <w:szCs w:val="20"/>
        </w:rPr>
        <w:t>ANCA were not included in the serologic domain</w:t>
      </w:r>
      <w:r w:rsidR="00C271FD" w:rsidRPr="006E2281">
        <w:rPr>
          <w:rFonts w:cs="Times New Roman"/>
          <w:color w:val="000000" w:themeColor="text1"/>
          <w:szCs w:val="20"/>
        </w:rPr>
        <w:t>,</w:t>
      </w:r>
      <w:r w:rsidRPr="006E2281">
        <w:rPr>
          <w:rFonts w:cs="Times New Roman"/>
          <w:color w:val="000000" w:themeColor="text1"/>
          <w:szCs w:val="20"/>
        </w:rPr>
        <w:t xml:space="preserve"> because, in</w:t>
      </w:r>
      <w:r w:rsidR="005519AC">
        <w:rPr>
          <w:rFonts w:cs="Times New Roman"/>
          <w:color w:val="000000" w:themeColor="text1"/>
          <w:szCs w:val="20"/>
        </w:rPr>
        <w:t xml:space="preserve"> the</w:t>
      </w:r>
      <w:r w:rsidRPr="006E2281">
        <w:rPr>
          <w:rFonts w:cs="Times New Roman"/>
          <w:color w:val="000000" w:themeColor="text1"/>
          <w:szCs w:val="20"/>
        </w:rPr>
        <w:t xml:space="preserve"> opinion of </w:t>
      </w:r>
      <w:r w:rsidR="009F34EB">
        <w:rPr>
          <w:rFonts w:cs="Times New Roman"/>
          <w:color w:val="000000" w:themeColor="text1"/>
          <w:szCs w:val="20"/>
        </w:rPr>
        <w:t>this expert group</w:t>
      </w:r>
      <w:r w:rsidRPr="006E2281">
        <w:rPr>
          <w:rFonts w:cs="Times New Roman"/>
          <w:color w:val="000000" w:themeColor="text1"/>
          <w:szCs w:val="20"/>
        </w:rPr>
        <w:t xml:space="preserve">, they are associated with vasculitides, rather than CTD. This approach </w:t>
      </w:r>
      <w:r w:rsidR="00DD1D49">
        <w:rPr>
          <w:rFonts w:cs="Times New Roman"/>
          <w:color w:val="000000" w:themeColor="text1"/>
          <w:szCs w:val="20"/>
        </w:rPr>
        <w:t xml:space="preserve">is flawed </w:t>
      </w:r>
      <w:r w:rsidRPr="006E2281">
        <w:rPr>
          <w:rFonts w:cs="Times New Roman"/>
          <w:color w:val="000000" w:themeColor="text1"/>
          <w:szCs w:val="20"/>
        </w:rPr>
        <w:t>given</w:t>
      </w:r>
      <w:r w:rsidR="00DD1D49">
        <w:rPr>
          <w:rFonts w:cs="Times New Roman"/>
          <w:color w:val="000000" w:themeColor="text1"/>
          <w:szCs w:val="20"/>
        </w:rPr>
        <w:t xml:space="preserve"> the</w:t>
      </w:r>
      <w:r w:rsidRPr="006E2281">
        <w:rPr>
          <w:rFonts w:cs="Times New Roman"/>
          <w:color w:val="000000" w:themeColor="text1"/>
          <w:szCs w:val="20"/>
        </w:rPr>
        <w:t xml:space="preserve"> </w:t>
      </w:r>
      <w:r w:rsidR="00DD1D49" w:rsidRPr="00DD1D49">
        <w:rPr>
          <w:rFonts w:cs="Times New Roman"/>
          <w:color w:val="000000" w:themeColor="text1"/>
          <w:szCs w:val="20"/>
        </w:rPr>
        <w:t>ill-d</w:t>
      </w:r>
      <w:r w:rsidR="00DD1D49">
        <w:rPr>
          <w:rFonts w:cs="Times New Roman"/>
          <w:color w:val="000000" w:themeColor="text1"/>
          <w:szCs w:val="20"/>
        </w:rPr>
        <w:t xml:space="preserve">efined criteria for CTD, and </w:t>
      </w:r>
      <w:r w:rsidR="00C67985" w:rsidRPr="006E2281">
        <w:rPr>
          <w:rFonts w:cs="Times New Roman"/>
          <w:color w:val="000000" w:themeColor="text1"/>
          <w:szCs w:val="20"/>
        </w:rPr>
        <w:t>the</w:t>
      </w:r>
      <w:r w:rsidRPr="006E2281">
        <w:rPr>
          <w:rFonts w:cs="Times New Roman"/>
          <w:color w:val="000000" w:themeColor="text1"/>
          <w:szCs w:val="20"/>
        </w:rPr>
        <w:t xml:space="preserve"> fine line between CTD and systemic vasculitides [</w:t>
      </w:r>
      <w:r w:rsidR="00207023">
        <w:rPr>
          <w:color w:val="000000" w:themeColor="text1"/>
        </w:rPr>
        <w:t>124</w:t>
      </w:r>
      <w:r w:rsidRPr="006E2281">
        <w:rPr>
          <w:color w:val="000000" w:themeColor="text1"/>
        </w:rPr>
        <w:t>].</w:t>
      </w:r>
    </w:p>
    <w:p w:rsidR="002E3AF8" w:rsidRPr="006E2281" w:rsidRDefault="002E3AF8" w:rsidP="002E3AF8">
      <w:pPr>
        <w:rPr>
          <w:color w:val="000000" w:themeColor="text1"/>
        </w:rPr>
      </w:pPr>
      <w:r w:rsidRPr="006E2281">
        <w:rPr>
          <w:color w:val="000000" w:themeColor="text1"/>
        </w:rPr>
        <w:t>Table 1. American Thoracic Society/Euro</w:t>
      </w:r>
      <w:r w:rsidR="00EC0FA0">
        <w:rPr>
          <w:color w:val="000000" w:themeColor="text1"/>
        </w:rPr>
        <w:t>pean Respiratory Society classif</w:t>
      </w:r>
      <w:r w:rsidRPr="006E2281">
        <w:rPr>
          <w:color w:val="000000" w:themeColor="text1"/>
        </w:rPr>
        <w:t>i</w:t>
      </w:r>
      <w:r w:rsidR="00EC0FA0">
        <w:rPr>
          <w:color w:val="000000" w:themeColor="text1"/>
        </w:rPr>
        <w:t>c</w:t>
      </w:r>
      <w:r w:rsidRPr="006E2281">
        <w:rPr>
          <w:color w:val="000000" w:themeColor="text1"/>
        </w:rPr>
        <w:t>ation of idiopathic interstitial pneumonias</w:t>
      </w:r>
      <w:r w:rsidR="006E2281">
        <w:rPr>
          <w:color w:val="000000" w:themeColor="text1"/>
        </w:rPr>
        <w:t xml:space="preserve"> [</w:t>
      </w:r>
      <w:r w:rsidR="00207023">
        <w:rPr>
          <w:color w:val="000000" w:themeColor="text1"/>
        </w:rPr>
        <w:t>122</w:t>
      </w:r>
      <w:r w:rsidR="006E2281">
        <w:rPr>
          <w:color w:val="000000" w:themeColor="text1"/>
        </w:rPr>
        <w:t>]</w:t>
      </w:r>
    </w:p>
    <w:tbl>
      <w:tblPr>
        <w:tblStyle w:val="TableGrid"/>
        <w:tblW w:w="0" w:type="auto"/>
        <w:tblLook w:val="00BF" w:firstRow="1" w:lastRow="0" w:firstColumn="1" w:lastColumn="0" w:noHBand="0" w:noVBand="0"/>
      </w:tblPr>
      <w:tblGrid>
        <w:gridCol w:w="8290"/>
      </w:tblGrid>
      <w:tr w:rsidR="002E3AF8" w:rsidRPr="006E2281">
        <w:tc>
          <w:tcPr>
            <w:tcW w:w="8516" w:type="dxa"/>
          </w:tcPr>
          <w:p w:rsidR="002E3AF8" w:rsidRPr="006E2281" w:rsidRDefault="002E3AF8" w:rsidP="002E3AF8">
            <w:pPr>
              <w:spacing w:before="0"/>
              <w:rPr>
                <w:color w:val="000000" w:themeColor="text1"/>
              </w:rPr>
            </w:pPr>
            <w:r w:rsidRPr="006E2281">
              <w:rPr>
                <w:color w:val="000000" w:themeColor="text1"/>
              </w:rPr>
              <w:t xml:space="preserve">Major idiopathic interstitial pneumonias </w:t>
            </w:r>
          </w:p>
          <w:p w:rsidR="002E3AF8" w:rsidRPr="006E2281" w:rsidRDefault="002E3AF8" w:rsidP="002E3AF8">
            <w:pPr>
              <w:spacing w:before="0"/>
              <w:rPr>
                <w:color w:val="000000" w:themeColor="text1"/>
              </w:rPr>
            </w:pPr>
            <w:r w:rsidRPr="006E2281">
              <w:rPr>
                <w:color w:val="000000" w:themeColor="text1"/>
              </w:rPr>
              <w:t xml:space="preserve">   Idiopathic pulmonary fibrosis</w:t>
            </w:r>
          </w:p>
          <w:p w:rsidR="002E3AF8" w:rsidRPr="006E2281" w:rsidRDefault="002E3AF8" w:rsidP="002E3AF8">
            <w:pPr>
              <w:spacing w:before="0"/>
              <w:rPr>
                <w:color w:val="000000" w:themeColor="text1"/>
              </w:rPr>
            </w:pPr>
            <w:r w:rsidRPr="006E2281">
              <w:rPr>
                <w:color w:val="000000" w:themeColor="text1"/>
              </w:rPr>
              <w:t xml:space="preserve">   Idiopathic nonspecific interstitial pneumonia </w:t>
            </w:r>
          </w:p>
          <w:p w:rsidR="002E3AF8" w:rsidRPr="006E2281" w:rsidRDefault="002E3AF8" w:rsidP="002E3AF8">
            <w:pPr>
              <w:spacing w:before="0"/>
              <w:rPr>
                <w:color w:val="000000" w:themeColor="text1"/>
              </w:rPr>
            </w:pPr>
            <w:r w:rsidRPr="006E2281">
              <w:rPr>
                <w:color w:val="000000" w:themeColor="text1"/>
              </w:rPr>
              <w:lastRenderedPageBreak/>
              <w:t xml:space="preserve">   Respiratory bronchiolitis–interstitial lung disease </w:t>
            </w:r>
          </w:p>
          <w:p w:rsidR="002E3AF8" w:rsidRPr="006E2281" w:rsidRDefault="002E3AF8" w:rsidP="002E3AF8">
            <w:pPr>
              <w:spacing w:before="0"/>
              <w:rPr>
                <w:color w:val="000000" w:themeColor="text1"/>
              </w:rPr>
            </w:pPr>
            <w:r w:rsidRPr="006E2281">
              <w:rPr>
                <w:color w:val="000000" w:themeColor="text1"/>
              </w:rPr>
              <w:t xml:space="preserve">   Desquamative interstitial pneumonia </w:t>
            </w:r>
          </w:p>
          <w:p w:rsidR="002E3AF8" w:rsidRPr="006E2281" w:rsidRDefault="002E3AF8" w:rsidP="002E3AF8">
            <w:pPr>
              <w:spacing w:before="0"/>
              <w:rPr>
                <w:color w:val="000000" w:themeColor="text1"/>
              </w:rPr>
            </w:pPr>
            <w:r w:rsidRPr="006E2281">
              <w:rPr>
                <w:color w:val="000000" w:themeColor="text1"/>
              </w:rPr>
              <w:t xml:space="preserve">   Cryptogenic organizing pneumonia</w:t>
            </w:r>
          </w:p>
          <w:p w:rsidR="002E3AF8" w:rsidRPr="006E2281" w:rsidRDefault="002E3AF8" w:rsidP="002E3AF8">
            <w:pPr>
              <w:spacing w:before="0"/>
              <w:rPr>
                <w:color w:val="000000" w:themeColor="text1"/>
              </w:rPr>
            </w:pPr>
            <w:r w:rsidRPr="006E2281">
              <w:rPr>
                <w:color w:val="000000" w:themeColor="text1"/>
              </w:rPr>
              <w:t xml:space="preserve">   Acute interstitial pneumonia</w:t>
            </w:r>
          </w:p>
          <w:p w:rsidR="002E3AF8" w:rsidRPr="006E2281" w:rsidRDefault="002E3AF8" w:rsidP="002E3AF8">
            <w:pPr>
              <w:spacing w:before="0"/>
              <w:rPr>
                <w:color w:val="000000" w:themeColor="text1"/>
              </w:rPr>
            </w:pPr>
            <w:r w:rsidRPr="006E2281">
              <w:rPr>
                <w:color w:val="000000" w:themeColor="text1"/>
              </w:rPr>
              <w:t>Rare idiopathic interstitial pneumonias</w:t>
            </w:r>
          </w:p>
          <w:p w:rsidR="002E3AF8" w:rsidRPr="006E2281" w:rsidRDefault="002E3AF8" w:rsidP="002E3AF8">
            <w:pPr>
              <w:spacing w:before="0"/>
              <w:rPr>
                <w:color w:val="000000" w:themeColor="text1"/>
              </w:rPr>
            </w:pPr>
            <w:r w:rsidRPr="006E2281">
              <w:rPr>
                <w:color w:val="000000" w:themeColor="text1"/>
              </w:rPr>
              <w:t xml:space="preserve">   Idiopathic lymphoid interstitial pneumonia</w:t>
            </w:r>
          </w:p>
          <w:p w:rsidR="002E3AF8" w:rsidRPr="006E2281" w:rsidRDefault="002E3AF8" w:rsidP="002E3AF8">
            <w:pPr>
              <w:spacing w:before="0"/>
              <w:rPr>
                <w:color w:val="000000" w:themeColor="text1"/>
              </w:rPr>
            </w:pPr>
            <w:r w:rsidRPr="006E2281">
              <w:rPr>
                <w:color w:val="000000" w:themeColor="text1"/>
              </w:rPr>
              <w:t xml:space="preserve">   Idiopathic pleuroparenchymal fibroelastosis </w:t>
            </w:r>
          </w:p>
          <w:p w:rsidR="002E3AF8" w:rsidRPr="006E2281" w:rsidRDefault="002E3AF8" w:rsidP="002E3AF8">
            <w:pPr>
              <w:spacing w:before="0"/>
              <w:rPr>
                <w:color w:val="000000" w:themeColor="text1"/>
              </w:rPr>
            </w:pPr>
            <w:r w:rsidRPr="006E2281">
              <w:rPr>
                <w:color w:val="000000" w:themeColor="text1"/>
              </w:rPr>
              <w:t>Unclassifiable idiopathic interstitial pneumonias</w:t>
            </w:r>
          </w:p>
        </w:tc>
      </w:tr>
    </w:tbl>
    <w:p w:rsidR="002E3AF8" w:rsidRPr="006E2281" w:rsidRDefault="002E3AF8" w:rsidP="002E3AF8">
      <w:pPr>
        <w:rPr>
          <w:color w:val="000000" w:themeColor="text1"/>
        </w:rPr>
      </w:pPr>
    </w:p>
    <w:p w:rsidR="0040691F" w:rsidRDefault="00DD1D49" w:rsidP="000E105B">
      <w:pPr>
        <w:rPr>
          <w:color w:val="000000" w:themeColor="text1"/>
          <w:shd w:val="clear" w:color="auto" w:fill="FFFFFF"/>
        </w:rPr>
      </w:pPr>
      <w:r>
        <w:rPr>
          <w:rFonts w:cs="Times New Roman"/>
          <w:szCs w:val="20"/>
        </w:rPr>
        <w:t>ILD</w:t>
      </w:r>
      <w:r w:rsidR="000E105B" w:rsidRPr="006E2281">
        <w:rPr>
          <w:rFonts w:cs="Times New Roman"/>
          <w:color w:val="000000" w:themeColor="text1"/>
          <w:szCs w:val="20"/>
        </w:rPr>
        <w:t xml:space="preserve"> is </w:t>
      </w:r>
      <w:r w:rsidR="002712A8" w:rsidRPr="002712A8">
        <w:rPr>
          <w:rFonts w:cs="Times New Roman"/>
          <w:color w:val="000000" w:themeColor="text1"/>
          <w:szCs w:val="20"/>
        </w:rPr>
        <w:t>not</w:t>
      </w:r>
      <w:r w:rsidR="000E105B" w:rsidRPr="006E2281">
        <w:rPr>
          <w:rFonts w:cs="Times New Roman"/>
          <w:color w:val="000000" w:themeColor="text1"/>
          <w:szCs w:val="20"/>
        </w:rPr>
        <w:t xml:space="preserve"> </w:t>
      </w:r>
      <w:r w:rsidR="00940C6A">
        <w:rPr>
          <w:rFonts w:cs="Times New Roman"/>
          <w:color w:val="000000" w:themeColor="text1"/>
          <w:szCs w:val="20"/>
        </w:rPr>
        <w:t>uncommon</w:t>
      </w:r>
      <w:r w:rsidR="00AE482C">
        <w:rPr>
          <w:rFonts w:cs="Times New Roman"/>
          <w:color w:val="000000" w:themeColor="text1"/>
          <w:szCs w:val="20"/>
        </w:rPr>
        <w:t xml:space="preserve"> in patients with</w:t>
      </w:r>
      <w:r w:rsidR="000E105B" w:rsidRPr="006E2281">
        <w:rPr>
          <w:rFonts w:cs="Times New Roman"/>
          <w:color w:val="000000" w:themeColor="text1"/>
          <w:szCs w:val="20"/>
        </w:rPr>
        <w:t xml:space="preserve"> AAV [</w:t>
      </w:r>
      <w:r w:rsidR="00207023">
        <w:rPr>
          <w:rFonts w:cs="Times New Roman"/>
          <w:color w:val="000000" w:themeColor="text1"/>
          <w:szCs w:val="20"/>
        </w:rPr>
        <w:t>125-127</w:t>
      </w:r>
      <w:r w:rsidR="000E105B" w:rsidRPr="006E2281">
        <w:rPr>
          <w:rFonts w:cs="Times New Roman"/>
          <w:color w:val="000000" w:themeColor="text1"/>
          <w:szCs w:val="20"/>
        </w:rPr>
        <w:t>].</w:t>
      </w:r>
      <w:r w:rsidR="00C271FD" w:rsidRPr="006E2281">
        <w:rPr>
          <w:rFonts w:cs="Times New Roman"/>
          <w:color w:val="000000" w:themeColor="text1"/>
          <w:szCs w:val="20"/>
        </w:rPr>
        <w:t xml:space="preserve"> </w:t>
      </w:r>
      <w:r w:rsidR="00E7559A">
        <w:rPr>
          <w:rFonts w:cs="Times New Roman"/>
          <w:color w:val="000000" w:themeColor="text1"/>
          <w:szCs w:val="20"/>
        </w:rPr>
        <w:t>It</w:t>
      </w:r>
      <w:r w:rsidR="00D8791A" w:rsidRPr="006E2281">
        <w:rPr>
          <w:rFonts w:cs="Times New Roman"/>
          <w:color w:val="000000" w:themeColor="text1"/>
          <w:szCs w:val="20"/>
        </w:rPr>
        <w:t xml:space="preserve"> </w:t>
      </w:r>
      <w:r w:rsidR="000E105B" w:rsidRPr="006E2281">
        <w:rPr>
          <w:rFonts w:cs="Times New Roman"/>
          <w:color w:val="000000" w:themeColor="text1"/>
          <w:szCs w:val="20"/>
        </w:rPr>
        <w:t>occurs more frequently in MPA or MPO-ANCA vasculitis than in GPA or PR3-ANCA vasculitis.</w:t>
      </w:r>
      <w:r w:rsidR="00D8791A" w:rsidRPr="006E2281">
        <w:rPr>
          <w:rFonts w:cs="Times New Roman"/>
          <w:color w:val="000000" w:themeColor="text1"/>
          <w:szCs w:val="20"/>
        </w:rPr>
        <w:t xml:space="preserve"> </w:t>
      </w:r>
      <w:r w:rsidR="002712A8" w:rsidRPr="002712A8">
        <w:rPr>
          <w:rFonts w:cs="Times New Roman"/>
          <w:color w:val="000000" w:themeColor="text1"/>
          <w:szCs w:val="20"/>
        </w:rPr>
        <w:t xml:space="preserve">In addition, ILD </w:t>
      </w:r>
      <w:r w:rsidR="00AE482C">
        <w:rPr>
          <w:rFonts w:cs="Times New Roman"/>
          <w:color w:val="000000" w:themeColor="text1"/>
          <w:szCs w:val="20"/>
        </w:rPr>
        <w:t>often</w:t>
      </w:r>
      <w:r w:rsidR="002712A8" w:rsidRPr="002712A8">
        <w:rPr>
          <w:rFonts w:cs="Times New Roman"/>
          <w:color w:val="000000" w:themeColor="text1"/>
          <w:szCs w:val="20"/>
        </w:rPr>
        <w:t xml:space="preserve"> precede</w:t>
      </w:r>
      <w:r w:rsidR="00AE482C">
        <w:rPr>
          <w:rFonts w:cs="Times New Roman"/>
          <w:color w:val="000000" w:themeColor="text1"/>
          <w:szCs w:val="20"/>
        </w:rPr>
        <w:t>s</w:t>
      </w:r>
      <w:r w:rsidR="002712A8" w:rsidRPr="002712A8">
        <w:rPr>
          <w:rFonts w:cs="Times New Roman"/>
          <w:color w:val="000000" w:themeColor="text1"/>
          <w:szCs w:val="20"/>
        </w:rPr>
        <w:t xml:space="preserve"> clinical manifestations of MPO-ANCA associated vasculitis </w:t>
      </w:r>
      <w:r w:rsidR="002E3AF8" w:rsidRPr="006E2281">
        <w:rPr>
          <w:rFonts w:cs="Times New Roman"/>
          <w:color w:val="000000" w:themeColor="text1"/>
          <w:szCs w:val="20"/>
        </w:rPr>
        <w:t>[</w:t>
      </w:r>
      <w:r w:rsidR="00207023">
        <w:rPr>
          <w:color w:val="000000" w:themeColor="text1"/>
        </w:rPr>
        <w:t>127</w:t>
      </w:r>
      <w:r w:rsidR="002E3AF8" w:rsidRPr="006E2281">
        <w:rPr>
          <w:rFonts w:cs="Times New Roman"/>
          <w:color w:val="000000" w:themeColor="text1"/>
          <w:szCs w:val="20"/>
        </w:rPr>
        <w:t>].</w:t>
      </w:r>
      <w:r w:rsidR="002712A8" w:rsidRPr="002712A8">
        <w:rPr>
          <w:rFonts w:cs="Times New Roman"/>
          <w:color w:val="000000" w:themeColor="text1"/>
          <w:szCs w:val="20"/>
        </w:rPr>
        <w:t xml:space="preserve"> </w:t>
      </w:r>
      <w:r w:rsidR="000E105B" w:rsidRPr="006E2281">
        <w:rPr>
          <w:rFonts w:cs="Times New Roman"/>
          <w:color w:val="000000" w:themeColor="text1"/>
          <w:szCs w:val="20"/>
        </w:rPr>
        <w:t xml:space="preserve">In recent cohort studies, the prevalence of </w:t>
      </w:r>
      <w:r w:rsidR="005519AC">
        <w:rPr>
          <w:rFonts w:cs="Times New Roman"/>
          <w:color w:val="000000" w:themeColor="text1"/>
          <w:szCs w:val="20"/>
        </w:rPr>
        <w:t>ILD</w:t>
      </w:r>
      <w:r w:rsidR="000E105B" w:rsidRPr="006E2281">
        <w:rPr>
          <w:rFonts w:cs="Times New Roman"/>
          <w:color w:val="000000" w:themeColor="text1"/>
          <w:szCs w:val="20"/>
        </w:rPr>
        <w:t xml:space="preserve"> varied from 7.2% to 15.9% in MPA and from 0</w:t>
      </w:r>
      <w:r w:rsidR="00E03BF2" w:rsidRPr="006E2281">
        <w:rPr>
          <w:rFonts w:cs="Times New Roman"/>
          <w:color w:val="000000" w:themeColor="text1"/>
          <w:szCs w:val="20"/>
        </w:rPr>
        <w:t>%</w:t>
      </w:r>
      <w:r w:rsidR="000E105B" w:rsidRPr="006E2281">
        <w:rPr>
          <w:rFonts w:cs="Times New Roman"/>
          <w:color w:val="000000" w:themeColor="text1"/>
          <w:szCs w:val="20"/>
        </w:rPr>
        <w:t xml:space="preserve"> to 3.0% in GPA [</w:t>
      </w:r>
      <w:r w:rsidR="00207023">
        <w:rPr>
          <w:rFonts w:cs="Times New Roman"/>
          <w:color w:val="000000" w:themeColor="text1"/>
          <w:szCs w:val="20"/>
        </w:rPr>
        <w:t>128-131</w:t>
      </w:r>
      <w:r w:rsidR="000E105B" w:rsidRPr="006E2281">
        <w:rPr>
          <w:rFonts w:cs="Times New Roman"/>
          <w:color w:val="000000" w:themeColor="text1"/>
          <w:szCs w:val="20"/>
        </w:rPr>
        <w:t xml:space="preserve">]. In two studies, </w:t>
      </w:r>
      <w:r w:rsidR="005519AC">
        <w:rPr>
          <w:rFonts w:cs="Times New Roman"/>
          <w:color w:val="000000" w:themeColor="text1"/>
          <w:szCs w:val="20"/>
        </w:rPr>
        <w:t>ILD</w:t>
      </w:r>
      <w:r w:rsidR="000E105B" w:rsidRPr="006E2281">
        <w:rPr>
          <w:rFonts w:cs="Times New Roman"/>
          <w:color w:val="000000" w:themeColor="text1"/>
          <w:szCs w:val="20"/>
        </w:rPr>
        <w:t xml:space="preserve"> was found exclusively in MPO-ANCA positive patients (12</w:t>
      </w:r>
      <w:r w:rsidR="00E03BF2" w:rsidRPr="006E2281">
        <w:rPr>
          <w:rFonts w:cs="Times New Roman"/>
          <w:color w:val="000000" w:themeColor="text1"/>
          <w:szCs w:val="20"/>
        </w:rPr>
        <w:t>%</w:t>
      </w:r>
      <w:r w:rsidR="00B670D2" w:rsidRPr="006E2281">
        <w:rPr>
          <w:rFonts w:cs="Times New Roman"/>
          <w:color w:val="000000" w:themeColor="text1"/>
          <w:szCs w:val="20"/>
        </w:rPr>
        <w:t>-21%) [</w:t>
      </w:r>
      <w:r w:rsidR="00207023">
        <w:rPr>
          <w:rFonts w:cs="Times New Roman"/>
          <w:color w:val="000000" w:themeColor="text1"/>
          <w:szCs w:val="20"/>
        </w:rPr>
        <w:t>130,131</w:t>
      </w:r>
      <w:r w:rsidR="000E105B" w:rsidRPr="006E2281">
        <w:rPr>
          <w:rFonts w:cs="Times New Roman"/>
          <w:color w:val="000000" w:themeColor="text1"/>
          <w:szCs w:val="20"/>
        </w:rPr>
        <w:t xml:space="preserve">]. </w:t>
      </w:r>
      <w:r w:rsidR="002712A8" w:rsidRPr="002712A8">
        <w:rPr>
          <w:color w:val="000000" w:themeColor="text1"/>
          <w:shd w:val="clear" w:color="auto" w:fill="FFFFFF"/>
        </w:rPr>
        <w:t>For most cases</w:t>
      </w:r>
      <w:r w:rsidR="00EC0FA0">
        <w:rPr>
          <w:color w:val="000000" w:themeColor="text1"/>
          <w:shd w:val="clear" w:color="auto" w:fill="FFFFFF"/>
        </w:rPr>
        <w:t>,</w:t>
      </w:r>
      <w:r w:rsidR="002712A8" w:rsidRPr="002712A8">
        <w:rPr>
          <w:color w:val="000000" w:themeColor="text1"/>
          <w:shd w:val="clear" w:color="auto" w:fill="FFFFFF"/>
        </w:rPr>
        <w:t xml:space="preserve"> the ILD either has radiographic and histopathologic features of usual interstitial pneumonia (UIP) or </w:t>
      </w:r>
      <w:r w:rsidR="005519AC" w:rsidRPr="006E2281">
        <w:rPr>
          <w:color w:val="000000" w:themeColor="text1"/>
        </w:rPr>
        <w:t>nonspecific interstitial pneumonia</w:t>
      </w:r>
      <w:r w:rsidR="002712A8" w:rsidRPr="002712A8">
        <w:rPr>
          <w:color w:val="000000" w:themeColor="text1"/>
          <w:shd w:val="clear" w:color="auto" w:fill="FFFFFF"/>
        </w:rPr>
        <w:t xml:space="preserve"> </w:t>
      </w:r>
      <w:r w:rsidR="005519AC">
        <w:rPr>
          <w:color w:val="000000" w:themeColor="text1"/>
          <w:shd w:val="clear" w:color="auto" w:fill="FFFFFF"/>
        </w:rPr>
        <w:t>(</w:t>
      </w:r>
      <w:r w:rsidR="002712A8" w:rsidRPr="002712A8">
        <w:rPr>
          <w:color w:val="000000" w:themeColor="text1"/>
          <w:shd w:val="clear" w:color="auto" w:fill="FFFFFF"/>
        </w:rPr>
        <w:t>NSIP</w:t>
      </w:r>
      <w:r w:rsidR="005519AC">
        <w:rPr>
          <w:color w:val="000000" w:themeColor="text1"/>
          <w:shd w:val="clear" w:color="auto" w:fill="FFFFFF"/>
        </w:rPr>
        <w:t>)</w:t>
      </w:r>
      <w:r w:rsidR="002712A8" w:rsidRPr="002712A8">
        <w:rPr>
          <w:color w:val="000000" w:themeColor="text1"/>
          <w:shd w:val="clear" w:color="auto" w:fill="FFFFFF"/>
        </w:rPr>
        <w:t xml:space="preserve"> </w:t>
      </w:r>
      <w:r w:rsidR="002E3AF8" w:rsidRPr="006E2281">
        <w:rPr>
          <w:color w:val="000000" w:themeColor="text1"/>
          <w:shd w:val="clear" w:color="auto" w:fill="FFFFFF"/>
        </w:rPr>
        <w:t>[</w:t>
      </w:r>
      <w:r w:rsidR="00207023">
        <w:rPr>
          <w:color w:val="000000" w:themeColor="text1"/>
          <w:shd w:val="clear" w:color="auto" w:fill="FFFFFF"/>
        </w:rPr>
        <w:t>125,128</w:t>
      </w:r>
      <w:r w:rsidR="002E3AF8" w:rsidRPr="006E2281">
        <w:rPr>
          <w:color w:val="000000" w:themeColor="text1"/>
          <w:shd w:val="clear" w:color="auto" w:fill="FFFFFF"/>
        </w:rPr>
        <w:t>]</w:t>
      </w:r>
      <w:r w:rsidR="002712A8" w:rsidRPr="002712A8">
        <w:rPr>
          <w:color w:val="000000" w:themeColor="text1"/>
          <w:shd w:val="clear" w:color="auto" w:fill="FFFFFF"/>
        </w:rPr>
        <w:t>.</w:t>
      </w:r>
      <w:r w:rsidR="0040691F">
        <w:rPr>
          <w:color w:val="000000" w:themeColor="text1"/>
          <w:shd w:val="clear" w:color="auto" w:fill="FFFFFF"/>
        </w:rPr>
        <w:t xml:space="preserve"> ILD in AAV </w:t>
      </w:r>
      <w:r w:rsidR="0040691F" w:rsidRPr="0040691F">
        <w:rPr>
          <w:color w:val="000000" w:themeColor="text1"/>
          <w:shd w:val="clear" w:color="auto" w:fill="FFFFFF"/>
        </w:rPr>
        <w:t>is more common in Asian countries</w:t>
      </w:r>
      <w:r w:rsidR="0040691F">
        <w:rPr>
          <w:color w:val="000000" w:themeColor="text1"/>
          <w:shd w:val="clear" w:color="auto" w:fill="FFFFFF"/>
        </w:rPr>
        <w:t xml:space="preserve"> (up to 50% in MPA)</w:t>
      </w:r>
      <w:r w:rsidR="0040691F" w:rsidRPr="0040691F">
        <w:rPr>
          <w:color w:val="000000" w:themeColor="text1"/>
          <w:shd w:val="clear" w:color="auto" w:fill="FFFFFF"/>
        </w:rPr>
        <w:t xml:space="preserve"> </w:t>
      </w:r>
      <w:r w:rsidR="0040691F">
        <w:rPr>
          <w:color w:val="000000" w:themeColor="text1"/>
          <w:shd w:val="clear" w:color="auto" w:fill="FFFFFF"/>
        </w:rPr>
        <w:t>than in W</w:t>
      </w:r>
      <w:r w:rsidR="0040691F" w:rsidRPr="0040691F">
        <w:rPr>
          <w:color w:val="000000" w:themeColor="text1"/>
          <w:shd w:val="clear" w:color="auto" w:fill="FFFFFF"/>
        </w:rPr>
        <w:t>estern countries</w:t>
      </w:r>
      <w:r w:rsidR="0040691F">
        <w:rPr>
          <w:color w:val="000000" w:themeColor="text1"/>
          <w:shd w:val="clear" w:color="auto" w:fill="FFFFFF"/>
        </w:rPr>
        <w:t xml:space="preserve"> [</w:t>
      </w:r>
      <w:r w:rsidR="00207023">
        <w:rPr>
          <w:color w:val="000000" w:themeColor="text1"/>
          <w:shd w:val="clear" w:color="auto" w:fill="FFFFFF"/>
        </w:rPr>
        <w:t>132,133</w:t>
      </w:r>
      <w:r w:rsidR="0040691F">
        <w:rPr>
          <w:color w:val="000000" w:themeColor="text1"/>
          <w:shd w:val="clear" w:color="auto" w:fill="FFFFFF"/>
        </w:rPr>
        <w:t>].</w:t>
      </w:r>
    </w:p>
    <w:p w:rsidR="00702D21" w:rsidRPr="006E2281" w:rsidRDefault="00EC0FA0" w:rsidP="00C271FD">
      <w:pPr>
        <w:rPr>
          <w:rFonts w:cs="Times New Roman"/>
          <w:color w:val="000000" w:themeColor="text1"/>
          <w:szCs w:val="20"/>
        </w:rPr>
      </w:pPr>
      <w:r>
        <w:rPr>
          <w:rFonts w:cs="Times New Roman"/>
          <w:color w:val="000000" w:themeColor="text1"/>
          <w:szCs w:val="20"/>
        </w:rPr>
        <w:t>The p</w:t>
      </w:r>
      <w:r w:rsidR="00C271FD" w:rsidRPr="006E2281">
        <w:rPr>
          <w:rFonts w:cs="Times New Roman"/>
          <w:color w:val="000000" w:themeColor="text1"/>
          <w:szCs w:val="20"/>
        </w:rPr>
        <w:t xml:space="preserve">revalence of ANCA in cohorts of patients </w:t>
      </w:r>
      <w:r w:rsidR="00E7559A">
        <w:rPr>
          <w:rFonts w:cs="Times New Roman"/>
          <w:color w:val="000000" w:themeColor="text1"/>
          <w:szCs w:val="20"/>
        </w:rPr>
        <w:t>who initially presented with ILD</w:t>
      </w:r>
      <w:r w:rsidR="00C271FD" w:rsidRPr="006E2281">
        <w:rPr>
          <w:rFonts w:cs="Times New Roman"/>
          <w:color w:val="000000" w:themeColor="text1"/>
          <w:szCs w:val="20"/>
        </w:rPr>
        <w:t xml:space="preserve"> ranged between 4–36% for MPO-ANCA and 2–4% for PR3-ANCA [reviewed in </w:t>
      </w:r>
      <w:r w:rsidR="00207023">
        <w:rPr>
          <w:rFonts w:cs="Times New Roman"/>
          <w:color w:val="000000" w:themeColor="text1"/>
          <w:szCs w:val="20"/>
        </w:rPr>
        <w:t>125</w:t>
      </w:r>
      <w:r w:rsidR="00C271FD" w:rsidRPr="006E2281">
        <w:rPr>
          <w:rFonts w:cs="Times New Roman"/>
          <w:color w:val="000000" w:themeColor="text1"/>
          <w:szCs w:val="20"/>
        </w:rPr>
        <w:t xml:space="preserve">]. During follow-up, 5–10% of ANCA negative patients </w:t>
      </w:r>
      <w:r w:rsidR="00E7559A">
        <w:rPr>
          <w:rFonts w:cs="Times New Roman"/>
          <w:szCs w:val="20"/>
        </w:rPr>
        <w:t>went on to develop</w:t>
      </w:r>
      <w:r w:rsidR="00E7559A" w:rsidRPr="006E2281">
        <w:rPr>
          <w:rFonts w:cs="Times New Roman"/>
          <w:color w:val="000000" w:themeColor="text1"/>
          <w:szCs w:val="20"/>
        </w:rPr>
        <w:t xml:space="preserve"> </w:t>
      </w:r>
      <w:r w:rsidR="00C271FD" w:rsidRPr="006E2281">
        <w:rPr>
          <w:rFonts w:cs="Times New Roman"/>
          <w:color w:val="000000" w:themeColor="text1"/>
          <w:szCs w:val="20"/>
        </w:rPr>
        <w:t>autoantibodies</w:t>
      </w:r>
      <w:r w:rsidR="00E7559A">
        <w:rPr>
          <w:rFonts w:cs="Times New Roman"/>
          <w:color w:val="000000" w:themeColor="text1"/>
          <w:szCs w:val="20"/>
        </w:rPr>
        <w:t xml:space="preserve"> against MPO or PR3, whereas </w:t>
      </w:r>
      <w:r w:rsidR="00C271FD" w:rsidRPr="006E2281">
        <w:rPr>
          <w:rFonts w:cs="Times New Roman"/>
          <w:color w:val="000000" w:themeColor="text1"/>
          <w:szCs w:val="20"/>
        </w:rPr>
        <w:t xml:space="preserve">25% of MPO-ANCA positive patients developed </w:t>
      </w:r>
      <w:r w:rsidR="00E7559A">
        <w:rPr>
          <w:rFonts w:cs="Times New Roman"/>
          <w:szCs w:val="20"/>
        </w:rPr>
        <w:t xml:space="preserve">clinical features of </w:t>
      </w:r>
      <w:r w:rsidR="00C271FD" w:rsidRPr="006E2281">
        <w:rPr>
          <w:rFonts w:cs="Times New Roman"/>
          <w:color w:val="000000" w:themeColor="text1"/>
          <w:szCs w:val="20"/>
        </w:rPr>
        <w:t>MPA [</w:t>
      </w:r>
      <w:r w:rsidR="00207023">
        <w:rPr>
          <w:rFonts w:cs="Times New Roman"/>
          <w:color w:val="000000" w:themeColor="text1"/>
          <w:szCs w:val="20"/>
        </w:rPr>
        <w:t>125</w:t>
      </w:r>
      <w:r w:rsidR="00C271FD" w:rsidRPr="006E2281">
        <w:rPr>
          <w:rFonts w:cs="Times New Roman"/>
          <w:color w:val="000000" w:themeColor="text1"/>
          <w:szCs w:val="20"/>
        </w:rPr>
        <w:t xml:space="preserve">]. </w:t>
      </w:r>
    </w:p>
    <w:p w:rsidR="008F756B" w:rsidRPr="006E2281" w:rsidRDefault="00C271FD" w:rsidP="008F756B">
      <w:pPr>
        <w:rPr>
          <w:rFonts w:cs="Times New Roman"/>
          <w:color w:val="000000" w:themeColor="text1"/>
          <w:szCs w:val="20"/>
        </w:rPr>
      </w:pPr>
      <w:r w:rsidRPr="006E2281">
        <w:rPr>
          <w:rFonts w:cs="Times New Roman"/>
          <w:color w:val="000000" w:themeColor="text1"/>
          <w:szCs w:val="20"/>
        </w:rPr>
        <w:t>Kagiyama et al</w:t>
      </w:r>
      <w:r w:rsidR="0039225A" w:rsidRPr="006E2281">
        <w:rPr>
          <w:rFonts w:cs="Times New Roman"/>
          <w:color w:val="000000" w:themeColor="text1"/>
          <w:szCs w:val="20"/>
        </w:rPr>
        <w:t>.</w:t>
      </w:r>
      <w:r w:rsidRPr="006E2281">
        <w:rPr>
          <w:rFonts w:cs="Times New Roman"/>
          <w:color w:val="000000" w:themeColor="text1"/>
          <w:szCs w:val="20"/>
        </w:rPr>
        <w:t xml:space="preserve"> studied the medical records of 504 Asi</w:t>
      </w:r>
      <w:r w:rsidR="00330A55" w:rsidRPr="006E2281">
        <w:rPr>
          <w:rFonts w:cs="Times New Roman"/>
          <w:color w:val="000000" w:themeColor="text1"/>
          <w:szCs w:val="20"/>
        </w:rPr>
        <w:t xml:space="preserve">an patients with </w:t>
      </w:r>
      <w:r w:rsidR="005519AC">
        <w:rPr>
          <w:rFonts w:cs="Times New Roman"/>
          <w:color w:val="000000" w:themeColor="text1"/>
          <w:szCs w:val="20"/>
        </w:rPr>
        <w:t>idiopathic pulmonary fibrosis (</w:t>
      </w:r>
      <w:r w:rsidR="005519AC" w:rsidRPr="006E2281">
        <w:rPr>
          <w:rFonts w:cs="Times New Roman"/>
          <w:color w:val="000000" w:themeColor="text1"/>
          <w:szCs w:val="20"/>
        </w:rPr>
        <w:t>IPF</w:t>
      </w:r>
      <w:r w:rsidR="005519AC">
        <w:rPr>
          <w:rFonts w:cs="Times New Roman"/>
          <w:color w:val="000000" w:themeColor="text1"/>
          <w:szCs w:val="20"/>
        </w:rPr>
        <w:t>)</w:t>
      </w:r>
      <w:r w:rsidR="00330A55" w:rsidRPr="006E2281">
        <w:rPr>
          <w:rFonts w:cs="Times New Roman"/>
          <w:color w:val="000000" w:themeColor="text1"/>
          <w:szCs w:val="20"/>
        </w:rPr>
        <w:t xml:space="preserve"> [</w:t>
      </w:r>
      <w:r w:rsidR="00207023">
        <w:rPr>
          <w:rFonts w:cs="Times New Roman"/>
          <w:color w:val="000000" w:themeColor="text1"/>
          <w:szCs w:val="20"/>
        </w:rPr>
        <w:t>134</w:t>
      </w:r>
      <w:r w:rsidR="00E7559A">
        <w:rPr>
          <w:rFonts w:cs="Times New Roman"/>
          <w:color w:val="000000" w:themeColor="text1"/>
          <w:szCs w:val="20"/>
        </w:rPr>
        <w:t>], of whom</w:t>
      </w:r>
      <w:r w:rsidRPr="006E2281">
        <w:rPr>
          <w:rFonts w:cs="Times New Roman"/>
          <w:color w:val="000000" w:themeColor="text1"/>
          <w:szCs w:val="20"/>
        </w:rPr>
        <w:t xml:space="preserve"> 4.0% had MPO-ANCA and 3.2% had PR3-ANCA when first evaluated. During follow-up, seroconversion to MPO-ANCA and PR3-ANCA occurred in 5.7% and 5.3% of patients, respectively. Nine (25.7%) of 35 patients who were either MPO-ANCA positive at IPF diagnosis or who subsequently seroconverted developed MPA</w:t>
      </w:r>
      <w:r w:rsidR="00AE482C">
        <w:rPr>
          <w:rFonts w:cs="Times New Roman"/>
          <w:color w:val="000000" w:themeColor="text1"/>
          <w:szCs w:val="20"/>
        </w:rPr>
        <w:t>, but none of the PR3-ANCA positive patients progressed to overt vasculitis</w:t>
      </w:r>
      <w:r w:rsidRPr="006E2281">
        <w:rPr>
          <w:rFonts w:cs="Times New Roman"/>
          <w:color w:val="000000" w:themeColor="text1"/>
          <w:szCs w:val="20"/>
        </w:rPr>
        <w:t xml:space="preserve">. None of these nine patients had been previously treated with steroids. </w:t>
      </w:r>
      <w:r w:rsidR="008F756B">
        <w:rPr>
          <w:rFonts w:cs="Times New Roman"/>
          <w:color w:val="000000" w:themeColor="text1"/>
          <w:szCs w:val="20"/>
        </w:rPr>
        <w:t xml:space="preserve">In a recent US study, Liu et al retrospectively evaluated the prevalence </w:t>
      </w:r>
      <w:r w:rsidR="008F756B">
        <w:rPr>
          <w:rFonts w:cs="Times New Roman"/>
          <w:color w:val="000000" w:themeColor="text1"/>
          <w:szCs w:val="20"/>
        </w:rPr>
        <w:lastRenderedPageBreak/>
        <w:t>of ANCA in two independent cohorts of IPF patients.  Antigen specific ANCA were detected in 4.0% of 353 and 5.1% of 292 patients, respectively. Two of 6 (33%)</w:t>
      </w:r>
      <w:r w:rsidR="008F756B" w:rsidRPr="008F756B">
        <w:rPr>
          <w:rFonts w:cs="Times New Roman"/>
          <w:color w:val="000000" w:themeColor="text1"/>
          <w:szCs w:val="20"/>
        </w:rPr>
        <w:t xml:space="preserve"> and </w:t>
      </w:r>
      <w:r w:rsidR="008F756B">
        <w:rPr>
          <w:rFonts w:cs="Times New Roman"/>
          <w:color w:val="000000" w:themeColor="text1"/>
          <w:szCs w:val="20"/>
        </w:rPr>
        <w:t>three</w:t>
      </w:r>
      <w:r w:rsidR="008F756B" w:rsidRPr="008F756B">
        <w:rPr>
          <w:rFonts w:cs="Times New Roman"/>
          <w:color w:val="000000" w:themeColor="text1"/>
          <w:szCs w:val="20"/>
        </w:rPr>
        <w:t xml:space="preserve"> of 12 (25%) </w:t>
      </w:r>
      <w:r w:rsidR="008F756B">
        <w:rPr>
          <w:rFonts w:cs="Times New Roman"/>
          <w:color w:val="000000" w:themeColor="text1"/>
          <w:szCs w:val="20"/>
        </w:rPr>
        <w:t>MPO-ANCA positive patients</w:t>
      </w:r>
      <w:r w:rsidR="008F756B" w:rsidRPr="008F756B">
        <w:rPr>
          <w:rFonts w:cs="Times New Roman"/>
          <w:color w:val="000000" w:themeColor="text1"/>
          <w:szCs w:val="20"/>
        </w:rPr>
        <w:t xml:space="preserve"> </w:t>
      </w:r>
      <w:r w:rsidR="008F756B">
        <w:rPr>
          <w:rFonts w:cs="Times New Roman"/>
          <w:color w:val="000000" w:themeColor="text1"/>
          <w:szCs w:val="20"/>
        </w:rPr>
        <w:t>developed AAV during follow-up [</w:t>
      </w:r>
      <w:r w:rsidR="00207023">
        <w:rPr>
          <w:rFonts w:cs="Times New Roman"/>
          <w:color w:val="000000" w:themeColor="text1"/>
          <w:szCs w:val="20"/>
        </w:rPr>
        <w:t>135</w:t>
      </w:r>
      <w:r w:rsidR="008F756B" w:rsidRPr="006E2281">
        <w:rPr>
          <w:rFonts w:cs="Times New Roman"/>
          <w:color w:val="000000" w:themeColor="text1"/>
          <w:szCs w:val="20"/>
        </w:rPr>
        <w:t>].</w:t>
      </w:r>
      <w:r w:rsidR="008F756B">
        <w:rPr>
          <w:rFonts w:cs="Times New Roman"/>
          <w:color w:val="000000" w:themeColor="text1"/>
          <w:szCs w:val="20"/>
        </w:rPr>
        <w:t xml:space="preserve"> </w:t>
      </w:r>
      <w:r w:rsidR="008F756B" w:rsidRPr="008F756B">
        <w:rPr>
          <w:rFonts w:cs="Times New Roman"/>
          <w:color w:val="000000" w:themeColor="text1"/>
          <w:szCs w:val="20"/>
        </w:rPr>
        <w:t>In the combined cohort of 745 patients, median transplant-free survival was not significantly different in pa</w:t>
      </w:r>
      <w:r w:rsidR="008F756B">
        <w:rPr>
          <w:rFonts w:cs="Times New Roman"/>
          <w:color w:val="000000" w:themeColor="text1"/>
          <w:szCs w:val="20"/>
        </w:rPr>
        <w:t>tients who were ANCA-positive or</w:t>
      </w:r>
      <w:r w:rsidR="008F756B" w:rsidRPr="008F756B">
        <w:rPr>
          <w:rFonts w:cs="Times New Roman"/>
          <w:color w:val="000000" w:themeColor="text1"/>
          <w:szCs w:val="20"/>
        </w:rPr>
        <w:t xml:space="preserve"> ANCA-negative</w:t>
      </w:r>
      <w:r w:rsidR="008F756B">
        <w:rPr>
          <w:rFonts w:cs="Times New Roman"/>
          <w:color w:val="000000" w:themeColor="text1"/>
          <w:szCs w:val="20"/>
        </w:rPr>
        <w:t xml:space="preserve"> at diagnosis of IPF.</w:t>
      </w:r>
    </w:p>
    <w:p w:rsidR="00C271FD" w:rsidRPr="006E2281" w:rsidRDefault="00C271FD" w:rsidP="00C271FD">
      <w:pPr>
        <w:rPr>
          <w:rFonts w:cs="Times New Roman"/>
          <w:color w:val="000000" w:themeColor="text1"/>
          <w:szCs w:val="20"/>
        </w:rPr>
      </w:pPr>
      <w:r w:rsidRPr="006E2281">
        <w:rPr>
          <w:rFonts w:cs="Times New Roman"/>
          <w:color w:val="000000" w:themeColor="text1"/>
          <w:szCs w:val="20"/>
        </w:rPr>
        <w:t xml:space="preserve">In </w:t>
      </w:r>
      <w:r w:rsidR="0039225A" w:rsidRPr="006E2281">
        <w:rPr>
          <w:rFonts w:cs="Times New Roman"/>
          <w:color w:val="000000" w:themeColor="text1"/>
          <w:szCs w:val="20"/>
        </w:rPr>
        <w:t xml:space="preserve">the study of </w:t>
      </w:r>
      <w:r w:rsidR="008F756B">
        <w:rPr>
          <w:rFonts w:cs="Times New Roman"/>
          <w:color w:val="000000" w:themeColor="text1"/>
          <w:szCs w:val="20"/>
        </w:rPr>
        <w:t>Hoz</w:t>
      </w:r>
      <w:r w:rsidRPr="006E2281">
        <w:rPr>
          <w:rFonts w:cs="Times New Roman"/>
          <w:color w:val="000000" w:themeColor="text1"/>
          <w:szCs w:val="20"/>
        </w:rPr>
        <w:t>umi et al</w:t>
      </w:r>
      <w:r w:rsidR="0039225A" w:rsidRPr="006E2281">
        <w:rPr>
          <w:rFonts w:cs="Times New Roman"/>
          <w:color w:val="000000" w:themeColor="text1"/>
          <w:szCs w:val="20"/>
        </w:rPr>
        <w:t>.</w:t>
      </w:r>
      <w:r w:rsidRPr="006E2281">
        <w:rPr>
          <w:rFonts w:cs="Times New Roman"/>
          <w:color w:val="000000" w:themeColor="text1"/>
          <w:szCs w:val="20"/>
        </w:rPr>
        <w:t>, 8.5% of 305 patients who were initially diagnosed with IIP were MPO-ANCA-positive [</w:t>
      </w:r>
      <w:r w:rsidR="00207023">
        <w:rPr>
          <w:rFonts w:cs="Times New Roman"/>
          <w:color w:val="000000" w:themeColor="text1"/>
          <w:szCs w:val="20"/>
        </w:rPr>
        <w:t>136</w:t>
      </w:r>
      <w:r w:rsidRPr="006E2281">
        <w:rPr>
          <w:rFonts w:cs="Times New Roman"/>
          <w:color w:val="000000" w:themeColor="text1"/>
          <w:szCs w:val="20"/>
        </w:rPr>
        <w:t>]. The cumulative 5-year MPA incidence was 24.3% in the MPO-ANCA-positive patients and 0% in the MPO-ANCA-negative patients (P &lt; 0.0001). The independent risk factors for developing MPA included UIP pattern on HRCT and no immunosuppressive or anti-fibrotic treatment for</w:t>
      </w:r>
      <w:r w:rsidR="00B670D2" w:rsidRPr="006E2281">
        <w:rPr>
          <w:rFonts w:cs="Times New Roman"/>
          <w:color w:val="000000" w:themeColor="text1"/>
          <w:szCs w:val="20"/>
        </w:rPr>
        <w:t xml:space="preserve"> IIP.</w:t>
      </w:r>
    </w:p>
    <w:p w:rsidR="00C271FD" w:rsidRPr="006E2281" w:rsidRDefault="00C271FD" w:rsidP="000E105B">
      <w:pPr>
        <w:rPr>
          <w:rFonts w:cs="Times New Roman"/>
          <w:color w:val="000000" w:themeColor="text1"/>
          <w:szCs w:val="20"/>
        </w:rPr>
      </w:pPr>
      <w:r w:rsidRPr="006E2281">
        <w:rPr>
          <w:rFonts w:cs="Times New Roman"/>
          <w:color w:val="000000" w:themeColor="text1"/>
          <w:szCs w:val="20"/>
        </w:rPr>
        <w:t>The same authors studied the clinical significance of PR3-ANCA positivity in</w:t>
      </w:r>
      <w:r w:rsidR="00227F2D" w:rsidRPr="006E2281">
        <w:rPr>
          <w:rFonts w:cs="Times New Roman"/>
          <w:color w:val="000000" w:themeColor="text1"/>
          <w:szCs w:val="20"/>
        </w:rPr>
        <w:t xml:space="preserve"> 16 (4.4%) of</w:t>
      </w:r>
      <w:r w:rsidRPr="006E2281">
        <w:rPr>
          <w:rFonts w:cs="Times New Roman"/>
          <w:color w:val="000000" w:themeColor="text1"/>
          <w:szCs w:val="20"/>
        </w:rPr>
        <w:t xml:space="preserve"> 360 patients with IIP [</w:t>
      </w:r>
      <w:r w:rsidR="00207023">
        <w:rPr>
          <w:rFonts w:cs="Times New Roman"/>
          <w:color w:val="000000" w:themeColor="text1"/>
          <w:szCs w:val="20"/>
        </w:rPr>
        <w:t>137</w:t>
      </w:r>
      <w:r w:rsidRPr="006E2281">
        <w:rPr>
          <w:rFonts w:cs="Times New Roman"/>
          <w:color w:val="000000" w:themeColor="text1"/>
          <w:szCs w:val="20"/>
        </w:rPr>
        <w:t xml:space="preserve">]. The HRCT patterns of PR3-ANCA-positive IIP patients were more variable than those of the IPF patients, but the high IIP-onset age, male predominance, and prognosis were similar between the groups. </w:t>
      </w:r>
    </w:p>
    <w:p w:rsidR="00C271FD" w:rsidRPr="006E2281" w:rsidRDefault="00C271FD" w:rsidP="00C271FD">
      <w:pPr>
        <w:rPr>
          <w:rFonts w:cs="Times New Roman"/>
          <w:color w:val="000000" w:themeColor="text1"/>
          <w:szCs w:val="20"/>
        </w:rPr>
      </w:pPr>
      <w:r w:rsidRPr="006E2281">
        <w:rPr>
          <w:rFonts w:cs="Times New Roman"/>
          <w:color w:val="000000" w:themeColor="text1"/>
          <w:szCs w:val="20"/>
        </w:rPr>
        <w:t xml:space="preserve">In summary, ANCA positivity can be detected initially or during follow-up in a relatively small proportion of patients with IIP, </w:t>
      </w:r>
      <w:r w:rsidR="002C2EA5" w:rsidRPr="006E2281">
        <w:rPr>
          <w:rFonts w:cs="Times New Roman"/>
          <w:color w:val="000000" w:themeColor="text1"/>
          <w:szCs w:val="20"/>
        </w:rPr>
        <w:t xml:space="preserve"> </w:t>
      </w:r>
      <w:r w:rsidRPr="006E2281">
        <w:rPr>
          <w:rFonts w:cs="Times New Roman"/>
          <w:color w:val="000000" w:themeColor="text1"/>
          <w:szCs w:val="20"/>
        </w:rPr>
        <w:t>particularly with</w:t>
      </w:r>
      <w:r w:rsidR="00E7559A">
        <w:rPr>
          <w:rFonts w:cs="Times New Roman"/>
          <w:color w:val="000000" w:themeColor="text1"/>
          <w:szCs w:val="20"/>
        </w:rPr>
        <w:t xml:space="preserve"> a</w:t>
      </w:r>
      <w:r w:rsidRPr="006E2281">
        <w:rPr>
          <w:rFonts w:cs="Times New Roman"/>
          <w:color w:val="000000" w:themeColor="text1"/>
          <w:szCs w:val="20"/>
        </w:rPr>
        <w:t xml:space="preserve"> UIP </w:t>
      </w:r>
      <w:r w:rsidR="002712A8" w:rsidRPr="002712A8">
        <w:rPr>
          <w:rFonts w:cs="Times New Roman"/>
          <w:color w:val="000000" w:themeColor="text1"/>
          <w:szCs w:val="20"/>
        </w:rPr>
        <w:t xml:space="preserve">and/or NSIP </w:t>
      </w:r>
      <w:r w:rsidRPr="006E2281">
        <w:rPr>
          <w:rFonts w:cs="Times New Roman"/>
          <w:color w:val="000000" w:themeColor="text1"/>
          <w:szCs w:val="20"/>
        </w:rPr>
        <w:t xml:space="preserve">pattern on HCRT. </w:t>
      </w:r>
      <w:r w:rsidR="00E7559A">
        <w:rPr>
          <w:rFonts w:cs="Times New Roman"/>
          <w:color w:val="000000" w:themeColor="text1"/>
          <w:szCs w:val="20"/>
        </w:rPr>
        <w:t>One quarter</w:t>
      </w:r>
      <w:r w:rsidRPr="006E2281">
        <w:rPr>
          <w:rFonts w:cs="Times New Roman"/>
          <w:color w:val="000000" w:themeColor="text1"/>
          <w:szCs w:val="20"/>
        </w:rPr>
        <w:t xml:space="preserve"> of MPO-ANCA positive patients with IIP will develop </w:t>
      </w:r>
      <w:r w:rsidR="002712A8" w:rsidRPr="002712A8">
        <w:rPr>
          <w:rFonts w:cs="Times New Roman"/>
          <w:color w:val="000000" w:themeColor="text1"/>
          <w:szCs w:val="20"/>
        </w:rPr>
        <w:t xml:space="preserve">clinical manifestations of </w:t>
      </w:r>
      <w:r w:rsidR="00AE482C" w:rsidRPr="007D6E4E">
        <w:rPr>
          <w:rFonts w:cs="Times New Roman"/>
          <w:color w:val="000000" w:themeColor="text1"/>
          <w:szCs w:val="20"/>
        </w:rPr>
        <w:t>MPO-ANCA associated vasculitis</w:t>
      </w:r>
      <w:r w:rsidR="00AE482C">
        <w:rPr>
          <w:rFonts w:cs="Times New Roman"/>
          <w:color w:val="000000" w:themeColor="text1"/>
          <w:szCs w:val="20"/>
        </w:rPr>
        <w:t xml:space="preserve"> </w:t>
      </w:r>
      <w:r w:rsidRPr="006E2281">
        <w:rPr>
          <w:rFonts w:cs="Times New Roman"/>
          <w:color w:val="000000" w:themeColor="text1"/>
          <w:szCs w:val="20"/>
        </w:rPr>
        <w:t xml:space="preserve">within the following months or years. We suggest that </w:t>
      </w:r>
      <w:r w:rsidR="00C67985" w:rsidRPr="006E2281">
        <w:rPr>
          <w:rFonts w:cs="Times New Roman"/>
          <w:color w:val="000000" w:themeColor="text1"/>
          <w:szCs w:val="20"/>
        </w:rPr>
        <w:t>MPO-</w:t>
      </w:r>
      <w:r w:rsidRPr="006E2281">
        <w:rPr>
          <w:rFonts w:cs="Times New Roman"/>
          <w:color w:val="000000" w:themeColor="text1"/>
          <w:szCs w:val="20"/>
        </w:rPr>
        <w:t xml:space="preserve">ANCA </w:t>
      </w:r>
      <w:r w:rsidR="002E3AF8" w:rsidRPr="006E2281">
        <w:rPr>
          <w:rFonts w:cs="Times New Roman"/>
          <w:color w:val="000000" w:themeColor="text1"/>
          <w:szCs w:val="20"/>
        </w:rPr>
        <w:t>and PR3-</w:t>
      </w:r>
      <w:r w:rsidR="00C67985" w:rsidRPr="006E2281">
        <w:rPr>
          <w:rFonts w:cs="Times New Roman"/>
          <w:color w:val="000000" w:themeColor="text1"/>
          <w:szCs w:val="20"/>
        </w:rPr>
        <w:t xml:space="preserve">ANCA </w:t>
      </w:r>
      <w:r w:rsidRPr="006E2281">
        <w:rPr>
          <w:rFonts w:cs="Times New Roman"/>
          <w:color w:val="000000" w:themeColor="text1"/>
          <w:szCs w:val="20"/>
        </w:rPr>
        <w:t>should be tested in all patients with IIP and may be included in the serological criteria for IPAF. Currently, ANCA-positivity in</w:t>
      </w:r>
      <w:r w:rsidR="00EC0FA0">
        <w:rPr>
          <w:rFonts w:cs="Times New Roman"/>
          <w:color w:val="000000" w:themeColor="text1"/>
          <w:szCs w:val="20"/>
        </w:rPr>
        <w:t xml:space="preserve"> </w:t>
      </w:r>
      <w:r w:rsidR="00DD1D49">
        <w:rPr>
          <w:rFonts w:cs="Times New Roman"/>
          <w:color w:val="000000" w:themeColor="text1"/>
          <w:szCs w:val="20"/>
        </w:rPr>
        <w:t>ILD/</w:t>
      </w:r>
      <w:r w:rsidR="00EC0FA0">
        <w:rPr>
          <w:rFonts w:cs="Times New Roman"/>
          <w:color w:val="000000" w:themeColor="text1"/>
          <w:szCs w:val="20"/>
        </w:rPr>
        <w:t>IIP</w:t>
      </w:r>
      <w:r w:rsidRPr="006E2281">
        <w:rPr>
          <w:rFonts w:cs="Times New Roman"/>
          <w:color w:val="000000" w:themeColor="text1"/>
          <w:szCs w:val="20"/>
        </w:rPr>
        <w:t xml:space="preserve"> patients </w:t>
      </w:r>
      <w:r w:rsidR="002712A8" w:rsidRPr="002712A8">
        <w:rPr>
          <w:rFonts w:cs="Times New Roman"/>
          <w:color w:val="000000" w:themeColor="text1"/>
          <w:szCs w:val="20"/>
        </w:rPr>
        <w:t>may</w:t>
      </w:r>
      <w:r w:rsidR="00D8791A" w:rsidRPr="006E2281">
        <w:rPr>
          <w:rFonts w:cs="Times New Roman"/>
          <w:color w:val="000000" w:themeColor="text1"/>
          <w:szCs w:val="20"/>
        </w:rPr>
        <w:t xml:space="preserve"> </w:t>
      </w:r>
      <w:r w:rsidR="00B670D2" w:rsidRPr="006E2281">
        <w:rPr>
          <w:rFonts w:cs="Times New Roman"/>
          <w:color w:val="000000" w:themeColor="text1"/>
          <w:szCs w:val="20"/>
        </w:rPr>
        <w:t>guide treatment decis</w:t>
      </w:r>
      <w:r w:rsidRPr="006E2281">
        <w:rPr>
          <w:rFonts w:cs="Times New Roman"/>
          <w:color w:val="000000" w:themeColor="text1"/>
          <w:szCs w:val="20"/>
        </w:rPr>
        <w:t>ion</w:t>
      </w:r>
      <w:r w:rsidR="002C2EA5" w:rsidRPr="006E2281">
        <w:rPr>
          <w:rFonts w:cs="Times New Roman"/>
          <w:color w:val="000000" w:themeColor="text1"/>
          <w:szCs w:val="20"/>
        </w:rPr>
        <w:t>s</w:t>
      </w:r>
      <w:r w:rsidRPr="006E2281">
        <w:rPr>
          <w:rFonts w:cs="Times New Roman"/>
          <w:color w:val="000000" w:themeColor="text1"/>
          <w:szCs w:val="20"/>
        </w:rPr>
        <w:t xml:space="preserve">, </w:t>
      </w:r>
      <w:r w:rsidR="00E7559A">
        <w:rPr>
          <w:rFonts w:cs="Times New Roman"/>
          <w:color w:val="000000" w:themeColor="text1"/>
          <w:szCs w:val="20"/>
        </w:rPr>
        <w:t>such as</w:t>
      </w:r>
      <w:r w:rsidRPr="006E2281">
        <w:rPr>
          <w:rFonts w:cs="Times New Roman"/>
          <w:color w:val="000000" w:themeColor="text1"/>
          <w:szCs w:val="20"/>
        </w:rPr>
        <w:t xml:space="preserve"> the use of immunosuppressive or antifibrotic agents</w:t>
      </w:r>
      <w:r w:rsidR="00D8791A" w:rsidRPr="006E2281">
        <w:rPr>
          <w:rFonts w:cs="Times New Roman"/>
          <w:color w:val="000000" w:themeColor="text1"/>
          <w:szCs w:val="20"/>
        </w:rPr>
        <w:t xml:space="preserve"> </w:t>
      </w:r>
      <w:r w:rsidR="002E3AF8" w:rsidRPr="006E2281">
        <w:rPr>
          <w:rFonts w:cs="Times New Roman"/>
          <w:color w:val="000000" w:themeColor="text1"/>
          <w:szCs w:val="20"/>
        </w:rPr>
        <w:t>[</w:t>
      </w:r>
      <w:r w:rsidR="00207023">
        <w:rPr>
          <w:rFonts w:cs="Times New Roman"/>
          <w:color w:val="000000" w:themeColor="text1"/>
          <w:szCs w:val="20"/>
        </w:rPr>
        <w:t>127</w:t>
      </w:r>
      <w:r w:rsidR="002E3AF8" w:rsidRPr="006E2281">
        <w:rPr>
          <w:rFonts w:cs="Times New Roman"/>
          <w:color w:val="000000" w:themeColor="text1"/>
          <w:szCs w:val="20"/>
        </w:rPr>
        <w:t>]</w:t>
      </w:r>
      <w:r w:rsidR="002712A8" w:rsidRPr="002712A8">
        <w:rPr>
          <w:rFonts w:cs="Times New Roman"/>
          <w:color w:val="000000" w:themeColor="text1"/>
          <w:szCs w:val="20"/>
        </w:rPr>
        <w:t>.</w:t>
      </w:r>
    </w:p>
    <w:p w:rsidR="00C67985" w:rsidRPr="006E2281" w:rsidRDefault="00C67985" w:rsidP="001C4EDB">
      <w:pPr>
        <w:rPr>
          <w:rFonts w:cs="Times New Roman"/>
          <w:b/>
          <w:color w:val="000000" w:themeColor="text1"/>
          <w:szCs w:val="20"/>
        </w:rPr>
      </w:pPr>
    </w:p>
    <w:p w:rsidR="001C4EDB" w:rsidRPr="006E2281" w:rsidRDefault="001C4EDB" w:rsidP="001C4EDB">
      <w:pPr>
        <w:rPr>
          <w:rFonts w:cs="Times New Roman"/>
          <w:b/>
          <w:color w:val="000000" w:themeColor="text1"/>
          <w:szCs w:val="20"/>
        </w:rPr>
      </w:pPr>
      <w:r w:rsidRPr="006E2281">
        <w:rPr>
          <w:rFonts w:cs="Times New Roman"/>
          <w:b/>
          <w:color w:val="000000" w:themeColor="text1"/>
          <w:szCs w:val="20"/>
        </w:rPr>
        <w:t>Infections</w:t>
      </w:r>
    </w:p>
    <w:p w:rsidR="00712B2B" w:rsidRPr="00D308C1" w:rsidRDefault="00C67985" w:rsidP="00712B2B">
      <w:pPr>
        <w:rPr>
          <w:rFonts w:cs="Times New Roman"/>
          <w:color w:val="000000" w:themeColor="text1"/>
          <w:szCs w:val="20"/>
        </w:rPr>
      </w:pPr>
      <w:r w:rsidRPr="006E2281">
        <w:rPr>
          <w:rFonts w:cs="Times New Roman"/>
          <w:color w:val="000000" w:themeColor="text1"/>
          <w:szCs w:val="20"/>
        </w:rPr>
        <w:t>V</w:t>
      </w:r>
      <w:r w:rsidR="001C4EDB" w:rsidRPr="006E2281">
        <w:rPr>
          <w:rFonts w:cs="Times New Roman"/>
          <w:color w:val="000000" w:themeColor="text1"/>
          <w:szCs w:val="20"/>
        </w:rPr>
        <w:t xml:space="preserve">arious </w:t>
      </w:r>
      <w:r w:rsidR="001C4EDB" w:rsidRPr="00D308C1">
        <w:rPr>
          <w:rFonts w:cs="Times New Roman"/>
          <w:color w:val="000000" w:themeColor="text1"/>
          <w:szCs w:val="20"/>
        </w:rPr>
        <w:t xml:space="preserve">viral, bacterial, fungal, </w:t>
      </w:r>
      <w:r w:rsidRPr="006E2281">
        <w:rPr>
          <w:rFonts w:cs="Times New Roman"/>
          <w:color w:val="000000" w:themeColor="text1"/>
          <w:szCs w:val="20"/>
        </w:rPr>
        <w:t xml:space="preserve">or </w:t>
      </w:r>
      <w:r w:rsidR="001C4EDB" w:rsidRPr="00D308C1">
        <w:rPr>
          <w:rFonts w:cs="Times New Roman"/>
          <w:color w:val="000000" w:themeColor="text1"/>
          <w:szCs w:val="20"/>
        </w:rPr>
        <w:t xml:space="preserve">protozoal </w:t>
      </w:r>
      <w:r w:rsidRPr="006E2281">
        <w:rPr>
          <w:rFonts w:cs="Times New Roman"/>
          <w:color w:val="000000" w:themeColor="text1"/>
          <w:szCs w:val="20"/>
        </w:rPr>
        <w:t xml:space="preserve">infections </w:t>
      </w:r>
      <w:r w:rsidR="001C4EDB" w:rsidRPr="006E2281">
        <w:rPr>
          <w:rFonts w:cs="Times New Roman"/>
          <w:color w:val="000000" w:themeColor="text1"/>
          <w:szCs w:val="20"/>
        </w:rPr>
        <w:t>can mimic AAV or can complicate the immunosuppressive treatment</w:t>
      </w:r>
      <w:r w:rsidR="002E3AF8" w:rsidRPr="006E2281">
        <w:rPr>
          <w:rFonts w:cs="Times New Roman"/>
          <w:color w:val="000000" w:themeColor="text1"/>
          <w:szCs w:val="20"/>
        </w:rPr>
        <w:t xml:space="preserve">. </w:t>
      </w:r>
      <w:r w:rsidRPr="006E2281">
        <w:rPr>
          <w:rFonts w:cs="Times New Roman"/>
          <w:color w:val="000000" w:themeColor="text1"/>
          <w:szCs w:val="20"/>
        </w:rPr>
        <w:t>Conversely</w:t>
      </w:r>
      <w:r w:rsidR="001C4EDB" w:rsidRPr="006E2281">
        <w:rPr>
          <w:rFonts w:cs="Times New Roman"/>
          <w:color w:val="000000" w:themeColor="text1"/>
          <w:szCs w:val="20"/>
        </w:rPr>
        <w:t xml:space="preserve">, </w:t>
      </w:r>
      <w:r w:rsidRPr="006E2281">
        <w:rPr>
          <w:rFonts w:cs="Times New Roman"/>
          <w:color w:val="000000" w:themeColor="text1"/>
          <w:szCs w:val="20"/>
        </w:rPr>
        <w:t xml:space="preserve">infections </w:t>
      </w:r>
      <w:r w:rsidR="001C4EDB" w:rsidRPr="006E2281">
        <w:rPr>
          <w:rFonts w:cs="Times New Roman"/>
          <w:color w:val="000000" w:themeColor="text1"/>
          <w:szCs w:val="20"/>
        </w:rPr>
        <w:t>have</w:t>
      </w:r>
      <w:r w:rsidR="00E7559A">
        <w:rPr>
          <w:rFonts w:cs="Times New Roman"/>
          <w:color w:val="000000" w:themeColor="text1"/>
          <w:szCs w:val="20"/>
        </w:rPr>
        <w:t xml:space="preserve"> been implicated as a trigger for</w:t>
      </w:r>
      <w:r w:rsidR="001C4EDB" w:rsidRPr="006E2281">
        <w:rPr>
          <w:rFonts w:cs="Times New Roman"/>
          <w:color w:val="000000" w:themeColor="text1"/>
          <w:szCs w:val="20"/>
        </w:rPr>
        <w:t xml:space="preserve"> </w:t>
      </w:r>
      <w:r w:rsidR="001C4EDB" w:rsidRPr="00D308C1">
        <w:rPr>
          <w:rFonts w:cs="Times New Roman"/>
          <w:color w:val="000000" w:themeColor="text1"/>
          <w:szCs w:val="20"/>
        </w:rPr>
        <w:t xml:space="preserve">ANCA </w:t>
      </w:r>
      <w:r w:rsidR="00E7559A" w:rsidRPr="00D308C1">
        <w:rPr>
          <w:rFonts w:cs="Times New Roman"/>
          <w:color w:val="000000" w:themeColor="text1"/>
          <w:szCs w:val="20"/>
        </w:rPr>
        <w:t>production</w:t>
      </w:r>
      <w:r w:rsidR="00712B2B" w:rsidRPr="00D308C1">
        <w:rPr>
          <w:rFonts w:cs="Times New Roman"/>
          <w:color w:val="000000" w:themeColor="text1"/>
          <w:szCs w:val="20"/>
        </w:rPr>
        <w:t xml:space="preserve">, </w:t>
      </w:r>
      <w:r w:rsidR="00EC0FA0" w:rsidRPr="00D308C1">
        <w:rPr>
          <w:rFonts w:cs="Times New Roman"/>
          <w:color w:val="000000" w:themeColor="text1"/>
          <w:szCs w:val="20"/>
        </w:rPr>
        <w:t xml:space="preserve">AAV </w:t>
      </w:r>
      <w:r w:rsidR="00712B2B" w:rsidRPr="00D308C1">
        <w:rPr>
          <w:rFonts w:cs="Times New Roman"/>
          <w:color w:val="000000" w:themeColor="text1"/>
          <w:szCs w:val="20"/>
        </w:rPr>
        <w:t>develop</w:t>
      </w:r>
      <w:r w:rsidR="00657689">
        <w:rPr>
          <w:rFonts w:cs="Times New Roman"/>
          <w:color w:val="000000" w:themeColor="text1"/>
          <w:szCs w:val="20"/>
        </w:rPr>
        <w:t>ment</w:t>
      </w:r>
      <w:r w:rsidR="001C4EDB" w:rsidRPr="00D308C1">
        <w:rPr>
          <w:rFonts w:cs="Times New Roman"/>
          <w:color w:val="000000" w:themeColor="text1"/>
          <w:szCs w:val="20"/>
        </w:rPr>
        <w:t xml:space="preserve"> or relapses [</w:t>
      </w:r>
      <w:r w:rsidR="00207023">
        <w:rPr>
          <w:rFonts w:cs="Times New Roman"/>
          <w:color w:val="000000" w:themeColor="text1"/>
          <w:szCs w:val="20"/>
        </w:rPr>
        <w:t>138-140</w:t>
      </w:r>
      <w:r w:rsidR="001C4EDB" w:rsidRPr="00D308C1">
        <w:rPr>
          <w:rFonts w:cs="Times New Roman"/>
          <w:color w:val="000000" w:themeColor="text1"/>
          <w:szCs w:val="20"/>
        </w:rPr>
        <w:t xml:space="preserve">]. </w:t>
      </w:r>
      <w:r w:rsidR="002E3AF8" w:rsidRPr="00D308C1">
        <w:rPr>
          <w:rFonts w:cs="Times New Roman"/>
          <w:color w:val="000000" w:themeColor="text1"/>
          <w:szCs w:val="20"/>
        </w:rPr>
        <w:t xml:space="preserve">ANCA positivity has been reported in patients with </w:t>
      </w:r>
      <w:r w:rsidR="00E7559A" w:rsidRPr="00D308C1">
        <w:rPr>
          <w:rFonts w:cs="Times New Roman"/>
          <w:color w:val="000000" w:themeColor="text1"/>
          <w:szCs w:val="20"/>
        </w:rPr>
        <w:t xml:space="preserve">many </w:t>
      </w:r>
      <w:r w:rsidR="002E3AF8" w:rsidRPr="00D308C1">
        <w:rPr>
          <w:rFonts w:cs="Times New Roman"/>
          <w:color w:val="000000" w:themeColor="text1"/>
          <w:szCs w:val="20"/>
        </w:rPr>
        <w:t>chronic infections of various etiology (Table 2) [</w:t>
      </w:r>
      <w:r w:rsidR="00207023">
        <w:rPr>
          <w:rFonts w:cs="Times New Roman"/>
          <w:color w:val="000000" w:themeColor="text1"/>
          <w:szCs w:val="20"/>
        </w:rPr>
        <w:t>139</w:t>
      </w:r>
      <w:r w:rsidR="002E3AF8" w:rsidRPr="00D308C1">
        <w:rPr>
          <w:rFonts w:cs="Times New Roman"/>
          <w:color w:val="000000" w:themeColor="text1"/>
          <w:szCs w:val="20"/>
        </w:rPr>
        <w:t>].</w:t>
      </w:r>
      <w:r w:rsidR="00712B2B" w:rsidRPr="00D308C1">
        <w:rPr>
          <w:rFonts w:cs="Times New Roman"/>
          <w:color w:val="000000" w:themeColor="text1"/>
          <w:szCs w:val="20"/>
        </w:rPr>
        <w:t xml:space="preserve"> Moreover, experiments in rats showed that immunisation with Staphylococcus aureus or Escherichia coli could induce AAV in a few animals [</w:t>
      </w:r>
      <w:r w:rsidR="00207023">
        <w:rPr>
          <w:rFonts w:cs="Times New Roman"/>
          <w:color w:val="000000" w:themeColor="text1"/>
          <w:szCs w:val="20"/>
        </w:rPr>
        <w:t>141</w:t>
      </w:r>
      <w:r w:rsidR="00712B2B" w:rsidRPr="00D308C1">
        <w:rPr>
          <w:rFonts w:cs="Times New Roman"/>
          <w:color w:val="000000" w:themeColor="text1"/>
          <w:szCs w:val="20"/>
        </w:rPr>
        <w:t>].</w:t>
      </w:r>
    </w:p>
    <w:p w:rsidR="002E3AF8" w:rsidRPr="00D308C1" w:rsidRDefault="002E3AF8" w:rsidP="002E3AF8">
      <w:pPr>
        <w:rPr>
          <w:rFonts w:cs="Times New Roman"/>
          <w:color w:val="000000" w:themeColor="text1"/>
          <w:szCs w:val="20"/>
        </w:rPr>
      </w:pPr>
      <w:r w:rsidRPr="00D308C1">
        <w:rPr>
          <w:rFonts w:cs="Times New Roman"/>
          <w:color w:val="000000" w:themeColor="text1"/>
          <w:szCs w:val="20"/>
        </w:rPr>
        <w:lastRenderedPageBreak/>
        <w:t>Table 2. Infections associated with ANCA positivity [</w:t>
      </w:r>
      <w:r w:rsidR="00207023">
        <w:rPr>
          <w:rFonts w:cs="Times New Roman"/>
          <w:color w:val="000000" w:themeColor="text1"/>
          <w:szCs w:val="20"/>
        </w:rPr>
        <w:t>139</w:t>
      </w:r>
      <w:r w:rsidRPr="00D308C1">
        <w:rPr>
          <w:rFonts w:cs="Times New Roman"/>
          <w:color w:val="000000" w:themeColor="text1"/>
          <w:szCs w:val="20"/>
        </w:rPr>
        <w:t>].</w:t>
      </w:r>
    </w:p>
    <w:tbl>
      <w:tblPr>
        <w:tblStyle w:val="TableGrid"/>
        <w:tblW w:w="0" w:type="auto"/>
        <w:tblLook w:val="00BF" w:firstRow="1" w:lastRow="0" w:firstColumn="1" w:lastColumn="0" w:noHBand="0" w:noVBand="0"/>
      </w:tblPr>
      <w:tblGrid>
        <w:gridCol w:w="1786"/>
        <w:gridCol w:w="6504"/>
      </w:tblGrid>
      <w:tr w:rsidR="002E3AF8" w:rsidRPr="006E2281">
        <w:tc>
          <w:tcPr>
            <w:tcW w:w="1809" w:type="dxa"/>
          </w:tcPr>
          <w:p w:rsidR="002E3AF8" w:rsidRPr="006E2281" w:rsidRDefault="002E3AF8" w:rsidP="002E3AF8">
            <w:pPr>
              <w:rPr>
                <w:rFonts w:cs="Times New Roman"/>
                <w:color w:val="000000" w:themeColor="text1"/>
                <w:sz w:val="20"/>
                <w:szCs w:val="20"/>
              </w:rPr>
            </w:pPr>
            <w:r w:rsidRPr="006E2281">
              <w:rPr>
                <w:rFonts w:cs="Times New Roman"/>
                <w:color w:val="000000" w:themeColor="text1"/>
                <w:sz w:val="20"/>
                <w:szCs w:val="20"/>
              </w:rPr>
              <w:t xml:space="preserve">Viruses </w:t>
            </w:r>
          </w:p>
        </w:tc>
        <w:tc>
          <w:tcPr>
            <w:tcW w:w="6707" w:type="dxa"/>
          </w:tcPr>
          <w:p w:rsidR="002E3AF8" w:rsidRPr="00D308C1" w:rsidRDefault="002E3AF8" w:rsidP="002E3AF8">
            <w:pPr>
              <w:rPr>
                <w:rFonts w:cs="Times New Roman"/>
                <w:color w:val="000000" w:themeColor="text1"/>
                <w:sz w:val="20"/>
                <w:szCs w:val="20"/>
              </w:rPr>
            </w:pPr>
            <w:r w:rsidRPr="00D308C1">
              <w:rPr>
                <w:rFonts w:cs="Times New Roman"/>
                <w:color w:val="000000" w:themeColor="text1"/>
                <w:sz w:val="20"/>
                <w:szCs w:val="20"/>
              </w:rPr>
              <w:t xml:space="preserve">HIV, hepatitis B virus, hepatitis C virus, Parvovirus B-19 Epstein-Barr virus, Arbovirus, Ross river virus </w:t>
            </w:r>
          </w:p>
        </w:tc>
      </w:tr>
      <w:tr w:rsidR="002E3AF8" w:rsidRPr="006E2281">
        <w:tc>
          <w:tcPr>
            <w:tcW w:w="1809" w:type="dxa"/>
          </w:tcPr>
          <w:p w:rsidR="002E3AF8" w:rsidRPr="006E2281" w:rsidRDefault="002E3AF8" w:rsidP="002E3AF8">
            <w:pPr>
              <w:rPr>
                <w:rFonts w:cs="Times New Roman"/>
                <w:color w:val="000000" w:themeColor="text1"/>
                <w:sz w:val="20"/>
                <w:szCs w:val="20"/>
                <w:lang w:val="ru-RU"/>
              </w:rPr>
            </w:pPr>
            <w:r w:rsidRPr="006E2281">
              <w:rPr>
                <w:rFonts w:cs="Times New Roman"/>
                <w:color w:val="000000" w:themeColor="text1"/>
                <w:sz w:val="20"/>
                <w:szCs w:val="20"/>
                <w:lang w:val="ru-RU"/>
              </w:rPr>
              <w:t>Bacteria</w:t>
            </w:r>
          </w:p>
        </w:tc>
        <w:tc>
          <w:tcPr>
            <w:tcW w:w="6707" w:type="dxa"/>
          </w:tcPr>
          <w:p w:rsidR="002E3AF8" w:rsidRPr="00D308C1" w:rsidRDefault="002E3AF8" w:rsidP="002E3AF8">
            <w:pPr>
              <w:jc w:val="left"/>
              <w:rPr>
                <w:rFonts w:cs="Times New Roman"/>
                <w:i/>
                <w:color w:val="000000" w:themeColor="text1"/>
                <w:sz w:val="20"/>
                <w:szCs w:val="20"/>
              </w:rPr>
            </w:pPr>
            <w:r w:rsidRPr="00D308C1">
              <w:rPr>
                <w:rFonts w:cs="Times New Roman"/>
                <w:i/>
                <w:color w:val="000000" w:themeColor="text1"/>
                <w:sz w:val="20"/>
                <w:szCs w:val="20"/>
              </w:rPr>
              <w:t>Streptococcus, Staphylococcus, Enterococcus, Bartonella, Gemella, Propionibacterium, Neisseria, Actinobacillus, Pseudomonas, Escherichia, Bacteroides, Campylobacter, Helicobacter, Yersinia, Salmonella, Proteus, Corynebacterium, Stenotrophomonas, Klebsiella, Mycoplasma,  Chlamydia, Ricketsia, Treponema, Leptospira, Mycobacterium</w:t>
            </w:r>
          </w:p>
        </w:tc>
      </w:tr>
      <w:tr w:rsidR="002E3AF8" w:rsidRPr="006E2281">
        <w:tc>
          <w:tcPr>
            <w:tcW w:w="1809" w:type="dxa"/>
          </w:tcPr>
          <w:p w:rsidR="002E3AF8" w:rsidRPr="006E2281" w:rsidRDefault="002E3AF8" w:rsidP="002E3AF8">
            <w:pPr>
              <w:rPr>
                <w:rFonts w:cs="Times New Roman"/>
                <w:color w:val="000000" w:themeColor="text1"/>
                <w:sz w:val="20"/>
                <w:szCs w:val="20"/>
                <w:lang w:val="ru-RU"/>
              </w:rPr>
            </w:pPr>
            <w:r w:rsidRPr="006E2281">
              <w:rPr>
                <w:rFonts w:cs="Times New Roman"/>
                <w:color w:val="000000" w:themeColor="text1"/>
                <w:sz w:val="20"/>
                <w:szCs w:val="20"/>
                <w:lang w:val="ru-RU"/>
              </w:rPr>
              <w:t>Fungi</w:t>
            </w:r>
          </w:p>
        </w:tc>
        <w:tc>
          <w:tcPr>
            <w:tcW w:w="6707" w:type="dxa"/>
          </w:tcPr>
          <w:p w:rsidR="002E3AF8" w:rsidRPr="00D308C1" w:rsidRDefault="002E3AF8" w:rsidP="002E3AF8">
            <w:pPr>
              <w:jc w:val="left"/>
              <w:rPr>
                <w:rFonts w:cs="Times New Roman"/>
                <w:i/>
                <w:color w:val="000000" w:themeColor="text1"/>
                <w:sz w:val="20"/>
                <w:szCs w:val="20"/>
              </w:rPr>
            </w:pPr>
            <w:r w:rsidRPr="00D308C1">
              <w:rPr>
                <w:rFonts w:cs="Times New Roman"/>
                <w:i/>
                <w:color w:val="000000" w:themeColor="text1"/>
                <w:sz w:val="20"/>
                <w:szCs w:val="20"/>
              </w:rPr>
              <w:t>Aspergillus, Histoplasma, Sporothrix, Pneumocystis, Paracoccidioides, Saccharomyces</w:t>
            </w:r>
          </w:p>
        </w:tc>
      </w:tr>
      <w:tr w:rsidR="002E3AF8" w:rsidRPr="006E2281">
        <w:tc>
          <w:tcPr>
            <w:tcW w:w="1809" w:type="dxa"/>
          </w:tcPr>
          <w:p w:rsidR="002E3AF8" w:rsidRPr="006E2281" w:rsidRDefault="002E3AF8" w:rsidP="002E3AF8">
            <w:pPr>
              <w:rPr>
                <w:rFonts w:cs="Times New Roman"/>
                <w:color w:val="000000" w:themeColor="text1"/>
                <w:sz w:val="20"/>
                <w:szCs w:val="20"/>
                <w:lang w:val="ru-RU"/>
              </w:rPr>
            </w:pPr>
            <w:r w:rsidRPr="006E2281">
              <w:rPr>
                <w:rFonts w:cs="Times New Roman"/>
                <w:color w:val="000000" w:themeColor="text1"/>
                <w:sz w:val="20"/>
                <w:szCs w:val="20"/>
                <w:lang w:val="ru-RU"/>
              </w:rPr>
              <w:t>Protozoa</w:t>
            </w:r>
          </w:p>
        </w:tc>
        <w:tc>
          <w:tcPr>
            <w:tcW w:w="6707" w:type="dxa"/>
          </w:tcPr>
          <w:p w:rsidR="002E3AF8" w:rsidRPr="006E2281" w:rsidRDefault="002E3AF8" w:rsidP="002E3AF8">
            <w:pPr>
              <w:rPr>
                <w:rFonts w:cs="Times New Roman"/>
                <w:i/>
                <w:color w:val="000000" w:themeColor="text1"/>
                <w:sz w:val="20"/>
                <w:szCs w:val="20"/>
                <w:lang w:val="ru-RU"/>
              </w:rPr>
            </w:pPr>
            <w:r w:rsidRPr="006E2281">
              <w:rPr>
                <w:rFonts w:cs="Times New Roman"/>
                <w:i/>
                <w:color w:val="000000" w:themeColor="text1"/>
                <w:sz w:val="20"/>
                <w:szCs w:val="20"/>
                <w:lang w:val="ru-RU"/>
              </w:rPr>
              <w:t>Entamoeba histolytica, Plasmodium, Leishmania</w:t>
            </w:r>
          </w:p>
        </w:tc>
      </w:tr>
      <w:tr w:rsidR="002E3AF8" w:rsidRPr="006E2281">
        <w:tc>
          <w:tcPr>
            <w:tcW w:w="1809" w:type="dxa"/>
          </w:tcPr>
          <w:p w:rsidR="002E3AF8" w:rsidRPr="006E2281" w:rsidRDefault="002E3AF8" w:rsidP="002E3AF8">
            <w:pPr>
              <w:rPr>
                <w:rFonts w:cs="Times New Roman"/>
                <w:color w:val="000000" w:themeColor="text1"/>
                <w:sz w:val="20"/>
                <w:szCs w:val="20"/>
                <w:lang w:val="ru-RU"/>
              </w:rPr>
            </w:pPr>
            <w:r w:rsidRPr="006E2281">
              <w:rPr>
                <w:rFonts w:cs="Times New Roman"/>
                <w:color w:val="000000" w:themeColor="text1"/>
                <w:sz w:val="20"/>
                <w:szCs w:val="20"/>
                <w:lang w:val="ru-RU"/>
              </w:rPr>
              <w:t>Multicellular organisms</w:t>
            </w:r>
          </w:p>
        </w:tc>
        <w:tc>
          <w:tcPr>
            <w:tcW w:w="6707" w:type="dxa"/>
          </w:tcPr>
          <w:p w:rsidR="002E3AF8" w:rsidRPr="006E2281" w:rsidRDefault="002E3AF8" w:rsidP="002E3AF8">
            <w:pPr>
              <w:rPr>
                <w:rFonts w:cs="Times New Roman"/>
                <w:i/>
                <w:color w:val="000000" w:themeColor="text1"/>
                <w:sz w:val="20"/>
                <w:szCs w:val="20"/>
                <w:lang w:val="ru-RU"/>
              </w:rPr>
            </w:pPr>
            <w:r w:rsidRPr="006E2281">
              <w:rPr>
                <w:rFonts w:cs="Times New Roman"/>
                <w:i/>
                <w:color w:val="000000" w:themeColor="text1"/>
                <w:sz w:val="20"/>
                <w:szCs w:val="20"/>
                <w:lang w:val="ru-RU"/>
              </w:rPr>
              <w:t>Echinococcus, Strongyloides, Toxocara</w:t>
            </w:r>
          </w:p>
        </w:tc>
      </w:tr>
    </w:tbl>
    <w:p w:rsidR="00702D21" w:rsidRPr="00D308C1" w:rsidRDefault="002712A8" w:rsidP="005A3B55">
      <w:pPr>
        <w:rPr>
          <w:rFonts w:cs="Times New Roman"/>
          <w:color w:val="000000" w:themeColor="text1"/>
          <w:szCs w:val="20"/>
        </w:rPr>
      </w:pPr>
      <w:r w:rsidRPr="002712A8">
        <w:rPr>
          <w:rFonts w:cs="Times New Roman"/>
          <w:i/>
          <w:color w:val="000000" w:themeColor="text1"/>
          <w:szCs w:val="20"/>
        </w:rPr>
        <w:t>Staphylococcus aureus</w:t>
      </w:r>
      <w:r w:rsidRPr="002712A8">
        <w:rPr>
          <w:rFonts w:cs="Times New Roman"/>
          <w:color w:val="000000" w:themeColor="text1"/>
          <w:szCs w:val="20"/>
        </w:rPr>
        <w:t xml:space="preserve"> has been found to be associated with PR3-</w:t>
      </w:r>
      <w:r w:rsidR="00E7559A">
        <w:rPr>
          <w:rFonts w:cs="Times New Roman"/>
          <w:color w:val="000000" w:themeColor="text1"/>
          <w:szCs w:val="20"/>
        </w:rPr>
        <w:t>AAV</w:t>
      </w:r>
      <w:r w:rsidRPr="002712A8">
        <w:rPr>
          <w:rFonts w:cs="Times New Roman"/>
          <w:color w:val="000000" w:themeColor="text1"/>
          <w:szCs w:val="20"/>
        </w:rPr>
        <w:t xml:space="preserve"> and several lines of investigation suggest that these bacteria contribute to disease pathophysiology </w:t>
      </w:r>
      <w:r w:rsidR="002E3AF8" w:rsidRPr="006E2281">
        <w:rPr>
          <w:rFonts w:cs="Times New Roman"/>
          <w:color w:val="000000" w:themeColor="text1"/>
          <w:szCs w:val="20"/>
        </w:rPr>
        <w:t>[</w:t>
      </w:r>
      <w:r w:rsidR="00207023">
        <w:rPr>
          <w:rFonts w:cs="Times New Roman"/>
          <w:color w:val="000000" w:themeColor="text1"/>
          <w:szCs w:val="20"/>
        </w:rPr>
        <w:t>142</w:t>
      </w:r>
      <w:r w:rsidR="002E3AF8" w:rsidRPr="006E2281">
        <w:rPr>
          <w:rFonts w:cs="Times New Roman"/>
          <w:color w:val="000000" w:themeColor="text1"/>
          <w:szCs w:val="20"/>
        </w:rPr>
        <w:t>]</w:t>
      </w:r>
      <w:r w:rsidRPr="002712A8">
        <w:rPr>
          <w:rFonts w:cs="Times New Roman"/>
          <w:color w:val="000000" w:themeColor="text1"/>
          <w:szCs w:val="20"/>
        </w:rPr>
        <w:t xml:space="preserve">. </w:t>
      </w:r>
      <w:r w:rsidR="00DD1D49">
        <w:rPr>
          <w:rFonts w:cs="Times New Roman"/>
          <w:color w:val="000000" w:themeColor="text1"/>
          <w:szCs w:val="20"/>
        </w:rPr>
        <w:t>C</w:t>
      </w:r>
      <w:r w:rsidRPr="002712A8">
        <w:rPr>
          <w:color w:val="000000" w:themeColor="text1"/>
        </w:rPr>
        <w:t>hronic</w:t>
      </w:r>
      <w:r w:rsidR="001C4EDB" w:rsidRPr="006E2281">
        <w:rPr>
          <w:color w:val="000000" w:themeColor="text1"/>
        </w:rPr>
        <w:t xml:space="preserve"> nasal carriage of </w:t>
      </w:r>
      <w:r w:rsidR="001C4EDB" w:rsidRPr="006E2281">
        <w:rPr>
          <w:rStyle w:val="Emphasis"/>
          <w:color w:val="000000" w:themeColor="text1"/>
        </w:rPr>
        <w:t>Staphylococcus aureus</w:t>
      </w:r>
      <w:r w:rsidR="001C4EDB" w:rsidRPr="006E2281">
        <w:rPr>
          <w:color w:val="000000" w:themeColor="text1"/>
        </w:rPr>
        <w:t xml:space="preserve"> </w:t>
      </w:r>
      <w:r w:rsidR="00A5294A" w:rsidRPr="006E2281">
        <w:rPr>
          <w:color w:val="000000" w:themeColor="text1"/>
        </w:rPr>
        <w:t>i</w:t>
      </w:r>
      <w:r w:rsidR="001C4EDB" w:rsidRPr="006E2281">
        <w:rPr>
          <w:color w:val="000000" w:themeColor="text1"/>
        </w:rPr>
        <w:t>s associated with a higher risk of relapse of GPA [</w:t>
      </w:r>
      <w:r w:rsidR="00207023">
        <w:rPr>
          <w:rFonts w:cs="Times New Roman"/>
          <w:color w:val="000000" w:themeColor="text1"/>
          <w:szCs w:val="20"/>
        </w:rPr>
        <w:t>143</w:t>
      </w:r>
      <w:r w:rsidR="001C4EDB" w:rsidRPr="00D308C1">
        <w:rPr>
          <w:rFonts w:cs="Times New Roman"/>
          <w:color w:val="000000" w:themeColor="text1"/>
          <w:szCs w:val="20"/>
        </w:rPr>
        <w:t xml:space="preserve">], </w:t>
      </w:r>
      <w:r w:rsidRPr="00D308C1">
        <w:rPr>
          <w:rFonts w:cs="Times New Roman"/>
          <w:color w:val="000000" w:themeColor="text1"/>
          <w:szCs w:val="20"/>
        </w:rPr>
        <w:t>whereas</w:t>
      </w:r>
      <w:r w:rsidRPr="002712A8">
        <w:rPr>
          <w:color w:val="000000" w:themeColor="text1"/>
        </w:rPr>
        <w:t xml:space="preserve"> trimethoprim–sulfamethoxazole prevents relapses [</w:t>
      </w:r>
      <w:r w:rsidR="00207023">
        <w:rPr>
          <w:color w:val="000000" w:themeColor="text1"/>
        </w:rPr>
        <w:t>144-146</w:t>
      </w:r>
      <w:r w:rsidRPr="00D308C1">
        <w:rPr>
          <w:rFonts w:cs="Times New Roman"/>
          <w:color w:val="000000" w:themeColor="text1"/>
          <w:szCs w:val="20"/>
        </w:rPr>
        <w:t xml:space="preserve">]. </w:t>
      </w:r>
    </w:p>
    <w:p w:rsidR="008F756B" w:rsidRDefault="001C4EDB" w:rsidP="00326DA4">
      <w:pPr>
        <w:rPr>
          <w:color w:val="000000" w:themeColor="text1"/>
        </w:rPr>
      </w:pPr>
      <w:r w:rsidRPr="00D308C1">
        <w:rPr>
          <w:rFonts w:cs="Times New Roman"/>
          <w:color w:val="000000" w:themeColor="text1"/>
          <w:szCs w:val="20"/>
        </w:rPr>
        <w:t xml:space="preserve">In cohort studies, </w:t>
      </w:r>
      <w:r w:rsidRPr="006E2281">
        <w:rPr>
          <w:rFonts w:cs="Times New Roman"/>
          <w:color w:val="000000" w:themeColor="text1"/>
          <w:szCs w:val="20"/>
        </w:rPr>
        <w:t xml:space="preserve">the prevalence of ANCA positivity by </w:t>
      </w:r>
      <w:r w:rsidR="005519AC">
        <w:rPr>
          <w:rFonts w:cs="Times New Roman"/>
          <w:color w:val="000000" w:themeColor="text1"/>
          <w:szCs w:val="20"/>
        </w:rPr>
        <w:t>antigen-specific immunoassays</w:t>
      </w:r>
      <w:r w:rsidRPr="006E2281">
        <w:rPr>
          <w:rFonts w:cs="Times New Roman"/>
          <w:color w:val="000000" w:themeColor="text1"/>
          <w:szCs w:val="20"/>
        </w:rPr>
        <w:t xml:space="preserve"> in patients with chronic hepatitis B and C was low</w:t>
      </w:r>
      <w:r w:rsidR="00E7559A">
        <w:rPr>
          <w:rFonts w:cs="Times New Roman"/>
          <w:color w:val="000000" w:themeColor="text1"/>
          <w:szCs w:val="20"/>
        </w:rPr>
        <w:t xml:space="preserve"> (MPO-ANCA 2% and 7%, PR3-ANCA 8% and 0%, respectively)</w:t>
      </w:r>
      <w:r w:rsidRPr="006E2281">
        <w:rPr>
          <w:rFonts w:cs="Times New Roman"/>
          <w:color w:val="000000" w:themeColor="text1"/>
          <w:szCs w:val="20"/>
        </w:rPr>
        <w:t xml:space="preserve"> [</w:t>
      </w:r>
      <w:r w:rsidR="00207023">
        <w:rPr>
          <w:color w:val="000000" w:themeColor="text1"/>
        </w:rPr>
        <w:t>147,148</w:t>
      </w:r>
      <w:r w:rsidRPr="00D308C1">
        <w:rPr>
          <w:color w:val="000000" w:themeColor="text1"/>
        </w:rPr>
        <w:t>]</w:t>
      </w:r>
      <w:r w:rsidRPr="006E2281">
        <w:rPr>
          <w:color w:val="000000" w:themeColor="text1"/>
        </w:rPr>
        <w:t>, while t</w:t>
      </w:r>
      <w:r w:rsidRPr="00D308C1">
        <w:rPr>
          <w:color w:val="000000" w:themeColor="text1"/>
        </w:rPr>
        <w:t xml:space="preserve">he </w:t>
      </w:r>
      <w:r w:rsidR="00940C6A" w:rsidRPr="00D308C1">
        <w:rPr>
          <w:color w:val="000000" w:themeColor="text1"/>
        </w:rPr>
        <w:t>findings</w:t>
      </w:r>
      <w:r w:rsidRPr="00D308C1">
        <w:rPr>
          <w:color w:val="000000" w:themeColor="text1"/>
        </w:rPr>
        <w:t xml:space="preserve"> of studies in patients with tuberculosis were conflicting (from</w:t>
      </w:r>
      <w:r w:rsidR="00207023">
        <w:rPr>
          <w:color w:val="000000" w:themeColor="text1"/>
        </w:rPr>
        <w:t xml:space="preserve"> 40% in one study to 0-1.5% in three other</w:t>
      </w:r>
      <w:r w:rsidRPr="00D308C1">
        <w:rPr>
          <w:color w:val="000000" w:themeColor="text1"/>
        </w:rPr>
        <w:t xml:space="preserve"> studies) [</w:t>
      </w:r>
      <w:r w:rsidR="00A760C9" w:rsidRPr="00D308C1">
        <w:rPr>
          <w:color w:val="000000" w:themeColor="text1"/>
        </w:rPr>
        <w:t>1</w:t>
      </w:r>
      <w:r w:rsidR="00207023">
        <w:rPr>
          <w:color w:val="000000" w:themeColor="text1"/>
        </w:rPr>
        <w:t>49-152</w:t>
      </w:r>
      <w:r w:rsidRPr="006E2281">
        <w:rPr>
          <w:color w:val="000000" w:themeColor="text1"/>
        </w:rPr>
        <w:t>].</w:t>
      </w:r>
    </w:p>
    <w:p w:rsidR="008F756B" w:rsidRDefault="001C4EDB" w:rsidP="00326DA4">
      <w:pPr>
        <w:rPr>
          <w:color w:val="000000" w:themeColor="text1"/>
        </w:rPr>
      </w:pPr>
      <w:r w:rsidRPr="006E2281">
        <w:rPr>
          <w:color w:val="000000" w:themeColor="text1"/>
        </w:rPr>
        <w:t>Several studies showed that ANCA, mostly PR3-ANCA, can be found in a substantial proportion of patients with infective endocarditis (8-33% by ELISA)</w:t>
      </w:r>
      <w:r w:rsidR="003B3846">
        <w:rPr>
          <w:color w:val="000000" w:themeColor="text1"/>
        </w:rPr>
        <w:t xml:space="preserve"> </w:t>
      </w:r>
      <w:r w:rsidR="003B3846" w:rsidRPr="006E2281">
        <w:rPr>
          <w:color w:val="000000" w:themeColor="text1"/>
        </w:rPr>
        <w:t>[</w:t>
      </w:r>
      <w:r w:rsidR="00207023">
        <w:rPr>
          <w:color w:val="000000" w:themeColor="text1"/>
        </w:rPr>
        <w:t>153-156</w:t>
      </w:r>
      <w:r w:rsidR="003B3846" w:rsidRPr="006E2281">
        <w:rPr>
          <w:color w:val="000000" w:themeColor="text1"/>
        </w:rPr>
        <w:t>]</w:t>
      </w:r>
      <w:r w:rsidR="00DD1D49">
        <w:rPr>
          <w:color w:val="000000" w:themeColor="text1"/>
        </w:rPr>
        <w:t xml:space="preserve">. </w:t>
      </w:r>
      <w:r w:rsidR="00DD1D49" w:rsidRPr="00DD1D49">
        <w:rPr>
          <w:color w:val="000000" w:themeColor="text1"/>
        </w:rPr>
        <w:t xml:space="preserve">The link between PR3-ANCA and infection is especially high with Bartonella endocarditis. In a literature review of 54 cases of </w:t>
      </w:r>
      <w:r w:rsidR="00DD1D49" w:rsidRPr="00DD1D49">
        <w:rPr>
          <w:i/>
          <w:color w:val="000000" w:themeColor="text1"/>
        </w:rPr>
        <w:t>Bartonella</w:t>
      </w:r>
      <w:r w:rsidR="00DD1D49" w:rsidRPr="00DD1D49">
        <w:rPr>
          <w:color w:val="000000" w:themeColor="text1"/>
        </w:rPr>
        <w:t xml:space="preserve"> infective endocarditis associated glomerulonephritis reported in 14 publications, 78% were ANCA positive by IIF and/or ELISA, including 67% positive for PR3-ANCA [</w:t>
      </w:r>
      <w:r w:rsidR="00207023">
        <w:rPr>
          <w:color w:val="000000" w:themeColor="text1"/>
        </w:rPr>
        <w:t>157</w:t>
      </w:r>
      <w:r w:rsidR="00DD1D49" w:rsidRPr="00DD1D49">
        <w:rPr>
          <w:color w:val="000000" w:themeColor="text1"/>
        </w:rPr>
        <w:t>]</w:t>
      </w:r>
      <w:r w:rsidR="003B3846">
        <w:rPr>
          <w:color w:val="000000" w:themeColor="text1"/>
        </w:rPr>
        <w:t xml:space="preserve">. </w:t>
      </w:r>
      <w:r w:rsidRPr="006E2281">
        <w:rPr>
          <w:color w:val="000000" w:themeColor="text1"/>
        </w:rPr>
        <w:t xml:space="preserve">Langlois </w:t>
      </w:r>
      <w:r w:rsidR="008E42CC" w:rsidRPr="006E2281">
        <w:rPr>
          <w:color w:val="000000" w:themeColor="text1"/>
        </w:rPr>
        <w:t>et al.</w:t>
      </w:r>
      <w:r w:rsidRPr="006E2281">
        <w:rPr>
          <w:color w:val="000000" w:themeColor="text1"/>
        </w:rPr>
        <w:t xml:space="preserve"> suggested that ANCA may be associated with a subacut</w:t>
      </w:r>
      <w:r w:rsidR="00B670D2" w:rsidRPr="006E2281">
        <w:rPr>
          <w:color w:val="000000" w:themeColor="text1"/>
        </w:rPr>
        <w:t>e form of infective endocarditis</w:t>
      </w:r>
      <w:r w:rsidRPr="006E2281">
        <w:rPr>
          <w:color w:val="000000" w:themeColor="text1"/>
        </w:rPr>
        <w:t xml:space="preserve"> leading to multiple valve involvement and more frequ</w:t>
      </w:r>
      <w:r w:rsidR="002E3AF8" w:rsidRPr="006E2281">
        <w:rPr>
          <w:color w:val="000000" w:themeColor="text1"/>
        </w:rPr>
        <w:t>ent renal impairment [</w:t>
      </w:r>
      <w:r w:rsidR="00207023">
        <w:rPr>
          <w:color w:val="000000" w:themeColor="text1"/>
        </w:rPr>
        <w:t>155</w:t>
      </w:r>
      <w:r w:rsidRPr="006E2281">
        <w:rPr>
          <w:color w:val="000000" w:themeColor="text1"/>
        </w:rPr>
        <w:t>].</w:t>
      </w:r>
      <w:r w:rsidR="00A71DA9" w:rsidRPr="006E2281">
        <w:rPr>
          <w:color w:val="000000" w:themeColor="text1"/>
        </w:rPr>
        <w:t xml:space="preserve"> </w:t>
      </w:r>
      <w:r w:rsidR="002712A8" w:rsidRPr="002712A8">
        <w:rPr>
          <w:color w:val="000000" w:themeColor="text1"/>
        </w:rPr>
        <w:t xml:space="preserve">Importantly, infective endocarditis should always be excluded in patients presenting with </w:t>
      </w:r>
      <w:r w:rsidR="005519AC">
        <w:rPr>
          <w:color w:val="000000" w:themeColor="text1"/>
        </w:rPr>
        <w:t>AAV</w:t>
      </w:r>
      <w:r w:rsidR="002712A8" w:rsidRPr="002712A8">
        <w:rPr>
          <w:color w:val="000000" w:themeColor="text1"/>
        </w:rPr>
        <w:t xml:space="preserve"> </w:t>
      </w:r>
      <w:r w:rsidR="002E3AF8" w:rsidRPr="006E2281">
        <w:rPr>
          <w:color w:val="000000" w:themeColor="text1"/>
        </w:rPr>
        <w:t>[</w:t>
      </w:r>
      <w:r w:rsidR="00207023">
        <w:rPr>
          <w:color w:val="000000" w:themeColor="text1"/>
        </w:rPr>
        <w:t>158,159</w:t>
      </w:r>
      <w:r w:rsidR="002E3AF8" w:rsidRPr="006E2281">
        <w:rPr>
          <w:color w:val="000000" w:themeColor="text1"/>
        </w:rPr>
        <w:t>]</w:t>
      </w:r>
      <w:r w:rsidR="002712A8" w:rsidRPr="002712A8">
        <w:rPr>
          <w:color w:val="000000" w:themeColor="text1"/>
        </w:rPr>
        <w:t>.</w:t>
      </w:r>
      <w:r w:rsidR="00326DA4">
        <w:rPr>
          <w:color w:val="000000" w:themeColor="text1"/>
        </w:rPr>
        <w:t xml:space="preserve"> </w:t>
      </w:r>
      <w:r w:rsidR="008F756B" w:rsidRPr="006E2281">
        <w:rPr>
          <w:color w:val="000000" w:themeColor="text1"/>
        </w:rPr>
        <w:t xml:space="preserve">The evidence on the clinical implication of </w:t>
      </w:r>
      <w:r w:rsidR="008F756B" w:rsidRPr="006E2281">
        <w:rPr>
          <w:color w:val="000000" w:themeColor="text1"/>
        </w:rPr>
        <w:lastRenderedPageBreak/>
        <w:t>ANCA</w:t>
      </w:r>
      <w:r w:rsidR="008F756B">
        <w:rPr>
          <w:color w:val="000000" w:themeColor="text1"/>
        </w:rPr>
        <w:t>-</w:t>
      </w:r>
      <w:r w:rsidR="008F756B" w:rsidRPr="006E2281">
        <w:rPr>
          <w:color w:val="000000" w:themeColor="text1"/>
        </w:rPr>
        <w:t>positivity in infective endocarditis is inconclusive.</w:t>
      </w:r>
      <w:r w:rsidR="00207023">
        <w:rPr>
          <w:color w:val="000000" w:themeColor="text1"/>
        </w:rPr>
        <w:t xml:space="preserve"> ANCA testing</w:t>
      </w:r>
      <w:r w:rsidR="00207023" w:rsidRPr="00207023">
        <w:rPr>
          <w:color w:val="000000" w:themeColor="text1"/>
        </w:rPr>
        <w:t xml:space="preserve"> may be useful in patients with infective endocarditis</w:t>
      </w:r>
      <w:r w:rsidR="00207023">
        <w:rPr>
          <w:color w:val="000000" w:themeColor="text1"/>
        </w:rPr>
        <w:t xml:space="preserve"> associated with </w:t>
      </w:r>
      <w:r w:rsidR="00207023" w:rsidRPr="00207023">
        <w:rPr>
          <w:color w:val="000000" w:themeColor="text1"/>
        </w:rPr>
        <w:t>renal impairment</w:t>
      </w:r>
      <w:r w:rsidR="00207023">
        <w:rPr>
          <w:color w:val="000000" w:themeColor="text1"/>
        </w:rPr>
        <w:t xml:space="preserve"> [160].</w:t>
      </w:r>
    </w:p>
    <w:p w:rsidR="00326DA4" w:rsidRPr="00326DA4" w:rsidRDefault="008F756B" w:rsidP="00326DA4">
      <w:pPr>
        <w:rPr>
          <w:color w:val="000000" w:themeColor="text1"/>
        </w:rPr>
      </w:pPr>
      <w:r>
        <w:rPr>
          <w:color w:val="000000" w:themeColor="text1"/>
        </w:rPr>
        <w:t>ANCA</w:t>
      </w:r>
      <w:r w:rsidR="00326DA4">
        <w:rPr>
          <w:color w:val="000000" w:themeColor="text1"/>
        </w:rPr>
        <w:t xml:space="preserve"> were also reported in</w:t>
      </w:r>
      <w:r w:rsidR="00207023">
        <w:rPr>
          <w:color w:val="000000" w:themeColor="text1"/>
        </w:rPr>
        <w:t xml:space="preserve"> symptomatic and</w:t>
      </w:r>
      <w:r w:rsidR="00326DA4">
        <w:rPr>
          <w:color w:val="000000" w:themeColor="text1"/>
        </w:rPr>
        <w:t xml:space="preserve"> asymptomatic </w:t>
      </w:r>
      <w:r w:rsidR="00326DA4" w:rsidRPr="00326DA4">
        <w:rPr>
          <w:color w:val="000000" w:themeColor="text1"/>
        </w:rPr>
        <w:t>HIV-infected patients on highly active antiretroviral therap</w:t>
      </w:r>
      <w:r w:rsidR="00326DA4">
        <w:rPr>
          <w:color w:val="000000" w:themeColor="text1"/>
        </w:rPr>
        <w:t>y. However, their</w:t>
      </w:r>
      <w:r w:rsidR="00326DA4" w:rsidRPr="00326DA4">
        <w:rPr>
          <w:color w:val="000000" w:themeColor="text1"/>
        </w:rPr>
        <w:t xml:space="preserve"> </w:t>
      </w:r>
      <w:r w:rsidR="00207023">
        <w:rPr>
          <w:color w:val="000000" w:themeColor="text1"/>
        </w:rPr>
        <w:t xml:space="preserve">target </w:t>
      </w:r>
      <w:r w:rsidR="00326DA4" w:rsidRPr="00326DA4">
        <w:rPr>
          <w:color w:val="000000" w:themeColor="text1"/>
        </w:rPr>
        <w:t>antigen</w:t>
      </w:r>
      <w:r w:rsidR="00207023">
        <w:rPr>
          <w:color w:val="000000" w:themeColor="text1"/>
        </w:rPr>
        <w:t>s</w:t>
      </w:r>
      <w:r w:rsidR="00326DA4" w:rsidRPr="00326DA4">
        <w:rPr>
          <w:color w:val="000000" w:themeColor="text1"/>
        </w:rPr>
        <w:t xml:space="preserve"> </w:t>
      </w:r>
      <w:r w:rsidR="00207023">
        <w:rPr>
          <w:color w:val="000000" w:themeColor="text1"/>
        </w:rPr>
        <w:t>are not well defined</w:t>
      </w:r>
      <w:r w:rsidR="00326DA4">
        <w:rPr>
          <w:color w:val="000000" w:themeColor="text1"/>
        </w:rPr>
        <w:t xml:space="preserve"> [</w:t>
      </w:r>
      <w:r w:rsidR="00207023">
        <w:rPr>
          <w:color w:val="000000" w:themeColor="text1"/>
        </w:rPr>
        <w:t>161,162</w:t>
      </w:r>
      <w:r w:rsidR="00326DA4">
        <w:rPr>
          <w:color w:val="000000" w:themeColor="text1"/>
        </w:rPr>
        <w:t>]</w:t>
      </w:r>
      <w:r w:rsidR="00712B2B">
        <w:rPr>
          <w:color w:val="000000" w:themeColor="text1"/>
        </w:rPr>
        <w:t>.</w:t>
      </w:r>
    </w:p>
    <w:p w:rsidR="002E3AF8" w:rsidRPr="006E2281" w:rsidRDefault="002E3AF8" w:rsidP="005A3B55">
      <w:pPr>
        <w:rPr>
          <w:color w:val="000000" w:themeColor="text1"/>
        </w:rPr>
      </w:pPr>
      <w:r w:rsidRPr="006E2281">
        <w:rPr>
          <w:color w:val="000000" w:themeColor="text1"/>
        </w:rPr>
        <w:t>Temporal association of influenza vaccination with onset or relapse of AAV has been reported in isolated cases [</w:t>
      </w:r>
      <w:r w:rsidR="00207023">
        <w:rPr>
          <w:color w:val="000000" w:themeColor="text1"/>
        </w:rPr>
        <w:t>163-167</w:t>
      </w:r>
      <w:r w:rsidRPr="006E2281">
        <w:rPr>
          <w:color w:val="000000" w:themeColor="text1"/>
        </w:rPr>
        <w:t>]. The nature of this association remains unknown. Jeff</w:t>
      </w:r>
      <w:r w:rsidR="00207023">
        <w:rPr>
          <w:color w:val="000000" w:themeColor="text1"/>
        </w:rPr>
        <w:t>s</w:t>
      </w:r>
      <w:r w:rsidRPr="006E2281">
        <w:rPr>
          <w:color w:val="000000" w:themeColor="text1"/>
        </w:rPr>
        <w:t xml:space="preserve"> et al. showed that only influenza vaccines that contained viral ribonucleic acid (RNA), the natural ligand for Toll-like receptor-7, were able to stimulate PR3-ANCA production</w:t>
      </w:r>
      <w:r w:rsidR="005519AC">
        <w:rPr>
          <w:color w:val="000000" w:themeColor="text1"/>
        </w:rPr>
        <w:t xml:space="preserve"> </w:t>
      </w:r>
      <w:r w:rsidR="00657689">
        <w:rPr>
          <w:color w:val="000000" w:themeColor="text1"/>
        </w:rPr>
        <w:t xml:space="preserve">as measured in </w:t>
      </w:r>
      <w:r w:rsidR="005519AC">
        <w:rPr>
          <w:color w:val="000000" w:themeColor="text1"/>
        </w:rPr>
        <w:t>blood from</w:t>
      </w:r>
      <w:r w:rsidRPr="006E2281">
        <w:rPr>
          <w:color w:val="000000" w:themeColor="text1"/>
        </w:rPr>
        <w:t xml:space="preserve"> a patient who developed AAV shortly following influenza vaccination [</w:t>
      </w:r>
      <w:r w:rsidR="00207023">
        <w:rPr>
          <w:color w:val="000000" w:themeColor="text1"/>
        </w:rPr>
        <w:t>168</w:t>
      </w:r>
      <w:r w:rsidRPr="006E2281">
        <w:rPr>
          <w:color w:val="000000" w:themeColor="text1"/>
        </w:rPr>
        <w:t xml:space="preserve">]. </w:t>
      </w:r>
      <w:r w:rsidR="00EC0FA0">
        <w:rPr>
          <w:color w:val="000000" w:themeColor="text1"/>
        </w:rPr>
        <w:t>Other lines of evidence have implicated vaccine adjuvants in the induction of autoimmune syndromes, including two females who developed ANCA-associated vasculitis after receiving hyaluronic acid and influenza vaccine [</w:t>
      </w:r>
      <w:r w:rsidR="00207023">
        <w:rPr>
          <w:color w:val="000000" w:themeColor="text1"/>
        </w:rPr>
        <w:t>169</w:t>
      </w:r>
      <w:r w:rsidR="00EC0FA0">
        <w:rPr>
          <w:color w:val="000000" w:themeColor="text1"/>
        </w:rPr>
        <w:t>].</w:t>
      </w:r>
    </w:p>
    <w:p w:rsidR="001C4EDB" w:rsidRPr="006E2281" w:rsidRDefault="001C4EDB" w:rsidP="001C4EDB">
      <w:pPr>
        <w:rPr>
          <w:color w:val="000000" w:themeColor="text1"/>
        </w:rPr>
      </w:pPr>
      <w:r w:rsidRPr="006E2281">
        <w:rPr>
          <w:color w:val="000000" w:themeColor="text1"/>
        </w:rPr>
        <w:t xml:space="preserve">In summary, infections can be associated with ANCA-positivity and can mimic AAV. </w:t>
      </w:r>
      <w:r w:rsidR="00DD1D49" w:rsidRPr="00DD1D49">
        <w:rPr>
          <w:color w:val="000000" w:themeColor="text1"/>
        </w:rPr>
        <w:t>Infection may induce an ANCA autoimmune response that causes AAV.</w:t>
      </w:r>
      <w:r w:rsidR="00DD1D49">
        <w:rPr>
          <w:color w:val="000000" w:themeColor="text1"/>
        </w:rPr>
        <w:t xml:space="preserve"> </w:t>
      </w:r>
      <w:r w:rsidRPr="006E2281">
        <w:rPr>
          <w:color w:val="000000" w:themeColor="text1"/>
        </w:rPr>
        <w:t>Exclusion of underlying infection in patient</w:t>
      </w:r>
      <w:r w:rsidR="00A27F79" w:rsidRPr="006E2281">
        <w:rPr>
          <w:color w:val="000000" w:themeColor="text1"/>
        </w:rPr>
        <w:t>s</w:t>
      </w:r>
      <w:r w:rsidRPr="006E2281">
        <w:rPr>
          <w:color w:val="000000" w:themeColor="text1"/>
        </w:rPr>
        <w:t xml:space="preserve"> with suspected AAV is crucial, since immunosuppressive therapy can lead to devastating consequences.</w:t>
      </w:r>
      <w:r w:rsidR="004B5408" w:rsidRPr="006E2281">
        <w:rPr>
          <w:color w:val="000000" w:themeColor="text1"/>
        </w:rPr>
        <w:t xml:space="preserve"> </w:t>
      </w:r>
    </w:p>
    <w:p w:rsidR="00424D7B" w:rsidRPr="006E2281" w:rsidRDefault="00424D7B" w:rsidP="00C271FD">
      <w:pPr>
        <w:rPr>
          <w:rFonts w:cs="Times New Roman"/>
          <w:b/>
          <w:color w:val="000000" w:themeColor="text1"/>
          <w:szCs w:val="20"/>
        </w:rPr>
      </w:pPr>
    </w:p>
    <w:p w:rsidR="0014156C" w:rsidRPr="006E2281" w:rsidRDefault="005A3B55" w:rsidP="00C271FD">
      <w:pPr>
        <w:rPr>
          <w:rFonts w:cs="Times New Roman"/>
          <w:b/>
          <w:color w:val="000000" w:themeColor="text1"/>
          <w:szCs w:val="20"/>
        </w:rPr>
      </w:pPr>
      <w:r w:rsidRPr="006E2281">
        <w:rPr>
          <w:rFonts w:cs="Times New Roman"/>
          <w:b/>
          <w:color w:val="000000" w:themeColor="text1"/>
          <w:szCs w:val="20"/>
        </w:rPr>
        <w:t>Malignancy</w:t>
      </w:r>
    </w:p>
    <w:p w:rsidR="002E3AF8" w:rsidRPr="005519AC" w:rsidRDefault="0014156C" w:rsidP="002E3AF8">
      <w:pPr>
        <w:rPr>
          <w:color w:val="000000" w:themeColor="text1"/>
        </w:rPr>
      </w:pPr>
      <w:r w:rsidRPr="006E2281">
        <w:rPr>
          <w:color w:val="000000" w:themeColor="text1"/>
        </w:rPr>
        <w:t xml:space="preserve">Patients with AAV </w:t>
      </w:r>
      <w:r w:rsidR="000342D9">
        <w:rPr>
          <w:color w:val="000000" w:themeColor="text1"/>
        </w:rPr>
        <w:t xml:space="preserve">used to </w:t>
      </w:r>
      <w:r w:rsidRPr="006E2281">
        <w:rPr>
          <w:color w:val="000000" w:themeColor="text1"/>
        </w:rPr>
        <w:t>have an increased malignancy risk compared with the general population, particularly of the non-melanoma skin cancer (NMSC), leu</w:t>
      </w:r>
      <w:r w:rsidR="0023111E" w:rsidRPr="006E2281">
        <w:rPr>
          <w:color w:val="000000" w:themeColor="text1"/>
        </w:rPr>
        <w:t>kemia and bladder cancer [</w:t>
      </w:r>
      <w:r w:rsidR="00207023">
        <w:rPr>
          <w:color w:val="000000" w:themeColor="text1"/>
        </w:rPr>
        <w:t>170</w:t>
      </w:r>
      <w:r w:rsidRPr="006E2281">
        <w:rPr>
          <w:color w:val="000000" w:themeColor="text1"/>
        </w:rPr>
        <w:t xml:space="preserve">]. </w:t>
      </w:r>
      <w:r w:rsidR="00AE482C">
        <w:rPr>
          <w:color w:val="000000" w:themeColor="text1"/>
        </w:rPr>
        <w:t>As less and less cyclophosphamide is being used for AAV</w:t>
      </w:r>
      <w:r w:rsidRPr="006E2281">
        <w:rPr>
          <w:color w:val="000000" w:themeColor="text1"/>
        </w:rPr>
        <w:t xml:space="preserve">, patients with AAV receiving immunosuppressive therapy </w:t>
      </w:r>
      <w:r w:rsidR="00AE482C">
        <w:rPr>
          <w:color w:val="000000" w:themeColor="text1"/>
        </w:rPr>
        <w:t xml:space="preserve">currently </w:t>
      </w:r>
      <w:r w:rsidRPr="006E2281">
        <w:rPr>
          <w:color w:val="000000" w:themeColor="text1"/>
        </w:rPr>
        <w:t>only show an increased risk of developing NMSC [</w:t>
      </w:r>
      <w:r w:rsidR="00207023">
        <w:rPr>
          <w:color w:val="000000" w:themeColor="text1"/>
        </w:rPr>
        <w:t>171</w:t>
      </w:r>
      <w:r w:rsidRPr="006E2281">
        <w:rPr>
          <w:color w:val="000000" w:themeColor="text1"/>
        </w:rPr>
        <w:t xml:space="preserve">]. Some studies suggested an increased incidence of cancer preceding the development of AAV and a causal relationship or shared pathogenic pathways between </w:t>
      </w:r>
      <w:r w:rsidR="00BF6CEE" w:rsidRPr="006E2281">
        <w:rPr>
          <w:color w:val="000000" w:themeColor="text1"/>
        </w:rPr>
        <w:t xml:space="preserve">the </w:t>
      </w:r>
      <w:r w:rsidRPr="006E2281">
        <w:rPr>
          <w:color w:val="000000" w:themeColor="text1"/>
        </w:rPr>
        <w:t>two diseases [</w:t>
      </w:r>
      <w:r w:rsidR="00207023">
        <w:rPr>
          <w:color w:val="000000" w:themeColor="text1"/>
        </w:rPr>
        <w:t>172,1</w:t>
      </w:r>
      <w:r w:rsidR="00A760C9">
        <w:rPr>
          <w:color w:val="000000" w:themeColor="text1"/>
        </w:rPr>
        <w:t>7</w:t>
      </w:r>
      <w:r w:rsidR="00207023">
        <w:rPr>
          <w:color w:val="000000" w:themeColor="text1"/>
        </w:rPr>
        <w:t>3</w:t>
      </w:r>
      <w:r w:rsidR="002E3AF8" w:rsidRPr="006E2281">
        <w:rPr>
          <w:color w:val="000000" w:themeColor="text1"/>
        </w:rPr>
        <w:t>], whereas</w:t>
      </w:r>
      <w:r w:rsidRPr="006E2281">
        <w:rPr>
          <w:color w:val="000000" w:themeColor="text1"/>
        </w:rPr>
        <w:t xml:space="preserve"> </w:t>
      </w:r>
      <w:r w:rsidR="002E3AF8" w:rsidRPr="006E2281">
        <w:rPr>
          <w:color w:val="000000" w:themeColor="text1"/>
        </w:rPr>
        <w:t xml:space="preserve">an association between malignancies and systemic vasculitis was not confirmed in a recent study in 203 patients with AAV </w:t>
      </w:r>
      <w:r w:rsidR="002712A8" w:rsidRPr="002712A8">
        <w:rPr>
          <w:color w:val="000000" w:themeColor="text1"/>
        </w:rPr>
        <w:t>[</w:t>
      </w:r>
      <w:r w:rsidR="00207023">
        <w:rPr>
          <w:color w:val="000000" w:themeColor="text1"/>
        </w:rPr>
        <w:t>174</w:t>
      </w:r>
      <w:r w:rsidR="002712A8" w:rsidRPr="002712A8">
        <w:rPr>
          <w:color w:val="000000" w:themeColor="text1"/>
        </w:rPr>
        <w:t>].</w:t>
      </w:r>
      <w:r w:rsidR="002E3AF8" w:rsidRPr="006E2281">
        <w:rPr>
          <w:color w:val="000000" w:themeColor="text1"/>
        </w:rPr>
        <w:t xml:space="preserve"> A</w:t>
      </w:r>
      <w:r w:rsidR="002712A8" w:rsidRPr="002712A8">
        <w:rPr>
          <w:color w:val="000000" w:themeColor="text1"/>
        </w:rPr>
        <w:t xml:space="preserve"> possible </w:t>
      </w:r>
      <w:r w:rsidR="00724A52" w:rsidRPr="006E2281">
        <w:rPr>
          <w:color w:val="000000" w:themeColor="text1"/>
        </w:rPr>
        <w:t xml:space="preserve">pathophysiological </w:t>
      </w:r>
      <w:r w:rsidR="002712A8" w:rsidRPr="002712A8">
        <w:rPr>
          <w:color w:val="000000" w:themeColor="text1"/>
        </w:rPr>
        <w:t xml:space="preserve">link between malignancy, particularly, </w:t>
      </w:r>
      <w:r w:rsidR="00673753">
        <w:t>haematologic malignancies</w:t>
      </w:r>
      <w:r w:rsidR="002712A8" w:rsidRPr="002712A8">
        <w:rPr>
          <w:color w:val="000000" w:themeColor="text1"/>
        </w:rPr>
        <w:t xml:space="preserve"> and AAV </w:t>
      </w:r>
      <w:r w:rsidR="00AE482C">
        <w:rPr>
          <w:color w:val="000000" w:themeColor="text1"/>
        </w:rPr>
        <w:t>cannot be excluded</w:t>
      </w:r>
      <w:r w:rsidR="002712A8" w:rsidRPr="002712A8">
        <w:rPr>
          <w:color w:val="000000" w:themeColor="text1"/>
        </w:rPr>
        <w:t xml:space="preserve"> [</w:t>
      </w:r>
      <w:r w:rsidR="00207023">
        <w:rPr>
          <w:color w:val="000000" w:themeColor="text1"/>
        </w:rPr>
        <w:t>175-177</w:t>
      </w:r>
      <w:r w:rsidR="002712A8" w:rsidRPr="002712A8">
        <w:rPr>
          <w:color w:val="000000" w:themeColor="text1"/>
        </w:rPr>
        <w:t>].</w:t>
      </w:r>
      <w:r w:rsidR="00724A52" w:rsidRPr="006E2281">
        <w:rPr>
          <w:color w:val="000000" w:themeColor="text1"/>
        </w:rPr>
        <w:t xml:space="preserve"> Fo</w:t>
      </w:r>
      <w:r w:rsidR="00724A52" w:rsidRPr="005519AC">
        <w:rPr>
          <w:color w:val="000000" w:themeColor="text1"/>
        </w:rPr>
        <w:t xml:space="preserve">rtunately, the occurrence of AAV in these diseases is extremely rare. </w:t>
      </w:r>
      <w:r w:rsidR="002E3AF8" w:rsidRPr="005519AC">
        <w:rPr>
          <w:color w:val="000000" w:themeColor="text1"/>
        </w:rPr>
        <w:t xml:space="preserve">PR3, </w:t>
      </w:r>
      <w:r w:rsidR="005519AC" w:rsidRPr="005519AC">
        <w:rPr>
          <w:color w:val="000000" w:themeColor="text1"/>
        </w:rPr>
        <w:t xml:space="preserve">the </w:t>
      </w:r>
      <w:r w:rsidR="002E3AF8" w:rsidRPr="005519AC">
        <w:rPr>
          <w:color w:val="000000" w:themeColor="text1"/>
        </w:rPr>
        <w:t xml:space="preserve">main autoantigen for GPA, is a </w:t>
      </w:r>
      <w:r w:rsidR="002E3AF8" w:rsidRPr="005519AC">
        <w:rPr>
          <w:color w:val="000000" w:themeColor="text1"/>
          <w:szCs w:val="22"/>
        </w:rPr>
        <w:t xml:space="preserve">feedback regulator in </w:t>
      </w:r>
      <w:r w:rsidR="002E3AF8" w:rsidRPr="005519AC">
        <w:rPr>
          <w:color w:val="000000" w:themeColor="text1"/>
          <w:szCs w:val="22"/>
        </w:rPr>
        <w:lastRenderedPageBreak/>
        <w:t>myeloid differentiation and may be of relevance for</w:t>
      </w:r>
      <w:r w:rsidR="002E3AF8" w:rsidRPr="005519AC">
        <w:rPr>
          <w:color w:val="000000" w:themeColor="text1"/>
        </w:rPr>
        <w:t xml:space="preserve"> the crosstalk between autoimmunity and hematopoietic proliferation [</w:t>
      </w:r>
      <w:r w:rsidR="00207023">
        <w:rPr>
          <w:color w:val="000000" w:themeColor="text1"/>
        </w:rPr>
        <w:t>178,179</w:t>
      </w:r>
      <w:r w:rsidR="002E3AF8" w:rsidRPr="005519AC">
        <w:rPr>
          <w:color w:val="000000" w:themeColor="text1"/>
        </w:rPr>
        <w:t>]. Overexpression of PR3 was shown in acute and chronic myeloid leukemia cell lines [</w:t>
      </w:r>
      <w:r w:rsidR="00207023">
        <w:rPr>
          <w:color w:val="000000" w:themeColor="text1"/>
        </w:rPr>
        <w:t>180,181</w:t>
      </w:r>
      <w:r w:rsidR="002E3AF8" w:rsidRPr="005519AC">
        <w:rPr>
          <w:color w:val="000000" w:themeColor="text1"/>
        </w:rPr>
        <w:t>]. PR3 can induce growth of  hematopoietic  progenitors cells, which could represent one of the early stages in the development of leukemia [</w:t>
      </w:r>
      <w:r w:rsidR="00207023">
        <w:rPr>
          <w:color w:val="000000" w:themeColor="text1"/>
        </w:rPr>
        <w:t>179</w:t>
      </w:r>
      <w:r w:rsidR="002E3AF8" w:rsidRPr="005519AC">
        <w:rPr>
          <w:color w:val="000000" w:themeColor="text1"/>
        </w:rPr>
        <w:t>].</w:t>
      </w:r>
    </w:p>
    <w:p w:rsidR="002E3AF8" w:rsidRPr="006E2281" w:rsidRDefault="002E3AF8" w:rsidP="002E3AF8">
      <w:pPr>
        <w:rPr>
          <w:color w:val="000000" w:themeColor="text1"/>
        </w:rPr>
      </w:pPr>
      <w:r w:rsidRPr="006E2281">
        <w:rPr>
          <w:color w:val="000000" w:themeColor="text1"/>
        </w:rPr>
        <w:t>Various malignancies can be associated with ANCA formation without other evidence for systemic vasculitis [</w:t>
      </w:r>
      <w:r w:rsidR="00207023">
        <w:rPr>
          <w:color w:val="000000" w:themeColor="text1"/>
        </w:rPr>
        <w:t>182</w:t>
      </w:r>
      <w:r w:rsidRPr="006E2281">
        <w:rPr>
          <w:color w:val="000000" w:themeColor="text1"/>
        </w:rPr>
        <w:t xml:space="preserve">]. </w:t>
      </w:r>
      <w:r w:rsidR="00673753" w:rsidRPr="006E2281">
        <w:rPr>
          <w:color w:val="000000" w:themeColor="text1"/>
        </w:rPr>
        <w:t xml:space="preserve">Houben et al. detected malignancy in 4 (4.6%) of 87 </w:t>
      </w:r>
      <w:r w:rsidR="00673753">
        <w:rPr>
          <w:color w:val="000000" w:themeColor="text1"/>
        </w:rPr>
        <w:t xml:space="preserve">antigen-specific </w:t>
      </w:r>
      <w:r w:rsidR="00673753" w:rsidRPr="006E2281">
        <w:rPr>
          <w:color w:val="000000" w:themeColor="text1"/>
        </w:rPr>
        <w:t>ANCA-positive patients without AAV and suggested that a higher ANCA titre and multiple affected organs may help to discriminate AAV from other diseases [</w:t>
      </w:r>
      <w:r w:rsidR="00207023">
        <w:rPr>
          <w:color w:val="000000" w:themeColor="text1"/>
        </w:rPr>
        <w:t>183</w:t>
      </w:r>
      <w:r w:rsidR="00673753" w:rsidRPr="006E2281">
        <w:rPr>
          <w:color w:val="000000" w:themeColor="text1"/>
        </w:rPr>
        <w:t>].</w:t>
      </w:r>
      <w:r w:rsidRPr="006E2281">
        <w:rPr>
          <w:color w:val="000000" w:themeColor="text1"/>
        </w:rPr>
        <w:t xml:space="preserve"> In </w:t>
      </w:r>
      <w:r w:rsidR="005519AC">
        <w:rPr>
          <w:color w:val="000000" w:themeColor="text1"/>
        </w:rPr>
        <w:t>a</w:t>
      </w:r>
      <w:r w:rsidRPr="006E2281">
        <w:rPr>
          <w:color w:val="000000" w:themeColor="text1"/>
        </w:rPr>
        <w:t xml:space="preserve"> study from Turkey, ANCA positivity was detected</w:t>
      </w:r>
      <w:r w:rsidR="005519AC">
        <w:rPr>
          <w:color w:val="000000" w:themeColor="text1"/>
        </w:rPr>
        <w:t xml:space="preserve"> by IIF</w:t>
      </w:r>
      <w:r w:rsidRPr="006E2281">
        <w:rPr>
          <w:color w:val="000000" w:themeColor="text1"/>
        </w:rPr>
        <w:t xml:space="preserve"> in 13.3% of 60 patients with Hodgkin lymphoma and in none of 119 patients with non-Hodgkin lymphoma [</w:t>
      </w:r>
      <w:r w:rsidR="00207023">
        <w:rPr>
          <w:color w:val="000000" w:themeColor="text1"/>
        </w:rPr>
        <w:t>184</w:t>
      </w:r>
      <w:r w:rsidRPr="006E2281">
        <w:rPr>
          <w:color w:val="000000" w:themeColor="text1"/>
        </w:rPr>
        <w:t>]. This association is clinically relevant in the context of differential diagnosis sin</w:t>
      </w:r>
      <w:r w:rsidR="005519AC">
        <w:rPr>
          <w:color w:val="000000" w:themeColor="text1"/>
        </w:rPr>
        <w:t>ce malignancy, particularly lymph</w:t>
      </w:r>
      <w:r w:rsidR="00673753">
        <w:rPr>
          <w:color w:val="000000" w:themeColor="text1"/>
        </w:rPr>
        <w:t xml:space="preserve">oma, with a </w:t>
      </w:r>
      <w:r w:rsidRPr="006E2281">
        <w:rPr>
          <w:color w:val="000000" w:themeColor="text1"/>
        </w:rPr>
        <w:t>high serum ANCA level</w:t>
      </w:r>
      <w:r w:rsidR="00673753">
        <w:rPr>
          <w:color w:val="000000" w:themeColor="text1"/>
        </w:rPr>
        <w:t>,</w:t>
      </w:r>
      <w:r w:rsidRPr="006E2281">
        <w:rPr>
          <w:color w:val="000000" w:themeColor="text1"/>
        </w:rPr>
        <w:t xml:space="preserve"> can resemble AAV [</w:t>
      </w:r>
      <w:r w:rsidR="00207023">
        <w:rPr>
          <w:color w:val="000000" w:themeColor="text1"/>
        </w:rPr>
        <w:t>185-187</w:t>
      </w:r>
      <w:r w:rsidRPr="006E2281">
        <w:rPr>
          <w:color w:val="000000" w:themeColor="text1"/>
        </w:rPr>
        <w:t xml:space="preserve">]. </w:t>
      </w:r>
    </w:p>
    <w:p w:rsidR="00424D7B" w:rsidRPr="006E2281" w:rsidRDefault="00424D7B" w:rsidP="00713C0B">
      <w:pPr>
        <w:rPr>
          <w:b/>
          <w:color w:val="000000" w:themeColor="text1"/>
        </w:rPr>
      </w:pPr>
    </w:p>
    <w:p w:rsidR="00713C0B" w:rsidRPr="006E2281" w:rsidRDefault="00713C0B" w:rsidP="00713C0B">
      <w:pPr>
        <w:rPr>
          <w:b/>
          <w:color w:val="000000" w:themeColor="text1"/>
        </w:rPr>
      </w:pPr>
      <w:r w:rsidRPr="006E2281">
        <w:rPr>
          <w:b/>
          <w:color w:val="000000" w:themeColor="text1"/>
        </w:rPr>
        <w:t>Drug-induced AAV</w:t>
      </w:r>
    </w:p>
    <w:p w:rsidR="0040691F" w:rsidRDefault="00713C0B" w:rsidP="00713C0B">
      <w:pPr>
        <w:rPr>
          <w:color w:val="000000" w:themeColor="text1"/>
        </w:rPr>
      </w:pPr>
      <w:r w:rsidRPr="006E2281">
        <w:rPr>
          <w:color w:val="000000" w:themeColor="text1"/>
        </w:rPr>
        <w:t>Various drugs can trigger development of AAV, including anti-thyroid medications (prophythiouracil, methimazole), antibiotics (cephotaxime, minocycline, rifampicin), tumour necrosis factor-</w:t>
      </w:r>
      <w:r w:rsidRPr="006E2281">
        <w:rPr>
          <w:color w:val="000000" w:themeColor="text1"/>
        </w:rPr>
        <w:sym w:font="Symbol" w:char="F061"/>
      </w:r>
      <w:r w:rsidRPr="006E2281">
        <w:rPr>
          <w:color w:val="000000" w:themeColor="text1"/>
        </w:rPr>
        <w:t xml:space="preserve"> inhibitors (adalimumab, etanercept, infliximab), psychoactive agents (clozapine, thioridazine), hydralazine, allopurinol, D-penicillamine, sulfasalazine, </w:t>
      </w:r>
      <w:r w:rsidR="002712A8" w:rsidRPr="002712A8">
        <w:rPr>
          <w:color w:val="000000" w:themeColor="text1"/>
        </w:rPr>
        <w:t>and levamisole as found in levamisole-adulterated cocain</w:t>
      </w:r>
      <w:r w:rsidR="00EC0FA0">
        <w:rPr>
          <w:color w:val="000000" w:themeColor="text1"/>
        </w:rPr>
        <w:t>e</w:t>
      </w:r>
      <w:r w:rsidR="002712A8" w:rsidRPr="002712A8">
        <w:rPr>
          <w:color w:val="000000" w:themeColor="text1"/>
        </w:rPr>
        <w:t xml:space="preserve"> </w:t>
      </w:r>
      <w:r w:rsidRPr="006E2281">
        <w:rPr>
          <w:color w:val="000000" w:themeColor="text1"/>
        </w:rPr>
        <w:t>[</w:t>
      </w:r>
      <w:r w:rsidR="00207023">
        <w:rPr>
          <w:color w:val="000000" w:themeColor="text1"/>
        </w:rPr>
        <w:t>188-194</w:t>
      </w:r>
      <w:r w:rsidRPr="006E2281">
        <w:rPr>
          <w:color w:val="000000" w:themeColor="text1"/>
        </w:rPr>
        <w:t xml:space="preserve">]. The association between biologic therapy and AAV is of particular importance, given </w:t>
      </w:r>
      <w:r w:rsidR="00EC0FA0">
        <w:rPr>
          <w:color w:val="000000" w:themeColor="text1"/>
        </w:rPr>
        <w:t xml:space="preserve">the </w:t>
      </w:r>
      <w:r w:rsidRPr="006E2281">
        <w:rPr>
          <w:color w:val="000000" w:themeColor="text1"/>
        </w:rPr>
        <w:t>increased use of TNF inhibitors [</w:t>
      </w:r>
      <w:r w:rsidR="00207023">
        <w:rPr>
          <w:color w:val="000000" w:themeColor="text1"/>
        </w:rPr>
        <w:t>195</w:t>
      </w:r>
      <w:r w:rsidRPr="006E2281">
        <w:rPr>
          <w:color w:val="000000" w:themeColor="text1"/>
        </w:rPr>
        <w:t xml:space="preserve">]. </w:t>
      </w:r>
      <w:r w:rsidR="002712A8" w:rsidRPr="002712A8">
        <w:rPr>
          <w:color w:val="000000" w:themeColor="text1"/>
        </w:rPr>
        <w:t>Also, it has been recently reported that immune checkpoint inhibitors</w:t>
      </w:r>
      <w:r w:rsidR="002E3AF8" w:rsidRPr="006E2281">
        <w:rPr>
          <w:color w:val="000000" w:themeColor="text1"/>
        </w:rPr>
        <w:t>,</w:t>
      </w:r>
      <w:r w:rsidR="00724A52" w:rsidRPr="006E2281">
        <w:rPr>
          <w:color w:val="000000" w:themeColor="text1"/>
        </w:rPr>
        <w:t xml:space="preserve"> </w:t>
      </w:r>
      <w:r w:rsidR="003D21F5" w:rsidRPr="006E2281">
        <w:rPr>
          <w:color w:val="000000" w:themeColor="text1"/>
        </w:rPr>
        <w:t>which are increasingly used to treat various forms of cancer</w:t>
      </w:r>
      <w:r w:rsidR="002E3AF8" w:rsidRPr="006E2281">
        <w:rPr>
          <w:color w:val="000000" w:themeColor="text1"/>
        </w:rPr>
        <w:t>,</w:t>
      </w:r>
      <w:r w:rsidR="003D21F5" w:rsidRPr="006E2281">
        <w:rPr>
          <w:color w:val="000000" w:themeColor="text1"/>
        </w:rPr>
        <w:t xml:space="preserve"> </w:t>
      </w:r>
      <w:r w:rsidR="002712A8" w:rsidRPr="002712A8">
        <w:rPr>
          <w:color w:val="000000" w:themeColor="text1"/>
        </w:rPr>
        <w:t xml:space="preserve">may induce AAV </w:t>
      </w:r>
      <w:r w:rsidR="002E3AF8" w:rsidRPr="006E2281">
        <w:rPr>
          <w:color w:val="000000" w:themeColor="text1"/>
        </w:rPr>
        <w:t>[</w:t>
      </w:r>
      <w:r w:rsidR="00207023">
        <w:rPr>
          <w:color w:val="000000" w:themeColor="text1"/>
        </w:rPr>
        <w:t>196</w:t>
      </w:r>
      <w:r w:rsidR="002E3AF8" w:rsidRPr="006E2281">
        <w:rPr>
          <w:color w:val="000000" w:themeColor="text1"/>
        </w:rPr>
        <w:t>]</w:t>
      </w:r>
      <w:r w:rsidR="002712A8" w:rsidRPr="002712A8">
        <w:rPr>
          <w:color w:val="000000" w:themeColor="text1"/>
        </w:rPr>
        <w:t xml:space="preserve">. </w:t>
      </w:r>
      <w:r w:rsidRPr="006E2281">
        <w:rPr>
          <w:color w:val="000000" w:themeColor="text1"/>
        </w:rPr>
        <w:t xml:space="preserve">Most patients with drug-induced AAV have MPO-ANCA, frequently in combination with antibodies to other neutrophil cytoplasmic proteins </w:t>
      </w:r>
      <w:r w:rsidR="00F8340D" w:rsidRPr="006E2281">
        <w:rPr>
          <w:color w:val="000000" w:themeColor="text1"/>
        </w:rPr>
        <w:t xml:space="preserve">(such as PR3 and human neutrophil elastase [HNE]) </w:t>
      </w:r>
      <w:r w:rsidRPr="006E2281">
        <w:rPr>
          <w:color w:val="000000" w:themeColor="text1"/>
        </w:rPr>
        <w:t>and anti-nuclear antibodies</w:t>
      </w:r>
      <w:r w:rsidR="002E3AF8" w:rsidRPr="006E2281">
        <w:rPr>
          <w:color w:val="000000" w:themeColor="text1"/>
        </w:rPr>
        <w:t xml:space="preserve"> [</w:t>
      </w:r>
      <w:r w:rsidR="00207023">
        <w:rPr>
          <w:color w:val="000000" w:themeColor="text1"/>
        </w:rPr>
        <w:t>193</w:t>
      </w:r>
      <w:r w:rsidR="002E3AF8" w:rsidRPr="006E2281">
        <w:rPr>
          <w:color w:val="000000" w:themeColor="text1"/>
        </w:rPr>
        <w:t>]</w:t>
      </w:r>
      <w:r w:rsidRPr="006E2281">
        <w:rPr>
          <w:color w:val="000000" w:themeColor="text1"/>
        </w:rPr>
        <w:t xml:space="preserve">. </w:t>
      </w:r>
      <w:r w:rsidR="00673753">
        <w:t>Dual positivity for MPO</w:t>
      </w:r>
      <w:r w:rsidR="00657689">
        <w:t>-</w:t>
      </w:r>
      <w:r w:rsidR="00673753">
        <w:t xml:space="preserve"> and PR3</w:t>
      </w:r>
      <w:r w:rsidR="00657689">
        <w:t>-ANCA</w:t>
      </w:r>
      <w:r w:rsidR="00673753">
        <w:t xml:space="preserve"> is suggestive of drug-induced disease. </w:t>
      </w:r>
      <w:r w:rsidR="000342D9">
        <w:rPr>
          <w:color w:val="000000" w:themeColor="text1"/>
        </w:rPr>
        <w:t>Data</w:t>
      </w:r>
      <w:r w:rsidR="002712A8" w:rsidRPr="002712A8">
        <w:rPr>
          <w:color w:val="000000" w:themeColor="text1"/>
        </w:rPr>
        <w:t xml:space="preserve"> suggest that the overall prognosis of drug-induced AAV might be better than that of primary AAV, although </w:t>
      </w:r>
      <w:r w:rsidR="000342D9">
        <w:rPr>
          <w:color w:val="000000" w:themeColor="text1"/>
        </w:rPr>
        <w:t>strong</w:t>
      </w:r>
      <w:r w:rsidR="002712A8" w:rsidRPr="002712A8">
        <w:rPr>
          <w:color w:val="000000" w:themeColor="text1"/>
        </w:rPr>
        <w:t xml:space="preserve"> evidence for this suggestion is </w:t>
      </w:r>
      <w:r w:rsidR="000342D9">
        <w:rPr>
          <w:color w:val="000000" w:themeColor="text1"/>
        </w:rPr>
        <w:t>lacking</w:t>
      </w:r>
      <w:r w:rsidR="002712A8" w:rsidRPr="002712A8">
        <w:rPr>
          <w:color w:val="000000" w:themeColor="text1"/>
        </w:rPr>
        <w:t xml:space="preserve"> </w:t>
      </w:r>
      <w:r w:rsidR="00B670D2" w:rsidRPr="006E2281">
        <w:rPr>
          <w:color w:val="000000" w:themeColor="text1"/>
        </w:rPr>
        <w:t>[</w:t>
      </w:r>
      <w:r w:rsidR="00207023">
        <w:rPr>
          <w:color w:val="000000" w:themeColor="text1"/>
        </w:rPr>
        <w:t>189,191</w:t>
      </w:r>
      <w:r w:rsidRPr="006E2281">
        <w:rPr>
          <w:color w:val="000000" w:themeColor="text1"/>
        </w:rPr>
        <w:t>].</w:t>
      </w:r>
    </w:p>
    <w:p w:rsidR="00683D47" w:rsidRPr="00673753" w:rsidRDefault="00713C0B" w:rsidP="00713C0B">
      <w:pPr>
        <w:rPr>
          <w:color w:val="000000" w:themeColor="text1"/>
          <w:szCs w:val="23"/>
        </w:rPr>
      </w:pPr>
      <w:r w:rsidRPr="006E2281">
        <w:rPr>
          <w:color w:val="000000" w:themeColor="text1"/>
        </w:rPr>
        <w:lastRenderedPageBreak/>
        <w:t xml:space="preserve">In several studies, the </w:t>
      </w:r>
      <w:r w:rsidR="00505A0E" w:rsidRPr="006E2281">
        <w:rPr>
          <w:color w:val="000000" w:themeColor="text1"/>
        </w:rPr>
        <w:t xml:space="preserve">median </w:t>
      </w:r>
      <w:r w:rsidRPr="006E2281">
        <w:rPr>
          <w:color w:val="000000" w:themeColor="text1"/>
        </w:rPr>
        <w:t xml:space="preserve">prevalence of ANCA-positivity </w:t>
      </w:r>
      <w:r w:rsidR="00505A0E" w:rsidRPr="006E2281">
        <w:rPr>
          <w:color w:val="000000" w:themeColor="text1"/>
        </w:rPr>
        <w:t xml:space="preserve">was 30% </w:t>
      </w:r>
      <w:r w:rsidRPr="006E2281">
        <w:rPr>
          <w:color w:val="000000" w:themeColor="text1"/>
        </w:rPr>
        <w:t xml:space="preserve">with propylthiouracil, and </w:t>
      </w:r>
      <w:r w:rsidR="00505A0E" w:rsidRPr="006E2281">
        <w:rPr>
          <w:color w:val="000000" w:themeColor="text1"/>
        </w:rPr>
        <w:t xml:space="preserve">6% </w:t>
      </w:r>
      <w:r w:rsidRPr="006E2281">
        <w:rPr>
          <w:color w:val="000000" w:themeColor="text1"/>
        </w:rPr>
        <w:t>with methyl-mercapto-imidazole derivatives [</w:t>
      </w:r>
      <w:r w:rsidR="00207023">
        <w:rPr>
          <w:color w:val="000000" w:themeColor="text1"/>
        </w:rPr>
        <w:t>197</w:t>
      </w:r>
      <w:r w:rsidRPr="006E2281">
        <w:rPr>
          <w:color w:val="000000" w:themeColor="text1"/>
        </w:rPr>
        <w:t xml:space="preserve">]. Young age and the duration of antithyroid drug therapy were the main factors contributing to the emergence of </w:t>
      </w:r>
      <w:r w:rsidR="008F756B">
        <w:rPr>
          <w:color w:val="000000" w:themeColor="text1"/>
        </w:rPr>
        <w:t>ANCA</w:t>
      </w:r>
      <w:r w:rsidRPr="006E2281">
        <w:rPr>
          <w:color w:val="000000" w:themeColor="text1"/>
        </w:rPr>
        <w:t xml:space="preserve">. In total, </w:t>
      </w:r>
      <w:r w:rsidRPr="006E2281">
        <w:rPr>
          <w:color w:val="000000" w:themeColor="text1"/>
          <w:szCs w:val="23"/>
        </w:rPr>
        <w:t xml:space="preserve">ANCA positivity was found in 223 of 1056 patients (21%), irrespective of the type of </w:t>
      </w:r>
      <w:r w:rsidRPr="006E2281">
        <w:rPr>
          <w:color w:val="000000" w:themeColor="text1"/>
        </w:rPr>
        <w:t>antithyroid drug</w:t>
      </w:r>
      <w:r w:rsidRPr="006E2281">
        <w:rPr>
          <w:color w:val="000000" w:themeColor="text1"/>
          <w:szCs w:val="23"/>
        </w:rPr>
        <w:t xml:space="preserve"> administered. </w:t>
      </w:r>
      <w:r w:rsidR="003D21F5" w:rsidRPr="006E2281">
        <w:rPr>
          <w:color w:val="000000" w:themeColor="text1"/>
          <w:szCs w:val="23"/>
        </w:rPr>
        <w:t>Only 3</w:t>
      </w:r>
      <w:r w:rsidRPr="006E2281">
        <w:rPr>
          <w:color w:val="000000" w:themeColor="text1"/>
          <w:szCs w:val="23"/>
        </w:rPr>
        <w:t xml:space="preserve">3 </w:t>
      </w:r>
      <w:r w:rsidR="00673753">
        <w:rPr>
          <w:color w:val="000000" w:themeColor="text1"/>
          <w:szCs w:val="23"/>
        </w:rPr>
        <w:t>(</w:t>
      </w:r>
      <w:r w:rsidR="00673753" w:rsidRPr="006E2281">
        <w:rPr>
          <w:color w:val="000000" w:themeColor="text1"/>
          <w:szCs w:val="23"/>
        </w:rPr>
        <w:t>3% of the total population or 15% of the ANCA-positive cases</w:t>
      </w:r>
      <w:r w:rsidR="00673753">
        <w:rPr>
          <w:color w:val="000000" w:themeColor="text1"/>
          <w:szCs w:val="23"/>
        </w:rPr>
        <w:t xml:space="preserve">) </w:t>
      </w:r>
      <w:r w:rsidRPr="006E2281">
        <w:rPr>
          <w:color w:val="000000" w:themeColor="text1"/>
          <w:szCs w:val="23"/>
        </w:rPr>
        <w:t xml:space="preserve">presented with </w:t>
      </w:r>
      <w:r w:rsidR="00673753">
        <w:rPr>
          <w:color w:val="000000" w:themeColor="text1"/>
          <w:szCs w:val="23"/>
        </w:rPr>
        <w:t xml:space="preserve">clinical manifestations of AAV. </w:t>
      </w:r>
      <w:r w:rsidR="002712A8" w:rsidRPr="002712A8">
        <w:rPr>
          <w:color w:val="000000" w:themeColor="text1"/>
          <w:szCs w:val="23"/>
        </w:rPr>
        <w:t>Similar findings wer</w:t>
      </w:r>
      <w:r w:rsidR="00492E33">
        <w:rPr>
          <w:color w:val="000000" w:themeColor="text1"/>
          <w:szCs w:val="23"/>
        </w:rPr>
        <w:t xml:space="preserve">e previously also observed in </w:t>
      </w:r>
      <w:r w:rsidR="002712A8" w:rsidRPr="002712A8">
        <w:rPr>
          <w:color w:val="000000" w:themeColor="text1"/>
          <w:szCs w:val="23"/>
        </w:rPr>
        <w:t>long-term follow-up stud</w:t>
      </w:r>
      <w:r w:rsidR="006070AE">
        <w:rPr>
          <w:color w:val="000000" w:themeColor="text1"/>
          <w:szCs w:val="23"/>
        </w:rPr>
        <w:t>ies</w:t>
      </w:r>
      <w:r w:rsidR="002712A8" w:rsidRPr="002712A8">
        <w:rPr>
          <w:color w:val="000000" w:themeColor="text1"/>
          <w:szCs w:val="23"/>
        </w:rPr>
        <w:t xml:space="preserve"> </w:t>
      </w:r>
      <w:r w:rsidR="003E158D" w:rsidRPr="006E2281">
        <w:rPr>
          <w:color w:val="000000" w:themeColor="text1"/>
          <w:szCs w:val="23"/>
        </w:rPr>
        <w:t xml:space="preserve">as </w:t>
      </w:r>
      <w:r w:rsidR="002712A8" w:rsidRPr="002712A8">
        <w:rPr>
          <w:color w:val="000000" w:themeColor="text1"/>
          <w:szCs w:val="23"/>
        </w:rPr>
        <w:t>performed in the Netherlands</w:t>
      </w:r>
      <w:r w:rsidR="006070AE">
        <w:rPr>
          <w:color w:val="000000" w:themeColor="text1"/>
          <w:szCs w:val="23"/>
        </w:rPr>
        <w:t xml:space="preserve"> and Chin</w:t>
      </w:r>
      <w:r w:rsidR="00EC0FA0">
        <w:rPr>
          <w:color w:val="000000" w:themeColor="text1"/>
          <w:szCs w:val="23"/>
        </w:rPr>
        <w:t>a</w:t>
      </w:r>
      <w:r w:rsidR="002712A8" w:rsidRPr="002712A8">
        <w:rPr>
          <w:color w:val="000000" w:themeColor="text1"/>
          <w:szCs w:val="23"/>
        </w:rPr>
        <w:t xml:space="preserve"> </w:t>
      </w:r>
      <w:r w:rsidR="002E3AF8" w:rsidRPr="006E2281">
        <w:rPr>
          <w:color w:val="000000" w:themeColor="text1"/>
          <w:szCs w:val="23"/>
        </w:rPr>
        <w:t>[</w:t>
      </w:r>
      <w:r w:rsidR="00207023">
        <w:rPr>
          <w:color w:val="000000" w:themeColor="text1"/>
          <w:szCs w:val="23"/>
        </w:rPr>
        <w:t>188,198</w:t>
      </w:r>
      <w:r w:rsidR="002E3AF8" w:rsidRPr="006E2281">
        <w:rPr>
          <w:color w:val="000000" w:themeColor="text1"/>
          <w:szCs w:val="23"/>
        </w:rPr>
        <w:t>]</w:t>
      </w:r>
      <w:r w:rsidR="002712A8" w:rsidRPr="002712A8">
        <w:rPr>
          <w:color w:val="000000" w:themeColor="text1"/>
          <w:szCs w:val="23"/>
        </w:rPr>
        <w:t xml:space="preserve">. Whether routine screening for ANCA during </w:t>
      </w:r>
      <w:r w:rsidR="002712A8" w:rsidRPr="002712A8">
        <w:rPr>
          <w:color w:val="000000" w:themeColor="text1"/>
        </w:rPr>
        <w:t>antithyroid drug therapy should be performed is, however, still controversial.</w:t>
      </w:r>
    </w:p>
    <w:p w:rsidR="003B3846" w:rsidRDefault="003B3846" w:rsidP="00713C0B">
      <w:pPr>
        <w:rPr>
          <w:color w:val="000000" w:themeColor="text1"/>
        </w:rPr>
      </w:pPr>
      <w:r>
        <w:rPr>
          <w:color w:val="000000" w:themeColor="text1"/>
        </w:rPr>
        <w:t>Cocaine inhalation can induce a destructive chronic inflammatory syndrome of the upper respiratory tract with similarities to GPA. ANCA with reactivities to elastase</w:t>
      </w:r>
      <w:r w:rsidR="00657689">
        <w:rPr>
          <w:color w:val="000000" w:themeColor="text1"/>
        </w:rPr>
        <w:t xml:space="preserve"> or</w:t>
      </w:r>
      <w:r>
        <w:rPr>
          <w:color w:val="000000" w:themeColor="text1"/>
        </w:rPr>
        <w:t xml:space="preserve"> cathepsin G have been reported in this setting but PR3-ANCA can also be found, further complicating the differential diagnosis [</w:t>
      </w:r>
      <w:r w:rsidR="00207023">
        <w:rPr>
          <w:color w:val="000000" w:themeColor="text1"/>
        </w:rPr>
        <w:t>199</w:t>
      </w:r>
      <w:r>
        <w:rPr>
          <w:color w:val="000000" w:themeColor="text1"/>
        </w:rPr>
        <w:t xml:space="preserve">]. </w:t>
      </w:r>
      <w:r w:rsidR="00207023">
        <w:rPr>
          <w:color w:val="000000" w:themeColor="text1"/>
        </w:rPr>
        <w:t>S</w:t>
      </w:r>
      <w:r>
        <w:rPr>
          <w:color w:val="000000" w:themeColor="text1"/>
        </w:rPr>
        <w:t xml:space="preserve">ystemic vasculitis </w:t>
      </w:r>
      <w:r w:rsidR="00207023">
        <w:rPr>
          <w:color w:val="000000" w:themeColor="text1"/>
        </w:rPr>
        <w:t xml:space="preserve">and/or cutaneous vasculitis </w:t>
      </w:r>
      <w:r>
        <w:rPr>
          <w:color w:val="000000" w:themeColor="text1"/>
        </w:rPr>
        <w:t xml:space="preserve">associated with both PR3 and MPO-ANCA has been reported following the use of levamisole </w:t>
      </w:r>
      <w:r w:rsidR="00207023">
        <w:rPr>
          <w:color w:val="000000" w:themeColor="text1"/>
        </w:rPr>
        <w:t>adulterated cocaine that is either inhaled as cocaine powder or smoked as crack cocaine</w:t>
      </w:r>
      <w:r>
        <w:rPr>
          <w:color w:val="000000" w:themeColor="text1"/>
        </w:rPr>
        <w:t>.</w:t>
      </w:r>
    </w:p>
    <w:p w:rsidR="00683D47" w:rsidRPr="006E2281" w:rsidRDefault="00683D47" w:rsidP="00713C0B">
      <w:pPr>
        <w:rPr>
          <w:color w:val="000000" w:themeColor="text1"/>
        </w:rPr>
      </w:pPr>
    </w:p>
    <w:p w:rsidR="006E2281" w:rsidRPr="006E2281" w:rsidRDefault="006E2281" w:rsidP="006E2281">
      <w:pPr>
        <w:rPr>
          <w:b/>
          <w:color w:val="000000" w:themeColor="text1"/>
        </w:rPr>
      </w:pPr>
      <w:r w:rsidRPr="006E2281">
        <w:rPr>
          <w:b/>
          <w:color w:val="000000" w:themeColor="text1"/>
        </w:rPr>
        <w:t>Other diseases</w:t>
      </w:r>
    </w:p>
    <w:p w:rsidR="00326DA4" w:rsidRDefault="006E2281" w:rsidP="006E2281">
      <w:pPr>
        <w:rPr>
          <w:color w:val="000000" w:themeColor="text1"/>
        </w:rPr>
      </w:pPr>
      <w:r w:rsidRPr="006E2281">
        <w:rPr>
          <w:color w:val="000000" w:themeColor="text1"/>
        </w:rPr>
        <w:t xml:space="preserve">Cholesterol emboli syndrome occurring in patients with severe atherosclerosis is associated with acrocyanosis, livedo reticularis, progressive renal failure, and other signs and symptoms (e.g. fever, weight loss, myalgia, leucocytosis, eosinophilia, raised ESR and CRP) mimicking vasculitis. ANCA-positivity, mostly MPO-ANCA, has been reported in a few patients with </w:t>
      </w:r>
      <w:r w:rsidR="00673753">
        <w:t>this syndrome</w:t>
      </w:r>
      <w:r w:rsidRPr="006E2281">
        <w:rPr>
          <w:color w:val="000000" w:themeColor="text1"/>
        </w:rPr>
        <w:t xml:space="preserve">. Some </w:t>
      </w:r>
      <w:r w:rsidR="00673753">
        <w:rPr>
          <w:color w:val="000000" w:themeColor="text1"/>
        </w:rPr>
        <w:t>have</w:t>
      </w:r>
      <w:r w:rsidRPr="006E2281">
        <w:rPr>
          <w:color w:val="000000" w:themeColor="text1"/>
        </w:rPr>
        <w:t xml:space="preserve"> responded to treatment with </w:t>
      </w:r>
      <w:r w:rsidR="00673753" w:rsidRPr="00D1448F">
        <w:t>glucocortico</w:t>
      </w:r>
      <w:r w:rsidR="00673753">
        <w:t>ids</w:t>
      </w:r>
      <w:r w:rsidRPr="006E2281">
        <w:rPr>
          <w:color w:val="000000" w:themeColor="text1"/>
        </w:rPr>
        <w:t xml:space="preserve"> with or without cyclophosphamide [</w:t>
      </w:r>
      <w:r w:rsidR="00207023">
        <w:rPr>
          <w:color w:val="000000" w:themeColor="text1"/>
        </w:rPr>
        <w:t>200,201</w:t>
      </w:r>
      <w:r w:rsidRPr="006E2281">
        <w:rPr>
          <w:color w:val="000000" w:themeColor="text1"/>
        </w:rPr>
        <w:t>]. Nevertheless, the role of ANCA in cholesterol emboli syndrome is unclear [</w:t>
      </w:r>
      <w:r w:rsidR="00207023">
        <w:rPr>
          <w:color w:val="000000" w:themeColor="text1"/>
        </w:rPr>
        <w:t>202</w:t>
      </w:r>
      <w:r w:rsidRPr="006E2281">
        <w:rPr>
          <w:color w:val="000000" w:themeColor="text1"/>
        </w:rPr>
        <w:t xml:space="preserve">]. In one study, the prevalence of </w:t>
      </w:r>
      <w:r w:rsidR="008F756B">
        <w:rPr>
          <w:color w:val="000000" w:themeColor="text1"/>
        </w:rPr>
        <w:t>P-ANCA</w:t>
      </w:r>
      <w:r w:rsidRPr="006E2281">
        <w:rPr>
          <w:color w:val="000000" w:themeColor="text1"/>
        </w:rPr>
        <w:t xml:space="preserve"> was found to be 5.6% in 286 patients with premature atherosclerosis, whereas the</w:t>
      </w:r>
      <w:r w:rsidR="00A760C9">
        <w:rPr>
          <w:color w:val="000000" w:themeColor="text1"/>
        </w:rPr>
        <w:t xml:space="preserve"> prevalence of MPO-ANCA was 1% </w:t>
      </w:r>
      <w:r w:rsidRPr="006E2281">
        <w:rPr>
          <w:color w:val="000000" w:themeColor="text1"/>
        </w:rPr>
        <w:t>[</w:t>
      </w:r>
      <w:r w:rsidR="00207023">
        <w:rPr>
          <w:color w:val="000000" w:themeColor="text1"/>
        </w:rPr>
        <w:t>203</w:t>
      </w:r>
      <w:r w:rsidRPr="006E2281">
        <w:rPr>
          <w:color w:val="000000" w:themeColor="text1"/>
        </w:rPr>
        <w:t>]. However, ANCA did not appear to play a role in early atherosclerosis given the absence of any differences in the incidence of cardiovascular risk factors or in serum markers of inflammation between ANCA-positive and ANCA-negative patients.</w:t>
      </w:r>
    </w:p>
    <w:p w:rsidR="001D13A5" w:rsidRDefault="00657689" w:rsidP="00326DA4">
      <w:pPr>
        <w:rPr>
          <w:color w:val="000000" w:themeColor="text1"/>
        </w:rPr>
      </w:pPr>
      <w:r>
        <w:rPr>
          <w:color w:val="000000" w:themeColor="text1"/>
        </w:rPr>
        <w:lastRenderedPageBreak/>
        <w:t>ANCA</w:t>
      </w:r>
      <w:r w:rsidR="00326DA4" w:rsidRPr="00326DA4">
        <w:rPr>
          <w:color w:val="000000" w:themeColor="text1"/>
        </w:rPr>
        <w:t xml:space="preserve"> with bactericidal/permeability-increasing protein (BPI-ANCA) specificity</w:t>
      </w:r>
      <w:r w:rsidR="00326DA4">
        <w:rPr>
          <w:color w:val="000000" w:themeColor="text1"/>
        </w:rPr>
        <w:t xml:space="preserve"> have been reported to occur in </w:t>
      </w:r>
      <w:r w:rsidR="00326DA4" w:rsidRPr="00326DA4">
        <w:rPr>
          <w:color w:val="000000" w:themeColor="text1"/>
        </w:rPr>
        <w:t>17.9% to 83</w:t>
      </w:r>
      <w:r w:rsidR="00326DA4">
        <w:rPr>
          <w:color w:val="000000" w:themeColor="text1"/>
        </w:rPr>
        <w:t>.0</w:t>
      </w:r>
      <w:r w:rsidR="00326DA4" w:rsidRPr="00326DA4">
        <w:rPr>
          <w:color w:val="000000" w:themeColor="text1"/>
        </w:rPr>
        <w:t>% cystic f</w:t>
      </w:r>
      <w:r w:rsidR="00326DA4">
        <w:rPr>
          <w:color w:val="000000" w:themeColor="text1"/>
        </w:rPr>
        <w:t>ibrosis</w:t>
      </w:r>
      <w:r w:rsidR="00326DA4" w:rsidRPr="00326DA4">
        <w:rPr>
          <w:color w:val="000000" w:themeColor="text1"/>
        </w:rPr>
        <w:t xml:space="preserve"> patients</w:t>
      </w:r>
      <w:r w:rsidR="00326DA4">
        <w:rPr>
          <w:color w:val="000000" w:themeColor="text1"/>
        </w:rPr>
        <w:t xml:space="preserve"> with a pooled prevalence of 49.</w:t>
      </w:r>
      <w:r w:rsidR="00326DA4" w:rsidRPr="00326DA4">
        <w:rPr>
          <w:color w:val="000000" w:themeColor="text1"/>
        </w:rPr>
        <w:t>5%</w:t>
      </w:r>
      <w:r w:rsidR="00326DA4">
        <w:rPr>
          <w:color w:val="000000" w:themeColor="text1"/>
        </w:rPr>
        <w:t xml:space="preserve"> [</w:t>
      </w:r>
      <w:r w:rsidR="00207023">
        <w:rPr>
          <w:rFonts w:cs="Times New Roman"/>
          <w:color w:val="000000" w:themeColor="text1"/>
          <w:szCs w:val="20"/>
        </w:rPr>
        <w:t>204</w:t>
      </w:r>
      <w:r w:rsidR="00326DA4">
        <w:rPr>
          <w:rFonts w:cs="Times New Roman"/>
          <w:color w:val="000000" w:themeColor="text1"/>
          <w:szCs w:val="20"/>
        </w:rPr>
        <w:t>].</w:t>
      </w:r>
      <w:r w:rsidR="00326DA4" w:rsidRPr="00326DA4">
        <w:rPr>
          <w:rFonts w:cs="Times New Roman"/>
          <w:color w:val="000000" w:themeColor="text1"/>
          <w:szCs w:val="20"/>
        </w:rPr>
        <w:t xml:space="preserve"> </w:t>
      </w:r>
      <w:r w:rsidR="00326DA4">
        <w:rPr>
          <w:color w:val="000000" w:themeColor="text1"/>
        </w:rPr>
        <w:t xml:space="preserve">ANCA against BPI, </w:t>
      </w:r>
      <w:r w:rsidR="00326DA4" w:rsidRPr="00326DA4">
        <w:rPr>
          <w:color w:val="000000" w:themeColor="text1"/>
        </w:rPr>
        <w:t>an endogenous protein with</w:t>
      </w:r>
      <w:r w:rsidR="00326DA4">
        <w:rPr>
          <w:color w:val="000000" w:themeColor="text1"/>
        </w:rPr>
        <w:t xml:space="preserve"> a</w:t>
      </w:r>
      <w:r w:rsidR="00326DA4" w:rsidRPr="00326DA4">
        <w:rPr>
          <w:color w:val="000000" w:themeColor="text1"/>
        </w:rPr>
        <w:t xml:space="preserve"> potent</w:t>
      </w:r>
      <w:r w:rsidR="00326DA4">
        <w:rPr>
          <w:color w:val="000000" w:themeColor="text1"/>
        </w:rPr>
        <w:t xml:space="preserve"> </w:t>
      </w:r>
      <w:r w:rsidR="00326DA4" w:rsidRPr="00326DA4">
        <w:rPr>
          <w:color w:val="000000" w:themeColor="text1"/>
        </w:rPr>
        <w:t>killing activity</w:t>
      </w:r>
      <w:r w:rsidR="00326DA4" w:rsidRPr="00326DA4">
        <w:t xml:space="preserve"> </w:t>
      </w:r>
      <w:r w:rsidR="00326DA4">
        <w:t xml:space="preserve">against </w:t>
      </w:r>
      <w:r w:rsidR="00326DA4" w:rsidRPr="00326DA4">
        <w:rPr>
          <w:color w:val="000000" w:themeColor="text1"/>
        </w:rPr>
        <w:t>Gram-negative bacteria, such as</w:t>
      </w:r>
      <w:r w:rsidR="00326DA4">
        <w:rPr>
          <w:color w:val="000000" w:themeColor="text1"/>
        </w:rPr>
        <w:t xml:space="preserve"> </w:t>
      </w:r>
      <w:r w:rsidR="00326DA4" w:rsidRPr="00326DA4">
        <w:rPr>
          <w:i/>
          <w:color w:val="000000" w:themeColor="text1"/>
        </w:rPr>
        <w:t>Pseudomonas aeruginosa</w:t>
      </w:r>
      <w:r w:rsidR="00326DA4">
        <w:rPr>
          <w:color w:val="000000" w:themeColor="text1"/>
        </w:rPr>
        <w:t>,</w:t>
      </w:r>
      <w:r w:rsidR="00326DA4" w:rsidRPr="00326DA4">
        <w:rPr>
          <w:color w:val="000000" w:themeColor="text1"/>
        </w:rPr>
        <w:t xml:space="preserve"> develop in response to </w:t>
      </w:r>
      <w:r w:rsidR="00326DA4">
        <w:rPr>
          <w:color w:val="000000" w:themeColor="text1"/>
        </w:rPr>
        <w:t xml:space="preserve">bacterial </w:t>
      </w:r>
      <w:r w:rsidR="00326DA4" w:rsidRPr="00326DA4">
        <w:rPr>
          <w:color w:val="000000" w:themeColor="text1"/>
        </w:rPr>
        <w:t>infection and colonization</w:t>
      </w:r>
      <w:r w:rsidR="00326DA4">
        <w:rPr>
          <w:color w:val="000000" w:themeColor="text1"/>
        </w:rPr>
        <w:t xml:space="preserve"> and may </w:t>
      </w:r>
      <w:r w:rsidR="00326DA4" w:rsidRPr="00326DA4">
        <w:rPr>
          <w:color w:val="000000" w:themeColor="text1"/>
        </w:rPr>
        <w:t>decrease host defense responses in the lung parenchyma</w:t>
      </w:r>
      <w:r w:rsidR="00326DA4">
        <w:rPr>
          <w:color w:val="000000" w:themeColor="text1"/>
        </w:rPr>
        <w:t xml:space="preserve"> and</w:t>
      </w:r>
      <w:r w:rsidR="00326DA4" w:rsidRPr="00326DA4">
        <w:rPr>
          <w:color w:val="000000" w:themeColor="text1"/>
        </w:rPr>
        <w:t xml:space="preserve"> slow</w:t>
      </w:r>
      <w:r w:rsidR="00326DA4">
        <w:rPr>
          <w:color w:val="000000" w:themeColor="text1"/>
        </w:rPr>
        <w:t xml:space="preserve"> bacterial clearance. Several studies suggested that BPI-ANCA may be</w:t>
      </w:r>
      <w:r w:rsidR="00326DA4" w:rsidRPr="00326DA4">
        <w:rPr>
          <w:color w:val="000000" w:themeColor="text1"/>
        </w:rPr>
        <w:t xml:space="preserve"> a biomarker for deteriorating</w:t>
      </w:r>
      <w:r w:rsidR="00326DA4">
        <w:rPr>
          <w:color w:val="000000" w:themeColor="text1"/>
        </w:rPr>
        <w:t xml:space="preserve"> </w:t>
      </w:r>
      <w:r w:rsidR="00326DA4" w:rsidRPr="00326DA4">
        <w:rPr>
          <w:color w:val="000000" w:themeColor="text1"/>
        </w:rPr>
        <w:t>lung function</w:t>
      </w:r>
      <w:r w:rsidR="00326DA4">
        <w:rPr>
          <w:color w:val="000000" w:themeColor="text1"/>
        </w:rPr>
        <w:t xml:space="preserve"> and a poor prognosis</w:t>
      </w:r>
      <w:r w:rsidR="00326DA4" w:rsidRPr="00326DA4">
        <w:rPr>
          <w:color w:val="000000" w:themeColor="text1"/>
        </w:rPr>
        <w:t xml:space="preserve"> in patient</w:t>
      </w:r>
      <w:r w:rsidR="00326DA4">
        <w:rPr>
          <w:color w:val="000000" w:themeColor="text1"/>
        </w:rPr>
        <w:t>s with cystic fibrosis [</w:t>
      </w:r>
      <w:r w:rsidR="00207023">
        <w:rPr>
          <w:color w:val="000000" w:themeColor="text1"/>
        </w:rPr>
        <w:t>205,206</w:t>
      </w:r>
      <w:r w:rsidR="00326DA4">
        <w:rPr>
          <w:color w:val="000000" w:themeColor="text1"/>
        </w:rPr>
        <w:t>]. However</w:t>
      </w:r>
      <w:r w:rsidR="00326DA4" w:rsidRPr="00326DA4">
        <w:rPr>
          <w:color w:val="000000" w:themeColor="text1"/>
        </w:rPr>
        <w:t xml:space="preserve">, prospective clinical studies are needed to determine </w:t>
      </w:r>
      <w:r w:rsidR="00207023">
        <w:rPr>
          <w:color w:val="000000" w:themeColor="text1"/>
        </w:rPr>
        <w:t xml:space="preserve">the </w:t>
      </w:r>
      <w:r w:rsidR="00326DA4" w:rsidRPr="00326DA4">
        <w:rPr>
          <w:color w:val="000000" w:themeColor="text1"/>
        </w:rPr>
        <w:t>clinical relevance</w:t>
      </w:r>
      <w:r w:rsidR="00326DA4">
        <w:rPr>
          <w:color w:val="000000" w:themeColor="text1"/>
        </w:rPr>
        <w:t xml:space="preserve"> of BPI-ANCA</w:t>
      </w:r>
      <w:r w:rsidR="00223616">
        <w:rPr>
          <w:color w:val="000000" w:themeColor="text1"/>
        </w:rPr>
        <w:t>,</w:t>
      </w:r>
      <w:r w:rsidR="00326DA4">
        <w:rPr>
          <w:color w:val="000000" w:themeColor="text1"/>
        </w:rPr>
        <w:t xml:space="preserve"> which were</w:t>
      </w:r>
      <w:r w:rsidR="00940C6A">
        <w:rPr>
          <w:color w:val="000000" w:themeColor="text1"/>
        </w:rPr>
        <w:t xml:space="preserve"> also</w:t>
      </w:r>
      <w:r w:rsidR="00326DA4">
        <w:rPr>
          <w:color w:val="000000" w:themeColor="text1"/>
        </w:rPr>
        <w:t xml:space="preserve"> demonstrated in various CTD and IBD [</w:t>
      </w:r>
      <w:r w:rsidR="00207023">
        <w:rPr>
          <w:color w:val="000000" w:themeColor="text1"/>
        </w:rPr>
        <w:t>207</w:t>
      </w:r>
      <w:r w:rsidR="00326DA4">
        <w:rPr>
          <w:color w:val="000000" w:themeColor="text1"/>
        </w:rPr>
        <w:t>].</w:t>
      </w:r>
    </w:p>
    <w:p w:rsidR="001D13A5" w:rsidRPr="001D13A5" w:rsidRDefault="001D13A5" w:rsidP="001D13A5">
      <w:pPr>
        <w:rPr>
          <w:rFonts w:cs="Times New Roman"/>
          <w:color w:val="000000" w:themeColor="text1"/>
          <w:szCs w:val="20"/>
        </w:rPr>
      </w:pPr>
      <w:r w:rsidRPr="001D13A5">
        <w:rPr>
          <w:color w:val="000000" w:themeColor="text1"/>
        </w:rPr>
        <w:t>ANCA</w:t>
      </w:r>
      <w:r w:rsidR="00207023">
        <w:rPr>
          <w:color w:val="000000" w:themeColor="text1"/>
        </w:rPr>
        <w:t xml:space="preserve"> </w:t>
      </w:r>
      <w:r w:rsidRPr="001D13A5">
        <w:rPr>
          <w:color w:val="000000" w:themeColor="text1"/>
        </w:rPr>
        <w:t xml:space="preserve">with </w:t>
      </w:r>
      <w:r w:rsidR="00207023">
        <w:rPr>
          <w:color w:val="000000" w:themeColor="text1"/>
        </w:rPr>
        <w:t>or without</w:t>
      </w:r>
      <w:r>
        <w:rPr>
          <w:color w:val="000000" w:themeColor="text1"/>
        </w:rPr>
        <w:t xml:space="preserve"> PR3</w:t>
      </w:r>
      <w:r w:rsidRPr="001D13A5">
        <w:rPr>
          <w:color w:val="000000" w:themeColor="text1"/>
        </w:rPr>
        <w:t xml:space="preserve"> or </w:t>
      </w:r>
      <w:r>
        <w:rPr>
          <w:color w:val="000000" w:themeColor="text1"/>
        </w:rPr>
        <w:t>MPO</w:t>
      </w:r>
      <w:r w:rsidRPr="001D13A5">
        <w:rPr>
          <w:color w:val="000000" w:themeColor="text1"/>
        </w:rPr>
        <w:t xml:space="preserve"> specifi</w:t>
      </w:r>
      <w:r w:rsidR="00207023">
        <w:rPr>
          <w:color w:val="000000" w:themeColor="text1"/>
        </w:rPr>
        <w:t>city</w:t>
      </w:r>
      <w:r>
        <w:rPr>
          <w:color w:val="000000" w:themeColor="text1"/>
        </w:rPr>
        <w:t xml:space="preserve"> have been reported in patients with relapsin</w:t>
      </w:r>
      <w:r w:rsidR="00940C6A">
        <w:rPr>
          <w:color w:val="000000" w:themeColor="text1"/>
        </w:rPr>
        <w:t>g polychondritis that can mimic</w:t>
      </w:r>
      <w:r>
        <w:rPr>
          <w:color w:val="000000" w:themeColor="text1"/>
        </w:rPr>
        <w:t xml:space="preserve"> GPA [</w:t>
      </w:r>
      <w:r w:rsidR="00207023">
        <w:rPr>
          <w:color w:val="000000" w:themeColor="text1"/>
        </w:rPr>
        <w:t>208</w:t>
      </w:r>
      <w:r>
        <w:rPr>
          <w:color w:val="000000" w:themeColor="text1"/>
        </w:rPr>
        <w:t xml:space="preserve">]. </w:t>
      </w:r>
      <w:r w:rsidR="00207023">
        <w:rPr>
          <w:color w:val="000000" w:themeColor="text1"/>
        </w:rPr>
        <w:t xml:space="preserve">Finally, ANCA may occur </w:t>
      </w:r>
      <w:r>
        <w:rPr>
          <w:rFonts w:cs="Times New Roman"/>
          <w:color w:val="000000" w:themeColor="text1"/>
          <w:szCs w:val="20"/>
        </w:rPr>
        <w:t xml:space="preserve">in  </w:t>
      </w:r>
      <w:r w:rsidRPr="001D13A5">
        <w:rPr>
          <w:color w:val="000000" w:themeColor="text1"/>
        </w:rPr>
        <w:t>IgG4-related disease</w:t>
      </w:r>
      <w:r>
        <w:rPr>
          <w:rFonts w:cs="Times New Roman"/>
          <w:color w:val="000000" w:themeColor="text1"/>
          <w:szCs w:val="20"/>
        </w:rPr>
        <w:t xml:space="preserve"> [</w:t>
      </w:r>
      <w:r w:rsidR="00207023">
        <w:rPr>
          <w:rFonts w:cs="Times New Roman"/>
          <w:color w:val="000000" w:themeColor="text1"/>
          <w:szCs w:val="20"/>
        </w:rPr>
        <w:t>209,210</w:t>
      </w:r>
      <w:r>
        <w:rPr>
          <w:rFonts w:cs="Times New Roman"/>
          <w:color w:val="000000" w:themeColor="text1"/>
          <w:szCs w:val="20"/>
        </w:rPr>
        <w:t>].</w:t>
      </w:r>
      <w:r w:rsidRPr="001D13A5">
        <w:rPr>
          <w:rFonts w:cs="Times New Roman"/>
          <w:color w:val="000000" w:themeColor="text1"/>
          <w:szCs w:val="20"/>
        </w:rPr>
        <w:t xml:space="preserve"> </w:t>
      </w:r>
    </w:p>
    <w:p w:rsidR="001D13A5" w:rsidRPr="001D13A5" w:rsidRDefault="001D13A5" w:rsidP="001D13A5">
      <w:pPr>
        <w:rPr>
          <w:rFonts w:cs="Times New Roman"/>
          <w:color w:val="000000" w:themeColor="text1"/>
          <w:szCs w:val="20"/>
        </w:rPr>
      </w:pPr>
    </w:p>
    <w:p w:rsidR="00797349" w:rsidRPr="006E2281" w:rsidRDefault="00A85291" w:rsidP="00C271FD">
      <w:pPr>
        <w:rPr>
          <w:rFonts w:cs="Times New Roman"/>
          <w:b/>
          <w:color w:val="000000" w:themeColor="text1"/>
          <w:szCs w:val="20"/>
        </w:rPr>
      </w:pPr>
      <w:r w:rsidRPr="006E2281">
        <w:rPr>
          <w:rFonts w:cs="Times New Roman"/>
          <w:b/>
          <w:color w:val="000000" w:themeColor="text1"/>
          <w:szCs w:val="20"/>
        </w:rPr>
        <w:t>Conclusion</w:t>
      </w:r>
    </w:p>
    <w:p w:rsidR="00712B2B" w:rsidRDefault="000342D9" w:rsidP="00C271FD">
      <w:pPr>
        <w:rPr>
          <w:rFonts w:cs="Times New Roman"/>
          <w:color w:val="000000" w:themeColor="text1"/>
          <w:szCs w:val="20"/>
        </w:rPr>
      </w:pPr>
      <w:r>
        <w:rPr>
          <w:rFonts w:cs="Times New Roman"/>
          <w:color w:val="000000" w:themeColor="text1"/>
          <w:szCs w:val="20"/>
        </w:rPr>
        <w:t>A</w:t>
      </w:r>
      <w:r w:rsidR="00A85291" w:rsidRPr="006E2281">
        <w:rPr>
          <w:rFonts w:cs="Times New Roman"/>
          <w:color w:val="000000" w:themeColor="text1"/>
          <w:szCs w:val="20"/>
        </w:rPr>
        <w:t xml:space="preserve">vailable evidence suggests that in certain settings, e.g. in patients with </w:t>
      </w:r>
      <w:r w:rsidR="00DD1D49">
        <w:rPr>
          <w:rFonts w:cs="Times New Roman"/>
          <w:color w:val="000000" w:themeColor="text1"/>
          <w:szCs w:val="20"/>
        </w:rPr>
        <w:t xml:space="preserve">other autoimmune diseases, such as </w:t>
      </w:r>
      <w:r w:rsidR="00A85291" w:rsidRPr="006E2281">
        <w:rPr>
          <w:rFonts w:cs="Times New Roman"/>
          <w:color w:val="000000" w:themeColor="text1"/>
          <w:szCs w:val="20"/>
        </w:rPr>
        <w:t>anti-GBM</w:t>
      </w:r>
      <w:r w:rsidR="00DD1D49">
        <w:rPr>
          <w:rFonts w:cs="Times New Roman"/>
          <w:color w:val="000000" w:themeColor="text1"/>
          <w:szCs w:val="20"/>
        </w:rPr>
        <w:t xml:space="preserve"> disease</w:t>
      </w:r>
      <w:r w:rsidR="00A85291" w:rsidRPr="006E2281">
        <w:rPr>
          <w:rFonts w:cs="Times New Roman"/>
          <w:color w:val="000000" w:themeColor="text1"/>
          <w:szCs w:val="20"/>
        </w:rPr>
        <w:t xml:space="preserve">, </w:t>
      </w:r>
      <w:r w:rsidR="008F756B">
        <w:rPr>
          <w:rFonts w:cs="Times New Roman"/>
          <w:color w:val="000000" w:themeColor="text1"/>
          <w:szCs w:val="20"/>
        </w:rPr>
        <w:t>ANCA</w:t>
      </w:r>
      <w:r w:rsidR="00A85291" w:rsidRPr="006E2281">
        <w:rPr>
          <w:rFonts w:cs="Times New Roman"/>
          <w:color w:val="000000" w:themeColor="text1"/>
          <w:szCs w:val="20"/>
        </w:rPr>
        <w:t xml:space="preserve"> may have clinical </w:t>
      </w:r>
      <w:r w:rsidR="00DD1D49">
        <w:rPr>
          <w:rFonts w:cs="Times New Roman"/>
          <w:color w:val="000000" w:themeColor="text1"/>
          <w:szCs w:val="20"/>
        </w:rPr>
        <w:t xml:space="preserve">and </w:t>
      </w:r>
      <w:r w:rsidR="00DD1D49" w:rsidRPr="00DD1D49">
        <w:rPr>
          <w:rFonts w:cs="Times New Roman"/>
          <w:color w:val="000000" w:themeColor="text1"/>
          <w:szCs w:val="20"/>
        </w:rPr>
        <w:t>pathogenic relevance</w:t>
      </w:r>
      <w:r w:rsidR="00A85291" w:rsidRPr="006E2281">
        <w:rPr>
          <w:rFonts w:cs="Times New Roman"/>
          <w:color w:val="000000" w:themeColor="text1"/>
          <w:szCs w:val="20"/>
        </w:rPr>
        <w:t xml:space="preserve">, whereas in other disorders ANCA testing may be helpful </w:t>
      </w:r>
      <w:r w:rsidR="00424D7B" w:rsidRPr="006E2281">
        <w:rPr>
          <w:rFonts w:cs="Times New Roman"/>
          <w:color w:val="000000" w:themeColor="text1"/>
          <w:szCs w:val="20"/>
        </w:rPr>
        <w:t xml:space="preserve">to support the </w:t>
      </w:r>
      <w:r w:rsidR="00A85291" w:rsidRPr="006E2281">
        <w:rPr>
          <w:rFonts w:cs="Times New Roman"/>
          <w:color w:val="000000" w:themeColor="text1"/>
          <w:szCs w:val="20"/>
        </w:rPr>
        <w:t xml:space="preserve">diagnosis or </w:t>
      </w:r>
      <w:r w:rsidR="00424D7B" w:rsidRPr="006E2281">
        <w:rPr>
          <w:rFonts w:cs="Times New Roman"/>
          <w:color w:val="000000" w:themeColor="text1"/>
          <w:szCs w:val="20"/>
        </w:rPr>
        <w:t xml:space="preserve">for </w:t>
      </w:r>
      <w:r w:rsidR="00A85291" w:rsidRPr="006E2281">
        <w:rPr>
          <w:rFonts w:cs="Times New Roman"/>
          <w:color w:val="000000" w:themeColor="text1"/>
          <w:szCs w:val="20"/>
        </w:rPr>
        <w:t>differential diagnosis</w:t>
      </w:r>
      <w:r w:rsidR="002E3AF8" w:rsidRPr="006E2281">
        <w:rPr>
          <w:rFonts w:cs="Times New Roman"/>
          <w:color w:val="000000" w:themeColor="text1"/>
          <w:szCs w:val="20"/>
        </w:rPr>
        <w:t xml:space="preserve"> (table 3)</w:t>
      </w:r>
      <w:r w:rsidR="00A85291" w:rsidRPr="006E2281">
        <w:rPr>
          <w:rFonts w:cs="Times New Roman"/>
          <w:color w:val="000000" w:themeColor="text1"/>
          <w:szCs w:val="20"/>
        </w:rPr>
        <w:t>. ANCA testing is mandatory for any patient with clinical features suggesting AAV</w:t>
      </w:r>
      <w:r w:rsidR="002712A8" w:rsidRPr="002712A8">
        <w:rPr>
          <w:rFonts w:cs="Times New Roman"/>
          <w:color w:val="000000" w:themeColor="text1"/>
          <w:szCs w:val="20"/>
        </w:rPr>
        <w:t>.</w:t>
      </w:r>
      <w:r w:rsidR="005519AC">
        <w:rPr>
          <w:rFonts w:cs="Times New Roman"/>
          <w:color w:val="000000" w:themeColor="text1"/>
          <w:szCs w:val="20"/>
        </w:rPr>
        <w:t xml:space="preserve"> </w:t>
      </w:r>
      <w:r w:rsidR="008F756B" w:rsidRPr="004A5BD5">
        <w:rPr>
          <w:rFonts w:cs="Times New Roman"/>
          <w:color w:val="000000" w:themeColor="text1"/>
          <w:szCs w:val="20"/>
        </w:rPr>
        <w:t>In addition, all</w:t>
      </w:r>
      <w:r w:rsidR="008F756B" w:rsidRPr="0047627D">
        <w:rPr>
          <w:rFonts w:cs="Times New Roman"/>
          <w:color w:val="000000" w:themeColor="text1"/>
          <w:szCs w:val="20"/>
        </w:rPr>
        <w:t xml:space="preserve"> patients with anti-GBM disease</w:t>
      </w:r>
      <w:r w:rsidR="00DD1D49">
        <w:rPr>
          <w:rFonts w:cs="Times New Roman"/>
          <w:color w:val="000000" w:themeColor="text1"/>
          <w:szCs w:val="20"/>
        </w:rPr>
        <w:t>,</w:t>
      </w:r>
      <w:r w:rsidR="008F756B" w:rsidRPr="0047627D">
        <w:rPr>
          <w:rFonts w:cs="Times New Roman"/>
          <w:color w:val="000000" w:themeColor="text1"/>
          <w:szCs w:val="20"/>
        </w:rPr>
        <w:t xml:space="preserve"> IIP</w:t>
      </w:r>
      <w:r w:rsidR="00DD1D49">
        <w:rPr>
          <w:rFonts w:cs="Times New Roman"/>
          <w:color w:val="000000" w:themeColor="text1"/>
          <w:szCs w:val="20"/>
        </w:rPr>
        <w:t xml:space="preserve"> </w:t>
      </w:r>
      <w:r w:rsidR="00DD1D49" w:rsidRPr="00DD1D49">
        <w:rPr>
          <w:rFonts w:cs="Times New Roman"/>
          <w:color w:val="000000" w:themeColor="text1"/>
          <w:szCs w:val="20"/>
        </w:rPr>
        <w:t>or</w:t>
      </w:r>
      <w:r w:rsidR="00DD1D49">
        <w:rPr>
          <w:rFonts w:cs="Times New Roman"/>
          <w:color w:val="000000" w:themeColor="text1"/>
          <w:szCs w:val="20"/>
        </w:rPr>
        <w:t xml:space="preserve"> infective</w:t>
      </w:r>
      <w:r w:rsidR="00DD1D49" w:rsidRPr="00DD1D49">
        <w:rPr>
          <w:rFonts w:cs="Times New Roman"/>
          <w:color w:val="000000" w:themeColor="text1"/>
          <w:szCs w:val="20"/>
        </w:rPr>
        <w:t xml:space="preserve"> endocarditis associated with nephritis</w:t>
      </w:r>
      <w:r w:rsidR="00DD1D49">
        <w:rPr>
          <w:rFonts w:cs="Times New Roman"/>
          <w:color w:val="000000" w:themeColor="text1"/>
          <w:szCs w:val="20"/>
        </w:rPr>
        <w:t xml:space="preserve"> </w:t>
      </w:r>
      <w:r w:rsidR="008F756B" w:rsidRPr="0047627D">
        <w:rPr>
          <w:rFonts w:cs="Times New Roman"/>
          <w:color w:val="000000" w:themeColor="text1"/>
          <w:szCs w:val="20"/>
        </w:rPr>
        <w:t>should be tested for ANCA</w:t>
      </w:r>
      <w:r w:rsidR="008F756B">
        <w:rPr>
          <w:rFonts w:cs="Times New Roman"/>
          <w:color w:val="000000" w:themeColor="text1"/>
          <w:szCs w:val="20"/>
        </w:rPr>
        <w:t>.</w:t>
      </w:r>
      <w:r w:rsidR="008F756B" w:rsidRPr="006E2281">
        <w:rPr>
          <w:rFonts w:cs="Times New Roman"/>
          <w:color w:val="000000" w:themeColor="text1"/>
          <w:szCs w:val="20"/>
        </w:rPr>
        <w:t xml:space="preserve"> </w:t>
      </w:r>
      <w:r w:rsidR="005519AC" w:rsidRPr="006E2281">
        <w:rPr>
          <w:rFonts w:cs="Times New Roman"/>
          <w:color w:val="000000" w:themeColor="text1"/>
          <w:szCs w:val="20"/>
        </w:rPr>
        <w:t xml:space="preserve">In </w:t>
      </w:r>
      <w:r w:rsidR="005519AC">
        <w:rPr>
          <w:rFonts w:cs="Times New Roman"/>
          <w:color w:val="000000" w:themeColor="text1"/>
          <w:szCs w:val="20"/>
        </w:rPr>
        <w:t xml:space="preserve">all </w:t>
      </w:r>
      <w:r w:rsidR="005519AC" w:rsidRPr="006E2281">
        <w:rPr>
          <w:rFonts w:cs="Times New Roman"/>
          <w:color w:val="000000" w:themeColor="text1"/>
          <w:szCs w:val="20"/>
        </w:rPr>
        <w:t>these patients, PR3-ANCA and MPO-ANCA should be tested</w:t>
      </w:r>
      <w:r w:rsidR="005519AC">
        <w:rPr>
          <w:rFonts w:cs="Times New Roman"/>
          <w:color w:val="000000" w:themeColor="text1"/>
          <w:szCs w:val="20"/>
        </w:rPr>
        <w:t xml:space="preserve"> according to the 2017 international consensus [</w:t>
      </w:r>
      <w:r w:rsidR="00A760C9">
        <w:rPr>
          <w:rFonts w:cs="Times New Roman"/>
          <w:color w:val="000000" w:themeColor="text1"/>
          <w:szCs w:val="20"/>
        </w:rPr>
        <w:t>1</w:t>
      </w:r>
      <w:r w:rsidR="005519AC">
        <w:rPr>
          <w:rFonts w:cs="Times New Roman"/>
          <w:color w:val="000000" w:themeColor="text1"/>
          <w:szCs w:val="20"/>
        </w:rPr>
        <w:t>].</w:t>
      </w:r>
      <w:r w:rsidR="00F8340D" w:rsidRPr="006E2281">
        <w:rPr>
          <w:rFonts w:cs="Times New Roman"/>
          <w:color w:val="000000" w:themeColor="text1"/>
          <w:szCs w:val="20"/>
        </w:rPr>
        <w:t xml:space="preserve"> </w:t>
      </w:r>
      <w:r w:rsidR="00A85291" w:rsidRPr="006E2281">
        <w:rPr>
          <w:rFonts w:cs="Times New Roman"/>
          <w:color w:val="000000" w:themeColor="text1"/>
          <w:szCs w:val="20"/>
        </w:rPr>
        <w:t>In patients with other disorders</w:t>
      </w:r>
      <w:r w:rsidR="00C928D9" w:rsidRPr="006E2281">
        <w:rPr>
          <w:rFonts w:cs="Times New Roman"/>
          <w:color w:val="000000" w:themeColor="text1"/>
          <w:szCs w:val="20"/>
        </w:rPr>
        <w:t xml:space="preserve"> (e.g. IBD; AILD)</w:t>
      </w:r>
      <w:r w:rsidR="00A85291" w:rsidRPr="006E2281">
        <w:rPr>
          <w:rFonts w:cs="Times New Roman"/>
          <w:color w:val="000000" w:themeColor="text1"/>
          <w:szCs w:val="20"/>
        </w:rPr>
        <w:t xml:space="preserve">, ANCA testing may be justified in certain circumstances </w:t>
      </w:r>
      <w:r w:rsidR="002712A8" w:rsidRPr="002712A8">
        <w:rPr>
          <w:rFonts w:cs="Times New Roman"/>
          <w:color w:val="000000" w:themeColor="text1"/>
          <w:szCs w:val="20"/>
        </w:rPr>
        <w:t>as</w:t>
      </w:r>
      <w:r w:rsidR="00B75AFB" w:rsidRPr="006E2281">
        <w:rPr>
          <w:rFonts w:cs="Times New Roman"/>
          <w:color w:val="000000" w:themeColor="text1"/>
          <w:szCs w:val="20"/>
        </w:rPr>
        <w:t xml:space="preserve"> </w:t>
      </w:r>
      <w:r w:rsidR="00A85291" w:rsidRPr="006E2281">
        <w:rPr>
          <w:rFonts w:cs="Times New Roman"/>
          <w:color w:val="000000" w:themeColor="text1"/>
          <w:szCs w:val="20"/>
        </w:rPr>
        <w:t xml:space="preserve">listed in table </w:t>
      </w:r>
      <w:r w:rsidR="002E3AF8" w:rsidRPr="006E2281">
        <w:rPr>
          <w:rFonts w:cs="Times New Roman"/>
          <w:color w:val="000000" w:themeColor="text1"/>
          <w:szCs w:val="20"/>
        </w:rPr>
        <w:t>4</w:t>
      </w:r>
      <w:r w:rsidR="00A85291" w:rsidRPr="006E2281">
        <w:rPr>
          <w:rFonts w:cs="Times New Roman"/>
          <w:color w:val="000000" w:themeColor="text1"/>
          <w:szCs w:val="20"/>
        </w:rPr>
        <w:t>.</w:t>
      </w:r>
      <w:r w:rsidR="00F8340D" w:rsidRPr="006E2281">
        <w:rPr>
          <w:rFonts w:cs="Times New Roman"/>
          <w:color w:val="000000" w:themeColor="text1"/>
          <w:szCs w:val="20"/>
        </w:rPr>
        <w:t xml:space="preserve">  </w:t>
      </w:r>
      <w:r w:rsidR="00C928D9" w:rsidRPr="006E2281">
        <w:rPr>
          <w:rFonts w:cs="Times New Roman"/>
          <w:color w:val="000000" w:themeColor="text1"/>
          <w:szCs w:val="20"/>
        </w:rPr>
        <w:t xml:space="preserve">In these cases, ANCA should be tested by IIF as the target antigens are not yet well characterized. </w:t>
      </w:r>
    </w:p>
    <w:p w:rsidR="00C271FD" w:rsidRPr="00712B2B" w:rsidRDefault="00712B2B" w:rsidP="00C271FD">
      <w:pPr>
        <w:rPr>
          <w:rFonts w:cs="Times New Roman"/>
          <w:color w:val="000000" w:themeColor="text1"/>
          <w:szCs w:val="20"/>
        </w:rPr>
      </w:pPr>
      <w:r w:rsidRPr="00712B2B">
        <w:rPr>
          <w:color w:val="000000" w:themeColor="text1"/>
        </w:rPr>
        <w:t>These recommendations are based on current evidence, however th</w:t>
      </w:r>
      <w:r w:rsidR="00940C6A">
        <w:rPr>
          <w:color w:val="000000" w:themeColor="text1"/>
        </w:rPr>
        <w:t>ey cannot replace clinical judge</w:t>
      </w:r>
      <w:r w:rsidRPr="00712B2B">
        <w:rPr>
          <w:color w:val="000000" w:themeColor="text1"/>
        </w:rPr>
        <w:t>ment, and individual clinicians may have their own reasons for requesting ANCA in a disease of interest.</w:t>
      </w:r>
    </w:p>
    <w:p w:rsidR="00980BD9" w:rsidRPr="006E2281" w:rsidRDefault="00980BD9">
      <w:pPr>
        <w:spacing w:before="0" w:line="240" w:lineRule="auto"/>
        <w:jc w:val="left"/>
        <w:rPr>
          <w:color w:val="000000" w:themeColor="text1"/>
        </w:rPr>
      </w:pPr>
      <w:r w:rsidRPr="006E2281">
        <w:rPr>
          <w:color w:val="000000" w:themeColor="text1"/>
        </w:rPr>
        <w:br w:type="page"/>
      </w:r>
    </w:p>
    <w:p w:rsidR="00E01AE1" w:rsidRPr="006E2281" w:rsidRDefault="002E3AF8" w:rsidP="00F67E78">
      <w:pPr>
        <w:rPr>
          <w:color w:val="000000" w:themeColor="text1"/>
        </w:rPr>
      </w:pPr>
      <w:r w:rsidRPr="006E2281">
        <w:rPr>
          <w:color w:val="000000" w:themeColor="text1"/>
        </w:rPr>
        <w:lastRenderedPageBreak/>
        <w:t>Table 3</w:t>
      </w:r>
      <w:r w:rsidR="00980BD9" w:rsidRPr="006E2281">
        <w:rPr>
          <w:color w:val="000000" w:themeColor="text1"/>
        </w:rPr>
        <w:t>.  Overview of non-AAV</w:t>
      </w:r>
      <w:r w:rsidR="00716784">
        <w:rPr>
          <w:color w:val="000000" w:themeColor="text1"/>
        </w:rPr>
        <w:t xml:space="preserve"> diseases in which ANCA can be</w:t>
      </w:r>
      <w:r w:rsidR="00980BD9" w:rsidRPr="006E2281">
        <w:rPr>
          <w:color w:val="000000" w:themeColor="text1"/>
        </w:rPr>
        <w:t xml:space="preserve"> found.</w:t>
      </w:r>
    </w:p>
    <w:p w:rsidR="00980BD9" w:rsidRPr="006E2281" w:rsidRDefault="00980BD9" w:rsidP="00F67E78">
      <w:pPr>
        <w:rPr>
          <w:color w:val="000000" w:themeColor="text1"/>
        </w:rPr>
      </w:pPr>
      <w:r w:rsidRPr="006E2281">
        <w:rPr>
          <w:color w:val="000000" w:themeColor="text1"/>
        </w:rPr>
        <w:t xml:space="preserve">For each disease, the ANCA positivity rate is indicated as well as the occurrence of AAV.  </w:t>
      </w:r>
    </w:p>
    <w:p w:rsidR="00980BD9" w:rsidRPr="006E2281" w:rsidRDefault="00980BD9" w:rsidP="00F67E78">
      <w:pPr>
        <w:rPr>
          <w:color w:val="000000" w:themeColor="text1"/>
        </w:rPr>
      </w:pPr>
    </w:p>
    <w:tbl>
      <w:tblPr>
        <w:tblStyle w:val="TableGrid"/>
        <w:tblW w:w="0" w:type="auto"/>
        <w:tblLook w:val="00A0" w:firstRow="1" w:lastRow="0" w:firstColumn="1" w:lastColumn="0" w:noHBand="0" w:noVBand="0"/>
      </w:tblPr>
      <w:tblGrid>
        <w:gridCol w:w="1371"/>
        <w:gridCol w:w="1656"/>
        <w:gridCol w:w="1118"/>
        <w:gridCol w:w="4145"/>
      </w:tblGrid>
      <w:tr w:rsidR="00A02290" w:rsidRPr="006E2281">
        <w:tc>
          <w:tcPr>
            <w:tcW w:w="1371" w:type="dxa"/>
          </w:tcPr>
          <w:p w:rsidR="00A02290" w:rsidRPr="006E2281" w:rsidRDefault="008170A4" w:rsidP="00D00E00">
            <w:pPr>
              <w:rPr>
                <w:color w:val="000000" w:themeColor="text1"/>
                <w:sz w:val="20"/>
              </w:rPr>
            </w:pPr>
            <w:r w:rsidRPr="006E2281">
              <w:rPr>
                <w:color w:val="000000" w:themeColor="text1"/>
              </w:rPr>
              <w:br w:type="column"/>
            </w:r>
            <w:r w:rsidR="00A02290" w:rsidRPr="006E2281">
              <w:rPr>
                <w:color w:val="000000" w:themeColor="text1"/>
                <w:sz w:val="20"/>
              </w:rPr>
              <w:t>Disease</w:t>
            </w:r>
          </w:p>
        </w:tc>
        <w:tc>
          <w:tcPr>
            <w:tcW w:w="1656" w:type="dxa"/>
          </w:tcPr>
          <w:p w:rsidR="00A02290" w:rsidRPr="006E2281" w:rsidRDefault="00A02290" w:rsidP="00D00E00">
            <w:pPr>
              <w:rPr>
                <w:color w:val="000000" w:themeColor="text1"/>
                <w:sz w:val="20"/>
              </w:rPr>
            </w:pPr>
            <w:r w:rsidRPr="006E2281">
              <w:rPr>
                <w:color w:val="000000" w:themeColor="text1"/>
                <w:sz w:val="20"/>
              </w:rPr>
              <w:t>ANCA-positivity (%)</w:t>
            </w:r>
          </w:p>
        </w:tc>
        <w:tc>
          <w:tcPr>
            <w:tcW w:w="1118" w:type="dxa"/>
          </w:tcPr>
          <w:p w:rsidR="00A02290" w:rsidRPr="006E2281" w:rsidRDefault="00A02290" w:rsidP="00D00E00">
            <w:pPr>
              <w:rPr>
                <w:color w:val="000000" w:themeColor="text1"/>
                <w:sz w:val="20"/>
              </w:rPr>
            </w:pPr>
            <w:r w:rsidRPr="006E2281">
              <w:rPr>
                <w:color w:val="000000" w:themeColor="text1"/>
                <w:sz w:val="20"/>
              </w:rPr>
              <w:t>AAV (%)</w:t>
            </w:r>
          </w:p>
        </w:tc>
        <w:tc>
          <w:tcPr>
            <w:tcW w:w="4145" w:type="dxa"/>
          </w:tcPr>
          <w:p w:rsidR="00A02290" w:rsidRPr="006E2281" w:rsidRDefault="00A02290" w:rsidP="00D00E00">
            <w:pPr>
              <w:rPr>
                <w:color w:val="000000" w:themeColor="text1"/>
                <w:sz w:val="20"/>
              </w:rPr>
            </w:pPr>
            <w:r w:rsidRPr="006E2281">
              <w:rPr>
                <w:color w:val="000000" w:themeColor="text1"/>
                <w:sz w:val="20"/>
              </w:rPr>
              <w:t>Comments</w:t>
            </w:r>
          </w:p>
        </w:tc>
      </w:tr>
      <w:tr w:rsidR="00FD150D" w:rsidRPr="006E2281">
        <w:tc>
          <w:tcPr>
            <w:tcW w:w="1371" w:type="dxa"/>
          </w:tcPr>
          <w:p w:rsidR="00FD150D" w:rsidRPr="006E2281" w:rsidRDefault="00FD150D" w:rsidP="00D00E00">
            <w:pPr>
              <w:rPr>
                <w:color w:val="000000" w:themeColor="text1"/>
                <w:sz w:val="20"/>
              </w:rPr>
            </w:pPr>
            <w:r w:rsidRPr="006E2281">
              <w:rPr>
                <w:color w:val="000000" w:themeColor="text1"/>
                <w:sz w:val="20"/>
              </w:rPr>
              <w:t>R</w:t>
            </w:r>
            <w:r w:rsidR="00FD43E0">
              <w:rPr>
                <w:color w:val="000000" w:themeColor="text1"/>
                <w:sz w:val="20"/>
              </w:rPr>
              <w:t>heumatoid arthritis</w:t>
            </w:r>
          </w:p>
        </w:tc>
        <w:tc>
          <w:tcPr>
            <w:tcW w:w="1656" w:type="dxa"/>
          </w:tcPr>
          <w:p w:rsidR="00FD150D" w:rsidRPr="006E2281" w:rsidRDefault="008F756B" w:rsidP="00FD150D">
            <w:pPr>
              <w:jc w:val="left"/>
              <w:rPr>
                <w:color w:val="000000" w:themeColor="text1"/>
                <w:sz w:val="20"/>
              </w:rPr>
            </w:pPr>
            <w:r>
              <w:rPr>
                <w:color w:val="000000" w:themeColor="text1"/>
                <w:sz w:val="20"/>
              </w:rPr>
              <w:t>P-ANCA</w:t>
            </w:r>
            <w:r w:rsidR="00FD150D" w:rsidRPr="006E2281">
              <w:rPr>
                <w:color w:val="000000" w:themeColor="text1"/>
                <w:sz w:val="20"/>
              </w:rPr>
              <w:t xml:space="preserve"> by IIF: 16-50%</w:t>
            </w:r>
          </w:p>
          <w:p w:rsidR="00FD150D" w:rsidRPr="006E2281" w:rsidRDefault="00FD150D" w:rsidP="00FD150D">
            <w:pPr>
              <w:jc w:val="left"/>
              <w:rPr>
                <w:color w:val="000000" w:themeColor="text1"/>
                <w:sz w:val="20"/>
              </w:rPr>
            </w:pPr>
            <w:r w:rsidRPr="006E2281">
              <w:rPr>
                <w:color w:val="000000" w:themeColor="text1"/>
                <w:sz w:val="20"/>
              </w:rPr>
              <w:t>MPO-ANCA by ELISA: 0-4% (up to 18%)</w:t>
            </w:r>
          </w:p>
        </w:tc>
        <w:tc>
          <w:tcPr>
            <w:tcW w:w="1118" w:type="dxa"/>
          </w:tcPr>
          <w:p w:rsidR="00FD150D" w:rsidRPr="006E2281" w:rsidRDefault="00FD150D" w:rsidP="00D00E00">
            <w:pPr>
              <w:rPr>
                <w:color w:val="000000" w:themeColor="text1"/>
                <w:sz w:val="20"/>
              </w:rPr>
            </w:pPr>
            <w:r w:rsidRPr="006E2281">
              <w:rPr>
                <w:color w:val="000000" w:themeColor="text1"/>
                <w:sz w:val="20"/>
              </w:rPr>
              <w:t>Very rare</w:t>
            </w:r>
          </w:p>
        </w:tc>
        <w:tc>
          <w:tcPr>
            <w:tcW w:w="4145" w:type="dxa"/>
          </w:tcPr>
          <w:p w:rsidR="00FD150D" w:rsidRPr="006E2281" w:rsidRDefault="00FD150D" w:rsidP="00FD150D">
            <w:pPr>
              <w:jc w:val="left"/>
              <w:rPr>
                <w:color w:val="000000" w:themeColor="text1"/>
                <w:sz w:val="20"/>
              </w:rPr>
            </w:pPr>
            <w:r w:rsidRPr="006E2281">
              <w:rPr>
                <w:color w:val="000000" w:themeColor="text1"/>
                <w:sz w:val="20"/>
              </w:rPr>
              <w:t xml:space="preserve">The clinical value of </w:t>
            </w:r>
            <w:r w:rsidR="008F756B">
              <w:rPr>
                <w:color w:val="000000" w:themeColor="text1"/>
                <w:sz w:val="20"/>
              </w:rPr>
              <w:t>P-ANCA</w:t>
            </w:r>
            <w:r w:rsidRPr="006E2281">
              <w:rPr>
                <w:color w:val="000000" w:themeColor="text1"/>
                <w:sz w:val="20"/>
              </w:rPr>
              <w:t xml:space="preserve"> that can be detected by IIF in a significant proportion of RA patients is not definitely established. MPO-ANCA positivity was rarely found by </w:t>
            </w:r>
            <w:r w:rsidR="005519AC">
              <w:rPr>
                <w:color w:val="000000" w:themeColor="text1"/>
                <w:sz w:val="20"/>
              </w:rPr>
              <w:t>antigen-specific immunoassay</w:t>
            </w:r>
            <w:r w:rsidRPr="006E2281">
              <w:rPr>
                <w:color w:val="000000" w:themeColor="text1"/>
                <w:sz w:val="20"/>
              </w:rPr>
              <w:t>. Testing for MPO-ANCA may b</w:t>
            </w:r>
            <w:r w:rsidR="001E082C">
              <w:rPr>
                <w:color w:val="000000" w:themeColor="text1"/>
                <w:sz w:val="20"/>
              </w:rPr>
              <w:t xml:space="preserve">e justified in RA patients </w:t>
            </w:r>
            <w:r w:rsidR="001E082C" w:rsidRPr="006E2281">
              <w:rPr>
                <w:color w:val="000000" w:themeColor="text1"/>
                <w:sz w:val="20"/>
              </w:rPr>
              <w:t xml:space="preserve">with </w:t>
            </w:r>
            <w:r w:rsidR="001E082C">
              <w:rPr>
                <w:color w:val="000000" w:themeColor="text1"/>
                <w:sz w:val="20"/>
              </w:rPr>
              <w:t>a nephritic sediment</w:t>
            </w:r>
            <w:r w:rsidRPr="006E2281">
              <w:rPr>
                <w:color w:val="000000" w:themeColor="text1"/>
                <w:sz w:val="20"/>
              </w:rPr>
              <w:t>.</w:t>
            </w:r>
          </w:p>
        </w:tc>
      </w:tr>
      <w:tr w:rsidR="005B15C5" w:rsidRPr="006E2281">
        <w:tc>
          <w:tcPr>
            <w:tcW w:w="1371" w:type="dxa"/>
          </w:tcPr>
          <w:p w:rsidR="005B15C5" w:rsidRPr="006E2281" w:rsidRDefault="005B15C5" w:rsidP="00FD43E0">
            <w:pPr>
              <w:rPr>
                <w:color w:val="000000" w:themeColor="text1"/>
                <w:sz w:val="20"/>
              </w:rPr>
            </w:pPr>
            <w:r w:rsidRPr="006E2281">
              <w:rPr>
                <w:color w:val="000000" w:themeColor="text1"/>
                <w:sz w:val="20"/>
              </w:rPr>
              <w:t>S</w:t>
            </w:r>
            <w:r w:rsidR="00FD43E0">
              <w:rPr>
                <w:color w:val="000000" w:themeColor="text1"/>
                <w:sz w:val="20"/>
              </w:rPr>
              <w:t>ystemic lupus erythematosis</w:t>
            </w:r>
          </w:p>
        </w:tc>
        <w:tc>
          <w:tcPr>
            <w:tcW w:w="1656" w:type="dxa"/>
          </w:tcPr>
          <w:p w:rsidR="005B15C5" w:rsidRPr="006E2281" w:rsidRDefault="008F756B" w:rsidP="005B15C5">
            <w:pPr>
              <w:jc w:val="left"/>
              <w:rPr>
                <w:color w:val="000000" w:themeColor="text1"/>
                <w:sz w:val="20"/>
              </w:rPr>
            </w:pPr>
            <w:r>
              <w:rPr>
                <w:color w:val="000000" w:themeColor="text1"/>
                <w:sz w:val="20"/>
              </w:rPr>
              <w:t>P-ANCA</w:t>
            </w:r>
            <w:r w:rsidR="005B15C5" w:rsidRPr="006E2281">
              <w:rPr>
                <w:color w:val="000000" w:themeColor="text1"/>
                <w:sz w:val="20"/>
              </w:rPr>
              <w:t xml:space="preserve"> by IIF: 14-31.4%</w:t>
            </w:r>
          </w:p>
          <w:p w:rsidR="005B15C5" w:rsidRPr="006E2281" w:rsidRDefault="005B15C5" w:rsidP="005B15C5">
            <w:pPr>
              <w:jc w:val="left"/>
              <w:rPr>
                <w:color w:val="000000" w:themeColor="text1"/>
                <w:sz w:val="20"/>
              </w:rPr>
            </w:pPr>
            <w:r w:rsidRPr="006E2281">
              <w:rPr>
                <w:color w:val="000000" w:themeColor="text1"/>
                <w:sz w:val="20"/>
              </w:rPr>
              <w:t>MPO-ANCA (ELISA): 0-23.8%</w:t>
            </w:r>
          </w:p>
          <w:p w:rsidR="005B15C5" w:rsidRPr="006E2281" w:rsidRDefault="005B15C5" w:rsidP="005B15C5">
            <w:pPr>
              <w:jc w:val="left"/>
              <w:rPr>
                <w:color w:val="000000" w:themeColor="text1"/>
                <w:sz w:val="20"/>
              </w:rPr>
            </w:pPr>
            <w:r w:rsidRPr="006E2281">
              <w:rPr>
                <w:color w:val="000000" w:themeColor="text1"/>
                <w:sz w:val="20"/>
              </w:rPr>
              <w:t>PR3-ANCA (ELISA): 0-12.7%</w:t>
            </w:r>
          </w:p>
        </w:tc>
        <w:tc>
          <w:tcPr>
            <w:tcW w:w="1118" w:type="dxa"/>
          </w:tcPr>
          <w:p w:rsidR="005B15C5" w:rsidRPr="006E2281" w:rsidRDefault="005B15C5" w:rsidP="00D00E00">
            <w:pPr>
              <w:rPr>
                <w:color w:val="000000" w:themeColor="text1"/>
                <w:sz w:val="20"/>
              </w:rPr>
            </w:pPr>
            <w:r w:rsidRPr="006E2281">
              <w:rPr>
                <w:color w:val="000000" w:themeColor="text1"/>
                <w:sz w:val="20"/>
              </w:rPr>
              <w:t>Very rare</w:t>
            </w:r>
          </w:p>
        </w:tc>
        <w:tc>
          <w:tcPr>
            <w:tcW w:w="4145" w:type="dxa"/>
          </w:tcPr>
          <w:p w:rsidR="005B15C5" w:rsidRPr="006E2281" w:rsidRDefault="005B15C5" w:rsidP="00BF6CEE">
            <w:pPr>
              <w:jc w:val="left"/>
              <w:rPr>
                <w:color w:val="000000" w:themeColor="text1"/>
                <w:sz w:val="20"/>
              </w:rPr>
            </w:pPr>
            <w:r w:rsidRPr="006E2281">
              <w:rPr>
                <w:color w:val="000000" w:themeColor="text1"/>
                <w:sz w:val="20"/>
              </w:rPr>
              <w:t>SLE can be associated with ANCA positivity in up to 15-20% of patients (particularly MPO-ANCA). One study suggested that the presence of ANCA may be associated with the sev</w:t>
            </w:r>
            <w:r w:rsidR="005519AC">
              <w:rPr>
                <w:color w:val="000000" w:themeColor="text1"/>
                <w:sz w:val="20"/>
              </w:rPr>
              <w:t>erity of lupus nephritis and</w:t>
            </w:r>
            <w:r w:rsidRPr="006E2281">
              <w:rPr>
                <w:color w:val="000000" w:themeColor="text1"/>
                <w:sz w:val="20"/>
              </w:rPr>
              <w:t xml:space="preserve"> disease activ</w:t>
            </w:r>
            <w:r w:rsidR="00424D7B" w:rsidRPr="006E2281">
              <w:rPr>
                <w:color w:val="000000" w:themeColor="text1"/>
                <w:sz w:val="20"/>
              </w:rPr>
              <w:t>i</w:t>
            </w:r>
            <w:r w:rsidRPr="006E2281">
              <w:rPr>
                <w:color w:val="000000" w:themeColor="text1"/>
                <w:sz w:val="20"/>
              </w:rPr>
              <w:t>ty. However, the clinical implication of ANCA positivity in SLE is not clearly established.</w:t>
            </w:r>
          </w:p>
        </w:tc>
      </w:tr>
      <w:tr w:rsidR="00A02290" w:rsidRPr="006E2281">
        <w:tc>
          <w:tcPr>
            <w:tcW w:w="1371" w:type="dxa"/>
          </w:tcPr>
          <w:p w:rsidR="00A02290" w:rsidRPr="006E2281" w:rsidRDefault="00FD43E0" w:rsidP="00D00E00">
            <w:pPr>
              <w:rPr>
                <w:color w:val="000000" w:themeColor="text1"/>
                <w:sz w:val="20"/>
              </w:rPr>
            </w:pPr>
            <w:r>
              <w:rPr>
                <w:color w:val="000000" w:themeColor="text1"/>
                <w:sz w:val="20"/>
              </w:rPr>
              <w:t>Systemic sclerosis</w:t>
            </w:r>
          </w:p>
        </w:tc>
        <w:tc>
          <w:tcPr>
            <w:tcW w:w="1656" w:type="dxa"/>
          </w:tcPr>
          <w:p w:rsidR="00A02290" w:rsidRPr="006E2281" w:rsidRDefault="00A02290" w:rsidP="00D00E00">
            <w:pPr>
              <w:rPr>
                <w:color w:val="000000" w:themeColor="text1"/>
                <w:sz w:val="20"/>
              </w:rPr>
            </w:pPr>
            <w:r w:rsidRPr="006E2281">
              <w:rPr>
                <w:color w:val="000000" w:themeColor="text1"/>
                <w:sz w:val="20"/>
              </w:rPr>
              <w:t>0-9.1</w:t>
            </w:r>
            <w:r w:rsidR="00712B2B">
              <w:rPr>
                <w:color w:val="000000" w:themeColor="text1"/>
                <w:sz w:val="20"/>
              </w:rPr>
              <w:t>%</w:t>
            </w:r>
          </w:p>
        </w:tc>
        <w:tc>
          <w:tcPr>
            <w:tcW w:w="1118" w:type="dxa"/>
          </w:tcPr>
          <w:p w:rsidR="00A02290" w:rsidRPr="006E2281" w:rsidRDefault="00A02290" w:rsidP="00D00E00">
            <w:pPr>
              <w:rPr>
                <w:color w:val="000000" w:themeColor="text1"/>
                <w:sz w:val="20"/>
              </w:rPr>
            </w:pPr>
            <w:r w:rsidRPr="006E2281">
              <w:rPr>
                <w:color w:val="000000" w:themeColor="text1"/>
                <w:sz w:val="20"/>
              </w:rPr>
              <w:t>0.2-0.4</w:t>
            </w:r>
            <w:r w:rsidR="00712B2B">
              <w:rPr>
                <w:color w:val="000000" w:themeColor="text1"/>
                <w:sz w:val="20"/>
              </w:rPr>
              <w:t>%</w:t>
            </w:r>
          </w:p>
        </w:tc>
        <w:tc>
          <w:tcPr>
            <w:tcW w:w="4145" w:type="dxa"/>
          </w:tcPr>
          <w:p w:rsidR="00A02290" w:rsidRPr="006E2281" w:rsidRDefault="00A02290" w:rsidP="0040691F">
            <w:pPr>
              <w:jc w:val="left"/>
              <w:rPr>
                <w:color w:val="000000" w:themeColor="text1"/>
                <w:sz w:val="20"/>
              </w:rPr>
            </w:pPr>
            <w:r w:rsidRPr="006E2281">
              <w:rPr>
                <w:color w:val="000000" w:themeColor="text1"/>
                <w:sz w:val="20"/>
              </w:rPr>
              <w:t xml:space="preserve">MPO-ANCA predominated in all except one study. In one large study (n=1303), </w:t>
            </w:r>
            <w:r w:rsidR="008F756B">
              <w:rPr>
                <w:color w:val="000000" w:themeColor="text1"/>
                <w:sz w:val="20"/>
              </w:rPr>
              <w:t>ANCA</w:t>
            </w:r>
            <w:r w:rsidRPr="006E2281">
              <w:rPr>
                <w:color w:val="000000" w:themeColor="text1"/>
                <w:sz w:val="20"/>
              </w:rPr>
              <w:t xml:space="preserve"> were associated with a higher prevalence of ILD, PE, and death. Rapidly progressive glomerulonephritis in ANCA-positive patients with SSc should be differentiated from SRC. </w:t>
            </w:r>
          </w:p>
        </w:tc>
      </w:tr>
      <w:tr w:rsidR="00712B2B" w:rsidRPr="006E2281">
        <w:tc>
          <w:tcPr>
            <w:tcW w:w="1371" w:type="dxa"/>
          </w:tcPr>
          <w:p w:rsidR="00712B2B" w:rsidRPr="00712B2B" w:rsidRDefault="00712B2B" w:rsidP="00D00E00">
            <w:pPr>
              <w:rPr>
                <w:color w:val="000000" w:themeColor="text1"/>
                <w:sz w:val="20"/>
              </w:rPr>
            </w:pPr>
            <w:r>
              <w:rPr>
                <w:color w:val="000000" w:themeColor="text1"/>
                <w:sz w:val="20"/>
              </w:rPr>
              <w:t xml:space="preserve">Primary </w:t>
            </w:r>
            <w:r w:rsidRPr="00712B2B">
              <w:rPr>
                <w:color w:val="000000" w:themeColor="text1"/>
                <w:sz w:val="20"/>
              </w:rPr>
              <w:t>Sjögren's syndrome</w:t>
            </w:r>
          </w:p>
        </w:tc>
        <w:tc>
          <w:tcPr>
            <w:tcW w:w="1656" w:type="dxa"/>
          </w:tcPr>
          <w:p w:rsidR="00712B2B" w:rsidRDefault="008F756B" w:rsidP="00712B2B">
            <w:pPr>
              <w:jc w:val="left"/>
              <w:rPr>
                <w:color w:val="000000" w:themeColor="text1"/>
                <w:sz w:val="20"/>
              </w:rPr>
            </w:pPr>
            <w:r>
              <w:rPr>
                <w:color w:val="000000" w:themeColor="text1"/>
                <w:sz w:val="20"/>
              </w:rPr>
              <w:t>P-ANCA</w:t>
            </w:r>
            <w:r w:rsidR="00712B2B">
              <w:rPr>
                <w:color w:val="000000" w:themeColor="text1"/>
                <w:sz w:val="20"/>
              </w:rPr>
              <w:t xml:space="preserve"> by IIF 5.4-17.0%</w:t>
            </w:r>
          </w:p>
          <w:p w:rsidR="00712B2B" w:rsidRPr="006E2281" w:rsidRDefault="00712B2B" w:rsidP="00D00E00">
            <w:pPr>
              <w:rPr>
                <w:color w:val="000000" w:themeColor="text1"/>
                <w:sz w:val="20"/>
              </w:rPr>
            </w:pPr>
            <w:r>
              <w:rPr>
                <w:color w:val="000000" w:themeColor="text1"/>
                <w:sz w:val="20"/>
              </w:rPr>
              <w:t>MPO-ANCA (ELISA) 2.0-6.7%</w:t>
            </w:r>
          </w:p>
        </w:tc>
        <w:tc>
          <w:tcPr>
            <w:tcW w:w="1118" w:type="dxa"/>
          </w:tcPr>
          <w:p w:rsidR="00712B2B" w:rsidRPr="006E2281" w:rsidRDefault="00712B2B" w:rsidP="00D00E00">
            <w:pPr>
              <w:rPr>
                <w:color w:val="000000" w:themeColor="text1"/>
                <w:sz w:val="20"/>
              </w:rPr>
            </w:pPr>
            <w:r>
              <w:rPr>
                <w:color w:val="000000" w:themeColor="text1"/>
                <w:sz w:val="20"/>
              </w:rPr>
              <w:t>Very rare</w:t>
            </w:r>
          </w:p>
        </w:tc>
        <w:tc>
          <w:tcPr>
            <w:tcW w:w="4145" w:type="dxa"/>
          </w:tcPr>
          <w:p w:rsidR="00712B2B" w:rsidRPr="006E2281" w:rsidRDefault="00712B2B" w:rsidP="00940C6A">
            <w:pPr>
              <w:jc w:val="left"/>
              <w:rPr>
                <w:color w:val="000000" w:themeColor="text1"/>
                <w:sz w:val="20"/>
              </w:rPr>
            </w:pPr>
            <w:r>
              <w:rPr>
                <w:color w:val="000000" w:themeColor="text1"/>
                <w:sz w:val="20"/>
              </w:rPr>
              <w:t xml:space="preserve">The prevalence of MPO-ANCA in patients with primary </w:t>
            </w:r>
            <w:r w:rsidRPr="00712B2B">
              <w:rPr>
                <w:color w:val="000000" w:themeColor="text1"/>
                <w:sz w:val="20"/>
              </w:rPr>
              <w:t>Sjögren's syndrome</w:t>
            </w:r>
            <w:r>
              <w:rPr>
                <w:color w:val="000000" w:themeColor="text1"/>
                <w:sz w:val="20"/>
              </w:rPr>
              <w:t xml:space="preserve"> was 3%. ANCA positivity was associated with a higher prevalence of extraglandular manifestations of </w:t>
            </w:r>
            <w:r w:rsidRPr="00712B2B">
              <w:rPr>
                <w:color w:val="000000" w:themeColor="text1"/>
                <w:sz w:val="20"/>
              </w:rPr>
              <w:t>Sjögren's syndrome</w:t>
            </w:r>
            <w:r>
              <w:rPr>
                <w:color w:val="000000" w:themeColor="text1"/>
                <w:sz w:val="20"/>
              </w:rPr>
              <w:t>. Testing for ANCA may be justified in the presence of renal disease or other features suggesting AAV.</w:t>
            </w:r>
          </w:p>
        </w:tc>
      </w:tr>
      <w:tr w:rsidR="00A02290" w:rsidRPr="006E2281">
        <w:tc>
          <w:tcPr>
            <w:tcW w:w="1371" w:type="dxa"/>
          </w:tcPr>
          <w:p w:rsidR="00A02290" w:rsidRPr="006E2281" w:rsidRDefault="00FD43E0" w:rsidP="00B148E9">
            <w:pPr>
              <w:jc w:val="left"/>
              <w:rPr>
                <w:color w:val="000000" w:themeColor="text1"/>
                <w:sz w:val="20"/>
              </w:rPr>
            </w:pPr>
            <w:r>
              <w:rPr>
                <w:color w:val="000000" w:themeColor="text1"/>
                <w:sz w:val="20"/>
              </w:rPr>
              <w:t xml:space="preserve">Autoimmune </w:t>
            </w:r>
            <w:r>
              <w:rPr>
                <w:color w:val="000000" w:themeColor="text1"/>
                <w:sz w:val="20"/>
              </w:rPr>
              <w:lastRenderedPageBreak/>
              <w:t>liver diseases</w:t>
            </w:r>
          </w:p>
        </w:tc>
        <w:tc>
          <w:tcPr>
            <w:tcW w:w="1656" w:type="dxa"/>
          </w:tcPr>
          <w:p w:rsidR="00A02290" w:rsidRPr="006E2281" w:rsidRDefault="005519AC" w:rsidP="00FD43E0">
            <w:pPr>
              <w:jc w:val="left"/>
              <w:rPr>
                <w:color w:val="000000" w:themeColor="text1"/>
                <w:sz w:val="20"/>
              </w:rPr>
            </w:pPr>
            <w:r>
              <w:rPr>
                <w:color w:val="000000" w:themeColor="text1"/>
                <w:sz w:val="20"/>
              </w:rPr>
              <w:lastRenderedPageBreak/>
              <w:t xml:space="preserve">Atypical </w:t>
            </w:r>
            <w:r w:rsidR="008F756B">
              <w:rPr>
                <w:color w:val="000000" w:themeColor="text1"/>
                <w:sz w:val="20"/>
              </w:rPr>
              <w:t>P-</w:t>
            </w:r>
            <w:r w:rsidR="008F756B">
              <w:rPr>
                <w:color w:val="000000" w:themeColor="text1"/>
                <w:sz w:val="20"/>
              </w:rPr>
              <w:lastRenderedPageBreak/>
              <w:t>ANCA</w:t>
            </w:r>
            <w:r>
              <w:rPr>
                <w:color w:val="000000" w:themeColor="text1"/>
                <w:sz w:val="20"/>
              </w:rPr>
              <w:t xml:space="preserve"> (IIF): 65-81% in AIH type-1, 26-67% in PBC, 26-94% in PSC</w:t>
            </w:r>
          </w:p>
        </w:tc>
        <w:tc>
          <w:tcPr>
            <w:tcW w:w="1118" w:type="dxa"/>
          </w:tcPr>
          <w:p w:rsidR="00A02290" w:rsidRPr="006E2281" w:rsidRDefault="00A02290" w:rsidP="00D00E00">
            <w:pPr>
              <w:rPr>
                <w:color w:val="000000" w:themeColor="text1"/>
                <w:sz w:val="20"/>
              </w:rPr>
            </w:pPr>
            <w:r w:rsidRPr="006E2281">
              <w:rPr>
                <w:color w:val="000000" w:themeColor="text1"/>
                <w:sz w:val="20"/>
              </w:rPr>
              <w:lastRenderedPageBreak/>
              <w:t>Very rare</w:t>
            </w:r>
          </w:p>
        </w:tc>
        <w:tc>
          <w:tcPr>
            <w:tcW w:w="4145" w:type="dxa"/>
          </w:tcPr>
          <w:p w:rsidR="00A02290" w:rsidRPr="006E2281" w:rsidRDefault="005519AC" w:rsidP="00940C6A">
            <w:pPr>
              <w:jc w:val="left"/>
              <w:rPr>
                <w:color w:val="000000" w:themeColor="text1"/>
                <w:sz w:val="20"/>
              </w:rPr>
            </w:pPr>
            <w:r>
              <w:rPr>
                <w:color w:val="000000" w:themeColor="text1"/>
                <w:sz w:val="20"/>
              </w:rPr>
              <w:t xml:space="preserve">Atypical </w:t>
            </w:r>
            <w:r w:rsidR="008F756B">
              <w:rPr>
                <w:color w:val="000000" w:themeColor="text1"/>
                <w:sz w:val="20"/>
              </w:rPr>
              <w:t>P-ANCA</w:t>
            </w:r>
            <w:r w:rsidR="00A02290" w:rsidRPr="006E2281">
              <w:rPr>
                <w:color w:val="000000" w:themeColor="text1"/>
                <w:sz w:val="20"/>
              </w:rPr>
              <w:t xml:space="preserve"> targeting nuclear antigens or </w:t>
            </w:r>
            <w:r w:rsidR="00A02290" w:rsidRPr="006E2281">
              <w:rPr>
                <w:color w:val="000000" w:themeColor="text1"/>
                <w:sz w:val="20"/>
              </w:rPr>
              <w:lastRenderedPageBreak/>
              <w:t>neutrophil granule proteins are frequently found by IIF in patients with AILD and may a</w:t>
            </w:r>
            <w:r w:rsidR="00940C6A">
              <w:rPr>
                <w:color w:val="000000" w:themeColor="text1"/>
                <w:sz w:val="20"/>
              </w:rPr>
              <w:t>ssist</w:t>
            </w:r>
            <w:r w:rsidR="00A02290" w:rsidRPr="006E2281">
              <w:rPr>
                <w:color w:val="000000" w:themeColor="text1"/>
                <w:sz w:val="20"/>
              </w:rPr>
              <w:t xml:space="preserve"> diagnosis of AIH</w:t>
            </w:r>
            <w:r w:rsidR="00EC0FA0">
              <w:rPr>
                <w:color w:val="000000" w:themeColor="text1"/>
                <w:sz w:val="20"/>
              </w:rPr>
              <w:t xml:space="preserve"> type</w:t>
            </w:r>
            <w:r w:rsidR="00A02290" w:rsidRPr="006E2281">
              <w:rPr>
                <w:color w:val="000000" w:themeColor="text1"/>
                <w:sz w:val="20"/>
              </w:rPr>
              <w:t xml:space="preserve">-1 in the absence of conventional </w:t>
            </w:r>
            <w:r w:rsidR="001E082C">
              <w:rPr>
                <w:color w:val="000000" w:themeColor="text1"/>
                <w:sz w:val="20"/>
              </w:rPr>
              <w:t>autoantibodies</w:t>
            </w:r>
            <w:r w:rsidR="00A02290" w:rsidRPr="006E2281">
              <w:rPr>
                <w:color w:val="000000" w:themeColor="text1"/>
                <w:sz w:val="20"/>
              </w:rPr>
              <w:t>. Their clinical or prognostic value is not established. In one study, PR3-ANCA</w:t>
            </w:r>
            <w:r w:rsidR="00325139" w:rsidRPr="006E2281">
              <w:rPr>
                <w:color w:val="000000" w:themeColor="text1"/>
                <w:sz w:val="20"/>
              </w:rPr>
              <w:t xml:space="preserve"> by C</w:t>
            </w:r>
            <w:r>
              <w:rPr>
                <w:color w:val="000000" w:themeColor="text1"/>
                <w:sz w:val="20"/>
              </w:rPr>
              <w:t>L</w:t>
            </w:r>
            <w:r w:rsidR="00325139" w:rsidRPr="006E2281">
              <w:rPr>
                <w:color w:val="000000" w:themeColor="text1"/>
                <w:sz w:val="20"/>
              </w:rPr>
              <w:t>IA</w:t>
            </w:r>
            <w:r w:rsidR="00817B5C" w:rsidRPr="006E2281">
              <w:rPr>
                <w:color w:val="000000" w:themeColor="text1"/>
                <w:sz w:val="20"/>
              </w:rPr>
              <w:t xml:space="preserve"> </w:t>
            </w:r>
            <w:r w:rsidR="00A02290" w:rsidRPr="006E2281">
              <w:rPr>
                <w:color w:val="000000" w:themeColor="text1"/>
                <w:sz w:val="20"/>
              </w:rPr>
              <w:t xml:space="preserve"> was a specific biomarker for PSC though with a low sensitivity.</w:t>
            </w:r>
          </w:p>
        </w:tc>
      </w:tr>
      <w:tr w:rsidR="008170A4" w:rsidRPr="006E2281">
        <w:tc>
          <w:tcPr>
            <w:tcW w:w="1371" w:type="dxa"/>
          </w:tcPr>
          <w:p w:rsidR="008170A4" w:rsidRPr="006E2281" w:rsidRDefault="00FD43E0" w:rsidP="008170A4">
            <w:pPr>
              <w:jc w:val="left"/>
              <w:rPr>
                <w:color w:val="000000" w:themeColor="text1"/>
                <w:sz w:val="20"/>
              </w:rPr>
            </w:pPr>
            <w:r>
              <w:rPr>
                <w:color w:val="000000" w:themeColor="text1"/>
                <w:sz w:val="20"/>
              </w:rPr>
              <w:lastRenderedPageBreak/>
              <w:t>Inflammatory bowel diseases</w:t>
            </w:r>
          </w:p>
        </w:tc>
        <w:tc>
          <w:tcPr>
            <w:tcW w:w="1656" w:type="dxa"/>
          </w:tcPr>
          <w:p w:rsidR="008170A4" w:rsidRPr="006E2281" w:rsidRDefault="008170A4" w:rsidP="008170A4">
            <w:pPr>
              <w:jc w:val="left"/>
              <w:rPr>
                <w:color w:val="000000" w:themeColor="text1"/>
                <w:sz w:val="20"/>
              </w:rPr>
            </w:pPr>
            <w:r w:rsidRPr="006E2281">
              <w:rPr>
                <w:color w:val="000000" w:themeColor="text1"/>
                <w:sz w:val="20"/>
              </w:rPr>
              <w:t xml:space="preserve">Atypical </w:t>
            </w:r>
            <w:r w:rsidR="008F756B">
              <w:rPr>
                <w:color w:val="000000" w:themeColor="text1"/>
                <w:sz w:val="20"/>
              </w:rPr>
              <w:t>P-ANCA</w:t>
            </w:r>
            <w:r w:rsidRPr="006E2281">
              <w:rPr>
                <w:color w:val="000000" w:themeColor="text1"/>
                <w:sz w:val="20"/>
              </w:rPr>
              <w:t xml:space="preserve"> (IIF): 41-73% in UC and 6-38% in CD</w:t>
            </w:r>
          </w:p>
          <w:p w:rsidR="008170A4" w:rsidRPr="006E2281" w:rsidRDefault="008170A4" w:rsidP="008170A4">
            <w:pPr>
              <w:jc w:val="left"/>
              <w:rPr>
                <w:color w:val="000000" w:themeColor="text1"/>
                <w:sz w:val="20"/>
              </w:rPr>
            </w:pPr>
            <w:r w:rsidRPr="006E2281">
              <w:rPr>
                <w:color w:val="000000" w:themeColor="text1"/>
                <w:sz w:val="20"/>
              </w:rPr>
              <w:t>PR3-ANCA (C</w:t>
            </w:r>
            <w:r w:rsidR="005519AC">
              <w:rPr>
                <w:color w:val="000000" w:themeColor="text1"/>
                <w:sz w:val="20"/>
              </w:rPr>
              <w:t>L</w:t>
            </w:r>
            <w:r w:rsidRPr="006E2281">
              <w:rPr>
                <w:color w:val="000000" w:themeColor="text1"/>
                <w:sz w:val="20"/>
              </w:rPr>
              <w:t>IA): 29.2-57.6% in UC</w:t>
            </w:r>
            <w:r w:rsidRPr="006E2281">
              <w:rPr>
                <w:color w:val="000000" w:themeColor="text1"/>
                <w:sz w:val="20"/>
              </w:rPr>
              <w:br/>
              <w:t>1.9-2.7% in CD</w:t>
            </w:r>
          </w:p>
          <w:p w:rsidR="008170A4" w:rsidRPr="006E2281" w:rsidRDefault="008170A4" w:rsidP="008170A4">
            <w:pPr>
              <w:jc w:val="left"/>
              <w:rPr>
                <w:color w:val="000000" w:themeColor="text1"/>
                <w:sz w:val="20"/>
              </w:rPr>
            </w:pPr>
            <w:r w:rsidRPr="006E2281">
              <w:rPr>
                <w:color w:val="000000" w:themeColor="text1"/>
                <w:sz w:val="20"/>
              </w:rPr>
              <w:t>MPO-ANCA (C</w:t>
            </w:r>
            <w:r w:rsidR="005519AC">
              <w:rPr>
                <w:color w:val="000000" w:themeColor="text1"/>
                <w:sz w:val="20"/>
              </w:rPr>
              <w:t>L</w:t>
            </w:r>
            <w:r w:rsidRPr="006E2281">
              <w:rPr>
                <w:color w:val="000000" w:themeColor="text1"/>
                <w:sz w:val="20"/>
              </w:rPr>
              <w:t>IA):</w:t>
            </w:r>
            <w:r w:rsidRPr="006E2281">
              <w:rPr>
                <w:color w:val="000000" w:themeColor="text1"/>
                <w:sz w:val="20"/>
              </w:rPr>
              <w:br/>
              <w:t>9.1-12.8 in UC</w:t>
            </w:r>
            <w:r w:rsidRPr="006E2281">
              <w:rPr>
                <w:color w:val="000000" w:themeColor="text1"/>
                <w:sz w:val="20"/>
              </w:rPr>
              <w:br/>
              <w:t>0-3.6% in CD</w:t>
            </w:r>
          </w:p>
        </w:tc>
        <w:tc>
          <w:tcPr>
            <w:tcW w:w="1118" w:type="dxa"/>
          </w:tcPr>
          <w:p w:rsidR="008170A4" w:rsidRPr="006E2281" w:rsidRDefault="008170A4" w:rsidP="008170A4">
            <w:pPr>
              <w:jc w:val="left"/>
              <w:rPr>
                <w:color w:val="000000" w:themeColor="text1"/>
                <w:sz w:val="20"/>
              </w:rPr>
            </w:pPr>
            <w:r w:rsidRPr="006E2281">
              <w:rPr>
                <w:color w:val="000000" w:themeColor="text1"/>
                <w:sz w:val="20"/>
              </w:rPr>
              <w:t>Very rare</w:t>
            </w:r>
          </w:p>
        </w:tc>
        <w:tc>
          <w:tcPr>
            <w:tcW w:w="4145" w:type="dxa"/>
          </w:tcPr>
          <w:p w:rsidR="008170A4" w:rsidRPr="006E2281" w:rsidRDefault="008170A4" w:rsidP="008170A4">
            <w:pPr>
              <w:jc w:val="left"/>
              <w:rPr>
                <w:color w:val="000000" w:themeColor="text1"/>
                <w:sz w:val="20"/>
              </w:rPr>
            </w:pPr>
            <w:r w:rsidRPr="006E2281">
              <w:rPr>
                <w:color w:val="000000" w:themeColor="text1"/>
                <w:sz w:val="20"/>
              </w:rPr>
              <w:t xml:space="preserve">Atypical </w:t>
            </w:r>
            <w:r w:rsidR="008F756B">
              <w:rPr>
                <w:color w:val="000000" w:themeColor="text1"/>
                <w:sz w:val="20"/>
              </w:rPr>
              <w:t>P-ANCA</w:t>
            </w:r>
            <w:r w:rsidRPr="006E2281">
              <w:rPr>
                <w:color w:val="000000" w:themeColor="text1"/>
                <w:sz w:val="20"/>
              </w:rPr>
              <w:t xml:space="preserve"> and ASCA may aid in discriminating UC from CD in case of diagnostic uncertainty. PR3-ANCA, as detected by C</w:t>
            </w:r>
            <w:r w:rsidR="005519AC">
              <w:rPr>
                <w:color w:val="000000" w:themeColor="text1"/>
                <w:sz w:val="20"/>
              </w:rPr>
              <w:t>L</w:t>
            </w:r>
            <w:r w:rsidRPr="006E2281">
              <w:rPr>
                <w:color w:val="000000" w:themeColor="text1"/>
                <w:sz w:val="20"/>
              </w:rPr>
              <w:t xml:space="preserve">IA, may be a sensitive and specific biomarker for UC. Routine testing of </w:t>
            </w:r>
            <w:r w:rsidR="00325139" w:rsidRPr="006E2281">
              <w:rPr>
                <w:color w:val="000000" w:themeColor="text1"/>
                <w:sz w:val="20"/>
              </w:rPr>
              <w:t xml:space="preserve">the </w:t>
            </w:r>
            <w:r w:rsidRPr="006E2281">
              <w:rPr>
                <w:color w:val="000000" w:themeColor="text1"/>
                <w:sz w:val="20"/>
              </w:rPr>
              <w:t xml:space="preserve">serological profile for </w:t>
            </w:r>
            <w:r w:rsidR="00325139" w:rsidRPr="006E2281">
              <w:rPr>
                <w:color w:val="000000" w:themeColor="text1"/>
                <w:sz w:val="20"/>
              </w:rPr>
              <w:t xml:space="preserve">diagnosis or for </w:t>
            </w:r>
            <w:r w:rsidRPr="006E2281">
              <w:rPr>
                <w:color w:val="000000" w:themeColor="text1"/>
                <w:sz w:val="20"/>
              </w:rPr>
              <w:t>predicting the course or response to treatment cannot be recommended.</w:t>
            </w:r>
          </w:p>
        </w:tc>
      </w:tr>
      <w:tr w:rsidR="00E44C24" w:rsidRPr="006E2281">
        <w:tc>
          <w:tcPr>
            <w:tcW w:w="1371" w:type="dxa"/>
          </w:tcPr>
          <w:p w:rsidR="00E44C24" w:rsidRPr="006E2281" w:rsidRDefault="00E44C24" w:rsidP="008170A4">
            <w:pPr>
              <w:jc w:val="left"/>
              <w:rPr>
                <w:color w:val="000000" w:themeColor="text1"/>
                <w:sz w:val="20"/>
              </w:rPr>
            </w:pPr>
            <w:r w:rsidRPr="006E2281">
              <w:rPr>
                <w:color w:val="000000" w:themeColor="text1"/>
                <w:sz w:val="20"/>
              </w:rPr>
              <w:t>Anti-GBM disease</w:t>
            </w:r>
          </w:p>
        </w:tc>
        <w:tc>
          <w:tcPr>
            <w:tcW w:w="1656" w:type="dxa"/>
          </w:tcPr>
          <w:p w:rsidR="00E44C24" w:rsidRPr="006E2281" w:rsidRDefault="00E44C24" w:rsidP="008170A4">
            <w:pPr>
              <w:jc w:val="left"/>
              <w:rPr>
                <w:color w:val="000000" w:themeColor="text1"/>
                <w:sz w:val="20"/>
              </w:rPr>
            </w:pPr>
            <w:r w:rsidRPr="006E2281">
              <w:rPr>
                <w:color w:val="000000" w:themeColor="text1"/>
                <w:sz w:val="20"/>
              </w:rPr>
              <w:t>MPO-ANCA (more frequent) and PR</w:t>
            </w:r>
            <w:r w:rsidR="006070AE">
              <w:rPr>
                <w:color w:val="000000" w:themeColor="text1"/>
                <w:sz w:val="20"/>
              </w:rPr>
              <w:t>3</w:t>
            </w:r>
            <w:r w:rsidRPr="006E2281">
              <w:rPr>
                <w:color w:val="000000" w:themeColor="text1"/>
                <w:sz w:val="20"/>
              </w:rPr>
              <w:t>-ANCA: 13-47</w:t>
            </w:r>
            <w:r w:rsidR="00712B2B">
              <w:rPr>
                <w:color w:val="000000" w:themeColor="text1"/>
                <w:sz w:val="20"/>
              </w:rPr>
              <w:t>%</w:t>
            </w:r>
          </w:p>
        </w:tc>
        <w:tc>
          <w:tcPr>
            <w:tcW w:w="1118" w:type="dxa"/>
          </w:tcPr>
          <w:p w:rsidR="00E44C24" w:rsidRPr="006E2281" w:rsidRDefault="00E44C24" w:rsidP="008170A4">
            <w:pPr>
              <w:jc w:val="left"/>
              <w:rPr>
                <w:color w:val="000000" w:themeColor="text1"/>
                <w:sz w:val="20"/>
              </w:rPr>
            </w:pPr>
            <w:r w:rsidRPr="006E2281">
              <w:rPr>
                <w:color w:val="000000" w:themeColor="text1"/>
                <w:sz w:val="20"/>
              </w:rPr>
              <w:t>-</w:t>
            </w:r>
          </w:p>
        </w:tc>
        <w:tc>
          <w:tcPr>
            <w:tcW w:w="4145" w:type="dxa"/>
          </w:tcPr>
          <w:p w:rsidR="00E44C24" w:rsidRPr="006E2281" w:rsidRDefault="00E44C24" w:rsidP="008170A4">
            <w:pPr>
              <w:jc w:val="left"/>
              <w:rPr>
                <w:color w:val="000000" w:themeColor="text1"/>
                <w:sz w:val="20"/>
              </w:rPr>
            </w:pPr>
            <w:r w:rsidRPr="006E2281">
              <w:rPr>
                <w:color w:val="000000" w:themeColor="text1"/>
                <w:sz w:val="20"/>
              </w:rPr>
              <w:t>ANCA-positivity may identify patients who have better response to initial immunosuppressive therapy and a greater propensity to renal recovery, but can relapse during follow-up and require careful long-term monitoring.</w:t>
            </w:r>
          </w:p>
        </w:tc>
      </w:tr>
      <w:tr w:rsidR="00C271FD" w:rsidRPr="006E2281">
        <w:tc>
          <w:tcPr>
            <w:tcW w:w="1371" w:type="dxa"/>
          </w:tcPr>
          <w:p w:rsidR="00C271FD" w:rsidRPr="006E2281" w:rsidRDefault="00FD43E0" w:rsidP="008170A4">
            <w:pPr>
              <w:jc w:val="left"/>
              <w:rPr>
                <w:color w:val="000000" w:themeColor="text1"/>
                <w:sz w:val="20"/>
              </w:rPr>
            </w:pPr>
            <w:r>
              <w:rPr>
                <w:color w:val="000000" w:themeColor="text1"/>
                <w:sz w:val="20"/>
              </w:rPr>
              <w:t>Idiopathic interstitial pneumonia</w:t>
            </w:r>
          </w:p>
        </w:tc>
        <w:tc>
          <w:tcPr>
            <w:tcW w:w="1656" w:type="dxa"/>
          </w:tcPr>
          <w:p w:rsidR="00C271FD" w:rsidRPr="006E2281" w:rsidRDefault="00C271FD" w:rsidP="00C271FD">
            <w:pPr>
              <w:jc w:val="left"/>
              <w:rPr>
                <w:color w:val="000000" w:themeColor="text1"/>
                <w:sz w:val="20"/>
              </w:rPr>
            </w:pPr>
            <w:r w:rsidRPr="006E2281">
              <w:rPr>
                <w:color w:val="000000" w:themeColor="text1"/>
                <w:sz w:val="20"/>
              </w:rPr>
              <w:t>MPO-ANCA 4–36%, PR3-ANCA 2–4%</w:t>
            </w:r>
          </w:p>
        </w:tc>
        <w:tc>
          <w:tcPr>
            <w:tcW w:w="1118" w:type="dxa"/>
          </w:tcPr>
          <w:p w:rsidR="00C271FD" w:rsidRPr="006E2281" w:rsidRDefault="00C271FD" w:rsidP="008170A4">
            <w:pPr>
              <w:jc w:val="left"/>
              <w:rPr>
                <w:color w:val="000000" w:themeColor="text1"/>
                <w:sz w:val="20"/>
              </w:rPr>
            </w:pPr>
            <w:r w:rsidRPr="006E2281">
              <w:rPr>
                <w:color w:val="000000" w:themeColor="text1"/>
                <w:sz w:val="20"/>
              </w:rPr>
              <w:t>-</w:t>
            </w:r>
          </w:p>
        </w:tc>
        <w:tc>
          <w:tcPr>
            <w:tcW w:w="4145" w:type="dxa"/>
          </w:tcPr>
          <w:p w:rsidR="00C271FD" w:rsidRPr="006E2281" w:rsidRDefault="00C271FD" w:rsidP="00396066">
            <w:pPr>
              <w:jc w:val="left"/>
              <w:rPr>
                <w:color w:val="000000" w:themeColor="text1"/>
                <w:sz w:val="20"/>
              </w:rPr>
            </w:pPr>
            <w:r w:rsidRPr="006E2281">
              <w:rPr>
                <w:color w:val="000000" w:themeColor="text1"/>
                <w:sz w:val="20"/>
              </w:rPr>
              <w:t>Interstitial lung disease may precede diagnosis of AAV, e.g. MPA develops in up to 25% of MPO-ANCA positive patients initially diagnosed with IIP. ANCA-positivity in IIF cannot guide treatment decision</w:t>
            </w:r>
          </w:p>
        </w:tc>
      </w:tr>
      <w:tr w:rsidR="001C4EDB" w:rsidRPr="006E2281">
        <w:tc>
          <w:tcPr>
            <w:tcW w:w="1371" w:type="dxa"/>
          </w:tcPr>
          <w:p w:rsidR="001C4EDB" w:rsidRPr="006E2281" w:rsidRDefault="001C4EDB" w:rsidP="00BF6CEE">
            <w:pPr>
              <w:jc w:val="left"/>
              <w:rPr>
                <w:color w:val="000000" w:themeColor="text1"/>
                <w:sz w:val="20"/>
              </w:rPr>
            </w:pPr>
            <w:r w:rsidRPr="006E2281">
              <w:rPr>
                <w:color w:val="000000" w:themeColor="text1"/>
                <w:sz w:val="20"/>
              </w:rPr>
              <w:t>I</w:t>
            </w:r>
            <w:r w:rsidR="009C5860" w:rsidRPr="006E2281">
              <w:rPr>
                <w:color w:val="000000" w:themeColor="text1"/>
                <w:sz w:val="20"/>
              </w:rPr>
              <w:t>nfections</w:t>
            </w:r>
          </w:p>
        </w:tc>
        <w:tc>
          <w:tcPr>
            <w:tcW w:w="1656" w:type="dxa"/>
          </w:tcPr>
          <w:p w:rsidR="001C4EDB" w:rsidRPr="006E2281" w:rsidRDefault="001C4EDB" w:rsidP="001C4EDB">
            <w:pPr>
              <w:jc w:val="left"/>
              <w:rPr>
                <w:color w:val="000000" w:themeColor="text1"/>
                <w:sz w:val="20"/>
              </w:rPr>
            </w:pPr>
            <w:r w:rsidRPr="006E2281">
              <w:rPr>
                <w:color w:val="000000" w:themeColor="text1"/>
                <w:sz w:val="20"/>
              </w:rPr>
              <w:t>IIF: 18-24%</w:t>
            </w:r>
          </w:p>
          <w:p w:rsidR="001C4EDB" w:rsidRPr="006E2281" w:rsidRDefault="001C4EDB" w:rsidP="001C4EDB">
            <w:pPr>
              <w:jc w:val="left"/>
              <w:rPr>
                <w:color w:val="000000" w:themeColor="text1"/>
                <w:sz w:val="20"/>
              </w:rPr>
            </w:pPr>
            <w:r w:rsidRPr="006E2281">
              <w:rPr>
                <w:color w:val="000000" w:themeColor="text1"/>
                <w:sz w:val="20"/>
              </w:rPr>
              <w:t>ELISA: 8-14% (33% in one study)</w:t>
            </w:r>
          </w:p>
        </w:tc>
        <w:tc>
          <w:tcPr>
            <w:tcW w:w="1118" w:type="dxa"/>
          </w:tcPr>
          <w:p w:rsidR="001C4EDB" w:rsidRPr="006E2281" w:rsidRDefault="001C4EDB" w:rsidP="008170A4">
            <w:pPr>
              <w:jc w:val="left"/>
              <w:rPr>
                <w:color w:val="000000" w:themeColor="text1"/>
                <w:sz w:val="20"/>
              </w:rPr>
            </w:pPr>
            <w:r w:rsidRPr="006E2281">
              <w:rPr>
                <w:color w:val="000000" w:themeColor="text1"/>
                <w:sz w:val="20"/>
              </w:rPr>
              <w:t>-</w:t>
            </w:r>
          </w:p>
        </w:tc>
        <w:tc>
          <w:tcPr>
            <w:tcW w:w="4145" w:type="dxa"/>
          </w:tcPr>
          <w:p w:rsidR="001C4EDB" w:rsidRPr="006E2281" w:rsidRDefault="001C4EDB" w:rsidP="00396066">
            <w:pPr>
              <w:jc w:val="left"/>
              <w:rPr>
                <w:color w:val="000000" w:themeColor="text1"/>
                <w:sz w:val="20"/>
              </w:rPr>
            </w:pPr>
            <w:r w:rsidRPr="006E2281">
              <w:rPr>
                <w:color w:val="000000" w:themeColor="text1"/>
                <w:sz w:val="20"/>
              </w:rPr>
              <w:t xml:space="preserve">In IE, ANCA-positivity may be linked with multiple valve involvement and more frequent renal impairment. However, the presence of ANCA seems more important in </w:t>
            </w:r>
            <w:r w:rsidR="009C5860" w:rsidRPr="006E2281">
              <w:rPr>
                <w:color w:val="000000" w:themeColor="text1"/>
                <w:sz w:val="20"/>
              </w:rPr>
              <w:t xml:space="preserve">the </w:t>
            </w:r>
            <w:r w:rsidRPr="006E2281">
              <w:rPr>
                <w:color w:val="000000" w:themeColor="text1"/>
                <w:sz w:val="20"/>
              </w:rPr>
              <w:t>context of differential diagnosis with AAV</w:t>
            </w:r>
          </w:p>
        </w:tc>
      </w:tr>
      <w:tr w:rsidR="0014156C" w:rsidRPr="006E2281">
        <w:tc>
          <w:tcPr>
            <w:tcW w:w="1371" w:type="dxa"/>
          </w:tcPr>
          <w:p w:rsidR="0014156C" w:rsidRPr="006E2281" w:rsidRDefault="0014156C" w:rsidP="008170A4">
            <w:pPr>
              <w:jc w:val="left"/>
              <w:rPr>
                <w:color w:val="000000" w:themeColor="text1"/>
                <w:sz w:val="20"/>
              </w:rPr>
            </w:pPr>
            <w:r w:rsidRPr="006E2281">
              <w:rPr>
                <w:color w:val="000000" w:themeColor="text1"/>
                <w:sz w:val="20"/>
              </w:rPr>
              <w:t>Malignancy</w:t>
            </w:r>
          </w:p>
        </w:tc>
        <w:tc>
          <w:tcPr>
            <w:tcW w:w="1656" w:type="dxa"/>
          </w:tcPr>
          <w:p w:rsidR="0014156C" w:rsidRPr="006E2281" w:rsidRDefault="0014156C" w:rsidP="001C4EDB">
            <w:pPr>
              <w:jc w:val="left"/>
              <w:rPr>
                <w:color w:val="000000" w:themeColor="text1"/>
                <w:sz w:val="20"/>
              </w:rPr>
            </w:pPr>
            <w:r w:rsidRPr="006E2281">
              <w:rPr>
                <w:color w:val="000000" w:themeColor="text1"/>
                <w:sz w:val="20"/>
              </w:rPr>
              <w:t>-</w:t>
            </w:r>
          </w:p>
        </w:tc>
        <w:tc>
          <w:tcPr>
            <w:tcW w:w="1118" w:type="dxa"/>
          </w:tcPr>
          <w:p w:rsidR="0014156C" w:rsidRPr="006E2281" w:rsidRDefault="0014156C" w:rsidP="008170A4">
            <w:pPr>
              <w:jc w:val="left"/>
              <w:rPr>
                <w:color w:val="000000" w:themeColor="text1"/>
                <w:sz w:val="20"/>
              </w:rPr>
            </w:pPr>
            <w:r w:rsidRPr="006E2281">
              <w:rPr>
                <w:color w:val="000000" w:themeColor="text1"/>
                <w:sz w:val="20"/>
              </w:rPr>
              <w:t>Very rare</w:t>
            </w:r>
          </w:p>
        </w:tc>
        <w:tc>
          <w:tcPr>
            <w:tcW w:w="4145" w:type="dxa"/>
          </w:tcPr>
          <w:p w:rsidR="0014156C" w:rsidRPr="006E2281" w:rsidRDefault="007506F7" w:rsidP="00396066">
            <w:pPr>
              <w:jc w:val="left"/>
              <w:rPr>
                <w:color w:val="000000" w:themeColor="text1"/>
                <w:sz w:val="20"/>
              </w:rPr>
            </w:pPr>
            <w:r w:rsidRPr="006E2281">
              <w:rPr>
                <w:color w:val="000000" w:themeColor="text1"/>
                <w:sz w:val="20"/>
              </w:rPr>
              <w:t xml:space="preserve">The evidence indicating a causal relationship between malignancy and AAV is inconclusive. </w:t>
            </w:r>
            <w:r w:rsidRPr="006E2281">
              <w:rPr>
                <w:color w:val="000000" w:themeColor="text1"/>
                <w:sz w:val="20"/>
              </w:rPr>
              <w:lastRenderedPageBreak/>
              <w:t>However, it cannot be excluded in some patients.</w:t>
            </w:r>
          </w:p>
        </w:tc>
      </w:tr>
      <w:tr w:rsidR="00713C0B" w:rsidRPr="006E2281">
        <w:tc>
          <w:tcPr>
            <w:tcW w:w="1371" w:type="dxa"/>
          </w:tcPr>
          <w:p w:rsidR="00713C0B" w:rsidRPr="006E2281" w:rsidRDefault="00713C0B" w:rsidP="008170A4">
            <w:pPr>
              <w:jc w:val="left"/>
              <w:rPr>
                <w:color w:val="000000" w:themeColor="text1"/>
                <w:sz w:val="20"/>
              </w:rPr>
            </w:pPr>
            <w:r w:rsidRPr="006E2281">
              <w:rPr>
                <w:color w:val="000000" w:themeColor="text1"/>
                <w:sz w:val="20"/>
              </w:rPr>
              <w:lastRenderedPageBreak/>
              <w:t>Drugs</w:t>
            </w:r>
          </w:p>
        </w:tc>
        <w:tc>
          <w:tcPr>
            <w:tcW w:w="1656" w:type="dxa"/>
          </w:tcPr>
          <w:p w:rsidR="00713C0B" w:rsidRPr="006E2281" w:rsidRDefault="00713C0B" w:rsidP="001C4EDB">
            <w:pPr>
              <w:jc w:val="left"/>
              <w:rPr>
                <w:color w:val="000000" w:themeColor="text1"/>
                <w:sz w:val="20"/>
              </w:rPr>
            </w:pPr>
            <w:r w:rsidRPr="006E2281">
              <w:rPr>
                <w:color w:val="000000" w:themeColor="text1"/>
                <w:sz w:val="20"/>
              </w:rPr>
              <w:t>-</w:t>
            </w:r>
          </w:p>
        </w:tc>
        <w:tc>
          <w:tcPr>
            <w:tcW w:w="1118" w:type="dxa"/>
          </w:tcPr>
          <w:p w:rsidR="00713C0B" w:rsidRPr="006E2281" w:rsidRDefault="00713C0B" w:rsidP="008170A4">
            <w:pPr>
              <w:jc w:val="left"/>
              <w:rPr>
                <w:color w:val="000000" w:themeColor="text1"/>
                <w:sz w:val="20"/>
              </w:rPr>
            </w:pPr>
            <w:r w:rsidRPr="006E2281">
              <w:rPr>
                <w:color w:val="000000" w:themeColor="text1"/>
                <w:sz w:val="20"/>
              </w:rPr>
              <w:t>Rare</w:t>
            </w:r>
          </w:p>
        </w:tc>
        <w:tc>
          <w:tcPr>
            <w:tcW w:w="4145" w:type="dxa"/>
          </w:tcPr>
          <w:p w:rsidR="00713C0B" w:rsidRPr="006E2281" w:rsidRDefault="00713C0B" w:rsidP="00396066">
            <w:pPr>
              <w:jc w:val="left"/>
              <w:rPr>
                <w:color w:val="000000" w:themeColor="text1"/>
                <w:sz w:val="20"/>
              </w:rPr>
            </w:pPr>
          </w:p>
        </w:tc>
      </w:tr>
      <w:tr w:rsidR="00207023" w:rsidRPr="006E2281">
        <w:tc>
          <w:tcPr>
            <w:tcW w:w="1371" w:type="dxa"/>
          </w:tcPr>
          <w:p w:rsidR="00207023" w:rsidRPr="006E2281" w:rsidRDefault="00207023" w:rsidP="008170A4">
            <w:pPr>
              <w:jc w:val="left"/>
              <w:rPr>
                <w:color w:val="000000" w:themeColor="text1"/>
                <w:sz w:val="20"/>
              </w:rPr>
            </w:pPr>
            <w:r>
              <w:rPr>
                <w:color w:val="000000" w:themeColor="text1"/>
                <w:sz w:val="20"/>
              </w:rPr>
              <w:t>Other diseases</w:t>
            </w:r>
          </w:p>
        </w:tc>
        <w:tc>
          <w:tcPr>
            <w:tcW w:w="1656" w:type="dxa"/>
          </w:tcPr>
          <w:p w:rsidR="00207023" w:rsidRPr="006E2281" w:rsidRDefault="00207023" w:rsidP="001C4EDB">
            <w:pPr>
              <w:jc w:val="left"/>
              <w:rPr>
                <w:color w:val="000000" w:themeColor="text1"/>
                <w:sz w:val="20"/>
              </w:rPr>
            </w:pPr>
            <w:r>
              <w:rPr>
                <w:color w:val="000000" w:themeColor="text1"/>
                <w:sz w:val="20"/>
              </w:rPr>
              <w:t>-</w:t>
            </w:r>
          </w:p>
        </w:tc>
        <w:tc>
          <w:tcPr>
            <w:tcW w:w="1118" w:type="dxa"/>
          </w:tcPr>
          <w:p w:rsidR="00207023" w:rsidRPr="006E2281" w:rsidRDefault="00207023" w:rsidP="008170A4">
            <w:pPr>
              <w:jc w:val="left"/>
              <w:rPr>
                <w:color w:val="000000" w:themeColor="text1"/>
                <w:sz w:val="20"/>
              </w:rPr>
            </w:pPr>
            <w:r>
              <w:rPr>
                <w:color w:val="000000" w:themeColor="text1"/>
                <w:sz w:val="20"/>
              </w:rPr>
              <w:t>-</w:t>
            </w:r>
          </w:p>
        </w:tc>
        <w:tc>
          <w:tcPr>
            <w:tcW w:w="4145" w:type="dxa"/>
          </w:tcPr>
          <w:p w:rsidR="00207023" w:rsidRPr="006E2281" w:rsidRDefault="00207023" w:rsidP="00396066">
            <w:pPr>
              <w:jc w:val="left"/>
              <w:rPr>
                <w:color w:val="000000" w:themeColor="text1"/>
                <w:sz w:val="20"/>
              </w:rPr>
            </w:pPr>
            <w:r>
              <w:rPr>
                <w:color w:val="000000" w:themeColor="text1"/>
                <w:sz w:val="20"/>
              </w:rPr>
              <w:t>Antigen-specific ANCA were reported in patients with midline destructive disease induced by cocaine inhalation, cholesterol emboli syndrome, cystic fibrosis, relapsing polychondritis, and IgG4-related disease. In patients with cystic fibrosis, BPI-ANCA may have prognostic significance.</w:t>
            </w:r>
          </w:p>
        </w:tc>
      </w:tr>
    </w:tbl>
    <w:p w:rsidR="00E44C24" w:rsidRPr="006E2281" w:rsidRDefault="00FD43E0" w:rsidP="00A02290">
      <w:pPr>
        <w:rPr>
          <w:color w:val="000000" w:themeColor="text1"/>
        </w:rPr>
      </w:pPr>
      <w:r>
        <w:rPr>
          <w:color w:val="000000" w:themeColor="text1"/>
        </w:rPr>
        <w:t xml:space="preserve">Note: RA – rheumatoid arthritis, SLE – systemic lupus erythematosus, AIH-1 – </w:t>
      </w:r>
      <w:r w:rsidRPr="00FD43E0">
        <w:rPr>
          <w:color w:val="000000" w:themeColor="text1"/>
        </w:rPr>
        <w:t xml:space="preserve">autoimmune hepatitis type 1, </w:t>
      </w:r>
      <w:r>
        <w:rPr>
          <w:color w:val="000000" w:themeColor="text1"/>
        </w:rPr>
        <w:t xml:space="preserve">PBC – </w:t>
      </w:r>
      <w:r w:rsidRPr="00FD43E0">
        <w:rPr>
          <w:color w:val="000000" w:themeColor="text1"/>
        </w:rPr>
        <w:t>primary biliary c</w:t>
      </w:r>
      <w:r>
        <w:rPr>
          <w:color w:val="000000" w:themeColor="text1"/>
        </w:rPr>
        <w:t>holangitis</w:t>
      </w:r>
      <w:r w:rsidRPr="00FD43E0">
        <w:rPr>
          <w:color w:val="000000" w:themeColor="text1"/>
        </w:rPr>
        <w:t xml:space="preserve">, </w:t>
      </w:r>
      <w:r>
        <w:rPr>
          <w:color w:val="000000" w:themeColor="text1"/>
        </w:rPr>
        <w:t>PSC</w:t>
      </w:r>
      <w:r w:rsidRPr="00FD43E0">
        <w:rPr>
          <w:color w:val="000000" w:themeColor="text1"/>
        </w:rPr>
        <w:t xml:space="preserve"> </w:t>
      </w:r>
      <w:r w:rsidR="00940C6A">
        <w:rPr>
          <w:color w:val="000000" w:themeColor="text1"/>
        </w:rPr>
        <w:t xml:space="preserve">– </w:t>
      </w:r>
      <w:r w:rsidRPr="00FD43E0">
        <w:rPr>
          <w:color w:val="000000" w:themeColor="text1"/>
        </w:rPr>
        <w:t>primary sclerosing cholangitis</w:t>
      </w:r>
      <w:r>
        <w:rPr>
          <w:color w:val="000000" w:themeColor="text1"/>
        </w:rPr>
        <w:t xml:space="preserve"> , CD – Crohn’s diseases, UC – ulcerative colitis, </w:t>
      </w:r>
      <w:r w:rsidRPr="006E2281">
        <w:rPr>
          <w:color w:val="000000" w:themeColor="text1"/>
        </w:rPr>
        <w:t>ASCA</w:t>
      </w:r>
      <w:r>
        <w:rPr>
          <w:color w:val="000000" w:themeColor="text1"/>
        </w:rPr>
        <w:t xml:space="preserve"> – </w:t>
      </w:r>
      <w:r w:rsidRPr="006E2281">
        <w:rPr>
          <w:color w:val="000000" w:themeColor="text1"/>
        </w:rPr>
        <w:t>anti-</w:t>
      </w:r>
      <w:r w:rsidRPr="00940C6A">
        <w:rPr>
          <w:i/>
          <w:color w:val="000000" w:themeColor="text1"/>
        </w:rPr>
        <w:t>Saccharomyces cerevisiae</w:t>
      </w:r>
      <w:r w:rsidRPr="006E2281">
        <w:rPr>
          <w:color w:val="000000" w:themeColor="text1"/>
        </w:rPr>
        <w:t xml:space="preserve"> antibodies</w:t>
      </w:r>
      <w:r w:rsidR="00940C6A">
        <w:rPr>
          <w:color w:val="000000" w:themeColor="text1"/>
        </w:rPr>
        <w:t xml:space="preserve">, </w:t>
      </w:r>
      <w:r w:rsidR="008170A4" w:rsidRPr="006E2281">
        <w:rPr>
          <w:color w:val="000000" w:themeColor="text1"/>
        </w:rPr>
        <w:t>C</w:t>
      </w:r>
      <w:r w:rsidR="005519AC">
        <w:rPr>
          <w:color w:val="000000" w:themeColor="text1"/>
        </w:rPr>
        <w:t xml:space="preserve">LIA </w:t>
      </w:r>
      <w:r w:rsidR="00207023">
        <w:rPr>
          <w:color w:val="000000" w:themeColor="text1"/>
        </w:rPr>
        <w:t>–</w:t>
      </w:r>
      <w:r w:rsidR="005519AC">
        <w:rPr>
          <w:color w:val="000000" w:themeColor="text1"/>
        </w:rPr>
        <w:t xml:space="preserve"> chemilumine</w:t>
      </w:r>
      <w:r w:rsidR="008170A4" w:rsidRPr="006E2281">
        <w:rPr>
          <w:color w:val="000000" w:themeColor="text1"/>
        </w:rPr>
        <w:t>scent assay</w:t>
      </w:r>
      <w:r>
        <w:rPr>
          <w:color w:val="000000" w:themeColor="text1"/>
        </w:rPr>
        <w:t xml:space="preserve">, IIF – </w:t>
      </w:r>
      <w:r>
        <w:rPr>
          <w:rFonts w:hint="eastAsia"/>
          <w:color w:val="000000" w:themeColor="text1"/>
          <w:lang w:eastAsia="zh-CN"/>
        </w:rPr>
        <w:t>indirect</w:t>
      </w:r>
      <w:r w:rsidR="00207023">
        <w:rPr>
          <w:color w:val="000000" w:themeColor="text1"/>
          <w:lang w:eastAsia="zh-CN"/>
        </w:rPr>
        <w:t xml:space="preserve"> immunofluorescence, BPI – </w:t>
      </w:r>
      <w:r w:rsidR="00207023" w:rsidRPr="00326DA4">
        <w:rPr>
          <w:color w:val="000000" w:themeColor="text1"/>
        </w:rPr>
        <w:t>bactericidal/</w:t>
      </w:r>
      <w:r w:rsidR="00207023">
        <w:rPr>
          <w:color w:val="000000" w:themeColor="text1"/>
        </w:rPr>
        <w:t>permeability-increasing protein.</w:t>
      </w:r>
    </w:p>
    <w:p w:rsidR="00C90FD8" w:rsidRPr="006E2281" w:rsidRDefault="00C90FD8">
      <w:pPr>
        <w:spacing w:before="0" w:line="240" w:lineRule="auto"/>
        <w:jc w:val="left"/>
        <w:rPr>
          <w:color w:val="000000" w:themeColor="text1"/>
        </w:rPr>
      </w:pPr>
      <w:r w:rsidRPr="006E2281">
        <w:rPr>
          <w:color w:val="000000" w:themeColor="text1"/>
        </w:rPr>
        <w:br w:type="page"/>
      </w:r>
    </w:p>
    <w:p w:rsidR="00C90FD8" w:rsidRPr="006E2281" w:rsidRDefault="005519AC" w:rsidP="00A02290">
      <w:pPr>
        <w:rPr>
          <w:color w:val="000000" w:themeColor="text1"/>
        </w:rPr>
      </w:pPr>
      <w:r>
        <w:rPr>
          <w:color w:val="000000" w:themeColor="text1"/>
        </w:rPr>
        <w:lastRenderedPageBreak/>
        <w:t>Ta</w:t>
      </w:r>
      <w:r w:rsidR="002E3AF8" w:rsidRPr="006E2281">
        <w:rPr>
          <w:color w:val="000000" w:themeColor="text1"/>
        </w:rPr>
        <w:t>ble 4</w:t>
      </w:r>
      <w:r w:rsidR="00980BD9" w:rsidRPr="006E2281">
        <w:rPr>
          <w:color w:val="000000" w:themeColor="text1"/>
        </w:rPr>
        <w:t xml:space="preserve">.  </w:t>
      </w:r>
      <w:r w:rsidR="00E44C24" w:rsidRPr="006E2281">
        <w:rPr>
          <w:color w:val="000000" w:themeColor="text1"/>
        </w:rPr>
        <w:t>Recommendations</w:t>
      </w:r>
      <w:r w:rsidR="00980BD9" w:rsidRPr="006E2281">
        <w:rPr>
          <w:color w:val="000000" w:themeColor="text1"/>
        </w:rPr>
        <w:t xml:space="preserve"> </w:t>
      </w:r>
      <w:r w:rsidR="0040691F">
        <w:rPr>
          <w:color w:val="000000" w:themeColor="text1"/>
        </w:rPr>
        <w:t>statement</w:t>
      </w:r>
      <w:r w:rsidR="00FD43E0">
        <w:rPr>
          <w:color w:val="000000" w:themeColor="text1"/>
        </w:rPr>
        <w:t>s</w:t>
      </w:r>
      <w:r w:rsidR="001D13A5">
        <w:rPr>
          <w:color w:val="000000" w:themeColor="text1"/>
        </w:rPr>
        <w:t xml:space="preserve"> </w:t>
      </w:r>
      <w:r w:rsidR="00980BD9" w:rsidRPr="006E2281">
        <w:rPr>
          <w:color w:val="000000" w:themeColor="text1"/>
        </w:rPr>
        <w:t>for ANCA testing in non-AAV</w:t>
      </w:r>
    </w:p>
    <w:tbl>
      <w:tblPr>
        <w:tblStyle w:val="TableGrid"/>
        <w:tblW w:w="8516" w:type="dxa"/>
        <w:tblLook w:val="00A0" w:firstRow="1" w:lastRow="0" w:firstColumn="1" w:lastColumn="0" w:noHBand="0" w:noVBand="0"/>
      </w:tblPr>
      <w:tblGrid>
        <w:gridCol w:w="1372"/>
        <w:gridCol w:w="2510"/>
        <w:gridCol w:w="913"/>
        <w:gridCol w:w="1006"/>
        <w:gridCol w:w="1083"/>
        <w:gridCol w:w="727"/>
        <w:gridCol w:w="905"/>
      </w:tblGrid>
      <w:tr w:rsidR="002A032D" w:rsidRPr="006E2281" w:rsidTr="002A032D">
        <w:tc>
          <w:tcPr>
            <w:tcW w:w="1372" w:type="dxa"/>
          </w:tcPr>
          <w:p w:rsidR="002A032D" w:rsidRPr="006E2281" w:rsidRDefault="002A032D" w:rsidP="00D00E00">
            <w:pPr>
              <w:rPr>
                <w:color w:val="000000" w:themeColor="text1"/>
                <w:sz w:val="20"/>
              </w:rPr>
            </w:pPr>
            <w:r w:rsidRPr="006E2281">
              <w:rPr>
                <w:color w:val="000000" w:themeColor="text1"/>
                <w:sz w:val="20"/>
              </w:rPr>
              <w:t>Disease</w:t>
            </w:r>
          </w:p>
        </w:tc>
        <w:tc>
          <w:tcPr>
            <w:tcW w:w="2974" w:type="dxa"/>
          </w:tcPr>
          <w:p w:rsidR="002A032D" w:rsidRPr="006E2281" w:rsidRDefault="002A032D" w:rsidP="00E44C24">
            <w:pPr>
              <w:jc w:val="left"/>
              <w:rPr>
                <w:color w:val="000000" w:themeColor="text1"/>
                <w:sz w:val="20"/>
              </w:rPr>
            </w:pPr>
            <w:r>
              <w:rPr>
                <w:color w:val="000000" w:themeColor="text1"/>
                <w:sz w:val="20"/>
              </w:rPr>
              <w:t>Statements</w:t>
            </w:r>
          </w:p>
        </w:tc>
        <w:tc>
          <w:tcPr>
            <w:tcW w:w="916" w:type="dxa"/>
          </w:tcPr>
          <w:p w:rsidR="002A032D" w:rsidRPr="006E2281" w:rsidRDefault="002A032D" w:rsidP="00EC0FA0">
            <w:pPr>
              <w:rPr>
                <w:color w:val="000000" w:themeColor="text1"/>
                <w:sz w:val="20"/>
              </w:rPr>
            </w:pPr>
            <w:r>
              <w:rPr>
                <w:color w:val="000000" w:themeColor="text1"/>
                <w:sz w:val="20"/>
              </w:rPr>
              <w:t>Strongly disagree</w:t>
            </w:r>
          </w:p>
        </w:tc>
        <w:tc>
          <w:tcPr>
            <w:tcW w:w="1043" w:type="dxa"/>
          </w:tcPr>
          <w:p w:rsidR="002A032D" w:rsidRPr="006E2281" w:rsidRDefault="002A032D" w:rsidP="00EC0FA0">
            <w:pPr>
              <w:rPr>
                <w:color w:val="000000" w:themeColor="text1"/>
                <w:sz w:val="20"/>
              </w:rPr>
            </w:pPr>
            <w:r>
              <w:rPr>
                <w:color w:val="000000" w:themeColor="text1"/>
                <w:sz w:val="20"/>
              </w:rPr>
              <w:t>Disagree</w:t>
            </w:r>
          </w:p>
        </w:tc>
        <w:tc>
          <w:tcPr>
            <w:tcW w:w="737" w:type="dxa"/>
          </w:tcPr>
          <w:p w:rsidR="002A032D" w:rsidRDefault="002A032D" w:rsidP="00EC0FA0">
            <w:pPr>
              <w:rPr>
                <w:color w:val="000000" w:themeColor="text1"/>
                <w:sz w:val="20"/>
              </w:rPr>
            </w:pPr>
            <w:r>
              <w:rPr>
                <w:color w:val="000000" w:themeColor="text1"/>
                <w:sz w:val="20"/>
              </w:rPr>
              <w:t>Undecided</w:t>
            </w:r>
          </w:p>
        </w:tc>
        <w:tc>
          <w:tcPr>
            <w:tcW w:w="737" w:type="dxa"/>
          </w:tcPr>
          <w:p w:rsidR="002A032D" w:rsidRDefault="002A032D" w:rsidP="00EC0FA0">
            <w:pPr>
              <w:rPr>
                <w:color w:val="000000" w:themeColor="text1"/>
                <w:sz w:val="20"/>
              </w:rPr>
            </w:pPr>
            <w:r>
              <w:rPr>
                <w:color w:val="000000" w:themeColor="text1"/>
                <w:sz w:val="20"/>
              </w:rPr>
              <w:t>Agree</w:t>
            </w:r>
          </w:p>
        </w:tc>
        <w:tc>
          <w:tcPr>
            <w:tcW w:w="737" w:type="dxa"/>
          </w:tcPr>
          <w:p w:rsidR="002A032D" w:rsidRDefault="002A032D" w:rsidP="00EC0FA0">
            <w:pPr>
              <w:rPr>
                <w:color w:val="000000" w:themeColor="text1"/>
                <w:sz w:val="20"/>
              </w:rPr>
            </w:pPr>
            <w:r>
              <w:rPr>
                <w:color w:val="000000" w:themeColor="text1"/>
                <w:sz w:val="20"/>
              </w:rPr>
              <w:t>Strongly agree</w:t>
            </w:r>
          </w:p>
        </w:tc>
      </w:tr>
      <w:tr w:rsidR="002A032D" w:rsidRPr="006E2281" w:rsidTr="002A032D">
        <w:tc>
          <w:tcPr>
            <w:tcW w:w="1372" w:type="dxa"/>
          </w:tcPr>
          <w:p w:rsidR="002A032D" w:rsidRPr="006E2281" w:rsidRDefault="002A032D" w:rsidP="00D00E00">
            <w:pPr>
              <w:rPr>
                <w:color w:val="000000" w:themeColor="text1"/>
                <w:sz w:val="20"/>
              </w:rPr>
            </w:pPr>
            <w:r>
              <w:rPr>
                <w:color w:val="000000" w:themeColor="text1"/>
                <w:sz w:val="20"/>
              </w:rPr>
              <w:t>Any disease</w:t>
            </w:r>
          </w:p>
        </w:tc>
        <w:tc>
          <w:tcPr>
            <w:tcW w:w="2974" w:type="dxa"/>
          </w:tcPr>
          <w:p w:rsidR="002A032D" w:rsidRPr="00FD43E0" w:rsidRDefault="002A032D" w:rsidP="00207023">
            <w:pPr>
              <w:jc w:val="left"/>
              <w:rPr>
                <w:color w:val="000000" w:themeColor="text1"/>
                <w:sz w:val="20"/>
              </w:rPr>
            </w:pPr>
            <w:r w:rsidRPr="00FD43E0">
              <w:rPr>
                <w:color w:val="000000" w:themeColor="text1"/>
                <w:sz w:val="20"/>
              </w:rPr>
              <w:t>ANCA testing</w:t>
            </w:r>
            <w:r>
              <w:rPr>
                <w:color w:val="000000" w:themeColor="text1"/>
                <w:sz w:val="20"/>
              </w:rPr>
              <w:t>*</w:t>
            </w:r>
            <w:r w:rsidRPr="00FD43E0">
              <w:rPr>
                <w:color w:val="000000" w:themeColor="text1"/>
                <w:sz w:val="20"/>
              </w:rPr>
              <w:t xml:space="preserve"> is mandatory for any patient with clinical features suggesting AAV</w:t>
            </w:r>
          </w:p>
        </w:tc>
        <w:tc>
          <w:tcPr>
            <w:tcW w:w="916" w:type="dxa"/>
          </w:tcPr>
          <w:p w:rsidR="002A032D" w:rsidRPr="006E2281" w:rsidRDefault="002A032D" w:rsidP="00673753">
            <w:pPr>
              <w:jc w:val="left"/>
              <w:rPr>
                <w:color w:val="000000" w:themeColor="text1"/>
                <w:sz w:val="20"/>
              </w:rPr>
            </w:pPr>
          </w:p>
        </w:tc>
        <w:tc>
          <w:tcPr>
            <w:tcW w:w="1043" w:type="dxa"/>
          </w:tcPr>
          <w:p w:rsidR="002A032D" w:rsidRPr="006E2281" w:rsidRDefault="002A032D" w:rsidP="00673753">
            <w:pPr>
              <w:jc w:val="left"/>
              <w:rPr>
                <w:color w:val="000000" w:themeColor="text1"/>
                <w:sz w:val="20"/>
              </w:rPr>
            </w:pPr>
          </w:p>
        </w:tc>
        <w:tc>
          <w:tcPr>
            <w:tcW w:w="737" w:type="dxa"/>
          </w:tcPr>
          <w:p w:rsidR="002A032D" w:rsidRPr="006E2281" w:rsidRDefault="002A032D" w:rsidP="00673753">
            <w:pPr>
              <w:jc w:val="left"/>
              <w:rPr>
                <w:color w:val="000000" w:themeColor="text1"/>
                <w:sz w:val="20"/>
              </w:rPr>
            </w:pPr>
          </w:p>
        </w:tc>
        <w:tc>
          <w:tcPr>
            <w:tcW w:w="737" w:type="dxa"/>
          </w:tcPr>
          <w:p w:rsidR="002A032D" w:rsidRPr="006E2281" w:rsidRDefault="002A032D" w:rsidP="00673753">
            <w:pPr>
              <w:jc w:val="left"/>
              <w:rPr>
                <w:color w:val="000000" w:themeColor="text1"/>
                <w:sz w:val="20"/>
              </w:rPr>
            </w:pPr>
          </w:p>
        </w:tc>
        <w:tc>
          <w:tcPr>
            <w:tcW w:w="737" w:type="dxa"/>
          </w:tcPr>
          <w:p w:rsidR="002A032D" w:rsidRPr="006E2281" w:rsidRDefault="008F1CF8" w:rsidP="00673753">
            <w:pPr>
              <w:jc w:val="left"/>
              <w:rPr>
                <w:color w:val="000000" w:themeColor="text1"/>
                <w:sz w:val="20"/>
              </w:rPr>
            </w:pPr>
            <w:r>
              <w:rPr>
                <w:color w:val="000000" w:themeColor="text1"/>
                <w:sz w:val="20"/>
              </w:rPr>
              <w:t>X</w:t>
            </w:r>
          </w:p>
        </w:tc>
      </w:tr>
      <w:tr w:rsidR="002A032D" w:rsidRPr="006E2281" w:rsidTr="002A032D">
        <w:tc>
          <w:tcPr>
            <w:tcW w:w="1372" w:type="dxa"/>
          </w:tcPr>
          <w:p w:rsidR="002A032D" w:rsidRPr="006E2281" w:rsidRDefault="002A032D" w:rsidP="008170A4">
            <w:pPr>
              <w:jc w:val="left"/>
              <w:rPr>
                <w:color w:val="000000" w:themeColor="text1"/>
                <w:sz w:val="20"/>
              </w:rPr>
            </w:pPr>
            <w:r w:rsidRPr="006E2281">
              <w:rPr>
                <w:color w:val="000000" w:themeColor="text1"/>
                <w:sz w:val="20"/>
              </w:rPr>
              <w:t>Anti-GBM disease</w:t>
            </w:r>
          </w:p>
        </w:tc>
        <w:tc>
          <w:tcPr>
            <w:tcW w:w="2974" w:type="dxa"/>
          </w:tcPr>
          <w:p w:rsidR="002A032D" w:rsidRPr="006E2281" w:rsidRDefault="002A032D" w:rsidP="00FD43E0">
            <w:pPr>
              <w:jc w:val="left"/>
              <w:rPr>
                <w:color w:val="000000" w:themeColor="text1"/>
                <w:sz w:val="20"/>
              </w:rPr>
            </w:pPr>
            <w:r w:rsidRPr="00FD43E0">
              <w:rPr>
                <w:color w:val="000000" w:themeColor="text1"/>
                <w:sz w:val="20"/>
              </w:rPr>
              <w:t>ANCA testing</w:t>
            </w:r>
            <w:r>
              <w:rPr>
                <w:color w:val="000000" w:themeColor="text1"/>
                <w:sz w:val="20"/>
              </w:rPr>
              <w:t>*</w:t>
            </w:r>
            <w:r w:rsidRPr="00FD43E0">
              <w:rPr>
                <w:color w:val="000000" w:themeColor="text1"/>
                <w:sz w:val="20"/>
              </w:rPr>
              <w:t xml:space="preserve"> is mandatory for any patient with </w:t>
            </w:r>
            <w:r>
              <w:rPr>
                <w:color w:val="000000" w:themeColor="text1"/>
                <w:sz w:val="20"/>
              </w:rPr>
              <w:t>anti-GBM disease</w:t>
            </w:r>
          </w:p>
        </w:tc>
        <w:tc>
          <w:tcPr>
            <w:tcW w:w="916" w:type="dxa"/>
          </w:tcPr>
          <w:p w:rsidR="002A032D" w:rsidRPr="006E2281" w:rsidRDefault="002A032D" w:rsidP="008170A4">
            <w:pPr>
              <w:jc w:val="left"/>
              <w:rPr>
                <w:color w:val="000000" w:themeColor="text1"/>
                <w:sz w:val="20"/>
              </w:rPr>
            </w:pPr>
          </w:p>
        </w:tc>
        <w:tc>
          <w:tcPr>
            <w:tcW w:w="1043" w:type="dxa"/>
          </w:tcPr>
          <w:p w:rsidR="002A032D" w:rsidRPr="006E2281" w:rsidRDefault="002A032D" w:rsidP="008170A4">
            <w:pPr>
              <w:jc w:val="left"/>
              <w:rPr>
                <w:color w:val="000000" w:themeColor="text1"/>
                <w:sz w:val="20"/>
              </w:rPr>
            </w:pPr>
          </w:p>
        </w:tc>
        <w:tc>
          <w:tcPr>
            <w:tcW w:w="737" w:type="dxa"/>
          </w:tcPr>
          <w:p w:rsidR="002A032D" w:rsidRPr="006E2281" w:rsidRDefault="002A032D" w:rsidP="008170A4">
            <w:pPr>
              <w:jc w:val="left"/>
              <w:rPr>
                <w:color w:val="000000" w:themeColor="text1"/>
                <w:sz w:val="20"/>
              </w:rPr>
            </w:pPr>
          </w:p>
        </w:tc>
        <w:tc>
          <w:tcPr>
            <w:tcW w:w="737" w:type="dxa"/>
          </w:tcPr>
          <w:p w:rsidR="002A032D" w:rsidRPr="006E2281" w:rsidRDefault="002A032D" w:rsidP="008170A4">
            <w:pPr>
              <w:jc w:val="left"/>
              <w:rPr>
                <w:color w:val="000000" w:themeColor="text1"/>
                <w:sz w:val="20"/>
              </w:rPr>
            </w:pPr>
          </w:p>
        </w:tc>
        <w:tc>
          <w:tcPr>
            <w:tcW w:w="737" w:type="dxa"/>
          </w:tcPr>
          <w:p w:rsidR="002A032D" w:rsidRPr="006E2281" w:rsidRDefault="008F1CF8" w:rsidP="008170A4">
            <w:pPr>
              <w:jc w:val="left"/>
              <w:rPr>
                <w:color w:val="000000" w:themeColor="text1"/>
                <w:sz w:val="20"/>
              </w:rPr>
            </w:pPr>
            <w:r>
              <w:rPr>
                <w:color w:val="000000" w:themeColor="text1"/>
                <w:sz w:val="20"/>
              </w:rPr>
              <w:t>X</w:t>
            </w:r>
          </w:p>
        </w:tc>
      </w:tr>
      <w:tr w:rsidR="002A032D" w:rsidRPr="006E2281" w:rsidTr="002A032D">
        <w:tc>
          <w:tcPr>
            <w:tcW w:w="1372" w:type="dxa"/>
          </w:tcPr>
          <w:p w:rsidR="002A032D" w:rsidRPr="006E2281" w:rsidRDefault="002A032D" w:rsidP="00BF6CEE">
            <w:pPr>
              <w:jc w:val="left"/>
              <w:rPr>
                <w:color w:val="000000" w:themeColor="text1"/>
                <w:sz w:val="20"/>
              </w:rPr>
            </w:pPr>
            <w:r>
              <w:rPr>
                <w:color w:val="000000" w:themeColor="text1"/>
                <w:sz w:val="20"/>
              </w:rPr>
              <w:t>Idiopathic interstitial pneumonia</w:t>
            </w:r>
          </w:p>
        </w:tc>
        <w:tc>
          <w:tcPr>
            <w:tcW w:w="2974" w:type="dxa"/>
          </w:tcPr>
          <w:p w:rsidR="002A032D" w:rsidRPr="006E2281" w:rsidRDefault="002A032D" w:rsidP="008170A4">
            <w:pPr>
              <w:jc w:val="left"/>
              <w:rPr>
                <w:color w:val="000000" w:themeColor="text1"/>
                <w:sz w:val="20"/>
              </w:rPr>
            </w:pPr>
            <w:r w:rsidRPr="00FD43E0">
              <w:rPr>
                <w:color w:val="000000" w:themeColor="text1"/>
                <w:sz w:val="20"/>
              </w:rPr>
              <w:t>ANCA testing</w:t>
            </w:r>
            <w:r>
              <w:rPr>
                <w:color w:val="000000" w:themeColor="text1"/>
                <w:sz w:val="20"/>
              </w:rPr>
              <w:t>*</w:t>
            </w:r>
            <w:r w:rsidRPr="00FD43E0">
              <w:rPr>
                <w:color w:val="000000" w:themeColor="text1"/>
                <w:sz w:val="20"/>
              </w:rPr>
              <w:t xml:space="preserve"> is mandatory for any patient with </w:t>
            </w:r>
            <w:r>
              <w:rPr>
                <w:color w:val="000000" w:themeColor="text1"/>
                <w:sz w:val="20"/>
              </w:rPr>
              <w:t>idiopathic interstitial pneumonia</w:t>
            </w:r>
          </w:p>
        </w:tc>
        <w:tc>
          <w:tcPr>
            <w:tcW w:w="916" w:type="dxa"/>
          </w:tcPr>
          <w:p w:rsidR="002A032D" w:rsidRPr="006E2281" w:rsidRDefault="002A032D" w:rsidP="008170A4">
            <w:pPr>
              <w:jc w:val="left"/>
              <w:rPr>
                <w:color w:val="000000" w:themeColor="text1"/>
                <w:sz w:val="20"/>
              </w:rPr>
            </w:pPr>
          </w:p>
        </w:tc>
        <w:tc>
          <w:tcPr>
            <w:tcW w:w="1043" w:type="dxa"/>
          </w:tcPr>
          <w:p w:rsidR="002A032D" w:rsidRPr="006E2281" w:rsidRDefault="002A032D" w:rsidP="008170A4">
            <w:pPr>
              <w:jc w:val="left"/>
              <w:rPr>
                <w:color w:val="000000" w:themeColor="text1"/>
                <w:sz w:val="20"/>
              </w:rPr>
            </w:pPr>
          </w:p>
        </w:tc>
        <w:tc>
          <w:tcPr>
            <w:tcW w:w="737" w:type="dxa"/>
          </w:tcPr>
          <w:p w:rsidR="002A032D" w:rsidRPr="006E2281" w:rsidRDefault="002A032D" w:rsidP="008170A4">
            <w:pPr>
              <w:jc w:val="left"/>
              <w:rPr>
                <w:color w:val="000000" w:themeColor="text1"/>
                <w:sz w:val="20"/>
              </w:rPr>
            </w:pPr>
          </w:p>
        </w:tc>
        <w:tc>
          <w:tcPr>
            <w:tcW w:w="737" w:type="dxa"/>
          </w:tcPr>
          <w:p w:rsidR="002A032D" w:rsidRPr="006E2281" w:rsidRDefault="002A032D" w:rsidP="008170A4">
            <w:pPr>
              <w:jc w:val="left"/>
              <w:rPr>
                <w:color w:val="000000" w:themeColor="text1"/>
                <w:sz w:val="20"/>
              </w:rPr>
            </w:pPr>
          </w:p>
        </w:tc>
        <w:tc>
          <w:tcPr>
            <w:tcW w:w="737" w:type="dxa"/>
          </w:tcPr>
          <w:p w:rsidR="002A032D" w:rsidRPr="006E2281" w:rsidRDefault="008F1CF8" w:rsidP="008170A4">
            <w:pPr>
              <w:jc w:val="left"/>
              <w:rPr>
                <w:color w:val="000000" w:themeColor="text1"/>
                <w:sz w:val="20"/>
              </w:rPr>
            </w:pPr>
            <w:r>
              <w:rPr>
                <w:color w:val="000000" w:themeColor="text1"/>
                <w:sz w:val="20"/>
              </w:rPr>
              <w:t>X</w:t>
            </w:r>
          </w:p>
        </w:tc>
      </w:tr>
      <w:tr w:rsidR="002A032D" w:rsidRPr="006E2281" w:rsidTr="002A032D">
        <w:tc>
          <w:tcPr>
            <w:tcW w:w="1372" w:type="dxa"/>
          </w:tcPr>
          <w:p w:rsidR="002A032D" w:rsidRPr="006E2281" w:rsidRDefault="002A032D" w:rsidP="00D00E00">
            <w:pPr>
              <w:rPr>
                <w:color w:val="000000" w:themeColor="text1"/>
                <w:sz w:val="20"/>
              </w:rPr>
            </w:pPr>
            <w:r w:rsidRPr="006E2281">
              <w:rPr>
                <w:color w:val="000000" w:themeColor="text1"/>
                <w:sz w:val="20"/>
              </w:rPr>
              <w:t>R</w:t>
            </w:r>
            <w:r>
              <w:rPr>
                <w:color w:val="000000" w:themeColor="text1"/>
                <w:sz w:val="20"/>
              </w:rPr>
              <w:t>heumatoid arthritis</w:t>
            </w:r>
          </w:p>
        </w:tc>
        <w:tc>
          <w:tcPr>
            <w:tcW w:w="2974" w:type="dxa"/>
          </w:tcPr>
          <w:p w:rsidR="002A032D" w:rsidRPr="006E2281" w:rsidRDefault="002A032D" w:rsidP="00207023">
            <w:pPr>
              <w:jc w:val="left"/>
              <w:rPr>
                <w:color w:val="000000" w:themeColor="text1"/>
                <w:sz w:val="20"/>
              </w:rPr>
            </w:pPr>
            <w:r>
              <w:rPr>
                <w:color w:val="000000" w:themeColor="text1"/>
                <w:sz w:val="20"/>
              </w:rPr>
              <w:t>Routine testing is n</w:t>
            </w:r>
            <w:r w:rsidRPr="006E2281">
              <w:rPr>
                <w:color w:val="000000" w:themeColor="text1"/>
                <w:sz w:val="20"/>
              </w:rPr>
              <w:t>ot recommended</w:t>
            </w:r>
            <w:r>
              <w:rPr>
                <w:color w:val="000000" w:themeColor="text1"/>
                <w:sz w:val="20"/>
              </w:rPr>
              <w:t>.</w:t>
            </w:r>
            <w:r w:rsidRPr="006E2281">
              <w:rPr>
                <w:color w:val="000000" w:themeColor="text1"/>
                <w:sz w:val="20"/>
              </w:rPr>
              <w:t xml:space="preserve"> Recommended</w:t>
            </w:r>
            <w:r>
              <w:rPr>
                <w:color w:val="000000" w:themeColor="text1"/>
                <w:sz w:val="20"/>
              </w:rPr>
              <w:t xml:space="preserve">* </w:t>
            </w:r>
            <w:r w:rsidRPr="006E2281">
              <w:rPr>
                <w:color w:val="000000" w:themeColor="text1"/>
                <w:sz w:val="20"/>
              </w:rPr>
              <w:t xml:space="preserve">in patients with kidney disease with </w:t>
            </w:r>
            <w:r>
              <w:rPr>
                <w:color w:val="000000" w:themeColor="text1"/>
                <w:sz w:val="20"/>
              </w:rPr>
              <w:t xml:space="preserve">a nephritic sediment </w:t>
            </w:r>
          </w:p>
        </w:tc>
        <w:tc>
          <w:tcPr>
            <w:tcW w:w="916" w:type="dxa"/>
          </w:tcPr>
          <w:p w:rsidR="002A032D" w:rsidRPr="006E2281" w:rsidRDefault="002A032D" w:rsidP="00673753">
            <w:pPr>
              <w:jc w:val="left"/>
              <w:rPr>
                <w:color w:val="000000" w:themeColor="text1"/>
                <w:sz w:val="20"/>
              </w:rPr>
            </w:pPr>
          </w:p>
        </w:tc>
        <w:tc>
          <w:tcPr>
            <w:tcW w:w="1043" w:type="dxa"/>
          </w:tcPr>
          <w:p w:rsidR="002A032D" w:rsidRPr="006E2281" w:rsidRDefault="002A032D" w:rsidP="00673753">
            <w:pPr>
              <w:jc w:val="left"/>
              <w:rPr>
                <w:color w:val="000000" w:themeColor="text1"/>
                <w:sz w:val="20"/>
              </w:rPr>
            </w:pPr>
          </w:p>
        </w:tc>
        <w:tc>
          <w:tcPr>
            <w:tcW w:w="737" w:type="dxa"/>
          </w:tcPr>
          <w:p w:rsidR="002A032D" w:rsidRPr="006E2281" w:rsidRDefault="002A032D" w:rsidP="00673753">
            <w:pPr>
              <w:jc w:val="left"/>
              <w:rPr>
                <w:color w:val="000000" w:themeColor="text1"/>
                <w:sz w:val="20"/>
              </w:rPr>
            </w:pPr>
          </w:p>
        </w:tc>
        <w:tc>
          <w:tcPr>
            <w:tcW w:w="737" w:type="dxa"/>
          </w:tcPr>
          <w:p w:rsidR="002A032D" w:rsidRPr="006E2281" w:rsidRDefault="008F1CF8" w:rsidP="00673753">
            <w:pPr>
              <w:jc w:val="left"/>
              <w:rPr>
                <w:color w:val="000000" w:themeColor="text1"/>
                <w:sz w:val="20"/>
              </w:rPr>
            </w:pPr>
            <w:r>
              <w:rPr>
                <w:color w:val="000000" w:themeColor="text1"/>
                <w:sz w:val="20"/>
              </w:rPr>
              <w:t>X</w:t>
            </w:r>
          </w:p>
        </w:tc>
        <w:tc>
          <w:tcPr>
            <w:tcW w:w="737" w:type="dxa"/>
          </w:tcPr>
          <w:p w:rsidR="002A032D" w:rsidRPr="006E2281" w:rsidRDefault="002A032D" w:rsidP="00673753">
            <w:pPr>
              <w:jc w:val="left"/>
              <w:rPr>
                <w:color w:val="000000" w:themeColor="text1"/>
                <w:sz w:val="20"/>
              </w:rPr>
            </w:pPr>
          </w:p>
        </w:tc>
      </w:tr>
      <w:tr w:rsidR="002A032D" w:rsidRPr="006E2281" w:rsidTr="002A032D">
        <w:tc>
          <w:tcPr>
            <w:tcW w:w="1372" w:type="dxa"/>
          </w:tcPr>
          <w:p w:rsidR="002A032D" w:rsidRPr="006E2281" w:rsidRDefault="002A032D" w:rsidP="00D00E00">
            <w:pPr>
              <w:rPr>
                <w:color w:val="000000" w:themeColor="text1"/>
                <w:sz w:val="20"/>
              </w:rPr>
            </w:pPr>
            <w:r>
              <w:rPr>
                <w:color w:val="000000" w:themeColor="text1"/>
                <w:sz w:val="20"/>
              </w:rPr>
              <w:t>Systemic lupus erythematosus</w:t>
            </w:r>
          </w:p>
        </w:tc>
        <w:tc>
          <w:tcPr>
            <w:tcW w:w="2974" w:type="dxa"/>
          </w:tcPr>
          <w:p w:rsidR="002A032D" w:rsidRPr="006E2281" w:rsidRDefault="002A032D" w:rsidP="00207023">
            <w:pPr>
              <w:jc w:val="left"/>
              <w:rPr>
                <w:color w:val="000000" w:themeColor="text1"/>
                <w:sz w:val="20"/>
              </w:rPr>
            </w:pPr>
            <w:r>
              <w:rPr>
                <w:color w:val="000000" w:themeColor="text1"/>
                <w:sz w:val="20"/>
              </w:rPr>
              <w:t>Routine testing is n</w:t>
            </w:r>
            <w:r w:rsidRPr="006E2281">
              <w:rPr>
                <w:color w:val="000000" w:themeColor="text1"/>
                <w:sz w:val="20"/>
              </w:rPr>
              <w:t>ot recommended</w:t>
            </w:r>
            <w:r>
              <w:rPr>
                <w:color w:val="000000" w:themeColor="text1"/>
                <w:sz w:val="20"/>
              </w:rPr>
              <w:t xml:space="preserve">. Recommended* in patients with a kidney biopsy with prominent necrotizing and crescentic lesions </w:t>
            </w:r>
            <w:r w:rsidRPr="00657689">
              <w:rPr>
                <w:color w:val="FF0000"/>
                <w:sz w:val="20"/>
              </w:rPr>
              <w:t>or proliferative lupus nephritis</w:t>
            </w:r>
          </w:p>
        </w:tc>
        <w:tc>
          <w:tcPr>
            <w:tcW w:w="916" w:type="dxa"/>
          </w:tcPr>
          <w:p w:rsidR="002A032D" w:rsidRPr="006E2281" w:rsidRDefault="002A032D" w:rsidP="00E44C24">
            <w:pPr>
              <w:jc w:val="left"/>
              <w:rPr>
                <w:color w:val="000000" w:themeColor="text1"/>
                <w:sz w:val="20"/>
              </w:rPr>
            </w:pPr>
          </w:p>
        </w:tc>
        <w:tc>
          <w:tcPr>
            <w:tcW w:w="1043" w:type="dxa"/>
          </w:tcPr>
          <w:p w:rsidR="002A032D" w:rsidRPr="006E2281" w:rsidRDefault="002A032D" w:rsidP="00E44C24">
            <w:pPr>
              <w:jc w:val="left"/>
              <w:rPr>
                <w:color w:val="000000" w:themeColor="text1"/>
                <w:sz w:val="20"/>
              </w:rPr>
            </w:pPr>
          </w:p>
        </w:tc>
        <w:tc>
          <w:tcPr>
            <w:tcW w:w="737" w:type="dxa"/>
          </w:tcPr>
          <w:p w:rsidR="002A032D" w:rsidRPr="006E2281" w:rsidRDefault="002A032D" w:rsidP="00E44C24">
            <w:pPr>
              <w:jc w:val="left"/>
              <w:rPr>
                <w:color w:val="000000" w:themeColor="text1"/>
                <w:sz w:val="20"/>
              </w:rPr>
            </w:pPr>
          </w:p>
        </w:tc>
        <w:tc>
          <w:tcPr>
            <w:tcW w:w="737" w:type="dxa"/>
          </w:tcPr>
          <w:p w:rsidR="002A032D" w:rsidRPr="006E2281" w:rsidRDefault="008F1CF8" w:rsidP="00E44C24">
            <w:pPr>
              <w:jc w:val="left"/>
              <w:rPr>
                <w:color w:val="000000" w:themeColor="text1"/>
                <w:sz w:val="20"/>
              </w:rPr>
            </w:pPr>
            <w:r>
              <w:rPr>
                <w:color w:val="000000" w:themeColor="text1"/>
                <w:sz w:val="20"/>
              </w:rPr>
              <w:t>X</w:t>
            </w:r>
          </w:p>
        </w:tc>
        <w:tc>
          <w:tcPr>
            <w:tcW w:w="737" w:type="dxa"/>
          </w:tcPr>
          <w:p w:rsidR="002A032D" w:rsidRPr="006E2281" w:rsidRDefault="002A032D" w:rsidP="00E44C24">
            <w:pPr>
              <w:jc w:val="left"/>
              <w:rPr>
                <w:color w:val="000000" w:themeColor="text1"/>
                <w:sz w:val="20"/>
              </w:rPr>
            </w:pPr>
          </w:p>
        </w:tc>
      </w:tr>
      <w:tr w:rsidR="002A032D" w:rsidRPr="006E2281" w:rsidTr="002A032D">
        <w:tc>
          <w:tcPr>
            <w:tcW w:w="1372" w:type="dxa"/>
          </w:tcPr>
          <w:p w:rsidR="002A032D" w:rsidRPr="006E2281" w:rsidRDefault="002A032D" w:rsidP="00D00E00">
            <w:pPr>
              <w:rPr>
                <w:color w:val="000000" w:themeColor="text1"/>
                <w:sz w:val="20"/>
              </w:rPr>
            </w:pPr>
            <w:r>
              <w:rPr>
                <w:color w:val="000000" w:themeColor="text1"/>
                <w:sz w:val="20"/>
              </w:rPr>
              <w:t>Systemic sclerosis</w:t>
            </w:r>
          </w:p>
        </w:tc>
        <w:tc>
          <w:tcPr>
            <w:tcW w:w="2974" w:type="dxa"/>
          </w:tcPr>
          <w:p w:rsidR="002A032D" w:rsidRPr="006E2281" w:rsidRDefault="002A032D" w:rsidP="00207023">
            <w:pPr>
              <w:jc w:val="left"/>
              <w:rPr>
                <w:color w:val="000000" w:themeColor="text1"/>
                <w:sz w:val="20"/>
              </w:rPr>
            </w:pPr>
            <w:r>
              <w:rPr>
                <w:color w:val="000000" w:themeColor="text1"/>
                <w:sz w:val="20"/>
              </w:rPr>
              <w:t>Routine testing is n</w:t>
            </w:r>
            <w:r w:rsidRPr="006E2281">
              <w:rPr>
                <w:color w:val="000000" w:themeColor="text1"/>
                <w:sz w:val="20"/>
              </w:rPr>
              <w:t>ot recommended</w:t>
            </w:r>
            <w:r>
              <w:rPr>
                <w:color w:val="000000" w:themeColor="text1"/>
                <w:sz w:val="20"/>
              </w:rPr>
              <w:t>.</w:t>
            </w:r>
            <w:r w:rsidRPr="006E2281">
              <w:rPr>
                <w:color w:val="000000" w:themeColor="text1"/>
                <w:sz w:val="20"/>
              </w:rPr>
              <w:t xml:space="preserve"> Recommended</w:t>
            </w:r>
            <w:r>
              <w:rPr>
                <w:color w:val="000000" w:themeColor="text1"/>
                <w:sz w:val="20"/>
              </w:rPr>
              <w:t>*</w:t>
            </w:r>
            <w:r w:rsidRPr="006E2281">
              <w:rPr>
                <w:color w:val="000000" w:themeColor="text1"/>
                <w:sz w:val="20"/>
              </w:rPr>
              <w:t xml:space="preserve"> in patients with</w:t>
            </w:r>
            <w:r>
              <w:rPr>
                <w:color w:val="000000" w:themeColor="text1"/>
                <w:sz w:val="20"/>
              </w:rPr>
              <w:t xml:space="preserve"> kidney disease with a nephritic sediment </w:t>
            </w:r>
          </w:p>
        </w:tc>
        <w:tc>
          <w:tcPr>
            <w:tcW w:w="916" w:type="dxa"/>
          </w:tcPr>
          <w:p w:rsidR="002A032D" w:rsidRPr="006E2281" w:rsidRDefault="002A032D" w:rsidP="00E44C24">
            <w:pPr>
              <w:jc w:val="left"/>
              <w:rPr>
                <w:color w:val="000000" w:themeColor="text1"/>
                <w:sz w:val="20"/>
              </w:rPr>
            </w:pPr>
          </w:p>
        </w:tc>
        <w:tc>
          <w:tcPr>
            <w:tcW w:w="1043" w:type="dxa"/>
          </w:tcPr>
          <w:p w:rsidR="002A032D" w:rsidRPr="006E2281" w:rsidRDefault="002A032D" w:rsidP="00E44C24">
            <w:pPr>
              <w:jc w:val="left"/>
              <w:rPr>
                <w:color w:val="000000" w:themeColor="text1"/>
                <w:sz w:val="20"/>
              </w:rPr>
            </w:pPr>
          </w:p>
        </w:tc>
        <w:tc>
          <w:tcPr>
            <w:tcW w:w="737" w:type="dxa"/>
          </w:tcPr>
          <w:p w:rsidR="002A032D" w:rsidRPr="006E2281" w:rsidRDefault="002A032D" w:rsidP="00E44C24">
            <w:pPr>
              <w:jc w:val="left"/>
              <w:rPr>
                <w:color w:val="000000" w:themeColor="text1"/>
                <w:sz w:val="20"/>
              </w:rPr>
            </w:pPr>
          </w:p>
        </w:tc>
        <w:tc>
          <w:tcPr>
            <w:tcW w:w="737" w:type="dxa"/>
          </w:tcPr>
          <w:p w:rsidR="002A032D" w:rsidRPr="006E2281" w:rsidRDefault="008F1CF8" w:rsidP="00E44C24">
            <w:pPr>
              <w:jc w:val="left"/>
              <w:rPr>
                <w:color w:val="000000" w:themeColor="text1"/>
                <w:sz w:val="20"/>
              </w:rPr>
            </w:pPr>
            <w:r>
              <w:rPr>
                <w:color w:val="000000" w:themeColor="text1"/>
                <w:sz w:val="20"/>
              </w:rPr>
              <w:t>X</w:t>
            </w:r>
          </w:p>
        </w:tc>
        <w:tc>
          <w:tcPr>
            <w:tcW w:w="737" w:type="dxa"/>
          </w:tcPr>
          <w:p w:rsidR="002A032D" w:rsidRPr="006E2281" w:rsidRDefault="002A032D" w:rsidP="00E44C24">
            <w:pPr>
              <w:jc w:val="left"/>
              <w:rPr>
                <w:color w:val="000000" w:themeColor="text1"/>
                <w:sz w:val="20"/>
              </w:rPr>
            </w:pPr>
          </w:p>
        </w:tc>
      </w:tr>
      <w:tr w:rsidR="002A032D" w:rsidRPr="006E2281" w:rsidTr="002A032D">
        <w:tc>
          <w:tcPr>
            <w:tcW w:w="1372" w:type="dxa"/>
          </w:tcPr>
          <w:p w:rsidR="002A032D" w:rsidRPr="00712B2B" w:rsidRDefault="002A032D" w:rsidP="00D00E00">
            <w:pPr>
              <w:rPr>
                <w:color w:val="000000" w:themeColor="text1"/>
                <w:sz w:val="20"/>
              </w:rPr>
            </w:pPr>
            <w:r>
              <w:rPr>
                <w:color w:val="000000" w:themeColor="text1"/>
                <w:sz w:val="20"/>
              </w:rPr>
              <w:t xml:space="preserve">Primary </w:t>
            </w:r>
            <w:r w:rsidRPr="00712B2B">
              <w:rPr>
                <w:color w:val="000000" w:themeColor="text1"/>
                <w:sz w:val="20"/>
              </w:rPr>
              <w:t>Sjögren's syndrome</w:t>
            </w:r>
          </w:p>
        </w:tc>
        <w:tc>
          <w:tcPr>
            <w:tcW w:w="2974" w:type="dxa"/>
          </w:tcPr>
          <w:p w:rsidR="002A032D" w:rsidRPr="006E2281" w:rsidRDefault="002A032D" w:rsidP="00207023">
            <w:pPr>
              <w:jc w:val="left"/>
              <w:rPr>
                <w:color w:val="000000" w:themeColor="text1"/>
                <w:sz w:val="20"/>
              </w:rPr>
            </w:pPr>
            <w:r>
              <w:rPr>
                <w:color w:val="000000" w:themeColor="text1"/>
                <w:sz w:val="20"/>
              </w:rPr>
              <w:t>Routine testing is n</w:t>
            </w:r>
            <w:r w:rsidRPr="006E2281">
              <w:rPr>
                <w:color w:val="000000" w:themeColor="text1"/>
                <w:sz w:val="20"/>
              </w:rPr>
              <w:t>ot recommended</w:t>
            </w:r>
            <w:r>
              <w:rPr>
                <w:color w:val="000000" w:themeColor="text1"/>
                <w:sz w:val="20"/>
              </w:rPr>
              <w:t xml:space="preserve">. </w:t>
            </w:r>
            <w:r w:rsidRPr="006E2281">
              <w:rPr>
                <w:color w:val="000000" w:themeColor="text1"/>
                <w:sz w:val="20"/>
              </w:rPr>
              <w:t>Recommended</w:t>
            </w:r>
            <w:r>
              <w:rPr>
                <w:color w:val="000000" w:themeColor="text1"/>
                <w:sz w:val="20"/>
              </w:rPr>
              <w:t>*</w:t>
            </w:r>
            <w:r w:rsidRPr="006E2281">
              <w:rPr>
                <w:color w:val="000000" w:themeColor="text1"/>
                <w:sz w:val="20"/>
              </w:rPr>
              <w:t xml:space="preserve"> in patients with</w:t>
            </w:r>
            <w:r>
              <w:rPr>
                <w:color w:val="000000" w:themeColor="text1"/>
                <w:sz w:val="20"/>
              </w:rPr>
              <w:t xml:space="preserve"> kidney disease with a nephritic sediment </w:t>
            </w:r>
          </w:p>
        </w:tc>
        <w:tc>
          <w:tcPr>
            <w:tcW w:w="916" w:type="dxa"/>
          </w:tcPr>
          <w:p w:rsidR="002A032D" w:rsidRPr="006E2281" w:rsidRDefault="002A032D" w:rsidP="00FD43E0">
            <w:pPr>
              <w:jc w:val="left"/>
              <w:rPr>
                <w:color w:val="000000" w:themeColor="text1"/>
                <w:sz w:val="20"/>
              </w:rPr>
            </w:pPr>
          </w:p>
        </w:tc>
        <w:tc>
          <w:tcPr>
            <w:tcW w:w="1043" w:type="dxa"/>
          </w:tcPr>
          <w:p w:rsidR="002A032D" w:rsidRPr="006E2281" w:rsidRDefault="002A032D" w:rsidP="00FD43E0">
            <w:pPr>
              <w:jc w:val="left"/>
              <w:rPr>
                <w:color w:val="000000" w:themeColor="text1"/>
                <w:sz w:val="20"/>
              </w:rPr>
            </w:pPr>
          </w:p>
        </w:tc>
        <w:tc>
          <w:tcPr>
            <w:tcW w:w="737" w:type="dxa"/>
          </w:tcPr>
          <w:p w:rsidR="002A032D" w:rsidRPr="006E2281" w:rsidRDefault="002A032D" w:rsidP="00FD43E0">
            <w:pPr>
              <w:jc w:val="left"/>
              <w:rPr>
                <w:color w:val="000000" w:themeColor="text1"/>
                <w:sz w:val="20"/>
              </w:rPr>
            </w:pPr>
          </w:p>
        </w:tc>
        <w:tc>
          <w:tcPr>
            <w:tcW w:w="737" w:type="dxa"/>
          </w:tcPr>
          <w:p w:rsidR="002A032D" w:rsidRPr="006E2281" w:rsidRDefault="008F1CF8" w:rsidP="00FD43E0">
            <w:pPr>
              <w:jc w:val="left"/>
              <w:rPr>
                <w:color w:val="000000" w:themeColor="text1"/>
                <w:sz w:val="20"/>
              </w:rPr>
            </w:pPr>
            <w:r>
              <w:rPr>
                <w:color w:val="000000" w:themeColor="text1"/>
                <w:sz w:val="20"/>
              </w:rPr>
              <w:t>X</w:t>
            </w:r>
          </w:p>
        </w:tc>
        <w:tc>
          <w:tcPr>
            <w:tcW w:w="737" w:type="dxa"/>
          </w:tcPr>
          <w:p w:rsidR="002A032D" w:rsidRPr="006E2281" w:rsidRDefault="002A032D" w:rsidP="00FD43E0">
            <w:pPr>
              <w:jc w:val="left"/>
              <w:rPr>
                <w:color w:val="000000" w:themeColor="text1"/>
                <w:sz w:val="20"/>
              </w:rPr>
            </w:pPr>
          </w:p>
        </w:tc>
      </w:tr>
      <w:tr w:rsidR="002A032D" w:rsidRPr="006E2281" w:rsidTr="002A032D">
        <w:tc>
          <w:tcPr>
            <w:tcW w:w="1372" w:type="dxa"/>
          </w:tcPr>
          <w:p w:rsidR="002A032D" w:rsidRPr="006E2281" w:rsidRDefault="002A032D" w:rsidP="00FD43E0">
            <w:pPr>
              <w:jc w:val="left"/>
              <w:rPr>
                <w:color w:val="000000" w:themeColor="text1"/>
                <w:sz w:val="20"/>
              </w:rPr>
            </w:pPr>
            <w:r>
              <w:rPr>
                <w:color w:val="000000" w:themeColor="text1"/>
                <w:sz w:val="20"/>
              </w:rPr>
              <w:lastRenderedPageBreak/>
              <w:t xml:space="preserve">Autoimmune liver diseases </w:t>
            </w:r>
            <w:r w:rsidRPr="006E2281">
              <w:rPr>
                <w:color w:val="000000" w:themeColor="text1"/>
                <w:sz w:val="20"/>
              </w:rPr>
              <w:t>(</w:t>
            </w:r>
            <w:r>
              <w:rPr>
                <w:color w:val="000000" w:themeColor="text1"/>
                <w:sz w:val="20"/>
              </w:rPr>
              <w:t>AIH-1, PBC, PSC</w:t>
            </w:r>
            <w:r w:rsidRPr="006E2281">
              <w:rPr>
                <w:color w:val="000000" w:themeColor="text1"/>
                <w:sz w:val="20"/>
              </w:rPr>
              <w:t>)</w:t>
            </w:r>
          </w:p>
        </w:tc>
        <w:tc>
          <w:tcPr>
            <w:tcW w:w="2974" w:type="dxa"/>
          </w:tcPr>
          <w:p w:rsidR="002A032D" w:rsidRPr="006E2281" w:rsidRDefault="002A032D" w:rsidP="00207023">
            <w:pPr>
              <w:jc w:val="left"/>
              <w:rPr>
                <w:color w:val="000000" w:themeColor="text1"/>
                <w:sz w:val="20"/>
              </w:rPr>
            </w:pPr>
            <w:r>
              <w:rPr>
                <w:color w:val="000000" w:themeColor="text1"/>
                <w:sz w:val="20"/>
              </w:rPr>
              <w:t>Routine testing is n</w:t>
            </w:r>
            <w:r w:rsidRPr="006E2281">
              <w:rPr>
                <w:color w:val="000000" w:themeColor="text1"/>
                <w:sz w:val="20"/>
              </w:rPr>
              <w:t>ot recommended</w:t>
            </w:r>
            <w:r>
              <w:rPr>
                <w:color w:val="000000" w:themeColor="text1"/>
                <w:sz w:val="20"/>
              </w:rPr>
              <w:t xml:space="preserve">. </w:t>
            </w:r>
            <w:r w:rsidRPr="006E2281">
              <w:rPr>
                <w:color w:val="000000" w:themeColor="text1"/>
                <w:sz w:val="20"/>
              </w:rPr>
              <w:t xml:space="preserve">Testing for </w:t>
            </w:r>
            <w:r>
              <w:rPr>
                <w:color w:val="000000" w:themeColor="text1"/>
                <w:sz w:val="20"/>
              </w:rPr>
              <w:t>atypical P-ANCA</w:t>
            </w:r>
            <w:r w:rsidRPr="006E2281">
              <w:rPr>
                <w:color w:val="000000" w:themeColor="text1"/>
                <w:sz w:val="20"/>
              </w:rPr>
              <w:t xml:space="preserve"> by IIF may be useful in patients with suspected AIH-1</w:t>
            </w:r>
            <w:r w:rsidRPr="00D308C1">
              <w:rPr>
                <w:color w:val="000000" w:themeColor="text1"/>
                <w:sz w:val="20"/>
              </w:rPr>
              <w:t xml:space="preserve"> </w:t>
            </w:r>
            <w:r w:rsidRPr="006E2281">
              <w:rPr>
                <w:color w:val="000000" w:themeColor="text1"/>
                <w:sz w:val="20"/>
              </w:rPr>
              <w:t xml:space="preserve">in the absence of conventional </w:t>
            </w:r>
            <w:r>
              <w:rPr>
                <w:color w:val="000000" w:themeColor="text1"/>
                <w:sz w:val="20"/>
              </w:rPr>
              <w:t xml:space="preserve">autoantibodies </w:t>
            </w:r>
          </w:p>
        </w:tc>
        <w:tc>
          <w:tcPr>
            <w:tcW w:w="916" w:type="dxa"/>
          </w:tcPr>
          <w:p w:rsidR="002A032D" w:rsidRPr="006E2281" w:rsidRDefault="002A032D" w:rsidP="00E44C24">
            <w:pPr>
              <w:jc w:val="left"/>
              <w:rPr>
                <w:color w:val="000000" w:themeColor="text1"/>
                <w:sz w:val="20"/>
              </w:rPr>
            </w:pPr>
          </w:p>
        </w:tc>
        <w:tc>
          <w:tcPr>
            <w:tcW w:w="1043" w:type="dxa"/>
          </w:tcPr>
          <w:p w:rsidR="002A032D" w:rsidRPr="006E2281" w:rsidRDefault="002A032D" w:rsidP="00E44C24">
            <w:pPr>
              <w:jc w:val="left"/>
              <w:rPr>
                <w:color w:val="000000" w:themeColor="text1"/>
                <w:sz w:val="20"/>
              </w:rPr>
            </w:pPr>
          </w:p>
        </w:tc>
        <w:tc>
          <w:tcPr>
            <w:tcW w:w="737" w:type="dxa"/>
          </w:tcPr>
          <w:p w:rsidR="002A032D" w:rsidRPr="006E2281" w:rsidRDefault="008F1CF8" w:rsidP="00E44C24">
            <w:pPr>
              <w:jc w:val="left"/>
              <w:rPr>
                <w:color w:val="000000" w:themeColor="text1"/>
                <w:sz w:val="20"/>
              </w:rPr>
            </w:pPr>
            <w:r>
              <w:rPr>
                <w:color w:val="000000" w:themeColor="text1"/>
                <w:sz w:val="20"/>
              </w:rPr>
              <w:t>X</w:t>
            </w:r>
          </w:p>
        </w:tc>
        <w:tc>
          <w:tcPr>
            <w:tcW w:w="737" w:type="dxa"/>
          </w:tcPr>
          <w:p w:rsidR="002A032D" w:rsidRPr="006E2281" w:rsidRDefault="002A032D" w:rsidP="00E44C24">
            <w:pPr>
              <w:jc w:val="left"/>
              <w:rPr>
                <w:color w:val="000000" w:themeColor="text1"/>
                <w:sz w:val="20"/>
              </w:rPr>
            </w:pPr>
          </w:p>
        </w:tc>
        <w:tc>
          <w:tcPr>
            <w:tcW w:w="737" w:type="dxa"/>
          </w:tcPr>
          <w:p w:rsidR="002A032D" w:rsidRPr="006E2281" w:rsidRDefault="002A032D" w:rsidP="00E44C24">
            <w:pPr>
              <w:jc w:val="left"/>
              <w:rPr>
                <w:color w:val="000000" w:themeColor="text1"/>
                <w:sz w:val="20"/>
              </w:rPr>
            </w:pPr>
          </w:p>
        </w:tc>
      </w:tr>
      <w:tr w:rsidR="002A032D" w:rsidRPr="006E2281" w:rsidTr="002A032D">
        <w:tc>
          <w:tcPr>
            <w:tcW w:w="1372" w:type="dxa"/>
          </w:tcPr>
          <w:p w:rsidR="002A032D" w:rsidRPr="006E2281" w:rsidRDefault="002A032D" w:rsidP="008170A4">
            <w:pPr>
              <w:jc w:val="left"/>
              <w:rPr>
                <w:color w:val="000000" w:themeColor="text1"/>
                <w:sz w:val="20"/>
              </w:rPr>
            </w:pPr>
            <w:r>
              <w:rPr>
                <w:color w:val="000000" w:themeColor="text1"/>
                <w:sz w:val="20"/>
              </w:rPr>
              <w:t>Inflammatory bowel diseases (CD, UC)</w:t>
            </w:r>
          </w:p>
        </w:tc>
        <w:tc>
          <w:tcPr>
            <w:tcW w:w="2974" w:type="dxa"/>
          </w:tcPr>
          <w:p w:rsidR="002A032D" w:rsidRPr="006E2281" w:rsidRDefault="002A032D" w:rsidP="00207023">
            <w:pPr>
              <w:jc w:val="left"/>
              <w:rPr>
                <w:color w:val="000000" w:themeColor="text1"/>
                <w:sz w:val="20"/>
              </w:rPr>
            </w:pPr>
            <w:r>
              <w:rPr>
                <w:color w:val="000000" w:themeColor="text1"/>
                <w:sz w:val="20"/>
              </w:rPr>
              <w:t>Routine testing is n</w:t>
            </w:r>
            <w:r w:rsidRPr="006E2281">
              <w:rPr>
                <w:color w:val="000000" w:themeColor="text1"/>
                <w:sz w:val="20"/>
              </w:rPr>
              <w:t>ot recommended</w:t>
            </w:r>
            <w:r>
              <w:rPr>
                <w:color w:val="000000" w:themeColor="text1"/>
                <w:sz w:val="20"/>
              </w:rPr>
              <w:t>.</w:t>
            </w:r>
            <w:r w:rsidRPr="006E2281">
              <w:rPr>
                <w:color w:val="000000" w:themeColor="text1"/>
                <w:sz w:val="20"/>
              </w:rPr>
              <w:t xml:space="preserve"> Atypical </w:t>
            </w:r>
            <w:r>
              <w:rPr>
                <w:color w:val="000000" w:themeColor="text1"/>
                <w:sz w:val="20"/>
              </w:rPr>
              <w:t>P-ANCA</w:t>
            </w:r>
            <w:r w:rsidRPr="006E2281">
              <w:rPr>
                <w:color w:val="000000" w:themeColor="text1"/>
                <w:sz w:val="20"/>
              </w:rPr>
              <w:t xml:space="preserve"> (IIF) and ASCA may be tested in case of diagnostic uncertainty to discriminate UC from CD</w:t>
            </w:r>
          </w:p>
        </w:tc>
        <w:tc>
          <w:tcPr>
            <w:tcW w:w="916" w:type="dxa"/>
          </w:tcPr>
          <w:p w:rsidR="002A032D" w:rsidRPr="006E2281" w:rsidRDefault="002A032D" w:rsidP="00E44C24">
            <w:pPr>
              <w:jc w:val="left"/>
              <w:rPr>
                <w:color w:val="000000" w:themeColor="text1"/>
                <w:sz w:val="20"/>
              </w:rPr>
            </w:pPr>
          </w:p>
        </w:tc>
        <w:tc>
          <w:tcPr>
            <w:tcW w:w="1043" w:type="dxa"/>
          </w:tcPr>
          <w:p w:rsidR="002A032D" w:rsidRPr="006E2281" w:rsidRDefault="002A032D" w:rsidP="00E44C24">
            <w:pPr>
              <w:jc w:val="left"/>
              <w:rPr>
                <w:color w:val="000000" w:themeColor="text1"/>
                <w:sz w:val="20"/>
              </w:rPr>
            </w:pPr>
          </w:p>
        </w:tc>
        <w:tc>
          <w:tcPr>
            <w:tcW w:w="737" w:type="dxa"/>
          </w:tcPr>
          <w:p w:rsidR="002A032D" w:rsidRPr="006E2281" w:rsidRDefault="008F1CF8" w:rsidP="00E44C24">
            <w:pPr>
              <w:jc w:val="left"/>
              <w:rPr>
                <w:color w:val="000000" w:themeColor="text1"/>
                <w:sz w:val="20"/>
              </w:rPr>
            </w:pPr>
            <w:r>
              <w:rPr>
                <w:color w:val="000000" w:themeColor="text1"/>
                <w:sz w:val="20"/>
              </w:rPr>
              <w:t>X</w:t>
            </w:r>
          </w:p>
        </w:tc>
        <w:tc>
          <w:tcPr>
            <w:tcW w:w="737" w:type="dxa"/>
          </w:tcPr>
          <w:p w:rsidR="002A032D" w:rsidRPr="006E2281" w:rsidRDefault="002A032D" w:rsidP="00E44C24">
            <w:pPr>
              <w:jc w:val="left"/>
              <w:rPr>
                <w:color w:val="000000" w:themeColor="text1"/>
                <w:sz w:val="20"/>
              </w:rPr>
            </w:pPr>
          </w:p>
        </w:tc>
        <w:tc>
          <w:tcPr>
            <w:tcW w:w="737" w:type="dxa"/>
          </w:tcPr>
          <w:p w:rsidR="002A032D" w:rsidRPr="006E2281" w:rsidRDefault="002A032D" w:rsidP="00E44C24">
            <w:pPr>
              <w:jc w:val="left"/>
              <w:rPr>
                <w:color w:val="000000" w:themeColor="text1"/>
                <w:sz w:val="20"/>
              </w:rPr>
            </w:pPr>
          </w:p>
        </w:tc>
      </w:tr>
      <w:tr w:rsidR="002A032D" w:rsidRPr="006E2281" w:rsidTr="002A032D">
        <w:tc>
          <w:tcPr>
            <w:tcW w:w="1372" w:type="dxa"/>
          </w:tcPr>
          <w:p w:rsidR="002A032D" w:rsidRPr="006E2281" w:rsidRDefault="002A032D" w:rsidP="00BF6CEE">
            <w:pPr>
              <w:jc w:val="left"/>
              <w:rPr>
                <w:color w:val="000000" w:themeColor="text1"/>
                <w:sz w:val="20"/>
              </w:rPr>
            </w:pPr>
            <w:r w:rsidRPr="006E2281">
              <w:rPr>
                <w:color w:val="000000" w:themeColor="text1"/>
                <w:sz w:val="20"/>
              </w:rPr>
              <w:t>Infections</w:t>
            </w:r>
          </w:p>
        </w:tc>
        <w:tc>
          <w:tcPr>
            <w:tcW w:w="2974" w:type="dxa"/>
          </w:tcPr>
          <w:p w:rsidR="002A032D" w:rsidRPr="00DD1D49" w:rsidRDefault="002A032D" w:rsidP="00DD1D49">
            <w:pPr>
              <w:jc w:val="left"/>
              <w:rPr>
                <w:color w:val="000000" w:themeColor="text1"/>
                <w:sz w:val="20"/>
              </w:rPr>
            </w:pPr>
            <w:r>
              <w:rPr>
                <w:color w:val="000000" w:themeColor="text1"/>
                <w:sz w:val="20"/>
              </w:rPr>
              <w:t>Routine testing is n</w:t>
            </w:r>
            <w:r w:rsidRPr="006E2281">
              <w:rPr>
                <w:color w:val="000000" w:themeColor="text1"/>
                <w:sz w:val="20"/>
              </w:rPr>
              <w:t>ot recommended</w:t>
            </w:r>
            <w:r>
              <w:rPr>
                <w:color w:val="000000" w:themeColor="text1"/>
                <w:sz w:val="20"/>
              </w:rPr>
              <w:t xml:space="preserve">. </w:t>
            </w:r>
            <w:r w:rsidRPr="006E2281">
              <w:rPr>
                <w:color w:val="000000" w:themeColor="text1"/>
                <w:sz w:val="20"/>
              </w:rPr>
              <w:t>ANCA testing</w:t>
            </w:r>
            <w:r>
              <w:rPr>
                <w:color w:val="000000" w:themeColor="text1"/>
                <w:sz w:val="20"/>
              </w:rPr>
              <w:t>*</w:t>
            </w:r>
            <w:r w:rsidRPr="006E2281">
              <w:rPr>
                <w:color w:val="000000" w:themeColor="text1"/>
                <w:sz w:val="20"/>
              </w:rPr>
              <w:t xml:space="preserve"> </w:t>
            </w:r>
            <w:r w:rsidRPr="00DD1D49">
              <w:rPr>
                <w:color w:val="000000" w:themeColor="text1"/>
                <w:sz w:val="20"/>
              </w:rPr>
              <w:t xml:space="preserve">may be useful in patients with renal impairment, especially associated with </w:t>
            </w:r>
            <w:r>
              <w:rPr>
                <w:color w:val="000000" w:themeColor="text1"/>
                <w:sz w:val="20"/>
              </w:rPr>
              <w:t xml:space="preserve">infective </w:t>
            </w:r>
            <w:r w:rsidRPr="00DD1D49">
              <w:rPr>
                <w:color w:val="000000" w:themeColor="text1"/>
                <w:sz w:val="20"/>
              </w:rPr>
              <w:t>endoc</w:t>
            </w:r>
            <w:r>
              <w:rPr>
                <w:color w:val="000000" w:themeColor="text1"/>
                <w:sz w:val="20"/>
              </w:rPr>
              <w:t>a</w:t>
            </w:r>
            <w:r w:rsidRPr="00DD1D49">
              <w:rPr>
                <w:color w:val="000000" w:themeColor="text1"/>
                <w:sz w:val="20"/>
              </w:rPr>
              <w:t>rditis</w:t>
            </w:r>
          </w:p>
        </w:tc>
        <w:tc>
          <w:tcPr>
            <w:tcW w:w="916" w:type="dxa"/>
          </w:tcPr>
          <w:p w:rsidR="002A032D" w:rsidRPr="006E2281" w:rsidRDefault="002A032D" w:rsidP="008170A4">
            <w:pPr>
              <w:jc w:val="left"/>
              <w:rPr>
                <w:color w:val="000000" w:themeColor="text1"/>
                <w:sz w:val="20"/>
              </w:rPr>
            </w:pPr>
          </w:p>
        </w:tc>
        <w:tc>
          <w:tcPr>
            <w:tcW w:w="1043" w:type="dxa"/>
          </w:tcPr>
          <w:p w:rsidR="002A032D" w:rsidRPr="006E2281" w:rsidRDefault="002A032D" w:rsidP="008170A4">
            <w:pPr>
              <w:jc w:val="left"/>
              <w:rPr>
                <w:color w:val="000000" w:themeColor="text1"/>
                <w:sz w:val="20"/>
              </w:rPr>
            </w:pPr>
          </w:p>
        </w:tc>
        <w:tc>
          <w:tcPr>
            <w:tcW w:w="737" w:type="dxa"/>
          </w:tcPr>
          <w:p w:rsidR="002A032D" w:rsidRPr="006E2281" w:rsidRDefault="002A032D" w:rsidP="008170A4">
            <w:pPr>
              <w:jc w:val="left"/>
              <w:rPr>
                <w:color w:val="000000" w:themeColor="text1"/>
                <w:sz w:val="20"/>
              </w:rPr>
            </w:pPr>
          </w:p>
        </w:tc>
        <w:tc>
          <w:tcPr>
            <w:tcW w:w="737" w:type="dxa"/>
          </w:tcPr>
          <w:p w:rsidR="002A032D" w:rsidRPr="006E2281" w:rsidRDefault="008F1CF8" w:rsidP="008170A4">
            <w:pPr>
              <w:jc w:val="left"/>
              <w:rPr>
                <w:color w:val="000000" w:themeColor="text1"/>
                <w:sz w:val="20"/>
              </w:rPr>
            </w:pPr>
            <w:r>
              <w:rPr>
                <w:color w:val="000000" w:themeColor="text1"/>
                <w:sz w:val="20"/>
              </w:rPr>
              <w:t>X</w:t>
            </w:r>
          </w:p>
        </w:tc>
        <w:tc>
          <w:tcPr>
            <w:tcW w:w="737" w:type="dxa"/>
          </w:tcPr>
          <w:p w:rsidR="002A032D" w:rsidRPr="006E2281" w:rsidRDefault="002A032D" w:rsidP="008170A4">
            <w:pPr>
              <w:jc w:val="left"/>
              <w:rPr>
                <w:color w:val="000000" w:themeColor="text1"/>
                <w:sz w:val="20"/>
              </w:rPr>
            </w:pPr>
          </w:p>
        </w:tc>
      </w:tr>
      <w:tr w:rsidR="002A032D" w:rsidRPr="006E2281" w:rsidTr="002A032D">
        <w:tc>
          <w:tcPr>
            <w:tcW w:w="1372" w:type="dxa"/>
          </w:tcPr>
          <w:p w:rsidR="002A032D" w:rsidRPr="006E2281" w:rsidRDefault="002A032D" w:rsidP="008170A4">
            <w:pPr>
              <w:jc w:val="left"/>
              <w:rPr>
                <w:color w:val="000000" w:themeColor="text1"/>
                <w:sz w:val="20"/>
              </w:rPr>
            </w:pPr>
            <w:r w:rsidRPr="006E2281">
              <w:rPr>
                <w:color w:val="000000" w:themeColor="text1"/>
                <w:sz w:val="20"/>
              </w:rPr>
              <w:t>Malignancy</w:t>
            </w:r>
          </w:p>
        </w:tc>
        <w:tc>
          <w:tcPr>
            <w:tcW w:w="2974" w:type="dxa"/>
          </w:tcPr>
          <w:p w:rsidR="002A032D" w:rsidRPr="006E2281" w:rsidRDefault="002A032D" w:rsidP="008170A4">
            <w:pPr>
              <w:jc w:val="left"/>
              <w:rPr>
                <w:color w:val="000000" w:themeColor="text1"/>
                <w:sz w:val="20"/>
              </w:rPr>
            </w:pPr>
            <w:r>
              <w:rPr>
                <w:color w:val="000000" w:themeColor="text1"/>
                <w:sz w:val="20"/>
              </w:rPr>
              <w:t>Routine testing is n</w:t>
            </w:r>
            <w:r w:rsidRPr="006E2281">
              <w:rPr>
                <w:color w:val="000000" w:themeColor="text1"/>
                <w:sz w:val="20"/>
              </w:rPr>
              <w:t>ot recommended</w:t>
            </w:r>
            <w:r>
              <w:rPr>
                <w:color w:val="000000" w:themeColor="text1"/>
                <w:sz w:val="20"/>
              </w:rPr>
              <w:t xml:space="preserve"> </w:t>
            </w:r>
          </w:p>
        </w:tc>
        <w:tc>
          <w:tcPr>
            <w:tcW w:w="916" w:type="dxa"/>
          </w:tcPr>
          <w:p w:rsidR="002A032D" w:rsidRPr="006E2281" w:rsidRDefault="002A032D" w:rsidP="008170A4">
            <w:pPr>
              <w:jc w:val="left"/>
              <w:rPr>
                <w:color w:val="000000" w:themeColor="text1"/>
                <w:sz w:val="20"/>
              </w:rPr>
            </w:pPr>
          </w:p>
        </w:tc>
        <w:tc>
          <w:tcPr>
            <w:tcW w:w="1043" w:type="dxa"/>
          </w:tcPr>
          <w:p w:rsidR="002A032D" w:rsidRPr="006E2281" w:rsidRDefault="002A032D" w:rsidP="008170A4">
            <w:pPr>
              <w:jc w:val="left"/>
              <w:rPr>
                <w:color w:val="000000" w:themeColor="text1"/>
                <w:sz w:val="20"/>
              </w:rPr>
            </w:pPr>
          </w:p>
        </w:tc>
        <w:tc>
          <w:tcPr>
            <w:tcW w:w="737" w:type="dxa"/>
          </w:tcPr>
          <w:p w:rsidR="002A032D" w:rsidRPr="006E2281" w:rsidRDefault="008F1CF8" w:rsidP="008170A4">
            <w:pPr>
              <w:jc w:val="left"/>
              <w:rPr>
                <w:color w:val="000000" w:themeColor="text1"/>
                <w:sz w:val="20"/>
              </w:rPr>
            </w:pPr>
            <w:r>
              <w:rPr>
                <w:color w:val="000000" w:themeColor="text1"/>
                <w:sz w:val="20"/>
              </w:rPr>
              <w:t>X</w:t>
            </w:r>
            <w:bookmarkStart w:id="0" w:name="_GoBack"/>
            <w:bookmarkEnd w:id="0"/>
          </w:p>
        </w:tc>
        <w:tc>
          <w:tcPr>
            <w:tcW w:w="737" w:type="dxa"/>
          </w:tcPr>
          <w:p w:rsidR="002A032D" w:rsidRPr="006E2281" w:rsidRDefault="002A032D" w:rsidP="008170A4">
            <w:pPr>
              <w:jc w:val="left"/>
              <w:rPr>
                <w:color w:val="000000" w:themeColor="text1"/>
                <w:sz w:val="20"/>
              </w:rPr>
            </w:pPr>
          </w:p>
        </w:tc>
        <w:tc>
          <w:tcPr>
            <w:tcW w:w="737" w:type="dxa"/>
          </w:tcPr>
          <w:p w:rsidR="002A032D" w:rsidRPr="006E2281" w:rsidRDefault="002A032D" w:rsidP="008170A4">
            <w:pPr>
              <w:jc w:val="left"/>
              <w:rPr>
                <w:color w:val="000000" w:themeColor="text1"/>
                <w:sz w:val="20"/>
              </w:rPr>
            </w:pPr>
          </w:p>
        </w:tc>
      </w:tr>
    </w:tbl>
    <w:p w:rsidR="00A02290" w:rsidRPr="006E2281" w:rsidRDefault="005519AC" w:rsidP="00F67E78">
      <w:pPr>
        <w:rPr>
          <w:color w:val="000000" w:themeColor="text1"/>
        </w:rPr>
      </w:pPr>
      <w:r>
        <w:rPr>
          <w:color w:val="000000" w:themeColor="text1"/>
        </w:rPr>
        <w:t xml:space="preserve">Note: </w:t>
      </w:r>
      <w:r w:rsidR="00207023">
        <w:rPr>
          <w:color w:val="000000" w:themeColor="text1"/>
        </w:rPr>
        <w:t>*</w:t>
      </w:r>
      <w:r w:rsidRPr="005519AC">
        <w:rPr>
          <w:color w:val="000000" w:themeColor="text1"/>
        </w:rPr>
        <w:t>MPO-</w:t>
      </w:r>
      <w:r>
        <w:rPr>
          <w:color w:val="000000" w:themeColor="text1"/>
        </w:rPr>
        <w:t>ANCA</w:t>
      </w:r>
      <w:r w:rsidRPr="005519AC">
        <w:rPr>
          <w:color w:val="000000" w:themeColor="text1"/>
        </w:rPr>
        <w:t xml:space="preserve"> and PR3-ANCA according to the 2017 consensus.</w:t>
      </w:r>
      <w:r w:rsidR="0042143D">
        <w:rPr>
          <w:color w:val="000000" w:themeColor="text1"/>
        </w:rPr>
        <w:t xml:space="preserve"> </w:t>
      </w:r>
      <w:r w:rsidR="00FD43E0">
        <w:rPr>
          <w:color w:val="000000" w:themeColor="text1"/>
        </w:rPr>
        <w:t xml:space="preserve">AIH-1 – </w:t>
      </w:r>
      <w:r w:rsidR="00FD43E0" w:rsidRPr="00FD43E0">
        <w:rPr>
          <w:color w:val="000000" w:themeColor="text1"/>
        </w:rPr>
        <w:t xml:space="preserve">autoimmune hepatitis type 1, </w:t>
      </w:r>
      <w:r w:rsidR="00FD43E0">
        <w:rPr>
          <w:color w:val="000000" w:themeColor="text1"/>
        </w:rPr>
        <w:t xml:space="preserve">PBC – </w:t>
      </w:r>
      <w:r w:rsidR="00FD43E0" w:rsidRPr="00FD43E0">
        <w:rPr>
          <w:color w:val="000000" w:themeColor="text1"/>
        </w:rPr>
        <w:t>primary biliary c</w:t>
      </w:r>
      <w:r w:rsidR="00FD43E0">
        <w:rPr>
          <w:color w:val="000000" w:themeColor="text1"/>
        </w:rPr>
        <w:t>holangitis</w:t>
      </w:r>
      <w:r w:rsidR="00FD43E0" w:rsidRPr="00FD43E0">
        <w:rPr>
          <w:color w:val="000000" w:themeColor="text1"/>
        </w:rPr>
        <w:t xml:space="preserve">, </w:t>
      </w:r>
      <w:r w:rsidR="00FD43E0">
        <w:rPr>
          <w:color w:val="000000" w:themeColor="text1"/>
        </w:rPr>
        <w:t>PSC</w:t>
      </w:r>
      <w:r w:rsidR="00FD43E0" w:rsidRPr="00FD43E0">
        <w:rPr>
          <w:color w:val="000000" w:themeColor="text1"/>
        </w:rPr>
        <w:t xml:space="preserve"> </w:t>
      </w:r>
      <w:r w:rsidR="00716784">
        <w:rPr>
          <w:color w:val="000000" w:themeColor="text1"/>
        </w:rPr>
        <w:t xml:space="preserve">– </w:t>
      </w:r>
      <w:r w:rsidR="00FD43E0" w:rsidRPr="00FD43E0">
        <w:rPr>
          <w:color w:val="000000" w:themeColor="text1"/>
        </w:rPr>
        <w:t>primary sclerosing cholangitis</w:t>
      </w:r>
      <w:r w:rsidR="00FD43E0">
        <w:rPr>
          <w:color w:val="000000" w:themeColor="text1"/>
        </w:rPr>
        <w:t xml:space="preserve"> , CD – Crohn’s diseases, UC – ulcerative colitis, </w:t>
      </w:r>
      <w:r w:rsidR="00FD43E0" w:rsidRPr="006E2281">
        <w:rPr>
          <w:color w:val="000000" w:themeColor="text1"/>
        </w:rPr>
        <w:t>ASCA</w:t>
      </w:r>
      <w:r w:rsidR="00FD43E0">
        <w:rPr>
          <w:color w:val="000000" w:themeColor="text1"/>
        </w:rPr>
        <w:t xml:space="preserve"> – </w:t>
      </w:r>
      <w:r w:rsidR="00FD43E0" w:rsidRPr="006E2281">
        <w:rPr>
          <w:color w:val="000000" w:themeColor="text1"/>
        </w:rPr>
        <w:t>anti-</w:t>
      </w:r>
      <w:r w:rsidR="00FD43E0" w:rsidRPr="00716784">
        <w:rPr>
          <w:i/>
          <w:color w:val="000000" w:themeColor="text1"/>
        </w:rPr>
        <w:t>Saccharomyces cerevisiae</w:t>
      </w:r>
      <w:r w:rsidR="00B405CF">
        <w:rPr>
          <w:color w:val="000000" w:themeColor="text1"/>
        </w:rPr>
        <w:t xml:space="preserve"> antibodies, LoA – level of agreement (%). Scores: 1 – strongly disagree, 2 – disagree, 3 – undecided, 4 – agree, 5 – strongly agree.</w:t>
      </w:r>
    </w:p>
    <w:p w:rsidR="00C90FD8" w:rsidRPr="006E2281" w:rsidRDefault="00C90FD8" w:rsidP="00A02290">
      <w:pPr>
        <w:rPr>
          <w:b/>
          <w:color w:val="000000" w:themeColor="text1"/>
        </w:rPr>
      </w:pPr>
    </w:p>
    <w:p w:rsidR="00C90FD8" w:rsidRPr="006E2281" w:rsidRDefault="00C90FD8">
      <w:pPr>
        <w:spacing w:before="0" w:line="240" w:lineRule="auto"/>
        <w:jc w:val="left"/>
        <w:rPr>
          <w:b/>
          <w:color w:val="000000" w:themeColor="text1"/>
        </w:rPr>
      </w:pPr>
      <w:r w:rsidRPr="006E2281">
        <w:rPr>
          <w:b/>
          <w:color w:val="000000" w:themeColor="text1"/>
        </w:rPr>
        <w:br w:type="page"/>
      </w:r>
    </w:p>
    <w:p w:rsidR="005A3B55" w:rsidRPr="006E2281" w:rsidRDefault="00A02290" w:rsidP="00C637DF">
      <w:pPr>
        <w:ind w:firstLine="360"/>
        <w:rPr>
          <w:b/>
          <w:color w:val="000000" w:themeColor="text1"/>
        </w:rPr>
      </w:pPr>
      <w:r w:rsidRPr="006E2281">
        <w:rPr>
          <w:b/>
          <w:color w:val="000000" w:themeColor="text1"/>
        </w:rPr>
        <w:lastRenderedPageBreak/>
        <w:t>Reference</w:t>
      </w:r>
      <w:r w:rsidR="00C90FD8" w:rsidRPr="006E2281">
        <w:rPr>
          <w:b/>
          <w:color w:val="000000" w:themeColor="text1"/>
        </w:rPr>
        <w:t>s</w:t>
      </w:r>
    </w:p>
    <w:p w:rsidR="00492E33" w:rsidRDefault="00492E33" w:rsidP="00492E33">
      <w:r>
        <w:t>1.</w:t>
      </w:r>
      <w:r>
        <w:tab/>
        <w:t>Bossuyt X, Cohen Tervaert JW, et al. Position paper: Revised 2017 international consensus on testing of ANCA in granulomatosis with polyangiitis and microscopic polyangiitis. Nat Rev Rheumatol. 2017;13(11):683-692.</w:t>
      </w:r>
    </w:p>
    <w:p w:rsidR="00492E33" w:rsidRDefault="00492E33" w:rsidP="00492E33">
      <w:r>
        <w:t>2.</w:t>
      </w:r>
      <w:r>
        <w:tab/>
        <w:t>Savige J, Trevisin M, Pollock W. Testing and reporting antineutrophil cytoplasmic antibodies (ANCA) in treated vasculitis and non-vasculitic disease. J Immunol Methods. 2018;458:1-7.</w:t>
      </w:r>
    </w:p>
    <w:p w:rsidR="00492E33" w:rsidRDefault="00492E33" w:rsidP="00492E33">
      <w:r>
        <w:t>3.</w:t>
      </w:r>
      <w:r>
        <w:tab/>
        <w:t>Savige J, Gillis D, Benson E, et al. International Consensus Statement on Testing and Reporting of Antineutrophil Cytoplasmic Antibodies (ANCA). Am J Clin Pathol. 1999;111(4):507-513.</w:t>
      </w:r>
    </w:p>
    <w:p w:rsidR="00492E33" w:rsidRDefault="00492E33" w:rsidP="00492E33">
      <w:r>
        <w:t>4.</w:t>
      </w:r>
      <w:r>
        <w:tab/>
        <w:t>Savige J, Dimech W, Fritzler M, et al.; International Group for Consensus Statement on Testing and Reporting of Antineutrophil Cytoplasmic Antibodies (ANCA). Addendum to the International Consensus Statement on testing and reporting of antineutrophil cytoplasmic antibodies. Quality control guidelines, comments, and recommendations for testing in other autoimmune diseases. Am J Clin Pathol. 2003;120(3):312-318.</w:t>
      </w:r>
    </w:p>
    <w:p w:rsidR="00492E33" w:rsidRDefault="00492E33" w:rsidP="00492E33">
      <w:r>
        <w:t>5.</w:t>
      </w:r>
      <w:r>
        <w:tab/>
        <w:t xml:space="preserve">van Beers JJBC, Vanderlocht J, Roozendaal C, Damoiseaux J.  Detection of anti-neutrophil cytoplasmic antibodies (ANCA) by indirect immunofluorescence.  Methods Mol Biol. 2019;1901:47-62.   </w:t>
      </w:r>
    </w:p>
    <w:p w:rsidR="00492E33" w:rsidRDefault="00492E33" w:rsidP="00492E33">
      <w:r>
        <w:t>6.</w:t>
      </w:r>
      <w:r>
        <w:tab/>
        <w:t>Vanderlocht J, van Beers JJBC, Limburg PC, Damoiseaux J, Roozendaal C.  Antigen-specific detection of autoantibodies against myeloperoxidase (MPO) and proteinase 3 (PR3). Methods Mol Biol. 2019;1901:153-176.</w:t>
      </w:r>
    </w:p>
    <w:p w:rsidR="00492E33" w:rsidRDefault="00492E33" w:rsidP="00492E33">
      <w:r>
        <w:t>7.</w:t>
      </w:r>
      <w:r>
        <w:tab/>
        <w:t>Draibe J, Salama A. Association of ANCA associated vasculitis and rheumatoid arthritis: a lesser recognized overlap syndrome. Springerplus 2015;4:50.</w:t>
      </w:r>
    </w:p>
    <w:p w:rsidR="00492E33" w:rsidRDefault="00492E33" w:rsidP="00492E33">
      <w:r>
        <w:t>8.</w:t>
      </w:r>
      <w:r>
        <w:tab/>
        <w:t>Góis M, Messias A, Carvalho D, et al. MPO-ANCA-associated necrotizing glomerulonephritis in rheumatoid arthritis; a case report and review of literature. J Nephropathol. 2017;6(2):58-62.</w:t>
      </w:r>
    </w:p>
    <w:p w:rsidR="00492E33" w:rsidRDefault="00492E33" w:rsidP="00492E33">
      <w:r>
        <w:t>9.</w:t>
      </w:r>
      <w:r>
        <w:tab/>
        <w:t xml:space="preserve">Reitblat T, Reitblat O. Appearance of ANCA associated vasculitis under tumor necrosis factor-alpha inhibitors treatment. AM J Case Rep. 2013;14:80-2. </w:t>
      </w:r>
    </w:p>
    <w:p w:rsidR="00492E33" w:rsidRDefault="00492E33" w:rsidP="00492E33">
      <w:r>
        <w:lastRenderedPageBreak/>
        <w:t>10.</w:t>
      </w:r>
      <w:r>
        <w:tab/>
        <w:t>Ramos-Casals M, Brito-Zeron P, Soto MJ, Cuadrado MJ, Khamashta MA. Autoimmune diseases induced by TNF-targeted therapies. Best Pract Res Clin Rheumatol. 2008;22(5):847–861.</w:t>
      </w:r>
    </w:p>
    <w:p w:rsidR="00492E33" w:rsidRDefault="00492E33" w:rsidP="00492E33">
      <w:r>
        <w:t>11.</w:t>
      </w:r>
      <w:r>
        <w:tab/>
        <w:t>Calabresi P, Edwards EA, Schilling RF. Fluorescent antiglobulin studies in leukopenic and related disorders. J Clin Invest. 1959;38:2091-2100.</w:t>
      </w:r>
    </w:p>
    <w:p w:rsidR="00492E33" w:rsidRDefault="00492E33" w:rsidP="00492E33">
      <w:r>
        <w:t>12.</w:t>
      </w:r>
      <w:r>
        <w:tab/>
        <w:t>Savige JA, Gallicchio M, Stockman A, et al. Anti-neutrophil cytoplasm antibodies in rheumatoid arthritis. Clin Exp Immunol. 1991;86(1):92-98.</w:t>
      </w:r>
    </w:p>
    <w:p w:rsidR="00492E33" w:rsidRDefault="00492E33" w:rsidP="00492E33">
      <w:r>
        <w:t>13.</w:t>
      </w:r>
      <w:r>
        <w:tab/>
        <w:t>Kallenberg CG, Mulder AH, Tervaert JW. Antineutrophil cytoplasmic antibodies: a still-growing class of autoantibodies in inflammatory disorders. Am J Med. 1992;93(6):675-682.</w:t>
      </w:r>
    </w:p>
    <w:p w:rsidR="00492E33" w:rsidRDefault="00492E33" w:rsidP="00492E33">
      <w:r>
        <w:t>14.</w:t>
      </w:r>
      <w:r>
        <w:tab/>
        <w:t>Falk RJ, Jennette JC. Anti-neutrophil cytoplasmic autoantibodies with specificity for myeloperoxidase in patients with systemic vasculitis and idiopathic necrotizing and crescentic glomerulonephritis. N Engl J Med. 1988;318(25):1651-1657.</w:t>
      </w:r>
    </w:p>
    <w:p w:rsidR="00492E33" w:rsidRDefault="00492E33" w:rsidP="00492E33">
      <w:r>
        <w:t>15.</w:t>
      </w:r>
      <w:r>
        <w:tab/>
        <w:t xml:space="preserve">Braun MG, Csernok E, Schmitt WH, Gross WL. Incidence, target antigens, and clinical implications of antineutrophil cytoplasmic antibodies in rheumatoid arthritis. J Rheumatol. 1996;23(5):826–830. </w:t>
      </w:r>
    </w:p>
    <w:p w:rsidR="00492E33" w:rsidRDefault="00492E33" w:rsidP="00492E33">
      <w:r>
        <w:t>16.</w:t>
      </w:r>
      <w:r>
        <w:tab/>
        <w:t xml:space="preserve">Mustila A, Korpela M, Mstonen J, et al. Perinuclear antineutrophil cytoplasmic antibody in rheumatoid arthritis. Arthritis Rheum. 1997;40(4):710-717. </w:t>
      </w:r>
    </w:p>
    <w:p w:rsidR="00492E33" w:rsidRDefault="00492E33" w:rsidP="00492E33">
      <w:r>
        <w:t>17.</w:t>
      </w:r>
      <w:r>
        <w:tab/>
        <w:t xml:space="preserve">Mustila A, Paimela L, Leirisalo-Repo M, Huhtala H, Miettinen A. Antineutrophil cytoplasmic antibodies in patients with early rheumatoid arthritis: an early marker of progressive erosive disease. Arthritis Rheum. 2000;43(6):1371-7. </w:t>
      </w:r>
    </w:p>
    <w:p w:rsidR="00492E33" w:rsidRDefault="00492E33" w:rsidP="00492E33">
      <w:r>
        <w:t>18.</w:t>
      </w:r>
      <w:r>
        <w:tab/>
        <w:t xml:space="preserve">Vittecoq O, Jouen-Beades F, Krzanowska K, et al. Prospective evaluation of the frequency and clinical significance of antineutrophil cytoplasmic and anticardiolipin antibodies in community cases of patients with rheumatoid arthritis. Rheumatology 2000;39(5):481-489. </w:t>
      </w:r>
    </w:p>
    <w:p w:rsidR="00492E33" w:rsidRDefault="00492E33" w:rsidP="00492E33">
      <w:r>
        <w:t>19.</w:t>
      </w:r>
      <w:r>
        <w:tab/>
        <w:t>Vasiliauskiene L, Wiik A, Høier-Madsen M. Prevalence and clinical significance of antikeratin antibodies and other serological markers in Lithuanian patients with rheumatoid arthritis. Ann Rheum Dis. 2001;60(5):459-466.</w:t>
      </w:r>
    </w:p>
    <w:p w:rsidR="00492E33" w:rsidRDefault="00492E33" w:rsidP="00492E33">
      <w:r>
        <w:lastRenderedPageBreak/>
        <w:t>20.</w:t>
      </w:r>
      <w:r>
        <w:tab/>
        <w:t>Cambridge G, Williams M, Leaker B, Corbett M, Smith CR. Anti-myeloperoxidase antibodies in patients with rheumatoid arthritis: prevalence, clinical correlates, and IgG subclass. Ann Rheum Dis. 1994;53(1):24–29.</w:t>
      </w:r>
    </w:p>
    <w:p w:rsidR="00492E33" w:rsidRDefault="00492E33" w:rsidP="00492E33">
      <w:r>
        <w:t>21.</w:t>
      </w:r>
      <w:r>
        <w:tab/>
        <w:t>Mulder AHL, Horst  G, van Leeuwen  MA, Limburg PC, Kallenberg CGM. Antineutrophil cytoplasmic antibodies in rheumatoid arthritis: characterization  and  clinical  correlations.  Arthritis Rheum 1993;36(8):1054-1060.</w:t>
      </w:r>
    </w:p>
    <w:p w:rsidR="00492E33" w:rsidRDefault="00492E33" w:rsidP="00492E33">
      <w:r>
        <w:t>22.</w:t>
      </w:r>
      <w:r>
        <w:tab/>
        <w:t>Kida I, Kobayashi S, Takeuchi K, Tsuda H, Hashimoto H, Takasaki Y. Antineutrophil cytoplasmic antibodies against myeloperoxidase, proteinase 3, elastase, cathepsin G and lactoferrin in Japanese patients with rheumatoid arthritis. Mod Rheumatol. 2011;21(1):43-50.</w:t>
      </w:r>
    </w:p>
    <w:p w:rsidR="00492E33" w:rsidRDefault="00492E33" w:rsidP="00492E33">
      <w:r>
        <w:t>23.</w:t>
      </w:r>
      <w:r>
        <w:tab/>
        <w:t>Jarrot PA, Chiche L, Hervier B, et al. Systemic lupus erythematosus and antineutrophil cytoplasmic antibody-associated vasculitis overlap syndrome in patients with biopsy-proven glomerulonephritis. Medicine (Baltimore). 2016;95(22):e3748.</w:t>
      </w:r>
    </w:p>
    <w:p w:rsidR="00492E33" w:rsidRDefault="00492E33" w:rsidP="00492E33">
      <w:r>
        <w:t>24.</w:t>
      </w:r>
      <w:r>
        <w:tab/>
        <w:t>Tervaert JW, Mulder AH, Kallenberg CG. Perinuclear antineutrophil cytoplasmic antibodies (p-ANCA): clinical significance and relation to antibodies against myeloid lysosomal enzymes. Adv Exp Med Biol. 1993;336:253-256.</w:t>
      </w:r>
    </w:p>
    <w:p w:rsidR="00492E33" w:rsidRDefault="00492E33" w:rsidP="00492E33">
      <w:r>
        <w:t>25.</w:t>
      </w:r>
      <w:r>
        <w:tab/>
        <w:t>Schnabel A, Csernok E, Isenberg DA, Mrowka C, Gross WL. Antineutrophil cytoplasmic antibodies in systemic lupus erythematosus. Prevalence, specificities, and clinical significance. Arthritis Rheum. 1995;38(5):633-637.</w:t>
      </w:r>
    </w:p>
    <w:p w:rsidR="00492E33" w:rsidRDefault="00492E33" w:rsidP="00492E33">
      <w:r>
        <w:t>26.</w:t>
      </w:r>
      <w:r>
        <w:tab/>
        <w:t>Galeazzi M, Morozzi G, Sebastiani GD, et al. Anti-neutrophil cytoplasmic antibodies in 566 European patients with systemic lupus erythematosus: prevalence, clinical associations and correlation with other autoantibodies. European Concerted Action on the Immunogenetics of SLE. Clin Exp Rheumatol. 1998;16(5):541–546.</w:t>
      </w:r>
    </w:p>
    <w:p w:rsidR="00492E33" w:rsidRDefault="00492E33" w:rsidP="00492E33">
      <w:r>
        <w:t>27.</w:t>
      </w:r>
      <w:r>
        <w:tab/>
        <w:t>Sen D, Isenberg DA. Antineutrophil cytoplasmic autoantibodies in systemic lupus erythematosus. Lupus. 2003;12:651–658.</w:t>
      </w:r>
    </w:p>
    <w:p w:rsidR="00492E33" w:rsidRDefault="00492E33" w:rsidP="00492E33">
      <w:r>
        <w:t>28.</w:t>
      </w:r>
      <w:r>
        <w:tab/>
        <w:t>Yu F, Tan Y, Liu G, Wang SX, Zou WZ, Zhao MH. Clinicopathological characteristics and outcomes of patients with crescentic lupus nephritis. Kidney Int. 2009;76(3):307–317.</w:t>
      </w:r>
    </w:p>
    <w:p w:rsidR="00492E33" w:rsidRDefault="00492E33" w:rsidP="00492E33">
      <w:r>
        <w:lastRenderedPageBreak/>
        <w:t>29.</w:t>
      </w:r>
      <w:r>
        <w:tab/>
        <w:t>Turner-Stokes T, Wilson HR, Morreale M, et al. Positive antineutrophil cytoplasmic antibody serology in patients with lupus nephritis is associated with distinct histopathologic features on renal biopsy. Kidney Int. 2017;92(5):1223-1231.</w:t>
      </w:r>
    </w:p>
    <w:p w:rsidR="00492E33" w:rsidRDefault="00492E33" w:rsidP="00492E33">
      <w:r>
        <w:t>30.</w:t>
      </w:r>
      <w:r>
        <w:tab/>
        <w:t xml:space="preserve">Li C, Zhou ML, Liang DD, et al. Treatment and clinicopathological characteristics of lupus nephritis with anti-neutrophil cytoplasmic antibody positivity: a case-control study. BMJ Open. 2017;7(7):e015668. </w:t>
      </w:r>
    </w:p>
    <w:p w:rsidR="00492E33" w:rsidRDefault="00492E33" w:rsidP="00492E33">
      <w:r>
        <w:t>31.</w:t>
      </w:r>
      <w:r>
        <w:tab/>
        <w:t>Olson SW, Lee JJ, Poirier M, et al. Anti-myeloperoxidase antibodies aassociate with future proliferative lupus nephritis. Autoimmune Dis. 2017;2017:1872846.</w:t>
      </w:r>
    </w:p>
    <w:p w:rsidR="00F86B7F" w:rsidRDefault="00492E33" w:rsidP="00F86B7F">
      <w:pPr>
        <w:rPr>
          <w:color w:val="000000" w:themeColor="text1"/>
        </w:rPr>
      </w:pPr>
      <w:r>
        <w:t>32.</w:t>
      </w:r>
      <w:r>
        <w:tab/>
      </w:r>
      <w:r w:rsidR="00F86B7F">
        <w:rPr>
          <w:color w:val="000000" w:themeColor="text1"/>
        </w:rPr>
        <w:t xml:space="preserve">Cohen Tervaert JW. Autoantibodies in systemic vasculitis. </w:t>
      </w:r>
      <w:r w:rsidR="00F86B7F" w:rsidRPr="00F86B7F">
        <w:rPr>
          <w:color w:val="000000" w:themeColor="text1"/>
        </w:rPr>
        <w:t>Aust N Z J Med. 1992</w:t>
      </w:r>
      <w:r w:rsidR="00F86B7F">
        <w:rPr>
          <w:color w:val="000000" w:themeColor="text1"/>
        </w:rPr>
        <w:t>;22(2):171-172.</w:t>
      </w:r>
    </w:p>
    <w:p w:rsidR="00492E33" w:rsidRDefault="00F86B7F" w:rsidP="00492E33">
      <w:r>
        <w:rPr>
          <w:color w:val="000000" w:themeColor="text1"/>
        </w:rPr>
        <w:t>33.</w:t>
      </w:r>
      <w:r>
        <w:rPr>
          <w:color w:val="000000" w:themeColor="text1"/>
        </w:rPr>
        <w:tab/>
        <w:t xml:space="preserve">Jethwa HS, Nachman PH, Falk RJ, Jennette JC. </w:t>
      </w:r>
      <w:r w:rsidRPr="00AE1331">
        <w:rPr>
          <w:color w:val="000000"/>
          <w:shd w:val="clear" w:color="auto" w:fill="FFFFFF"/>
        </w:rPr>
        <w:t>False-positive myeloperoxidase binding activity due to DNA/anti-DNA antibody complexes: a source for analytical error in serologic evaluation of anti-neutrophil cytoplasmic autoantibodies. </w:t>
      </w:r>
      <w:r w:rsidRPr="00F86B7F">
        <w:rPr>
          <w:iCs/>
          <w:color w:val="000000"/>
          <w:shd w:val="clear" w:color="auto" w:fill="FFFFFF"/>
        </w:rPr>
        <w:t>Clin Exper Immunol</w:t>
      </w:r>
      <w:r w:rsidRPr="00F86B7F">
        <w:rPr>
          <w:color w:val="000000"/>
          <w:shd w:val="clear" w:color="auto" w:fill="FFFFFF"/>
        </w:rPr>
        <w:t>.</w:t>
      </w:r>
      <w:r w:rsidRPr="00AE1331">
        <w:rPr>
          <w:color w:val="000000"/>
          <w:shd w:val="clear" w:color="auto" w:fill="FFFFFF"/>
        </w:rPr>
        <w:t> 2000;121(3):544–550</w:t>
      </w:r>
      <w:r>
        <w:t>.</w:t>
      </w:r>
    </w:p>
    <w:p w:rsidR="00492E33" w:rsidRDefault="00F86B7F" w:rsidP="00492E33">
      <w:r>
        <w:t>34</w:t>
      </w:r>
      <w:r w:rsidR="00492E33">
        <w:t>.</w:t>
      </w:r>
      <w:r w:rsidR="00492E33">
        <w:tab/>
        <w:t>Denton CP, Khanna D. Systemic sclerosis. Lancet. 2017;390(10103):1685-1699.</w:t>
      </w:r>
    </w:p>
    <w:p w:rsidR="00492E33" w:rsidRDefault="00F86B7F" w:rsidP="00492E33">
      <w:r>
        <w:t>35</w:t>
      </w:r>
      <w:r w:rsidR="00492E33">
        <w:t>.</w:t>
      </w:r>
      <w:r w:rsidR="00492E33">
        <w:tab/>
        <w:t>Nihtyanova SI, Denton CP. Autoantibodies as predictive tools in systemic sclerosis. Nat Rev Rheumatol. 2010;6(2):112-116.</w:t>
      </w:r>
    </w:p>
    <w:p w:rsidR="00492E33" w:rsidRDefault="00F86B7F" w:rsidP="00492E33">
      <w:r>
        <w:t>36</w:t>
      </w:r>
      <w:r w:rsidR="00492E33">
        <w:t>.</w:t>
      </w:r>
      <w:r w:rsidR="00492E33">
        <w:tab/>
        <w:t>Akimoto S, Ishikawa O, Tamura T, Miyachi Y. Antineutrophil cytoplasmic autoantibodies in patients with systemic sclerosis. Br J Dermatol. 1996;134(3):407-410.</w:t>
      </w:r>
    </w:p>
    <w:p w:rsidR="00492E33" w:rsidRDefault="00F86B7F" w:rsidP="00492E33">
      <w:r>
        <w:t>37</w:t>
      </w:r>
      <w:r w:rsidR="00492E33">
        <w:t>.</w:t>
      </w:r>
      <w:r w:rsidR="00492E33">
        <w:tab/>
        <w:t xml:space="preserve">Merkel PA, Polisson RP, Chang Y, Skates SJ, Niles JL. Prevalence of antineutrophil cytoplasmic antibodies in a large inception cohort of patients with connective tissue disease. Ann Intern Med. 1997;126(11):866-873. </w:t>
      </w:r>
    </w:p>
    <w:p w:rsidR="00492E33" w:rsidRDefault="00F86B7F" w:rsidP="00492E33">
      <w:r>
        <w:t>38</w:t>
      </w:r>
      <w:r w:rsidR="00492E33">
        <w:t>.</w:t>
      </w:r>
      <w:r w:rsidR="00492E33">
        <w:tab/>
        <w:t xml:space="preserve">Casari S, Haeney M, Farrand S, Herrick A. Antineutrophil cytoplasmic antibodies a ‘‘red flag’’ in patients with systemic sclerosis. J Rheumatol. 2002;29(12):2666-2667. </w:t>
      </w:r>
    </w:p>
    <w:p w:rsidR="00492E33" w:rsidRDefault="00F86B7F" w:rsidP="00492E33">
      <w:r>
        <w:t>39</w:t>
      </w:r>
      <w:r w:rsidR="00492E33">
        <w:t>.</w:t>
      </w:r>
      <w:r w:rsidR="00492E33">
        <w:tab/>
        <w:t xml:space="preserve">Ruffatti A, Sinico RA, Radice A, et al. Autoantibodies to proteinase 3 and myeloperoxidase in systemic sclerosis. J Rheumatol. 2002;29(5):918-923. </w:t>
      </w:r>
    </w:p>
    <w:p w:rsidR="00492E33" w:rsidRDefault="00F86B7F" w:rsidP="00492E33">
      <w:r>
        <w:lastRenderedPageBreak/>
        <w:t>40</w:t>
      </w:r>
      <w:r w:rsidR="00492E33">
        <w:t>.</w:t>
      </w:r>
      <w:r w:rsidR="00492E33">
        <w:tab/>
        <w:t>Derrett-Smith EC1, Nihtyanova SI, Harvey J, Salama AD, Denton CP. Revisiting ANCA-associated vasculitis in systemic sclerosis: clinical, serological and immunogenetic factors. Rheumatology (Oxford). 2013;52(10):1824-1831.</w:t>
      </w:r>
    </w:p>
    <w:p w:rsidR="00492E33" w:rsidRDefault="00F86B7F" w:rsidP="00492E33">
      <w:r>
        <w:t>41</w:t>
      </w:r>
      <w:r w:rsidR="00492E33">
        <w:t>.</w:t>
      </w:r>
      <w:r w:rsidR="00492E33">
        <w:tab/>
        <w:t xml:space="preserve">Kant S, Shah AA, Hummers LK, Wigley FM, Geetha D. ANCA-associated vasculitis in scleroderma: A renal perspective. Clin Nephrol. 2018;90(6):413-418. </w:t>
      </w:r>
    </w:p>
    <w:p w:rsidR="00492E33" w:rsidRDefault="00F86B7F" w:rsidP="00492E33">
      <w:r>
        <w:t>42</w:t>
      </w:r>
      <w:r w:rsidR="00492E33">
        <w:t>.</w:t>
      </w:r>
      <w:r w:rsidR="00492E33">
        <w:tab/>
        <w:t>Quéméneur T, Mouthon L, Cacoub P, et al. Systemic vasculitis during the course of systemic sclerosis. Medicine (Baltimore). 2013;92(1):1-9.</w:t>
      </w:r>
    </w:p>
    <w:p w:rsidR="00492E33" w:rsidRDefault="00F86B7F" w:rsidP="00492E33">
      <w:r>
        <w:t>43</w:t>
      </w:r>
      <w:r w:rsidR="00492E33">
        <w:t>.</w:t>
      </w:r>
      <w:r w:rsidR="00492E33">
        <w:tab/>
        <w:t xml:space="preserve">Arad U, Balbir-Gurman A, Doenyas-Barak K, Amit-Vazina M, Caspi D, Elkayam O. Anti-neutrophil antibody associated vasculitis in systemic sclerosis. Semin Arthritis Rheum. 2011;41(2):223-229. </w:t>
      </w:r>
    </w:p>
    <w:p w:rsidR="00492E33" w:rsidRDefault="00F86B7F" w:rsidP="00492E33">
      <w:r>
        <w:t>44</w:t>
      </w:r>
      <w:r w:rsidR="00492E33">
        <w:t>.</w:t>
      </w:r>
      <w:r w:rsidR="00492E33">
        <w:tab/>
        <w:t>Arnaud L, Huart A, Plaisier E, et al. ANCA-related crescentic glomerulonephritis in systemic sclerosis: revisiting the “normotensive scleroderma renal crisis”. Clin Nephrol. 2007;68(3):165-170.</w:t>
      </w:r>
    </w:p>
    <w:p w:rsidR="00492E33" w:rsidRDefault="00F86B7F" w:rsidP="00492E33">
      <w:r>
        <w:t>45</w:t>
      </w:r>
      <w:r w:rsidR="00492E33">
        <w:t>.</w:t>
      </w:r>
      <w:r w:rsidR="00492E33">
        <w:tab/>
        <w:t xml:space="preserve">Moxey J, Huq M, Proudman S, et al. Significance of anti-neutrophil cytoplasmic antibodies in systemic sclerosis. Arthritis Res Ther. 2019;21(1):57. </w:t>
      </w:r>
    </w:p>
    <w:p w:rsidR="00492E33" w:rsidRDefault="00F86B7F" w:rsidP="00492E33">
      <w:r>
        <w:t>46</w:t>
      </w:r>
      <w:r w:rsidR="00492E33">
        <w:t>.</w:t>
      </w:r>
      <w:r w:rsidR="00492E33">
        <w:tab/>
        <w:t>Guellec D, Cornec-Le G, Groh M, et al. ANCA-associated vasculitis in patients with primary Sjogren's syndrome: detailed analysis of 7 new cases and systematic literature review. Autoimmun Rev. 2015;14(8):742-750.</w:t>
      </w:r>
    </w:p>
    <w:p w:rsidR="00492E33" w:rsidRDefault="00F86B7F" w:rsidP="00492E33">
      <w:r>
        <w:t>47</w:t>
      </w:r>
      <w:r w:rsidR="00492E33">
        <w:t>.</w:t>
      </w:r>
      <w:r w:rsidR="00492E33">
        <w:tab/>
        <w:t>Font J, Ramos-Casals M, Cervera R, et al. Antineutrophil cytoplasmic antibodies in primary Sjögren's syndrome: prevalence and clinical significance. Br J Rheumatol. 1998;37(12):1287–1291.</w:t>
      </w:r>
    </w:p>
    <w:p w:rsidR="00492E33" w:rsidRDefault="00F86B7F" w:rsidP="00492E33">
      <w:r>
        <w:t>48</w:t>
      </w:r>
      <w:r w:rsidR="00492E33">
        <w:t>.</w:t>
      </w:r>
      <w:r w:rsidR="00492E33">
        <w:tab/>
        <w:t xml:space="preserve">Nishiya K, Chikazawa H, Hashimoto K, Miyawaki S. Antineutrophil cytoplasmic antibody in patients with primary Sjögren's syndrome. Clin Rheumatol. 1999;18(3):268–271. </w:t>
      </w:r>
    </w:p>
    <w:p w:rsidR="00492E33" w:rsidRDefault="00F86B7F" w:rsidP="00492E33">
      <w:r>
        <w:t>49</w:t>
      </w:r>
      <w:r w:rsidR="00492E33">
        <w:t>.</w:t>
      </w:r>
      <w:r w:rsidR="00492E33">
        <w:tab/>
        <w:t>Ramos-Casals M, Nardi N, Brito-Zerón P, et al. Atypical autoantibodies in patients with primary Sjögren syndrome: clinical characteristics and follow-up of 82 cases. Semin Arthritis Rheum. 2006;35(5):312–321.</w:t>
      </w:r>
    </w:p>
    <w:p w:rsidR="00492E33" w:rsidRDefault="00AF26B6" w:rsidP="00492E33">
      <w:r>
        <w:t>50</w:t>
      </w:r>
      <w:r w:rsidR="00492E33">
        <w:t>.</w:t>
      </w:r>
      <w:r w:rsidR="00492E33">
        <w:tab/>
        <w:t xml:space="preserve">Tovoli F, Vannini A, Fusconi M, Frisoni M, Zauli D. Autoimmune liver disorders and small-vessel vasculitis: four case reports and review of the literature. Ann Hepatol. 2013 Jan-2014 Feb;13(1):136-141. </w:t>
      </w:r>
    </w:p>
    <w:p w:rsidR="00492E33" w:rsidRDefault="00AF26B6" w:rsidP="00492E33">
      <w:r>
        <w:lastRenderedPageBreak/>
        <w:t>51</w:t>
      </w:r>
      <w:r w:rsidR="00492E33">
        <w:t>.</w:t>
      </w:r>
      <w:r w:rsidR="00492E33">
        <w:tab/>
        <w:t>Lohani S, Nazir S, Tachamo N, Pagolu P. Autoimmune hepatitis and eosinophilic granulomatosis with polyangiitis: a rare association. BMJ Case Rep. 2017 Jan 20;2017.</w:t>
      </w:r>
    </w:p>
    <w:p w:rsidR="00492E33" w:rsidRDefault="00AF26B6" w:rsidP="00492E33">
      <w:r>
        <w:t>52</w:t>
      </w:r>
      <w:r w:rsidR="00492E33">
        <w:t>.</w:t>
      </w:r>
      <w:r w:rsidR="00492E33">
        <w:tab/>
        <w:t>Manns MP, Czaja AJ, Gorham JD, et al. Diagnosis and management of autoimmune hepatitis. Hepatology 2010;51(6):2193-2213.</w:t>
      </w:r>
    </w:p>
    <w:p w:rsidR="00492E33" w:rsidRDefault="00AF26B6" w:rsidP="00492E33">
      <w:r>
        <w:t>53</w:t>
      </w:r>
      <w:r w:rsidR="00492E33">
        <w:t>.</w:t>
      </w:r>
      <w:r w:rsidR="00492E33">
        <w:tab/>
        <w:t>Terjung B, Söhne J, Lechtenberg B, et al. p-ANCA in autoimmune liver disorders recognise human beta-tubulin isotype 5 and cross-react with microbial protein FtsZ. Gut. 2010;59(6):808-816.</w:t>
      </w:r>
    </w:p>
    <w:p w:rsidR="00492E33" w:rsidRDefault="00AF26B6" w:rsidP="00492E33">
      <w:r>
        <w:t>54</w:t>
      </w:r>
      <w:r w:rsidR="00492E33">
        <w:t>.</w:t>
      </w:r>
      <w:r w:rsidR="00492E33">
        <w:tab/>
        <w:t>Op De Beeck K, Van den Bergh K, Vermeire S, et al. Immune reactivity to β-tubulin isotype 5 and vesicular integralmembrane protein 36 in patients with autoimmune gastrointestinal disorders. Gut 2011;60(11):1601-1602.</w:t>
      </w:r>
    </w:p>
    <w:p w:rsidR="00492E33" w:rsidRDefault="00AF26B6" w:rsidP="00492E33">
      <w:r>
        <w:t>55</w:t>
      </w:r>
      <w:r w:rsidR="00492E33">
        <w:t>.</w:t>
      </w:r>
      <w:r w:rsidR="00492E33">
        <w:tab/>
        <w:t xml:space="preserve">Deniziaut G, Ballot E, Johanet C.Antineutrophil cytoplasmic </w:t>
      </w:r>
      <w:r w:rsidR="001E082C">
        <w:t>autoantibodies</w:t>
      </w:r>
      <w:r w:rsidR="00492E33">
        <w:t xml:space="preserve"> (ANCA) in autoimmune hepatitis and primary sclerosing cholangitis. Clin Res Hepatol Gastroenterol. 2013;37(1):105-107.</w:t>
      </w:r>
    </w:p>
    <w:p w:rsidR="00492E33" w:rsidRDefault="00AF26B6" w:rsidP="00492E33">
      <w:r>
        <w:t>56</w:t>
      </w:r>
      <w:r w:rsidR="00492E33">
        <w:t>.</w:t>
      </w:r>
      <w:r w:rsidR="00492E33">
        <w:tab/>
        <w:t>De Riva V, Celadin M, Pittoni M, Plebani M, Angeli P. What is behind the presence of antineutrophil cytoplasmatic antibodies in chronic liver disease? Liver Int 2009;29(6):865-870.</w:t>
      </w:r>
    </w:p>
    <w:p w:rsidR="00492E33" w:rsidRDefault="00AF26B6" w:rsidP="00492E33">
      <w:r>
        <w:t>57</w:t>
      </w:r>
      <w:r w:rsidR="00492E33">
        <w:t>.</w:t>
      </w:r>
      <w:r w:rsidR="00492E33">
        <w:tab/>
        <w:t>Mieli-Vergani G, Vergani D, Czaja AJ, et al. Autoimmune hepatitis. Nat Rev Dis Primers. 2018;4:18017.</w:t>
      </w:r>
    </w:p>
    <w:p w:rsidR="00492E33" w:rsidRDefault="00AF26B6" w:rsidP="00492E33">
      <w:r>
        <w:t>58.</w:t>
      </w:r>
      <w:r w:rsidR="00492E33">
        <w:tab/>
        <w:t>Zauli D, Ghetti S, Grassi A, et al. Anti-neutrophil cytoplasmic antibodies in type 1 and 2 autoimmune hepatitis. Hepatology. 1997;25(5):1105-1107.</w:t>
      </w:r>
    </w:p>
    <w:p w:rsidR="00492E33" w:rsidRDefault="00AF26B6" w:rsidP="00492E33">
      <w:r>
        <w:t>59</w:t>
      </w:r>
      <w:r w:rsidR="00492E33">
        <w:t>.</w:t>
      </w:r>
      <w:r w:rsidR="00492E33">
        <w:tab/>
        <w:t>Orth T, Gerken G, Meyer Zum Büschenfelde KH, Mayet WJ. Antineutrophil nuclear antibodies (ANNA) in primary biliary cirrhosis: their prevalence and antigen specificity. Z Gastroenterol. 1997;35(2):113-121.</w:t>
      </w:r>
    </w:p>
    <w:p w:rsidR="00492E33" w:rsidRDefault="00AF26B6" w:rsidP="00492E33">
      <w:r>
        <w:t>60</w:t>
      </w:r>
      <w:r w:rsidR="00492E33">
        <w:t>.</w:t>
      </w:r>
      <w:r w:rsidR="00492E33">
        <w:tab/>
        <w:t>Roozendaal C, de Jong MA, van den Berg AP, van Wijk RT, Limburg PC, Kallenberg CG. Clinical significance of anti-neutrophil cytoplasmic antibodies (ANCA) in autoimmune liver diseases. J Hepatol. 2000;32(5):734-741.</w:t>
      </w:r>
    </w:p>
    <w:p w:rsidR="00492E33" w:rsidRDefault="00AF26B6" w:rsidP="00492E33">
      <w:r>
        <w:t>61</w:t>
      </w:r>
      <w:r w:rsidR="00492E33">
        <w:t>.</w:t>
      </w:r>
      <w:r w:rsidR="00492E33">
        <w:tab/>
        <w:t>Terjung B, Bogsch F, Klein R, et al. Diagnostic accuracy of atypical p-ANCA in autoimmune hepatitis using ROC- and multivariate regression analysis. Eur J Med Res. 2004;9(9):439-448.</w:t>
      </w:r>
    </w:p>
    <w:p w:rsidR="00492E33" w:rsidRDefault="00AF26B6" w:rsidP="00492E33">
      <w:r>
        <w:lastRenderedPageBreak/>
        <w:t>62</w:t>
      </w:r>
      <w:r w:rsidR="00492E33">
        <w:t>.</w:t>
      </w:r>
      <w:r w:rsidR="00492E33">
        <w:tab/>
        <w:t>Roozendaal C, Van Milligen de Wit AW, et al. Antineutrophil cytoplasmic antibodies in primary sclerosing cholangitis: defined specificities may be associated with distinct clinical features. Am J Med. 1998;105(5):393-399.</w:t>
      </w:r>
    </w:p>
    <w:p w:rsidR="00492E33" w:rsidRDefault="00AF26B6" w:rsidP="00492E33">
      <w:r>
        <w:t>63</w:t>
      </w:r>
      <w:r w:rsidR="00492E33">
        <w:t>.</w:t>
      </w:r>
      <w:r w:rsidR="00492E33">
        <w:tab/>
        <w:t>Lindgren S, Nilsson S, Nässberger L, Verbaan H, Wieslander J. Anti-neutrophil cytoplasmic antibodies in patients with chronic liver diseases: prevalence, antigen specificity and predictive value for diagnosis of autoimmune liver disease. Swedish Internal Medicine Liver Club (SILK). J Gastroenterol Hepatol. 2000;15(4):437-442.</w:t>
      </w:r>
    </w:p>
    <w:p w:rsidR="00492E33" w:rsidRDefault="00AF26B6" w:rsidP="00492E33">
      <w:r>
        <w:t>64</w:t>
      </w:r>
      <w:r w:rsidR="00492E33">
        <w:t>.</w:t>
      </w:r>
      <w:r w:rsidR="00492E33">
        <w:tab/>
        <w:t>Karlsen TH, Folseraas T, Thorburn D, Vesterhus M. Primary sclerosing cholangitis - a comprehensive review. J Hepatol. 2017;67(6):1298-1323.</w:t>
      </w:r>
    </w:p>
    <w:p w:rsidR="00492E33" w:rsidRDefault="00AF26B6" w:rsidP="00492E33">
      <w:r>
        <w:t>65</w:t>
      </w:r>
      <w:r w:rsidR="00492E33">
        <w:t>.</w:t>
      </w:r>
      <w:r w:rsidR="00492E33">
        <w:tab/>
        <w:t>Hov JR, Boberg KM, Karlsen TH.  Autoantibodies in primary sclerosing cholangitis.  World J Gastroenterol. 2008;14(24):3781-3791.</w:t>
      </w:r>
    </w:p>
    <w:p w:rsidR="00492E33" w:rsidRDefault="00AF26B6" w:rsidP="00492E33">
      <w:r>
        <w:t>66</w:t>
      </w:r>
      <w:r w:rsidR="00492E33">
        <w:t>.</w:t>
      </w:r>
      <w:r w:rsidR="00492E33">
        <w:tab/>
        <w:t>Pokorny CS, Norton ID, McCaughan GW, Selby WS. Anti-neutrophil cytoplasmic antibody: a prognostic indicator in primary sclerosing cholangitis. J Gastroenterol Hepatol. 1994;9(1):40-44.</w:t>
      </w:r>
    </w:p>
    <w:p w:rsidR="00492E33" w:rsidRDefault="00AF26B6" w:rsidP="00492E33">
      <w:r>
        <w:t>67</w:t>
      </w:r>
      <w:r w:rsidR="00492E33">
        <w:t>.</w:t>
      </w:r>
      <w:r w:rsidR="00492E33">
        <w:tab/>
        <w:t>Bansi DS, Fleming KA, Chapman RW. Importance of antineutrophil cytoplasmic antibodies in primary sclerosing cholangitis and ulcerative colitis: prevalence, titre, and IgG subclass. Gut 1996;38(3):384-389.</w:t>
      </w:r>
    </w:p>
    <w:p w:rsidR="00492E33" w:rsidRDefault="00AF26B6" w:rsidP="00492E33">
      <w:r>
        <w:t>68</w:t>
      </w:r>
      <w:r w:rsidR="00492E33">
        <w:t>.</w:t>
      </w:r>
      <w:r w:rsidR="00492E33">
        <w:tab/>
        <w:t>Hov JR, Boberg KM, Taraldsrud E, et al. Antineutrophil antibodies define clinical and genetic subgroups in primary sclerosing cholangitis. Liver Int. 2017;37(3):458-465.</w:t>
      </w:r>
    </w:p>
    <w:p w:rsidR="00492E33" w:rsidRDefault="00AF26B6" w:rsidP="00492E33">
      <w:r>
        <w:t>69</w:t>
      </w:r>
      <w:r w:rsidR="00492E33">
        <w:t>.</w:t>
      </w:r>
      <w:r w:rsidR="00492E33">
        <w:tab/>
        <w:t>Lenzen H, Weismüller TJ, Negm AA, et al. Antineutrophil cytoplasmic antibodies in bile are associated with disease activity in primary sclerosing cholangitis. Scand J Gastroenterol. 2013;48(10):1205-1212.</w:t>
      </w:r>
    </w:p>
    <w:p w:rsidR="00492E33" w:rsidRDefault="00AF26B6" w:rsidP="00492E33">
      <w:r>
        <w:t>70</w:t>
      </w:r>
      <w:r w:rsidR="00492E33">
        <w:t>.</w:t>
      </w:r>
      <w:r w:rsidR="00492E33">
        <w:tab/>
        <w:t>Tervaert JW, van Hoek B, Koek G. Antineutrophil cytoplasmic antibodies in small-duct primary sclerosing cholangitis. Gastroenterology. 2009;136(1):364.</w:t>
      </w:r>
    </w:p>
    <w:p w:rsidR="00492E33" w:rsidRDefault="00AF26B6" w:rsidP="00492E33">
      <w:r>
        <w:t>71</w:t>
      </w:r>
      <w:r w:rsidR="00492E33">
        <w:t>.</w:t>
      </w:r>
      <w:r w:rsidR="00492E33">
        <w:tab/>
        <w:t xml:space="preserve">Stinton LM, Bentow C, Mahler M, et al. PR3-ANCA: a promising biomarker in primary sclerosing cholangitis (PSC). PLoS One. 2014;9(11):e112877. </w:t>
      </w:r>
    </w:p>
    <w:p w:rsidR="00492E33" w:rsidRDefault="00AF26B6" w:rsidP="00492E33">
      <w:r>
        <w:t>72</w:t>
      </w:r>
      <w:r w:rsidR="00492E33">
        <w:t>.</w:t>
      </w:r>
      <w:r w:rsidR="00492E33">
        <w:tab/>
        <w:t>Sy A, Khalidi N, Dehghan N, et al.Vasculitis in patients with inflammatory bowel diseases: A study of 32 patients and systematic review of the literature. Semin Arthritis Rheum. 2016;45(4):475-448.</w:t>
      </w:r>
    </w:p>
    <w:p w:rsidR="00492E33" w:rsidRDefault="00AF26B6" w:rsidP="00492E33">
      <w:r>
        <w:lastRenderedPageBreak/>
        <w:t>73</w:t>
      </w:r>
      <w:r w:rsidR="00492E33">
        <w:t>.</w:t>
      </w:r>
      <w:r w:rsidR="00492E33">
        <w:tab/>
        <w:t>Pagnoux C, Mahr A, Cohen P, Guillevin L. Presentation and outcome of gastrointestinal involvement in systemic necrotizing vasculitides: analysis of 62 patients with polyarteritis nodosa, microscopic polyangiitis, Wegener granulomatosis, Churg–Strauss syndrome, or rheumatoid arthritis-associated vasculitis. Medicine. 2005;84:115-128.</w:t>
      </w:r>
    </w:p>
    <w:p w:rsidR="00492E33" w:rsidRDefault="00AF26B6" w:rsidP="00492E33">
      <w:r>
        <w:t>74</w:t>
      </w:r>
      <w:r w:rsidR="00492E33">
        <w:t>.</w:t>
      </w:r>
      <w:r w:rsidR="00492E33">
        <w:tab/>
        <w:t>Calabresi P, Thayer WR Jr, Spiro HM. Demonstration of circulating antinuclear globulins in ulcerative colitis. J Clin Invest. 1961;40(12):2126-2133.</w:t>
      </w:r>
    </w:p>
    <w:p w:rsidR="00492E33" w:rsidRDefault="00AF26B6" w:rsidP="00492E33">
      <w:r>
        <w:t>75</w:t>
      </w:r>
      <w:r w:rsidR="00492E33">
        <w:t>.</w:t>
      </w:r>
      <w:r w:rsidR="00492E33">
        <w:tab/>
        <w:t>Kossa K, Coulthart A, Ives CT, Pusey CD, Hodgson HJ. Antigen specificity of circulating anti-neutrophil cytoplasmic antibodies in inflammatory bowel disease. Eur J Gastroenterol Hepatol. 1995;7(8):783-789.</w:t>
      </w:r>
    </w:p>
    <w:p w:rsidR="00492E33" w:rsidRDefault="00AF26B6" w:rsidP="00492E33">
      <w:r>
        <w:t>76</w:t>
      </w:r>
      <w:r w:rsidR="00492E33">
        <w:t>.</w:t>
      </w:r>
      <w:r w:rsidR="00492E33">
        <w:tab/>
        <w:t>Prideaux L, De Cruz P, Ng SC, Kamm MA. Serological antibodies in inflammatory bowel disease: A systematic review. Inflamm Bowel Dis. 2012;18(7):1340–1355.</w:t>
      </w:r>
    </w:p>
    <w:p w:rsidR="00492E33" w:rsidRDefault="00AF26B6" w:rsidP="00492E33">
      <w:r>
        <w:t>77</w:t>
      </w:r>
      <w:r w:rsidR="00492E33">
        <w:t>.</w:t>
      </w:r>
      <w:r w:rsidR="00492E33">
        <w:tab/>
        <w:t>Bossuyt X. Serologic markers in inflammatory bowel disease. Clin Chem. 2006;52(2):171-181.</w:t>
      </w:r>
    </w:p>
    <w:p w:rsidR="00492E33" w:rsidRDefault="00AF26B6" w:rsidP="00492E33">
      <w:r>
        <w:t>78</w:t>
      </w:r>
      <w:r w:rsidR="00492E33">
        <w:t>.</w:t>
      </w:r>
      <w:r w:rsidR="00492E33">
        <w:tab/>
        <w:t>Sendid B, Colombel JF, Jacquinot PM, et al. Specific antibody response to oligomannosidic epitopes in Crohn’s disease. Clin Diagn Lab Immunol. 1996;3(2):219–226.</w:t>
      </w:r>
    </w:p>
    <w:p w:rsidR="00492E33" w:rsidRDefault="00AF26B6" w:rsidP="00492E33">
      <w:r>
        <w:t>79</w:t>
      </w:r>
      <w:r w:rsidR="00492E33">
        <w:t>.</w:t>
      </w:r>
      <w:r w:rsidR="00492E33">
        <w:tab/>
        <w:t>Everhov AH, Sachs MC, Malmborg P, et al. Changes in inflammatory bowel</w:t>
      </w:r>
      <w:r>
        <w:t xml:space="preserve"> </w:t>
      </w:r>
      <w:r w:rsidR="00492E33">
        <w:t>disease subtype during follow-up and over time in 44,302 patients. Scand J Gastroenterol. 2019;54(1):55-63.</w:t>
      </w:r>
    </w:p>
    <w:p w:rsidR="00492E33" w:rsidRDefault="00AF26B6" w:rsidP="00492E33">
      <w:r>
        <w:t>80</w:t>
      </w:r>
      <w:r w:rsidR="00492E33">
        <w:t>.</w:t>
      </w:r>
      <w:r w:rsidR="00492E33">
        <w:tab/>
        <w:t>Prenzel F, Uhlig HH. Frequency of indeterminate colitis in children and adults with IBD – a metaanalysis. J Crohns Colitis. 2009;3(4):277-281.</w:t>
      </w:r>
    </w:p>
    <w:p w:rsidR="00492E33" w:rsidRDefault="00AF26B6" w:rsidP="00492E33">
      <w:r>
        <w:t>81</w:t>
      </w:r>
      <w:r w:rsidR="00492E33">
        <w:t>.</w:t>
      </w:r>
      <w:r w:rsidR="00492E33">
        <w:tab/>
        <w:t>Joossens S, Reinisch W, Vermeire S, et al. The value of serologic markers in indeterminate colitis: a prospective follow-up study. Gastroenterology. 2002;122(5):1242–1247.</w:t>
      </w:r>
    </w:p>
    <w:p w:rsidR="00492E33" w:rsidRDefault="00AF26B6" w:rsidP="00492E33">
      <w:r>
        <w:t>82</w:t>
      </w:r>
      <w:r w:rsidR="00492E33">
        <w:t>.</w:t>
      </w:r>
      <w:r w:rsidR="00492E33">
        <w:tab/>
        <w:t xml:space="preserve">Peeters M, Joossens S, Vermeire S, Vlietinck R, Bossuyt X, Rutgeerts P. Diagnostic value of anti-Saccharomyces cerevisiae and antineutrophil cytoplasmic autoantibodies in inflammatory bowel disease. Am J Gastroenterol. 2001;96(3):730-734. </w:t>
      </w:r>
    </w:p>
    <w:p w:rsidR="00492E33" w:rsidRDefault="00AF26B6" w:rsidP="00492E33">
      <w:r>
        <w:lastRenderedPageBreak/>
        <w:t>83</w:t>
      </w:r>
      <w:r w:rsidR="00492E33">
        <w:t>.</w:t>
      </w:r>
      <w:r w:rsidR="00492E33">
        <w:tab/>
        <w:t>Birimberg-Schwartz L, Wilson DC, Kolho KL, et al. P-ANCA and ASCA in children with IBD-unclassified, Crohn's colitis, and ulcerative colitis – a longitudinal report from the IBD Porto Group of ESPGHAN. Inflamm Bowel Dis. 2016;22(8):1908-1914.</w:t>
      </w:r>
    </w:p>
    <w:p w:rsidR="00492E33" w:rsidRDefault="00AF26B6" w:rsidP="00492E33">
      <w:r>
        <w:t>84</w:t>
      </w:r>
      <w:r w:rsidR="00492E33">
        <w:t>.</w:t>
      </w:r>
      <w:r w:rsidR="00492E33">
        <w:tab/>
        <w:t>Sura SP, Ahmed A, Cheifetz AS, Moss AC. Characteristics of inflammatory bowel disease serology in patients with indeterminate colitis. J Clin Gastroenterol. 2014;48(4):351-355.</w:t>
      </w:r>
    </w:p>
    <w:p w:rsidR="00492E33" w:rsidRDefault="00AF26B6" w:rsidP="00492E33">
      <w:r>
        <w:t>85</w:t>
      </w:r>
      <w:r w:rsidR="00492E33">
        <w:t>.</w:t>
      </w:r>
      <w:r w:rsidR="00492E33">
        <w:tab/>
        <w:t xml:space="preserve">Reumaux D, Colombel JF, Masy E, et al. Anti-neutrophil cytoplasmic </w:t>
      </w:r>
      <w:r w:rsidR="001E082C">
        <w:t>autoantibodies</w:t>
      </w:r>
      <w:r w:rsidR="00492E33">
        <w:t xml:space="preserve"> (ANCA) in ulcerative colitis (UC): no relationship with disease activity. Inflamm Bowel Dis. 2000;6(4):270-274. </w:t>
      </w:r>
    </w:p>
    <w:p w:rsidR="00492E33" w:rsidRDefault="00AF26B6" w:rsidP="00492E33">
      <w:r>
        <w:t>86</w:t>
      </w:r>
      <w:r w:rsidR="00492E33">
        <w:t>.</w:t>
      </w:r>
      <w:r w:rsidR="00492E33">
        <w:tab/>
        <w:t>Roozendaal C, Pogany K, Hummel EJ, et al. Titres of antineutrophil cytoplasmic antibodies in inflammatory bowel disease are not related to disease activity. QJM. 1999;92(11):651–658.</w:t>
      </w:r>
    </w:p>
    <w:p w:rsidR="00492E33" w:rsidRDefault="00AF26B6" w:rsidP="00492E33">
      <w:r>
        <w:t>87</w:t>
      </w:r>
      <w:r w:rsidR="00492E33">
        <w:t>.</w:t>
      </w:r>
      <w:r w:rsidR="00492E33">
        <w:tab/>
        <w:t>Broekroelofs J, Mulder AH, Nelis GF, Westerveld BD, Tervaert JW, Kallenberg CG. Anti-neutrophil cytoplasmic antibodies (ANCA) in sera from patients with inflammatory bowel disease (IBD). Relation to disease pattern and disease activity. Dig Dis Sci. 1994;39(3):545-549.</w:t>
      </w:r>
    </w:p>
    <w:p w:rsidR="00492E33" w:rsidRDefault="00AF26B6" w:rsidP="00492E33">
      <w:r>
        <w:t>88</w:t>
      </w:r>
      <w:r w:rsidR="00492E33">
        <w:t>.</w:t>
      </w:r>
      <w:r w:rsidR="00492E33">
        <w:tab/>
        <w:t>Vecchi M, Bianchi MB, Calabresi C, et al. Long-term observation of the perinuclear anti-neutrophil cytoplasmic antibody status in ulcerative colitis patients. Scand J Gastroenterol. 1998;33(2):170–173.</w:t>
      </w:r>
    </w:p>
    <w:p w:rsidR="00492E33" w:rsidRDefault="00492E33" w:rsidP="00492E33">
      <w:r>
        <w:t>89.</w:t>
      </w:r>
      <w:r>
        <w:tab/>
        <w:t>Høie O, Aamodt G, Vermeire S, et al. Serological markers are associated with disease course in ulcerative colitis. A study in an unselected population-based cohort followed for 10 years. J Crohns Colitis. 2008;2(2):114-122.</w:t>
      </w:r>
    </w:p>
    <w:p w:rsidR="00492E33" w:rsidRDefault="00492E33" w:rsidP="00492E33">
      <w:r>
        <w:t>90.</w:t>
      </w:r>
      <w:r>
        <w:tab/>
        <w:t>Waterman M, Knight J, Dinani A, et al. Predictors of outcome in ulcerative colitis. Inflamm Bowel Dis. 2015;21(9):2097-2105.</w:t>
      </w:r>
    </w:p>
    <w:p w:rsidR="00492E33" w:rsidRDefault="00492E33" w:rsidP="00492E33">
      <w:r>
        <w:t>91.</w:t>
      </w:r>
      <w:r>
        <w:tab/>
        <w:t xml:space="preserve">Jürgens M, Laubender RP, Hartl F, et al. Disease activity, ANCA, and IL23R genotype status determine early response to infliximab in patients with ulcerative colitis. Am J Gastroenterol. 2010;105(8):1811-1819. </w:t>
      </w:r>
    </w:p>
    <w:p w:rsidR="00492E33" w:rsidRDefault="00492E33" w:rsidP="00492E33">
      <w:r>
        <w:t>92.</w:t>
      </w:r>
      <w:r>
        <w:tab/>
        <w:t>Ferrante M, Vermeire S, Katsanos KH, et al. Predictors of early response to infliximab in patients with ulcerative colitis. Inflamm Bowel Dis. 2007;13(2):123-128.</w:t>
      </w:r>
    </w:p>
    <w:p w:rsidR="00492E33" w:rsidRDefault="00492E33" w:rsidP="00492E33">
      <w:r>
        <w:lastRenderedPageBreak/>
        <w:t>93.</w:t>
      </w:r>
      <w:r>
        <w:tab/>
        <w:t>Esters N, Vermeire S, Joossens S, et al. Serological markers for prediction of response to anti-tumor necrosis factor treatment in Crohn’s disease. Am J Gastroenterol. 2002;97:1458–1462.</w:t>
      </w:r>
    </w:p>
    <w:p w:rsidR="00492E33" w:rsidRDefault="00492E33" w:rsidP="00492E33">
      <w:r>
        <w:t>94.</w:t>
      </w:r>
      <w:r>
        <w:tab/>
        <w:t xml:space="preserve">Teegen B, Niemann S, Probst C, Schlumberger W, Stöcker W, Komorowski L. DNA-bound lactoferrin is the major target for antineutrophil perinuclear cytoplasmic antibodies in ulcerative colitis. Ann N Y Acad Sci. 2009;1173:161-165. </w:t>
      </w:r>
    </w:p>
    <w:p w:rsidR="00492E33" w:rsidRDefault="00492E33" w:rsidP="00492E33">
      <w:r>
        <w:t>95.</w:t>
      </w:r>
      <w:r>
        <w:tab/>
        <w:t>Kovacs G, Sipeki N, Suga B, et al. Significance of serological markers in the disease course of ulcerative colitis in a prospective clinical cohort of patients. PLoS One. 2018;13(3):e0194166.</w:t>
      </w:r>
    </w:p>
    <w:p w:rsidR="00492E33" w:rsidRDefault="00492E33" w:rsidP="00492E33">
      <w:r>
        <w:t>96.</w:t>
      </w:r>
      <w:r>
        <w:tab/>
        <w:t>Arias-Loste MT, Bonilla G, Moraleja I, et al. Presence of anti-proteinase 3 antineutrophil cytoplasmic antibodies (anti-PR3 ANCA) as serologic markers in inflammatory bowel disease. Clin Rev Allergy Immunol. 2013;45(10:109-116.</w:t>
      </w:r>
    </w:p>
    <w:p w:rsidR="00492E33" w:rsidRDefault="00492E33" w:rsidP="00492E33">
      <w:r>
        <w:t>97.</w:t>
      </w:r>
      <w:r>
        <w:tab/>
        <w:t>Mahler M, Bogdanos DP, Pavlidis P et al. PR3-ANCA: a promising biomarker for ulcerative colitis with extensive disease. Clin Chim Acta. 2013;424:267-273.</w:t>
      </w:r>
    </w:p>
    <w:p w:rsidR="00492E33" w:rsidRDefault="00492E33" w:rsidP="00492E33">
      <w:r>
        <w:t>98.</w:t>
      </w:r>
      <w:r>
        <w:tab/>
        <w:t>Horn MP, Peter AM, Righini Grunder F, et al. PR3-ANCA and panel diagnostics in pediatric inflammatory bowel disease to distinguish ulcerative colitis from Crohn's disease. PLoS One. 2018;13(12):e0208974.</w:t>
      </w:r>
    </w:p>
    <w:p w:rsidR="00492E33" w:rsidRDefault="00492E33" w:rsidP="00492E33">
      <w:r>
        <w:t>99.</w:t>
      </w:r>
      <w:r>
        <w:tab/>
        <w:t xml:space="preserve">Arias-Loste MT, Bonilla G, Moraleja I, et al. Presence of anti-proteinase 3 antineutrophil cytoplasmic antibodies (anti-PR3 ANCA) as serologic markers in inflammatory bowel disease. Clin Rev Allergy Immunol. 2013;45(1):109-116. </w:t>
      </w:r>
    </w:p>
    <w:p w:rsidR="00492E33" w:rsidRDefault="00492E33" w:rsidP="00492E33">
      <w:r>
        <w:t>100.</w:t>
      </w:r>
      <w:r>
        <w:tab/>
        <w:t>Takedatsu H, Mitsuyama K, Fukunaga S, et al. Diagnostic and clinical role of serum proteinase 3 antineutrophil cytoplasmic antibodies in inflammatory bowel disease. J Gastroenterol Hepatol. 2018 Mar 7. doi: 10.1111/jgh.14140. [Epub ahead of print].</w:t>
      </w:r>
    </w:p>
    <w:p w:rsidR="00492E33" w:rsidRDefault="00492E33" w:rsidP="00492E33">
      <w:r>
        <w:t>101.</w:t>
      </w:r>
      <w:r>
        <w:tab/>
        <w:t>Mahler M, Damoiseaux J, Ballet V, et al. PR3-anti-neutrophil cytoplasmic antibodies (ANCA) in ulcerative colitis. Clin Chem Lab Med. 2017;56(1):e27-e30.</w:t>
      </w:r>
    </w:p>
    <w:p w:rsidR="00492E33" w:rsidRDefault="00492E33" w:rsidP="00492E33">
      <w:r>
        <w:t>102.</w:t>
      </w:r>
      <w:r>
        <w:tab/>
        <w:t>Damoiseaux JG, Bouten B, Linders AM, et al. Diagnostic value of anti-</w:t>
      </w:r>
      <w:r w:rsidRPr="00AF26B6">
        <w:rPr>
          <w:i/>
        </w:rPr>
        <w:t>Saccharomyces cerevisiae</w:t>
      </w:r>
      <w:r>
        <w:t xml:space="preserve"> and antineutrophil cytoplasmic antibodies for inflammatory bowel disease: high prevalence in patients with celiac disease. J Clin Immunol. 2002;22:281-288.</w:t>
      </w:r>
    </w:p>
    <w:p w:rsidR="00492E33" w:rsidRDefault="00492E33" w:rsidP="00492E33">
      <w:r>
        <w:lastRenderedPageBreak/>
        <w:t>103.</w:t>
      </w:r>
      <w:r>
        <w:tab/>
        <w:t>McAdoo SP, Pusey CD. Antiglomerular basement membrane disease. Semin Respir Crit Care Med. 2018;39(4):494–503.</w:t>
      </w:r>
    </w:p>
    <w:p w:rsidR="00492E33" w:rsidRDefault="00492E33" w:rsidP="00492E33">
      <w:r>
        <w:t>104.</w:t>
      </w:r>
      <w:r>
        <w:tab/>
        <w:t>Jayne DR, Marshall PD, Jones SJ, Lockwood CM. Autoantibodies to GBM and neutrophil cytoplasm in rapidly progressive glomerulonephritis. Kidney Int. 1990 37(3):965–970.</w:t>
      </w:r>
    </w:p>
    <w:p w:rsidR="00492E33" w:rsidRDefault="00492E33" w:rsidP="00492E33">
      <w:r>
        <w:t>105.</w:t>
      </w:r>
      <w:r>
        <w:tab/>
        <w:t>Levy JB, Hammad T, Coulthart A, Dougan T, Pusey CD. Clinical features and outcome of patients with both ANCA and anti-GBM antibodies. Kidney Int. 2004;66(4):1535–1540.</w:t>
      </w:r>
    </w:p>
    <w:p w:rsidR="00492E33" w:rsidRDefault="00492E33" w:rsidP="00492E33">
      <w:r>
        <w:t>106.</w:t>
      </w:r>
      <w:r>
        <w:tab/>
        <w:t>Zhao J, Yang R, Cui Z, Chen M, Zhao MH, Wang HY. Characteristics and outcome of Chinese patients with both antineutrophil cytoplasmic antibody and antiglomerular basement membrane antibodies. Nephron Clin Pract. 2007;107(2):56-62.</w:t>
      </w:r>
    </w:p>
    <w:p w:rsidR="00492E33" w:rsidRDefault="00492E33" w:rsidP="00492E33">
      <w:r>
        <w:t>107.</w:t>
      </w:r>
      <w:r>
        <w:tab/>
        <w:t>Segelmark M, Hellmark T, Wieslander J. The prognostic significance in Goodpasture’s disease of specificity, titre and affinity of anti-glomerular-basement-membrane antibodies. Nephron Clin Pract. 2003;94(3):c59-68.</w:t>
      </w:r>
    </w:p>
    <w:p w:rsidR="00492E33" w:rsidRDefault="00492E33" w:rsidP="00492E33">
      <w:r>
        <w:t>108.</w:t>
      </w:r>
      <w:r>
        <w:tab/>
        <w:t xml:space="preserve">Rutgers A, Slot M, van Paassen P, van Breda Vriesman P, Heeringa P, Tervaert JW. Coexistence of anti-glomerular basement membrane antibodies and myeloperoxidase-ANCAs in crescentic glomerulonephritis. Am J Kidney Dis. 2005;46(2):253–262.  </w:t>
      </w:r>
    </w:p>
    <w:p w:rsidR="00492E33" w:rsidRDefault="00492E33" w:rsidP="00492E33">
      <w:r>
        <w:t>109.</w:t>
      </w:r>
      <w:r>
        <w:tab/>
        <w:t xml:space="preserve">McAdoo SP, Tanna A, Hrušková Z, et al. Patients double-seropositive for ANCA and anti-GBM antibodies have varied renal survival, frequency of relapse, and outcomes compared to single-seropositive patients. Kidney Int. 2017;92(3):693–702. </w:t>
      </w:r>
    </w:p>
    <w:p w:rsidR="00492E33" w:rsidRDefault="00492E33" w:rsidP="00492E33">
      <w:r>
        <w:t>110.</w:t>
      </w:r>
      <w:r>
        <w:tab/>
        <w:t xml:space="preserve">Alchi B, Griffiths M, Sivalingam M, Jayne D, Farrington K. Predictors of renal and patient outcomes in anti-GBM disease: clinicopathologic analysis of a two-centre cohort. Nephrol Dial Transplant. 2015;30(05):814–821. </w:t>
      </w:r>
    </w:p>
    <w:p w:rsidR="00492E33" w:rsidRDefault="00492E33" w:rsidP="00492E33">
      <w:r>
        <w:t>111.</w:t>
      </w:r>
      <w:r>
        <w:tab/>
        <w:t xml:space="preserve">Cui Z, Zhao J, Jia XY, et al. Anti-glomerular basement membrane disease: outcomes of different therapeutic regimens in a large single-center Chinese cohort study. Medicine (Baltimore). 2011;90(5):303–311. </w:t>
      </w:r>
    </w:p>
    <w:p w:rsidR="00492E33" w:rsidRDefault="00492E33" w:rsidP="00492E33">
      <w:r>
        <w:t>112.</w:t>
      </w:r>
      <w:r>
        <w:tab/>
        <w:t>van Daalen EE, Jennette JC, McAdoo SP, et al. Predicting outcome in patients with anti-GBM glomerulonephritis. Clin J Am Soc Nephrol. 2018;13(1):63–72.</w:t>
      </w:r>
    </w:p>
    <w:p w:rsidR="00492E33" w:rsidRDefault="00492E33" w:rsidP="00492E33">
      <w:r>
        <w:lastRenderedPageBreak/>
        <w:t>113.</w:t>
      </w:r>
      <w:r>
        <w:tab/>
        <w:t>Olson SW, Arbogast CB, Baker TP, et al. Asymptomatic autoantibodies associate with future anti-glomerular basement membrane disease. J Am Soc Nephrol. 2011;22(10):1946–1952.</w:t>
      </w:r>
    </w:p>
    <w:p w:rsidR="00492E33" w:rsidRDefault="00492E33" w:rsidP="00492E33">
      <w:r>
        <w:t>114.</w:t>
      </w:r>
      <w:r>
        <w:tab/>
        <w:t>Pedchenko V, Bondar O, Fogo AB, et al. Molecular architecture of the Goodpasture autoantigen in anti-GBM nephritis. N Engl J Med. 2010;363(18):343–354.</w:t>
      </w:r>
    </w:p>
    <w:p w:rsidR="00492E33" w:rsidRDefault="00492E33" w:rsidP="00492E33">
      <w:r>
        <w:t>115.</w:t>
      </w:r>
      <w:r>
        <w:tab/>
        <w:t>Yu JT, Li JN, Wang J, Jia XY, Cui Z, Zhao MH. Deglycosylation of myeloperoxidase uncovers its novel antigenicity. Kidney Int. 2017;91(6):1410-1419.</w:t>
      </w:r>
    </w:p>
    <w:p w:rsidR="00492E33" w:rsidRDefault="00492E33" w:rsidP="00492E33">
      <w:r>
        <w:t>116.</w:t>
      </w:r>
      <w:r>
        <w:tab/>
        <w:t>Bosch X, Mirapeix E, Font J, et al. Prognostic implication of anti-neutrophil cytoplasmic autoantibodies with myeloperoxidase specificity in anti-glomerular basement membrane disease. Clin Nephrol 1991;36(3):107-113.</w:t>
      </w:r>
    </w:p>
    <w:p w:rsidR="00492E33" w:rsidRDefault="00492E33" w:rsidP="00492E33">
      <w:r>
        <w:t>117.</w:t>
      </w:r>
      <w:r>
        <w:tab/>
        <w:t>Srivastava A, Rao GK, Segal PE, Shah M, Geetha D. Characteristics and outcome of crescentic glomerulonephritis in patients with both antineutrophil cytoplasmic antibody and anti-glomerular basement membrane antibody. Clin Rheumatol. 2013;32(9):1317–1322.</w:t>
      </w:r>
    </w:p>
    <w:p w:rsidR="00AF26B6" w:rsidRDefault="00492E33" w:rsidP="00492E33">
      <w:r>
        <w:t>118.</w:t>
      </w:r>
      <w:r>
        <w:tab/>
        <w:t>Heering</w:t>
      </w:r>
      <w:r w:rsidR="00AF26B6">
        <w:t>a</w:t>
      </w:r>
      <w:r>
        <w:t xml:space="preserve"> P, Brouwer E, Klok PA, et al. Autoantibodies to myeloperoxidase aggravate mild anti-glomerula basement membrane-mediated glomerular injury in the rat. Am J Pathol. 1996;149(5):1695-16706.</w:t>
      </w:r>
    </w:p>
    <w:p w:rsidR="00AF26B6" w:rsidRDefault="00AF26B6" w:rsidP="00492E33">
      <w:r>
        <w:t>119.</w:t>
      </w:r>
      <w:r>
        <w:tab/>
        <w:t>Canney M, O'Hara PV, McEvoy CM, et al. Spatial and temporal clustering of anti-glomerular basement membrane disease. Clin J Am Soc Nephrol. 2016;11(8):1392-9.</w:t>
      </w:r>
    </w:p>
    <w:p w:rsidR="00492E33" w:rsidRDefault="00207023" w:rsidP="00492E33">
      <w:r>
        <w:t>120.</w:t>
      </w:r>
      <w:r>
        <w:tab/>
        <w:t>Sadeghi-Alavijeh O, Henderson S, Bass P, Cook T, DeGroot K, Salama AD. Crescentic glomerulonephritis with anti-GBM antibody but no glomerular deposition. BMC Nephrol 2018;19(1):228.</w:t>
      </w:r>
    </w:p>
    <w:p w:rsidR="00492E33" w:rsidRDefault="00207023" w:rsidP="00492E33">
      <w:r>
        <w:t>121</w:t>
      </w:r>
      <w:r w:rsidR="00492E33">
        <w:t>.</w:t>
      </w:r>
      <w:r w:rsidR="00492E33">
        <w:tab/>
        <w:t>Canney M, Little MA. ANCA in anti-GBM disease: moving beyond a one-dimensional clinical phenotype. Kidney Int. 2017;92(3):544–546.</w:t>
      </w:r>
    </w:p>
    <w:p w:rsidR="00492E33" w:rsidRDefault="00207023" w:rsidP="00492E33">
      <w:r>
        <w:t>122</w:t>
      </w:r>
      <w:r w:rsidR="00492E33">
        <w:t>.</w:t>
      </w:r>
      <w:r w:rsidR="00492E33">
        <w:tab/>
        <w:t>Travis WD, Costabel U, Hansell DM, et al. An official American Thoracic Society/European Respiratory Society statement: Update of the international multidisciplinary classification of the idiopathic interstitial pneumonias. Am J Respir Crit Care Med. 2013;188(6):733-748.</w:t>
      </w:r>
    </w:p>
    <w:p w:rsidR="00492E33" w:rsidRDefault="00207023" w:rsidP="00492E33">
      <w:r>
        <w:lastRenderedPageBreak/>
        <w:t>123</w:t>
      </w:r>
      <w:r w:rsidR="00492E33">
        <w:t>.</w:t>
      </w:r>
      <w:r w:rsidR="00492E33">
        <w:tab/>
        <w:t>Fischer A, Antoniou KM, Brown KK, et al. An official European Respiratory Society/American Thoracic Society research statement: interstitial pneumonia with autoimmune features. Europ Respir J. 2015;46(4):976-987.</w:t>
      </w:r>
    </w:p>
    <w:p w:rsidR="00492E33" w:rsidRDefault="00207023" w:rsidP="00492E33">
      <w:r>
        <w:t>124</w:t>
      </w:r>
      <w:r w:rsidR="00492E33">
        <w:t>.</w:t>
      </w:r>
      <w:r w:rsidR="00492E33">
        <w:tab/>
        <w:t>Novikov P, Shchegoleva E, Akulkina L, Bulanov N, Vinogradova E, Moiseev S. Diagnostic pitfalls and treatment challenges in interstitial pneumonia with autoimmune features. Arthritis Rheumatol. 2019;71(4):651-652.</w:t>
      </w:r>
    </w:p>
    <w:p w:rsidR="00492E33" w:rsidRDefault="00207023" w:rsidP="00492E33">
      <w:r>
        <w:t>125</w:t>
      </w:r>
      <w:r w:rsidR="00492E33">
        <w:t>.</w:t>
      </w:r>
      <w:r w:rsidR="00492E33">
        <w:tab/>
        <w:t>Alba MA, Flores-Suárez LF, Henderson AG, et al. Interstital lung disease in ANCA vasculitis. Autoimmun Rev. 2017;16(7):722–729.</w:t>
      </w:r>
    </w:p>
    <w:p w:rsidR="00492E33" w:rsidRDefault="00207023" w:rsidP="00492E33">
      <w:r>
        <w:t>126</w:t>
      </w:r>
      <w:r w:rsidR="00492E33">
        <w:t>.</w:t>
      </w:r>
      <w:r w:rsidR="00492E33">
        <w:tab/>
        <w:t xml:space="preserve">Borie R, Crestani B. Antineutrophil cytoplasmic antibody-associated lung fibrosis. Semin Respir Crit Care Med. 2018;39(4):465-470. </w:t>
      </w:r>
    </w:p>
    <w:p w:rsidR="00492E33" w:rsidRDefault="00207023" w:rsidP="00492E33">
      <w:r>
        <w:t>127</w:t>
      </w:r>
      <w:r w:rsidR="00492E33">
        <w:t>.</w:t>
      </w:r>
      <w:r w:rsidR="00492E33">
        <w:tab/>
        <w:t xml:space="preserve">Thompson GE, Specks U. Update on the management of respiratory manifestations of the antineutrophil cytoplasmic antibodies-associated vasculitides. Clin Chest Med. 2019;40(3):573-582. </w:t>
      </w:r>
    </w:p>
    <w:p w:rsidR="00492E33" w:rsidRDefault="00207023" w:rsidP="00492E33">
      <w:r>
        <w:t>128</w:t>
      </w:r>
      <w:r w:rsidR="00492E33">
        <w:t>.</w:t>
      </w:r>
      <w:r w:rsidR="00492E33">
        <w:tab/>
        <w:t>Yamagata M, Ikeda K, Tsushima K, et al. Prevalence and responsiveness to treatment of lung abnormalities on chest computed tomography in patients with microscopic polyangiitis: A multicenter, longitudinal, retrospective study of one hundred fifty consecutive hospital-based Japanese patients. Arthritis Rheumatol. 2016;68(3):713-723.</w:t>
      </w:r>
    </w:p>
    <w:p w:rsidR="00492E33" w:rsidRDefault="00207023" w:rsidP="00492E33">
      <w:r>
        <w:t>129</w:t>
      </w:r>
      <w:r w:rsidR="00492E33">
        <w:t>.</w:t>
      </w:r>
      <w:r w:rsidR="00492E33">
        <w:tab/>
        <w:t>Arulkumaran N, Periselneris N, Gaskin G, et al. Interstitial lung disease and ANCA-associated vasculitis: a retrospective observational cohort study. Rheumatology (Oxford). 2011;50(11):2035-2043.</w:t>
      </w:r>
    </w:p>
    <w:p w:rsidR="00492E33" w:rsidRDefault="00207023" w:rsidP="00492E33">
      <w:r>
        <w:t>130</w:t>
      </w:r>
      <w:r w:rsidR="00492E33">
        <w:t>.</w:t>
      </w:r>
      <w:r w:rsidR="00492E33">
        <w:tab/>
        <w:t xml:space="preserve">Schirmer JH, Wright MN, Herrmann K, et al. Myeloperoxidase-antineutrophil cytoplasmic antibody (ANCA)-positive granulomatosis with polyangiitis (Wegener's) is a clinically distinct subset of ANCA-associated vasculitis: A retrospective analysis of 315 patients from a German vasculitis referral center. Arthritis Rheumatol. 2016;68(12):2953-2963. </w:t>
      </w:r>
    </w:p>
    <w:p w:rsidR="00492E33" w:rsidRDefault="00207023" w:rsidP="00492E33">
      <w:r>
        <w:t>131</w:t>
      </w:r>
      <w:r w:rsidR="00492E33">
        <w:t>.</w:t>
      </w:r>
      <w:r w:rsidR="00492E33">
        <w:tab/>
        <w:t>Mohammad AJ, Mortensen KH, Babar J, et al.  Pulmonary involvement in antineutrophil cytoplasmic antibodies (ANCA)-associated vasculitis: The influence of ANCA subtype. J Rheumatol. 2017;44(10):1458-1467.</w:t>
      </w:r>
    </w:p>
    <w:p w:rsidR="00492E33" w:rsidRDefault="00207023" w:rsidP="00492E33">
      <w:r>
        <w:t>132</w:t>
      </w:r>
      <w:r w:rsidR="00492E33">
        <w:t>.</w:t>
      </w:r>
      <w:r w:rsidR="00492E33">
        <w:tab/>
        <w:t xml:space="preserve">Sada KE, Yamamura M, Harigai M, et al.; Research Committee on Intractable Vasculitides, the Ministry of Health, Labour and Welfare of Japan. Classification and </w:t>
      </w:r>
      <w:r w:rsidR="00492E33">
        <w:lastRenderedPageBreak/>
        <w:t>characteristics of Japanese patients with antineutrophil cytoplasmic antibody-associated vasculitis in a nationwide, prospective, inception cohort study. Arthritis Res Ther. 2014;16(2):R101.</w:t>
      </w:r>
    </w:p>
    <w:p w:rsidR="00492E33" w:rsidRDefault="00207023" w:rsidP="00492E33">
      <w:r>
        <w:t>133</w:t>
      </w:r>
      <w:r w:rsidR="00492E33">
        <w:t>.</w:t>
      </w:r>
      <w:r w:rsidR="00492E33">
        <w:tab/>
        <w:t>Suzuki A, Sakamoto S, Kurosaki A, et al. Chest high-resolution CT findings of microscopic polyangiitis: A Japanese first nationwide prospective cohort study. Am J Roentgenol. 2019;213:104-114.</w:t>
      </w:r>
    </w:p>
    <w:p w:rsidR="00492E33" w:rsidRDefault="00207023" w:rsidP="00492E33">
      <w:r>
        <w:t>134</w:t>
      </w:r>
      <w:r w:rsidR="00492E33">
        <w:t>.</w:t>
      </w:r>
      <w:r w:rsidR="00492E33">
        <w:tab/>
        <w:t>Kagiyama N, Takayanagi N, Kanauchi T, Ishiguro T, Yanagisawa T, Sugita Y. Antineutrophil cytoplasmic antibody-positive conversion and microscopic polyangiitis development in patients with idiopathic pulmonary fibrosis. BMJ Open Respir Res. 2015;2(1):e000058.</w:t>
      </w:r>
    </w:p>
    <w:p w:rsidR="00492E33" w:rsidRDefault="00207023" w:rsidP="00492E33">
      <w:r>
        <w:t>135</w:t>
      </w:r>
      <w:r w:rsidR="00492E33">
        <w:t>.</w:t>
      </w:r>
      <w:r w:rsidR="00492E33">
        <w:tab/>
        <w:t xml:space="preserve">Liu GY, Ventura IB, Achtar-Zadeh N, et al. Prevalence and clinical significance of antineutrophil cytoplasmic antibodies in North American patients with idiopathic pulmonary fibrosis. Chest. 2019;156(4):715-723. </w:t>
      </w:r>
    </w:p>
    <w:p w:rsidR="00492E33" w:rsidRDefault="00207023" w:rsidP="00492E33">
      <w:r>
        <w:t>136</w:t>
      </w:r>
      <w:r w:rsidR="00492E33">
        <w:t>.</w:t>
      </w:r>
      <w:r w:rsidR="00492E33">
        <w:tab/>
        <w:t>Hozumi H, Oyama Y, Yasui H, et al. Clinical significance of myeloperoxidase-antineutrophil cytoplasmic antibody in idiopathic interstitial pneumonias. PLoS One. 2018;13(6):e0199659.</w:t>
      </w:r>
    </w:p>
    <w:p w:rsidR="00207023" w:rsidRDefault="00207023" w:rsidP="00492E33">
      <w:r>
        <w:t>137</w:t>
      </w:r>
      <w:r w:rsidR="00492E33">
        <w:t>.</w:t>
      </w:r>
      <w:r w:rsidR="00492E33">
        <w:tab/>
        <w:t>Hozumi H, Enomoto N, Oyama Y, et al. Clinical implication of proteinase-3-antineutrophil cytoplasmic antibody in patients with idiopathic interstitial pneumonias. Lung 2016;194(2):235-242.</w:t>
      </w:r>
    </w:p>
    <w:p w:rsidR="00492E33" w:rsidRDefault="00207023" w:rsidP="00492E33">
      <w:r>
        <w:t>138.</w:t>
      </w:r>
      <w:r>
        <w:tab/>
        <w:t>Pinching AJ, Rees AJ, Pussell BA, Lockwood CM, Mitchison RS, Peters DK. Relapses in Wegener's granulomatosis: the role of infection.Br Med J. 1980;281(6244):836-838.</w:t>
      </w:r>
    </w:p>
    <w:p w:rsidR="00492E33" w:rsidRDefault="00207023" w:rsidP="00492E33">
      <w:r>
        <w:t>139</w:t>
      </w:r>
      <w:r w:rsidR="00492E33">
        <w:t>.</w:t>
      </w:r>
      <w:r w:rsidR="00492E33">
        <w:tab/>
        <w:t>Konstantinov KN, Ulff-Møller CJ, Tzamaloukas AH. Infections and antineutrophil cytoplasmic antibodies: triggering mechanisms. Autoimmun Rev. 2015;14(3):201-213.</w:t>
      </w:r>
    </w:p>
    <w:p w:rsidR="00207023" w:rsidRDefault="00207023" w:rsidP="00492E33">
      <w:r>
        <w:t>140</w:t>
      </w:r>
      <w:r w:rsidR="00492E33">
        <w:t>.</w:t>
      </w:r>
      <w:r w:rsidR="00492E33">
        <w:tab/>
        <w:t xml:space="preserve">Chan B, d'Intini V, Savige J. Anti-neutrophil cytoplasmic antibody (ANCA)-associated microscopic polyangiitis following a suppurative wound infection. Nephrol Dial Transplant. 2006;21(10):2993-2994. </w:t>
      </w:r>
    </w:p>
    <w:p w:rsidR="00492E33" w:rsidRDefault="00207023" w:rsidP="00492E33">
      <w:r>
        <w:t>141</w:t>
      </w:r>
      <w:r w:rsidR="00492E33">
        <w:t>.</w:t>
      </w:r>
      <w:r w:rsidR="00492E33">
        <w:tab/>
        <w:t>Savige J, Nassis L, Cooper T, Paspaliaris B, Martinello P, MacGregor D. Antineutrophil cytoplasmic antibody (ANCA)-associated systemic vasculitis after immunisation with bacterial proteins. Clin Exp Rheumatol. 2002;20(6):783-789.</w:t>
      </w:r>
    </w:p>
    <w:p w:rsidR="00492E33" w:rsidRDefault="00207023" w:rsidP="00492E33">
      <w:r>
        <w:lastRenderedPageBreak/>
        <w:t>142</w:t>
      </w:r>
      <w:r w:rsidR="00492E33">
        <w:t>.</w:t>
      </w:r>
      <w:r w:rsidR="00492E33">
        <w:tab/>
        <w:t xml:space="preserve">Popa ER, Stegeman CA, Kallenberg CG, Tervaert JW. Staphylococcus aureus and Wegener's granulomatosis. Arthritis Res. 2002;4(2):77-79. </w:t>
      </w:r>
    </w:p>
    <w:p w:rsidR="00492E33" w:rsidRDefault="00207023" w:rsidP="00492E33">
      <w:r>
        <w:t>143</w:t>
      </w:r>
      <w:r w:rsidR="00492E33">
        <w:t>.</w:t>
      </w:r>
      <w:r w:rsidR="00492E33">
        <w:tab/>
        <w:t xml:space="preserve">Stegeman CA, Tervaert JW, Sluiter WJ, Manson WL, de Jong PE, Kallenberg CG. Association of chronic nasal carriage of </w:t>
      </w:r>
      <w:r w:rsidR="00492E33" w:rsidRPr="00207023">
        <w:rPr>
          <w:i/>
        </w:rPr>
        <w:t>Staphylococcus aureus</w:t>
      </w:r>
      <w:r w:rsidR="00492E33">
        <w:t xml:space="preserve"> and higher relapse rates in Wegener granulomatosis. Ann Intern Med. 1994;120(1):12–17.</w:t>
      </w:r>
    </w:p>
    <w:p w:rsidR="00492E33" w:rsidRDefault="00207023" w:rsidP="00492E33">
      <w:r>
        <w:t>144</w:t>
      </w:r>
      <w:r w:rsidR="00492E33">
        <w:t>.</w:t>
      </w:r>
      <w:r w:rsidR="00492E33">
        <w:tab/>
        <w:t xml:space="preserve">Stegeman CA, Tervaert JW, de Jong PE, Kallenberg CG. Trimethoprim–sulfamethoxazole (co-trimoxazole) for the prevention of relapses of Wegener’s granulomatosis. Dutch Co-Trimoxazole Wegener Study Group. N Engl J Med. 1996;335(1):16–20. </w:t>
      </w:r>
    </w:p>
    <w:p w:rsidR="00492E33" w:rsidRDefault="00207023" w:rsidP="00492E33">
      <w:r>
        <w:t>145</w:t>
      </w:r>
      <w:r w:rsidR="00492E33">
        <w:t>.</w:t>
      </w:r>
      <w:r w:rsidR="00492E33">
        <w:tab/>
        <w:t>Zycinska K, Wardyn KA, Zielonka TM, Krupa R, Lukas W. Co-trimoxazole and prevention of relapses of PR3-ANCA positive vasculitis with pulmonary involvement. Eur J Med Res. 2009;14(Suppl 4):265–267.</w:t>
      </w:r>
    </w:p>
    <w:p w:rsidR="00492E33" w:rsidRDefault="00207023" w:rsidP="00492E33">
      <w:r>
        <w:t>146</w:t>
      </w:r>
      <w:r w:rsidR="00492E33">
        <w:t>.</w:t>
      </w:r>
      <w:r w:rsidR="00492E33">
        <w:tab/>
        <w:t xml:space="preserve">Cohen Tervaert JW. Trimethoprim-sulfamethoxazole and antineutrophil cytoplasmic antibodies-associated vasculitis. Curr Opin Rheumatol. 2018;30(4):388-394. </w:t>
      </w:r>
    </w:p>
    <w:p w:rsidR="00492E33" w:rsidRDefault="00207023" w:rsidP="00492E33">
      <w:r>
        <w:t>147</w:t>
      </w:r>
      <w:r w:rsidR="00492E33">
        <w:t>.</w:t>
      </w:r>
      <w:r w:rsidR="00492E33">
        <w:tab/>
        <w:t xml:space="preserve">Navarta LM, Espul CA, Acosta-Rivero N. High prevalence of a variety of autoantibodies in a population of hepatitis C virus-infected individuals. APMIS. 2018;126(6):515-522. </w:t>
      </w:r>
    </w:p>
    <w:p w:rsidR="00492E33" w:rsidRDefault="00207023" w:rsidP="00492E33">
      <w:r>
        <w:t>148</w:t>
      </w:r>
      <w:r w:rsidR="00492E33">
        <w:t>.</w:t>
      </w:r>
      <w:r w:rsidR="00492E33">
        <w:tab/>
        <w:t>Calhan T, Sahin A, Kahraman R, et al. Antineutrophil cytoplasmic antibody frequency in chronic hepatitis B patients. Dis Markers. 2014;2014:982150.</w:t>
      </w:r>
    </w:p>
    <w:p w:rsidR="00492E33" w:rsidRDefault="00207023" w:rsidP="00492E33">
      <w:r>
        <w:t>149</w:t>
      </w:r>
      <w:r w:rsidR="00492E33">
        <w:t>.</w:t>
      </w:r>
      <w:r w:rsidR="00492E33">
        <w:tab/>
        <w:t xml:space="preserve">Flores-Suárez LF, Cabiedes J, Villa AR, van der Woude FJ, Alcocer-Varela J. Prevalence of antineutrophil cytoplasmic autoantibodies in patients with tuberculosis. Rheumatology (Oxford). 2003;42(2):223-229. </w:t>
      </w:r>
    </w:p>
    <w:p w:rsidR="00492E33" w:rsidRDefault="00207023" w:rsidP="00492E33">
      <w:r>
        <w:t>150</w:t>
      </w:r>
      <w:r w:rsidR="00492E33">
        <w:t>.</w:t>
      </w:r>
      <w:r w:rsidR="00492E33">
        <w:tab/>
        <w:t xml:space="preserve">Lima I, Oliveira RC, Cabral MS, et al. Anti-PR3 and anti-MPO antibodies are not present in sera of patients with pulmonary tuberculosis. Rheumatol Int. 2014;34(9):1231-1234. </w:t>
      </w:r>
    </w:p>
    <w:p w:rsidR="00207023" w:rsidRDefault="00207023" w:rsidP="00492E33">
      <w:r>
        <w:t>151</w:t>
      </w:r>
      <w:r w:rsidR="00492E33">
        <w:t>.</w:t>
      </w:r>
      <w:r w:rsidR="00492E33">
        <w:tab/>
        <w:t>Teixeira L, Mahr A, Jaureguy F, et al. Low seroprevalence and poor specificity of antineutrophil cytoplasmic antibodies in tuberculosis. Rheumatology (Oxford). 2005;44(2):247-250.</w:t>
      </w:r>
    </w:p>
    <w:p w:rsidR="00492E33" w:rsidRDefault="00207023" w:rsidP="00492E33">
      <w:r>
        <w:lastRenderedPageBreak/>
        <w:t>152.</w:t>
      </w:r>
      <w:r>
        <w:tab/>
        <w:t>Pradhan VD, Badakere SS, Ghosh K, Pawar AR. Spectrum of anti-neutrophil cytoplasmic antibodies in patients with pulmonary tuberculosis overlaps with that of Wegener's granulomatosis.Indian J Med Sci. 2004;58(7):283-8.</w:t>
      </w:r>
    </w:p>
    <w:p w:rsidR="00492E33" w:rsidRDefault="00207023" w:rsidP="00492E33">
      <w:r>
        <w:t>153</w:t>
      </w:r>
      <w:r w:rsidR="00492E33">
        <w:t>.</w:t>
      </w:r>
      <w:r w:rsidR="00492E33">
        <w:tab/>
        <w:t xml:space="preserve">Mahr A, Batteux F, Tubiana S, et al.; IMAGE Study Group. Brief report: prevalence of antineutrophil cytoplasmic antibodies in infective endocarditis. Arthritis Rheumatol. 2014;66(6):1672-1677. </w:t>
      </w:r>
    </w:p>
    <w:p w:rsidR="00492E33" w:rsidRDefault="00492E33" w:rsidP="00492E33">
      <w:r>
        <w:t>15</w:t>
      </w:r>
      <w:r w:rsidR="00207023">
        <w:t>4</w:t>
      </w:r>
      <w:r>
        <w:t>.</w:t>
      </w:r>
      <w:r>
        <w:tab/>
        <w:t xml:space="preserve">Ying CM, Yao DT, Ding HH, Yang CD. Infective endocarditis with antineutrophil cytoplasmic antibody: report of 13 cases and literature review. PLoS One. 2014;9(2):e89777. </w:t>
      </w:r>
    </w:p>
    <w:p w:rsidR="00492E33" w:rsidRDefault="00207023" w:rsidP="00492E33">
      <w:r>
        <w:t>155</w:t>
      </w:r>
      <w:r w:rsidR="00492E33">
        <w:t>.</w:t>
      </w:r>
      <w:r w:rsidR="00492E33">
        <w:tab/>
        <w:t>Langlois V, Lesourd A, Girszyn N, et al. Antineutrophil cytoplasmic antibodies associated with infective endocarditis. Medicine (Baltimore). 2016;95(3):e2564.</w:t>
      </w:r>
    </w:p>
    <w:p w:rsidR="00492E33" w:rsidRDefault="00207023" w:rsidP="00492E33">
      <w:r>
        <w:t>156</w:t>
      </w:r>
      <w:r w:rsidR="00492E33">
        <w:t>.</w:t>
      </w:r>
      <w:r w:rsidR="00492E33">
        <w:tab/>
        <w:t xml:space="preserve">Boils CL, Nasr SH, Walker PD, Couser WG, Larsen CP. Update on endocarditis-associated glomerulonephritis. Kidney Int. 2015;87(6):1241-1249. </w:t>
      </w:r>
    </w:p>
    <w:p w:rsidR="00492E33" w:rsidRDefault="00207023" w:rsidP="00492E33">
      <w:r>
        <w:t>157</w:t>
      </w:r>
      <w:r w:rsidR="00492E33">
        <w:t>.</w:t>
      </w:r>
      <w:r w:rsidR="00492E33">
        <w:tab/>
        <w:t>Vercellone J, Cohen L, Mansuri S, Zhang PL, Kellerman PS. Bartonella endocarditis mimicking crescentic glomerulonephritis with PR3-ANCA positivity. Case Rep Nephrol. 2018;2018:9607582.</w:t>
      </w:r>
    </w:p>
    <w:p w:rsidR="00492E33" w:rsidRDefault="00207023" w:rsidP="00492E33">
      <w:r>
        <w:t>158</w:t>
      </w:r>
      <w:r w:rsidR="00492E33">
        <w:t>.</w:t>
      </w:r>
      <w:r w:rsidR="00492E33">
        <w:tab/>
        <w:t>McAdoo SP, Densem C, Salama A, Pusey CD. Bacterial endocarditis associated with proteinase 3 anti-neutrophil cytoplasm antibody NDT Plus. 2011;4(3):208–210.</w:t>
      </w:r>
    </w:p>
    <w:p w:rsidR="00207023" w:rsidRDefault="00207023" w:rsidP="00492E33">
      <w:r>
        <w:t>159</w:t>
      </w:r>
      <w:r w:rsidR="00492E33">
        <w:t>.</w:t>
      </w:r>
      <w:r w:rsidR="00492E33">
        <w:tab/>
        <w:t>Mohandes S, Satoskar A, Hebert L, Ayoub I. Bacterial endocarditis manifesting as autoimmune pulmonary renal syndrome: ANCA-associated lung hemorrhage and pauci-immune crescentic glomerulonephritis. Clin Nephrol. 2018;90(6):431-433.</w:t>
      </w:r>
    </w:p>
    <w:p w:rsidR="00207023" w:rsidRDefault="00207023" w:rsidP="00207023">
      <w:r>
        <w:t>160.</w:t>
      </w:r>
      <w:r>
        <w:tab/>
        <w:t>Cervi A, Kelly D, Alexopoulou I, Khalidi N. ANCA-associated pauci-immune glomerulonephritis in a patient with bacterial endocarditis: a challenging clinical dilemma. Clin Nephrol Case Stud. 2017;5:32-37.</w:t>
      </w:r>
    </w:p>
    <w:p w:rsidR="00492E33" w:rsidRDefault="00207023" w:rsidP="00492E33">
      <w:r>
        <w:t>161.</w:t>
      </w:r>
      <w:r>
        <w:tab/>
        <w:t>Klaassen RJ, Goldschmeding R, Dolman KM, et al. Anti-neutrophil cytoplasmic autoantibodies in patients with symptomatic HIV infection. Clin Exp Immunol. 1992;87(1):24-30.</w:t>
      </w:r>
    </w:p>
    <w:p w:rsidR="00492E33" w:rsidRDefault="00207023" w:rsidP="00492E33">
      <w:r>
        <w:lastRenderedPageBreak/>
        <w:t>162</w:t>
      </w:r>
      <w:r w:rsidR="00492E33">
        <w:t>.</w:t>
      </w:r>
      <w:r w:rsidR="00492E33">
        <w:tab/>
        <w:t xml:space="preserve">Iordache L, Bengoufa D, Taulera O, et al. Nonorgan-specific autoantibodies in HIV-infected patients in the HAART era. Medicine (Baltimore). 2017;96(10):e6230. </w:t>
      </w:r>
    </w:p>
    <w:p w:rsidR="00492E33" w:rsidRDefault="00207023" w:rsidP="00492E33">
      <w:r>
        <w:t>163</w:t>
      </w:r>
      <w:r w:rsidR="00492E33">
        <w:t>.</w:t>
      </w:r>
      <w:r w:rsidR="00492E33">
        <w:tab/>
        <w:t>Birck R, Kaelsch I, Schnuelle P, Flores-Suarez LF, Nowack R. ANCA-associated vasculitis following influenza vaccination: causal association or mere coincidence? J Clin Rheumatol. 2009;15(6):289–291.</w:t>
      </w:r>
    </w:p>
    <w:p w:rsidR="00492E33" w:rsidRDefault="00207023" w:rsidP="00492E33">
      <w:r>
        <w:t>164</w:t>
      </w:r>
      <w:r w:rsidR="00492E33">
        <w:t>.</w:t>
      </w:r>
      <w:r w:rsidR="00492E33">
        <w:tab/>
        <w:t xml:space="preserve">Uji M, Matsushita H, Iwata S. Microscopic polyangiitis after influenza vaccination. Intern Med. 2005;44(8):892–896. </w:t>
      </w:r>
    </w:p>
    <w:p w:rsidR="00207023" w:rsidRDefault="00207023" w:rsidP="00492E33">
      <w:r>
        <w:t>165</w:t>
      </w:r>
      <w:r w:rsidR="00492E33">
        <w:t>.</w:t>
      </w:r>
      <w:r w:rsidR="00492E33">
        <w:tab/>
        <w:t xml:space="preserve">Duggal T, Segal P, Shah M, Carter-Monroe N, Manoharan P, Geetha D. Antineutrophil cytoplasmic antibody vasculitis associated with influenza vaccination. Am J Nephrol. 2013;38(2):174–178. </w:t>
      </w:r>
    </w:p>
    <w:p w:rsidR="00207023" w:rsidRDefault="00207023" w:rsidP="00492E33">
      <w:r>
        <w:t>166</w:t>
      </w:r>
      <w:r w:rsidR="00492E33">
        <w:t>.</w:t>
      </w:r>
      <w:r w:rsidR="00492E33">
        <w:tab/>
        <w:t>Jolly US, Shih A, Moist L, Clark W, Gabril M. Influenza A H1N1, microscopic polyangiitis and pulmonary haemorrhage. Nephrology (Carlton). 2010;15(8):781.</w:t>
      </w:r>
    </w:p>
    <w:p w:rsidR="00492E33" w:rsidRDefault="00207023" w:rsidP="00492E33">
      <w:r>
        <w:t>167.</w:t>
      </w:r>
      <w:r>
        <w:tab/>
        <w:t xml:space="preserve">Spaetgens B, van Paassen P, Cohen Tervaert JW. </w:t>
      </w:r>
      <w:r w:rsidRPr="00207023">
        <w:t>Influenza vaccination in ANCA-associated vasculitis</w:t>
      </w:r>
      <w:r>
        <w:t>. Nephrol Dial Transplant 2009;24:</w:t>
      </w:r>
      <w:r w:rsidRPr="00207023">
        <w:t>3258</w:t>
      </w:r>
      <w:r>
        <w:t>.</w:t>
      </w:r>
    </w:p>
    <w:p w:rsidR="00492E33" w:rsidRDefault="00207023" w:rsidP="00492E33">
      <w:r>
        <w:t>168</w:t>
      </w:r>
      <w:r w:rsidR="00492E33">
        <w:t>.</w:t>
      </w:r>
      <w:r w:rsidR="00492E33">
        <w:tab/>
        <w:t>Jeffs LS, Nitschke J, Tervaert JWC, Peh CA, Hurtado PR. Viral RNA in the influenza vaccine may have contributed to the development of ANCA-associated vasculitis in a patient following immunisation. Clin Rheumatol. 2015;35(4):943-951.</w:t>
      </w:r>
    </w:p>
    <w:p w:rsidR="00492E33" w:rsidRDefault="00207023" w:rsidP="00492E33">
      <w:r>
        <w:t>169</w:t>
      </w:r>
      <w:r w:rsidR="00492E33">
        <w:t>.</w:t>
      </w:r>
      <w:r w:rsidR="00492E33">
        <w:tab/>
        <w:t>Watad A, Quaresma M, Bragazzi NL, et al. The autoimmune/inflammatory syndrome induced by adjuvants (ASIA)/Shoenfeld's syndrome: descriptive analysis of 300 patients from the international ASIA syndrome registry. Clin Rheumatol. 2018;37(2):483-493.</w:t>
      </w:r>
    </w:p>
    <w:p w:rsidR="00492E33" w:rsidRDefault="00207023" w:rsidP="00492E33">
      <w:r>
        <w:t>170</w:t>
      </w:r>
      <w:r w:rsidR="00492E33">
        <w:t>.</w:t>
      </w:r>
      <w:r w:rsidR="00492E33">
        <w:tab/>
        <w:t>Shang W, Ning Y, Xu X, et al. Incidence of cancer in ANCA-associated vasculitis: a meta-analysis of observational studies. PLoS One. 2015;10(5):e0126016.</w:t>
      </w:r>
    </w:p>
    <w:p w:rsidR="00492E33" w:rsidRDefault="00207023" w:rsidP="00492E33">
      <w:r>
        <w:t>171</w:t>
      </w:r>
      <w:r w:rsidR="00492E33">
        <w:t>.</w:t>
      </w:r>
      <w:r w:rsidR="00492E33">
        <w:tab/>
        <w:t>Wester Trejo MAC, Bajema IM, van Daalen EE. Antineutrophil cytoplasmic antibody-associated vasculitis and malignancy. Curr Opin Rheumatol. 2018;30(1):44-49.</w:t>
      </w:r>
    </w:p>
    <w:p w:rsidR="00492E33" w:rsidRDefault="00207023" w:rsidP="00492E33">
      <w:r>
        <w:t>172</w:t>
      </w:r>
      <w:r w:rsidR="00492E33">
        <w:t>.</w:t>
      </w:r>
      <w:r w:rsidR="00492E33">
        <w:tab/>
        <w:t>Pankhurst T, Savage CO, Gordon C, Harper L. Malignancy is increased in ANCA-associated vasculitis. Rheumatology (Oxford). 2004;43(12):1532-1535.</w:t>
      </w:r>
    </w:p>
    <w:p w:rsidR="00492E33" w:rsidRDefault="00207023" w:rsidP="00492E33">
      <w:r>
        <w:lastRenderedPageBreak/>
        <w:t>173</w:t>
      </w:r>
      <w:r w:rsidR="00492E33">
        <w:t>.</w:t>
      </w:r>
      <w:r w:rsidR="00492E33">
        <w:tab/>
        <w:t>Tatsis E, Reinhold-Keller E, Steindorf K, Feller AC, Gross WL. Wegener's granulomatosis associated with renal cell carcinoma. Arthritis Rheum. 1999;42(4):751-756.</w:t>
      </w:r>
    </w:p>
    <w:p w:rsidR="00492E33" w:rsidRDefault="00207023" w:rsidP="00492E33">
      <w:r>
        <w:t>174</w:t>
      </w:r>
      <w:r w:rsidR="00492E33">
        <w:t>.</w:t>
      </w:r>
      <w:r w:rsidR="00492E33">
        <w:tab/>
        <w:t>van Daalen EE, Rahmattulla C, Wolterbeek R, Bruijn JA, Bajema IM. Incidence of malignancy prior to antineutrophil cytoplasmic antibody-associated vasculitis compared to the general population. J Rheumatol. 2017;44(3):314-318.</w:t>
      </w:r>
    </w:p>
    <w:p w:rsidR="00492E33" w:rsidRDefault="00207023" w:rsidP="00492E33">
      <w:r>
        <w:t>175</w:t>
      </w:r>
      <w:r w:rsidR="00492E33">
        <w:t>.</w:t>
      </w:r>
      <w:r w:rsidR="00492E33">
        <w:tab/>
        <w:t xml:space="preserve">Philipponnet C, Garrouste C, Le GG, et al. Antineutrophilic cytoplasmic antibody-associated vasculitis and malignant hemopathies, a retrospective study of 16 cases. Joint Bone Spine. 2017;84(1):51–57. </w:t>
      </w:r>
    </w:p>
    <w:p w:rsidR="00492E33" w:rsidRDefault="00207023" w:rsidP="00492E33">
      <w:r>
        <w:t>176</w:t>
      </w:r>
      <w:r w:rsidR="00492E33">
        <w:t>.</w:t>
      </w:r>
      <w:r w:rsidR="00492E33">
        <w:tab/>
        <w:t>Fain O, Hamidou M, Cacoub P, et al. Vasculitides associated with malignancies: analysis of sixty patients. Arthritis Rheum. 2007;57(8):1473-1480.</w:t>
      </w:r>
    </w:p>
    <w:p w:rsidR="00492E33" w:rsidRDefault="00207023" w:rsidP="00492E33">
      <w:r>
        <w:t>177</w:t>
      </w:r>
      <w:r w:rsidR="00492E33">
        <w:t>.</w:t>
      </w:r>
      <w:r w:rsidR="00492E33">
        <w:tab/>
        <w:t>Savige JA, Chang L, Smith CL, Duggan JC. Anti-neutrophil cytoplasmic antibodies (ANCA) in myelodysplasia and other haematological disorders. Aust N Z J Med. 1994;24(3):282-287.</w:t>
      </w:r>
    </w:p>
    <w:p w:rsidR="00492E33" w:rsidRDefault="00207023" w:rsidP="00492E33">
      <w:r>
        <w:t>178</w:t>
      </w:r>
      <w:r w:rsidR="00492E33">
        <w:t>.</w:t>
      </w:r>
      <w:r w:rsidR="00492E33">
        <w:tab/>
        <w:t>Folci M, Ramponi G, Shiffer D, Zumbo A, Agosti M, Brunetta E. ANCA-associated vasculitides and hematologic malignancies: lessons from the past and future perspectives. J Immunol Res. 2019;2019:1732175.</w:t>
      </w:r>
    </w:p>
    <w:p w:rsidR="00492E33" w:rsidRDefault="00207023" w:rsidP="00492E33">
      <w:r>
        <w:t>179</w:t>
      </w:r>
      <w:r w:rsidR="00492E33">
        <w:t>.</w:t>
      </w:r>
      <w:r w:rsidR="00492E33">
        <w:tab/>
        <w:t>van der Geld YM, Limburg PC, Kallenberg CG. Proteinase 3, Wegener's autoantigen: from gene to antigen. J Leukoc Biol. 2001;69(2):177-190.</w:t>
      </w:r>
    </w:p>
    <w:p w:rsidR="00492E33" w:rsidRDefault="00207023" w:rsidP="00492E33">
      <w:r>
        <w:t>180</w:t>
      </w:r>
      <w:r w:rsidR="00492E33">
        <w:t>.</w:t>
      </w:r>
      <w:r w:rsidR="00492E33">
        <w:tab/>
        <w:t xml:space="preserve">Dengler R, Münstermann U, Al-Batran S, et al. Immuno-cytochemical and flow cytometric detection of proteinase 3 (myeloblastin) in normal and leukaemic myeloid cells. Br J Haematol 1995;89(2):250–257. </w:t>
      </w:r>
    </w:p>
    <w:p w:rsidR="00492E33" w:rsidRDefault="00207023" w:rsidP="00492E33">
      <w:r>
        <w:t>181</w:t>
      </w:r>
      <w:r w:rsidR="00492E33">
        <w:t>.</w:t>
      </w:r>
      <w:r w:rsidR="00492E33">
        <w:tab/>
        <w:t>Molldrem JJ, Lee PP, Kant S, et al. Chronic myelogenous leukemia shapes host immunity by selective deletion of high-avidity leukemia-specific T cells. J Clin Invest. 2003;111(5):639-647.</w:t>
      </w:r>
    </w:p>
    <w:p w:rsidR="00492E33" w:rsidRDefault="00207023" w:rsidP="00492E33">
      <w:r>
        <w:t>182.</w:t>
      </w:r>
      <w:r w:rsidR="00492E33">
        <w:tab/>
        <w:t>McAdoo SP, Hall A, Levy J, Salama AD, Pusey CD. Proteinase-3 antineutrophil cytoplasm antibody positivity in patients without primary systemic vasculitis. J Clin Rheumatol. 2012;18(7):336-340.</w:t>
      </w:r>
    </w:p>
    <w:p w:rsidR="00492E33" w:rsidRDefault="00207023" w:rsidP="00492E33">
      <w:r>
        <w:t>183</w:t>
      </w:r>
      <w:r w:rsidR="00492E33">
        <w:t>.</w:t>
      </w:r>
      <w:r w:rsidR="00492E33">
        <w:tab/>
        <w:t>Houben E, Bax WA, van Dam B, et al. Diagnosing ANCA-associated vasculitis in ANCA positive patients: A retrospective analysis on the role of clinical symptoms and the ANCA titre. Medicine (Baltimore). 2016;95(40):e5096.</w:t>
      </w:r>
    </w:p>
    <w:p w:rsidR="00492E33" w:rsidRDefault="00207023" w:rsidP="00492E33">
      <w:r>
        <w:lastRenderedPageBreak/>
        <w:t>184</w:t>
      </w:r>
      <w:r w:rsidR="00492E33">
        <w:t>.</w:t>
      </w:r>
      <w:r w:rsidR="00492E33">
        <w:tab/>
        <w:t>Cil T, Altintas A, Isikdogan A, Batun S. Prevalence of antineutrophil cytoplasmic antibody positivity in patients with Hodgkin's and non-Hodgkin lymphoma: a single center experience. Int J Hematol. 2009;90(1):52-57.</w:t>
      </w:r>
    </w:p>
    <w:p w:rsidR="00492E33" w:rsidRDefault="00207023" w:rsidP="00492E33">
      <w:r>
        <w:t>185</w:t>
      </w:r>
      <w:r w:rsidR="00492E33">
        <w:t>.</w:t>
      </w:r>
      <w:r w:rsidR="00492E33">
        <w:tab/>
        <w:t>Shinkawa Y, Hatachi S, Yagita M. Intravascular large B-cell lymphoma with a high titer of proteinase-3-anti-neutrophil cytoplasmic antibody mimicking granulomatosis with polyangiitis. Mod Rheumatol. 2019;29(1):195-197.</w:t>
      </w:r>
    </w:p>
    <w:p w:rsidR="00492E33" w:rsidRDefault="00207023" w:rsidP="00492E33">
      <w:r>
        <w:t>186</w:t>
      </w:r>
      <w:r w:rsidR="00492E33">
        <w:t>.</w:t>
      </w:r>
      <w:r w:rsidR="00492E33">
        <w:tab/>
        <w:t xml:space="preserve">Muto G, Takahashi Y, Yamashita H, Mimori A. A patient with intravascular lymphoma presenting with cerebral infarction and a high serum MPO-ANCA level. Mod Rheumatol. 2011;21(2):207-210. </w:t>
      </w:r>
    </w:p>
    <w:p w:rsidR="00492E33" w:rsidRDefault="00207023" w:rsidP="00492E33">
      <w:r>
        <w:t>187</w:t>
      </w:r>
      <w:r w:rsidR="00492E33">
        <w:t>.</w:t>
      </w:r>
      <w:r w:rsidR="00492E33">
        <w:tab/>
        <w:t>Shirai T, Takahashi R, Tajima Y, et al. Peripheral T cell lymphoma with a high titer of proteinase-3-antineutrophil cytoplasmic antibodies that resembled Wegener's granulomatosis. Intern Med. 2009;48(23):2041-2045.</w:t>
      </w:r>
    </w:p>
    <w:p w:rsidR="00492E33" w:rsidRDefault="00207023" w:rsidP="00492E33">
      <w:r>
        <w:t>188</w:t>
      </w:r>
      <w:r w:rsidR="00492E33">
        <w:t>.</w:t>
      </w:r>
      <w:r w:rsidR="00492E33">
        <w:tab/>
        <w:t>Gao Y, Chen M, Ye H, Yu F, Guo XH, Zhao MH. Long-term outcomes of patients with propylthiouracil-induced anti-neutrophil cytoplasmic auto-antibody-associated vasculitis. Rheumatology (Oxford). 2008;47(10):1515-1520.</w:t>
      </w:r>
    </w:p>
    <w:p w:rsidR="00492E33" w:rsidRDefault="00207023" w:rsidP="00492E33">
      <w:r>
        <w:t>189</w:t>
      </w:r>
      <w:r w:rsidR="00492E33">
        <w:t>.</w:t>
      </w:r>
      <w:r w:rsidR="00492E33">
        <w:tab/>
        <w:t xml:space="preserve">Gao Y, Zhao M-H. Review article: Drug-induced anti-neutrophil cytoplasmic antibody-associated vasculitis. Nephrology 2009;14(1):33–41. </w:t>
      </w:r>
    </w:p>
    <w:p w:rsidR="00492E33" w:rsidRDefault="00207023" w:rsidP="00492E33">
      <w:r>
        <w:t>190</w:t>
      </w:r>
      <w:r w:rsidR="00492E33">
        <w:t>.</w:t>
      </w:r>
      <w:r w:rsidR="00492E33">
        <w:tab/>
        <w:t xml:space="preserve">Csernok E, Lamprecht P, Gross WL. Clinical and immunological features of drug-induced and infection-induced proteinase 3-antineutrophil cytoplasmic antibodies and myeloperoxidase-antineutrophil cytoplasmic antibodies and vasculitis. Curr Opin Rheumatol. 2010;22(1):43-48. </w:t>
      </w:r>
    </w:p>
    <w:p w:rsidR="00492E33" w:rsidRDefault="00207023" w:rsidP="00492E33">
      <w:r>
        <w:t>191</w:t>
      </w:r>
      <w:r w:rsidR="00492E33">
        <w:t>.</w:t>
      </w:r>
      <w:r w:rsidR="00492E33">
        <w:tab/>
        <w:t>Chen M, Gao Y, Guo XH, Zhao MH. Propylthiouracil-induced antineutrophil cytoplasmic antibody-associated vasculitis. Nat Rev Nephrol. 2012;8(8):476-483.</w:t>
      </w:r>
    </w:p>
    <w:p w:rsidR="00492E33" w:rsidRDefault="00207023" w:rsidP="00492E33">
      <w:r>
        <w:t>192</w:t>
      </w:r>
      <w:r w:rsidR="00492E33">
        <w:t>.</w:t>
      </w:r>
      <w:r w:rsidR="00492E33">
        <w:tab/>
        <w:t xml:space="preserve">Ji G, Zeng X, Sandford AJ, He JQ. Rifampicin-induced antineutrophil cytoplasmic antibody-positive vasculitis: a case report and review of the literature. Int J Clin Pharmacol Ther. 2016;54(10):804-807. </w:t>
      </w:r>
    </w:p>
    <w:p w:rsidR="00492E33" w:rsidRDefault="00207023" w:rsidP="00492E33">
      <w:r>
        <w:t>193</w:t>
      </w:r>
      <w:r w:rsidR="00492E33">
        <w:t>.</w:t>
      </w:r>
      <w:r w:rsidR="00492E33">
        <w:tab/>
        <w:t xml:space="preserve">Pendergraft WF, Niles JL. Trojan horses: drug culprits associated with antineutrophil cytoplasmic autoantibody (ANCA) vasculitis. Curr Opin Rheumatol. 2014;26(1):42–49. </w:t>
      </w:r>
    </w:p>
    <w:p w:rsidR="00492E33" w:rsidRDefault="00207023" w:rsidP="00492E33">
      <w:r>
        <w:lastRenderedPageBreak/>
        <w:t>194</w:t>
      </w:r>
      <w:r w:rsidR="00492E33">
        <w:t>.</w:t>
      </w:r>
      <w:r w:rsidR="00492E33">
        <w:tab/>
        <w:t>Kumar B, Strouse J, Swee M, Lenert P, Suneja M. Hydralazine-associated vasculitis: Overlapping features of drug-induced lupus and vasculitis. Semin Arthritis Rheum. 2018;48(2):283-287.</w:t>
      </w:r>
    </w:p>
    <w:p w:rsidR="00492E33" w:rsidRDefault="00207023" w:rsidP="00492E33">
      <w:r>
        <w:t>195</w:t>
      </w:r>
      <w:r w:rsidR="00492E33">
        <w:t>.</w:t>
      </w:r>
      <w:r w:rsidR="00492E33">
        <w:tab/>
        <w:t>Gutiérrez-González LA. Biological therapy-induced systemic vasculitis. Curr Rheumatol Rep. 2016;18(7):39.</w:t>
      </w:r>
    </w:p>
    <w:p w:rsidR="00492E33" w:rsidRDefault="00207023" w:rsidP="00492E33">
      <w:r>
        <w:t>196</w:t>
      </w:r>
      <w:r w:rsidR="00492E33">
        <w:t>.</w:t>
      </w:r>
      <w:r w:rsidR="00492E33">
        <w:tab/>
        <w:t xml:space="preserve">Cohen Tervaert JW, Ye C, Yacyshyn E. Adverse events associated with immune checkpoint blockade. N Engl J Med. 2018;378(12):1164-1165. </w:t>
      </w:r>
    </w:p>
    <w:p w:rsidR="00492E33" w:rsidRDefault="00207023" w:rsidP="00492E33">
      <w:r>
        <w:t>197</w:t>
      </w:r>
      <w:r w:rsidR="00492E33">
        <w:t>.</w:t>
      </w:r>
      <w:r w:rsidR="00492E33">
        <w:tab/>
        <w:t>Balavoine AS, Glinoer D, Dubucquoi S, Wémeau JL. Antineutrophil cytoplasmic antibody-positive small-vessel vasculitis associated with antithyroid drug therapy: how significant is the clinical problem? Thyroid. 2015(12);25:1273-1281.</w:t>
      </w:r>
    </w:p>
    <w:p w:rsidR="00492E33" w:rsidRDefault="00207023" w:rsidP="00492E33">
      <w:r>
        <w:t>198</w:t>
      </w:r>
      <w:r w:rsidR="00492E33">
        <w:t>.</w:t>
      </w:r>
      <w:r w:rsidR="00492E33">
        <w:tab/>
        <w:t>Slot MC, Links TP, Stegeman CA, Tervaert JW. Occurrence of antineutrophil cytoplasmic antibodies and associated vasculitis in patients with hyperthyroidism treated with antithyroid drugs: A long-term followup study. Arthritis Rheum. 2005;53(1):108-113.</w:t>
      </w:r>
    </w:p>
    <w:p w:rsidR="00492E33" w:rsidRDefault="00207023" w:rsidP="00492E33">
      <w:r>
        <w:t>199</w:t>
      </w:r>
      <w:r w:rsidR="00492E33">
        <w:t>.</w:t>
      </w:r>
      <w:r w:rsidR="00492E33">
        <w:tab/>
        <w:t>Wiesner O, Russell KA, Lee AS, et al. Antineutrophil cytoplasmic antibodies reacting with human neutrophil elastase as a diagnostic marker for cocaine-induced midline destructive lesions but not autoimmune vasculitis. Arthritis Rheum. 2004;50(9):2954-2965.</w:t>
      </w:r>
    </w:p>
    <w:p w:rsidR="00492E33" w:rsidRDefault="00207023" w:rsidP="00492E33">
      <w:r>
        <w:t>200</w:t>
      </w:r>
      <w:r w:rsidR="00492E33">
        <w:t>.</w:t>
      </w:r>
      <w:r w:rsidR="00492E33">
        <w:tab/>
        <w:t xml:space="preserve">Zhang J, Zhang HY, Chen SZ, Huang JY. Anti-neutrophil cytoplasmic antibodies in cholesterol embolism: A case report and literature review. Exp Ther Med. 2016;12(2):1012-1018. </w:t>
      </w:r>
    </w:p>
    <w:p w:rsidR="00492E33" w:rsidRDefault="00207023" w:rsidP="00492E33">
      <w:r>
        <w:t>201</w:t>
      </w:r>
      <w:r w:rsidR="00492E33">
        <w:t>.</w:t>
      </w:r>
      <w:r w:rsidR="00492E33">
        <w:tab/>
        <w:t>Delen S, Boonen A, Landewé R, Kroon AA, van der Linden S, Tervaert JW. An unusual case of ANCA positive disease. Ann Rheum Dis. 2003;62(8):770–781.</w:t>
      </w:r>
    </w:p>
    <w:p w:rsidR="00492E33" w:rsidRDefault="00207023" w:rsidP="00492E33">
      <w:r>
        <w:t>202</w:t>
      </w:r>
      <w:r w:rsidR="00492E33">
        <w:t>.</w:t>
      </w:r>
      <w:r w:rsidR="00492E33">
        <w:tab/>
        <w:t>Minota S. ANCA in atheroembolism; just a coincidence or bearing cause and effect? Intern Med. 2006;45(8):495-496.</w:t>
      </w:r>
    </w:p>
    <w:p w:rsidR="00492E33" w:rsidRDefault="00207023" w:rsidP="00492E33">
      <w:r>
        <w:t>203</w:t>
      </w:r>
      <w:r w:rsidR="00492E33">
        <w:t>.</w:t>
      </w:r>
      <w:r w:rsidR="00492E33">
        <w:tab/>
        <w:t>van  Haelst PL, Asselbergs FW, van  Doormaal JJ, et al. Antineutrophil cytoplasmatic  antibodies  in  patients  with  premature  atherosclerosis: Prevalence and association with risk factors. J Intern Med. 2002;251(1):29-34.</w:t>
      </w:r>
    </w:p>
    <w:p w:rsidR="00492E33" w:rsidRDefault="00207023" w:rsidP="00492E33">
      <w:r>
        <w:t>204</w:t>
      </w:r>
      <w:r w:rsidR="00492E33">
        <w:t>.</w:t>
      </w:r>
      <w:r w:rsidR="00492E33">
        <w:tab/>
        <w:t xml:space="preserve">Iwuji K, Larumbe-Zabala E, Bijlani S, et al. Prevalence of bactericidal/permeability-increasing protein autoantibodies in cystic fibrosis patients: </w:t>
      </w:r>
      <w:r w:rsidR="00492E33">
        <w:lastRenderedPageBreak/>
        <w:t xml:space="preserve">Systematic review and meta-analysis. Pediatr Allergy Immunol Pulmonol. 2019;32(2):45-51. </w:t>
      </w:r>
    </w:p>
    <w:p w:rsidR="00492E33" w:rsidRDefault="00207023" w:rsidP="00492E33">
      <w:r>
        <w:t>205</w:t>
      </w:r>
      <w:r w:rsidR="00492E33">
        <w:t>.</w:t>
      </w:r>
      <w:r w:rsidR="00492E33">
        <w:tab/>
        <w:t xml:space="preserve">Zhao MH, Jayne DR, Ardiles LG, Culley F, Hodson ME, Lockwood CM. Autoantibodies against bactericidal/permeability-increasing protein in patients with cystic fibrosis. QJM 1996;89(4):259–265. </w:t>
      </w:r>
    </w:p>
    <w:p w:rsidR="00492E33" w:rsidRDefault="00207023" w:rsidP="00492E33">
      <w:r>
        <w:t>206</w:t>
      </w:r>
      <w:r w:rsidR="00492E33">
        <w:t>.</w:t>
      </w:r>
      <w:r w:rsidR="00492E33">
        <w:tab/>
        <w:t xml:space="preserve">Carlsson M, Eriksson L, Pressler T, et al. Autoantibody response to BPI predict disease severity and outcome in cystic fibrosis. J Cyst Fibros 2007;6(3):228–233. </w:t>
      </w:r>
    </w:p>
    <w:p w:rsidR="00492E33" w:rsidRDefault="00207023" w:rsidP="00492E33">
      <w:r>
        <w:t>207</w:t>
      </w:r>
      <w:r w:rsidR="00492E33">
        <w:t>.</w:t>
      </w:r>
      <w:r w:rsidR="00492E33">
        <w:tab/>
        <w:t>Cooper T, Savige J, Nassis L, et al. Clinical associations and characterisation of antineutrophil cytoplasmic antibodies directed against bactericidal/permeability-increasing protein and azurocidin. Rheumatol Int 2000;19(4):129-136.</w:t>
      </w:r>
    </w:p>
    <w:p w:rsidR="00492E33" w:rsidRDefault="00492E33" w:rsidP="00492E33">
      <w:r>
        <w:t>2</w:t>
      </w:r>
      <w:r w:rsidR="00207023">
        <w:t>08</w:t>
      </w:r>
      <w:r>
        <w:t>.</w:t>
      </w:r>
      <w:r>
        <w:tab/>
        <w:t>Rednic S, Damian L, Talarico R, et al. Relapsing polychondritis: state of the art on clinical practice guidelines. RMD Open. 2018;4(Suppl 1):e000788.</w:t>
      </w:r>
    </w:p>
    <w:p w:rsidR="00207023" w:rsidRDefault="00207023" w:rsidP="00492E33">
      <w:r>
        <w:t>209.</w:t>
      </w:r>
      <w:r>
        <w:tab/>
        <w:t xml:space="preserve">Della-Torre E, Lanzillotta M, Campochiaro C, et al. Antineutrophil cytoplasmic antibody positivity in IgG4-related disease: A case report and review of the literature. Medicine (Baltimore). 2016;95(34):e4633. </w:t>
      </w:r>
    </w:p>
    <w:p w:rsidR="00207023" w:rsidRDefault="00207023" w:rsidP="00207023">
      <w:r>
        <w:t>210.</w:t>
      </w:r>
      <w:r>
        <w:tab/>
        <w:t xml:space="preserve">Erden A, Bolek EC, Yardimci KG, Kilic L, Bilgen SA, Karadag O. Do ANCA-associated vasculitides and IgG4-related disease really overlap or not? Int J Rheum Dis. 2019;22(10):1926-1932. </w:t>
      </w:r>
    </w:p>
    <w:p w:rsidR="00207023" w:rsidRDefault="00207023" w:rsidP="00207023"/>
    <w:p w:rsidR="002E3AF8" w:rsidRPr="006E2281" w:rsidRDefault="002E3AF8" w:rsidP="006E2281">
      <w:pPr>
        <w:ind w:left="360"/>
        <w:rPr>
          <w:rFonts w:asciiTheme="minorHAnsi" w:hAnsiTheme="minorHAnsi"/>
          <w:color w:val="000000" w:themeColor="text1"/>
        </w:rPr>
      </w:pPr>
    </w:p>
    <w:sectPr w:rsidR="002E3AF8" w:rsidRPr="006E2281" w:rsidSect="00246E8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604020202020204"/>
    <w:charset w:val="00"/>
    <w:family w:val="swiss"/>
    <w:pitch w:val="variable"/>
    <w:sig w:usb0="E10022FF" w:usb1="C000E47F" w:usb2="00000029" w:usb3="00000000" w:csb0="000001DF" w:csb1="00000000"/>
  </w:font>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895DF7"/>
    <w:multiLevelType w:val="hybridMultilevel"/>
    <w:tmpl w:val="36CC81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5C4A86"/>
    <w:multiLevelType w:val="hybridMultilevel"/>
    <w:tmpl w:val="D93A245E"/>
    <w:lvl w:ilvl="0" w:tplc="27B6E9DA">
      <w:start w:val="65"/>
      <w:numFmt w:val="bullet"/>
      <w:lvlText w:val="-"/>
      <w:lvlJc w:val="left"/>
      <w:pPr>
        <w:ind w:left="360" w:hanging="360"/>
      </w:pPr>
      <w:rPr>
        <w:rFonts w:ascii="Times New Roman" w:eastAsiaTheme="minorHAnsi" w:hAnsi="Times New Roman" w:cstheme="minorBid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6A509D6"/>
    <w:multiLevelType w:val="hybridMultilevel"/>
    <w:tmpl w:val="707A5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EE1729"/>
    <w:multiLevelType w:val="hybridMultilevel"/>
    <w:tmpl w:val="7A3CD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987C53"/>
    <w:multiLevelType w:val="hybridMultilevel"/>
    <w:tmpl w:val="7A06D4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ctiveWritingStyle w:appName="MSWord" w:lang="fr-BE" w:vendorID="64" w:dllVersion="6" w:nlCheck="1" w:checkStyle="0"/>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72D"/>
    <w:rsid w:val="000008D0"/>
    <w:rsid w:val="0000272C"/>
    <w:rsid w:val="000042AA"/>
    <w:rsid w:val="0000669E"/>
    <w:rsid w:val="000342D9"/>
    <w:rsid w:val="000453A1"/>
    <w:rsid w:val="0005440B"/>
    <w:rsid w:val="00055D1E"/>
    <w:rsid w:val="000630DC"/>
    <w:rsid w:val="00075734"/>
    <w:rsid w:val="000810A7"/>
    <w:rsid w:val="000B6375"/>
    <w:rsid w:val="000D4BE6"/>
    <w:rsid w:val="000E105B"/>
    <w:rsid w:val="000E42F2"/>
    <w:rsid w:val="000F4A0D"/>
    <w:rsid w:val="0014156C"/>
    <w:rsid w:val="00184AA5"/>
    <w:rsid w:val="001A2ECA"/>
    <w:rsid w:val="001B0322"/>
    <w:rsid w:val="001B0706"/>
    <w:rsid w:val="001C4EDB"/>
    <w:rsid w:val="001D13A5"/>
    <w:rsid w:val="001E082C"/>
    <w:rsid w:val="002050F0"/>
    <w:rsid w:val="00207023"/>
    <w:rsid w:val="00223616"/>
    <w:rsid w:val="00227F2D"/>
    <w:rsid w:val="0023111E"/>
    <w:rsid w:val="00244D45"/>
    <w:rsid w:val="00246E8C"/>
    <w:rsid w:val="00260F96"/>
    <w:rsid w:val="002712A8"/>
    <w:rsid w:val="00273675"/>
    <w:rsid w:val="00280043"/>
    <w:rsid w:val="002A032D"/>
    <w:rsid w:val="002A5CCB"/>
    <w:rsid w:val="002A6566"/>
    <w:rsid w:val="002C2EA5"/>
    <w:rsid w:val="002E3AF8"/>
    <w:rsid w:val="002E754A"/>
    <w:rsid w:val="002F7558"/>
    <w:rsid w:val="00317D11"/>
    <w:rsid w:val="0032318D"/>
    <w:rsid w:val="00325139"/>
    <w:rsid w:val="00326DA4"/>
    <w:rsid w:val="00330A55"/>
    <w:rsid w:val="003337AE"/>
    <w:rsid w:val="00335093"/>
    <w:rsid w:val="0033648C"/>
    <w:rsid w:val="003439D8"/>
    <w:rsid w:val="0035139B"/>
    <w:rsid w:val="00370E43"/>
    <w:rsid w:val="003805F0"/>
    <w:rsid w:val="003870B9"/>
    <w:rsid w:val="0039225A"/>
    <w:rsid w:val="00396066"/>
    <w:rsid w:val="00397EA1"/>
    <w:rsid w:val="003B3846"/>
    <w:rsid w:val="003B3851"/>
    <w:rsid w:val="003D21F5"/>
    <w:rsid w:val="003E158D"/>
    <w:rsid w:val="00403CD3"/>
    <w:rsid w:val="0040691F"/>
    <w:rsid w:val="00413B66"/>
    <w:rsid w:val="00416811"/>
    <w:rsid w:val="0041730A"/>
    <w:rsid w:val="0042143D"/>
    <w:rsid w:val="00424D7B"/>
    <w:rsid w:val="00446210"/>
    <w:rsid w:val="00451179"/>
    <w:rsid w:val="0047689C"/>
    <w:rsid w:val="00486F41"/>
    <w:rsid w:val="00492E33"/>
    <w:rsid w:val="004A03D1"/>
    <w:rsid w:val="004A0477"/>
    <w:rsid w:val="004A3CFF"/>
    <w:rsid w:val="004B1BBC"/>
    <w:rsid w:val="004B5408"/>
    <w:rsid w:val="004C77E3"/>
    <w:rsid w:val="004D39D5"/>
    <w:rsid w:val="004E6361"/>
    <w:rsid w:val="004F7B8A"/>
    <w:rsid w:val="00505A0E"/>
    <w:rsid w:val="00507C71"/>
    <w:rsid w:val="0052050D"/>
    <w:rsid w:val="00521A1B"/>
    <w:rsid w:val="005519AC"/>
    <w:rsid w:val="00597F95"/>
    <w:rsid w:val="005A3B55"/>
    <w:rsid w:val="005A772D"/>
    <w:rsid w:val="005B15C5"/>
    <w:rsid w:val="005C1E83"/>
    <w:rsid w:val="005C52DB"/>
    <w:rsid w:val="005D4ED6"/>
    <w:rsid w:val="005E09C3"/>
    <w:rsid w:val="005E32B0"/>
    <w:rsid w:val="005F34CC"/>
    <w:rsid w:val="005F6133"/>
    <w:rsid w:val="00606A61"/>
    <w:rsid w:val="006070AE"/>
    <w:rsid w:val="006176C2"/>
    <w:rsid w:val="00623477"/>
    <w:rsid w:val="00640308"/>
    <w:rsid w:val="00657689"/>
    <w:rsid w:val="0066650C"/>
    <w:rsid w:val="006674AB"/>
    <w:rsid w:val="00673753"/>
    <w:rsid w:val="00676C79"/>
    <w:rsid w:val="00681B9A"/>
    <w:rsid w:val="00683D47"/>
    <w:rsid w:val="00683F2A"/>
    <w:rsid w:val="00690932"/>
    <w:rsid w:val="006A76BA"/>
    <w:rsid w:val="006B674C"/>
    <w:rsid w:val="006E2281"/>
    <w:rsid w:val="006E23B6"/>
    <w:rsid w:val="00702D21"/>
    <w:rsid w:val="00712B2B"/>
    <w:rsid w:val="00713C0B"/>
    <w:rsid w:val="007157EB"/>
    <w:rsid w:val="00716784"/>
    <w:rsid w:val="00724A52"/>
    <w:rsid w:val="00744E08"/>
    <w:rsid w:val="007506F7"/>
    <w:rsid w:val="00774F18"/>
    <w:rsid w:val="00797349"/>
    <w:rsid w:val="007C70F8"/>
    <w:rsid w:val="007D35B3"/>
    <w:rsid w:val="008170A4"/>
    <w:rsid w:val="00817B5C"/>
    <w:rsid w:val="008200EA"/>
    <w:rsid w:val="0082013F"/>
    <w:rsid w:val="008202EF"/>
    <w:rsid w:val="00834C41"/>
    <w:rsid w:val="008434AA"/>
    <w:rsid w:val="00855CFD"/>
    <w:rsid w:val="008561C4"/>
    <w:rsid w:val="00866EA1"/>
    <w:rsid w:val="00883BA8"/>
    <w:rsid w:val="00885104"/>
    <w:rsid w:val="00885516"/>
    <w:rsid w:val="00897CCB"/>
    <w:rsid w:val="008C33F4"/>
    <w:rsid w:val="008E42CC"/>
    <w:rsid w:val="008F1CF8"/>
    <w:rsid w:val="008F456B"/>
    <w:rsid w:val="008F756B"/>
    <w:rsid w:val="00940C6A"/>
    <w:rsid w:val="0094509C"/>
    <w:rsid w:val="009501E1"/>
    <w:rsid w:val="00957A6A"/>
    <w:rsid w:val="00963CB4"/>
    <w:rsid w:val="00971242"/>
    <w:rsid w:val="00980BD9"/>
    <w:rsid w:val="00981373"/>
    <w:rsid w:val="009B016E"/>
    <w:rsid w:val="009C5860"/>
    <w:rsid w:val="009C6E45"/>
    <w:rsid w:val="009E1EDF"/>
    <w:rsid w:val="009F34EB"/>
    <w:rsid w:val="00A02290"/>
    <w:rsid w:val="00A11388"/>
    <w:rsid w:val="00A146E7"/>
    <w:rsid w:val="00A27F79"/>
    <w:rsid w:val="00A47032"/>
    <w:rsid w:val="00A5294A"/>
    <w:rsid w:val="00A71DA9"/>
    <w:rsid w:val="00A743DE"/>
    <w:rsid w:val="00A760C9"/>
    <w:rsid w:val="00A85291"/>
    <w:rsid w:val="00A86CA5"/>
    <w:rsid w:val="00AA1AB0"/>
    <w:rsid w:val="00AA520E"/>
    <w:rsid w:val="00AE482C"/>
    <w:rsid w:val="00AF26B6"/>
    <w:rsid w:val="00AF5EBD"/>
    <w:rsid w:val="00B148E9"/>
    <w:rsid w:val="00B22CC5"/>
    <w:rsid w:val="00B22F6E"/>
    <w:rsid w:val="00B25E7D"/>
    <w:rsid w:val="00B405CF"/>
    <w:rsid w:val="00B529D1"/>
    <w:rsid w:val="00B64A76"/>
    <w:rsid w:val="00B670D2"/>
    <w:rsid w:val="00B75AFB"/>
    <w:rsid w:val="00B9002B"/>
    <w:rsid w:val="00B9777E"/>
    <w:rsid w:val="00BA4553"/>
    <w:rsid w:val="00BB2244"/>
    <w:rsid w:val="00BC0E4F"/>
    <w:rsid w:val="00BF6CEE"/>
    <w:rsid w:val="00BF7470"/>
    <w:rsid w:val="00C0456D"/>
    <w:rsid w:val="00C2083A"/>
    <w:rsid w:val="00C271FD"/>
    <w:rsid w:val="00C34665"/>
    <w:rsid w:val="00C41596"/>
    <w:rsid w:val="00C54A63"/>
    <w:rsid w:val="00C637DF"/>
    <w:rsid w:val="00C67985"/>
    <w:rsid w:val="00C90FD8"/>
    <w:rsid w:val="00C928D9"/>
    <w:rsid w:val="00CB0D56"/>
    <w:rsid w:val="00D00E00"/>
    <w:rsid w:val="00D2300A"/>
    <w:rsid w:val="00D308C1"/>
    <w:rsid w:val="00D356EA"/>
    <w:rsid w:val="00D4283A"/>
    <w:rsid w:val="00D45A5A"/>
    <w:rsid w:val="00D5264B"/>
    <w:rsid w:val="00D55970"/>
    <w:rsid w:val="00D7017F"/>
    <w:rsid w:val="00D8791A"/>
    <w:rsid w:val="00D956E8"/>
    <w:rsid w:val="00DA3523"/>
    <w:rsid w:val="00DA7791"/>
    <w:rsid w:val="00DB1631"/>
    <w:rsid w:val="00DB4D9E"/>
    <w:rsid w:val="00DC137A"/>
    <w:rsid w:val="00DD1D49"/>
    <w:rsid w:val="00DE0AC7"/>
    <w:rsid w:val="00DE3292"/>
    <w:rsid w:val="00E00CEF"/>
    <w:rsid w:val="00E01AE1"/>
    <w:rsid w:val="00E03BF2"/>
    <w:rsid w:val="00E06D05"/>
    <w:rsid w:val="00E158B9"/>
    <w:rsid w:val="00E20168"/>
    <w:rsid w:val="00E21205"/>
    <w:rsid w:val="00E35BCB"/>
    <w:rsid w:val="00E44C24"/>
    <w:rsid w:val="00E6155D"/>
    <w:rsid w:val="00E7559A"/>
    <w:rsid w:val="00E777C0"/>
    <w:rsid w:val="00E81719"/>
    <w:rsid w:val="00E87DDB"/>
    <w:rsid w:val="00E94DDA"/>
    <w:rsid w:val="00E96A96"/>
    <w:rsid w:val="00EA3FCF"/>
    <w:rsid w:val="00EA4C4E"/>
    <w:rsid w:val="00EB040A"/>
    <w:rsid w:val="00EB2B03"/>
    <w:rsid w:val="00EC0FA0"/>
    <w:rsid w:val="00EC453B"/>
    <w:rsid w:val="00ED6729"/>
    <w:rsid w:val="00EE7F67"/>
    <w:rsid w:val="00F000F4"/>
    <w:rsid w:val="00F25391"/>
    <w:rsid w:val="00F34F2E"/>
    <w:rsid w:val="00F60917"/>
    <w:rsid w:val="00F67E78"/>
    <w:rsid w:val="00F8340D"/>
    <w:rsid w:val="00F86B7F"/>
    <w:rsid w:val="00F96520"/>
    <w:rsid w:val="00FA16DE"/>
    <w:rsid w:val="00FC782C"/>
    <w:rsid w:val="00FD150D"/>
    <w:rsid w:val="00FD3C7D"/>
    <w:rsid w:val="00FD43E0"/>
    <w:rsid w:val="00FE226A"/>
    <w:rsid w:val="00FE54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27595"/>
  <w15:docId w15:val="{EFDE07FE-AB3B-3E42-BAB5-DD94DE22C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53AD"/>
    <w:pPr>
      <w:spacing w:before="120"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220198"/>
    <w:pPr>
      <w:keepNext/>
      <w:keepLines/>
      <w:widowControl w:val="0"/>
      <w:spacing w:before="480" w:line="276" w:lineRule="auto"/>
      <w:jc w:val="left"/>
      <w:outlineLvl w:val="0"/>
    </w:pPr>
    <w:rPr>
      <w:rFonts w:eastAsiaTheme="majorEastAsia" w:cstheme="majorBidi"/>
      <w:b/>
      <w:bCs/>
      <w:sz w:val="28"/>
      <w:szCs w:val="32"/>
    </w:rPr>
  </w:style>
  <w:style w:type="paragraph" w:styleId="Heading2">
    <w:name w:val="heading 2"/>
    <w:basedOn w:val="Normal"/>
    <w:next w:val="Normal"/>
    <w:link w:val="Heading2Char"/>
    <w:uiPriority w:val="9"/>
    <w:qFormat/>
    <w:rsid w:val="00E77EC2"/>
    <w:pPr>
      <w:keepNext/>
      <w:spacing w:before="240" w:after="60" w:line="240" w:lineRule="auto"/>
      <w:outlineLvl w:val="1"/>
    </w:pPr>
    <w:rPr>
      <w:rFonts w:ascii="Arial" w:hAnsi="Arial"/>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198"/>
    <w:rPr>
      <w:rFonts w:ascii="Times New Roman" w:eastAsiaTheme="majorEastAsia" w:hAnsi="Times New Roman" w:cstheme="majorBidi"/>
      <w:b/>
      <w:bCs/>
      <w:sz w:val="28"/>
      <w:szCs w:val="32"/>
    </w:rPr>
  </w:style>
  <w:style w:type="character" w:customStyle="1" w:styleId="Heading2Char">
    <w:name w:val="Heading 2 Char"/>
    <w:link w:val="Heading2"/>
    <w:uiPriority w:val="9"/>
    <w:rsid w:val="00E77EC2"/>
    <w:rPr>
      <w:rFonts w:ascii="Arial" w:hAnsi="Arial"/>
      <w:b/>
      <w:bCs/>
      <w:iCs/>
      <w:sz w:val="24"/>
      <w:szCs w:val="28"/>
    </w:rPr>
  </w:style>
  <w:style w:type="table" w:styleId="TableGrid">
    <w:name w:val="Table Grid"/>
    <w:basedOn w:val="TableNormal"/>
    <w:rsid w:val="00D00E0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rsid w:val="008434AA"/>
    <w:rPr>
      <w:color w:val="0000FF" w:themeColor="hyperlink"/>
      <w:u w:val="single"/>
    </w:rPr>
  </w:style>
  <w:style w:type="paragraph" w:styleId="ListParagraph">
    <w:name w:val="List Paragraph"/>
    <w:basedOn w:val="Normal"/>
    <w:rsid w:val="00A02290"/>
    <w:pPr>
      <w:ind w:left="720"/>
      <w:contextualSpacing/>
    </w:pPr>
  </w:style>
  <w:style w:type="character" w:styleId="CommentReference">
    <w:name w:val="annotation reference"/>
    <w:basedOn w:val="DefaultParagraphFont"/>
    <w:semiHidden/>
    <w:unhideWhenUsed/>
    <w:rsid w:val="00246E8C"/>
    <w:rPr>
      <w:sz w:val="16"/>
      <w:szCs w:val="16"/>
    </w:rPr>
  </w:style>
  <w:style w:type="paragraph" w:styleId="CommentText">
    <w:name w:val="annotation text"/>
    <w:basedOn w:val="Normal"/>
    <w:link w:val="CommentTextChar"/>
    <w:semiHidden/>
    <w:unhideWhenUsed/>
    <w:rsid w:val="00246E8C"/>
    <w:pPr>
      <w:spacing w:line="240" w:lineRule="auto"/>
    </w:pPr>
    <w:rPr>
      <w:sz w:val="20"/>
      <w:szCs w:val="20"/>
    </w:rPr>
  </w:style>
  <w:style w:type="character" w:customStyle="1" w:styleId="CommentTextChar">
    <w:name w:val="Comment Text Char"/>
    <w:basedOn w:val="DefaultParagraphFont"/>
    <w:link w:val="CommentText"/>
    <w:semiHidden/>
    <w:rsid w:val="00246E8C"/>
    <w:rPr>
      <w:rFonts w:ascii="Times New Roman" w:hAnsi="Times New Roman"/>
      <w:sz w:val="20"/>
      <w:szCs w:val="20"/>
    </w:rPr>
  </w:style>
  <w:style w:type="paragraph" w:styleId="CommentSubject">
    <w:name w:val="annotation subject"/>
    <w:basedOn w:val="CommentText"/>
    <w:next w:val="CommentText"/>
    <w:link w:val="CommentSubjectChar"/>
    <w:semiHidden/>
    <w:unhideWhenUsed/>
    <w:rsid w:val="00246E8C"/>
    <w:rPr>
      <w:b/>
      <w:bCs/>
    </w:rPr>
  </w:style>
  <w:style w:type="character" w:customStyle="1" w:styleId="CommentSubjectChar">
    <w:name w:val="Comment Subject Char"/>
    <w:basedOn w:val="CommentTextChar"/>
    <w:link w:val="CommentSubject"/>
    <w:semiHidden/>
    <w:rsid w:val="00246E8C"/>
    <w:rPr>
      <w:rFonts w:ascii="Times New Roman" w:hAnsi="Times New Roman"/>
      <w:b/>
      <w:bCs/>
      <w:sz w:val="20"/>
      <w:szCs w:val="20"/>
    </w:rPr>
  </w:style>
  <w:style w:type="paragraph" w:styleId="BalloonText">
    <w:name w:val="Balloon Text"/>
    <w:basedOn w:val="Normal"/>
    <w:link w:val="BalloonTextChar"/>
    <w:semiHidden/>
    <w:unhideWhenUsed/>
    <w:rsid w:val="00246E8C"/>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246E8C"/>
    <w:rPr>
      <w:rFonts w:ascii="Segoe UI" w:hAnsi="Segoe UI" w:cs="Segoe UI"/>
      <w:sz w:val="18"/>
      <w:szCs w:val="18"/>
    </w:rPr>
  </w:style>
  <w:style w:type="character" w:styleId="FollowedHyperlink">
    <w:name w:val="FollowedHyperlink"/>
    <w:basedOn w:val="DefaultParagraphFont"/>
    <w:rsid w:val="00FC782C"/>
    <w:rPr>
      <w:color w:val="800080" w:themeColor="followedHyperlink"/>
      <w:u w:val="single"/>
    </w:rPr>
  </w:style>
  <w:style w:type="character" w:styleId="Emphasis">
    <w:name w:val="Emphasis"/>
    <w:basedOn w:val="DefaultParagraphFont"/>
    <w:uiPriority w:val="20"/>
    <w:rsid w:val="001C4EDB"/>
    <w:rPr>
      <w:i/>
    </w:rPr>
  </w:style>
  <w:style w:type="paragraph" w:styleId="FootnoteText">
    <w:name w:val="footnote text"/>
    <w:basedOn w:val="Normal"/>
    <w:link w:val="FootnoteTextChar"/>
    <w:rsid w:val="005A3B55"/>
    <w:pPr>
      <w:spacing w:before="0" w:line="240" w:lineRule="auto"/>
    </w:pPr>
  </w:style>
  <w:style w:type="character" w:customStyle="1" w:styleId="FootnoteTextChar">
    <w:name w:val="Footnote Text Char"/>
    <w:basedOn w:val="DefaultParagraphFont"/>
    <w:link w:val="FootnoteText"/>
    <w:rsid w:val="005A3B55"/>
    <w:rPr>
      <w:rFonts w:ascii="Times New Roman" w:hAnsi="Times New Roman"/>
    </w:rPr>
  </w:style>
  <w:style w:type="character" w:styleId="FootnoteReference">
    <w:name w:val="footnote reference"/>
    <w:basedOn w:val="DefaultParagraphFont"/>
    <w:rsid w:val="005A3B55"/>
    <w:rPr>
      <w:vertAlign w:val="superscript"/>
    </w:rPr>
  </w:style>
  <w:style w:type="paragraph" w:styleId="Bibliography">
    <w:name w:val="Bibliography"/>
    <w:basedOn w:val="Normal"/>
    <w:next w:val="Normal"/>
    <w:rsid w:val="005A3B55"/>
  </w:style>
  <w:style w:type="paragraph" w:customStyle="1" w:styleId="title1">
    <w:name w:val="title1"/>
    <w:basedOn w:val="Normal"/>
    <w:rsid w:val="00D356EA"/>
    <w:pPr>
      <w:spacing w:before="0" w:line="240" w:lineRule="auto"/>
      <w:jc w:val="left"/>
    </w:pPr>
    <w:rPr>
      <w:rFonts w:eastAsia="Times New Roman" w:cs="Times New Roman"/>
      <w:sz w:val="27"/>
      <w:szCs w:val="27"/>
      <w:lang w:val="nl-BE" w:eastAsia="nl-BE"/>
    </w:rPr>
  </w:style>
  <w:style w:type="paragraph" w:customStyle="1" w:styleId="desc2">
    <w:name w:val="desc2"/>
    <w:basedOn w:val="Normal"/>
    <w:rsid w:val="00D356EA"/>
    <w:pPr>
      <w:spacing w:before="0" w:line="240" w:lineRule="auto"/>
      <w:jc w:val="left"/>
    </w:pPr>
    <w:rPr>
      <w:rFonts w:eastAsia="Times New Roman" w:cs="Times New Roman"/>
      <w:sz w:val="26"/>
      <w:szCs w:val="26"/>
      <w:lang w:val="nl-BE" w:eastAsia="nl-BE"/>
    </w:rPr>
  </w:style>
  <w:style w:type="paragraph" w:customStyle="1" w:styleId="details1">
    <w:name w:val="details1"/>
    <w:basedOn w:val="Normal"/>
    <w:rsid w:val="00D356EA"/>
    <w:pPr>
      <w:spacing w:before="0" w:line="240" w:lineRule="auto"/>
      <w:jc w:val="left"/>
    </w:pPr>
    <w:rPr>
      <w:rFonts w:eastAsia="Times New Roman" w:cs="Times New Roman"/>
      <w:sz w:val="22"/>
      <w:szCs w:val="22"/>
      <w:lang w:val="nl-BE" w:eastAsia="nl-BE"/>
    </w:rPr>
  </w:style>
  <w:style w:type="character" w:customStyle="1" w:styleId="jrnl">
    <w:name w:val="jrnl"/>
    <w:basedOn w:val="DefaultParagraphFont"/>
    <w:rsid w:val="00D356EA"/>
  </w:style>
  <w:style w:type="character" w:styleId="Strong">
    <w:name w:val="Strong"/>
    <w:basedOn w:val="DefaultParagraphFont"/>
    <w:uiPriority w:val="22"/>
    <w:qFormat/>
    <w:rsid w:val="00A86CA5"/>
    <w:rPr>
      <w:b/>
      <w:bCs/>
    </w:rPr>
  </w:style>
  <w:style w:type="paragraph" w:styleId="NormalWeb">
    <w:name w:val="Normal (Web)"/>
    <w:basedOn w:val="Normal"/>
    <w:uiPriority w:val="99"/>
    <w:rsid w:val="001D13A5"/>
    <w:pPr>
      <w:spacing w:beforeLines="1" w:afterLines="1" w:line="240" w:lineRule="auto"/>
      <w:jc w:val="left"/>
    </w:pPr>
    <w:rPr>
      <w:rFonts w:ascii="Times" w:hAnsi="Times" w:cs="Times New Roman"/>
      <w:sz w:val="20"/>
      <w:szCs w:val="20"/>
    </w:rPr>
  </w:style>
  <w:style w:type="character" w:customStyle="1" w:styleId="apple-converted-space">
    <w:name w:val="apple-converted-space"/>
    <w:basedOn w:val="DefaultParagraphFont"/>
    <w:rsid w:val="003B3846"/>
  </w:style>
  <w:style w:type="character" w:customStyle="1" w:styleId="highlight">
    <w:name w:val="highlight"/>
    <w:basedOn w:val="DefaultParagraphFont"/>
    <w:rsid w:val="003B3846"/>
  </w:style>
  <w:style w:type="paragraph" w:customStyle="1" w:styleId="Title10">
    <w:name w:val="Title1"/>
    <w:basedOn w:val="Normal"/>
    <w:rsid w:val="003B3846"/>
    <w:pPr>
      <w:spacing w:before="100" w:beforeAutospacing="1" w:after="100" w:afterAutospacing="1" w:line="240" w:lineRule="auto"/>
      <w:jc w:val="left"/>
    </w:pPr>
    <w:rPr>
      <w:rFonts w:eastAsia="Times New Roman" w:cs="Times New Roman"/>
      <w:lang w:val="en-GB" w:eastAsia="en-GB"/>
    </w:rPr>
  </w:style>
  <w:style w:type="paragraph" w:customStyle="1" w:styleId="desc">
    <w:name w:val="desc"/>
    <w:basedOn w:val="Normal"/>
    <w:rsid w:val="003B3846"/>
    <w:pPr>
      <w:spacing w:before="100" w:beforeAutospacing="1" w:after="100" w:afterAutospacing="1" w:line="240" w:lineRule="auto"/>
      <w:jc w:val="left"/>
    </w:pPr>
    <w:rPr>
      <w:rFonts w:eastAsia="Times New Roman" w:cs="Times New Roman"/>
      <w:lang w:val="en-GB" w:eastAsia="en-GB"/>
    </w:rPr>
  </w:style>
  <w:style w:type="paragraph" w:customStyle="1" w:styleId="details">
    <w:name w:val="details"/>
    <w:basedOn w:val="Normal"/>
    <w:rsid w:val="003B3846"/>
    <w:pPr>
      <w:spacing w:before="100" w:beforeAutospacing="1" w:after="100" w:afterAutospacing="1" w:line="240" w:lineRule="auto"/>
      <w:jc w:val="left"/>
    </w:pPr>
    <w:rPr>
      <w:rFonts w:eastAsia="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8088">
      <w:bodyDiv w:val="1"/>
      <w:marLeft w:val="0"/>
      <w:marRight w:val="0"/>
      <w:marTop w:val="0"/>
      <w:marBottom w:val="0"/>
      <w:divBdr>
        <w:top w:val="none" w:sz="0" w:space="0" w:color="auto"/>
        <w:left w:val="none" w:sz="0" w:space="0" w:color="auto"/>
        <w:bottom w:val="none" w:sz="0" w:space="0" w:color="auto"/>
        <w:right w:val="none" w:sz="0" w:space="0" w:color="auto"/>
      </w:divBdr>
      <w:divsChild>
        <w:div w:id="1322541225">
          <w:marLeft w:val="0"/>
          <w:marRight w:val="0"/>
          <w:marTop w:val="0"/>
          <w:marBottom w:val="0"/>
          <w:divBdr>
            <w:top w:val="none" w:sz="0" w:space="0" w:color="auto"/>
            <w:left w:val="none" w:sz="0" w:space="0" w:color="auto"/>
            <w:bottom w:val="none" w:sz="0" w:space="0" w:color="auto"/>
            <w:right w:val="none" w:sz="0" w:space="0" w:color="auto"/>
          </w:divBdr>
        </w:div>
        <w:div w:id="1268081277">
          <w:marLeft w:val="0"/>
          <w:marRight w:val="0"/>
          <w:marTop w:val="0"/>
          <w:marBottom w:val="0"/>
          <w:divBdr>
            <w:top w:val="none" w:sz="0" w:space="0" w:color="auto"/>
            <w:left w:val="none" w:sz="0" w:space="0" w:color="auto"/>
            <w:bottom w:val="none" w:sz="0" w:space="0" w:color="auto"/>
            <w:right w:val="none" w:sz="0" w:space="0" w:color="auto"/>
          </w:divBdr>
        </w:div>
      </w:divsChild>
    </w:div>
    <w:div w:id="32117965">
      <w:bodyDiv w:val="1"/>
      <w:marLeft w:val="0"/>
      <w:marRight w:val="0"/>
      <w:marTop w:val="0"/>
      <w:marBottom w:val="0"/>
      <w:divBdr>
        <w:top w:val="none" w:sz="0" w:space="0" w:color="auto"/>
        <w:left w:val="none" w:sz="0" w:space="0" w:color="auto"/>
        <w:bottom w:val="none" w:sz="0" w:space="0" w:color="auto"/>
        <w:right w:val="none" w:sz="0" w:space="0" w:color="auto"/>
      </w:divBdr>
    </w:div>
    <w:div w:id="38210818">
      <w:bodyDiv w:val="1"/>
      <w:marLeft w:val="0"/>
      <w:marRight w:val="0"/>
      <w:marTop w:val="0"/>
      <w:marBottom w:val="0"/>
      <w:divBdr>
        <w:top w:val="none" w:sz="0" w:space="0" w:color="auto"/>
        <w:left w:val="none" w:sz="0" w:space="0" w:color="auto"/>
        <w:bottom w:val="none" w:sz="0" w:space="0" w:color="auto"/>
        <w:right w:val="none" w:sz="0" w:space="0" w:color="auto"/>
      </w:divBdr>
      <w:divsChild>
        <w:div w:id="1749615199">
          <w:marLeft w:val="0"/>
          <w:marRight w:val="0"/>
          <w:marTop w:val="0"/>
          <w:marBottom w:val="0"/>
          <w:divBdr>
            <w:top w:val="none" w:sz="0" w:space="0" w:color="auto"/>
            <w:left w:val="none" w:sz="0" w:space="0" w:color="auto"/>
            <w:bottom w:val="none" w:sz="0" w:space="0" w:color="auto"/>
            <w:right w:val="none" w:sz="0" w:space="0" w:color="auto"/>
          </w:divBdr>
          <w:divsChild>
            <w:div w:id="614216693">
              <w:marLeft w:val="0"/>
              <w:marRight w:val="0"/>
              <w:marTop w:val="0"/>
              <w:marBottom w:val="0"/>
              <w:divBdr>
                <w:top w:val="none" w:sz="0" w:space="0" w:color="auto"/>
                <w:left w:val="none" w:sz="0" w:space="0" w:color="auto"/>
                <w:bottom w:val="none" w:sz="0" w:space="0" w:color="auto"/>
                <w:right w:val="none" w:sz="0" w:space="0" w:color="auto"/>
              </w:divBdr>
              <w:divsChild>
                <w:div w:id="776097918">
                  <w:marLeft w:val="0"/>
                  <w:marRight w:val="0"/>
                  <w:marTop w:val="0"/>
                  <w:marBottom w:val="0"/>
                  <w:divBdr>
                    <w:top w:val="none" w:sz="0" w:space="0" w:color="auto"/>
                    <w:left w:val="none" w:sz="0" w:space="0" w:color="auto"/>
                    <w:bottom w:val="none" w:sz="0" w:space="0" w:color="auto"/>
                    <w:right w:val="none" w:sz="0" w:space="0" w:color="auto"/>
                  </w:divBdr>
                  <w:divsChild>
                    <w:div w:id="88980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94414">
      <w:bodyDiv w:val="1"/>
      <w:marLeft w:val="0"/>
      <w:marRight w:val="0"/>
      <w:marTop w:val="0"/>
      <w:marBottom w:val="0"/>
      <w:divBdr>
        <w:top w:val="none" w:sz="0" w:space="0" w:color="auto"/>
        <w:left w:val="none" w:sz="0" w:space="0" w:color="auto"/>
        <w:bottom w:val="none" w:sz="0" w:space="0" w:color="auto"/>
        <w:right w:val="none" w:sz="0" w:space="0" w:color="auto"/>
      </w:divBdr>
      <w:divsChild>
        <w:div w:id="1111365676">
          <w:marLeft w:val="0"/>
          <w:marRight w:val="0"/>
          <w:marTop w:val="0"/>
          <w:marBottom w:val="0"/>
          <w:divBdr>
            <w:top w:val="none" w:sz="0" w:space="0" w:color="auto"/>
            <w:left w:val="none" w:sz="0" w:space="0" w:color="auto"/>
            <w:bottom w:val="none" w:sz="0" w:space="0" w:color="auto"/>
            <w:right w:val="none" w:sz="0" w:space="0" w:color="auto"/>
          </w:divBdr>
        </w:div>
        <w:div w:id="1903130028">
          <w:marLeft w:val="0"/>
          <w:marRight w:val="0"/>
          <w:marTop w:val="0"/>
          <w:marBottom w:val="0"/>
          <w:divBdr>
            <w:top w:val="none" w:sz="0" w:space="0" w:color="auto"/>
            <w:left w:val="none" w:sz="0" w:space="0" w:color="auto"/>
            <w:bottom w:val="none" w:sz="0" w:space="0" w:color="auto"/>
            <w:right w:val="none" w:sz="0" w:space="0" w:color="auto"/>
          </w:divBdr>
        </w:div>
      </w:divsChild>
    </w:div>
    <w:div w:id="77097619">
      <w:bodyDiv w:val="1"/>
      <w:marLeft w:val="0"/>
      <w:marRight w:val="0"/>
      <w:marTop w:val="0"/>
      <w:marBottom w:val="0"/>
      <w:divBdr>
        <w:top w:val="none" w:sz="0" w:space="0" w:color="auto"/>
        <w:left w:val="none" w:sz="0" w:space="0" w:color="auto"/>
        <w:bottom w:val="none" w:sz="0" w:space="0" w:color="auto"/>
        <w:right w:val="none" w:sz="0" w:space="0" w:color="auto"/>
      </w:divBdr>
      <w:divsChild>
        <w:div w:id="499124922">
          <w:marLeft w:val="0"/>
          <w:marRight w:val="0"/>
          <w:marTop w:val="0"/>
          <w:marBottom w:val="0"/>
          <w:divBdr>
            <w:top w:val="none" w:sz="0" w:space="0" w:color="auto"/>
            <w:left w:val="none" w:sz="0" w:space="0" w:color="auto"/>
            <w:bottom w:val="none" w:sz="0" w:space="0" w:color="auto"/>
            <w:right w:val="none" w:sz="0" w:space="0" w:color="auto"/>
          </w:divBdr>
          <w:divsChild>
            <w:div w:id="328101950">
              <w:marLeft w:val="0"/>
              <w:marRight w:val="0"/>
              <w:marTop w:val="0"/>
              <w:marBottom w:val="0"/>
              <w:divBdr>
                <w:top w:val="none" w:sz="0" w:space="0" w:color="auto"/>
                <w:left w:val="none" w:sz="0" w:space="0" w:color="auto"/>
                <w:bottom w:val="none" w:sz="0" w:space="0" w:color="auto"/>
                <w:right w:val="none" w:sz="0" w:space="0" w:color="auto"/>
              </w:divBdr>
              <w:divsChild>
                <w:div w:id="36405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90966">
      <w:bodyDiv w:val="1"/>
      <w:marLeft w:val="0"/>
      <w:marRight w:val="0"/>
      <w:marTop w:val="0"/>
      <w:marBottom w:val="0"/>
      <w:divBdr>
        <w:top w:val="none" w:sz="0" w:space="0" w:color="auto"/>
        <w:left w:val="none" w:sz="0" w:space="0" w:color="auto"/>
        <w:bottom w:val="none" w:sz="0" w:space="0" w:color="auto"/>
        <w:right w:val="none" w:sz="0" w:space="0" w:color="auto"/>
      </w:divBdr>
      <w:divsChild>
        <w:div w:id="362247273">
          <w:marLeft w:val="0"/>
          <w:marRight w:val="0"/>
          <w:marTop w:val="0"/>
          <w:marBottom w:val="0"/>
          <w:divBdr>
            <w:top w:val="none" w:sz="0" w:space="0" w:color="auto"/>
            <w:left w:val="none" w:sz="0" w:space="0" w:color="auto"/>
            <w:bottom w:val="none" w:sz="0" w:space="0" w:color="auto"/>
            <w:right w:val="none" w:sz="0" w:space="0" w:color="auto"/>
          </w:divBdr>
          <w:divsChild>
            <w:div w:id="648287911">
              <w:marLeft w:val="0"/>
              <w:marRight w:val="0"/>
              <w:marTop w:val="0"/>
              <w:marBottom w:val="0"/>
              <w:divBdr>
                <w:top w:val="none" w:sz="0" w:space="0" w:color="auto"/>
                <w:left w:val="none" w:sz="0" w:space="0" w:color="auto"/>
                <w:bottom w:val="none" w:sz="0" w:space="0" w:color="auto"/>
                <w:right w:val="none" w:sz="0" w:space="0" w:color="auto"/>
              </w:divBdr>
              <w:divsChild>
                <w:div w:id="184674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9993">
      <w:bodyDiv w:val="1"/>
      <w:marLeft w:val="0"/>
      <w:marRight w:val="0"/>
      <w:marTop w:val="0"/>
      <w:marBottom w:val="0"/>
      <w:divBdr>
        <w:top w:val="none" w:sz="0" w:space="0" w:color="auto"/>
        <w:left w:val="none" w:sz="0" w:space="0" w:color="auto"/>
        <w:bottom w:val="none" w:sz="0" w:space="0" w:color="auto"/>
        <w:right w:val="none" w:sz="0" w:space="0" w:color="auto"/>
      </w:divBdr>
    </w:div>
    <w:div w:id="146285714">
      <w:bodyDiv w:val="1"/>
      <w:marLeft w:val="0"/>
      <w:marRight w:val="0"/>
      <w:marTop w:val="0"/>
      <w:marBottom w:val="0"/>
      <w:divBdr>
        <w:top w:val="none" w:sz="0" w:space="0" w:color="auto"/>
        <w:left w:val="none" w:sz="0" w:space="0" w:color="auto"/>
        <w:bottom w:val="none" w:sz="0" w:space="0" w:color="auto"/>
        <w:right w:val="none" w:sz="0" w:space="0" w:color="auto"/>
      </w:divBdr>
      <w:divsChild>
        <w:div w:id="601228121">
          <w:marLeft w:val="0"/>
          <w:marRight w:val="0"/>
          <w:marTop w:val="0"/>
          <w:marBottom w:val="0"/>
          <w:divBdr>
            <w:top w:val="none" w:sz="0" w:space="0" w:color="auto"/>
            <w:left w:val="none" w:sz="0" w:space="0" w:color="auto"/>
            <w:bottom w:val="none" w:sz="0" w:space="0" w:color="auto"/>
            <w:right w:val="none" w:sz="0" w:space="0" w:color="auto"/>
          </w:divBdr>
          <w:divsChild>
            <w:div w:id="1477454975">
              <w:marLeft w:val="0"/>
              <w:marRight w:val="0"/>
              <w:marTop w:val="0"/>
              <w:marBottom w:val="0"/>
              <w:divBdr>
                <w:top w:val="none" w:sz="0" w:space="0" w:color="auto"/>
                <w:left w:val="none" w:sz="0" w:space="0" w:color="auto"/>
                <w:bottom w:val="none" w:sz="0" w:space="0" w:color="auto"/>
                <w:right w:val="none" w:sz="0" w:space="0" w:color="auto"/>
              </w:divBdr>
              <w:divsChild>
                <w:div w:id="197317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17769">
      <w:bodyDiv w:val="1"/>
      <w:marLeft w:val="0"/>
      <w:marRight w:val="0"/>
      <w:marTop w:val="0"/>
      <w:marBottom w:val="0"/>
      <w:divBdr>
        <w:top w:val="none" w:sz="0" w:space="0" w:color="auto"/>
        <w:left w:val="none" w:sz="0" w:space="0" w:color="auto"/>
        <w:bottom w:val="none" w:sz="0" w:space="0" w:color="auto"/>
        <w:right w:val="none" w:sz="0" w:space="0" w:color="auto"/>
      </w:divBdr>
      <w:divsChild>
        <w:div w:id="1185750290">
          <w:marLeft w:val="0"/>
          <w:marRight w:val="0"/>
          <w:marTop w:val="0"/>
          <w:marBottom w:val="0"/>
          <w:divBdr>
            <w:top w:val="none" w:sz="0" w:space="0" w:color="auto"/>
            <w:left w:val="none" w:sz="0" w:space="0" w:color="auto"/>
            <w:bottom w:val="none" w:sz="0" w:space="0" w:color="auto"/>
            <w:right w:val="none" w:sz="0" w:space="0" w:color="auto"/>
          </w:divBdr>
        </w:div>
        <w:div w:id="1295863880">
          <w:marLeft w:val="0"/>
          <w:marRight w:val="0"/>
          <w:marTop w:val="0"/>
          <w:marBottom w:val="0"/>
          <w:divBdr>
            <w:top w:val="none" w:sz="0" w:space="0" w:color="auto"/>
            <w:left w:val="none" w:sz="0" w:space="0" w:color="auto"/>
            <w:bottom w:val="none" w:sz="0" w:space="0" w:color="auto"/>
            <w:right w:val="none" w:sz="0" w:space="0" w:color="auto"/>
          </w:divBdr>
        </w:div>
      </w:divsChild>
    </w:div>
    <w:div w:id="185868769">
      <w:bodyDiv w:val="1"/>
      <w:marLeft w:val="0"/>
      <w:marRight w:val="0"/>
      <w:marTop w:val="0"/>
      <w:marBottom w:val="0"/>
      <w:divBdr>
        <w:top w:val="none" w:sz="0" w:space="0" w:color="auto"/>
        <w:left w:val="none" w:sz="0" w:space="0" w:color="auto"/>
        <w:bottom w:val="none" w:sz="0" w:space="0" w:color="auto"/>
        <w:right w:val="none" w:sz="0" w:space="0" w:color="auto"/>
      </w:divBdr>
      <w:divsChild>
        <w:div w:id="1321037146">
          <w:marLeft w:val="0"/>
          <w:marRight w:val="0"/>
          <w:marTop w:val="0"/>
          <w:marBottom w:val="0"/>
          <w:divBdr>
            <w:top w:val="none" w:sz="0" w:space="0" w:color="auto"/>
            <w:left w:val="none" w:sz="0" w:space="0" w:color="auto"/>
            <w:bottom w:val="none" w:sz="0" w:space="0" w:color="auto"/>
            <w:right w:val="none" w:sz="0" w:space="0" w:color="auto"/>
          </w:divBdr>
        </w:div>
        <w:div w:id="970011647">
          <w:marLeft w:val="0"/>
          <w:marRight w:val="0"/>
          <w:marTop w:val="0"/>
          <w:marBottom w:val="0"/>
          <w:divBdr>
            <w:top w:val="none" w:sz="0" w:space="0" w:color="auto"/>
            <w:left w:val="none" w:sz="0" w:space="0" w:color="auto"/>
            <w:bottom w:val="none" w:sz="0" w:space="0" w:color="auto"/>
            <w:right w:val="none" w:sz="0" w:space="0" w:color="auto"/>
          </w:divBdr>
        </w:div>
        <w:div w:id="1192693160">
          <w:marLeft w:val="0"/>
          <w:marRight w:val="0"/>
          <w:marTop w:val="0"/>
          <w:marBottom w:val="0"/>
          <w:divBdr>
            <w:top w:val="none" w:sz="0" w:space="0" w:color="auto"/>
            <w:left w:val="none" w:sz="0" w:space="0" w:color="auto"/>
            <w:bottom w:val="none" w:sz="0" w:space="0" w:color="auto"/>
            <w:right w:val="none" w:sz="0" w:space="0" w:color="auto"/>
          </w:divBdr>
        </w:div>
        <w:div w:id="1836872512">
          <w:marLeft w:val="0"/>
          <w:marRight w:val="0"/>
          <w:marTop w:val="0"/>
          <w:marBottom w:val="0"/>
          <w:divBdr>
            <w:top w:val="none" w:sz="0" w:space="0" w:color="auto"/>
            <w:left w:val="none" w:sz="0" w:space="0" w:color="auto"/>
            <w:bottom w:val="none" w:sz="0" w:space="0" w:color="auto"/>
            <w:right w:val="none" w:sz="0" w:space="0" w:color="auto"/>
          </w:divBdr>
          <w:divsChild>
            <w:div w:id="181228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633589">
      <w:bodyDiv w:val="1"/>
      <w:marLeft w:val="0"/>
      <w:marRight w:val="0"/>
      <w:marTop w:val="0"/>
      <w:marBottom w:val="0"/>
      <w:divBdr>
        <w:top w:val="none" w:sz="0" w:space="0" w:color="auto"/>
        <w:left w:val="none" w:sz="0" w:space="0" w:color="auto"/>
        <w:bottom w:val="none" w:sz="0" w:space="0" w:color="auto"/>
        <w:right w:val="none" w:sz="0" w:space="0" w:color="auto"/>
      </w:divBdr>
      <w:divsChild>
        <w:div w:id="2060744267">
          <w:marLeft w:val="0"/>
          <w:marRight w:val="0"/>
          <w:marTop w:val="0"/>
          <w:marBottom w:val="0"/>
          <w:divBdr>
            <w:top w:val="none" w:sz="0" w:space="0" w:color="auto"/>
            <w:left w:val="none" w:sz="0" w:space="0" w:color="auto"/>
            <w:bottom w:val="none" w:sz="0" w:space="0" w:color="auto"/>
            <w:right w:val="none" w:sz="0" w:space="0" w:color="auto"/>
          </w:divBdr>
        </w:div>
        <w:div w:id="1161238620">
          <w:marLeft w:val="0"/>
          <w:marRight w:val="0"/>
          <w:marTop w:val="0"/>
          <w:marBottom w:val="0"/>
          <w:divBdr>
            <w:top w:val="none" w:sz="0" w:space="0" w:color="auto"/>
            <w:left w:val="none" w:sz="0" w:space="0" w:color="auto"/>
            <w:bottom w:val="none" w:sz="0" w:space="0" w:color="auto"/>
            <w:right w:val="none" w:sz="0" w:space="0" w:color="auto"/>
          </w:divBdr>
        </w:div>
        <w:div w:id="447241274">
          <w:marLeft w:val="0"/>
          <w:marRight w:val="0"/>
          <w:marTop w:val="0"/>
          <w:marBottom w:val="0"/>
          <w:divBdr>
            <w:top w:val="none" w:sz="0" w:space="0" w:color="auto"/>
            <w:left w:val="none" w:sz="0" w:space="0" w:color="auto"/>
            <w:bottom w:val="none" w:sz="0" w:space="0" w:color="auto"/>
            <w:right w:val="none" w:sz="0" w:space="0" w:color="auto"/>
          </w:divBdr>
        </w:div>
        <w:div w:id="51928898">
          <w:marLeft w:val="0"/>
          <w:marRight w:val="0"/>
          <w:marTop w:val="0"/>
          <w:marBottom w:val="0"/>
          <w:divBdr>
            <w:top w:val="none" w:sz="0" w:space="0" w:color="auto"/>
            <w:left w:val="none" w:sz="0" w:space="0" w:color="auto"/>
            <w:bottom w:val="none" w:sz="0" w:space="0" w:color="auto"/>
            <w:right w:val="none" w:sz="0" w:space="0" w:color="auto"/>
          </w:divBdr>
          <w:divsChild>
            <w:div w:id="80605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714829">
      <w:bodyDiv w:val="1"/>
      <w:marLeft w:val="0"/>
      <w:marRight w:val="0"/>
      <w:marTop w:val="0"/>
      <w:marBottom w:val="0"/>
      <w:divBdr>
        <w:top w:val="none" w:sz="0" w:space="0" w:color="auto"/>
        <w:left w:val="none" w:sz="0" w:space="0" w:color="auto"/>
        <w:bottom w:val="none" w:sz="0" w:space="0" w:color="auto"/>
        <w:right w:val="none" w:sz="0" w:space="0" w:color="auto"/>
      </w:divBdr>
    </w:div>
    <w:div w:id="365104324">
      <w:bodyDiv w:val="1"/>
      <w:marLeft w:val="0"/>
      <w:marRight w:val="0"/>
      <w:marTop w:val="0"/>
      <w:marBottom w:val="0"/>
      <w:divBdr>
        <w:top w:val="none" w:sz="0" w:space="0" w:color="auto"/>
        <w:left w:val="none" w:sz="0" w:space="0" w:color="auto"/>
        <w:bottom w:val="none" w:sz="0" w:space="0" w:color="auto"/>
        <w:right w:val="none" w:sz="0" w:space="0" w:color="auto"/>
      </w:divBdr>
    </w:div>
    <w:div w:id="378941052">
      <w:bodyDiv w:val="1"/>
      <w:marLeft w:val="0"/>
      <w:marRight w:val="0"/>
      <w:marTop w:val="0"/>
      <w:marBottom w:val="0"/>
      <w:divBdr>
        <w:top w:val="none" w:sz="0" w:space="0" w:color="auto"/>
        <w:left w:val="none" w:sz="0" w:space="0" w:color="auto"/>
        <w:bottom w:val="none" w:sz="0" w:space="0" w:color="auto"/>
        <w:right w:val="none" w:sz="0" w:space="0" w:color="auto"/>
      </w:divBdr>
      <w:divsChild>
        <w:div w:id="854227800">
          <w:marLeft w:val="0"/>
          <w:marRight w:val="0"/>
          <w:marTop w:val="0"/>
          <w:marBottom w:val="0"/>
          <w:divBdr>
            <w:top w:val="none" w:sz="0" w:space="0" w:color="auto"/>
            <w:left w:val="none" w:sz="0" w:space="0" w:color="auto"/>
            <w:bottom w:val="none" w:sz="0" w:space="0" w:color="auto"/>
            <w:right w:val="none" w:sz="0" w:space="0" w:color="auto"/>
          </w:divBdr>
          <w:divsChild>
            <w:div w:id="1647934060">
              <w:marLeft w:val="0"/>
              <w:marRight w:val="0"/>
              <w:marTop w:val="0"/>
              <w:marBottom w:val="0"/>
              <w:divBdr>
                <w:top w:val="none" w:sz="0" w:space="0" w:color="auto"/>
                <w:left w:val="none" w:sz="0" w:space="0" w:color="auto"/>
                <w:bottom w:val="none" w:sz="0" w:space="0" w:color="auto"/>
                <w:right w:val="none" w:sz="0" w:space="0" w:color="auto"/>
              </w:divBdr>
              <w:divsChild>
                <w:div w:id="178880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579464">
      <w:bodyDiv w:val="1"/>
      <w:marLeft w:val="0"/>
      <w:marRight w:val="0"/>
      <w:marTop w:val="0"/>
      <w:marBottom w:val="0"/>
      <w:divBdr>
        <w:top w:val="none" w:sz="0" w:space="0" w:color="auto"/>
        <w:left w:val="none" w:sz="0" w:space="0" w:color="auto"/>
        <w:bottom w:val="none" w:sz="0" w:space="0" w:color="auto"/>
        <w:right w:val="none" w:sz="0" w:space="0" w:color="auto"/>
      </w:divBdr>
    </w:div>
    <w:div w:id="438455678">
      <w:bodyDiv w:val="1"/>
      <w:marLeft w:val="0"/>
      <w:marRight w:val="0"/>
      <w:marTop w:val="0"/>
      <w:marBottom w:val="0"/>
      <w:divBdr>
        <w:top w:val="none" w:sz="0" w:space="0" w:color="auto"/>
        <w:left w:val="none" w:sz="0" w:space="0" w:color="auto"/>
        <w:bottom w:val="none" w:sz="0" w:space="0" w:color="auto"/>
        <w:right w:val="none" w:sz="0" w:space="0" w:color="auto"/>
      </w:divBdr>
      <w:divsChild>
        <w:div w:id="1162624149">
          <w:marLeft w:val="0"/>
          <w:marRight w:val="0"/>
          <w:marTop w:val="0"/>
          <w:marBottom w:val="0"/>
          <w:divBdr>
            <w:top w:val="none" w:sz="0" w:space="0" w:color="auto"/>
            <w:left w:val="none" w:sz="0" w:space="0" w:color="auto"/>
            <w:bottom w:val="none" w:sz="0" w:space="0" w:color="auto"/>
            <w:right w:val="none" w:sz="0" w:space="0" w:color="auto"/>
          </w:divBdr>
        </w:div>
        <w:div w:id="654259645">
          <w:marLeft w:val="0"/>
          <w:marRight w:val="0"/>
          <w:marTop w:val="0"/>
          <w:marBottom w:val="0"/>
          <w:divBdr>
            <w:top w:val="none" w:sz="0" w:space="0" w:color="auto"/>
            <w:left w:val="none" w:sz="0" w:space="0" w:color="auto"/>
            <w:bottom w:val="none" w:sz="0" w:space="0" w:color="auto"/>
            <w:right w:val="none" w:sz="0" w:space="0" w:color="auto"/>
          </w:divBdr>
        </w:div>
      </w:divsChild>
    </w:div>
    <w:div w:id="446581153">
      <w:bodyDiv w:val="1"/>
      <w:marLeft w:val="0"/>
      <w:marRight w:val="0"/>
      <w:marTop w:val="0"/>
      <w:marBottom w:val="0"/>
      <w:divBdr>
        <w:top w:val="none" w:sz="0" w:space="0" w:color="auto"/>
        <w:left w:val="none" w:sz="0" w:space="0" w:color="auto"/>
        <w:bottom w:val="none" w:sz="0" w:space="0" w:color="auto"/>
        <w:right w:val="none" w:sz="0" w:space="0" w:color="auto"/>
      </w:divBdr>
      <w:divsChild>
        <w:div w:id="1461338607">
          <w:marLeft w:val="0"/>
          <w:marRight w:val="0"/>
          <w:marTop w:val="0"/>
          <w:marBottom w:val="0"/>
          <w:divBdr>
            <w:top w:val="none" w:sz="0" w:space="0" w:color="auto"/>
            <w:left w:val="none" w:sz="0" w:space="0" w:color="auto"/>
            <w:bottom w:val="none" w:sz="0" w:space="0" w:color="auto"/>
            <w:right w:val="none" w:sz="0" w:space="0" w:color="auto"/>
          </w:divBdr>
          <w:divsChild>
            <w:div w:id="1655453435">
              <w:marLeft w:val="0"/>
              <w:marRight w:val="0"/>
              <w:marTop w:val="0"/>
              <w:marBottom w:val="0"/>
              <w:divBdr>
                <w:top w:val="none" w:sz="0" w:space="0" w:color="auto"/>
                <w:left w:val="none" w:sz="0" w:space="0" w:color="auto"/>
                <w:bottom w:val="none" w:sz="0" w:space="0" w:color="auto"/>
                <w:right w:val="none" w:sz="0" w:space="0" w:color="auto"/>
              </w:divBdr>
              <w:divsChild>
                <w:div w:id="209092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643983">
      <w:bodyDiv w:val="1"/>
      <w:marLeft w:val="0"/>
      <w:marRight w:val="0"/>
      <w:marTop w:val="0"/>
      <w:marBottom w:val="0"/>
      <w:divBdr>
        <w:top w:val="none" w:sz="0" w:space="0" w:color="auto"/>
        <w:left w:val="none" w:sz="0" w:space="0" w:color="auto"/>
        <w:bottom w:val="none" w:sz="0" w:space="0" w:color="auto"/>
        <w:right w:val="none" w:sz="0" w:space="0" w:color="auto"/>
      </w:divBdr>
      <w:divsChild>
        <w:div w:id="2014842872">
          <w:marLeft w:val="0"/>
          <w:marRight w:val="0"/>
          <w:marTop w:val="0"/>
          <w:marBottom w:val="0"/>
          <w:divBdr>
            <w:top w:val="none" w:sz="0" w:space="0" w:color="auto"/>
            <w:left w:val="none" w:sz="0" w:space="0" w:color="auto"/>
            <w:bottom w:val="none" w:sz="0" w:space="0" w:color="auto"/>
            <w:right w:val="none" w:sz="0" w:space="0" w:color="auto"/>
          </w:divBdr>
        </w:div>
      </w:divsChild>
    </w:div>
    <w:div w:id="462581665">
      <w:bodyDiv w:val="1"/>
      <w:marLeft w:val="0"/>
      <w:marRight w:val="0"/>
      <w:marTop w:val="0"/>
      <w:marBottom w:val="0"/>
      <w:divBdr>
        <w:top w:val="none" w:sz="0" w:space="0" w:color="auto"/>
        <w:left w:val="none" w:sz="0" w:space="0" w:color="auto"/>
        <w:bottom w:val="none" w:sz="0" w:space="0" w:color="auto"/>
        <w:right w:val="none" w:sz="0" w:space="0" w:color="auto"/>
      </w:divBdr>
      <w:divsChild>
        <w:div w:id="708070346">
          <w:marLeft w:val="0"/>
          <w:marRight w:val="0"/>
          <w:marTop w:val="0"/>
          <w:marBottom w:val="0"/>
          <w:divBdr>
            <w:top w:val="none" w:sz="0" w:space="0" w:color="auto"/>
            <w:left w:val="none" w:sz="0" w:space="0" w:color="auto"/>
            <w:bottom w:val="none" w:sz="0" w:space="0" w:color="auto"/>
            <w:right w:val="none" w:sz="0" w:space="0" w:color="auto"/>
          </w:divBdr>
          <w:divsChild>
            <w:div w:id="1318722830">
              <w:marLeft w:val="0"/>
              <w:marRight w:val="0"/>
              <w:marTop w:val="0"/>
              <w:marBottom w:val="0"/>
              <w:divBdr>
                <w:top w:val="none" w:sz="0" w:space="0" w:color="auto"/>
                <w:left w:val="none" w:sz="0" w:space="0" w:color="auto"/>
                <w:bottom w:val="none" w:sz="0" w:space="0" w:color="auto"/>
                <w:right w:val="none" w:sz="0" w:space="0" w:color="auto"/>
              </w:divBdr>
              <w:divsChild>
                <w:div w:id="1787965358">
                  <w:marLeft w:val="0"/>
                  <w:marRight w:val="0"/>
                  <w:marTop w:val="0"/>
                  <w:marBottom w:val="0"/>
                  <w:divBdr>
                    <w:top w:val="none" w:sz="0" w:space="0" w:color="auto"/>
                    <w:left w:val="none" w:sz="0" w:space="0" w:color="auto"/>
                    <w:bottom w:val="none" w:sz="0" w:space="0" w:color="auto"/>
                    <w:right w:val="none" w:sz="0" w:space="0" w:color="auto"/>
                  </w:divBdr>
                  <w:divsChild>
                    <w:div w:id="197795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529432">
      <w:bodyDiv w:val="1"/>
      <w:marLeft w:val="0"/>
      <w:marRight w:val="0"/>
      <w:marTop w:val="0"/>
      <w:marBottom w:val="0"/>
      <w:divBdr>
        <w:top w:val="none" w:sz="0" w:space="0" w:color="auto"/>
        <w:left w:val="none" w:sz="0" w:space="0" w:color="auto"/>
        <w:bottom w:val="none" w:sz="0" w:space="0" w:color="auto"/>
        <w:right w:val="none" w:sz="0" w:space="0" w:color="auto"/>
      </w:divBdr>
      <w:divsChild>
        <w:div w:id="741563152">
          <w:marLeft w:val="0"/>
          <w:marRight w:val="0"/>
          <w:marTop w:val="0"/>
          <w:marBottom w:val="0"/>
          <w:divBdr>
            <w:top w:val="none" w:sz="0" w:space="0" w:color="auto"/>
            <w:left w:val="none" w:sz="0" w:space="0" w:color="auto"/>
            <w:bottom w:val="none" w:sz="0" w:space="0" w:color="auto"/>
            <w:right w:val="none" w:sz="0" w:space="0" w:color="auto"/>
          </w:divBdr>
          <w:divsChild>
            <w:div w:id="587232922">
              <w:marLeft w:val="0"/>
              <w:marRight w:val="0"/>
              <w:marTop w:val="0"/>
              <w:marBottom w:val="0"/>
              <w:divBdr>
                <w:top w:val="none" w:sz="0" w:space="0" w:color="auto"/>
                <w:left w:val="none" w:sz="0" w:space="0" w:color="auto"/>
                <w:bottom w:val="none" w:sz="0" w:space="0" w:color="auto"/>
                <w:right w:val="none" w:sz="0" w:space="0" w:color="auto"/>
              </w:divBdr>
              <w:divsChild>
                <w:div w:id="1348092933">
                  <w:marLeft w:val="0"/>
                  <w:marRight w:val="0"/>
                  <w:marTop w:val="0"/>
                  <w:marBottom w:val="0"/>
                  <w:divBdr>
                    <w:top w:val="none" w:sz="0" w:space="0" w:color="auto"/>
                    <w:left w:val="none" w:sz="0" w:space="0" w:color="auto"/>
                    <w:bottom w:val="none" w:sz="0" w:space="0" w:color="auto"/>
                    <w:right w:val="none" w:sz="0" w:space="0" w:color="auto"/>
                  </w:divBdr>
                  <w:divsChild>
                    <w:div w:id="195385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261085">
      <w:bodyDiv w:val="1"/>
      <w:marLeft w:val="0"/>
      <w:marRight w:val="0"/>
      <w:marTop w:val="0"/>
      <w:marBottom w:val="0"/>
      <w:divBdr>
        <w:top w:val="none" w:sz="0" w:space="0" w:color="auto"/>
        <w:left w:val="none" w:sz="0" w:space="0" w:color="auto"/>
        <w:bottom w:val="none" w:sz="0" w:space="0" w:color="auto"/>
        <w:right w:val="none" w:sz="0" w:space="0" w:color="auto"/>
      </w:divBdr>
      <w:divsChild>
        <w:div w:id="1712145807">
          <w:marLeft w:val="0"/>
          <w:marRight w:val="0"/>
          <w:marTop w:val="0"/>
          <w:marBottom w:val="0"/>
          <w:divBdr>
            <w:top w:val="none" w:sz="0" w:space="0" w:color="auto"/>
            <w:left w:val="none" w:sz="0" w:space="0" w:color="auto"/>
            <w:bottom w:val="none" w:sz="0" w:space="0" w:color="auto"/>
            <w:right w:val="none" w:sz="0" w:space="0" w:color="auto"/>
          </w:divBdr>
          <w:divsChild>
            <w:div w:id="1956715681">
              <w:marLeft w:val="0"/>
              <w:marRight w:val="0"/>
              <w:marTop w:val="0"/>
              <w:marBottom w:val="0"/>
              <w:divBdr>
                <w:top w:val="none" w:sz="0" w:space="0" w:color="auto"/>
                <w:left w:val="none" w:sz="0" w:space="0" w:color="auto"/>
                <w:bottom w:val="none" w:sz="0" w:space="0" w:color="auto"/>
                <w:right w:val="none" w:sz="0" w:space="0" w:color="auto"/>
              </w:divBdr>
              <w:divsChild>
                <w:div w:id="25016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064736">
      <w:bodyDiv w:val="1"/>
      <w:marLeft w:val="0"/>
      <w:marRight w:val="0"/>
      <w:marTop w:val="0"/>
      <w:marBottom w:val="0"/>
      <w:divBdr>
        <w:top w:val="none" w:sz="0" w:space="0" w:color="auto"/>
        <w:left w:val="none" w:sz="0" w:space="0" w:color="auto"/>
        <w:bottom w:val="none" w:sz="0" w:space="0" w:color="auto"/>
        <w:right w:val="none" w:sz="0" w:space="0" w:color="auto"/>
      </w:divBdr>
    </w:div>
    <w:div w:id="549153209">
      <w:bodyDiv w:val="1"/>
      <w:marLeft w:val="0"/>
      <w:marRight w:val="0"/>
      <w:marTop w:val="0"/>
      <w:marBottom w:val="0"/>
      <w:divBdr>
        <w:top w:val="none" w:sz="0" w:space="0" w:color="auto"/>
        <w:left w:val="none" w:sz="0" w:space="0" w:color="auto"/>
        <w:bottom w:val="none" w:sz="0" w:space="0" w:color="auto"/>
        <w:right w:val="none" w:sz="0" w:space="0" w:color="auto"/>
      </w:divBdr>
      <w:divsChild>
        <w:div w:id="1763068250">
          <w:marLeft w:val="0"/>
          <w:marRight w:val="1"/>
          <w:marTop w:val="0"/>
          <w:marBottom w:val="0"/>
          <w:divBdr>
            <w:top w:val="none" w:sz="0" w:space="0" w:color="auto"/>
            <w:left w:val="none" w:sz="0" w:space="0" w:color="auto"/>
            <w:bottom w:val="none" w:sz="0" w:space="0" w:color="auto"/>
            <w:right w:val="none" w:sz="0" w:space="0" w:color="auto"/>
          </w:divBdr>
          <w:divsChild>
            <w:div w:id="796678606">
              <w:marLeft w:val="0"/>
              <w:marRight w:val="0"/>
              <w:marTop w:val="0"/>
              <w:marBottom w:val="0"/>
              <w:divBdr>
                <w:top w:val="none" w:sz="0" w:space="0" w:color="auto"/>
                <w:left w:val="none" w:sz="0" w:space="0" w:color="auto"/>
                <w:bottom w:val="none" w:sz="0" w:space="0" w:color="auto"/>
                <w:right w:val="none" w:sz="0" w:space="0" w:color="auto"/>
              </w:divBdr>
              <w:divsChild>
                <w:div w:id="1270507225">
                  <w:marLeft w:val="0"/>
                  <w:marRight w:val="1"/>
                  <w:marTop w:val="0"/>
                  <w:marBottom w:val="0"/>
                  <w:divBdr>
                    <w:top w:val="none" w:sz="0" w:space="0" w:color="auto"/>
                    <w:left w:val="none" w:sz="0" w:space="0" w:color="auto"/>
                    <w:bottom w:val="none" w:sz="0" w:space="0" w:color="auto"/>
                    <w:right w:val="none" w:sz="0" w:space="0" w:color="auto"/>
                  </w:divBdr>
                  <w:divsChild>
                    <w:div w:id="1970940169">
                      <w:marLeft w:val="0"/>
                      <w:marRight w:val="0"/>
                      <w:marTop w:val="0"/>
                      <w:marBottom w:val="0"/>
                      <w:divBdr>
                        <w:top w:val="none" w:sz="0" w:space="0" w:color="auto"/>
                        <w:left w:val="none" w:sz="0" w:space="0" w:color="auto"/>
                        <w:bottom w:val="none" w:sz="0" w:space="0" w:color="auto"/>
                        <w:right w:val="none" w:sz="0" w:space="0" w:color="auto"/>
                      </w:divBdr>
                      <w:divsChild>
                        <w:div w:id="2071297823">
                          <w:marLeft w:val="0"/>
                          <w:marRight w:val="0"/>
                          <w:marTop w:val="0"/>
                          <w:marBottom w:val="0"/>
                          <w:divBdr>
                            <w:top w:val="none" w:sz="0" w:space="0" w:color="auto"/>
                            <w:left w:val="none" w:sz="0" w:space="0" w:color="auto"/>
                            <w:bottom w:val="none" w:sz="0" w:space="0" w:color="auto"/>
                            <w:right w:val="none" w:sz="0" w:space="0" w:color="auto"/>
                          </w:divBdr>
                          <w:divsChild>
                            <w:div w:id="1039090659">
                              <w:marLeft w:val="0"/>
                              <w:marRight w:val="0"/>
                              <w:marTop w:val="120"/>
                              <w:marBottom w:val="360"/>
                              <w:divBdr>
                                <w:top w:val="none" w:sz="0" w:space="0" w:color="auto"/>
                                <w:left w:val="none" w:sz="0" w:space="0" w:color="auto"/>
                                <w:bottom w:val="none" w:sz="0" w:space="0" w:color="auto"/>
                                <w:right w:val="none" w:sz="0" w:space="0" w:color="auto"/>
                              </w:divBdr>
                              <w:divsChild>
                                <w:div w:id="1945575811">
                                  <w:marLeft w:val="420"/>
                                  <w:marRight w:val="0"/>
                                  <w:marTop w:val="0"/>
                                  <w:marBottom w:val="0"/>
                                  <w:divBdr>
                                    <w:top w:val="none" w:sz="0" w:space="0" w:color="auto"/>
                                    <w:left w:val="none" w:sz="0" w:space="0" w:color="auto"/>
                                    <w:bottom w:val="none" w:sz="0" w:space="0" w:color="auto"/>
                                    <w:right w:val="none" w:sz="0" w:space="0" w:color="auto"/>
                                  </w:divBdr>
                                  <w:divsChild>
                                    <w:div w:id="1621959792">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3320287">
      <w:bodyDiv w:val="1"/>
      <w:marLeft w:val="0"/>
      <w:marRight w:val="0"/>
      <w:marTop w:val="0"/>
      <w:marBottom w:val="0"/>
      <w:divBdr>
        <w:top w:val="none" w:sz="0" w:space="0" w:color="auto"/>
        <w:left w:val="none" w:sz="0" w:space="0" w:color="auto"/>
        <w:bottom w:val="none" w:sz="0" w:space="0" w:color="auto"/>
        <w:right w:val="none" w:sz="0" w:space="0" w:color="auto"/>
      </w:divBdr>
      <w:divsChild>
        <w:div w:id="1815826585">
          <w:marLeft w:val="0"/>
          <w:marRight w:val="0"/>
          <w:marTop w:val="0"/>
          <w:marBottom w:val="0"/>
          <w:divBdr>
            <w:top w:val="none" w:sz="0" w:space="0" w:color="auto"/>
            <w:left w:val="none" w:sz="0" w:space="0" w:color="auto"/>
            <w:bottom w:val="none" w:sz="0" w:space="0" w:color="auto"/>
            <w:right w:val="none" w:sz="0" w:space="0" w:color="auto"/>
          </w:divBdr>
          <w:divsChild>
            <w:div w:id="1420371983">
              <w:marLeft w:val="0"/>
              <w:marRight w:val="0"/>
              <w:marTop w:val="0"/>
              <w:marBottom w:val="0"/>
              <w:divBdr>
                <w:top w:val="none" w:sz="0" w:space="0" w:color="auto"/>
                <w:left w:val="none" w:sz="0" w:space="0" w:color="auto"/>
                <w:bottom w:val="none" w:sz="0" w:space="0" w:color="auto"/>
                <w:right w:val="none" w:sz="0" w:space="0" w:color="auto"/>
              </w:divBdr>
              <w:divsChild>
                <w:div w:id="1404180441">
                  <w:marLeft w:val="0"/>
                  <w:marRight w:val="0"/>
                  <w:marTop w:val="0"/>
                  <w:marBottom w:val="0"/>
                  <w:divBdr>
                    <w:top w:val="none" w:sz="0" w:space="0" w:color="auto"/>
                    <w:left w:val="none" w:sz="0" w:space="0" w:color="auto"/>
                    <w:bottom w:val="none" w:sz="0" w:space="0" w:color="auto"/>
                    <w:right w:val="none" w:sz="0" w:space="0" w:color="auto"/>
                  </w:divBdr>
                </w:div>
                <w:div w:id="56290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879754">
      <w:bodyDiv w:val="1"/>
      <w:marLeft w:val="0"/>
      <w:marRight w:val="0"/>
      <w:marTop w:val="0"/>
      <w:marBottom w:val="0"/>
      <w:divBdr>
        <w:top w:val="none" w:sz="0" w:space="0" w:color="auto"/>
        <w:left w:val="none" w:sz="0" w:space="0" w:color="auto"/>
        <w:bottom w:val="none" w:sz="0" w:space="0" w:color="auto"/>
        <w:right w:val="none" w:sz="0" w:space="0" w:color="auto"/>
      </w:divBdr>
      <w:divsChild>
        <w:div w:id="922378106">
          <w:marLeft w:val="0"/>
          <w:marRight w:val="0"/>
          <w:marTop w:val="0"/>
          <w:marBottom w:val="0"/>
          <w:divBdr>
            <w:top w:val="none" w:sz="0" w:space="0" w:color="auto"/>
            <w:left w:val="none" w:sz="0" w:space="0" w:color="auto"/>
            <w:bottom w:val="none" w:sz="0" w:space="0" w:color="auto"/>
            <w:right w:val="none" w:sz="0" w:space="0" w:color="auto"/>
          </w:divBdr>
        </w:div>
        <w:div w:id="2001540501">
          <w:marLeft w:val="0"/>
          <w:marRight w:val="0"/>
          <w:marTop w:val="0"/>
          <w:marBottom w:val="0"/>
          <w:divBdr>
            <w:top w:val="none" w:sz="0" w:space="0" w:color="auto"/>
            <w:left w:val="none" w:sz="0" w:space="0" w:color="auto"/>
            <w:bottom w:val="none" w:sz="0" w:space="0" w:color="auto"/>
            <w:right w:val="none" w:sz="0" w:space="0" w:color="auto"/>
          </w:divBdr>
        </w:div>
        <w:div w:id="23404736">
          <w:marLeft w:val="0"/>
          <w:marRight w:val="0"/>
          <w:marTop w:val="0"/>
          <w:marBottom w:val="0"/>
          <w:divBdr>
            <w:top w:val="none" w:sz="0" w:space="0" w:color="auto"/>
            <w:left w:val="none" w:sz="0" w:space="0" w:color="auto"/>
            <w:bottom w:val="none" w:sz="0" w:space="0" w:color="auto"/>
            <w:right w:val="none" w:sz="0" w:space="0" w:color="auto"/>
          </w:divBdr>
        </w:div>
        <w:div w:id="1945184797">
          <w:marLeft w:val="0"/>
          <w:marRight w:val="0"/>
          <w:marTop w:val="0"/>
          <w:marBottom w:val="0"/>
          <w:divBdr>
            <w:top w:val="none" w:sz="0" w:space="0" w:color="auto"/>
            <w:left w:val="none" w:sz="0" w:space="0" w:color="auto"/>
            <w:bottom w:val="none" w:sz="0" w:space="0" w:color="auto"/>
            <w:right w:val="none" w:sz="0" w:space="0" w:color="auto"/>
          </w:divBdr>
          <w:divsChild>
            <w:div w:id="199020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087322">
      <w:bodyDiv w:val="1"/>
      <w:marLeft w:val="0"/>
      <w:marRight w:val="0"/>
      <w:marTop w:val="0"/>
      <w:marBottom w:val="0"/>
      <w:divBdr>
        <w:top w:val="none" w:sz="0" w:space="0" w:color="auto"/>
        <w:left w:val="none" w:sz="0" w:space="0" w:color="auto"/>
        <w:bottom w:val="none" w:sz="0" w:space="0" w:color="auto"/>
        <w:right w:val="none" w:sz="0" w:space="0" w:color="auto"/>
      </w:divBdr>
      <w:divsChild>
        <w:div w:id="420227623">
          <w:marLeft w:val="0"/>
          <w:marRight w:val="0"/>
          <w:marTop w:val="0"/>
          <w:marBottom w:val="0"/>
          <w:divBdr>
            <w:top w:val="none" w:sz="0" w:space="0" w:color="auto"/>
            <w:left w:val="none" w:sz="0" w:space="0" w:color="auto"/>
            <w:bottom w:val="none" w:sz="0" w:space="0" w:color="auto"/>
            <w:right w:val="none" w:sz="0" w:space="0" w:color="auto"/>
          </w:divBdr>
        </w:div>
        <w:div w:id="640502099">
          <w:marLeft w:val="0"/>
          <w:marRight w:val="0"/>
          <w:marTop w:val="0"/>
          <w:marBottom w:val="0"/>
          <w:divBdr>
            <w:top w:val="none" w:sz="0" w:space="0" w:color="auto"/>
            <w:left w:val="none" w:sz="0" w:space="0" w:color="auto"/>
            <w:bottom w:val="none" w:sz="0" w:space="0" w:color="auto"/>
            <w:right w:val="none" w:sz="0" w:space="0" w:color="auto"/>
          </w:divBdr>
        </w:div>
      </w:divsChild>
    </w:div>
    <w:div w:id="626088684">
      <w:bodyDiv w:val="1"/>
      <w:marLeft w:val="0"/>
      <w:marRight w:val="0"/>
      <w:marTop w:val="0"/>
      <w:marBottom w:val="0"/>
      <w:divBdr>
        <w:top w:val="none" w:sz="0" w:space="0" w:color="auto"/>
        <w:left w:val="none" w:sz="0" w:space="0" w:color="auto"/>
        <w:bottom w:val="none" w:sz="0" w:space="0" w:color="auto"/>
        <w:right w:val="none" w:sz="0" w:space="0" w:color="auto"/>
      </w:divBdr>
      <w:divsChild>
        <w:div w:id="449711102">
          <w:marLeft w:val="0"/>
          <w:marRight w:val="0"/>
          <w:marTop w:val="0"/>
          <w:marBottom w:val="0"/>
          <w:divBdr>
            <w:top w:val="none" w:sz="0" w:space="0" w:color="auto"/>
            <w:left w:val="none" w:sz="0" w:space="0" w:color="auto"/>
            <w:bottom w:val="none" w:sz="0" w:space="0" w:color="auto"/>
            <w:right w:val="none" w:sz="0" w:space="0" w:color="auto"/>
          </w:divBdr>
          <w:divsChild>
            <w:div w:id="1548685757">
              <w:marLeft w:val="0"/>
              <w:marRight w:val="0"/>
              <w:marTop w:val="0"/>
              <w:marBottom w:val="0"/>
              <w:divBdr>
                <w:top w:val="none" w:sz="0" w:space="0" w:color="auto"/>
                <w:left w:val="none" w:sz="0" w:space="0" w:color="auto"/>
                <w:bottom w:val="none" w:sz="0" w:space="0" w:color="auto"/>
                <w:right w:val="none" w:sz="0" w:space="0" w:color="auto"/>
              </w:divBdr>
              <w:divsChild>
                <w:div w:id="1593081724">
                  <w:marLeft w:val="0"/>
                  <w:marRight w:val="0"/>
                  <w:marTop w:val="0"/>
                  <w:marBottom w:val="0"/>
                  <w:divBdr>
                    <w:top w:val="none" w:sz="0" w:space="0" w:color="auto"/>
                    <w:left w:val="none" w:sz="0" w:space="0" w:color="auto"/>
                    <w:bottom w:val="none" w:sz="0" w:space="0" w:color="auto"/>
                    <w:right w:val="none" w:sz="0" w:space="0" w:color="auto"/>
                  </w:divBdr>
                  <w:divsChild>
                    <w:div w:id="85978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050619">
      <w:bodyDiv w:val="1"/>
      <w:marLeft w:val="0"/>
      <w:marRight w:val="0"/>
      <w:marTop w:val="0"/>
      <w:marBottom w:val="0"/>
      <w:divBdr>
        <w:top w:val="none" w:sz="0" w:space="0" w:color="auto"/>
        <w:left w:val="none" w:sz="0" w:space="0" w:color="auto"/>
        <w:bottom w:val="none" w:sz="0" w:space="0" w:color="auto"/>
        <w:right w:val="none" w:sz="0" w:space="0" w:color="auto"/>
      </w:divBdr>
      <w:divsChild>
        <w:div w:id="308440421">
          <w:marLeft w:val="0"/>
          <w:marRight w:val="0"/>
          <w:marTop w:val="0"/>
          <w:marBottom w:val="0"/>
          <w:divBdr>
            <w:top w:val="none" w:sz="0" w:space="0" w:color="auto"/>
            <w:left w:val="none" w:sz="0" w:space="0" w:color="auto"/>
            <w:bottom w:val="none" w:sz="0" w:space="0" w:color="auto"/>
            <w:right w:val="none" w:sz="0" w:space="0" w:color="auto"/>
          </w:divBdr>
        </w:div>
        <w:div w:id="1992098831">
          <w:marLeft w:val="0"/>
          <w:marRight w:val="0"/>
          <w:marTop w:val="0"/>
          <w:marBottom w:val="0"/>
          <w:divBdr>
            <w:top w:val="none" w:sz="0" w:space="0" w:color="auto"/>
            <w:left w:val="none" w:sz="0" w:space="0" w:color="auto"/>
            <w:bottom w:val="none" w:sz="0" w:space="0" w:color="auto"/>
            <w:right w:val="none" w:sz="0" w:space="0" w:color="auto"/>
          </w:divBdr>
        </w:div>
        <w:div w:id="1204440885">
          <w:marLeft w:val="0"/>
          <w:marRight w:val="0"/>
          <w:marTop w:val="0"/>
          <w:marBottom w:val="0"/>
          <w:divBdr>
            <w:top w:val="none" w:sz="0" w:space="0" w:color="auto"/>
            <w:left w:val="none" w:sz="0" w:space="0" w:color="auto"/>
            <w:bottom w:val="none" w:sz="0" w:space="0" w:color="auto"/>
            <w:right w:val="none" w:sz="0" w:space="0" w:color="auto"/>
          </w:divBdr>
        </w:div>
        <w:div w:id="1600328756">
          <w:marLeft w:val="0"/>
          <w:marRight w:val="0"/>
          <w:marTop w:val="0"/>
          <w:marBottom w:val="0"/>
          <w:divBdr>
            <w:top w:val="none" w:sz="0" w:space="0" w:color="auto"/>
            <w:left w:val="none" w:sz="0" w:space="0" w:color="auto"/>
            <w:bottom w:val="none" w:sz="0" w:space="0" w:color="auto"/>
            <w:right w:val="none" w:sz="0" w:space="0" w:color="auto"/>
          </w:divBdr>
          <w:divsChild>
            <w:div w:id="123150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535450">
      <w:bodyDiv w:val="1"/>
      <w:marLeft w:val="0"/>
      <w:marRight w:val="0"/>
      <w:marTop w:val="0"/>
      <w:marBottom w:val="0"/>
      <w:divBdr>
        <w:top w:val="none" w:sz="0" w:space="0" w:color="auto"/>
        <w:left w:val="none" w:sz="0" w:space="0" w:color="auto"/>
        <w:bottom w:val="none" w:sz="0" w:space="0" w:color="auto"/>
        <w:right w:val="none" w:sz="0" w:space="0" w:color="auto"/>
      </w:divBdr>
      <w:divsChild>
        <w:div w:id="2002614675">
          <w:marLeft w:val="0"/>
          <w:marRight w:val="0"/>
          <w:marTop w:val="0"/>
          <w:marBottom w:val="0"/>
          <w:divBdr>
            <w:top w:val="none" w:sz="0" w:space="0" w:color="auto"/>
            <w:left w:val="none" w:sz="0" w:space="0" w:color="auto"/>
            <w:bottom w:val="none" w:sz="0" w:space="0" w:color="auto"/>
            <w:right w:val="none" w:sz="0" w:space="0" w:color="auto"/>
          </w:divBdr>
          <w:divsChild>
            <w:div w:id="944776521">
              <w:marLeft w:val="0"/>
              <w:marRight w:val="0"/>
              <w:marTop w:val="0"/>
              <w:marBottom w:val="0"/>
              <w:divBdr>
                <w:top w:val="none" w:sz="0" w:space="0" w:color="auto"/>
                <w:left w:val="none" w:sz="0" w:space="0" w:color="auto"/>
                <w:bottom w:val="none" w:sz="0" w:space="0" w:color="auto"/>
                <w:right w:val="none" w:sz="0" w:space="0" w:color="auto"/>
              </w:divBdr>
              <w:divsChild>
                <w:div w:id="164562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921906">
      <w:bodyDiv w:val="1"/>
      <w:marLeft w:val="0"/>
      <w:marRight w:val="0"/>
      <w:marTop w:val="0"/>
      <w:marBottom w:val="0"/>
      <w:divBdr>
        <w:top w:val="none" w:sz="0" w:space="0" w:color="auto"/>
        <w:left w:val="none" w:sz="0" w:space="0" w:color="auto"/>
        <w:bottom w:val="none" w:sz="0" w:space="0" w:color="auto"/>
        <w:right w:val="none" w:sz="0" w:space="0" w:color="auto"/>
      </w:divBdr>
      <w:divsChild>
        <w:div w:id="343749749">
          <w:marLeft w:val="0"/>
          <w:marRight w:val="0"/>
          <w:marTop w:val="0"/>
          <w:marBottom w:val="0"/>
          <w:divBdr>
            <w:top w:val="none" w:sz="0" w:space="0" w:color="auto"/>
            <w:left w:val="none" w:sz="0" w:space="0" w:color="auto"/>
            <w:bottom w:val="none" w:sz="0" w:space="0" w:color="auto"/>
            <w:right w:val="none" w:sz="0" w:space="0" w:color="auto"/>
          </w:divBdr>
        </w:div>
        <w:div w:id="319119975">
          <w:marLeft w:val="0"/>
          <w:marRight w:val="0"/>
          <w:marTop w:val="0"/>
          <w:marBottom w:val="0"/>
          <w:divBdr>
            <w:top w:val="none" w:sz="0" w:space="0" w:color="auto"/>
            <w:left w:val="none" w:sz="0" w:space="0" w:color="auto"/>
            <w:bottom w:val="none" w:sz="0" w:space="0" w:color="auto"/>
            <w:right w:val="none" w:sz="0" w:space="0" w:color="auto"/>
          </w:divBdr>
        </w:div>
        <w:div w:id="758478036">
          <w:marLeft w:val="0"/>
          <w:marRight w:val="0"/>
          <w:marTop w:val="0"/>
          <w:marBottom w:val="0"/>
          <w:divBdr>
            <w:top w:val="none" w:sz="0" w:space="0" w:color="auto"/>
            <w:left w:val="none" w:sz="0" w:space="0" w:color="auto"/>
            <w:bottom w:val="none" w:sz="0" w:space="0" w:color="auto"/>
            <w:right w:val="none" w:sz="0" w:space="0" w:color="auto"/>
          </w:divBdr>
        </w:div>
        <w:div w:id="1393115615">
          <w:marLeft w:val="0"/>
          <w:marRight w:val="0"/>
          <w:marTop w:val="0"/>
          <w:marBottom w:val="0"/>
          <w:divBdr>
            <w:top w:val="none" w:sz="0" w:space="0" w:color="auto"/>
            <w:left w:val="none" w:sz="0" w:space="0" w:color="auto"/>
            <w:bottom w:val="none" w:sz="0" w:space="0" w:color="auto"/>
            <w:right w:val="none" w:sz="0" w:space="0" w:color="auto"/>
          </w:divBdr>
          <w:divsChild>
            <w:div w:id="38221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024288">
      <w:bodyDiv w:val="1"/>
      <w:marLeft w:val="0"/>
      <w:marRight w:val="0"/>
      <w:marTop w:val="0"/>
      <w:marBottom w:val="0"/>
      <w:divBdr>
        <w:top w:val="none" w:sz="0" w:space="0" w:color="auto"/>
        <w:left w:val="none" w:sz="0" w:space="0" w:color="auto"/>
        <w:bottom w:val="none" w:sz="0" w:space="0" w:color="auto"/>
        <w:right w:val="none" w:sz="0" w:space="0" w:color="auto"/>
      </w:divBdr>
      <w:divsChild>
        <w:div w:id="337468927">
          <w:marLeft w:val="0"/>
          <w:marRight w:val="0"/>
          <w:marTop w:val="0"/>
          <w:marBottom w:val="0"/>
          <w:divBdr>
            <w:top w:val="none" w:sz="0" w:space="0" w:color="auto"/>
            <w:left w:val="none" w:sz="0" w:space="0" w:color="auto"/>
            <w:bottom w:val="none" w:sz="0" w:space="0" w:color="auto"/>
            <w:right w:val="none" w:sz="0" w:space="0" w:color="auto"/>
          </w:divBdr>
          <w:divsChild>
            <w:div w:id="1752002929">
              <w:marLeft w:val="0"/>
              <w:marRight w:val="0"/>
              <w:marTop w:val="0"/>
              <w:marBottom w:val="0"/>
              <w:divBdr>
                <w:top w:val="none" w:sz="0" w:space="0" w:color="auto"/>
                <w:left w:val="none" w:sz="0" w:space="0" w:color="auto"/>
                <w:bottom w:val="none" w:sz="0" w:space="0" w:color="auto"/>
                <w:right w:val="none" w:sz="0" w:space="0" w:color="auto"/>
              </w:divBdr>
              <w:divsChild>
                <w:div w:id="94407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731027">
      <w:bodyDiv w:val="1"/>
      <w:marLeft w:val="0"/>
      <w:marRight w:val="0"/>
      <w:marTop w:val="0"/>
      <w:marBottom w:val="0"/>
      <w:divBdr>
        <w:top w:val="none" w:sz="0" w:space="0" w:color="auto"/>
        <w:left w:val="none" w:sz="0" w:space="0" w:color="auto"/>
        <w:bottom w:val="none" w:sz="0" w:space="0" w:color="auto"/>
        <w:right w:val="none" w:sz="0" w:space="0" w:color="auto"/>
      </w:divBdr>
    </w:div>
    <w:div w:id="731777505">
      <w:bodyDiv w:val="1"/>
      <w:marLeft w:val="0"/>
      <w:marRight w:val="0"/>
      <w:marTop w:val="0"/>
      <w:marBottom w:val="0"/>
      <w:divBdr>
        <w:top w:val="none" w:sz="0" w:space="0" w:color="auto"/>
        <w:left w:val="none" w:sz="0" w:space="0" w:color="auto"/>
        <w:bottom w:val="none" w:sz="0" w:space="0" w:color="auto"/>
        <w:right w:val="none" w:sz="0" w:space="0" w:color="auto"/>
      </w:divBdr>
      <w:divsChild>
        <w:div w:id="1324695912">
          <w:marLeft w:val="0"/>
          <w:marRight w:val="0"/>
          <w:marTop w:val="0"/>
          <w:marBottom w:val="0"/>
          <w:divBdr>
            <w:top w:val="none" w:sz="0" w:space="0" w:color="auto"/>
            <w:left w:val="none" w:sz="0" w:space="0" w:color="auto"/>
            <w:bottom w:val="none" w:sz="0" w:space="0" w:color="auto"/>
            <w:right w:val="none" w:sz="0" w:space="0" w:color="auto"/>
          </w:divBdr>
        </w:div>
        <w:div w:id="1289434415">
          <w:marLeft w:val="0"/>
          <w:marRight w:val="0"/>
          <w:marTop w:val="0"/>
          <w:marBottom w:val="0"/>
          <w:divBdr>
            <w:top w:val="none" w:sz="0" w:space="0" w:color="auto"/>
            <w:left w:val="none" w:sz="0" w:space="0" w:color="auto"/>
            <w:bottom w:val="none" w:sz="0" w:space="0" w:color="auto"/>
            <w:right w:val="none" w:sz="0" w:space="0" w:color="auto"/>
          </w:divBdr>
        </w:div>
        <w:div w:id="1718045395">
          <w:marLeft w:val="0"/>
          <w:marRight w:val="0"/>
          <w:marTop w:val="0"/>
          <w:marBottom w:val="0"/>
          <w:divBdr>
            <w:top w:val="none" w:sz="0" w:space="0" w:color="auto"/>
            <w:left w:val="none" w:sz="0" w:space="0" w:color="auto"/>
            <w:bottom w:val="none" w:sz="0" w:space="0" w:color="auto"/>
            <w:right w:val="none" w:sz="0" w:space="0" w:color="auto"/>
          </w:divBdr>
        </w:div>
        <w:div w:id="1383824837">
          <w:marLeft w:val="0"/>
          <w:marRight w:val="0"/>
          <w:marTop w:val="0"/>
          <w:marBottom w:val="0"/>
          <w:divBdr>
            <w:top w:val="none" w:sz="0" w:space="0" w:color="auto"/>
            <w:left w:val="none" w:sz="0" w:space="0" w:color="auto"/>
            <w:bottom w:val="none" w:sz="0" w:space="0" w:color="auto"/>
            <w:right w:val="none" w:sz="0" w:space="0" w:color="auto"/>
          </w:divBdr>
          <w:divsChild>
            <w:div w:id="64586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083222">
      <w:bodyDiv w:val="1"/>
      <w:marLeft w:val="0"/>
      <w:marRight w:val="0"/>
      <w:marTop w:val="0"/>
      <w:marBottom w:val="0"/>
      <w:divBdr>
        <w:top w:val="none" w:sz="0" w:space="0" w:color="auto"/>
        <w:left w:val="none" w:sz="0" w:space="0" w:color="auto"/>
        <w:bottom w:val="none" w:sz="0" w:space="0" w:color="auto"/>
        <w:right w:val="none" w:sz="0" w:space="0" w:color="auto"/>
      </w:divBdr>
      <w:divsChild>
        <w:div w:id="153646426">
          <w:marLeft w:val="0"/>
          <w:marRight w:val="1"/>
          <w:marTop w:val="0"/>
          <w:marBottom w:val="0"/>
          <w:divBdr>
            <w:top w:val="none" w:sz="0" w:space="0" w:color="auto"/>
            <w:left w:val="none" w:sz="0" w:space="0" w:color="auto"/>
            <w:bottom w:val="none" w:sz="0" w:space="0" w:color="auto"/>
            <w:right w:val="none" w:sz="0" w:space="0" w:color="auto"/>
          </w:divBdr>
          <w:divsChild>
            <w:div w:id="2112238165">
              <w:marLeft w:val="0"/>
              <w:marRight w:val="0"/>
              <w:marTop w:val="0"/>
              <w:marBottom w:val="0"/>
              <w:divBdr>
                <w:top w:val="none" w:sz="0" w:space="0" w:color="auto"/>
                <w:left w:val="none" w:sz="0" w:space="0" w:color="auto"/>
                <w:bottom w:val="none" w:sz="0" w:space="0" w:color="auto"/>
                <w:right w:val="none" w:sz="0" w:space="0" w:color="auto"/>
              </w:divBdr>
              <w:divsChild>
                <w:div w:id="1505784109">
                  <w:marLeft w:val="0"/>
                  <w:marRight w:val="1"/>
                  <w:marTop w:val="0"/>
                  <w:marBottom w:val="0"/>
                  <w:divBdr>
                    <w:top w:val="none" w:sz="0" w:space="0" w:color="auto"/>
                    <w:left w:val="none" w:sz="0" w:space="0" w:color="auto"/>
                    <w:bottom w:val="none" w:sz="0" w:space="0" w:color="auto"/>
                    <w:right w:val="none" w:sz="0" w:space="0" w:color="auto"/>
                  </w:divBdr>
                  <w:divsChild>
                    <w:div w:id="1728871278">
                      <w:marLeft w:val="0"/>
                      <w:marRight w:val="0"/>
                      <w:marTop w:val="0"/>
                      <w:marBottom w:val="0"/>
                      <w:divBdr>
                        <w:top w:val="none" w:sz="0" w:space="0" w:color="auto"/>
                        <w:left w:val="none" w:sz="0" w:space="0" w:color="auto"/>
                        <w:bottom w:val="none" w:sz="0" w:space="0" w:color="auto"/>
                        <w:right w:val="none" w:sz="0" w:space="0" w:color="auto"/>
                      </w:divBdr>
                      <w:divsChild>
                        <w:div w:id="1859808693">
                          <w:marLeft w:val="0"/>
                          <w:marRight w:val="0"/>
                          <w:marTop w:val="0"/>
                          <w:marBottom w:val="0"/>
                          <w:divBdr>
                            <w:top w:val="none" w:sz="0" w:space="0" w:color="auto"/>
                            <w:left w:val="none" w:sz="0" w:space="0" w:color="auto"/>
                            <w:bottom w:val="none" w:sz="0" w:space="0" w:color="auto"/>
                            <w:right w:val="none" w:sz="0" w:space="0" w:color="auto"/>
                          </w:divBdr>
                          <w:divsChild>
                            <w:div w:id="1504396199">
                              <w:marLeft w:val="0"/>
                              <w:marRight w:val="0"/>
                              <w:marTop w:val="120"/>
                              <w:marBottom w:val="360"/>
                              <w:divBdr>
                                <w:top w:val="none" w:sz="0" w:space="0" w:color="auto"/>
                                <w:left w:val="none" w:sz="0" w:space="0" w:color="auto"/>
                                <w:bottom w:val="none" w:sz="0" w:space="0" w:color="auto"/>
                                <w:right w:val="none" w:sz="0" w:space="0" w:color="auto"/>
                              </w:divBdr>
                              <w:divsChild>
                                <w:div w:id="475224826">
                                  <w:marLeft w:val="420"/>
                                  <w:marRight w:val="0"/>
                                  <w:marTop w:val="0"/>
                                  <w:marBottom w:val="0"/>
                                  <w:divBdr>
                                    <w:top w:val="none" w:sz="0" w:space="0" w:color="auto"/>
                                    <w:left w:val="none" w:sz="0" w:space="0" w:color="auto"/>
                                    <w:bottom w:val="none" w:sz="0" w:space="0" w:color="auto"/>
                                    <w:right w:val="none" w:sz="0" w:space="0" w:color="auto"/>
                                  </w:divBdr>
                                  <w:divsChild>
                                    <w:div w:id="2092191970">
                                      <w:marLeft w:val="0"/>
                                      <w:marRight w:val="0"/>
                                      <w:marTop w:val="34"/>
                                      <w:marBottom w:val="3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7797362">
      <w:bodyDiv w:val="1"/>
      <w:marLeft w:val="0"/>
      <w:marRight w:val="0"/>
      <w:marTop w:val="0"/>
      <w:marBottom w:val="0"/>
      <w:divBdr>
        <w:top w:val="none" w:sz="0" w:space="0" w:color="auto"/>
        <w:left w:val="none" w:sz="0" w:space="0" w:color="auto"/>
        <w:bottom w:val="none" w:sz="0" w:space="0" w:color="auto"/>
        <w:right w:val="none" w:sz="0" w:space="0" w:color="auto"/>
      </w:divBdr>
      <w:divsChild>
        <w:div w:id="1256984011">
          <w:marLeft w:val="0"/>
          <w:marRight w:val="0"/>
          <w:marTop w:val="0"/>
          <w:marBottom w:val="0"/>
          <w:divBdr>
            <w:top w:val="none" w:sz="0" w:space="0" w:color="auto"/>
            <w:left w:val="none" w:sz="0" w:space="0" w:color="auto"/>
            <w:bottom w:val="none" w:sz="0" w:space="0" w:color="auto"/>
            <w:right w:val="none" w:sz="0" w:space="0" w:color="auto"/>
          </w:divBdr>
          <w:divsChild>
            <w:div w:id="727343750">
              <w:marLeft w:val="0"/>
              <w:marRight w:val="0"/>
              <w:marTop w:val="0"/>
              <w:marBottom w:val="0"/>
              <w:divBdr>
                <w:top w:val="none" w:sz="0" w:space="0" w:color="auto"/>
                <w:left w:val="none" w:sz="0" w:space="0" w:color="auto"/>
                <w:bottom w:val="none" w:sz="0" w:space="0" w:color="auto"/>
                <w:right w:val="none" w:sz="0" w:space="0" w:color="auto"/>
              </w:divBdr>
              <w:divsChild>
                <w:div w:id="53650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951536">
      <w:bodyDiv w:val="1"/>
      <w:marLeft w:val="0"/>
      <w:marRight w:val="0"/>
      <w:marTop w:val="0"/>
      <w:marBottom w:val="0"/>
      <w:divBdr>
        <w:top w:val="none" w:sz="0" w:space="0" w:color="auto"/>
        <w:left w:val="none" w:sz="0" w:space="0" w:color="auto"/>
        <w:bottom w:val="none" w:sz="0" w:space="0" w:color="auto"/>
        <w:right w:val="none" w:sz="0" w:space="0" w:color="auto"/>
      </w:divBdr>
    </w:div>
    <w:div w:id="766005435">
      <w:bodyDiv w:val="1"/>
      <w:marLeft w:val="0"/>
      <w:marRight w:val="0"/>
      <w:marTop w:val="0"/>
      <w:marBottom w:val="0"/>
      <w:divBdr>
        <w:top w:val="none" w:sz="0" w:space="0" w:color="auto"/>
        <w:left w:val="none" w:sz="0" w:space="0" w:color="auto"/>
        <w:bottom w:val="none" w:sz="0" w:space="0" w:color="auto"/>
        <w:right w:val="none" w:sz="0" w:space="0" w:color="auto"/>
      </w:divBdr>
      <w:divsChild>
        <w:div w:id="1136416658">
          <w:marLeft w:val="0"/>
          <w:marRight w:val="0"/>
          <w:marTop w:val="0"/>
          <w:marBottom w:val="0"/>
          <w:divBdr>
            <w:top w:val="none" w:sz="0" w:space="0" w:color="auto"/>
            <w:left w:val="none" w:sz="0" w:space="0" w:color="auto"/>
            <w:bottom w:val="none" w:sz="0" w:space="0" w:color="auto"/>
            <w:right w:val="none" w:sz="0" w:space="0" w:color="auto"/>
          </w:divBdr>
          <w:divsChild>
            <w:div w:id="535041474">
              <w:marLeft w:val="0"/>
              <w:marRight w:val="0"/>
              <w:marTop w:val="0"/>
              <w:marBottom w:val="0"/>
              <w:divBdr>
                <w:top w:val="none" w:sz="0" w:space="0" w:color="auto"/>
                <w:left w:val="none" w:sz="0" w:space="0" w:color="auto"/>
                <w:bottom w:val="none" w:sz="0" w:space="0" w:color="auto"/>
                <w:right w:val="none" w:sz="0" w:space="0" w:color="auto"/>
              </w:divBdr>
              <w:divsChild>
                <w:div w:id="130569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284744">
      <w:bodyDiv w:val="1"/>
      <w:marLeft w:val="0"/>
      <w:marRight w:val="0"/>
      <w:marTop w:val="0"/>
      <w:marBottom w:val="0"/>
      <w:divBdr>
        <w:top w:val="none" w:sz="0" w:space="0" w:color="auto"/>
        <w:left w:val="none" w:sz="0" w:space="0" w:color="auto"/>
        <w:bottom w:val="none" w:sz="0" w:space="0" w:color="auto"/>
        <w:right w:val="none" w:sz="0" w:space="0" w:color="auto"/>
      </w:divBdr>
      <w:divsChild>
        <w:div w:id="1779596">
          <w:marLeft w:val="0"/>
          <w:marRight w:val="0"/>
          <w:marTop w:val="0"/>
          <w:marBottom w:val="0"/>
          <w:divBdr>
            <w:top w:val="none" w:sz="0" w:space="0" w:color="auto"/>
            <w:left w:val="none" w:sz="0" w:space="0" w:color="auto"/>
            <w:bottom w:val="none" w:sz="0" w:space="0" w:color="auto"/>
            <w:right w:val="none" w:sz="0" w:space="0" w:color="auto"/>
          </w:divBdr>
          <w:divsChild>
            <w:div w:id="347487857">
              <w:marLeft w:val="0"/>
              <w:marRight w:val="0"/>
              <w:marTop w:val="0"/>
              <w:marBottom w:val="0"/>
              <w:divBdr>
                <w:top w:val="none" w:sz="0" w:space="0" w:color="auto"/>
                <w:left w:val="none" w:sz="0" w:space="0" w:color="auto"/>
                <w:bottom w:val="none" w:sz="0" w:space="0" w:color="auto"/>
                <w:right w:val="none" w:sz="0" w:space="0" w:color="auto"/>
              </w:divBdr>
              <w:divsChild>
                <w:div w:id="43490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064986">
      <w:bodyDiv w:val="1"/>
      <w:marLeft w:val="0"/>
      <w:marRight w:val="0"/>
      <w:marTop w:val="0"/>
      <w:marBottom w:val="0"/>
      <w:divBdr>
        <w:top w:val="none" w:sz="0" w:space="0" w:color="auto"/>
        <w:left w:val="none" w:sz="0" w:space="0" w:color="auto"/>
        <w:bottom w:val="none" w:sz="0" w:space="0" w:color="auto"/>
        <w:right w:val="none" w:sz="0" w:space="0" w:color="auto"/>
      </w:divBdr>
      <w:divsChild>
        <w:div w:id="690373901">
          <w:marLeft w:val="0"/>
          <w:marRight w:val="0"/>
          <w:marTop w:val="0"/>
          <w:marBottom w:val="0"/>
          <w:divBdr>
            <w:top w:val="none" w:sz="0" w:space="0" w:color="auto"/>
            <w:left w:val="none" w:sz="0" w:space="0" w:color="auto"/>
            <w:bottom w:val="none" w:sz="0" w:space="0" w:color="auto"/>
            <w:right w:val="none" w:sz="0" w:space="0" w:color="auto"/>
          </w:divBdr>
          <w:divsChild>
            <w:div w:id="123089321">
              <w:marLeft w:val="0"/>
              <w:marRight w:val="0"/>
              <w:marTop w:val="0"/>
              <w:marBottom w:val="0"/>
              <w:divBdr>
                <w:top w:val="none" w:sz="0" w:space="0" w:color="auto"/>
                <w:left w:val="none" w:sz="0" w:space="0" w:color="auto"/>
                <w:bottom w:val="none" w:sz="0" w:space="0" w:color="auto"/>
                <w:right w:val="none" w:sz="0" w:space="0" w:color="auto"/>
              </w:divBdr>
              <w:divsChild>
                <w:div w:id="164773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160145">
      <w:bodyDiv w:val="1"/>
      <w:marLeft w:val="0"/>
      <w:marRight w:val="0"/>
      <w:marTop w:val="0"/>
      <w:marBottom w:val="0"/>
      <w:divBdr>
        <w:top w:val="none" w:sz="0" w:space="0" w:color="auto"/>
        <w:left w:val="none" w:sz="0" w:space="0" w:color="auto"/>
        <w:bottom w:val="none" w:sz="0" w:space="0" w:color="auto"/>
        <w:right w:val="none" w:sz="0" w:space="0" w:color="auto"/>
      </w:divBdr>
      <w:divsChild>
        <w:div w:id="1050151421">
          <w:marLeft w:val="0"/>
          <w:marRight w:val="0"/>
          <w:marTop w:val="0"/>
          <w:marBottom w:val="0"/>
          <w:divBdr>
            <w:top w:val="none" w:sz="0" w:space="0" w:color="auto"/>
            <w:left w:val="none" w:sz="0" w:space="0" w:color="auto"/>
            <w:bottom w:val="none" w:sz="0" w:space="0" w:color="auto"/>
            <w:right w:val="none" w:sz="0" w:space="0" w:color="auto"/>
          </w:divBdr>
          <w:divsChild>
            <w:div w:id="1672872802">
              <w:marLeft w:val="0"/>
              <w:marRight w:val="0"/>
              <w:marTop w:val="0"/>
              <w:marBottom w:val="0"/>
              <w:divBdr>
                <w:top w:val="none" w:sz="0" w:space="0" w:color="auto"/>
                <w:left w:val="none" w:sz="0" w:space="0" w:color="auto"/>
                <w:bottom w:val="none" w:sz="0" w:space="0" w:color="auto"/>
                <w:right w:val="none" w:sz="0" w:space="0" w:color="auto"/>
              </w:divBdr>
              <w:divsChild>
                <w:div w:id="544098508">
                  <w:marLeft w:val="0"/>
                  <w:marRight w:val="0"/>
                  <w:marTop w:val="0"/>
                  <w:marBottom w:val="0"/>
                  <w:divBdr>
                    <w:top w:val="none" w:sz="0" w:space="0" w:color="auto"/>
                    <w:left w:val="none" w:sz="0" w:space="0" w:color="auto"/>
                    <w:bottom w:val="none" w:sz="0" w:space="0" w:color="auto"/>
                    <w:right w:val="none" w:sz="0" w:space="0" w:color="auto"/>
                  </w:divBdr>
                  <w:divsChild>
                    <w:div w:id="206753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834934">
      <w:bodyDiv w:val="1"/>
      <w:marLeft w:val="0"/>
      <w:marRight w:val="0"/>
      <w:marTop w:val="0"/>
      <w:marBottom w:val="0"/>
      <w:divBdr>
        <w:top w:val="none" w:sz="0" w:space="0" w:color="auto"/>
        <w:left w:val="none" w:sz="0" w:space="0" w:color="auto"/>
        <w:bottom w:val="none" w:sz="0" w:space="0" w:color="auto"/>
        <w:right w:val="none" w:sz="0" w:space="0" w:color="auto"/>
      </w:divBdr>
      <w:divsChild>
        <w:div w:id="1143038263">
          <w:marLeft w:val="0"/>
          <w:marRight w:val="0"/>
          <w:marTop w:val="0"/>
          <w:marBottom w:val="0"/>
          <w:divBdr>
            <w:top w:val="none" w:sz="0" w:space="0" w:color="auto"/>
            <w:left w:val="none" w:sz="0" w:space="0" w:color="auto"/>
            <w:bottom w:val="none" w:sz="0" w:space="0" w:color="auto"/>
            <w:right w:val="none" w:sz="0" w:space="0" w:color="auto"/>
          </w:divBdr>
        </w:div>
        <w:div w:id="753210810">
          <w:marLeft w:val="0"/>
          <w:marRight w:val="0"/>
          <w:marTop w:val="0"/>
          <w:marBottom w:val="0"/>
          <w:divBdr>
            <w:top w:val="none" w:sz="0" w:space="0" w:color="auto"/>
            <w:left w:val="none" w:sz="0" w:space="0" w:color="auto"/>
            <w:bottom w:val="none" w:sz="0" w:space="0" w:color="auto"/>
            <w:right w:val="none" w:sz="0" w:space="0" w:color="auto"/>
          </w:divBdr>
        </w:div>
        <w:div w:id="505823645">
          <w:marLeft w:val="0"/>
          <w:marRight w:val="0"/>
          <w:marTop w:val="0"/>
          <w:marBottom w:val="0"/>
          <w:divBdr>
            <w:top w:val="none" w:sz="0" w:space="0" w:color="auto"/>
            <w:left w:val="none" w:sz="0" w:space="0" w:color="auto"/>
            <w:bottom w:val="none" w:sz="0" w:space="0" w:color="auto"/>
            <w:right w:val="none" w:sz="0" w:space="0" w:color="auto"/>
          </w:divBdr>
        </w:div>
        <w:div w:id="1526022640">
          <w:marLeft w:val="0"/>
          <w:marRight w:val="0"/>
          <w:marTop w:val="0"/>
          <w:marBottom w:val="0"/>
          <w:divBdr>
            <w:top w:val="none" w:sz="0" w:space="0" w:color="auto"/>
            <w:left w:val="none" w:sz="0" w:space="0" w:color="auto"/>
            <w:bottom w:val="none" w:sz="0" w:space="0" w:color="auto"/>
            <w:right w:val="none" w:sz="0" w:space="0" w:color="auto"/>
          </w:divBdr>
          <w:divsChild>
            <w:div w:id="88456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093347">
      <w:bodyDiv w:val="1"/>
      <w:marLeft w:val="0"/>
      <w:marRight w:val="0"/>
      <w:marTop w:val="0"/>
      <w:marBottom w:val="0"/>
      <w:divBdr>
        <w:top w:val="none" w:sz="0" w:space="0" w:color="auto"/>
        <w:left w:val="none" w:sz="0" w:space="0" w:color="auto"/>
        <w:bottom w:val="none" w:sz="0" w:space="0" w:color="auto"/>
        <w:right w:val="none" w:sz="0" w:space="0" w:color="auto"/>
      </w:divBdr>
      <w:divsChild>
        <w:div w:id="779102903">
          <w:marLeft w:val="0"/>
          <w:marRight w:val="0"/>
          <w:marTop w:val="0"/>
          <w:marBottom w:val="0"/>
          <w:divBdr>
            <w:top w:val="none" w:sz="0" w:space="0" w:color="auto"/>
            <w:left w:val="none" w:sz="0" w:space="0" w:color="auto"/>
            <w:bottom w:val="none" w:sz="0" w:space="0" w:color="auto"/>
            <w:right w:val="none" w:sz="0" w:space="0" w:color="auto"/>
          </w:divBdr>
          <w:divsChild>
            <w:div w:id="1236472281">
              <w:marLeft w:val="0"/>
              <w:marRight w:val="0"/>
              <w:marTop w:val="0"/>
              <w:marBottom w:val="0"/>
              <w:divBdr>
                <w:top w:val="none" w:sz="0" w:space="0" w:color="auto"/>
                <w:left w:val="none" w:sz="0" w:space="0" w:color="auto"/>
                <w:bottom w:val="none" w:sz="0" w:space="0" w:color="auto"/>
                <w:right w:val="none" w:sz="0" w:space="0" w:color="auto"/>
              </w:divBdr>
              <w:divsChild>
                <w:div w:id="25482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425767">
      <w:bodyDiv w:val="1"/>
      <w:marLeft w:val="0"/>
      <w:marRight w:val="0"/>
      <w:marTop w:val="0"/>
      <w:marBottom w:val="0"/>
      <w:divBdr>
        <w:top w:val="none" w:sz="0" w:space="0" w:color="auto"/>
        <w:left w:val="none" w:sz="0" w:space="0" w:color="auto"/>
        <w:bottom w:val="none" w:sz="0" w:space="0" w:color="auto"/>
        <w:right w:val="none" w:sz="0" w:space="0" w:color="auto"/>
      </w:divBdr>
      <w:divsChild>
        <w:div w:id="1427263971">
          <w:marLeft w:val="0"/>
          <w:marRight w:val="0"/>
          <w:marTop w:val="0"/>
          <w:marBottom w:val="0"/>
          <w:divBdr>
            <w:top w:val="none" w:sz="0" w:space="0" w:color="auto"/>
            <w:left w:val="none" w:sz="0" w:space="0" w:color="auto"/>
            <w:bottom w:val="none" w:sz="0" w:space="0" w:color="auto"/>
            <w:right w:val="none" w:sz="0" w:space="0" w:color="auto"/>
          </w:divBdr>
        </w:div>
        <w:div w:id="234436073">
          <w:marLeft w:val="0"/>
          <w:marRight w:val="0"/>
          <w:marTop w:val="0"/>
          <w:marBottom w:val="0"/>
          <w:divBdr>
            <w:top w:val="none" w:sz="0" w:space="0" w:color="auto"/>
            <w:left w:val="none" w:sz="0" w:space="0" w:color="auto"/>
            <w:bottom w:val="none" w:sz="0" w:space="0" w:color="auto"/>
            <w:right w:val="none" w:sz="0" w:space="0" w:color="auto"/>
          </w:divBdr>
        </w:div>
      </w:divsChild>
    </w:div>
    <w:div w:id="982466537">
      <w:bodyDiv w:val="1"/>
      <w:marLeft w:val="0"/>
      <w:marRight w:val="0"/>
      <w:marTop w:val="0"/>
      <w:marBottom w:val="0"/>
      <w:divBdr>
        <w:top w:val="none" w:sz="0" w:space="0" w:color="auto"/>
        <w:left w:val="none" w:sz="0" w:space="0" w:color="auto"/>
        <w:bottom w:val="none" w:sz="0" w:space="0" w:color="auto"/>
        <w:right w:val="none" w:sz="0" w:space="0" w:color="auto"/>
      </w:divBdr>
      <w:divsChild>
        <w:div w:id="817067664">
          <w:marLeft w:val="0"/>
          <w:marRight w:val="0"/>
          <w:marTop w:val="0"/>
          <w:marBottom w:val="0"/>
          <w:divBdr>
            <w:top w:val="none" w:sz="0" w:space="0" w:color="auto"/>
            <w:left w:val="none" w:sz="0" w:space="0" w:color="auto"/>
            <w:bottom w:val="none" w:sz="0" w:space="0" w:color="auto"/>
            <w:right w:val="none" w:sz="0" w:space="0" w:color="auto"/>
          </w:divBdr>
          <w:divsChild>
            <w:div w:id="1229851701">
              <w:marLeft w:val="0"/>
              <w:marRight w:val="0"/>
              <w:marTop w:val="0"/>
              <w:marBottom w:val="0"/>
              <w:divBdr>
                <w:top w:val="none" w:sz="0" w:space="0" w:color="auto"/>
                <w:left w:val="none" w:sz="0" w:space="0" w:color="auto"/>
                <w:bottom w:val="none" w:sz="0" w:space="0" w:color="auto"/>
                <w:right w:val="none" w:sz="0" w:space="0" w:color="auto"/>
              </w:divBdr>
              <w:divsChild>
                <w:div w:id="166557146">
                  <w:marLeft w:val="0"/>
                  <w:marRight w:val="0"/>
                  <w:marTop w:val="0"/>
                  <w:marBottom w:val="0"/>
                  <w:divBdr>
                    <w:top w:val="none" w:sz="0" w:space="0" w:color="auto"/>
                    <w:left w:val="none" w:sz="0" w:space="0" w:color="auto"/>
                    <w:bottom w:val="none" w:sz="0" w:space="0" w:color="auto"/>
                    <w:right w:val="none" w:sz="0" w:space="0" w:color="auto"/>
                  </w:divBdr>
                </w:div>
              </w:divsChild>
            </w:div>
            <w:div w:id="836918787">
              <w:marLeft w:val="0"/>
              <w:marRight w:val="0"/>
              <w:marTop w:val="0"/>
              <w:marBottom w:val="0"/>
              <w:divBdr>
                <w:top w:val="none" w:sz="0" w:space="0" w:color="auto"/>
                <w:left w:val="none" w:sz="0" w:space="0" w:color="auto"/>
                <w:bottom w:val="none" w:sz="0" w:space="0" w:color="auto"/>
                <w:right w:val="none" w:sz="0" w:space="0" w:color="auto"/>
              </w:divBdr>
              <w:divsChild>
                <w:div w:id="1233156350">
                  <w:marLeft w:val="0"/>
                  <w:marRight w:val="0"/>
                  <w:marTop w:val="0"/>
                  <w:marBottom w:val="0"/>
                  <w:divBdr>
                    <w:top w:val="none" w:sz="0" w:space="0" w:color="auto"/>
                    <w:left w:val="none" w:sz="0" w:space="0" w:color="auto"/>
                    <w:bottom w:val="none" w:sz="0" w:space="0" w:color="auto"/>
                    <w:right w:val="none" w:sz="0" w:space="0" w:color="auto"/>
                  </w:divBdr>
                </w:div>
                <w:div w:id="146886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940134">
          <w:marLeft w:val="0"/>
          <w:marRight w:val="0"/>
          <w:marTop w:val="0"/>
          <w:marBottom w:val="0"/>
          <w:divBdr>
            <w:top w:val="none" w:sz="0" w:space="0" w:color="auto"/>
            <w:left w:val="none" w:sz="0" w:space="0" w:color="auto"/>
            <w:bottom w:val="none" w:sz="0" w:space="0" w:color="auto"/>
            <w:right w:val="none" w:sz="0" w:space="0" w:color="auto"/>
          </w:divBdr>
          <w:divsChild>
            <w:div w:id="1197041906">
              <w:marLeft w:val="0"/>
              <w:marRight w:val="0"/>
              <w:marTop w:val="0"/>
              <w:marBottom w:val="0"/>
              <w:divBdr>
                <w:top w:val="none" w:sz="0" w:space="0" w:color="auto"/>
                <w:left w:val="none" w:sz="0" w:space="0" w:color="auto"/>
                <w:bottom w:val="none" w:sz="0" w:space="0" w:color="auto"/>
                <w:right w:val="none" w:sz="0" w:space="0" w:color="auto"/>
              </w:divBdr>
              <w:divsChild>
                <w:div w:id="216556883">
                  <w:marLeft w:val="0"/>
                  <w:marRight w:val="0"/>
                  <w:marTop w:val="0"/>
                  <w:marBottom w:val="0"/>
                  <w:divBdr>
                    <w:top w:val="none" w:sz="0" w:space="0" w:color="auto"/>
                    <w:left w:val="none" w:sz="0" w:space="0" w:color="auto"/>
                    <w:bottom w:val="none" w:sz="0" w:space="0" w:color="auto"/>
                    <w:right w:val="none" w:sz="0" w:space="0" w:color="auto"/>
                  </w:divBdr>
                </w:div>
              </w:divsChild>
            </w:div>
            <w:div w:id="1929995815">
              <w:marLeft w:val="0"/>
              <w:marRight w:val="0"/>
              <w:marTop w:val="0"/>
              <w:marBottom w:val="0"/>
              <w:divBdr>
                <w:top w:val="none" w:sz="0" w:space="0" w:color="auto"/>
                <w:left w:val="none" w:sz="0" w:space="0" w:color="auto"/>
                <w:bottom w:val="none" w:sz="0" w:space="0" w:color="auto"/>
                <w:right w:val="none" w:sz="0" w:space="0" w:color="auto"/>
              </w:divBdr>
              <w:divsChild>
                <w:div w:id="955062702">
                  <w:marLeft w:val="0"/>
                  <w:marRight w:val="0"/>
                  <w:marTop w:val="0"/>
                  <w:marBottom w:val="0"/>
                  <w:divBdr>
                    <w:top w:val="none" w:sz="0" w:space="0" w:color="auto"/>
                    <w:left w:val="none" w:sz="0" w:space="0" w:color="auto"/>
                    <w:bottom w:val="none" w:sz="0" w:space="0" w:color="auto"/>
                    <w:right w:val="none" w:sz="0" w:space="0" w:color="auto"/>
                  </w:divBdr>
                </w:div>
                <w:div w:id="1004747386">
                  <w:marLeft w:val="0"/>
                  <w:marRight w:val="0"/>
                  <w:marTop w:val="0"/>
                  <w:marBottom w:val="0"/>
                  <w:divBdr>
                    <w:top w:val="none" w:sz="0" w:space="0" w:color="auto"/>
                    <w:left w:val="none" w:sz="0" w:space="0" w:color="auto"/>
                    <w:bottom w:val="none" w:sz="0" w:space="0" w:color="auto"/>
                    <w:right w:val="none" w:sz="0" w:space="0" w:color="auto"/>
                  </w:divBdr>
                </w:div>
              </w:divsChild>
            </w:div>
            <w:div w:id="790704018">
              <w:marLeft w:val="0"/>
              <w:marRight w:val="0"/>
              <w:marTop w:val="0"/>
              <w:marBottom w:val="0"/>
              <w:divBdr>
                <w:top w:val="none" w:sz="0" w:space="0" w:color="auto"/>
                <w:left w:val="none" w:sz="0" w:space="0" w:color="auto"/>
                <w:bottom w:val="none" w:sz="0" w:space="0" w:color="auto"/>
                <w:right w:val="none" w:sz="0" w:space="0" w:color="auto"/>
              </w:divBdr>
              <w:divsChild>
                <w:div w:id="15303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842178">
      <w:bodyDiv w:val="1"/>
      <w:marLeft w:val="0"/>
      <w:marRight w:val="0"/>
      <w:marTop w:val="0"/>
      <w:marBottom w:val="0"/>
      <w:divBdr>
        <w:top w:val="none" w:sz="0" w:space="0" w:color="auto"/>
        <w:left w:val="none" w:sz="0" w:space="0" w:color="auto"/>
        <w:bottom w:val="none" w:sz="0" w:space="0" w:color="auto"/>
        <w:right w:val="none" w:sz="0" w:space="0" w:color="auto"/>
      </w:divBdr>
    </w:div>
    <w:div w:id="1040975657">
      <w:bodyDiv w:val="1"/>
      <w:marLeft w:val="0"/>
      <w:marRight w:val="0"/>
      <w:marTop w:val="0"/>
      <w:marBottom w:val="0"/>
      <w:divBdr>
        <w:top w:val="none" w:sz="0" w:space="0" w:color="auto"/>
        <w:left w:val="none" w:sz="0" w:space="0" w:color="auto"/>
        <w:bottom w:val="none" w:sz="0" w:space="0" w:color="auto"/>
        <w:right w:val="none" w:sz="0" w:space="0" w:color="auto"/>
      </w:divBdr>
    </w:div>
    <w:div w:id="1044913446">
      <w:bodyDiv w:val="1"/>
      <w:marLeft w:val="0"/>
      <w:marRight w:val="0"/>
      <w:marTop w:val="0"/>
      <w:marBottom w:val="0"/>
      <w:divBdr>
        <w:top w:val="none" w:sz="0" w:space="0" w:color="auto"/>
        <w:left w:val="none" w:sz="0" w:space="0" w:color="auto"/>
        <w:bottom w:val="none" w:sz="0" w:space="0" w:color="auto"/>
        <w:right w:val="none" w:sz="0" w:space="0" w:color="auto"/>
      </w:divBdr>
      <w:divsChild>
        <w:div w:id="819536848">
          <w:marLeft w:val="0"/>
          <w:marRight w:val="0"/>
          <w:marTop w:val="0"/>
          <w:marBottom w:val="0"/>
          <w:divBdr>
            <w:top w:val="none" w:sz="0" w:space="0" w:color="auto"/>
            <w:left w:val="none" w:sz="0" w:space="0" w:color="auto"/>
            <w:bottom w:val="none" w:sz="0" w:space="0" w:color="auto"/>
            <w:right w:val="none" w:sz="0" w:space="0" w:color="auto"/>
          </w:divBdr>
        </w:div>
        <w:div w:id="1742631802">
          <w:marLeft w:val="0"/>
          <w:marRight w:val="0"/>
          <w:marTop w:val="0"/>
          <w:marBottom w:val="0"/>
          <w:divBdr>
            <w:top w:val="none" w:sz="0" w:space="0" w:color="auto"/>
            <w:left w:val="none" w:sz="0" w:space="0" w:color="auto"/>
            <w:bottom w:val="none" w:sz="0" w:space="0" w:color="auto"/>
            <w:right w:val="none" w:sz="0" w:space="0" w:color="auto"/>
          </w:divBdr>
        </w:div>
      </w:divsChild>
    </w:div>
    <w:div w:id="1069572799">
      <w:bodyDiv w:val="1"/>
      <w:marLeft w:val="0"/>
      <w:marRight w:val="0"/>
      <w:marTop w:val="0"/>
      <w:marBottom w:val="0"/>
      <w:divBdr>
        <w:top w:val="none" w:sz="0" w:space="0" w:color="auto"/>
        <w:left w:val="none" w:sz="0" w:space="0" w:color="auto"/>
        <w:bottom w:val="none" w:sz="0" w:space="0" w:color="auto"/>
        <w:right w:val="none" w:sz="0" w:space="0" w:color="auto"/>
      </w:divBdr>
      <w:divsChild>
        <w:div w:id="47341817">
          <w:marLeft w:val="0"/>
          <w:marRight w:val="0"/>
          <w:marTop w:val="0"/>
          <w:marBottom w:val="0"/>
          <w:divBdr>
            <w:top w:val="none" w:sz="0" w:space="0" w:color="auto"/>
            <w:left w:val="none" w:sz="0" w:space="0" w:color="auto"/>
            <w:bottom w:val="none" w:sz="0" w:space="0" w:color="auto"/>
            <w:right w:val="none" w:sz="0" w:space="0" w:color="auto"/>
          </w:divBdr>
        </w:div>
        <w:div w:id="1737776863">
          <w:marLeft w:val="0"/>
          <w:marRight w:val="0"/>
          <w:marTop w:val="0"/>
          <w:marBottom w:val="0"/>
          <w:divBdr>
            <w:top w:val="none" w:sz="0" w:space="0" w:color="auto"/>
            <w:left w:val="none" w:sz="0" w:space="0" w:color="auto"/>
            <w:bottom w:val="none" w:sz="0" w:space="0" w:color="auto"/>
            <w:right w:val="none" w:sz="0" w:space="0" w:color="auto"/>
          </w:divBdr>
        </w:div>
      </w:divsChild>
    </w:div>
    <w:div w:id="1100829795">
      <w:bodyDiv w:val="1"/>
      <w:marLeft w:val="0"/>
      <w:marRight w:val="0"/>
      <w:marTop w:val="0"/>
      <w:marBottom w:val="0"/>
      <w:divBdr>
        <w:top w:val="none" w:sz="0" w:space="0" w:color="auto"/>
        <w:left w:val="none" w:sz="0" w:space="0" w:color="auto"/>
        <w:bottom w:val="none" w:sz="0" w:space="0" w:color="auto"/>
        <w:right w:val="none" w:sz="0" w:space="0" w:color="auto"/>
      </w:divBdr>
      <w:divsChild>
        <w:div w:id="1135945336">
          <w:marLeft w:val="0"/>
          <w:marRight w:val="0"/>
          <w:marTop w:val="0"/>
          <w:marBottom w:val="0"/>
          <w:divBdr>
            <w:top w:val="none" w:sz="0" w:space="0" w:color="auto"/>
            <w:left w:val="none" w:sz="0" w:space="0" w:color="auto"/>
            <w:bottom w:val="none" w:sz="0" w:space="0" w:color="auto"/>
            <w:right w:val="none" w:sz="0" w:space="0" w:color="auto"/>
          </w:divBdr>
        </w:div>
        <w:div w:id="1293755016">
          <w:marLeft w:val="0"/>
          <w:marRight w:val="0"/>
          <w:marTop w:val="0"/>
          <w:marBottom w:val="0"/>
          <w:divBdr>
            <w:top w:val="none" w:sz="0" w:space="0" w:color="auto"/>
            <w:left w:val="none" w:sz="0" w:space="0" w:color="auto"/>
            <w:bottom w:val="none" w:sz="0" w:space="0" w:color="auto"/>
            <w:right w:val="none" w:sz="0" w:space="0" w:color="auto"/>
          </w:divBdr>
        </w:div>
      </w:divsChild>
    </w:div>
    <w:div w:id="1151366074">
      <w:bodyDiv w:val="1"/>
      <w:marLeft w:val="0"/>
      <w:marRight w:val="0"/>
      <w:marTop w:val="0"/>
      <w:marBottom w:val="0"/>
      <w:divBdr>
        <w:top w:val="none" w:sz="0" w:space="0" w:color="auto"/>
        <w:left w:val="none" w:sz="0" w:space="0" w:color="auto"/>
        <w:bottom w:val="none" w:sz="0" w:space="0" w:color="auto"/>
        <w:right w:val="none" w:sz="0" w:space="0" w:color="auto"/>
      </w:divBdr>
      <w:divsChild>
        <w:div w:id="2103794269">
          <w:marLeft w:val="0"/>
          <w:marRight w:val="0"/>
          <w:marTop w:val="0"/>
          <w:marBottom w:val="0"/>
          <w:divBdr>
            <w:top w:val="none" w:sz="0" w:space="0" w:color="auto"/>
            <w:left w:val="none" w:sz="0" w:space="0" w:color="auto"/>
            <w:bottom w:val="none" w:sz="0" w:space="0" w:color="auto"/>
            <w:right w:val="none" w:sz="0" w:space="0" w:color="auto"/>
          </w:divBdr>
          <w:divsChild>
            <w:div w:id="565142685">
              <w:marLeft w:val="0"/>
              <w:marRight w:val="0"/>
              <w:marTop w:val="0"/>
              <w:marBottom w:val="0"/>
              <w:divBdr>
                <w:top w:val="none" w:sz="0" w:space="0" w:color="auto"/>
                <w:left w:val="none" w:sz="0" w:space="0" w:color="auto"/>
                <w:bottom w:val="none" w:sz="0" w:space="0" w:color="auto"/>
                <w:right w:val="none" w:sz="0" w:space="0" w:color="auto"/>
              </w:divBdr>
              <w:divsChild>
                <w:div w:id="200091778">
                  <w:marLeft w:val="0"/>
                  <w:marRight w:val="0"/>
                  <w:marTop w:val="0"/>
                  <w:marBottom w:val="0"/>
                  <w:divBdr>
                    <w:top w:val="none" w:sz="0" w:space="0" w:color="auto"/>
                    <w:left w:val="none" w:sz="0" w:space="0" w:color="auto"/>
                    <w:bottom w:val="none" w:sz="0" w:space="0" w:color="auto"/>
                    <w:right w:val="none" w:sz="0" w:space="0" w:color="auto"/>
                  </w:divBdr>
                  <w:divsChild>
                    <w:div w:id="202278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764694">
      <w:bodyDiv w:val="1"/>
      <w:marLeft w:val="0"/>
      <w:marRight w:val="0"/>
      <w:marTop w:val="0"/>
      <w:marBottom w:val="0"/>
      <w:divBdr>
        <w:top w:val="none" w:sz="0" w:space="0" w:color="auto"/>
        <w:left w:val="none" w:sz="0" w:space="0" w:color="auto"/>
        <w:bottom w:val="none" w:sz="0" w:space="0" w:color="auto"/>
        <w:right w:val="none" w:sz="0" w:space="0" w:color="auto"/>
      </w:divBdr>
    </w:div>
    <w:div w:id="1206024296">
      <w:bodyDiv w:val="1"/>
      <w:marLeft w:val="0"/>
      <w:marRight w:val="0"/>
      <w:marTop w:val="0"/>
      <w:marBottom w:val="0"/>
      <w:divBdr>
        <w:top w:val="none" w:sz="0" w:space="0" w:color="auto"/>
        <w:left w:val="none" w:sz="0" w:space="0" w:color="auto"/>
        <w:bottom w:val="none" w:sz="0" w:space="0" w:color="auto"/>
        <w:right w:val="none" w:sz="0" w:space="0" w:color="auto"/>
      </w:divBdr>
      <w:divsChild>
        <w:div w:id="1190875061">
          <w:marLeft w:val="0"/>
          <w:marRight w:val="0"/>
          <w:marTop w:val="0"/>
          <w:marBottom w:val="0"/>
          <w:divBdr>
            <w:top w:val="none" w:sz="0" w:space="0" w:color="auto"/>
            <w:left w:val="none" w:sz="0" w:space="0" w:color="auto"/>
            <w:bottom w:val="none" w:sz="0" w:space="0" w:color="auto"/>
            <w:right w:val="none" w:sz="0" w:space="0" w:color="auto"/>
          </w:divBdr>
        </w:div>
        <w:div w:id="1733965800">
          <w:marLeft w:val="0"/>
          <w:marRight w:val="0"/>
          <w:marTop w:val="0"/>
          <w:marBottom w:val="0"/>
          <w:divBdr>
            <w:top w:val="none" w:sz="0" w:space="0" w:color="auto"/>
            <w:left w:val="none" w:sz="0" w:space="0" w:color="auto"/>
            <w:bottom w:val="none" w:sz="0" w:space="0" w:color="auto"/>
            <w:right w:val="none" w:sz="0" w:space="0" w:color="auto"/>
          </w:divBdr>
        </w:div>
        <w:div w:id="1557550192">
          <w:marLeft w:val="0"/>
          <w:marRight w:val="0"/>
          <w:marTop w:val="0"/>
          <w:marBottom w:val="0"/>
          <w:divBdr>
            <w:top w:val="none" w:sz="0" w:space="0" w:color="auto"/>
            <w:left w:val="none" w:sz="0" w:space="0" w:color="auto"/>
            <w:bottom w:val="none" w:sz="0" w:space="0" w:color="auto"/>
            <w:right w:val="none" w:sz="0" w:space="0" w:color="auto"/>
          </w:divBdr>
        </w:div>
        <w:div w:id="59836562">
          <w:marLeft w:val="0"/>
          <w:marRight w:val="0"/>
          <w:marTop w:val="0"/>
          <w:marBottom w:val="0"/>
          <w:divBdr>
            <w:top w:val="none" w:sz="0" w:space="0" w:color="auto"/>
            <w:left w:val="none" w:sz="0" w:space="0" w:color="auto"/>
            <w:bottom w:val="none" w:sz="0" w:space="0" w:color="auto"/>
            <w:right w:val="none" w:sz="0" w:space="0" w:color="auto"/>
          </w:divBdr>
          <w:divsChild>
            <w:div w:id="1622228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178725">
      <w:bodyDiv w:val="1"/>
      <w:marLeft w:val="0"/>
      <w:marRight w:val="0"/>
      <w:marTop w:val="0"/>
      <w:marBottom w:val="0"/>
      <w:divBdr>
        <w:top w:val="none" w:sz="0" w:space="0" w:color="auto"/>
        <w:left w:val="none" w:sz="0" w:space="0" w:color="auto"/>
        <w:bottom w:val="none" w:sz="0" w:space="0" w:color="auto"/>
        <w:right w:val="none" w:sz="0" w:space="0" w:color="auto"/>
      </w:divBdr>
      <w:divsChild>
        <w:div w:id="1470827596">
          <w:marLeft w:val="0"/>
          <w:marRight w:val="0"/>
          <w:marTop w:val="0"/>
          <w:marBottom w:val="0"/>
          <w:divBdr>
            <w:top w:val="none" w:sz="0" w:space="0" w:color="auto"/>
            <w:left w:val="none" w:sz="0" w:space="0" w:color="auto"/>
            <w:bottom w:val="none" w:sz="0" w:space="0" w:color="auto"/>
            <w:right w:val="none" w:sz="0" w:space="0" w:color="auto"/>
          </w:divBdr>
          <w:divsChild>
            <w:div w:id="540559380">
              <w:marLeft w:val="0"/>
              <w:marRight w:val="0"/>
              <w:marTop w:val="0"/>
              <w:marBottom w:val="0"/>
              <w:divBdr>
                <w:top w:val="none" w:sz="0" w:space="0" w:color="auto"/>
                <w:left w:val="none" w:sz="0" w:space="0" w:color="auto"/>
                <w:bottom w:val="none" w:sz="0" w:space="0" w:color="auto"/>
                <w:right w:val="none" w:sz="0" w:space="0" w:color="auto"/>
              </w:divBdr>
              <w:divsChild>
                <w:div w:id="503395576">
                  <w:marLeft w:val="0"/>
                  <w:marRight w:val="0"/>
                  <w:marTop w:val="0"/>
                  <w:marBottom w:val="0"/>
                  <w:divBdr>
                    <w:top w:val="none" w:sz="0" w:space="0" w:color="auto"/>
                    <w:left w:val="none" w:sz="0" w:space="0" w:color="auto"/>
                    <w:bottom w:val="none" w:sz="0" w:space="0" w:color="auto"/>
                    <w:right w:val="none" w:sz="0" w:space="0" w:color="auto"/>
                  </w:divBdr>
                  <w:divsChild>
                    <w:div w:id="141867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2043545">
      <w:bodyDiv w:val="1"/>
      <w:marLeft w:val="0"/>
      <w:marRight w:val="0"/>
      <w:marTop w:val="0"/>
      <w:marBottom w:val="0"/>
      <w:divBdr>
        <w:top w:val="none" w:sz="0" w:space="0" w:color="auto"/>
        <w:left w:val="none" w:sz="0" w:space="0" w:color="auto"/>
        <w:bottom w:val="none" w:sz="0" w:space="0" w:color="auto"/>
        <w:right w:val="none" w:sz="0" w:space="0" w:color="auto"/>
      </w:divBdr>
      <w:divsChild>
        <w:div w:id="945190415">
          <w:marLeft w:val="0"/>
          <w:marRight w:val="0"/>
          <w:marTop w:val="0"/>
          <w:marBottom w:val="0"/>
          <w:divBdr>
            <w:top w:val="none" w:sz="0" w:space="0" w:color="auto"/>
            <w:left w:val="none" w:sz="0" w:space="0" w:color="auto"/>
            <w:bottom w:val="none" w:sz="0" w:space="0" w:color="auto"/>
            <w:right w:val="none" w:sz="0" w:space="0" w:color="auto"/>
          </w:divBdr>
          <w:divsChild>
            <w:div w:id="839193796">
              <w:marLeft w:val="0"/>
              <w:marRight w:val="0"/>
              <w:marTop w:val="0"/>
              <w:marBottom w:val="0"/>
              <w:divBdr>
                <w:top w:val="none" w:sz="0" w:space="0" w:color="auto"/>
                <w:left w:val="none" w:sz="0" w:space="0" w:color="auto"/>
                <w:bottom w:val="none" w:sz="0" w:space="0" w:color="auto"/>
                <w:right w:val="none" w:sz="0" w:space="0" w:color="auto"/>
              </w:divBdr>
              <w:divsChild>
                <w:div w:id="109976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718375">
      <w:bodyDiv w:val="1"/>
      <w:marLeft w:val="0"/>
      <w:marRight w:val="0"/>
      <w:marTop w:val="0"/>
      <w:marBottom w:val="0"/>
      <w:divBdr>
        <w:top w:val="none" w:sz="0" w:space="0" w:color="auto"/>
        <w:left w:val="none" w:sz="0" w:space="0" w:color="auto"/>
        <w:bottom w:val="none" w:sz="0" w:space="0" w:color="auto"/>
        <w:right w:val="none" w:sz="0" w:space="0" w:color="auto"/>
      </w:divBdr>
      <w:divsChild>
        <w:div w:id="443774699">
          <w:marLeft w:val="0"/>
          <w:marRight w:val="0"/>
          <w:marTop w:val="0"/>
          <w:marBottom w:val="0"/>
          <w:divBdr>
            <w:top w:val="none" w:sz="0" w:space="0" w:color="auto"/>
            <w:left w:val="none" w:sz="0" w:space="0" w:color="auto"/>
            <w:bottom w:val="none" w:sz="0" w:space="0" w:color="auto"/>
            <w:right w:val="none" w:sz="0" w:space="0" w:color="auto"/>
          </w:divBdr>
        </w:div>
        <w:div w:id="985091713">
          <w:marLeft w:val="0"/>
          <w:marRight w:val="0"/>
          <w:marTop w:val="0"/>
          <w:marBottom w:val="0"/>
          <w:divBdr>
            <w:top w:val="none" w:sz="0" w:space="0" w:color="auto"/>
            <w:left w:val="none" w:sz="0" w:space="0" w:color="auto"/>
            <w:bottom w:val="none" w:sz="0" w:space="0" w:color="auto"/>
            <w:right w:val="none" w:sz="0" w:space="0" w:color="auto"/>
          </w:divBdr>
        </w:div>
      </w:divsChild>
    </w:div>
    <w:div w:id="1290477976">
      <w:bodyDiv w:val="1"/>
      <w:marLeft w:val="0"/>
      <w:marRight w:val="0"/>
      <w:marTop w:val="0"/>
      <w:marBottom w:val="0"/>
      <w:divBdr>
        <w:top w:val="none" w:sz="0" w:space="0" w:color="auto"/>
        <w:left w:val="none" w:sz="0" w:space="0" w:color="auto"/>
        <w:bottom w:val="none" w:sz="0" w:space="0" w:color="auto"/>
        <w:right w:val="none" w:sz="0" w:space="0" w:color="auto"/>
      </w:divBdr>
      <w:divsChild>
        <w:div w:id="1348747740">
          <w:marLeft w:val="0"/>
          <w:marRight w:val="0"/>
          <w:marTop w:val="0"/>
          <w:marBottom w:val="0"/>
          <w:divBdr>
            <w:top w:val="none" w:sz="0" w:space="0" w:color="auto"/>
            <w:left w:val="none" w:sz="0" w:space="0" w:color="auto"/>
            <w:bottom w:val="none" w:sz="0" w:space="0" w:color="auto"/>
            <w:right w:val="none" w:sz="0" w:space="0" w:color="auto"/>
          </w:divBdr>
        </w:div>
        <w:div w:id="1079668455">
          <w:marLeft w:val="0"/>
          <w:marRight w:val="0"/>
          <w:marTop w:val="0"/>
          <w:marBottom w:val="0"/>
          <w:divBdr>
            <w:top w:val="none" w:sz="0" w:space="0" w:color="auto"/>
            <w:left w:val="none" w:sz="0" w:space="0" w:color="auto"/>
            <w:bottom w:val="none" w:sz="0" w:space="0" w:color="auto"/>
            <w:right w:val="none" w:sz="0" w:space="0" w:color="auto"/>
          </w:divBdr>
        </w:div>
        <w:div w:id="1011688289">
          <w:marLeft w:val="0"/>
          <w:marRight w:val="0"/>
          <w:marTop w:val="0"/>
          <w:marBottom w:val="0"/>
          <w:divBdr>
            <w:top w:val="none" w:sz="0" w:space="0" w:color="auto"/>
            <w:left w:val="none" w:sz="0" w:space="0" w:color="auto"/>
            <w:bottom w:val="none" w:sz="0" w:space="0" w:color="auto"/>
            <w:right w:val="none" w:sz="0" w:space="0" w:color="auto"/>
          </w:divBdr>
        </w:div>
        <w:div w:id="1045258108">
          <w:marLeft w:val="0"/>
          <w:marRight w:val="0"/>
          <w:marTop w:val="0"/>
          <w:marBottom w:val="0"/>
          <w:divBdr>
            <w:top w:val="none" w:sz="0" w:space="0" w:color="auto"/>
            <w:left w:val="none" w:sz="0" w:space="0" w:color="auto"/>
            <w:bottom w:val="none" w:sz="0" w:space="0" w:color="auto"/>
            <w:right w:val="none" w:sz="0" w:space="0" w:color="auto"/>
          </w:divBdr>
          <w:divsChild>
            <w:div w:id="162865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127381">
      <w:bodyDiv w:val="1"/>
      <w:marLeft w:val="0"/>
      <w:marRight w:val="0"/>
      <w:marTop w:val="0"/>
      <w:marBottom w:val="0"/>
      <w:divBdr>
        <w:top w:val="none" w:sz="0" w:space="0" w:color="auto"/>
        <w:left w:val="none" w:sz="0" w:space="0" w:color="auto"/>
        <w:bottom w:val="none" w:sz="0" w:space="0" w:color="auto"/>
        <w:right w:val="none" w:sz="0" w:space="0" w:color="auto"/>
      </w:divBdr>
      <w:divsChild>
        <w:div w:id="92552841">
          <w:marLeft w:val="0"/>
          <w:marRight w:val="0"/>
          <w:marTop w:val="0"/>
          <w:marBottom w:val="0"/>
          <w:divBdr>
            <w:top w:val="none" w:sz="0" w:space="0" w:color="auto"/>
            <w:left w:val="none" w:sz="0" w:space="0" w:color="auto"/>
            <w:bottom w:val="none" w:sz="0" w:space="0" w:color="auto"/>
            <w:right w:val="none" w:sz="0" w:space="0" w:color="auto"/>
          </w:divBdr>
        </w:div>
        <w:div w:id="764885729">
          <w:marLeft w:val="0"/>
          <w:marRight w:val="0"/>
          <w:marTop w:val="0"/>
          <w:marBottom w:val="0"/>
          <w:divBdr>
            <w:top w:val="none" w:sz="0" w:space="0" w:color="auto"/>
            <w:left w:val="none" w:sz="0" w:space="0" w:color="auto"/>
            <w:bottom w:val="none" w:sz="0" w:space="0" w:color="auto"/>
            <w:right w:val="none" w:sz="0" w:space="0" w:color="auto"/>
          </w:divBdr>
        </w:div>
      </w:divsChild>
    </w:div>
    <w:div w:id="1377701652">
      <w:bodyDiv w:val="1"/>
      <w:marLeft w:val="0"/>
      <w:marRight w:val="0"/>
      <w:marTop w:val="0"/>
      <w:marBottom w:val="0"/>
      <w:divBdr>
        <w:top w:val="none" w:sz="0" w:space="0" w:color="auto"/>
        <w:left w:val="none" w:sz="0" w:space="0" w:color="auto"/>
        <w:bottom w:val="none" w:sz="0" w:space="0" w:color="auto"/>
        <w:right w:val="none" w:sz="0" w:space="0" w:color="auto"/>
      </w:divBdr>
      <w:divsChild>
        <w:div w:id="434836674">
          <w:marLeft w:val="0"/>
          <w:marRight w:val="0"/>
          <w:marTop w:val="0"/>
          <w:marBottom w:val="0"/>
          <w:divBdr>
            <w:top w:val="none" w:sz="0" w:space="0" w:color="auto"/>
            <w:left w:val="none" w:sz="0" w:space="0" w:color="auto"/>
            <w:bottom w:val="none" w:sz="0" w:space="0" w:color="auto"/>
            <w:right w:val="none" w:sz="0" w:space="0" w:color="auto"/>
          </w:divBdr>
          <w:divsChild>
            <w:div w:id="208953678">
              <w:marLeft w:val="0"/>
              <w:marRight w:val="0"/>
              <w:marTop w:val="0"/>
              <w:marBottom w:val="0"/>
              <w:divBdr>
                <w:top w:val="none" w:sz="0" w:space="0" w:color="auto"/>
                <w:left w:val="none" w:sz="0" w:space="0" w:color="auto"/>
                <w:bottom w:val="none" w:sz="0" w:space="0" w:color="auto"/>
                <w:right w:val="none" w:sz="0" w:space="0" w:color="auto"/>
              </w:divBdr>
              <w:divsChild>
                <w:div w:id="94130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590032">
      <w:bodyDiv w:val="1"/>
      <w:marLeft w:val="0"/>
      <w:marRight w:val="0"/>
      <w:marTop w:val="0"/>
      <w:marBottom w:val="0"/>
      <w:divBdr>
        <w:top w:val="none" w:sz="0" w:space="0" w:color="auto"/>
        <w:left w:val="none" w:sz="0" w:space="0" w:color="auto"/>
        <w:bottom w:val="none" w:sz="0" w:space="0" w:color="auto"/>
        <w:right w:val="none" w:sz="0" w:space="0" w:color="auto"/>
      </w:divBdr>
      <w:divsChild>
        <w:div w:id="779883844">
          <w:marLeft w:val="0"/>
          <w:marRight w:val="0"/>
          <w:marTop w:val="0"/>
          <w:marBottom w:val="0"/>
          <w:divBdr>
            <w:top w:val="none" w:sz="0" w:space="0" w:color="auto"/>
            <w:left w:val="none" w:sz="0" w:space="0" w:color="auto"/>
            <w:bottom w:val="none" w:sz="0" w:space="0" w:color="auto"/>
            <w:right w:val="none" w:sz="0" w:space="0" w:color="auto"/>
          </w:divBdr>
          <w:divsChild>
            <w:div w:id="2052459305">
              <w:marLeft w:val="0"/>
              <w:marRight w:val="0"/>
              <w:marTop w:val="0"/>
              <w:marBottom w:val="0"/>
              <w:divBdr>
                <w:top w:val="none" w:sz="0" w:space="0" w:color="auto"/>
                <w:left w:val="none" w:sz="0" w:space="0" w:color="auto"/>
                <w:bottom w:val="none" w:sz="0" w:space="0" w:color="auto"/>
                <w:right w:val="none" w:sz="0" w:space="0" w:color="auto"/>
              </w:divBdr>
              <w:divsChild>
                <w:div w:id="1527676796">
                  <w:marLeft w:val="0"/>
                  <w:marRight w:val="0"/>
                  <w:marTop w:val="0"/>
                  <w:marBottom w:val="0"/>
                  <w:divBdr>
                    <w:top w:val="none" w:sz="0" w:space="0" w:color="auto"/>
                    <w:left w:val="none" w:sz="0" w:space="0" w:color="auto"/>
                    <w:bottom w:val="none" w:sz="0" w:space="0" w:color="auto"/>
                    <w:right w:val="none" w:sz="0" w:space="0" w:color="auto"/>
                  </w:divBdr>
                  <w:divsChild>
                    <w:div w:id="888491567">
                      <w:marLeft w:val="0"/>
                      <w:marRight w:val="0"/>
                      <w:marTop w:val="0"/>
                      <w:marBottom w:val="0"/>
                      <w:divBdr>
                        <w:top w:val="none" w:sz="0" w:space="0" w:color="auto"/>
                        <w:left w:val="none" w:sz="0" w:space="0" w:color="auto"/>
                        <w:bottom w:val="none" w:sz="0" w:space="0" w:color="auto"/>
                        <w:right w:val="none" w:sz="0" w:space="0" w:color="auto"/>
                      </w:divBdr>
                    </w:div>
                    <w:div w:id="1951544229">
                      <w:marLeft w:val="0"/>
                      <w:marRight w:val="0"/>
                      <w:marTop w:val="0"/>
                      <w:marBottom w:val="0"/>
                      <w:divBdr>
                        <w:top w:val="none" w:sz="0" w:space="0" w:color="auto"/>
                        <w:left w:val="none" w:sz="0" w:space="0" w:color="auto"/>
                        <w:bottom w:val="none" w:sz="0" w:space="0" w:color="auto"/>
                        <w:right w:val="none" w:sz="0" w:space="0" w:color="auto"/>
                      </w:divBdr>
                    </w:div>
                  </w:divsChild>
                </w:div>
                <w:div w:id="868227500">
                  <w:marLeft w:val="0"/>
                  <w:marRight w:val="0"/>
                  <w:marTop w:val="0"/>
                  <w:marBottom w:val="0"/>
                  <w:divBdr>
                    <w:top w:val="none" w:sz="0" w:space="0" w:color="auto"/>
                    <w:left w:val="none" w:sz="0" w:space="0" w:color="auto"/>
                    <w:bottom w:val="none" w:sz="0" w:space="0" w:color="auto"/>
                    <w:right w:val="none" w:sz="0" w:space="0" w:color="auto"/>
                  </w:divBdr>
                  <w:divsChild>
                    <w:div w:id="180377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205664">
      <w:bodyDiv w:val="1"/>
      <w:marLeft w:val="0"/>
      <w:marRight w:val="0"/>
      <w:marTop w:val="0"/>
      <w:marBottom w:val="0"/>
      <w:divBdr>
        <w:top w:val="none" w:sz="0" w:space="0" w:color="auto"/>
        <w:left w:val="none" w:sz="0" w:space="0" w:color="auto"/>
        <w:bottom w:val="none" w:sz="0" w:space="0" w:color="auto"/>
        <w:right w:val="none" w:sz="0" w:space="0" w:color="auto"/>
      </w:divBdr>
      <w:divsChild>
        <w:div w:id="639001482">
          <w:marLeft w:val="0"/>
          <w:marRight w:val="0"/>
          <w:marTop w:val="0"/>
          <w:marBottom w:val="0"/>
          <w:divBdr>
            <w:top w:val="none" w:sz="0" w:space="0" w:color="auto"/>
            <w:left w:val="none" w:sz="0" w:space="0" w:color="auto"/>
            <w:bottom w:val="none" w:sz="0" w:space="0" w:color="auto"/>
            <w:right w:val="none" w:sz="0" w:space="0" w:color="auto"/>
          </w:divBdr>
        </w:div>
        <w:div w:id="1099107014">
          <w:marLeft w:val="0"/>
          <w:marRight w:val="0"/>
          <w:marTop w:val="0"/>
          <w:marBottom w:val="0"/>
          <w:divBdr>
            <w:top w:val="none" w:sz="0" w:space="0" w:color="auto"/>
            <w:left w:val="none" w:sz="0" w:space="0" w:color="auto"/>
            <w:bottom w:val="none" w:sz="0" w:space="0" w:color="auto"/>
            <w:right w:val="none" w:sz="0" w:space="0" w:color="auto"/>
          </w:divBdr>
        </w:div>
      </w:divsChild>
    </w:div>
    <w:div w:id="1443764442">
      <w:bodyDiv w:val="1"/>
      <w:marLeft w:val="0"/>
      <w:marRight w:val="0"/>
      <w:marTop w:val="0"/>
      <w:marBottom w:val="0"/>
      <w:divBdr>
        <w:top w:val="none" w:sz="0" w:space="0" w:color="auto"/>
        <w:left w:val="none" w:sz="0" w:space="0" w:color="auto"/>
        <w:bottom w:val="none" w:sz="0" w:space="0" w:color="auto"/>
        <w:right w:val="none" w:sz="0" w:space="0" w:color="auto"/>
      </w:divBdr>
      <w:divsChild>
        <w:div w:id="1216699321">
          <w:marLeft w:val="0"/>
          <w:marRight w:val="0"/>
          <w:marTop w:val="0"/>
          <w:marBottom w:val="0"/>
          <w:divBdr>
            <w:top w:val="none" w:sz="0" w:space="0" w:color="auto"/>
            <w:left w:val="none" w:sz="0" w:space="0" w:color="auto"/>
            <w:bottom w:val="none" w:sz="0" w:space="0" w:color="auto"/>
            <w:right w:val="none" w:sz="0" w:space="0" w:color="auto"/>
          </w:divBdr>
        </w:div>
        <w:div w:id="2045523390">
          <w:marLeft w:val="0"/>
          <w:marRight w:val="0"/>
          <w:marTop w:val="0"/>
          <w:marBottom w:val="0"/>
          <w:divBdr>
            <w:top w:val="none" w:sz="0" w:space="0" w:color="auto"/>
            <w:left w:val="none" w:sz="0" w:space="0" w:color="auto"/>
            <w:bottom w:val="none" w:sz="0" w:space="0" w:color="auto"/>
            <w:right w:val="none" w:sz="0" w:space="0" w:color="auto"/>
          </w:divBdr>
        </w:div>
      </w:divsChild>
    </w:div>
    <w:div w:id="1456218155">
      <w:bodyDiv w:val="1"/>
      <w:marLeft w:val="0"/>
      <w:marRight w:val="0"/>
      <w:marTop w:val="0"/>
      <w:marBottom w:val="0"/>
      <w:divBdr>
        <w:top w:val="none" w:sz="0" w:space="0" w:color="auto"/>
        <w:left w:val="none" w:sz="0" w:space="0" w:color="auto"/>
        <w:bottom w:val="none" w:sz="0" w:space="0" w:color="auto"/>
        <w:right w:val="none" w:sz="0" w:space="0" w:color="auto"/>
      </w:divBdr>
      <w:divsChild>
        <w:div w:id="116998603">
          <w:marLeft w:val="0"/>
          <w:marRight w:val="0"/>
          <w:marTop w:val="0"/>
          <w:marBottom w:val="0"/>
          <w:divBdr>
            <w:top w:val="none" w:sz="0" w:space="0" w:color="auto"/>
            <w:left w:val="none" w:sz="0" w:space="0" w:color="auto"/>
            <w:bottom w:val="none" w:sz="0" w:space="0" w:color="auto"/>
            <w:right w:val="none" w:sz="0" w:space="0" w:color="auto"/>
          </w:divBdr>
        </w:div>
        <w:div w:id="698900058">
          <w:marLeft w:val="0"/>
          <w:marRight w:val="0"/>
          <w:marTop w:val="0"/>
          <w:marBottom w:val="0"/>
          <w:divBdr>
            <w:top w:val="none" w:sz="0" w:space="0" w:color="auto"/>
            <w:left w:val="none" w:sz="0" w:space="0" w:color="auto"/>
            <w:bottom w:val="none" w:sz="0" w:space="0" w:color="auto"/>
            <w:right w:val="none" w:sz="0" w:space="0" w:color="auto"/>
          </w:divBdr>
        </w:div>
      </w:divsChild>
    </w:div>
    <w:div w:id="1463961740">
      <w:bodyDiv w:val="1"/>
      <w:marLeft w:val="0"/>
      <w:marRight w:val="0"/>
      <w:marTop w:val="0"/>
      <w:marBottom w:val="0"/>
      <w:divBdr>
        <w:top w:val="none" w:sz="0" w:space="0" w:color="auto"/>
        <w:left w:val="none" w:sz="0" w:space="0" w:color="auto"/>
        <w:bottom w:val="none" w:sz="0" w:space="0" w:color="auto"/>
        <w:right w:val="none" w:sz="0" w:space="0" w:color="auto"/>
      </w:divBdr>
    </w:div>
    <w:div w:id="1467894094">
      <w:bodyDiv w:val="1"/>
      <w:marLeft w:val="0"/>
      <w:marRight w:val="0"/>
      <w:marTop w:val="0"/>
      <w:marBottom w:val="0"/>
      <w:divBdr>
        <w:top w:val="none" w:sz="0" w:space="0" w:color="auto"/>
        <w:left w:val="none" w:sz="0" w:space="0" w:color="auto"/>
        <w:bottom w:val="none" w:sz="0" w:space="0" w:color="auto"/>
        <w:right w:val="none" w:sz="0" w:space="0" w:color="auto"/>
      </w:divBdr>
      <w:divsChild>
        <w:div w:id="1814758552">
          <w:marLeft w:val="0"/>
          <w:marRight w:val="0"/>
          <w:marTop w:val="0"/>
          <w:marBottom w:val="0"/>
          <w:divBdr>
            <w:top w:val="none" w:sz="0" w:space="0" w:color="auto"/>
            <w:left w:val="none" w:sz="0" w:space="0" w:color="auto"/>
            <w:bottom w:val="none" w:sz="0" w:space="0" w:color="auto"/>
            <w:right w:val="none" w:sz="0" w:space="0" w:color="auto"/>
          </w:divBdr>
          <w:divsChild>
            <w:div w:id="896429787">
              <w:marLeft w:val="0"/>
              <w:marRight w:val="0"/>
              <w:marTop w:val="0"/>
              <w:marBottom w:val="0"/>
              <w:divBdr>
                <w:top w:val="none" w:sz="0" w:space="0" w:color="auto"/>
                <w:left w:val="none" w:sz="0" w:space="0" w:color="auto"/>
                <w:bottom w:val="none" w:sz="0" w:space="0" w:color="auto"/>
                <w:right w:val="none" w:sz="0" w:space="0" w:color="auto"/>
              </w:divBdr>
              <w:divsChild>
                <w:div w:id="162958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867623">
      <w:bodyDiv w:val="1"/>
      <w:marLeft w:val="0"/>
      <w:marRight w:val="0"/>
      <w:marTop w:val="0"/>
      <w:marBottom w:val="0"/>
      <w:divBdr>
        <w:top w:val="none" w:sz="0" w:space="0" w:color="auto"/>
        <w:left w:val="none" w:sz="0" w:space="0" w:color="auto"/>
        <w:bottom w:val="none" w:sz="0" w:space="0" w:color="auto"/>
        <w:right w:val="none" w:sz="0" w:space="0" w:color="auto"/>
      </w:divBdr>
    </w:div>
    <w:div w:id="1610090747">
      <w:bodyDiv w:val="1"/>
      <w:marLeft w:val="0"/>
      <w:marRight w:val="0"/>
      <w:marTop w:val="0"/>
      <w:marBottom w:val="0"/>
      <w:divBdr>
        <w:top w:val="none" w:sz="0" w:space="0" w:color="auto"/>
        <w:left w:val="none" w:sz="0" w:space="0" w:color="auto"/>
        <w:bottom w:val="none" w:sz="0" w:space="0" w:color="auto"/>
        <w:right w:val="none" w:sz="0" w:space="0" w:color="auto"/>
      </w:divBdr>
      <w:divsChild>
        <w:div w:id="865410603">
          <w:marLeft w:val="0"/>
          <w:marRight w:val="0"/>
          <w:marTop w:val="0"/>
          <w:marBottom w:val="0"/>
          <w:divBdr>
            <w:top w:val="none" w:sz="0" w:space="0" w:color="auto"/>
            <w:left w:val="none" w:sz="0" w:space="0" w:color="auto"/>
            <w:bottom w:val="none" w:sz="0" w:space="0" w:color="auto"/>
            <w:right w:val="none" w:sz="0" w:space="0" w:color="auto"/>
          </w:divBdr>
          <w:divsChild>
            <w:div w:id="1412115447">
              <w:marLeft w:val="0"/>
              <w:marRight w:val="0"/>
              <w:marTop w:val="0"/>
              <w:marBottom w:val="0"/>
              <w:divBdr>
                <w:top w:val="none" w:sz="0" w:space="0" w:color="auto"/>
                <w:left w:val="none" w:sz="0" w:space="0" w:color="auto"/>
                <w:bottom w:val="none" w:sz="0" w:space="0" w:color="auto"/>
                <w:right w:val="none" w:sz="0" w:space="0" w:color="auto"/>
              </w:divBdr>
              <w:divsChild>
                <w:div w:id="105882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954239">
      <w:bodyDiv w:val="1"/>
      <w:marLeft w:val="0"/>
      <w:marRight w:val="0"/>
      <w:marTop w:val="0"/>
      <w:marBottom w:val="0"/>
      <w:divBdr>
        <w:top w:val="none" w:sz="0" w:space="0" w:color="auto"/>
        <w:left w:val="none" w:sz="0" w:space="0" w:color="auto"/>
        <w:bottom w:val="none" w:sz="0" w:space="0" w:color="auto"/>
        <w:right w:val="none" w:sz="0" w:space="0" w:color="auto"/>
      </w:divBdr>
      <w:divsChild>
        <w:div w:id="1391491797">
          <w:marLeft w:val="0"/>
          <w:marRight w:val="0"/>
          <w:marTop w:val="0"/>
          <w:marBottom w:val="0"/>
          <w:divBdr>
            <w:top w:val="none" w:sz="0" w:space="0" w:color="auto"/>
            <w:left w:val="none" w:sz="0" w:space="0" w:color="auto"/>
            <w:bottom w:val="none" w:sz="0" w:space="0" w:color="auto"/>
            <w:right w:val="none" w:sz="0" w:space="0" w:color="auto"/>
          </w:divBdr>
        </w:div>
        <w:div w:id="1701467698">
          <w:marLeft w:val="0"/>
          <w:marRight w:val="0"/>
          <w:marTop w:val="0"/>
          <w:marBottom w:val="0"/>
          <w:divBdr>
            <w:top w:val="none" w:sz="0" w:space="0" w:color="auto"/>
            <w:left w:val="none" w:sz="0" w:space="0" w:color="auto"/>
            <w:bottom w:val="none" w:sz="0" w:space="0" w:color="auto"/>
            <w:right w:val="none" w:sz="0" w:space="0" w:color="auto"/>
          </w:divBdr>
        </w:div>
      </w:divsChild>
    </w:div>
    <w:div w:id="1638219184">
      <w:bodyDiv w:val="1"/>
      <w:marLeft w:val="0"/>
      <w:marRight w:val="0"/>
      <w:marTop w:val="0"/>
      <w:marBottom w:val="0"/>
      <w:divBdr>
        <w:top w:val="none" w:sz="0" w:space="0" w:color="auto"/>
        <w:left w:val="none" w:sz="0" w:space="0" w:color="auto"/>
        <w:bottom w:val="none" w:sz="0" w:space="0" w:color="auto"/>
        <w:right w:val="none" w:sz="0" w:space="0" w:color="auto"/>
      </w:divBdr>
      <w:divsChild>
        <w:div w:id="247808842">
          <w:marLeft w:val="0"/>
          <w:marRight w:val="0"/>
          <w:marTop w:val="0"/>
          <w:marBottom w:val="0"/>
          <w:divBdr>
            <w:top w:val="none" w:sz="0" w:space="0" w:color="auto"/>
            <w:left w:val="none" w:sz="0" w:space="0" w:color="auto"/>
            <w:bottom w:val="none" w:sz="0" w:space="0" w:color="auto"/>
            <w:right w:val="none" w:sz="0" w:space="0" w:color="auto"/>
          </w:divBdr>
        </w:div>
        <w:div w:id="2014531275">
          <w:marLeft w:val="0"/>
          <w:marRight w:val="0"/>
          <w:marTop w:val="0"/>
          <w:marBottom w:val="0"/>
          <w:divBdr>
            <w:top w:val="none" w:sz="0" w:space="0" w:color="auto"/>
            <w:left w:val="none" w:sz="0" w:space="0" w:color="auto"/>
            <w:bottom w:val="none" w:sz="0" w:space="0" w:color="auto"/>
            <w:right w:val="none" w:sz="0" w:space="0" w:color="auto"/>
          </w:divBdr>
        </w:div>
      </w:divsChild>
    </w:div>
    <w:div w:id="1675298312">
      <w:bodyDiv w:val="1"/>
      <w:marLeft w:val="0"/>
      <w:marRight w:val="0"/>
      <w:marTop w:val="0"/>
      <w:marBottom w:val="0"/>
      <w:divBdr>
        <w:top w:val="none" w:sz="0" w:space="0" w:color="auto"/>
        <w:left w:val="none" w:sz="0" w:space="0" w:color="auto"/>
        <w:bottom w:val="none" w:sz="0" w:space="0" w:color="auto"/>
        <w:right w:val="none" w:sz="0" w:space="0" w:color="auto"/>
      </w:divBdr>
      <w:divsChild>
        <w:div w:id="1184318278">
          <w:marLeft w:val="0"/>
          <w:marRight w:val="0"/>
          <w:marTop w:val="0"/>
          <w:marBottom w:val="0"/>
          <w:divBdr>
            <w:top w:val="none" w:sz="0" w:space="0" w:color="auto"/>
            <w:left w:val="none" w:sz="0" w:space="0" w:color="auto"/>
            <w:bottom w:val="none" w:sz="0" w:space="0" w:color="auto"/>
            <w:right w:val="none" w:sz="0" w:space="0" w:color="auto"/>
          </w:divBdr>
          <w:divsChild>
            <w:div w:id="2095859936">
              <w:marLeft w:val="0"/>
              <w:marRight w:val="0"/>
              <w:marTop w:val="0"/>
              <w:marBottom w:val="0"/>
              <w:divBdr>
                <w:top w:val="none" w:sz="0" w:space="0" w:color="auto"/>
                <w:left w:val="none" w:sz="0" w:space="0" w:color="auto"/>
                <w:bottom w:val="none" w:sz="0" w:space="0" w:color="auto"/>
                <w:right w:val="none" w:sz="0" w:space="0" w:color="auto"/>
              </w:divBdr>
              <w:divsChild>
                <w:div w:id="186046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475116">
      <w:bodyDiv w:val="1"/>
      <w:marLeft w:val="0"/>
      <w:marRight w:val="0"/>
      <w:marTop w:val="0"/>
      <w:marBottom w:val="0"/>
      <w:divBdr>
        <w:top w:val="none" w:sz="0" w:space="0" w:color="auto"/>
        <w:left w:val="none" w:sz="0" w:space="0" w:color="auto"/>
        <w:bottom w:val="none" w:sz="0" w:space="0" w:color="auto"/>
        <w:right w:val="none" w:sz="0" w:space="0" w:color="auto"/>
      </w:divBdr>
    </w:div>
    <w:div w:id="1740128239">
      <w:bodyDiv w:val="1"/>
      <w:marLeft w:val="0"/>
      <w:marRight w:val="0"/>
      <w:marTop w:val="0"/>
      <w:marBottom w:val="0"/>
      <w:divBdr>
        <w:top w:val="none" w:sz="0" w:space="0" w:color="auto"/>
        <w:left w:val="none" w:sz="0" w:space="0" w:color="auto"/>
        <w:bottom w:val="none" w:sz="0" w:space="0" w:color="auto"/>
        <w:right w:val="none" w:sz="0" w:space="0" w:color="auto"/>
      </w:divBdr>
      <w:divsChild>
        <w:div w:id="57948313">
          <w:marLeft w:val="0"/>
          <w:marRight w:val="0"/>
          <w:marTop w:val="0"/>
          <w:marBottom w:val="0"/>
          <w:divBdr>
            <w:top w:val="none" w:sz="0" w:space="0" w:color="auto"/>
            <w:left w:val="none" w:sz="0" w:space="0" w:color="auto"/>
            <w:bottom w:val="none" w:sz="0" w:space="0" w:color="auto"/>
            <w:right w:val="none" w:sz="0" w:space="0" w:color="auto"/>
          </w:divBdr>
          <w:divsChild>
            <w:div w:id="1140029241">
              <w:marLeft w:val="0"/>
              <w:marRight w:val="0"/>
              <w:marTop w:val="0"/>
              <w:marBottom w:val="0"/>
              <w:divBdr>
                <w:top w:val="none" w:sz="0" w:space="0" w:color="auto"/>
                <w:left w:val="none" w:sz="0" w:space="0" w:color="auto"/>
                <w:bottom w:val="none" w:sz="0" w:space="0" w:color="auto"/>
                <w:right w:val="none" w:sz="0" w:space="0" w:color="auto"/>
              </w:divBdr>
              <w:divsChild>
                <w:div w:id="104622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444178">
      <w:bodyDiv w:val="1"/>
      <w:marLeft w:val="0"/>
      <w:marRight w:val="0"/>
      <w:marTop w:val="0"/>
      <w:marBottom w:val="0"/>
      <w:divBdr>
        <w:top w:val="none" w:sz="0" w:space="0" w:color="auto"/>
        <w:left w:val="none" w:sz="0" w:space="0" w:color="auto"/>
        <w:bottom w:val="none" w:sz="0" w:space="0" w:color="auto"/>
        <w:right w:val="none" w:sz="0" w:space="0" w:color="auto"/>
      </w:divBdr>
    </w:div>
    <w:div w:id="1807159719">
      <w:bodyDiv w:val="1"/>
      <w:marLeft w:val="0"/>
      <w:marRight w:val="0"/>
      <w:marTop w:val="0"/>
      <w:marBottom w:val="0"/>
      <w:divBdr>
        <w:top w:val="none" w:sz="0" w:space="0" w:color="auto"/>
        <w:left w:val="none" w:sz="0" w:space="0" w:color="auto"/>
        <w:bottom w:val="none" w:sz="0" w:space="0" w:color="auto"/>
        <w:right w:val="none" w:sz="0" w:space="0" w:color="auto"/>
      </w:divBdr>
      <w:divsChild>
        <w:div w:id="448204577">
          <w:marLeft w:val="0"/>
          <w:marRight w:val="0"/>
          <w:marTop w:val="0"/>
          <w:marBottom w:val="0"/>
          <w:divBdr>
            <w:top w:val="none" w:sz="0" w:space="0" w:color="auto"/>
            <w:left w:val="none" w:sz="0" w:space="0" w:color="auto"/>
            <w:bottom w:val="none" w:sz="0" w:space="0" w:color="auto"/>
            <w:right w:val="none" w:sz="0" w:space="0" w:color="auto"/>
          </w:divBdr>
          <w:divsChild>
            <w:div w:id="772286290">
              <w:marLeft w:val="0"/>
              <w:marRight w:val="0"/>
              <w:marTop w:val="0"/>
              <w:marBottom w:val="0"/>
              <w:divBdr>
                <w:top w:val="none" w:sz="0" w:space="0" w:color="auto"/>
                <w:left w:val="none" w:sz="0" w:space="0" w:color="auto"/>
                <w:bottom w:val="none" w:sz="0" w:space="0" w:color="auto"/>
                <w:right w:val="none" w:sz="0" w:space="0" w:color="auto"/>
              </w:divBdr>
              <w:divsChild>
                <w:div w:id="21878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062001">
      <w:bodyDiv w:val="1"/>
      <w:marLeft w:val="0"/>
      <w:marRight w:val="0"/>
      <w:marTop w:val="0"/>
      <w:marBottom w:val="0"/>
      <w:divBdr>
        <w:top w:val="none" w:sz="0" w:space="0" w:color="auto"/>
        <w:left w:val="none" w:sz="0" w:space="0" w:color="auto"/>
        <w:bottom w:val="none" w:sz="0" w:space="0" w:color="auto"/>
        <w:right w:val="none" w:sz="0" w:space="0" w:color="auto"/>
      </w:divBdr>
      <w:divsChild>
        <w:div w:id="280385612">
          <w:marLeft w:val="0"/>
          <w:marRight w:val="0"/>
          <w:marTop w:val="0"/>
          <w:marBottom w:val="0"/>
          <w:divBdr>
            <w:top w:val="none" w:sz="0" w:space="0" w:color="auto"/>
            <w:left w:val="none" w:sz="0" w:space="0" w:color="auto"/>
            <w:bottom w:val="none" w:sz="0" w:space="0" w:color="auto"/>
            <w:right w:val="none" w:sz="0" w:space="0" w:color="auto"/>
          </w:divBdr>
          <w:divsChild>
            <w:div w:id="441416039">
              <w:marLeft w:val="0"/>
              <w:marRight w:val="0"/>
              <w:marTop w:val="0"/>
              <w:marBottom w:val="0"/>
              <w:divBdr>
                <w:top w:val="none" w:sz="0" w:space="0" w:color="auto"/>
                <w:left w:val="none" w:sz="0" w:space="0" w:color="auto"/>
                <w:bottom w:val="none" w:sz="0" w:space="0" w:color="auto"/>
                <w:right w:val="none" w:sz="0" w:space="0" w:color="auto"/>
              </w:divBdr>
              <w:divsChild>
                <w:div w:id="125555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291225">
      <w:bodyDiv w:val="1"/>
      <w:marLeft w:val="0"/>
      <w:marRight w:val="0"/>
      <w:marTop w:val="0"/>
      <w:marBottom w:val="0"/>
      <w:divBdr>
        <w:top w:val="none" w:sz="0" w:space="0" w:color="auto"/>
        <w:left w:val="none" w:sz="0" w:space="0" w:color="auto"/>
        <w:bottom w:val="none" w:sz="0" w:space="0" w:color="auto"/>
        <w:right w:val="none" w:sz="0" w:space="0" w:color="auto"/>
      </w:divBdr>
      <w:divsChild>
        <w:div w:id="1001129960">
          <w:marLeft w:val="0"/>
          <w:marRight w:val="0"/>
          <w:marTop w:val="0"/>
          <w:marBottom w:val="0"/>
          <w:divBdr>
            <w:top w:val="none" w:sz="0" w:space="0" w:color="auto"/>
            <w:left w:val="none" w:sz="0" w:space="0" w:color="auto"/>
            <w:bottom w:val="none" w:sz="0" w:space="0" w:color="auto"/>
            <w:right w:val="none" w:sz="0" w:space="0" w:color="auto"/>
          </w:divBdr>
        </w:div>
        <w:div w:id="1376546473">
          <w:marLeft w:val="0"/>
          <w:marRight w:val="0"/>
          <w:marTop w:val="0"/>
          <w:marBottom w:val="0"/>
          <w:divBdr>
            <w:top w:val="none" w:sz="0" w:space="0" w:color="auto"/>
            <w:left w:val="none" w:sz="0" w:space="0" w:color="auto"/>
            <w:bottom w:val="none" w:sz="0" w:space="0" w:color="auto"/>
            <w:right w:val="none" w:sz="0" w:space="0" w:color="auto"/>
          </w:divBdr>
        </w:div>
      </w:divsChild>
    </w:div>
    <w:div w:id="1960843507">
      <w:bodyDiv w:val="1"/>
      <w:marLeft w:val="0"/>
      <w:marRight w:val="0"/>
      <w:marTop w:val="0"/>
      <w:marBottom w:val="0"/>
      <w:divBdr>
        <w:top w:val="none" w:sz="0" w:space="0" w:color="auto"/>
        <w:left w:val="none" w:sz="0" w:space="0" w:color="auto"/>
        <w:bottom w:val="none" w:sz="0" w:space="0" w:color="auto"/>
        <w:right w:val="none" w:sz="0" w:space="0" w:color="auto"/>
      </w:divBdr>
      <w:divsChild>
        <w:div w:id="1951815252">
          <w:marLeft w:val="0"/>
          <w:marRight w:val="0"/>
          <w:marTop w:val="0"/>
          <w:marBottom w:val="0"/>
          <w:divBdr>
            <w:top w:val="none" w:sz="0" w:space="0" w:color="auto"/>
            <w:left w:val="none" w:sz="0" w:space="0" w:color="auto"/>
            <w:bottom w:val="none" w:sz="0" w:space="0" w:color="auto"/>
            <w:right w:val="none" w:sz="0" w:space="0" w:color="auto"/>
          </w:divBdr>
          <w:divsChild>
            <w:div w:id="460538027">
              <w:marLeft w:val="0"/>
              <w:marRight w:val="0"/>
              <w:marTop w:val="0"/>
              <w:marBottom w:val="0"/>
              <w:divBdr>
                <w:top w:val="none" w:sz="0" w:space="0" w:color="auto"/>
                <w:left w:val="none" w:sz="0" w:space="0" w:color="auto"/>
                <w:bottom w:val="none" w:sz="0" w:space="0" w:color="auto"/>
                <w:right w:val="none" w:sz="0" w:space="0" w:color="auto"/>
              </w:divBdr>
              <w:divsChild>
                <w:div w:id="125200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095871">
      <w:bodyDiv w:val="1"/>
      <w:marLeft w:val="0"/>
      <w:marRight w:val="0"/>
      <w:marTop w:val="0"/>
      <w:marBottom w:val="0"/>
      <w:divBdr>
        <w:top w:val="none" w:sz="0" w:space="0" w:color="auto"/>
        <w:left w:val="none" w:sz="0" w:space="0" w:color="auto"/>
        <w:bottom w:val="none" w:sz="0" w:space="0" w:color="auto"/>
        <w:right w:val="none" w:sz="0" w:space="0" w:color="auto"/>
      </w:divBdr>
      <w:divsChild>
        <w:div w:id="447967610">
          <w:marLeft w:val="0"/>
          <w:marRight w:val="0"/>
          <w:marTop w:val="0"/>
          <w:marBottom w:val="0"/>
          <w:divBdr>
            <w:top w:val="none" w:sz="0" w:space="0" w:color="auto"/>
            <w:left w:val="none" w:sz="0" w:space="0" w:color="auto"/>
            <w:bottom w:val="none" w:sz="0" w:space="0" w:color="auto"/>
            <w:right w:val="none" w:sz="0" w:space="0" w:color="auto"/>
          </w:divBdr>
          <w:divsChild>
            <w:div w:id="1544516049">
              <w:marLeft w:val="0"/>
              <w:marRight w:val="0"/>
              <w:marTop w:val="0"/>
              <w:marBottom w:val="0"/>
              <w:divBdr>
                <w:top w:val="none" w:sz="0" w:space="0" w:color="auto"/>
                <w:left w:val="none" w:sz="0" w:space="0" w:color="auto"/>
                <w:bottom w:val="none" w:sz="0" w:space="0" w:color="auto"/>
                <w:right w:val="none" w:sz="0" w:space="0" w:color="auto"/>
              </w:divBdr>
              <w:divsChild>
                <w:div w:id="176307570">
                  <w:marLeft w:val="0"/>
                  <w:marRight w:val="0"/>
                  <w:marTop w:val="0"/>
                  <w:marBottom w:val="0"/>
                  <w:divBdr>
                    <w:top w:val="none" w:sz="0" w:space="0" w:color="auto"/>
                    <w:left w:val="none" w:sz="0" w:space="0" w:color="auto"/>
                    <w:bottom w:val="none" w:sz="0" w:space="0" w:color="auto"/>
                    <w:right w:val="none" w:sz="0" w:space="0" w:color="auto"/>
                  </w:divBdr>
                  <w:divsChild>
                    <w:div w:id="117650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629478">
      <w:bodyDiv w:val="1"/>
      <w:marLeft w:val="0"/>
      <w:marRight w:val="0"/>
      <w:marTop w:val="0"/>
      <w:marBottom w:val="0"/>
      <w:divBdr>
        <w:top w:val="none" w:sz="0" w:space="0" w:color="auto"/>
        <w:left w:val="none" w:sz="0" w:space="0" w:color="auto"/>
        <w:bottom w:val="none" w:sz="0" w:space="0" w:color="auto"/>
        <w:right w:val="none" w:sz="0" w:space="0" w:color="auto"/>
      </w:divBdr>
    </w:div>
    <w:div w:id="2028435873">
      <w:bodyDiv w:val="1"/>
      <w:marLeft w:val="0"/>
      <w:marRight w:val="0"/>
      <w:marTop w:val="0"/>
      <w:marBottom w:val="0"/>
      <w:divBdr>
        <w:top w:val="none" w:sz="0" w:space="0" w:color="auto"/>
        <w:left w:val="none" w:sz="0" w:space="0" w:color="auto"/>
        <w:bottom w:val="none" w:sz="0" w:space="0" w:color="auto"/>
        <w:right w:val="none" w:sz="0" w:space="0" w:color="auto"/>
      </w:divBdr>
    </w:div>
    <w:div w:id="2031251584">
      <w:bodyDiv w:val="1"/>
      <w:marLeft w:val="0"/>
      <w:marRight w:val="0"/>
      <w:marTop w:val="0"/>
      <w:marBottom w:val="0"/>
      <w:divBdr>
        <w:top w:val="none" w:sz="0" w:space="0" w:color="auto"/>
        <w:left w:val="none" w:sz="0" w:space="0" w:color="auto"/>
        <w:bottom w:val="none" w:sz="0" w:space="0" w:color="auto"/>
        <w:right w:val="none" w:sz="0" w:space="0" w:color="auto"/>
      </w:divBdr>
      <w:divsChild>
        <w:div w:id="1877083363">
          <w:marLeft w:val="0"/>
          <w:marRight w:val="0"/>
          <w:marTop w:val="0"/>
          <w:marBottom w:val="0"/>
          <w:divBdr>
            <w:top w:val="none" w:sz="0" w:space="0" w:color="auto"/>
            <w:left w:val="none" w:sz="0" w:space="0" w:color="auto"/>
            <w:bottom w:val="none" w:sz="0" w:space="0" w:color="auto"/>
            <w:right w:val="none" w:sz="0" w:space="0" w:color="auto"/>
          </w:divBdr>
        </w:div>
      </w:divsChild>
    </w:div>
    <w:div w:id="2040622793">
      <w:bodyDiv w:val="1"/>
      <w:marLeft w:val="0"/>
      <w:marRight w:val="0"/>
      <w:marTop w:val="0"/>
      <w:marBottom w:val="0"/>
      <w:divBdr>
        <w:top w:val="none" w:sz="0" w:space="0" w:color="auto"/>
        <w:left w:val="none" w:sz="0" w:space="0" w:color="auto"/>
        <w:bottom w:val="none" w:sz="0" w:space="0" w:color="auto"/>
        <w:right w:val="none" w:sz="0" w:space="0" w:color="auto"/>
      </w:divBdr>
      <w:divsChild>
        <w:div w:id="1846481378">
          <w:marLeft w:val="0"/>
          <w:marRight w:val="0"/>
          <w:marTop w:val="0"/>
          <w:marBottom w:val="0"/>
          <w:divBdr>
            <w:top w:val="none" w:sz="0" w:space="0" w:color="auto"/>
            <w:left w:val="none" w:sz="0" w:space="0" w:color="auto"/>
            <w:bottom w:val="none" w:sz="0" w:space="0" w:color="auto"/>
            <w:right w:val="none" w:sz="0" w:space="0" w:color="auto"/>
          </w:divBdr>
        </w:div>
        <w:div w:id="509878031">
          <w:marLeft w:val="0"/>
          <w:marRight w:val="0"/>
          <w:marTop w:val="0"/>
          <w:marBottom w:val="0"/>
          <w:divBdr>
            <w:top w:val="none" w:sz="0" w:space="0" w:color="auto"/>
            <w:left w:val="none" w:sz="0" w:space="0" w:color="auto"/>
            <w:bottom w:val="none" w:sz="0" w:space="0" w:color="auto"/>
            <w:right w:val="none" w:sz="0" w:space="0" w:color="auto"/>
          </w:divBdr>
        </w:div>
        <w:div w:id="591593656">
          <w:marLeft w:val="0"/>
          <w:marRight w:val="0"/>
          <w:marTop w:val="0"/>
          <w:marBottom w:val="0"/>
          <w:divBdr>
            <w:top w:val="none" w:sz="0" w:space="0" w:color="auto"/>
            <w:left w:val="none" w:sz="0" w:space="0" w:color="auto"/>
            <w:bottom w:val="none" w:sz="0" w:space="0" w:color="auto"/>
            <w:right w:val="none" w:sz="0" w:space="0" w:color="auto"/>
          </w:divBdr>
        </w:div>
        <w:div w:id="374430429">
          <w:marLeft w:val="0"/>
          <w:marRight w:val="0"/>
          <w:marTop w:val="0"/>
          <w:marBottom w:val="0"/>
          <w:divBdr>
            <w:top w:val="none" w:sz="0" w:space="0" w:color="auto"/>
            <w:left w:val="none" w:sz="0" w:space="0" w:color="auto"/>
            <w:bottom w:val="none" w:sz="0" w:space="0" w:color="auto"/>
            <w:right w:val="none" w:sz="0" w:space="0" w:color="auto"/>
          </w:divBdr>
        </w:div>
        <w:div w:id="2028210739">
          <w:marLeft w:val="0"/>
          <w:marRight w:val="0"/>
          <w:marTop w:val="0"/>
          <w:marBottom w:val="0"/>
          <w:divBdr>
            <w:top w:val="none" w:sz="0" w:space="0" w:color="auto"/>
            <w:left w:val="none" w:sz="0" w:space="0" w:color="auto"/>
            <w:bottom w:val="none" w:sz="0" w:space="0" w:color="auto"/>
            <w:right w:val="none" w:sz="0" w:space="0" w:color="auto"/>
          </w:divBdr>
        </w:div>
        <w:div w:id="1300961371">
          <w:marLeft w:val="0"/>
          <w:marRight w:val="0"/>
          <w:marTop w:val="0"/>
          <w:marBottom w:val="0"/>
          <w:divBdr>
            <w:top w:val="none" w:sz="0" w:space="0" w:color="auto"/>
            <w:left w:val="none" w:sz="0" w:space="0" w:color="auto"/>
            <w:bottom w:val="none" w:sz="0" w:space="0" w:color="auto"/>
            <w:right w:val="none" w:sz="0" w:space="0" w:color="auto"/>
          </w:divBdr>
        </w:div>
      </w:divsChild>
    </w:div>
    <w:div w:id="2083481781">
      <w:bodyDiv w:val="1"/>
      <w:marLeft w:val="0"/>
      <w:marRight w:val="0"/>
      <w:marTop w:val="0"/>
      <w:marBottom w:val="0"/>
      <w:divBdr>
        <w:top w:val="none" w:sz="0" w:space="0" w:color="auto"/>
        <w:left w:val="none" w:sz="0" w:space="0" w:color="auto"/>
        <w:bottom w:val="none" w:sz="0" w:space="0" w:color="auto"/>
        <w:right w:val="none" w:sz="0" w:space="0" w:color="auto"/>
      </w:divBdr>
      <w:divsChild>
        <w:div w:id="285088760">
          <w:marLeft w:val="0"/>
          <w:marRight w:val="0"/>
          <w:marTop w:val="0"/>
          <w:marBottom w:val="0"/>
          <w:divBdr>
            <w:top w:val="none" w:sz="0" w:space="0" w:color="auto"/>
            <w:left w:val="none" w:sz="0" w:space="0" w:color="auto"/>
            <w:bottom w:val="none" w:sz="0" w:space="0" w:color="auto"/>
            <w:right w:val="none" w:sz="0" w:space="0" w:color="auto"/>
          </w:divBdr>
          <w:divsChild>
            <w:div w:id="683091898">
              <w:marLeft w:val="0"/>
              <w:marRight w:val="0"/>
              <w:marTop w:val="0"/>
              <w:marBottom w:val="0"/>
              <w:divBdr>
                <w:top w:val="none" w:sz="0" w:space="0" w:color="auto"/>
                <w:left w:val="none" w:sz="0" w:space="0" w:color="auto"/>
                <w:bottom w:val="none" w:sz="0" w:space="0" w:color="auto"/>
                <w:right w:val="none" w:sz="0" w:space="0" w:color="auto"/>
              </w:divBdr>
              <w:divsChild>
                <w:div w:id="193883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914366">
      <w:bodyDiv w:val="1"/>
      <w:marLeft w:val="0"/>
      <w:marRight w:val="0"/>
      <w:marTop w:val="0"/>
      <w:marBottom w:val="0"/>
      <w:divBdr>
        <w:top w:val="none" w:sz="0" w:space="0" w:color="auto"/>
        <w:left w:val="none" w:sz="0" w:space="0" w:color="auto"/>
        <w:bottom w:val="none" w:sz="0" w:space="0" w:color="auto"/>
        <w:right w:val="none" w:sz="0" w:space="0" w:color="auto"/>
      </w:divBdr>
      <w:divsChild>
        <w:div w:id="1933050423">
          <w:marLeft w:val="0"/>
          <w:marRight w:val="0"/>
          <w:marTop w:val="0"/>
          <w:marBottom w:val="0"/>
          <w:divBdr>
            <w:top w:val="none" w:sz="0" w:space="0" w:color="auto"/>
            <w:left w:val="none" w:sz="0" w:space="0" w:color="auto"/>
            <w:bottom w:val="none" w:sz="0" w:space="0" w:color="auto"/>
            <w:right w:val="none" w:sz="0" w:space="0" w:color="auto"/>
          </w:divBdr>
        </w:div>
        <w:div w:id="1932078703">
          <w:marLeft w:val="0"/>
          <w:marRight w:val="0"/>
          <w:marTop w:val="0"/>
          <w:marBottom w:val="0"/>
          <w:divBdr>
            <w:top w:val="none" w:sz="0" w:space="0" w:color="auto"/>
            <w:left w:val="none" w:sz="0" w:space="0" w:color="auto"/>
            <w:bottom w:val="none" w:sz="0" w:space="0" w:color="auto"/>
            <w:right w:val="none" w:sz="0" w:space="0" w:color="auto"/>
          </w:divBdr>
        </w:div>
      </w:divsChild>
    </w:div>
    <w:div w:id="2112042283">
      <w:bodyDiv w:val="1"/>
      <w:marLeft w:val="0"/>
      <w:marRight w:val="0"/>
      <w:marTop w:val="0"/>
      <w:marBottom w:val="0"/>
      <w:divBdr>
        <w:top w:val="none" w:sz="0" w:space="0" w:color="auto"/>
        <w:left w:val="none" w:sz="0" w:space="0" w:color="auto"/>
        <w:bottom w:val="none" w:sz="0" w:space="0" w:color="auto"/>
        <w:right w:val="none" w:sz="0" w:space="0" w:color="auto"/>
      </w:divBdr>
    </w:div>
    <w:div w:id="2117628912">
      <w:bodyDiv w:val="1"/>
      <w:marLeft w:val="0"/>
      <w:marRight w:val="0"/>
      <w:marTop w:val="0"/>
      <w:marBottom w:val="0"/>
      <w:divBdr>
        <w:top w:val="none" w:sz="0" w:space="0" w:color="auto"/>
        <w:left w:val="none" w:sz="0" w:space="0" w:color="auto"/>
        <w:bottom w:val="none" w:sz="0" w:space="0" w:color="auto"/>
        <w:right w:val="none" w:sz="0" w:space="0" w:color="auto"/>
      </w:divBdr>
      <w:divsChild>
        <w:div w:id="1782063777">
          <w:marLeft w:val="0"/>
          <w:marRight w:val="0"/>
          <w:marTop w:val="0"/>
          <w:marBottom w:val="0"/>
          <w:divBdr>
            <w:top w:val="none" w:sz="0" w:space="0" w:color="auto"/>
            <w:left w:val="none" w:sz="0" w:space="0" w:color="auto"/>
            <w:bottom w:val="none" w:sz="0" w:space="0" w:color="auto"/>
            <w:right w:val="none" w:sz="0" w:space="0" w:color="auto"/>
          </w:divBdr>
        </w:div>
        <w:div w:id="2109352018">
          <w:marLeft w:val="0"/>
          <w:marRight w:val="0"/>
          <w:marTop w:val="0"/>
          <w:marBottom w:val="0"/>
          <w:divBdr>
            <w:top w:val="none" w:sz="0" w:space="0" w:color="auto"/>
            <w:left w:val="none" w:sz="0" w:space="0" w:color="auto"/>
            <w:bottom w:val="none" w:sz="0" w:space="0" w:color="auto"/>
            <w:right w:val="none" w:sz="0" w:space="0" w:color="auto"/>
          </w:divBdr>
        </w:div>
        <w:div w:id="1947888325">
          <w:marLeft w:val="0"/>
          <w:marRight w:val="0"/>
          <w:marTop w:val="0"/>
          <w:marBottom w:val="0"/>
          <w:divBdr>
            <w:top w:val="none" w:sz="0" w:space="0" w:color="auto"/>
            <w:left w:val="none" w:sz="0" w:space="0" w:color="auto"/>
            <w:bottom w:val="none" w:sz="0" w:space="0" w:color="auto"/>
            <w:right w:val="none" w:sz="0" w:space="0" w:color="auto"/>
          </w:divBdr>
        </w:div>
        <w:div w:id="866872294">
          <w:marLeft w:val="0"/>
          <w:marRight w:val="0"/>
          <w:marTop w:val="0"/>
          <w:marBottom w:val="0"/>
          <w:divBdr>
            <w:top w:val="none" w:sz="0" w:space="0" w:color="auto"/>
            <w:left w:val="none" w:sz="0" w:space="0" w:color="auto"/>
            <w:bottom w:val="none" w:sz="0" w:space="0" w:color="auto"/>
            <w:right w:val="none" w:sz="0" w:space="0" w:color="auto"/>
          </w:divBdr>
          <w:divsChild>
            <w:div w:id="79051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776642">
      <w:bodyDiv w:val="1"/>
      <w:marLeft w:val="0"/>
      <w:marRight w:val="0"/>
      <w:marTop w:val="0"/>
      <w:marBottom w:val="0"/>
      <w:divBdr>
        <w:top w:val="none" w:sz="0" w:space="0" w:color="auto"/>
        <w:left w:val="none" w:sz="0" w:space="0" w:color="auto"/>
        <w:bottom w:val="none" w:sz="0" w:space="0" w:color="auto"/>
        <w:right w:val="none" w:sz="0" w:space="0" w:color="auto"/>
      </w:divBdr>
      <w:divsChild>
        <w:div w:id="589658671">
          <w:marLeft w:val="0"/>
          <w:marRight w:val="0"/>
          <w:marTop w:val="0"/>
          <w:marBottom w:val="0"/>
          <w:divBdr>
            <w:top w:val="none" w:sz="0" w:space="0" w:color="auto"/>
            <w:left w:val="none" w:sz="0" w:space="0" w:color="auto"/>
            <w:bottom w:val="none" w:sz="0" w:space="0" w:color="auto"/>
            <w:right w:val="none" w:sz="0" w:space="0" w:color="auto"/>
          </w:divBdr>
          <w:divsChild>
            <w:div w:id="945237610">
              <w:marLeft w:val="0"/>
              <w:marRight w:val="0"/>
              <w:marTop w:val="0"/>
              <w:marBottom w:val="0"/>
              <w:divBdr>
                <w:top w:val="none" w:sz="0" w:space="0" w:color="auto"/>
                <w:left w:val="none" w:sz="0" w:space="0" w:color="auto"/>
                <w:bottom w:val="none" w:sz="0" w:space="0" w:color="auto"/>
                <w:right w:val="none" w:sz="0" w:space="0" w:color="auto"/>
              </w:divBdr>
              <w:divsChild>
                <w:div w:id="213621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11BC988E-222A-DF4F-ADD9-481512BD3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49</Pages>
  <Words>14919</Words>
  <Characters>85042</Characters>
  <Application>Microsoft Office Word</Application>
  <DocSecurity>0</DocSecurity>
  <Lines>708</Lines>
  <Paragraphs>199</Paragraphs>
  <ScaleCrop>false</ScaleCrop>
  <HeadingPairs>
    <vt:vector size="2" baseType="variant">
      <vt:variant>
        <vt:lpstr>Title</vt:lpstr>
      </vt:variant>
      <vt:variant>
        <vt:i4>1</vt:i4>
      </vt:variant>
    </vt:vector>
  </HeadingPairs>
  <TitlesOfParts>
    <vt:vector size="1" baseType="lpstr">
      <vt:lpstr/>
    </vt:vector>
  </TitlesOfParts>
  <Company>ьь</Company>
  <LinksUpToDate>false</LinksUpToDate>
  <CharactersWithSpaces>99762</CharactersWithSpaces>
  <SharedDoc>false</SharedDoc>
  <HLinks>
    <vt:vector size="60" baseType="variant">
      <vt:variant>
        <vt:i4>524368</vt:i4>
      </vt:variant>
      <vt:variant>
        <vt:i4>27</vt:i4>
      </vt:variant>
      <vt:variant>
        <vt:i4>0</vt:i4>
      </vt:variant>
      <vt:variant>
        <vt:i4>5</vt:i4>
      </vt:variant>
      <vt:variant>
        <vt:lpwstr>https://www.ncbi.nlm.nih.gov/pubmed/31508255</vt:lpwstr>
      </vt:variant>
      <vt:variant>
        <vt:lpwstr/>
      </vt:variant>
      <vt:variant>
        <vt:i4>917599</vt:i4>
      </vt:variant>
      <vt:variant>
        <vt:i4>24</vt:i4>
      </vt:variant>
      <vt:variant>
        <vt:i4>0</vt:i4>
      </vt:variant>
      <vt:variant>
        <vt:i4>5</vt:i4>
      </vt:variant>
      <vt:variant>
        <vt:lpwstr>https://www.ncbi.nlm.nih.gov/pubmed/15457464</vt:lpwstr>
      </vt:variant>
      <vt:variant>
        <vt:lpwstr/>
      </vt:variant>
      <vt:variant>
        <vt:i4>3735635</vt:i4>
      </vt:variant>
      <vt:variant>
        <vt:i4>21</vt:i4>
      </vt:variant>
      <vt:variant>
        <vt:i4>0</vt:i4>
      </vt:variant>
      <vt:variant>
        <vt:i4>5</vt:i4>
      </vt:variant>
      <vt:variant>
        <vt:lpwstr>https://www.ncbi.nlm.nih.gov/pubmed/1480534</vt:lpwstr>
      </vt:variant>
      <vt:variant>
        <vt:lpwstr/>
      </vt:variant>
      <vt:variant>
        <vt:i4>1048635</vt:i4>
      </vt:variant>
      <vt:variant>
        <vt:i4>18</vt:i4>
      </vt:variant>
      <vt:variant>
        <vt:i4>0</vt:i4>
      </vt:variant>
      <vt:variant>
        <vt:i4>5</vt:i4>
      </vt:variant>
      <vt:variant>
        <vt:lpwstr>https://www.ncbi.nlm.nih.gov/pubmed/?term=Takasaki Y%5BAuthor%5D&amp;cauthor=true&amp;cauthor_uid=20878344</vt:lpwstr>
      </vt:variant>
      <vt:variant>
        <vt:lpwstr/>
      </vt:variant>
      <vt:variant>
        <vt:i4>7667746</vt:i4>
      </vt:variant>
      <vt:variant>
        <vt:i4>15</vt:i4>
      </vt:variant>
      <vt:variant>
        <vt:i4>0</vt:i4>
      </vt:variant>
      <vt:variant>
        <vt:i4>5</vt:i4>
      </vt:variant>
      <vt:variant>
        <vt:lpwstr>https://www.ncbi.nlm.nih.gov/pubmed/?term=Hashimoto H%5BAuthor%5D&amp;cauthor=true&amp;cauthor_uid=20878344</vt:lpwstr>
      </vt:variant>
      <vt:variant>
        <vt:lpwstr/>
      </vt:variant>
      <vt:variant>
        <vt:i4>7471152</vt:i4>
      </vt:variant>
      <vt:variant>
        <vt:i4>12</vt:i4>
      </vt:variant>
      <vt:variant>
        <vt:i4>0</vt:i4>
      </vt:variant>
      <vt:variant>
        <vt:i4>5</vt:i4>
      </vt:variant>
      <vt:variant>
        <vt:lpwstr>https://www.ncbi.nlm.nih.gov/pubmed/?term=Tsuda H%5BAuthor%5D&amp;cauthor=true&amp;cauthor_uid=20878344</vt:lpwstr>
      </vt:variant>
      <vt:variant>
        <vt:lpwstr/>
      </vt:variant>
      <vt:variant>
        <vt:i4>262206</vt:i4>
      </vt:variant>
      <vt:variant>
        <vt:i4>9</vt:i4>
      </vt:variant>
      <vt:variant>
        <vt:i4>0</vt:i4>
      </vt:variant>
      <vt:variant>
        <vt:i4>5</vt:i4>
      </vt:variant>
      <vt:variant>
        <vt:lpwstr>https://www.ncbi.nlm.nih.gov/pubmed/?term=Takeuchi K%5BAuthor%5D&amp;cauthor=true&amp;cauthor_uid=20878344</vt:lpwstr>
      </vt:variant>
      <vt:variant>
        <vt:lpwstr/>
      </vt:variant>
      <vt:variant>
        <vt:i4>6422561</vt:i4>
      </vt:variant>
      <vt:variant>
        <vt:i4>6</vt:i4>
      </vt:variant>
      <vt:variant>
        <vt:i4>0</vt:i4>
      </vt:variant>
      <vt:variant>
        <vt:i4>5</vt:i4>
      </vt:variant>
      <vt:variant>
        <vt:lpwstr>https://www.ncbi.nlm.nih.gov/pubmed/?term=Kobayashi S%5BAuthor%5D&amp;cauthor=true&amp;cauthor_uid=20878344</vt:lpwstr>
      </vt:variant>
      <vt:variant>
        <vt:lpwstr/>
      </vt:variant>
      <vt:variant>
        <vt:i4>51</vt:i4>
      </vt:variant>
      <vt:variant>
        <vt:i4>3</vt:i4>
      </vt:variant>
      <vt:variant>
        <vt:i4>0</vt:i4>
      </vt:variant>
      <vt:variant>
        <vt:i4>5</vt:i4>
      </vt:variant>
      <vt:variant>
        <vt:lpwstr>https://www.ncbi.nlm.nih.gov/pubmed/?term=Kida I%5BAuthor%5D&amp;cauthor=true&amp;cauthor_uid=20878344</vt:lpwstr>
      </vt:variant>
      <vt:variant>
        <vt:lpwstr/>
      </vt:variant>
      <vt:variant>
        <vt:i4>917597</vt:i4>
      </vt:variant>
      <vt:variant>
        <vt:i4>0</vt:i4>
      </vt:variant>
      <vt:variant>
        <vt:i4>0</vt:i4>
      </vt:variant>
      <vt:variant>
        <vt:i4>5</vt:i4>
      </vt:variant>
      <vt:variant>
        <vt:lpwstr>https://www.ncbi.nlm.nih.gov/pubmed/20878344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Moiseev</dc:creator>
  <cp:keywords/>
  <cp:lastModifiedBy>David Jayne</cp:lastModifiedBy>
  <cp:revision>2</cp:revision>
  <dcterms:created xsi:type="dcterms:W3CDTF">2020-01-02T17:17:00Z</dcterms:created>
  <dcterms:modified xsi:type="dcterms:W3CDTF">2020-01-02T17:17:00Z</dcterms:modified>
</cp:coreProperties>
</file>