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A61F1" w14:textId="31DE63EB" w:rsidR="00D56272" w:rsidRDefault="00D56272" w:rsidP="00D56272">
      <w:pPr>
        <w:jc w:val="center"/>
      </w:pPr>
      <w:r>
        <w:t xml:space="preserve">Lilith </w:t>
      </w:r>
      <w:proofErr w:type="gramStart"/>
      <w:r>
        <w:t>unsexed</w:t>
      </w:r>
      <w:proofErr w:type="gramEnd"/>
    </w:p>
    <w:p w14:paraId="702E01B8" w14:textId="5A8F0FB4" w:rsidR="00D56272" w:rsidRDefault="00D56272" w:rsidP="00D56272"/>
    <w:p w14:paraId="3D5A5AFC" w14:textId="3944C208" w:rsidR="00493397" w:rsidRDefault="00493397" w:rsidP="00493397">
      <w:pPr>
        <w:jc w:val="center"/>
      </w:pPr>
      <w:r>
        <w:t>Martin Worthington, Trinity College Dublin</w:t>
      </w:r>
    </w:p>
    <w:p w14:paraId="06C4D3EA" w14:textId="77777777" w:rsidR="00493397" w:rsidRDefault="00493397" w:rsidP="00D56272"/>
    <w:p w14:paraId="55EA6973" w14:textId="1F16D3CC" w:rsidR="00D56272" w:rsidRDefault="00D56272" w:rsidP="00D56272">
      <w:r>
        <w:t xml:space="preserve">Among the many types of demons which plagued ancient Mesopotamian were those of the </w:t>
      </w:r>
      <w:proofErr w:type="spellStart"/>
      <w:r>
        <w:t>líl</w:t>
      </w:r>
      <w:proofErr w:type="spellEnd"/>
      <w:r w:rsidR="00801DFE">
        <w:t>-</w:t>
      </w:r>
      <w:r w:rsidR="00F324A3">
        <w:t>type</w:t>
      </w:r>
      <w:r>
        <w:t>.</w:t>
      </w:r>
      <w:r w:rsidR="00DC42FE">
        <w:rPr>
          <w:rStyle w:val="FootnoteReference"/>
        </w:rPr>
        <w:footnoteReference w:id="1"/>
      </w:r>
      <w:r>
        <w:t xml:space="preserve"> </w:t>
      </w:r>
      <w:r w:rsidR="00DC42FE">
        <w:t xml:space="preserve"> </w:t>
      </w:r>
      <w:r>
        <w:t>One of the female members of th</w:t>
      </w:r>
      <w:r w:rsidR="00801DFE">
        <w:t>is type</w:t>
      </w:r>
      <w:r>
        <w:t xml:space="preserve">, </w:t>
      </w:r>
      <w:proofErr w:type="spellStart"/>
      <w:r w:rsidRPr="00D56272">
        <w:rPr>
          <w:i/>
          <w:iCs/>
        </w:rPr>
        <w:t>lilītu</w:t>
      </w:r>
      <w:proofErr w:type="spellEnd"/>
      <w:r>
        <w:t xml:space="preserve">, is the ‘ancestor’ of the Jewish demoness Lilith, and indeed Aramaic incantation bows from the city of Nippur make it possible to document the change from </w:t>
      </w:r>
      <w:proofErr w:type="spellStart"/>
      <w:r w:rsidRPr="00D56272">
        <w:rPr>
          <w:i/>
          <w:iCs/>
        </w:rPr>
        <w:t>lilītu</w:t>
      </w:r>
      <w:proofErr w:type="spellEnd"/>
      <w:r>
        <w:t xml:space="preserve"> to Lilith over time.</w:t>
      </w:r>
      <w:r w:rsidR="008D4DA3">
        <w:rPr>
          <w:rStyle w:val="FootnoteReference"/>
        </w:rPr>
        <w:footnoteReference w:id="2"/>
      </w:r>
    </w:p>
    <w:p w14:paraId="227DE998" w14:textId="0A898A50" w:rsidR="00DC42FE" w:rsidRDefault="00DC42FE" w:rsidP="00DC42FE">
      <w:pPr>
        <w:ind w:firstLine="720"/>
      </w:pPr>
      <w:r>
        <w:t xml:space="preserve">Not all the members of the </w:t>
      </w:r>
      <w:proofErr w:type="spellStart"/>
      <w:r w:rsidR="00801DFE">
        <w:t>líl</w:t>
      </w:r>
      <w:proofErr w:type="spellEnd"/>
      <w:r w:rsidR="00801DFE">
        <w:t>-type</w:t>
      </w:r>
      <w:r>
        <w:t xml:space="preserve"> are equally well attested.  </w:t>
      </w:r>
      <w:proofErr w:type="gramStart"/>
      <w:r>
        <w:t>Assuming that</w:t>
      </w:r>
      <w:proofErr w:type="gramEnd"/>
      <w:r>
        <w:t xml:space="preserve"> information about one type also applies to the others, the following overall picture emerges.  </w:t>
      </w:r>
      <w:proofErr w:type="spellStart"/>
      <w:r>
        <w:t>Líl</w:t>
      </w:r>
      <w:proofErr w:type="spellEnd"/>
      <w:r>
        <w:t>-demons (at least sometimes) represent the spirits of people who died unmarried, and so roam the earth in search of living human spouses / sexual partners / children.</w:t>
      </w:r>
      <w:r>
        <w:rPr>
          <w:rStyle w:val="FootnoteReference"/>
        </w:rPr>
        <w:footnoteReference w:id="3"/>
      </w:r>
      <w:r>
        <w:t xml:space="preserve">  Though they were not the only demon type to behave thus,</w:t>
      </w:r>
      <w:r>
        <w:rPr>
          <w:rStyle w:val="FootnoteReference"/>
        </w:rPr>
        <w:footnoteReference w:id="4"/>
      </w:r>
      <w:r>
        <w:t xml:space="preserve"> it is nonetheless a significant characteristic, and one which is harmful to humans: incantations list them alongside other supernatural aggressors.</w:t>
      </w:r>
      <w:r>
        <w:rPr>
          <w:rStyle w:val="FootnoteReference"/>
        </w:rPr>
        <w:footnoteReference w:id="5"/>
      </w:r>
      <w:r>
        <w:t xml:space="preserve"> </w:t>
      </w:r>
      <w:r w:rsidR="00F324A3">
        <w:t xml:space="preserve"> </w:t>
      </w:r>
      <w:r>
        <w:t>One has the impression that they afflicted individuals rather than communities.</w:t>
      </w:r>
      <w:r>
        <w:rPr>
          <w:rStyle w:val="FootnoteReference"/>
        </w:rPr>
        <w:footnoteReference w:id="6"/>
      </w:r>
      <w:r>
        <w:t xml:space="preserve"> </w:t>
      </w:r>
    </w:p>
    <w:p w14:paraId="2737E8F4" w14:textId="0BFF05B1" w:rsidR="00D56272" w:rsidRDefault="00DC42FE" w:rsidP="00DC42FE">
      <w:pPr>
        <w:ind w:firstLine="720"/>
      </w:pPr>
      <w:r>
        <w:t xml:space="preserve">It is not clear whether </w:t>
      </w:r>
      <w:proofErr w:type="spellStart"/>
      <w:r>
        <w:t>líl</w:t>
      </w:r>
      <w:proofErr w:type="spellEnd"/>
      <w:r>
        <w:t xml:space="preserve">-demons’ attacks on adult humans </w:t>
      </w:r>
      <w:r w:rsidRPr="00DC42FE">
        <w:rPr>
          <w:i/>
          <w:iCs/>
        </w:rPr>
        <w:t>always</w:t>
      </w:r>
      <w:r>
        <w:t xml:space="preserve"> had a sexual dimension – the language, at least, is not always sexual.</w:t>
      </w:r>
      <w:r>
        <w:rPr>
          <w:rStyle w:val="FootnoteReference"/>
        </w:rPr>
        <w:footnoteReference w:id="7"/>
      </w:r>
      <w:r>
        <w:t xml:space="preserve">  Furthermore, </w:t>
      </w:r>
      <w:proofErr w:type="spellStart"/>
      <w:r>
        <w:t>Lackenbacher</w:t>
      </w:r>
      <w:proofErr w:type="spellEnd"/>
      <w:r>
        <w:t xml:space="preserve"> points out that the misfortune of the </w:t>
      </w:r>
      <w:proofErr w:type="spellStart"/>
      <w:r w:rsidRPr="00733C99">
        <w:rPr>
          <w:i/>
        </w:rPr>
        <w:t>ardat</w:t>
      </w:r>
      <w:proofErr w:type="spellEnd"/>
      <w:r w:rsidRPr="00733C99">
        <w:rPr>
          <w:i/>
        </w:rPr>
        <w:t xml:space="preserve"> </w:t>
      </w:r>
      <w:proofErr w:type="spellStart"/>
      <w:r w:rsidRPr="00733C99">
        <w:rPr>
          <w:i/>
        </w:rPr>
        <w:t>lilî</w:t>
      </w:r>
      <w:proofErr w:type="spellEnd"/>
      <w:r w:rsidRPr="00733C99">
        <w:rPr>
          <w:i/>
        </w:rPr>
        <w:t xml:space="preserve"> </w:t>
      </w:r>
      <w:r w:rsidR="004D3106">
        <w:t>(leading her to prey on humans) i</w:t>
      </w:r>
      <w:r>
        <w:t xml:space="preserve">s not just sexual: she also has the privation “de ne pas </w:t>
      </w:r>
      <w:proofErr w:type="spellStart"/>
      <w:r>
        <w:t>partager</w:t>
      </w:r>
      <w:proofErr w:type="spellEnd"/>
      <w:r>
        <w:t xml:space="preserve"> la vie </w:t>
      </w:r>
      <w:proofErr w:type="spellStart"/>
      <w:r>
        <w:t>sociale</w:t>
      </w:r>
      <w:proofErr w:type="spellEnd"/>
      <w:r>
        <w:t xml:space="preserve"> des </w:t>
      </w:r>
      <w:proofErr w:type="spellStart"/>
      <w:r>
        <w:t>autres</w:t>
      </w:r>
      <w:proofErr w:type="spellEnd"/>
      <w:r>
        <w:t xml:space="preserve"> </w:t>
      </w:r>
      <w:proofErr w:type="spellStart"/>
      <w:r w:rsidRPr="00733C99">
        <w:rPr>
          <w:i/>
        </w:rPr>
        <w:t>ardatu</w:t>
      </w:r>
      <w:proofErr w:type="spellEnd"/>
      <w:r>
        <w:t>”.</w:t>
      </w:r>
      <w:r>
        <w:rPr>
          <w:rStyle w:val="FootnoteReference"/>
        </w:rPr>
        <w:footnoteReference w:id="8"/>
      </w:r>
      <w:r>
        <w:t xml:space="preserve">  Nonetheless, the sexual dimension is prominent in our extant sources</w:t>
      </w:r>
      <w:r w:rsidR="004D3106">
        <w:t xml:space="preserve"> in relation to the activities of </w:t>
      </w:r>
      <w:proofErr w:type="spellStart"/>
      <w:r w:rsidR="004D3106">
        <w:t>líl</w:t>
      </w:r>
      <w:proofErr w:type="spellEnd"/>
      <w:r w:rsidR="004D3106">
        <w:t>-demons</w:t>
      </w:r>
      <w:r>
        <w:t xml:space="preserve">, and </w:t>
      </w:r>
      <w:r w:rsidR="004D3106">
        <w:t xml:space="preserve">is </w:t>
      </w:r>
      <w:r>
        <w:t>the likely source of ‘gender polarity’ between demon and human victim (see below).</w:t>
      </w:r>
    </w:p>
    <w:p w14:paraId="615494D5" w14:textId="4C82C953" w:rsidR="0017667C" w:rsidRDefault="0017667C" w:rsidP="0017667C"/>
    <w:p w14:paraId="50724D7E" w14:textId="70AF5061" w:rsidR="0017667C" w:rsidRPr="0017667C" w:rsidRDefault="0017667C" w:rsidP="0017667C">
      <w:pPr>
        <w:rPr>
          <w:b/>
          <w:bCs/>
        </w:rPr>
      </w:pPr>
      <w:r w:rsidRPr="0017667C">
        <w:rPr>
          <w:b/>
          <w:bCs/>
        </w:rPr>
        <w:lastRenderedPageBreak/>
        <w:t>The normal situation</w:t>
      </w:r>
    </w:p>
    <w:p w14:paraId="6C030FD2" w14:textId="6A7B4299" w:rsidR="0017667C" w:rsidRDefault="0017667C" w:rsidP="0017667C"/>
    <w:p w14:paraId="15B6DAAD" w14:textId="0B62DBCF" w:rsidR="00DC42FE" w:rsidRDefault="00DC42FE" w:rsidP="0017667C">
      <w:r>
        <w:t xml:space="preserve">Grammatically, </w:t>
      </w:r>
      <w:proofErr w:type="spellStart"/>
      <w:r w:rsidRPr="00AC1A01">
        <w:rPr>
          <w:i/>
        </w:rPr>
        <w:t>lilītu</w:t>
      </w:r>
      <w:proofErr w:type="spellEnd"/>
      <w:r w:rsidRPr="00AC1A01">
        <w:rPr>
          <w:i/>
        </w:rPr>
        <w:t xml:space="preserve"> </w:t>
      </w:r>
      <w:r>
        <w:t xml:space="preserve">is the feminine equivalent of masculine </w:t>
      </w:r>
      <w:proofErr w:type="spellStart"/>
      <w:r w:rsidRPr="00AC1A01">
        <w:rPr>
          <w:i/>
        </w:rPr>
        <w:t>lilû</w:t>
      </w:r>
      <w:proofErr w:type="spellEnd"/>
      <w:r>
        <w:t xml:space="preserve">.  The </w:t>
      </w:r>
      <w:proofErr w:type="spellStart"/>
      <w:r>
        <w:rPr>
          <w:i/>
        </w:rPr>
        <w:t>l</w:t>
      </w:r>
      <w:r w:rsidRPr="00AC1A01">
        <w:rPr>
          <w:i/>
        </w:rPr>
        <w:t>ilû</w:t>
      </w:r>
      <w:proofErr w:type="spellEnd"/>
      <w:r w:rsidRPr="00AC1A01">
        <w:rPr>
          <w:i/>
        </w:rPr>
        <w:t xml:space="preserve"> </w:t>
      </w:r>
      <w:r>
        <w:t xml:space="preserve">and </w:t>
      </w:r>
      <w:proofErr w:type="spellStart"/>
      <w:r w:rsidRPr="00AC1A01">
        <w:rPr>
          <w:i/>
        </w:rPr>
        <w:t>lilītu</w:t>
      </w:r>
      <w:proofErr w:type="spellEnd"/>
      <w:r w:rsidRPr="00AC1A01">
        <w:rPr>
          <w:i/>
        </w:rPr>
        <w:t xml:space="preserve"> </w:t>
      </w:r>
      <w:r>
        <w:t>are therefore generally viewed as gender-opposite (male and female) manifestations of the same demonic agency.</w:t>
      </w:r>
      <w:r>
        <w:rPr>
          <w:rStyle w:val="FootnoteReference"/>
        </w:rPr>
        <w:footnoteReference w:id="9"/>
      </w:r>
      <w:r>
        <w:t xml:space="preserve"> </w:t>
      </w:r>
    </w:p>
    <w:p w14:paraId="26F09A21" w14:textId="47C68E18" w:rsidR="00D56272" w:rsidRDefault="00D56272" w:rsidP="00DC42FE">
      <w:pPr>
        <w:ind w:firstLine="720"/>
      </w:pPr>
      <w:r>
        <w:t>Th</w:t>
      </w:r>
      <w:r w:rsidR="00DC42FE">
        <w:t>is</w:t>
      </w:r>
      <w:r>
        <w:t xml:space="preserve"> </w:t>
      </w:r>
      <w:r w:rsidR="00DC42FE">
        <w:t xml:space="preserve">picture </w:t>
      </w:r>
      <w:r>
        <w:t xml:space="preserve">is supported by several diagnoses in Tablet XXVI of the </w:t>
      </w:r>
      <w:r w:rsidRPr="00697231">
        <w:rPr>
          <w:i/>
        </w:rPr>
        <w:t xml:space="preserve">Diagnostic Handbook </w:t>
      </w:r>
      <w:r>
        <w:t xml:space="preserve">(SA.GIG), where the gender of </w:t>
      </w:r>
      <w:proofErr w:type="spellStart"/>
      <w:r w:rsidRPr="00697231">
        <w:rPr>
          <w:i/>
        </w:rPr>
        <w:t>lilû</w:t>
      </w:r>
      <w:proofErr w:type="spellEnd"/>
      <w:r w:rsidRPr="00697231">
        <w:rPr>
          <w:i/>
        </w:rPr>
        <w:t>/</w:t>
      </w:r>
      <w:proofErr w:type="spellStart"/>
      <w:r w:rsidRPr="00697231">
        <w:rPr>
          <w:i/>
        </w:rPr>
        <w:t>lilītu</w:t>
      </w:r>
      <w:proofErr w:type="spellEnd"/>
      <w:r>
        <w:t xml:space="preserve"> is the opposite of the gender of the </w:t>
      </w:r>
      <w:r w:rsidR="00DC42FE">
        <w:t>afflicted human</w:t>
      </w:r>
      <w:r>
        <w:t xml:space="preserve">: </w:t>
      </w:r>
    </w:p>
    <w:p w14:paraId="7755B462" w14:textId="77777777" w:rsidR="00D56272" w:rsidRDefault="00D56272" w:rsidP="00D56272">
      <w:pPr>
        <w:ind w:firstLine="720"/>
      </w:pPr>
    </w:p>
    <w:p w14:paraId="2DF60FFC" w14:textId="77777777" w:rsidR="00D56272" w:rsidRPr="00930588" w:rsidRDefault="00D56272" w:rsidP="00D56272">
      <w:pPr>
        <w:ind w:firstLine="720"/>
      </w:pPr>
      <w:r w:rsidRPr="00B91769">
        <w:rPr>
          <w:i/>
        </w:rPr>
        <w:t xml:space="preserve">ana </w:t>
      </w:r>
      <w:proofErr w:type="spellStart"/>
      <w:r w:rsidRPr="00B91769">
        <w:rPr>
          <w:i/>
        </w:rPr>
        <w:t>sinništi</w:t>
      </w:r>
      <w:proofErr w:type="spellEnd"/>
      <w:r w:rsidRPr="00B91769">
        <w:rPr>
          <w:i/>
        </w:rPr>
        <w:t xml:space="preserve"> </w:t>
      </w:r>
      <w:proofErr w:type="spellStart"/>
      <w:r w:rsidRPr="00B91769">
        <w:rPr>
          <w:i/>
        </w:rPr>
        <w:t>lilû</w:t>
      </w:r>
      <w:proofErr w:type="spellEnd"/>
      <w:r>
        <w:t>(líl.lá.en.na)</w:t>
      </w:r>
      <w:r w:rsidRPr="00B91769">
        <w:rPr>
          <w:i/>
        </w:rPr>
        <w:t xml:space="preserve"> ana </w:t>
      </w:r>
      <w:proofErr w:type="spellStart"/>
      <w:r w:rsidRPr="00B91769">
        <w:rPr>
          <w:i/>
        </w:rPr>
        <w:t>zikari</w:t>
      </w:r>
      <w:proofErr w:type="spellEnd"/>
      <w:r w:rsidRPr="00B91769">
        <w:rPr>
          <w:i/>
        </w:rPr>
        <w:t xml:space="preserve"> </w:t>
      </w:r>
      <w:proofErr w:type="spellStart"/>
      <w:r w:rsidRPr="00B91769">
        <w:rPr>
          <w:i/>
        </w:rPr>
        <w:t>lilītu</w:t>
      </w:r>
      <w:proofErr w:type="spellEnd"/>
      <w:r w:rsidRPr="00930588">
        <w:t>(</w:t>
      </w:r>
      <w:r w:rsidRPr="00930588">
        <w:rPr>
          <w:vertAlign w:val="superscript"/>
        </w:rPr>
        <w:t>munus</w:t>
      </w:r>
      <w:r>
        <w:t>líl.lá.en.na</w:t>
      </w:r>
      <w:r w:rsidRPr="00930588">
        <w:t>)</w:t>
      </w:r>
    </w:p>
    <w:p w14:paraId="53CFFE1A" w14:textId="77777777" w:rsidR="00D56272" w:rsidRPr="00B91769" w:rsidRDefault="00D56272" w:rsidP="00D56272">
      <w:pPr>
        <w:ind w:firstLine="720"/>
      </w:pPr>
      <w:r w:rsidRPr="00B91769">
        <w:t xml:space="preserve">For a woman: </w:t>
      </w:r>
      <w:proofErr w:type="spellStart"/>
      <w:r w:rsidRPr="00B91769">
        <w:rPr>
          <w:i/>
        </w:rPr>
        <w:t>lilû</w:t>
      </w:r>
      <w:proofErr w:type="spellEnd"/>
      <w:r w:rsidRPr="00B91769">
        <w:t xml:space="preserve">; for a man: </w:t>
      </w:r>
      <w:proofErr w:type="spellStart"/>
      <w:r w:rsidRPr="00B91769">
        <w:rPr>
          <w:i/>
        </w:rPr>
        <w:t>lilītu</w:t>
      </w:r>
      <w:proofErr w:type="spellEnd"/>
      <w:r w:rsidRPr="00B91769">
        <w:t xml:space="preserve"> </w:t>
      </w:r>
    </w:p>
    <w:p w14:paraId="6D541731" w14:textId="77777777" w:rsidR="00D56272" w:rsidRPr="00B91769" w:rsidRDefault="00D56272" w:rsidP="00D56272">
      <w:pPr>
        <w:ind w:firstLine="720"/>
      </w:pPr>
      <w:r w:rsidRPr="009F508C">
        <w:t xml:space="preserve">Ex. </w:t>
      </w:r>
      <w:r w:rsidRPr="009F508C">
        <w:fldChar w:fldCharType="begin"/>
      </w:r>
      <w:r w:rsidRPr="009F508C">
        <w:instrText xml:space="preserve"> AUTONUM </w:instrText>
      </w:r>
      <w:r w:rsidRPr="009F508C">
        <w:fldChar w:fldCharType="end"/>
      </w:r>
      <w:r>
        <w:t xml:space="preserve"> (SA.GIG XXVI 47’)</w:t>
      </w:r>
      <w:r>
        <w:rPr>
          <w:rStyle w:val="FootnoteReference"/>
        </w:rPr>
        <w:footnoteReference w:id="10"/>
      </w:r>
    </w:p>
    <w:p w14:paraId="4E0A9448" w14:textId="77777777" w:rsidR="00D56272" w:rsidRPr="00B91769" w:rsidRDefault="00D56272" w:rsidP="00D56272">
      <w:pPr>
        <w:ind w:firstLine="720"/>
      </w:pPr>
    </w:p>
    <w:p w14:paraId="06E77423" w14:textId="77777777" w:rsidR="00D56272" w:rsidRPr="00B91769" w:rsidRDefault="00D56272" w:rsidP="00D56272">
      <w:pPr>
        <w:ind w:firstLine="720"/>
      </w:pPr>
      <w:r w:rsidRPr="00B91769">
        <w:rPr>
          <w:i/>
        </w:rPr>
        <w:t xml:space="preserve">ana </w:t>
      </w:r>
      <w:proofErr w:type="spellStart"/>
      <w:r w:rsidRPr="00B91769">
        <w:rPr>
          <w:i/>
        </w:rPr>
        <w:t>sinništi</w:t>
      </w:r>
      <w:proofErr w:type="spellEnd"/>
      <w:r w:rsidRPr="00B91769">
        <w:rPr>
          <w:i/>
        </w:rPr>
        <w:t xml:space="preserve"> </w:t>
      </w:r>
      <w:proofErr w:type="spellStart"/>
      <w:r w:rsidRPr="00B91769">
        <w:rPr>
          <w:i/>
        </w:rPr>
        <w:t>lilû</w:t>
      </w:r>
      <w:proofErr w:type="spellEnd"/>
      <w:r w:rsidRPr="00930588">
        <w:t>(</w:t>
      </w:r>
      <w:r>
        <w:t>líl.lá.en.na</w:t>
      </w:r>
      <w:r w:rsidRPr="00930588">
        <w:t>)</w:t>
      </w:r>
      <w:r w:rsidRPr="00B91769">
        <w:rPr>
          <w:i/>
        </w:rPr>
        <w:t xml:space="preserve"> ana </w:t>
      </w:r>
      <w:proofErr w:type="spellStart"/>
      <w:r w:rsidRPr="00B91769">
        <w:rPr>
          <w:i/>
        </w:rPr>
        <w:t>zikri</w:t>
      </w:r>
      <w:proofErr w:type="spellEnd"/>
      <w:r w:rsidRPr="00B91769">
        <w:rPr>
          <w:i/>
        </w:rPr>
        <w:t xml:space="preserve"> </w:t>
      </w:r>
      <w:proofErr w:type="spellStart"/>
      <w:r w:rsidRPr="00B91769">
        <w:rPr>
          <w:i/>
        </w:rPr>
        <w:t>lilītu</w:t>
      </w:r>
      <w:proofErr w:type="spellEnd"/>
      <w:r w:rsidRPr="00930588">
        <w:t>(</w:t>
      </w:r>
      <w:r w:rsidRPr="00930588">
        <w:rPr>
          <w:vertAlign w:val="superscript"/>
        </w:rPr>
        <w:t>munus</w:t>
      </w:r>
      <w:r>
        <w:t>líl.lá.en.na</w:t>
      </w:r>
      <w:r w:rsidRPr="00930588">
        <w:t>)</w:t>
      </w:r>
      <w:r w:rsidRPr="00B91769">
        <w:rPr>
          <w:i/>
        </w:rPr>
        <w:t xml:space="preserve"> </w:t>
      </w:r>
      <w:proofErr w:type="spellStart"/>
      <w:proofErr w:type="gramStart"/>
      <w:r w:rsidRPr="00B91769">
        <w:t>zi.zi</w:t>
      </w:r>
      <w:proofErr w:type="spellEnd"/>
      <w:proofErr w:type="gramEnd"/>
      <w:r w:rsidRPr="00B91769">
        <w:t>-</w:t>
      </w:r>
      <w:r w:rsidRPr="00B91769">
        <w:rPr>
          <w:i/>
        </w:rPr>
        <w:t>bi</w:t>
      </w:r>
    </w:p>
    <w:p w14:paraId="785F1E5B" w14:textId="77777777" w:rsidR="00D56272" w:rsidRPr="00B91769" w:rsidRDefault="00D56272" w:rsidP="00D56272">
      <w:pPr>
        <w:ind w:firstLine="720"/>
      </w:pPr>
      <w:r w:rsidRPr="00B91769">
        <w:t xml:space="preserve">For a woman, a </w:t>
      </w:r>
      <w:proofErr w:type="spellStart"/>
      <w:r w:rsidRPr="00B91769">
        <w:rPr>
          <w:i/>
        </w:rPr>
        <w:t>lilû</w:t>
      </w:r>
      <w:proofErr w:type="spellEnd"/>
      <w:r w:rsidRPr="00B91769">
        <w:t xml:space="preserve">; for a man, a </w:t>
      </w:r>
      <w:proofErr w:type="spellStart"/>
      <w:r w:rsidRPr="00B91769">
        <w:rPr>
          <w:i/>
        </w:rPr>
        <w:t>lilītu</w:t>
      </w:r>
      <w:proofErr w:type="spellEnd"/>
      <w:r w:rsidRPr="00B91769">
        <w:t xml:space="preserve"> will </w:t>
      </w:r>
      <w:proofErr w:type="spellStart"/>
      <w:proofErr w:type="gramStart"/>
      <w:r w:rsidRPr="00B91769">
        <w:t>zi.zi</w:t>
      </w:r>
      <w:proofErr w:type="spellEnd"/>
      <w:proofErr w:type="gramEnd"/>
      <w:r w:rsidRPr="00B91769">
        <w:t>-</w:t>
      </w:r>
      <w:r w:rsidRPr="00B91769">
        <w:rPr>
          <w:i/>
        </w:rPr>
        <w:t>bi</w:t>
      </w:r>
    </w:p>
    <w:p w14:paraId="741C7960" w14:textId="77777777" w:rsidR="00D56272" w:rsidRPr="00B91769" w:rsidRDefault="00D56272" w:rsidP="00D56272">
      <w:pPr>
        <w:ind w:firstLine="720"/>
      </w:pPr>
      <w:r w:rsidRPr="009F508C">
        <w:t xml:space="preserve">Ex. </w:t>
      </w:r>
      <w:r w:rsidRPr="009F508C">
        <w:fldChar w:fldCharType="begin"/>
      </w:r>
      <w:r w:rsidRPr="009F508C">
        <w:instrText xml:space="preserve"> AUTONUM </w:instrText>
      </w:r>
      <w:r w:rsidRPr="009F508C">
        <w:fldChar w:fldCharType="end"/>
      </w:r>
      <w:r>
        <w:t xml:space="preserve"> (SA.GIG XXVI </w:t>
      </w:r>
      <w:r w:rsidRPr="00B91769">
        <w:t>8</w:t>
      </w:r>
      <w:r>
        <w:t>3</w:t>
      </w:r>
      <w:r w:rsidRPr="00B91769">
        <w:t>’</w:t>
      </w:r>
      <w:r>
        <w:t>)</w:t>
      </w:r>
      <w:r>
        <w:rPr>
          <w:rStyle w:val="FootnoteReference"/>
        </w:rPr>
        <w:footnoteReference w:id="11"/>
      </w:r>
    </w:p>
    <w:p w14:paraId="03693C82" w14:textId="77777777" w:rsidR="00D56272" w:rsidRPr="00B91769" w:rsidRDefault="00D56272" w:rsidP="00D56272">
      <w:pPr>
        <w:ind w:firstLine="720"/>
      </w:pPr>
    </w:p>
    <w:p w14:paraId="7742F89A" w14:textId="77777777" w:rsidR="00D56272" w:rsidRPr="00B91769" w:rsidRDefault="00D56272" w:rsidP="00D56272">
      <w:pPr>
        <w:ind w:firstLine="720"/>
      </w:pPr>
      <w:proofErr w:type="spellStart"/>
      <w:r w:rsidRPr="00B91769">
        <w:rPr>
          <w:i/>
        </w:rPr>
        <w:t>qāt</w:t>
      </w:r>
      <w:proofErr w:type="spellEnd"/>
      <w:r w:rsidRPr="00B91769">
        <w:rPr>
          <w:i/>
        </w:rPr>
        <w:t xml:space="preserve"> </w:t>
      </w:r>
      <w:proofErr w:type="spellStart"/>
      <w:r w:rsidRPr="00B91769">
        <w:rPr>
          <w:i/>
        </w:rPr>
        <w:t>lilî</w:t>
      </w:r>
      <w:proofErr w:type="spellEnd"/>
      <w:r w:rsidRPr="00930588">
        <w:t>(</w:t>
      </w:r>
      <w:r>
        <w:t>líl.lá.en.na</w:t>
      </w:r>
      <w:r w:rsidRPr="00930588">
        <w:t>)</w:t>
      </w:r>
      <w:r w:rsidRPr="00B91769">
        <w:rPr>
          <w:i/>
        </w:rPr>
        <w:t xml:space="preserve"> </w:t>
      </w:r>
      <w:proofErr w:type="spellStart"/>
      <w:r w:rsidRPr="00B91769">
        <w:rPr>
          <w:i/>
        </w:rPr>
        <w:t>sar-ru</w:t>
      </w:r>
      <w:proofErr w:type="spellEnd"/>
      <w:r w:rsidRPr="00B91769">
        <w:rPr>
          <w:i/>
        </w:rPr>
        <w:t xml:space="preserve"> ana </w:t>
      </w:r>
      <w:proofErr w:type="spellStart"/>
      <w:r w:rsidRPr="00B91769">
        <w:rPr>
          <w:i/>
        </w:rPr>
        <w:t>sinništi</w:t>
      </w:r>
      <w:proofErr w:type="spellEnd"/>
      <w:r w:rsidRPr="00B91769">
        <w:rPr>
          <w:i/>
        </w:rPr>
        <w:t xml:space="preserve"> </w:t>
      </w:r>
      <w:proofErr w:type="spellStart"/>
      <w:r w:rsidRPr="00B91769">
        <w:rPr>
          <w:i/>
        </w:rPr>
        <w:t>lilû</w:t>
      </w:r>
      <w:proofErr w:type="spellEnd"/>
      <w:r w:rsidRPr="00930588">
        <w:t>(</w:t>
      </w:r>
      <w:r>
        <w:t>líl.lá.en.na</w:t>
      </w:r>
      <w:r w:rsidRPr="00930588">
        <w:t>)</w:t>
      </w:r>
      <w:r w:rsidRPr="00B91769">
        <w:rPr>
          <w:i/>
        </w:rPr>
        <w:t xml:space="preserve"> </w:t>
      </w:r>
      <w:proofErr w:type="spellStart"/>
      <w:proofErr w:type="gramStart"/>
      <w:r w:rsidRPr="00B91769">
        <w:t>zi.zi</w:t>
      </w:r>
      <w:proofErr w:type="spellEnd"/>
      <w:proofErr w:type="gramEnd"/>
      <w:r w:rsidRPr="00B91769">
        <w:t>-</w:t>
      </w:r>
      <w:r w:rsidRPr="00B91769">
        <w:rPr>
          <w:i/>
        </w:rPr>
        <w:t>bi</w:t>
      </w:r>
      <w:r w:rsidRPr="00B91769">
        <w:t xml:space="preserve"> </w:t>
      </w:r>
    </w:p>
    <w:p w14:paraId="5F4820AF" w14:textId="603B71DA" w:rsidR="00D56272" w:rsidRPr="00B91769" w:rsidRDefault="00D56272" w:rsidP="00D56272">
      <w:pPr>
        <w:ind w:firstLine="720"/>
      </w:pPr>
      <w:r w:rsidRPr="00B91769">
        <w:t xml:space="preserve">Hand of </w:t>
      </w:r>
      <w:r w:rsidRPr="00B91769">
        <w:rPr>
          <w:i/>
        </w:rPr>
        <w:t>maleficent</w:t>
      </w:r>
      <w:r w:rsidR="00B44D53">
        <w:rPr>
          <w:rStyle w:val="FootnoteReference"/>
          <w:i/>
        </w:rPr>
        <w:footnoteReference w:id="12"/>
      </w:r>
      <w:r w:rsidRPr="00B91769">
        <w:t xml:space="preserve"> </w:t>
      </w:r>
      <w:proofErr w:type="spellStart"/>
      <w:r w:rsidRPr="00B91769">
        <w:rPr>
          <w:i/>
        </w:rPr>
        <w:t>lilû</w:t>
      </w:r>
      <w:proofErr w:type="spellEnd"/>
      <w:r>
        <w:rPr>
          <w:i/>
        </w:rPr>
        <w:t>;</w:t>
      </w:r>
      <w:r w:rsidRPr="00B91769">
        <w:t xml:space="preserve"> for a woman</w:t>
      </w:r>
      <w:r>
        <w:t>: a</w:t>
      </w:r>
      <w:r w:rsidRPr="00B91769">
        <w:t xml:space="preserve"> </w:t>
      </w:r>
      <w:proofErr w:type="spellStart"/>
      <w:r w:rsidRPr="00B91769">
        <w:rPr>
          <w:i/>
        </w:rPr>
        <w:t>lilû</w:t>
      </w:r>
      <w:proofErr w:type="spellEnd"/>
      <w:r w:rsidRPr="00B91769">
        <w:t xml:space="preserve"> will </w:t>
      </w:r>
      <w:proofErr w:type="spellStart"/>
      <w:proofErr w:type="gramStart"/>
      <w:r w:rsidRPr="00B91769">
        <w:t>zi.zi</w:t>
      </w:r>
      <w:proofErr w:type="spellEnd"/>
      <w:proofErr w:type="gramEnd"/>
      <w:r w:rsidRPr="00B91769">
        <w:t>-</w:t>
      </w:r>
      <w:r w:rsidRPr="00B91769">
        <w:rPr>
          <w:i/>
        </w:rPr>
        <w:t>bi</w:t>
      </w:r>
      <w:r w:rsidRPr="00BB7272">
        <w:rPr>
          <w:rStyle w:val="FootnoteReference"/>
        </w:rPr>
        <w:footnoteReference w:id="13"/>
      </w:r>
    </w:p>
    <w:p w14:paraId="6D1AB369" w14:textId="77777777" w:rsidR="00D56272" w:rsidRPr="00B91769" w:rsidRDefault="00D56272" w:rsidP="00D56272">
      <w:pPr>
        <w:ind w:firstLine="720"/>
      </w:pPr>
      <w:r w:rsidRPr="009F508C">
        <w:t xml:space="preserve">Ex. </w:t>
      </w:r>
      <w:r w:rsidRPr="009F508C">
        <w:fldChar w:fldCharType="begin"/>
      </w:r>
      <w:r w:rsidRPr="009F508C">
        <w:instrText xml:space="preserve"> AUTONUM </w:instrText>
      </w:r>
      <w:r w:rsidRPr="009F508C">
        <w:fldChar w:fldCharType="end"/>
      </w:r>
      <w:r>
        <w:t xml:space="preserve"> </w:t>
      </w:r>
      <w:r w:rsidRPr="00B91769">
        <w:t>(SA.GIG XXVI 49</w:t>
      </w:r>
      <w:r>
        <w:t>’</w:t>
      </w:r>
      <w:r w:rsidRPr="00B91769">
        <w:t>)</w:t>
      </w:r>
      <w:r>
        <w:rPr>
          <w:rStyle w:val="FootnoteReference"/>
        </w:rPr>
        <w:footnoteReference w:id="14"/>
      </w:r>
    </w:p>
    <w:p w14:paraId="3461BB2E" w14:textId="77777777" w:rsidR="00D56272" w:rsidRDefault="00D56272" w:rsidP="00D56272">
      <w:pPr>
        <w:ind w:firstLine="720"/>
      </w:pPr>
    </w:p>
    <w:p w14:paraId="2456AD41" w14:textId="372B5FA5" w:rsidR="00D56272" w:rsidRDefault="0017667C" w:rsidP="0017667C">
      <w:r>
        <w:t xml:space="preserve">This notion that humans are affected by a </w:t>
      </w:r>
      <w:proofErr w:type="spellStart"/>
      <w:r>
        <w:t>líl</w:t>
      </w:r>
      <w:proofErr w:type="spellEnd"/>
      <w:r>
        <w:t xml:space="preserve">-demon of opposite sex seems to be the norm, cohering with the dominant role of heterosexuality in Mesopotamian written sources.  The general principle coheres with </w:t>
      </w:r>
      <w:r w:rsidR="00D56272">
        <w:t xml:space="preserve">Marten </w:t>
      </w:r>
      <w:proofErr w:type="spellStart"/>
      <w:r w:rsidR="00D56272">
        <w:t>Stol</w:t>
      </w:r>
      <w:r>
        <w:t>’s</w:t>
      </w:r>
      <w:proofErr w:type="spellEnd"/>
      <w:r w:rsidR="00D56272">
        <w:t xml:space="preserve"> observ</w:t>
      </w:r>
      <w:r>
        <w:t>ation</w:t>
      </w:r>
      <w:r w:rsidR="00D56272">
        <w:t xml:space="preserve"> that women are always attacked by </w:t>
      </w:r>
      <w:proofErr w:type="spellStart"/>
      <w:r w:rsidR="00D56272" w:rsidRPr="00123A2C">
        <w:rPr>
          <w:i/>
        </w:rPr>
        <w:t>lilû</w:t>
      </w:r>
      <w:r w:rsidR="00D56272">
        <w:t>s</w:t>
      </w:r>
      <w:proofErr w:type="spellEnd"/>
      <w:r w:rsidR="00D56272">
        <w:t xml:space="preserve">, never (in extant sources) by </w:t>
      </w:r>
      <w:proofErr w:type="spellStart"/>
      <w:r w:rsidR="00D56272" w:rsidRPr="00123A2C">
        <w:rPr>
          <w:i/>
        </w:rPr>
        <w:t>lilītu</w:t>
      </w:r>
      <w:r w:rsidR="00D56272">
        <w:t>s</w:t>
      </w:r>
      <w:proofErr w:type="spellEnd"/>
      <w:r w:rsidR="00D56272">
        <w:t>.</w:t>
      </w:r>
      <w:r w:rsidR="00D56272">
        <w:rPr>
          <w:rStyle w:val="FootnoteReference"/>
        </w:rPr>
        <w:footnoteReference w:id="15"/>
      </w:r>
    </w:p>
    <w:p w14:paraId="124F77FB" w14:textId="16011C1A" w:rsidR="0017667C" w:rsidRDefault="0017667C" w:rsidP="0017667C"/>
    <w:p w14:paraId="439FDF25" w14:textId="7B30C199" w:rsidR="0017667C" w:rsidRPr="0017667C" w:rsidRDefault="0017667C" w:rsidP="0017667C">
      <w:pPr>
        <w:rPr>
          <w:b/>
          <w:bCs/>
        </w:rPr>
      </w:pPr>
      <w:r w:rsidRPr="0017667C">
        <w:rPr>
          <w:b/>
          <w:bCs/>
        </w:rPr>
        <w:t>Exceptions</w:t>
      </w:r>
    </w:p>
    <w:p w14:paraId="2F012BE7" w14:textId="77777777" w:rsidR="0017667C" w:rsidRDefault="0017667C" w:rsidP="0017667C"/>
    <w:p w14:paraId="7DD93AEC" w14:textId="77777777" w:rsidR="00B44D53" w:rsidRDefault="00D56272" w:rsidP="0017667C">
      <w:r>
        <w:t>Sometimes</w:t>
      </w:r>
      <w:r w:rsidR="00B44D53">
        <w:t xml:space="preserve">, one finds a </w:t>
      </w:r>
      <w:proofErr w:type="spellStart"/>
      <w:r w:rsidRPr="00801EAA">
        <w:rPr>
          <w:i/>
        </w:rPr>
        <w:t>lilû</w:t>
      </w:r>
      <w:proofErr w:type="spellEnd"/>
      <w:r w:rsidRPr="00801EAA">
        <w:rPr>
          <w:i/>
        </w:rPr>
        <w:t xml:space="preserve"> </w:t>
      </w:r>
      <w:r>
        <w:t xml:space="preserve">where gender polarity vis-à-vis the human sufferer </w:t>
      </w:r>
      <w:r w:rsidR="00B44D53">
        <w:t xml:space="preserve">would </w:t>
      </w:r>
      <w:r>
        <w:t xml:space="preserve">lead one to expect </w:t>
      </w:r>
      <w:proofErr w:type="spellStart"/>
      <w:r w:rsidRPr="00801EAA">
        <w:rPr>
          <w:i/>
        </w:rPr>
        <w:t>lilītu</w:t>
      </w:r>
      <w:proofErr w:type="spellEnd"/>
      <w:r>
        <w:t xml:space="preserve">. </w:t>
      </w:r>
      <w:r w:rsidR="00B44D53">
        <w:t xml:space="preserve"> </w:t>
      </w:r>
      <w:proofErr w:type="spellStart"/>
      <w:r w:rsidR="00B44D53">
        <w:t>Stol</w:t>
      </w:r>
      <w:proofErr w:type="spellEnd"/>
      <w:r w:rsidR="00B44D53">
        <w:t xml:space="preserve"> has rightly </w:t>
      </w:r>
      <w:proofErr w:type="spellStart"/>
      <w:r w:rsidR="00B44D53">
        <w:t>recognised</w:t>
      </w:r>
      <w:proofErr w:type="spellEnd"/>
      <w:r w:rsidR="00B44D53">
        <w:t xml:space="preserve"> “a problem” in such cases,</w:t>
      </w:r>
      <w:r w:rsidR="00B44D53">
        <w:rPr>
          <w:rStyle w:val="FootnoteReference"/>
        </w:rPr>
        <w:footnoteReference w:id="16"/>
      </w:r>
      <w:r w:rsidR="00B44D53">
        <w:t xml:space="preserve"> because they upset the pattern of gender polarity.</w:t>
      </w:r>
    </w:p>
    <w:p w14:paraId="2C414C6A" w14:textId="37FB6FB5" w:rsidR="00D56272" w:rsidRDefault="00B44D53" w:rsidP="00B44D53">
      <w:pPr>
        <w:ind w:firstLine="720"/>
      </w:pPr>
      <w:r>
        <w:lastRenderedPageBreak/>
        <w:t xml:space="preserve">An example is again found </w:t>
      </w:r>
      <w:r w:rsidR="00D56272">
        <w:t xml:space="preserve">in the </w:t>
      </w:r>
      <w:r w:rsidR="00D56272" w:rsidRPr="00B91769">
        <w:rPr>
          <w:i/>
        </w:rPr>
        <w:t>Diagnostic Handbook</w:t>
      </w:r>
      <w:r w:rsidR="00D56272">
        <w:t>:</w:t>
      </w:r>
    </w:p>
    <w:p w14:paraId="601D4204" w14:textId="77777777" w:rsidR="00D56272" w:rsidRDefault="00D56272" w:rsidP="00D56272"/>
    <w:p w14:paraId="5D7A868B" w14:textId="77777777" w:rsidR="00D56272" w:rsidRDefault="00D56272" w:rsidP="00D56272">
      <w:pPr>
        <w:ind w:left="720"/>
      </w:pPr>
      <w:proofErr w:type="spellStart"/>
      <w:r w:rsidRPr="00841B7C">
        <w:rPr>
          <w:i/>
        </w:rPr>
        <w:t>šumma</w:t>
      </w:r>
      <w:proofErr w:type="spellEnd"/>
      <w:r w:rsidRPr="00841B7C">
        <w:rPr>
          <w:i/>
        </w:rPr>
        <w:t xml:space="preserve"> </w:t>
      </w:r>
      <w:proofErr w:type="spellStart"/>
      <w:r w:rsidRPr="00841B7C">
        <w:rPr>
          <w:i/>
        </w:rPr>
        <w:t>ina</w:t>
      </w:r>
      <w:proofErr w:type="spellEnd"/>
      <w:r w:rsidRPr="00841B7C">
        <w:rPr>
          <w:i/>
        </w:rPr>
        <w:t xml:space="preserve"> </w:t>
      </w:r>
      <w:proofErr w:type="spellStart"/>
      <w:r w:rsidRPr="00841B7C">
        <w:rPr>
          <w:i/>
        </w:rPr>
        <w:t>mūši</w:t>
      </w:r>
      <w:proofErr w:type="spellEnd"/>
      <w:r w:rsidRPr="00841B7C">
        <w:rPr>
          <w:i/>
        </w:rPr>
        <w:t xml:space="preserve"> </w:t>
      </w:r>
      <w:proofErr w:type="spellStart"/>
      <w:r w:rsidRPr="00841B7C">
        <w:rPr>
          <w:i/>
        </w:rPr>
        <w:t>maruṣ</w:t>
      </w:r>
      <w:proofErr w:type="spellEnd"/>
      <w:r w:rsidRPr="00841B7C">
        <w:rPr>
          <w:i/>
        </w:rPr>
        <w:t xml:space="preserve">-ma </w:t>
      </w:r>
      <w:proofErr w:type="spellStart"/>
      <w:r w:rsidRPr="00841B7C">
        <w:rPr>
          <w:i/>
        </w:rPr>
        <w:t>ina</w:t>
      </w:r>
      <w:proofErr w:type="spellEnd"/>
      <w:r w:rsidRPr="00841B7C">
        <w:rPr>
          <w:i/>
        </w:rPr>
        <w:t xml:space="preserve"> </w:t>
      </w:r>
      <w:proofErr w:type="spellStart"/>
      <w:r w:rsidRPr="00841B7C">
        <w:rPr>
          <w:i/>
        </w:rPr>
        <w:t>šērti</w:t>
      </w:r>
      <w:proofErr w:type="spellEnd"/>
      <w:r w:rsidRPr="00841B7C">
        <w:rPr>
          <w:i/>
        </w:rPr>
        <w:t xml:space="preserve"> </w:t>
      </w:r>
      <w:proofErr w:type="spellStart"/>
      <w:r w:rsidRPr="00841B7C">
        <w:rPr>
          <w:i/>
        </w:rPr>
        <w:t>baliṭ</w:t>
      </w:r>
      <w:proofErr w:type="spellEnd"/>
      <w:r w:rsidRPr="00841B7C">
        <w:rPr>
          <w:i/>
        </w:rPr>
        <w:t xml:space="preserve"> u </w:t>
      </w:r>
      <w:proofErr w:type="spellStart"/>
      <w:r w:rsidRPr="00841B7C">
        <w:rPr>
          <w:i/>
        </w:rPr>
        <w:t>ušamša</w:t>
      </w:r>
      <w:proofErr w:type="spellEnd"/>
      <w:r w:rsidRPr="00841B7C">
        <w:rPr>
          <w:i/>
        </w:rPr>
        <w:t xml:space="preserve"> </w:t>
      </w:r>
      <w:proofErr w:type="spellStart"/>
      <w:r w:rsidRPr="00841B7C">
        <w:rPr>
          <w:i/>
        </w:rPr>
        <w:t>qāt</w:t>
      </w:r>
      <w:proofErr w:type="spellEnd"/>
      <w:r w:rsidRPr="00841B7C">
        <w:rPr>
          <w:i/>
        </w:rPr>
        <w:t xml:space="preserve"> li</w:t>
      </w:r>
      <w:r w:rsidRPr="00615BDF">
        <w:t>[</w:t>
      </w:r>
      <w:proofErr w:type="spellStart"/>
      <w:r w:rsidRPr="00841B7C">
        <w:rPr>
          <w:i/>
        </w:rPr>
        <w:t>lî</w:t>
      </w:r>
      <w:proofErr w:type="spellEnd"/>
      <w:r w:rsidRPr="00615BDF">
        <w:t>]</w:t>
      </w:r>
      <w:r>
        <w:t>(líl.la</w:t>
      </w:r>
      <w:proofErr w:type="gramStart"/>
      <w:r w:rsidRPr="00615BDF">
        <w:t>[</w:t>
      </w:r>
      <w:r>
        <w:t>.en.na</w:t>
      </w:r>
      <w:proofErr w:type="gramEnd"/>
      <w:r w:rsidRPr="00615BDF">
        <w:t>]</w:t>
      </w:r>
      <w:r>
        <w:t>)</w:t>
      </w:r>
    </w:p>
    <w:p w14:paraId="40885C56" w14:textId="77777777" w:rsidR="00D56272" w:rsidRDefault="00D56272" w:rsidP="00D56272">
      <w:pPr>
        <w:ind w:left="720"/>
      </w:pPr>
    </w:p>
    <w:p w14:paraId="4A4B20EA" w14:textId="77777777" w:rsidR="00D56272" w:rsidRPr="00BB7272" w:rsidRDefault="00D56272" w:rsidP="00D56272">
      <w:pPr>
        <w:ind w:left="720"/>
      </w:pPr>
      <w:r>
        <w:t xml:space="preserve">If in the night he is sick, and in the morning / at dawn he is </w:t>
      </w:r>
      <w:proofErr w:type="gramStart"/>
      <w:r>
        <w:t>well</w:t>
      </w:r>
      <w:proofErr w:type="gramEnd"/>
      <w:r>
        <w:t xml:space="preserve"> </w:t>
      </w:r>
      <w:r w:rsidRPr="00CB15CC">
        <w:rPr>
          <w:i/>
        </w:rPr>
        <w:t>but he has not slept</w:t>
      </w:r>
      <w:r>
        <w:t xml:space="preserve">: hand of </w:t>
      </w:r>
      <w:proofErr w:type="spellStart"/>
      <w:r w:rsidRPr="00936257">
        <w:rPr>
          <w:i/>
        </w:rPr>
        <w:t>lilû</w:t>
      </w:r>
      <w:proofErr w:type="spellEnd"/>
      <w:r>
        <w:t>.</w:t>
      </w:r>
    </w:p>
    <w:p w14:paraId="3F3A8A66" w14:textId="77777777" w:rsidR="00D56272" w:rsidRDefault="00D56272" w:rsidP="00D56272">
      <w:pPr>
        <w:ind w:left="720"/>
      </w:pPr>
      <w:r w:rsidRPr="009F508C">
        <w:t xml:space="preserve">Ex. </w:t>
      </w:r>
      <w:r w:rsidRPr="009F508C">
        <w:fldChar w:fldCharType="begin"/>
      </w:r>
      <w:r w:rsidRPr="009F508C">
        <w:instrText xml:space="preserve"> AUTONUM </w:instrText>
      </w:r>
      <w:r w:rsidRPr="009F508C">
        <w:fldChar w:fldCharType="end"/>
      </w:r>
      <w:r>
        <w:t xml:space="preserve"> (SA.GIG XVII 78)</w:t>
      </w:r>
      <w:r>
        <w:rPr>
          <w:rStyle w:val="FootnoteReference"/>
        </w:rPr>
        <w:footnoteReference w:id="17"/>
      </w:r>
    </w:p>
    <w:p w14:paraId="43DC3948" w14:textId="6B2DBB90" w:rsidR="00D56272" w:rsidRDefault="00D56272" w:rsidP="00D56272"/>
    <w:p w14:paraId="54818217" w14:textId="36DE3A0C" w:rsidR="00B44D53" w:rsidRDefault="00B44D53" w:rsidP="00D56272">
      <w:r>
        <w:t>What is going on in cases such as these: is a male incubus indeed afflicting a male human?  Or does the logogram conceal (against all expectation) a feminine form?  I will suggest a different answer.</w:t>
      </w:r>
    </w:p>
    <w:p w14:paraId="51DF6797" w14:textId="77777777" w:rsidR="00B44D53" w:rsidRDefault="00B44D53" w:rsidP="00D56272"/>
    <w:p w14:paraId="728E4AE8" w14:textId="218E4D07" w:rsidR="00D56272" w:rsidRPr="00B44D53" w:rsidRDefault="00B44D53" w:rsidP="00B44D53">
      <w:pPr>
        <w:rPr>
          <w:b/>
          <w:bCs/>
        </w:rPr>
      </w:pPr>
      <w:r w:rsidRPr="00B44D53">
        <w:rPr>
          <w:b/>
          <w:bCs/>
        </w:rPr>
        <w:t>The proposed solution</w:t>
      </w:r>
    </w:p>
    <w:p w14:paraId="174A4A41" w14:textId="77777777" w:rsidR="00B44D53" w:rsidRDefault="00B44D53" w:rsidP="00B44D53"/>
    <w:p w14:paraId="57DC989F" w14:textId="77777777" w:rsidR="00D56272" w:rsidRDefault="00D56272" w:rsidP="00B44D53">
      <w:r>
        <w:t xml:space="preserve">The solution proposed here is that, while </w:t>
      </w:r>
      <w:proofErr w:type="spellStart"/>
      <w:r w:rsidRPr="00FF5612">
        <w:rPr>
          <w:i/>
        </w:rPr>
        <w:t>lilû</w:t>
      </w:r>
      <w:proofErr w:type="spellEnd"/>
      <w:r w:rsidRPr="00FF5612">
        <w:rPr>
          <w:i/>
        </w:rPr>
        <w:t xml:space="preserve"> </w:t>
      </w:r>
      <w:r>
        <w:t xml:space="preserve">can denote the male demon specifically, it is also used as a gender-neutral umbrella term for the category of </w:t>
      </w:r>
      <w:proofErr w:type="spellStart"/>
      <w:proofErr w:type="gramStart"/>
      <w:r>
        <w:t>líl</w:t>
      </w:r>
      <w:proofErr w:type="spellEnd"/>
      <w:r>
        <w:t>-demons as a whole</w:t>
      </w:r>
      <w:proofErr w:type="gramEnd"/>
      <w:r>
        <w:t>.</w:t>
      </w:r>
      <w:r>
        <w:rPr>
          <w:rStyle w:val="FootnoteReference"/>
        </w:rPr>
        <w:footnoteReference w:id="18"/>
      </w:r>
      <w:r>
        <w:t xml:space="preserve"> </w:t>
      </w:r>
    </w:p>
    <w:p w14:paraId="3BD115ED" w14:textId="703C1A10" w:rsidR="00B44D53" w:rsidRDefault="00D56272" w:rsidP="00D56272">
      <w:pPr>
        <w:ind w:firstLine="720"/>
      </w:pPr>
      <w:r>
        <w:t xml:space="preserve">The situation would be analogous to that for </w:t>
      </w:r>
      <w:proofErr w:type="gramStart"/>
      <w:r>
        <w:t>e.g.</w:t>
      </w:r>
      <w:proofErr w:type="gramEnd"/>
      <w:r>
        <w:t xml:space="preserve"> ‘dog’. </w:t>
      </w:r>
      <w:r w:rsidR="00BE7F90">
        <w:t>Babylonian and Assyrian</w:t>
      </w:r>
      <w:r>
        <w:t xml:space="preserve"> had two words for ‘dog’: morphologically masculine </w:t>
      </w:r>
      <w:proofErr w:type="spellStart"/>
      <w:r w:rsidRPr="00192524">
        <w:rPr>
          <w:i/>
        </w:rPr>
        <w:t>kalbu</w:t>
      </w:r>
      <w:proofErr w:type="spellEnd"/>
      <w:r>
        <w:t xml:space="preserve"> and morphologically feminine </w:t>
      </w:r>
      <w:proofErr w:type="spellStart"/>
      <w:r w:rsidRPr="00192524">
        <w:rPr>
          <w:i/>
        </w:rPr>
        <w:t>kalbatu</w:t>
      </w:r>
      <w:proofErr w:type="spellEnd"/>
      <w:r>
        <w:t xml:space="preserve">.  While it seems certain that </w:t>
      </w:r>
      <w:proofErr w:type="spellStart"/>
      <w:r w:rsidRPr="00192524">
        <w:rPr>
          <w:i/>
        </w:rPr>
        <w:t>kalbatu</w:t>
      </w:r>
      <w:proofErr w:type="spellEnd"/>
      <w:r w:rsidRPr="00192524">
        <w:rPr>
          <w:i/>
        </w:rPr>
        <w:t xml:space="preserve"> </w:t>
      </w:r>
      <w:r>
        <w:t xml:space="preserve">was only used for female dogs, many of the attestations of </w:t>
      </w:r>
      <w:proofErr w:type="spellStart"/>
      <w:r w:rsidRPr="00A84751">
        <w:rPr>
          <w:i/>
        </w:rPr>
        <w:t>kalbu</w:t>
      </w:r>
      <w:proofErr w:type="spellEnd"/>
      <w:r w:rsidRPr="00A84751">
        <w:rPr>
          <w:i/>
        </w:rPr>
        <w:t xml:space="preserve"> </w:t>
      </w:r>
      <w:r>
        <w:t xml:space="preserve">cited in CAD and </w:t>
      </w:r>
      <w:proofErr w:type="spellStart"/>
      <w:r>
        <w:t>AHw</w:t>
      </w:r>
      <w:proofErr w:type="spellEnd"/>
      <w:r>
        <w:t xml:space="preserve"> </w:t>
      </w:r>
      <w:r w:rsidRPr="00BF09CE">
        <w:rPr>
          <w:i/>
        </w:rPr>
        <w:t>q.v.</w:t>
      </w:r>
      <w:r w:rsidRPr="00581040">
        <w:rPr>
          <w:i/>
        </w:rPr>
        <w:t xml:space="preserve"> </w:t>
      </w:r>
      <w:r>
        <w:t xml:space="preserve">are as likely to apply to a female dog as a male one – the gender of the animal is unimportant.  Instead of these all being male dogs, it is easier to suppose that </w:t>
      </w:r>
      <w:proofErr w:type="spellStart"/>
      <w:r w:rsidRPr="00192524">
        <w:rPr>
          <w:i/>
        </w:rPr>
        <w:t>kalbu</w:t>
      </w:r>
      <w:proofErr w:type="spellEnd"/>
      <w:r w:rsidRPr="00192524">
        <w:rPr>
          <w:i/>
        </w:rPr>
        <w:t xml:space="preserve"> </w:t>
      </w:r>
      <w:r>
        <w:t>can be used in a gender-neutral way, as occurs with masculine forms in many languages (including Arabic).</w:t>
      </w:r>
      <w:r>
        <w:rPr>
          <w:rStyle w:val="FootnoteReference"/>
        </w:rPr>
        <w:footnoteReference w:id="19"/>
      </w:r>
    </w:p>
    <w:p w14:paraId="44D7ECCB" w14:textId="76308F9D" w:rsidR="00D56272" w:rsidRDefault="00D56272" w:rsidP="00D56272">
      <w:pPr>
        <w:ind w:firstLine="720"/>
      </w:pPr>
      <w:r>
        <w:t xml:space="preserve">This coheres with the fact that, when a Babylonian list of </w:t>
      </w:r>
      <w:r w:rsidR="00B44D53">
        <w:t>impossible occurrences</w:t>
      </w:r>
      <w:r>
        <w:t xml:space="preserve"> wants to specify that a male dog has given birth, it goes out of its way to add the word ‘male’, a usage </w:t>
      </w:r>
      <w:proofErr w:type="spellStart"/>
      <w:r>
        <w:t>recognised</w:t>
      </w:r>
      <w:proofErr w:type="spellEnd"/>
      <w:r>
        <w:t xml:space="preserve"> by the dictionaries:</w:t>
      </w:r>
      <w:r>
        <w:rPr>
          <w:rStyle w:val="FootnoteReference"/>
        </w:rPr>
        <w:footnoteReference w:id="20"/>
      </w:r>
    </w:p>
    <w:p w14:paraId="2AA40A34" w14:textId="77777777" w:rsidR="00D56272" w:rsidRDefault="00D56272" w:rsidP="00D56272"/>
    <w:p w14:paraId="72283A4A" w14:textId="77777777" w:rsidR="00D56272" w:rsidRPr="00A54686" w:rsidRDefault="00D56272" w:rsidP="00D56272">
      <w:pPr>
        <w:ind w:firstLine="720"/>
        <w:rPr>
          <w:i/>
        </w:rPr>
      </w:pPr>
      <w:proofErr w:type="spellStart"/>
      <w:r w:rsidRPr="00A54686">
        <w:rPr>
          <w:i/>
        </w:rPr>
        <w:t>ina</w:t>
      </w:r>
      <w:proofErr w:type="spellEnd"/>
      <w:r w:rsidRPr="00A54686">
        <w:rPr>
          <w:i/>
        </w:rPr>
        <w:t xml:space="preserve"> </w:t>
      </w:r>
      <w:proofErr w:type="spellStart"/>
      <w:r w:rsidRPr="00A54686">
        <w:rPr>
          <w:i/>
        </w:rPr>
        <w:t>qereb</w:t>
      </w:r>
      <w:proofErr w:type="spellEnd"/>
      <w:r w:rsidRPr="00A54686">
        <w:rPr>
          <w:i/>
        </w:rPr>
        <w:t xml:space="preserve"> </w:t>
      </w:r>
      <w:proofErr w:type="spellStart"/>
      <w:r w:rsidRPr="00A54686">
        <w:rPr>
          <w:i/>
        </w:rPr>
        <w:t>māt</w:t>
      </w:r>
      <w:proofErr w:type="spellEnd"/>
      <w:r w:rsidRPr="00A54686">
        <w:rPr>
          <w:i/>
        </w:rPr>
        <w:t xml:space="preserve"> </w:t>
      </w:r>
      <w:proofErr w:type="spellStart"/>
      <w:r w:rsidRPr="00A54686">
        <w:rPr>
          <w:i/>
        </w:rPr>
        <w:t>kaldi</w:t>
      </w:r>
      <w:proofErr w:type="spellEnd"/>
      <w:r w:rsidRPr="00A54686">
        <w:rPr>
          <w:i/>
        </w:rPr>
        <w:t xml:space="preserve"> </w:t>
      </w:r>
      <w:proofErr w:type="spellStart"/>
      <w:r w:rsidRPr="00A54686">
        <w:rPr>
          <w:i/>
        </w:rPr>
        <w:t>kalbu</w:t>
      </w:r>
      <w:proofErr w:type="spellEnd"/>
      <w:r w:rsidRPr="00A54686">
        <w:t>(ur.gi</w:t>
      </w:r>
      <w:r w:rsidRPr="00A54686">
        <w:rPr>
          <w:vertAlign w:val="subscript"/>
        </w:rPr>
        <w:t>7</w:t>
      </w:r>
      <w:r w:rsidRPr="00A54686">
        <w:t>)</w:t>
      </w:r>
      <w:r w:rsidRPr="00A54686">
        <w:rPr>
          <w:i/>
        </w:rPr>
        <w:t xml:space="preserve"> </w:t>
      </w:r>
      <w:proofErr w:type="spellStart"/>
      <w:r>
        <w:rPr>
          <w:i/>
        </w:rPr>
        <w:t>zikru</w:t>
      </w:r>
      <w:proofErr w:type="spellEnd"/>
      <w:r>
        <w:rPr>
          <w:i/>
        </w:rPr>
        <w:t>/</w:t>
      </w:r>
      <w:proofErr w:type="spellStart"/>
      <w:r>
        <w:rPr>
          <w:i/>
        </w:rPr>
        <w:t>zakru</w:t>
      </w:r>
      <w:proofErr w:type="spellEnd"/>
      <w:r w:rsidRPr="00A54686">
        <w:t>(</w:t>
      </w:r>
      <w:proofErr w:type="spellStart"/>
      <w:r w:rsidRPr="00A54686">
        <w:t>nita</w:t>
      </w:r>
      <w:proofErr w:type="spellEnd"/>
      <w:r w:rsidRPr="00A54686">
        <w:t>)</w:t>
      </w:r>
      <w:r w:rsidRPr="00A54686">
        <w:rPr>
          <w:i/>
        </w:rPr>
        <w:t xml:space="preserve"> </w:t>
      </w:r>
      <w:proofErr w:type="spellStart"/>
      <w:r w:rsidRPr="00A54686">
        <w:rPr>
          <w:i/>
        </w:rPr>
        <w:t>itta’lad</w:t>
      </w:r>
      <w:proofErr w:type="spellEnd"/>
    </w:p>
    <w:p w14:paraId="0C511B14" w14:textId="77777777" w:rsidR="00D56272" w:rsidRDefault="00D56272" w:rsidP="00D56272">
      <w:pPr>
        <w:ind w:firstLine="720"/>
      </w:pPr>
      <w:r>
        <w:t>In the middle of southern Babylonia, a male dog gave birth.</w:t>
      </w:r>
    </w:p>
    <w:p w14:paraId="1E887ADA" w14:textId="77777777" w:rsidR="00D56272" w:rsidRDefault="00D56272" w:rsidP="00D56272">
      <w:pPr>
        <w:ind w:firstLine="720"/>
      </w:pPr>
      <w:r w:rsidRPr="009F508C">
        <w:t xml:space="preserve">Ex. </w:t>
      </w:r>
      <w:r w:rsidRPr="009F508C">
        <w:fldChar w:fldCharType="begin"/>
      </w:r>
      <w:r w:rsidRPr="009F508C">
        <w:instrText xml:space="preserve"> AUTONUM </w:instrText>
      </w:r>
      <w:r w:rsidRPr="009F508C">
        <w:fldChar w:fldCharType="end"/>
      </w:r>
      <w:r>
        <w:t xml:space="preserve"> (CT 29: 48 19)</w:t>
      </w:r>
      <w:r>
        <w:rPr>
          <w:rStyle w:val="FootnoteReference"/>
        </w:rPr>
        <w:footnoteReference w:id="21"/>
      </w:r>
      <w:r>
        <w:t xml:space="preserve"> </w:t>
      </w:r>
    </w:p>
    <w:p w14:paraId="74DDB397" w14:textId="77777777" w:rsidR="00D56272" w:rsidRDefault="00D56272" w:rsidP="00D56272"/>
    <w:p w14:paraId="783FA31C" w14:textId="77777777" w:rsidR="00D56272" w:rsidRDefault="00D56272" w:rsidP="00D56272">
      <w:r>
        <w:t xml:space="preserve">Evidently, the morphologically masculine form </w:t>
      </w:r>
      <w:proofErr w:type="spellStart"/>
      <w:r w:rsidRPr="00581040">
        <w:rPr>
          <w:i/>
        </w:rPr>
        <w:t>kalbu</w:t>
      </w:r>
      <w:proofErr w:type="spellEnd"/>
      <w:r w:rsidRPr="00581040">
        <w:rPr>
          <w:i/>
        </w:rPr>
        <w:t xml:space="preserve"> </w:t>
      </w:r>
      <w:r>
        <w:t>was deemed insufficient to make the point that the dog was anatomically male, so a semantic reinforcement was sought.</w:t>
      </w:r>
      <w:r>
        <w:rPr>
          <w:rStyle w:val="FootnoteReference"/>
        </w:rPr>
        <w:footnoteReference w:id="22"/>
      </w:r>
    </w:p>
    <w:p w14:paraId="3C6161BB" w14:textId="77777777" w:rsidR="00D56272" w:rsidRDefault="00D56272" w:rsidP="00D56272">
      <w:pPr>
        <w:ind w:firstLine="720"/>
      </w:pPr>
      <w:r>
        <w:lastRenderedPageBreak/>
        <w:t xml:space="preserve">This principle is likely to have a much wider application than just the word for ‘dog’.  It probably holds good for all pairs of words where the gender distinction is of little importance.  This would apply to most animals in most contexts (though not to those which have gender-specific lexemes, </w:t>
      </w:r>
      <w:proofErr w:type="gramStart"/>
      <w:r>
        <w:t>e.g.</w:t>
      </w:r>
      <w:proofErr w:type="gramEnd"/>
      <w:r>
        <w:t xml:space="preserve"> </w:t>
      </w:r>
      <w:proofErr w:type="spellStart"/>
      <w:r w:rsidRPr="005A3F7F">
        <w:rPr>
          <w:i/>
        </w:rPr>
        <w:t>lītu</w:t>
      </w:r>
      <w:proofErr w:type="spellEnd"/>
      <w:r w:rsidRPr="005A3F7F">
        <w:rPr>
          <w:i/>
        </w:rPr>
        <w:t xml:space="preserve"> </w:t>
      </w:r>
      <w:r>
        <w:t xml:space="preserve">‘cows’ vs </w:t>
      </w:r>
      <w:proofErr w:type="spellStart"/>
      <w:r w:rsidRPr="005A3F7F">
        <w:rPr>
          <w:i/>
        </w:rPr>
        <w:t>alpu</w:t>
      </w:r>
      <w:proofErr w:type="spellEnd"/>
      <w:r w:rsidRPr="005A3F7F">
        <w:rPr>
          <w:i/>
        </w:rPr>
        <w:t xml:space="preserve"> </w:t>
      </w:r>
      <w:r>
        <w:t>‘ox/bull’).</w:t>
      </w:r>
      <w:r>
        <w:rPr>
          <w:rStyle w:val="FootnoteReference"/>
        </w:rPr>
        <w:footnoteReference w:id="23"/>
      </w:r>
      <w:r>
        <w:t xml:space="preserve">  To wit the following case of a bird in a therapeutic ritual:</w:t>
      </w:r>
    </w:p>
    <w:p w14:paraId="7EEF26CF" w14:textId="77777777" w:rsidR="00D56272" w:rsidRDefault="00D56272" w:rsidP="00D56272">
      <w:pPr>
        <w:ind w:firstLine="720"/>
      </w:pPr>
    </w:p>
    <w:p w14:paraId="37B0D846" w14:textId="77777777" w:rsidR="00D56272" w:rsidRPr="003727B5" w:rsidRDefault="00D56272" w:rsidP="00D56272">
      <w:pPr>
        <w:ind w:firstLine="720"/>
        <w:rPr>
          <w:i/>
        </w:rPr>
      </w:pPr>
      <w:proofErr w:type="spellStart"/>
      <w:r w:rsidRPr="003727B5">
        <w:rPr>
          <w:i/>
        </w:rPr>
        <w:t>qaqqad</w:t>
      </w:r>
      <w:proofErr w:type="spellEnd"/>
      <w:r w:rsidRPr="003727B5">
        <w:rPr>
          <w:i/>
        </w:rPr>
        <w:t xml:space="preserve"> </w:t>
      </w:r>
      <w:proofErr w:type="spellStart"/>
      <w:r w:rsidRPr="003727B5">
        <w:rPr>
          <w:i/>
        </w:rPr>
        <w:t>iṣṣūr</w:t>
      </w:r>
      <w:proofErr w:type="spellEnd"/>
      <w:r w:rsidRPr="003727B5">
        <w:rPr>
          <w:i/>
        </w:rPr>
        <w:t xml:space="preserve"> </w:t>
      </w:r>
      <w:proofErr w:type="spellStart"/>
      <w:r w:rsidRPr="003727B5">
        <w:rPr>
          <w:i/>
        </w:rPr>
        <w:t>hurri</w:t>
      </w:r>
      <w:proofErr w:type="spellEnd"/>
      <w:r w:rsidRPr="003727B5">
        <w:rPr>
          <w:i/>
        </w:rPr>
        <w:t xml:space="preserve"> </w:t>
      </w:r>
      <w:proofErr w:type="spellStart"/>
      <w:r w:rsidRPr="003727B5">
        <w:rPr>
          <w:i/>
        </w:rPr>
        <w:t>zikri</w:t>
      </w:r>
      <w:proofErr w:type="spellEnd"/>
      <w:r w:rsidRPr="003727B5">
        <w:rPr>
          <w:i/>
        </w:rPr>
        <w:t>/</w:t>
      </w:r>
      <w:proofErr w:type="spellStart"/>
      <w:r w:rsidRPr="003727B5">
        <w:rPr>
          <w:i/>
        </w:rPr>
        <w:t>zakri</w:t>
      </w:r>
      <w:proofErr w:type="spellEnd"/>
      <w:r w:rsidRPr="003727B5">
        <w:rPr>
          <w:i/>
        </w:rPr>
        <w:t xml:space="preserve"> </w:t>
      </w:r>
      <w:proofErr w:type="spellStart"/>
      <w:r w:rsidRPr="003727B5">
        <w:rPr>
          <w:i/>
        </w:rPr>
        <w:t>teleqqe</w:t>
      </w:r>
      <w:proofErr w:type="spellEnd"/>
      <w:r>
        <w:rPr>
          <w:i/>
        </w:rPr>
        <w:t xml:space="preserve"> </w:t>
      </w:r>
      <w:proofErr w:type="spellStart"/>
      <w:r>
        <w:rPr>
          <w:i/>
        </w:rPr>
        <w:t>tušabšal</w:t>
      </w:r>
      <w:proofErr w:type="spellEnd"/>
    </w:p>
    <w:p w14:paraId="1665BFB0" w14:textId="77777777" w:rsidR="00D56272" w:rsidRDefault="00D56272" w:rsidP="00D56272">
      <w:pPr>
        <w:ind w:firstLine="720"/>
      </w:pPr>
      <w:r>
        <w:t xml:space="preserve">You take (and) boil the head of a male </w:t>
      </w:r>
      <w:r w:rsidRPr="00885322">
        <w:rPr>
          <w:i/>
        </w:rPr>
        <w:t>rock partridge</w:t>
      </w:r>
      <w:r>
        <w:t>.</w:t>
      </w:r>
    </w:p>
    <w:p w14:paraId="587776A3" w14:textId="77777777" w:rsidR="00D56272" w:rsidRDefault="00D56272" w:rsidP="00D56272">
      <w:pPr>
        <w:ind w:firstLine="720"/>
      </w:pPr>
      <w:r w:rsidRPr="009F508C">
        <w:t xml:space="preserve">Ex. </w:t>
      </w:r>
      <w:r w:rsidRPr="009F508C">
        <w:fldChar w:fldCharType="begin"/>
      </w:r>
      <w:r w:rsidRPr="009F508C">
        <w:instrText xml:space="preserve"> AUTONUM </w:instrText>
      </w:r>
      <w:r w:rsidRPr="009F508C">
        <w:fldChar w:fldCharType="end"/>
      </w:r>
      <w:r>
        <w:t xml:space="preserve"> (K. 3719 = AMT 76,6 line 10’)</w:t>
      </w:r>
      <w:r>
        <w:rPr>
          <w:rStyle w:val="FootnoteReference"/>
        </w:rPr>
        <w:footnoteReference w:id="24"/>
      </w:r>
    </w:p>
    <w:p w14:paraId="7A0F31CA" w14:textId="77777777" w:rsidR="00D56272" w:rsidRDefault="00D56272" w:rsidP="00D56272">
      <w:pPr>
        <w:ind w:firstLine="720"/>
      </w:pPr>
    </w:p>
    <w:p w14:paraId="33F605C6" w14:textId="77777777" w:rsidR="00D56272" w:rsidRDefault="00D56272" w:rsidP="00D56272">
      <w:r>
        <w:t>Where there is no such specification, presumably we should either understand that the animal’s gender was obvious contextually, or that it did not matter.</w:t>
      </w:r>
    </w:p>
    <w:p w14:paraId="00484C48" w14:textId="77777777" w:rsidR="00D56272" w:rsidRDefault="00D56272" w:rsidP="00D56272">
      <w:pPr>
        <w:ind w:firstLine="720"/>
      </w:pPr>
      <w:r>
        <w:t xml:space="preserve">By contrast, in view of the strongly gendered nature of ancient Mesopotamian human society, in which being </w:t>
      </w:r>
      <w:proofErr w:type="gramStart"/>
      <w:r>
        <w:t>male</w:t>
      </w:r>
      <w:proofErr w:type="gramEnd"/>
      <w:r>
        <w:t xml:space="preserve"> or female made a big difference to the roles one performed, the principle of gender neutrality probably did </w:t>
      </w:r>
      <w:r w:rsidRPr="00B44D53">
        <w:rPr>
          <w:i/>
          <w:iCs/>
        </w:rPr>
        <w:t>not</w:t>
      </w:r>
      <w:r>
        <w:t xml:space="preserve"> apply to most morphologically masculine nouns denoting people.</w:t>
      </w:r>
      <w:r>
        <w:rPr>
          <w:rStyle w:val="FootnoteReference"/>
        </w:rPr>
        <w:footnoteReference w:id="25"/>
      </w:r>
      <w:r w:rsidRPr="00390457">
        <w:t xml:space="preserve"> </w:t>
      </w:r>
      <w:r>
        <w:t xml:space="preserve"> </w:t>
      </w:r>
    </w:p>
    <w:p w14:paraId="70A32757" w14:textId="77777777" w:rsidR="00D56272" w:rsidRDefault="00D56272" w:rsidP="00D56272">
      <w:pPr>
        <w:ind w:firstLine="720"/>
      </w:pPr>
      <w:r w:rsidRPr="00390457">
        <w:t xml:space="preserve">It is instructive to compare the use of the word </w:t>
      </w:r>
      <w:proofErr w:type="spellStart"/>
      <w:r w:rsidRPr="00390457">
        <w:rPr>
          <w:i/>
        </w:rPr>
        <w:t>ṣalmu</w:t>
      </w:r>
      <w:proofErr w:type="spellEnd"/>
      <w:r w:rsidRPr="00390457">
        <w:t xml:space="preserve"> ‘effigy’, which Nicholas Postgate observes to be used of people and gods but not animals, even though many figurines of animals exist.  Postgate convincingly explains the asymmetry in terms of anthropomorphic beings’ greater individuality: anthropomorphic statuettes are effigies of a </w:t>
      </w:r>
      <w:r w:rsidRPr="00B44D53">
        <w:rPr>
          <w:i/>
          <w:iCs/>
        </w:rPr>
        <w:t>particular person</w:t>
      </w:r>
      <w:r w:rsidRPr="00390457">
        <w:t xml:space="preserve">, while statuettes of animals represent a </w:t>
      </w:r>
      <w:r w:rsidRPr="00B44D53">
        <w:rPr>
          <w:i/>
          <w:iCs/>
        </w:rPr>
        <w:t>type</w:t>
      </w:r>
      <w:r w:rsidRPr="00390457">
        <w:t>.</w:t>
      </w:r>
      <w:r w:rsidRPr="00390457">
        <w:rPr>
          <w:rStyle w:val="FootnoteReference"/>
        </w:rPr>
        <w:footnoteReference w:id="26"/>
      </w:r>
    </w:p>
    <w:p w14:paraId="3E2935DC" w14:textId="77777777" w:rsidR="00D56272" w:rsidRDefault="00D56272" w:rsidP="00D56272">
      <w:pPr>
        <w:ind w:firstLine="720"/>
      </w:pPr>
      <w:r>
        <w:t xml:space="preserve">Where does this leave us vis-à-vis </w:t>
      </w:r>
      <w:proofErr w:type="spellStart"/>
      <w:r>
        <w:t>líl</w:t>
      </w:r>
      <w:proofErr w:type="spellEnd"/>
      <w:r>
        <w:t xml:space="preserve">-demons?  They were probably anthropomorphic rather than theriomorphic, but supposing gender neutrality for them seems less problematic than for humans: aside from gender polarity vis-à-vis the victim, one does not get the sense of any great difference between male and female </w:t>
      </w:r>
      <w:proofErr w:type="spellStart"/>
      <w:r>
        <w:t>líl</w:t>
      </w:r>
      <w:proofErr w:type="spellEnd"/>
      <w:r>
        <w:t xml:space="preserve">-demons. The idea that </w:t>
      </w:r>
      <w:proofErr w:type="spellStart"/>
      <w:r w:rsidRPr="00E90F35">
        <w:rPr>
          <w:i/>
        </w:rPr>
        <w:t>lilû</w:t>
      </w:r>
      <w:proofErr w:type="spellEnd"/>
      <w:r w:rsidRPr="00E90F35">
        <w:rPr>
          <w:i/>
        </w:rPr>
        <w:t xml:space="preserve"> </w:t>
      </w:r>
      <w:r>
        <w:t xml:space="preserve">could refer to both genders, like </w:t>
      </w:r>
      <w:proofErr w:type="spellStart"/>
      <w:r w:rsidRPr="00E90F35">
        <w:rPr>
          <w:i/>
        </w:rPr>
        <w:t>kalbu</w:t>
      </w:r>
      <w:proofErr w:type="spellEnd"/>
      <w:r>
        <w:t>, seems plausible.</w:t>
      </w:r>
    </w:p>
    <w:p w14:paraId="4E040785" w14:textId="10DD3C5E" w:rsidR="00D56272" w:rsidRDefault="00D56272" w:rsidP="00D56272">
      <w:pPr>
        <w:ind w:firstLine="720"/>
      </w:pPr>
      <w:r>
        <w:t xml:space="preserve">What is more, this idea coheres with the </w:t>
      </w:r>
      <w:r w:rsidRPr="008D0EDD">
        <w:rPr>
          <w:i/>
        </w:rPr>
        <w:t>Exorcist’s Handbook</w:t>
      </w:r>
      <w:r w:rsidR="00B44D53">
        <w:rPr>
          <w:i/>
        </w:rPr>
        <w:t xml:space="preserve"> </w:t>
      </w:r>
      <w:r w:rsidR="00B44D53" w:rsidRPr="00B44D53">
        <w:rPr>
          <w:iCs/>
        </w:rPr>
        <w:t>(</w:t>
      </w:r>
      <w:r w:rsidR="00B44D53">
        <w:rPr>
          <w:iCs/>
        </w:rPr>
        <w:t>‘</w:t>
      </w:r>
      <w:proofErr w:type="spellStart"/>
      <w:r w:rsidR="00B44D53">
        <w:rPr>
          <w:iCs/>
        </w:rPr>
        <w:t>Leitfaden</w:t>
      </w:r>
      <w:proofErr w:type="spellEnd"/>
      <w:r w:rsidR="00B44D53">
        <w:rPr>
          <w:iCs/>
        </w:rPr>
        <w:t xml:space="preserve"> der </w:t>
      </w:r>
      <w:proofErr w:type="spellStart"/>
      <w:r w:rsidR="00B44D53">
        <w:rPr>
          <w:iCs/>
        </w:rPr>
        <w:t>Beschwörungskunst</w:t>
      </w:r>
      <w:proofErr w:type="spellEnd"/>
      <w:r w:rsidR="00B44D53">
        <w:rPr>
          <w:iCs/>
        </w:rPr>
        <w:t>’</w:t>
      </w:r>
      <w:r w:rsidR="00B44D53" w:rsidRPr="00B44D53">
        <w:rPr>
          <w:iCs/>
        </w:rPr>
        <w:t>)</w:t>
      </w:r>
      <w:r>
        <w:t xml:space="preserve">, which lists </w:t>
      </w:r>
      <w:proofErr w:type="spellStart"/>
      <w:proofErr w:type="gramStart"/>
      <w:r>
        <w:t>guruš.líl</w:t>
      </w:r>
      <w:proofErr w:type="gramEnd"/>
      <w:r>
        <w:t>.lá</w:t>
      </w:r>
      <w:proofErr w:type="spellEnd"/>
      <w:r>
        <w:t xml:space="preserve"> (i.e. </w:t>
      </w:r>
      <w:proofErr w:type="spellStart"/>
      <w:r w:rsidRPr="006400F0">
        <w:rPr>
          <w:i/>
        </w:rPr>
        <w:t>eṭel</w:t>
      </w:r>
      <w:proofErr w:type="spellEnd"/>
      <w:r w:rsidRPr="006400F0">
        <w:rPr>
          <w:i/>
        </w:rPr>
        <w:t xml:space="preserve"> </w:t>
      </w:r>
      <w:proofErr w:type="spellStart"/>
      <w:r w:rsidRPr="006400F0">
        <w:rPr>
          <w:i/>
        </w:rPr>
        <w:t>lilî</w:t>
      </w:r>
      <w:proofErr w:type="spellEnd"/>
      <w:r>
        <w:t xml:space="preserve">) and </w:t>
      </w:r>
      <w:proofErr w:type="spellStart"/>
      <w:r>
        <w:t>ki.sikil.líl.lá</w:t>
      </w:r>
      <w:proofErr w:type="spellEnd"/>
      <w:r>
        <w:t xml:space="preserve"> (i.e. </w:t>
      </w:r>
      <w:proofErr w:type="spellStart"/>
      <w:r>
        <w:rPr>
          <w:i/>
        </w:rPr>
        <w:t>ardat</w:t>
      </w:r>
      <w:proofErr w:type="spellEnd"/>
      <w:r>
        <w:rPr>
          <w:i/>
        </w:rPr>
        <w:t xml:space="preserve"> </w:t>
      </w:r>
      <w:proofErr w:type="spellStart"/>
      <w:r w:rsidRPr="006400F0">
        <w:rPr>
          <w:i/>
        </w:rPr>
        <w:t>lilî</w:t>
      </w:r>
      <w:proofErr w:type="spellEnd"/>
      <w:r>
        <w:t>) consecutively,</w:t>
      </w:r>
      <w:bookmarkStart w:id="0" w:name="_Ref375484529"/>
      <w:r>
        <w:rPr>
          <w:rStyle w:val="FootnoteReference"/>
        </w:rPr>
        <w:footnoteReference w:id="27"/>
      </w:r>
      <w:bookmarkEnd w:id="0"/>
      <w:r>
        <w:t xml:space="preserve"> while later giving only líl.lá.en.na (i.e. </w:t>
      </w:r>
      <w:proofErr w:type="spellStart"/>
      <w:r w:rsidRPr="006400F0">
        <w:rPr>
          <w:i/>
        </w:rPr>
        <w:t>lilû</w:t>
      </w:r>
      <w:proofErr w:type="spellEnd"/>
      <w:r>
        <w:t>):</w:t>
      </w:r>
      <w:r>
        <w:rPr>
          <w:rStyle w:val="FootnoteReference"/>
        </w:rPr>
        <w:footnoteReference w:id="28"/>
      </w:r>
      <w:r>
        <w:t xml:space="preserve"> if we take the genders strictly, </w:t>
      </w:r>
      <w:proofErr w:type="spellStart"/>
      <w:r w:rsidRPr="006400F0">
        <w:rPr>
          <w:i/>
        </w:rPr>
        <w:t>lilītu</w:t>
      </w:r>
      <w:proofErr w:type="spellEnd"/>
      <w:r>
        <w:t xml:space="preserve"> is missing.  Most likely, líl.lá.en.na = </w:t>
      </w:r>
      <w:proofErr w:type="spellStart"/>
      <w:r w:rsidRPr="006400F0">
        <w:rPr>
          <w:i/>
        </w:rPr>
        <w:t>lilû</w:t>
      </w:r>
      <w:proofErr w:type="spellEnd"/>
      <w:r>
        <w:t xml:space="preserve"> covers both the male and female incarnations of the same basic lexeme (</w:t>
      </w:r>
      <w:proofErr w:type="gramStart"/>
      <w:r>
        <w:t>i.e.</w:t>
      </w:r>
      <w:proofErr w:type="gramEnd"/>
      <w:r>
        <w:t xml:space="preserve"> both </w:t>
      </w:r>
      <w:proofErr w:type="spellStart"/>
      <w:r w:rsidRPr="00994F0B">
        <w:rPr>
          <w:i/>
        </w:rPr>
        <w:t>lilû</w:t>
      </w:r>
      <w:proofErr w:type="spellEnd"/>
      <w:r w:rsidRPr="00994F0B">
        <w:rPr>
          <w:i/>
        </w:rPr>
        <w:t xml:space="preserve"> </w:t>
      </w:r>
      <w:r>
        <w:t xml:space="preserve">and </w:t>
      </w:r>
      <w:proofErr w:type="spellStart"/>
      <w:r w:rsidRPr="00994F0B">
        <w:rPr>
          <w:i/>
        </w:rPr>
        <w:t>lilītu</w:t>
      </w:r>
      <w:proofErr w:type="spellEnd"/>
      <w:r>
        <w:t xml:space="preserve">) – a compression which cannot be achieved in the case of </w:t>
      </w:r>
      <w:proofErr w:type="spellStart"/>
      <w:r w:rsidRPr="00D61EE5">
        <w:rPr>
          <w:i/>
        </w:rPr>
        <w:t>ardat</w:t>
      </w:r>
      <w:proofErr w:type="spellEnd"/>
      <w:r w:rsidRPr="00D61EE5">
        <w:rPr>
          <w:i/>
        </w:rPr>
        <w:t xml:space="preserve"> </w:t>
      </w:r>
      <w:proofErr w:type="spellStart"/>
      <w:r w:rsidRPr="00D61EE5">
        <w:rPr>
          <w:i/>
        </w:rPr>
        <w:t>lilî</w:t>
      </w:r>
      <w:proofErr w:type="spellEnd"/>
      <w:r w:rsidRPr="00D61EE5">
        <w:rPr>
          <w:i/>
        </w:rPr>
        <w:t xml:space="preserve"> </w:t>
      </w:r>
      <w:r>
        <w:t xml:space="preserve">and </w:t>
      </w:r>
      <w:proofErr w:type="spellStart"/>
      <w:r w:rsidRPr="00D61EE5">
        <w:rPr>
          <w:i/>
        </w:rPr>
        <w:t>eṭel</w:t>
      </w:r>
      <w:proofErr w:type="spellEnd"/>
      <w:r w:rsidRPr="00D61EE5">
        <w:rPr>
          <w:i/>
        </w:rPr>
        <w:t xml:space="preserve"> </w:t>
      </w:r>
      <w:proofErr w:type="spellStart"/>
      <w:r w:rsidRPr="00D61EE5">
        <w:rPr>
          <w:i/>
        </w:rPr>
        <w:t>lilî</w:t>
      </w:r>
      <w:proofErr w:type="spellEnd"/>
      <w:r>
        <w:t>, because they involve different lexemes.</w:t>
      </w:r>
    </w:p>
    <w:p w14:paraId="0BA167EA" w14:textId="77777777" w:rsidR="00D56272" w:rsidRDefault="00D56272" w:rsidP="00D56272">
      <w:pPr>
        <w:ind w:firstLine="720"/>
      </w:pPr>
      <w:r>
        <w:lastRenderedPageBreak/>
        <w:t xml:space="preserve">The same consideration might explain why, as Marten </w:t>
      </w:r>
      <w:proofErr w:type="spellStart"/>
      <w:r>
        <w:t>Stol</w:t>
      </w:r>
      <w:proofErr w:type="spellEnd"/>
      <w:r>
        <w:t xml:space="preserve"> observes, babies are only reported as being attacked by </w:t>
      </w:r>
      <w:proofErr w:type="spellStart"/>
      <w:r w:rsidRPr="006150DC">
        <w:rPr>
          <w:i/>
        </w:rPr>
        <w:t>lilû</w:t>
      </w:r>
      <w:r>
        <w:t>s</w:t>
      </w:r>
      <w:proofErr w:type="spellEnd"/>
      <w:r>
        <w:t xml:space="preserve"> (not </w:t>
      </w:r>
      <w:proofErr w:type="spellStart"/>
      <w:r w:rsidRPr="00B91769">
        <w:rPr>
          <w:i/>
        </w:rPr>
        <w:t>lilītu</w:t>
      </w:r>
      <w:r>
        <w:t>s</w:t>
      </w:r>
      <w:proofErr w:type="spellEnd"/>
      <w:r>
        <w:t>):</w:t>
      </w:r>
      <w:r>
        <w:rPr>
          <w:rStyle w:val="FootnoteReference"/>
        </w:rPr>
        <w:footnoteReference w:id="29"/>
      </w:r>
      <w:r>
        <w:t xml:space="preserve"> if in the context of medical writings babies were considered gender-neutral, then </w:t>
      </w:r>
      <w:proofErr w:type="spellStart"/>
      <w:r w:rsidRPr="00E170F2">
        <w:rPr>
          <w:i/>
        </w:rPr>
        <w:t>lilû</w:t>
      </w:r>
      <w:proofErr w:type="spellEnd"/>
      <w:r w:rsidRPr="00E170F2">
        <w:rPr>
          <w:i/>
        </w:rPr>
        <w:t xml:space="preserve"> </w:t>
      </w:r>
      <w:r>
        <w:t xml:space="preserve">would fit, as the gender-neutral term.  </w:t>
      </w:r>
    </w:p>
    <w:p w14:paraId="4A1C3361" w14:textId="2802B757" w:rsidR="00D56272" w:rsidRDefault="00D56272" w:rsidP="00D56272">
      <w:pPr>
        <w:ind w:firstLine="720"/>
      </w:pPr>
      <w:r>
        <w:t xml:space="preserve">The principle of gender neutrality may also clarify the thinking behind a lexical list which explains Sumerian </w:t>
      </w:r>
      <w:proofErr w:type="spellStart"/>
      <w:proofErr w:type="gramStart"/>
      <w:r>
        <w:t>igi.kár</w:t>
      </w:r>
      <w:proofErr w:type="spellEnd"/>
      <w:proofErr w:type="gramEnd"/>
      <w:r>
        <w:t xml:space="preserve"> as </w:t>
      </w:r>
      <w:r w:rsidR="00BE7F90">
        <w:t>Bab/Ass</w:t>
      </w:r>
      <w:r>
        <w:t xml:space="preserve"> </w:t>
      </w:r>
      <w:proofErr w:type="spellStart"/>
      <w:r w:rsidRPr="00697231">
        <w:rPr>
          <w:i/>
        </w:rPr>
        <w:t>hâru</w:t>
      </w:r>
      <w:proofErr w:type="spellEnd"/>
      <w:r w:rsidRPr="00697231">
        <w:rPr>
          <w:i/>
        </w:rPr>
        <w:t xml:space="preserve"> </w:t>
      </w:r>
      <w:proofErr w:type="spellStart"/>
      <w:r w:rsidRPr="00697231">
        <w:rPr>
          <w:i/>
        </w:rPr>
        <w:t>ša</w:t>
      </w:r>
      <w:proofErr w:type="spellEnd"/>
      <w:r w:rsidRPr="00697231">
        <w:rPr>
          <w:i/>
        </w:rPr>
        <w:t xml:space="preserve"> </w:t>
      </w:r>
      <w:proofErr w:type="spellStart"/>
      <w:r w:rsidRPr="00697231">
        <w:rPr>
          <w:i/>
        </w:rPr>
        <w:t>lilî</w:t>
      </w:r>
      <w:proofErr w:type="spellEnd"/>
      <w:r w:rsidRPr="00697231">
        <w:rPr>
          <w:i/>
        </w:rPr>
        <w:t xml:space="preserve"> </w:t>
      </w:r>
      <w:r>
        <w:t xml:space="preserve">‘to choose/marry, (said) of a </w:t>
      </w:r>
      <w:proofErr w:type="spellStart"/>
      <w:r w:rsidRPr="00697231">
        <w:rPr>
          <w:i/>
        </w:rPr>
        <w:t>lilû</w:t>
      </w:r>
      <w:bookmarkStart w:id="1" w:name="_Ref328261966"/>
      <w:proofErr w:type="spellEnd"/>
      <w:r>
        <w:t>’.</w:t>
      </w:r>
      <w:bookmarkStart w:id="2" w:name="_Ref375429346"/>
      <w:r>
        <w:rPr>
          <w:rStyle w:val="FootnoteReference"/>
        </w:rPr>
        <w:footnoteReference w:id="30"/>
      </w:r>
      <w:bookmarkEnd w:id="1"/>
      <w:bookmarkEnd w:id="2"/>
      <w:r>
        <w:t xml:space="preserve">  If the picture in our sources is representative,</w:t>
      </w:r>
      <w:bookmarkStart w:id="3" w:name="_Ref382315869"/>
      <w:r>
        <w:rPr>
          <w:rStyle w:val="FootnoteReference"/>
        </w:rPr>
        <w:footnoteReference w:id="31"/>
      </w:r>
      <w:bookmarkEnd w:id="3"/>
      <w:r>
        <w:t xml:space="preserve"> marrying a human victim seems more characteristic of the female demonesses than the male </w:t>
      </w:r>
      <w:proofErr w:type="spellStart"/>
      <w:r w:rsidRPr="00E170F2">
        <w:rPr>
          <w:i/>
        </w:rPr>
        <w:t>lilû</w:t>
      </w:r>
      <w:proofErr w:type="spellEnd"/>
      <w:r>
        <w:t xml:space="preserve">.  Probably the compiler of the lexical list used the </w:t>
      </w:r>
      <w:r w:rsidR="00B44D53">
        <w:t xml:space="preserve">morphologically </w:t>
      </w:r>
      <w:r>
        <w:t>masculine form as a catch-all.</w:t>
      </w:r>
    </w:p>
    <w:p w14:paraId="36EBF2FF" w14:textId="66C5E8A2" w:rsidR="00D56272" w:rsidRDefault="00D56272" w:rsidP="00D56272">
      <w:pPr>
        <w:ind w:firstLine="720"/>
      </w:pPr>
      <w:r>
        <w:t xml:space="preserve">Finally, if </w:t>
      </w:r>
      <w:proofErr w:type="spellStart"/>
      <w:r w:rsidRPr="00F961F7">
        <w:rPr>
          <w:i/>
        </w:rPr>
        <w:t>ardat</w:t>
      </w:r>
      <w:proofErr w:type="spellEnd"/>
      <w:r w:rsidRPr="00F961F7">
        <w:rPr>
          <w:i/>
        </w:rPr>
        <w:t xml:space="preserve"> </w:t>
      </w:r>
      <w:proofErr w:type="spellStart"/>
      <w:r w:rsidRPr="00F961F7">
        <w:rPr>
          <w:i/>
        </w:rPr>
        <w:t>lilî</w:t>
      </w:r>
      <w:proofErr w:type="spellEnd"/>
      <w:r w:rsidRPr="00F961F7">
        <w:rPr>
          <w:i/>
        </w:rPr>
        <w:t xml:space="preserve"> </w:t>
      </w:r>
      <w:r>
        <w:t xml:space="preserve">means ‘maiden possessed by a </w:t>
      </w:r>
      <w:proofErr w:type="spellStart"/>
      <w:r w:rsidRPr="00F961F7">
        <w:rPr>
          <w:i/>
        </w:rPr>
        <w:t>lilû</w:t>
      </w:r>
      <w:proofErr w:type="spellEnd"/>
      <w:r>
        <w:t>’,</w:t>
      </w:r>
      <w:r>
        <w:rPr>
          <w:rStyle w:val="FootnoteReference"/>
        </w:rPr>
        <w:footnoteReference w:id="32"/>
      </w:r>
      <w:r>
        <w:t xml:space="preserve"> then following rigid consideration of grammatical gender one would expect her male counterpart to be </w:t>
      </w:r>
      <w:proofErr w:type="spellStart"/>
      <w:r w:rsidRPr="00F961F7">
        <w:rPr>
          <w:i/>
        </w:rPr>
        <w:t>eṭel</w:t>
      </w:r>
      <w:proofErr w:type="spellEnd"/>
      <w:r w:rsidRPr="00F961F7">
        <w:rPr>
          <w:i/>
        </w:rPr>
        <w:t xml:space="preserve"> </w:t>
      </w:r>
      <w:proofErr w:type="spellStart"/>
      <w:r w:rsidRPr="00F961F7">
        <w:rPr>
          <w:i/>
        </w:rPr>
        <w:t>lilīti</w:t>
      </w:r>
      <w:proofErr w:type="spellEnd"/>
      <w:r>
        <w:t xml:space="preserve">, ‘young man possessed by a </w:t>
      </w:r>
      <w:proofErr w:type="spellStart"/>
      <w:r w:rsidRPr="00F961F7">
        <w:rPr>
          <w:i/>
        </w:rPr>
        <w:t>lilītu</w:t>
      </w:r>
      <w:proofErr w:type="spellEnd"/>
      <w:r>
        <w:t xml:space="preserve">’.  That one instead finds </w:t>
      </w:r>
      <w:proofErr w:type="spellStart"/>
      <w:r w:rsidRPr="00F961F7">
        <w:rPr>
          <w:i/>
        </w:rPr>
        <w:t>eṭel</w:t>
      </w:r>
      <w:proofErr w:type="spellEnd"/>
      <w:r w:rsidRPr="00F961F7">
        <w:rPr>
          <w:i/>
        </w:rPr>
        <w:t xml:space="preserve"> </w:t>
      </w:r>
      <w:proofErr w:type="spellStart"/>
      <w:r w:rsidRPr="00F961F7">
        <w:rPr>
          <w:i/>
        </w:rPr>
        <w:t>lilî</w:t>
      </w:r>
      <w:proofErr w:type="spellEnd"/>
      <w:r w:rsidRPr="00F961F7">
        <w:rPr>
          <w:i/>
        </w:rPr>
        <w:t xml:space="preserve"> </w:t>
      </w:r>
      <w:r>
        <w:t xml:space="preserve">would suggest that </w:t>
      </w:r>
      <w:proofErr w:type="spellStart"/>
      <w:r w:rsidRPr="00F961F7">
        <w:rPr>
          <w:i/>
        </w:rPr>
        <w:t>lilû</w:t>
      </w:r>
      <w:proofErr w:type="spellEnd"/>
      <w:r w:rsidRPr="00F961F7">
        <w:rPr>
          <w:i/>
        </w:rPr>
        <w:t xml:space="preserve"> </w:t>
      </w:r>
      <w:r>
        <w:t xml:space="preserve">is </w:t>
      </w:r>
      <w:r w:rsidR="00B44D53">
        <w:t xml:space="preserve">again </w:t>
      </w:r>
      <w:r>
        <w:t>being used in a gender-neutral way</w:t>
      </w:r>
      <w:r w:rsidR="00B44D53">
        <w:t>, and in fact referring to female demons</w:t>
      </w:r>
      <w:r>
        <w:t>.</w:t>
      </w:r>
    </w:p>
    <w:p w14:paraId="14D5E38D" w14:textId="77777777" w:rsidR="00D56272" w:rsidRDefault="00D56272" w:rsidP="00D56272">
      <w:r>
        <w:tab/>
        <w:t xml:space="preserve">The perspective suggested above does not solve </w:t>
      </w:r>
      <w:r w:rsidRPr="00183752">
        <w:rPr>
          <w:i/>
        </w:rPr>
        <w:t>all</w:t>
      </w:r>
      <w:r>
        <w:t xml:space="preserve"> the problematic passages.  Notably, there is a case in the terrestrial omen series </w:t>
      </w:r>
      <w:proofErr w:type="spellStart"/>
      <w:r w:rsidRPr="00B91769">
        <w:rPr>
          <w:i/>
        </w:rPr>
        <w:t>Šumma</w:t>
      </w:r>
      <w:proofErr w:type="spellEnd"/>
      <w:r w:rsidRPr="00B91769">
        <w:rPr>
          <w:i/>
        </w:rPr>
        <w:t xml:space="preserve"> </w:t>
      </w:r>
      <w:proofErr w:type="spellStart"/>
      <w:r w:rsidRPr="00B91769">
        <w:rPr>
          <w:i/>
        </w:rPr>
        <w:t>ālu</w:t>
      </w:r>
      <w:proofErr w:type="spellEnd"/>
      <w:r>
        <w:t xml:space="preserve"> where a man is apparently ‘seized’ by a male </w:t>
      </w:r>
      <w:proofErr w:type="spellStart"/>
      <w:r w:rsidRPr="003F3B1E">
        <w:rPr>
          <w:i/>
        </w:rPr>
        <w:t>lilû</w:t>
      </w:r>
      <w:proofErr w:type="spellEnd"/>
      <w:r>
        <w:t>:</w:t>
      </w:r>
    </w:p>
    <w:p w14:paraId="6C875390" w14:textId="77777777" w:rsidR="00D56272" w:rsidRDefault="00D56272" w:rsidP="00D56272">
      <w:pPr>
        <w:ind w:firstLine="720"/>
      </w:pPr>
    </w:p>
    <w:p w14:paraId="1E9DB61F" w14:textId="66D9A78E" w:rsidR="00D56272" w:rsidRPr="00B91769" w:rsidRDefault="00D56272" w:rsidP="00D56272">
      <w:pPr>
        <w:ind w:left="720"/>
        <w:rPr>
          <w:i/>
        </w:rPr>
      </w:pPr>
      <w:proofErr w:type="spellStart"/>
      <w:r>
        <w:rPr>
          <w:i/>
        </w:rPr>
        <w:t>šumma</w:t>
      </w:r>
      <w:proofErr w:type="spellEnd"/>
      <w:r>
        <w:rPr>
          <w:i/>
        </w:rPr>
        <w:t xml:space="preserve"> </w:t>
      </w:r>
      <w:proofErr w:type="spellStart"/>
      <w:r>
        <w:rPr>
          <w:i/>
        </w:rPr>
        <w:t>birṣu</w:t>
      </w:r>
      <w:proofErr w:type="spellEnd"/>
      <w:r>
        <w:rPr>
          <w:i/>
        </w:rPr>
        <w:t xml:space="preserve"> </w:t>
      </w:r>
      <w:proofErr w:type="spellStart"/>
      <w:r>
        <w:rPr>
          <w:i/>
        </w:rPr>
        <w:t>kīma</w:t>
      </w:r>
      <w:proofErr w:type="spellEnd"/>
      <w:r>
        <w:rPr>
          <w:i/>
        </w:rPr>
        <w:t xml:space="preserve"> </w:t>
      </w:r>
      <w:proofErr w:type="spellStart"/>
      <w:r w:rsidR="00B96BE9" w:rsidRPr="00B96BE9">
        <w:rPr>
          <w:iCs/>
        </w:rPr>
        <w:t>zīmī</w:t>
      </w:r>
      <w:proofErr w:type="spellEnd"/>
      <w:r w:rsidR="00B96BE9">
        <w:rPr>
          <w:iCs/>
        </w:rPr>
        <w:t>(</w:t>
      </w:r>
      <w:r w:rsidRPr="00B96BE9">
        <w:rPr>
          <w:iCs/>
        </w:rPr>
        <w:t>sag</w:t>
      </w:r>
      <w:r w:rsidRPr="00532EFB">
        <w:t>.ki</w:t>
      </w:r>
      <w:r w:rsidR="00B96BE9">
        <w:t>)</w:t>
      </w:r>
      <w:r w:rsidRPr="00532EFB">
        <w:t xml:space="preserve"> </w:t>
      </w:r>
      <w:proofErr w:type="spellStart"/>
      <w:r>
        <w:rPr>
          <w:i/>
        </w:rPr>
        <w:t>ili</w:t>
      </w:r>
      <w:proofErr w:type="spellEnd"/>
      <w:r>
        <w:rPr>
          <w:i/>
        </w:rPr>
        <w:t xml:space="preserve"> </w:t>
      </w:r>
      <w:proofErr w:type="spellStart"/>
      <w:r>
        <w:rPr>
          <w:i/>
        </w:rPr>
        <w:t>zikari</w:t>
      </w:r>
      <w:proofErr w:type="spellEnd"/>
      <w:r>
        <w:t>(</w:t>
      </w:r>
      <w:proofErr w:type="spellStart"/>
      <w:r>
        <w:t>nita</w:t>
      </w:r>
      <w:proofErr w:type="spellEnd"/>
      <w:r>
        <w:t>)</w:t>
      </w:r>
      <w:r>
        <w:rPr>
          <w:i/>
        </w:rPr>
        <w:t xml:space="preserve"> </w:t>
      </w:r>
      <w:proofErr w:type="spellStart"/>
      <w:r>
        <w:rPr>
          <w:i/>
        </w:rPr>
        <w:t>innamir</w:t>
      </w:r>
      <w:proofErr w:type="spellEnd"/>
      <w:r>
        <w:t>(igi.du</w:t>
      </w:r>
      <w:r>
        <w:rPr>
          <w:vertAlign w:val="subscript"/>
        </w:rPr>
        <w:t>8</w:t>
      </w:r>
      <w:r>
        <w:t>)</w:t>
      </w:r>
      <w:r>
        <w:rPr>
          <w:i/>
        </w:rPr>
        <w:t xml:space="preserve"> </w:t>
      </w:r>
      <w:proofErr w:type="spellStart"/>
      <w:r w:rsidRPr="00B91769">
        <w:rPr>
          <w:i/>
        </w:rPr>
        <w:t>amīlu</w:t>
      </w:r>
      <w:proofErr w:type="spellEnd"/>
      <w:r w:rsidRPr="00B91769">
        <w:rPr>
          <w:i/>
        </w:rPr>
        <w:t xml:space="preserve"> </w:t>
      </w:r>
      <w:proofErr w:type="spellStart"/>
      <w:r w:rsidRPr="00B91769">
        <w:rPr>
          <w:i/>
        </w:rPr>
        <w:t>šū</w:t>
      </w:r>
      <w:proofErr w:type="spellEnd"/>
      <w:r w:rsidRPr="00B91769">
        <w:rPr>
          <w:i/>
        </w:rPr>
        <w:t xml:space="preserve"> </w:t>
      </w:r>
      <w:proofErr w:type="spellStart"/>
      <w:proofErr w:type="gramStart"/>
      <w:r w:rsidRPr="00B91769">
        <w:t>líl.lá</w:t>
      </w:r>
      <w:proofErr w:type="spellEnd"/>
      <w:proofErr w:type="gramEnd"/>
      <w:r w:rsidRPr="00B91769">
        <w:t xml:space="preserve"> </w:t>
      </w:r>
      <w:proofErr w:type="spellStart"/>
      <w:r w:rsidRPr="00B91769">
        <w:rPr>
          <w:i/>
        </w:rPr>
        <w:t>iṣabbassu</w:t>
      </w:r>
      <w:proofErr w:type="spellEnd"/>
      <w:r w:rsidRPr="00B91769">
        <w:rPr>
          <w:i/>
        </w:rPr>
        <w:t xml:space="preserve"> </w:t>
      </w:r>
    </w:p>
    <w:p w14:paraId="23609203" w14:textId="77777777" w:rsidR="00D56272" w:rsidRPr="00532EFB" w:rsidRDefault="00D56272" w:rsidP="00D56272">
      <w:pPr>
        <w:ind w:left="720"/>
        <w:rPr>
          <w:vertAlign w:val="superscript"/>
        </w:rPr>
      </w:pPr>
      <w:proofErr w:type="spellStart"/>
      <w:r w:rsidRPr="00532EFB">
        <w:rPr>
          <w:i/>
        </w:rPr>
        <w:t>šumma</w:t>
      </w:r>
      <w:proofErr w:type="spellEnd"/>
      <w:r w:rsidRPr="00532EFB">
        <w:rPr>
          <w:i/>
        </w:rPr>
        <w:t xml:space="preserve"> </w:t>
      </w:r>
      <w:proofErr w:type="spellStart"/>
      <w:r w:rsidRPr="00532EFB">
        <w:rPr>
          <w:i/>
        </w:rPr>
        <w:t>birṣ</w:t>
      </w:r>
      <w:r>
        <w:rPr>
          <w:i/>
        </w:rPr>
        <w:t>u</w:t>
      </w:r>
      <w:proofErr w:type="spellEnd"/>
      <w:r w:rsidRPr="00532EFB">
        <w:rPr>
          <w:i/>
        </w:rPr>
        <w:t xml:space="preserve"> </w:t>
      </w:r>
      <w:proofErr w:type="spellStart"/>
      <w:r w:rsidRPr="009A31D7">
        <w:rPr>
          <w:i/>
        </w:rPr>
        <w:t>kī</w:t>
      </w:r>
      <w:r>
        <w:rPr>
          <w:i/>
        </w:rPr>
        <w:t>ma</w:t>
      </w:r>
      <w:proofErr w:type="spellEnd"/>
      <w:r w:rsidRPr="009A31D7">
        <w:rPr>
          <w:i/>
        </w:rPr>
        <w:t xml:space="preserve"> </w:t>
      </w:r>
      <w:r>
        <w:t xml:space="preserve">sag.ki </w:t>
      </w:r>
      <w:proofErr w:type="spellStart"/>
      <w:r w:rsidRPr="00532EFB">
        <w:rPr>
          <w:i/>
        </w:rPr>
        <w:t>ilti</w:t>
      </w:r>
      <w:proofErr w:type="spellEnd"/>
      <w:r w:rsidRPr="00532EFB">
        <w:rPr>
          <w:i/>
        </w:rPr>
        <w:t xml:space="preserve"> </w:t>
      </w:r>
      <w:proofErr w:type="spellStart"/>
      <w:r>
        <w:t>munus</w:t>
      </w:r>
      <w:proofErr w:type="spellEnd"/>
      <w:r>
        <w:t xml:space="preserve"> </w:t>
      </w:r>
      <w:proofErr w:type="spellStart"/>
      <w:r w:rsidRPr="00532EFB">
        <w:rPr>
          <w:i/>
        </w:rPr>
        <w:t>innamir</w:t>
      </w:r>
      <w:proofErr w:type="spellEnd"/>
      <w:r w:rsidRPr="00532EFB">
        <w:rPr>
          <w:i/>
        </w:rPr>
        <w:t xml:space="preserve"> </w:t>
      </w:r>
      <w:proofErr w:type="spellStart"/>
      <w:r w:rsidRPr="00B91769">
        <w:rPr>
          <w:i/>
        </w:rPr>
        <w:t>amīlu</w:t>
      </w:r>
      <w:proofErr w:type="spellEnd"/>
      <w:r w:rsidRPr="00B91769">
        <w:rPr>
          <w:i/>
        </w:rPr>
        <w:t xml:space="preserve"> </w:t>
      </w:r>
      <w:proofErr w:type="spellStart"/>
      <w:r w:rsidRPr="00B91769">
        <w:rPr>
          <w:i/>
        </w:rPr>
        <w:t>šū</w:t>
      </w:r>
      <w:proofErr w:type="spellEnd"/>
      <w:r>
        <w:t xml:space="preserve"> </w:t>
      </w:r>
      <w:proofErr w:type="spellStart"/>
      <w:proofErr w:type="gramStart"/>
      <w:r>
        <w:t>ki.sikil</w:t>
      </w:r>
      <w:proofErr w:type="gramEnd"/>
      <w:r>
        <w:t>.líl.lá</w:t>
      </w:r>
      <w:proofErr w:type="spellEnd"/>
      <w:r>
        <w:t xml:space="preserve"> 2 </w:t>
      </w:r>
      <w:proofErr w:type="spellStart"/>
      <w:r>
        <w:t>mu</w:t>
      </w:r>
      <w:r>
        <w:rPr>
          <w:vertAlign w:val="superscript"/>
        </w:rPr>
        <w:t>méš</w:t>
      </w:r>
      <w:proofErr w:type="spellEnd"/>
      <w:r w:rsidRPr="00532EFB">
        <w:t xml:space="preserve"> </w:t>
      </w:r>
      <w:proofErr w:type="spellStart"/>
      <w:r w:rsidRPr="00532EFB">
        <w:rPr>
          <w:i/>
        </w:rPr>
        <w:t>iṣabbassu</w:t>
      </w:r>
      <w:proofErr w:type="spellEnd"/>
    </w:p>
    <w:p w14:paraId="4ACE5342" w14:textId="77777777" w:rsidR="00D56272" w:rsidRDefault="00D56272" w:rsidP="00D56272">
      <w:pPr>
        <w:ind w:left="720"/>
      </w:pPr>
      <w:r>
        <w:t xml:space="preserve">If (there is) a </w:t>
      </w:r>
      <w:proofErr w:type="spellStart"/>
      <w:r w:rsidRPr="003F3B1E">
        <w:rPr>
          <w:i/>
        </w:rPr>
        <w:t>birṣu</w:t>
      </w:r>
      <w:proofErr w:type="spellEnd"/>
      <w:r w:rsidRPr="003F3B1E">
        <w:rPr>
          <w:i/>
        </w:rPr>
        <w:t xml:space="preserve"> </w:t>
      </w:r>
      <w:r>
        <w:t>like the face</w:t>
      </w:r>
      <w:r>
        <w:rPr>
          <w:rStyle w:val="FootnoteReference"/>
        </w:rPr>
        <w:footnoteReference w:id="33"/>
      </w:r>
      <w:r>
        <w:t xml:space="preserve"> of a male god, that man: a </w:t>
      </w:r>
      <w:proofErr w:type="spellStart"/>
      <w:r w:rsidRPr="003F3B1E">
        <w:rPr>
          <w:i/>
        </w:rPr>
        <w:t>lilû</w:t>
      </w:r>
      <w:proofErr w:type="spellEnd"/>
      <w:r w:rsidRPr="003F3B1E">
        <w:rPr>
          <w:i/>
        </w:rPr>
        <w:t xml:space="preserve"> </w:t>
      </w:r>
      <w:r>
        <w:t>will seize him.</w:t>
      </w:r>
    </w:p>
    <w:p w14:paraId="685CE078" w14:textId="77777777" w:rsidR="00D56272" w:rsidRDefault="00D56272" w:rsidP="00D56272">
      <w:pPr>
        <w:ind w:left="720"/>
      </w:pPr>
      <w:r>
        <w:t xml:space="preserve">If (there is) a </w:t>
      </w:r>
      <w:proofErr w:type="spellStart"/>
      <w:r w:rsidRPr="003F3B1E">
        <w:rPr>
          <w:i/>
        </w:rPr>
        <w:t>birṣu</w:t>
      </w:r>
      <w:proofErr w:type="spellEnd"/>
      <w:r w:rsidRPr="003F3B1E">
        <w:rPr>
          <w:i/>
        </w:rPr>
        <w:t xml:space="preserve"> </w:t>
      </w:r>
      <w:r>
        <w:t xml:space="preserve">like the face of a female god, that man: an </w:t>
      </w:r>
      <w:proofErr w:type="spellStart"/>
      <w:r w:rsidRPr="003F3B1E">
        <w:rPr>
          <w:i/>
        </w:rPr>
        <w:t>ardat</w:t>
      </w:r>
      <w:proofErr w:type="spellEnd"/>
      <w:r>
        <w:t xml:space="preserve"> </w:t>
      </w:r>
      <w:proofErr w:type="spellStart"/>
      <w:r w:rsidRPr="003F3B1E">
        <w:rPr>
          <w:i/>
        </w:rPr>
        <w:t>lil</w:t>
      </w:r>
      <w:r>
        <w:rPr>
          <w:i/>
        </w:rPr>
        <w:t>î</w:t>
      </w:r>
      <w:proofErr w:type="spellEnd"/>
      <w:r w:rsidRPr="003F3B1E">
        <w:rPr>
          <w:i/>
        </w:rPr>
        <w:t xml:space="preserve"> </w:t>
      </w:r>
      <w:r>
        <w:t>will seize him for two years.</w:t>
      </w:r>
    </w:p>
    <w:p w14:paraId="4E1C3F19" w14:textId="77777777" w:rsidR="00D56272" w:rsidRPr="003F3B1E" w:rsidRDefault="00D56272" w:rsidP="00D56272">
      <w:pPr>
        <w:ind w:left="720"/>
        <w:rPr>
          <w:sz w:val="32"/>
        </w:rPr>
      </w:pPr>
      <w:r w:rsidRPr="009F508C">
        <w:t xml:space="preserve">Ex. </w:t>
      </w:r>
      <w:r w:rsidRPr="009F508C">
        <w:fldChar w:fldCharType="begin"/>
      </w:r>
      <w:r w:rsidRPr="009F508C">
        <w:instrText xml:space="preserve"> AUTONUM </w:instrText>
      </w:r>
      <w:r w:rsidRPr="009F508C">
        <w:fldChar w:fldCharType="end"/>
      </w:r>
      <w:r>
        <w:t xml:space="preserve"> (</w:t>
      </w:r>
      <w:proofErr w:type="spellStart"/>
      <w:r w:rsidRPr="00532EFB">
        <w:rPr>
          <w:i/>
        </w:rPr>
        <w:t>Šumma</w:t>
      </w:r>
      <w:proofErr w:type="spellEnd"/>
      <w:r w:rsidRPr="00532EFB">
        <w:rPr>
          <w:i/>
        </w:rPr>
        <w:t xml:space="preserve"> </w:t>
      </w:r>
      <w:proofErr w:type="spellStart"/>
      <w:r w:rsidRPr="00532EFB">
        <w:rPr>
          <w:i/>
        </w:rPr>
        <w:t>ālu</w:t>
      </w:r>
      <w:proofErr w:type="spellEnd"/>
      <w:r w:rsidRPr="00532EFB">
        <w:rPr>
          <w:i/>
        </w:rPr>
        <w:t xml:space="preserve"> </w:t>
      </w:r>
      <w:r>
        <w:t>XX 26-27)</w:t>
      </w:r>
      <w:r>
        <w:rPr>
          <w:rStyle w:val="FootnoteReference"/>
        </w:rPr>
        <w:footnoteReference w:id="34"/>
      </w:r>
    </w:p>
    <w:p w14:paraId="2CAD8451" w14:textId="77777777" w:rsidR="00D56272" w:rsidRDefault="00D56272" w:rsidP="00D56272"/>
    <w:p w14:paraId="17B9CFED" w14:textId="77777777" w:rsidR="00D56272" w:rsidRDefault="00D56272" w:rsidP="00D56272">
      <w:r>
        <w:t xml:space="preserve">Here, the symmetry between the two lines suggests that, since a female deity results in seizure by the (female) </w:t>
      </w:r>
      <w:proofErr w:type="spellStart"/>
      <w:r w:rsidRPr="00183752">
        <w:rPr>
          <w:i/>
        </w:rPr>
        <w:t>ardât</w:t>
      </w:r>
      <w:proofErr w:type="spellEnd"/>
      <w:r w:rsidRPr="00183752">
        <w:rPr>
          <w:i/>
        </w:rPr>
        <w:t xml:space="preserve"> </w:t>
      </w:r>
      <w:proofErr w:type="spellStart"/>
      <w:r w:rsidRPr="00183752">
        <w:rPr>
          <w:i/>
        </w:rPr>
        <w:t>lilî</w:t>
      </w:r>
      <w:proofErr w:type="spellEnd"/>
      <w:r>
        <w:t xml:space="preserve">, a male deity (unusual for this to be specified) results in seizure by a male </w:t>
      </w:r>
      <w:proofErr w:type="spellStart"/>
      <w:r w:rsidRPr="00183752">
        <w:rPr>
          <w:i/>
        </w:rPr>
        <w:t>lilû</w:t>
      </w:r>
      <w:proofErr w:type="spellEnd"/>
      <w:r>
        <w:t xml:space="preserve">.  There are two ways out of this scenario: one is to suppose that </w:t>
      </w:r>
      <w:proofErr w:type="spellStart"/>
      <w:r w:rsidRPr="00183752">
        <w:rPr>
          <w:i/>
        </w:rPr>
        <w:t>amīlu</w:t>
      </w:r>
      <w:proofErr w:type="spellEnd"/>
      <w:r w:rsidRPr="00183752">
        <w:rPr>
          <w:i/>
        </w:rPr>
        <w:t xml:space="preserve"> </w:t>
      </w:r>
      <w:r>
        <w:t>can be used gender-neutrally, to mean ‘person’.  But while one can see why JoAnn Scurlock translates it thus in medical recipes,</w:t>
      </w:r>
      <w:r>
        <w:rPr>
          <w:rStyle w:val="FootnoteReference"/>
        </w:rPr>
        <w:footnoteReference w:id="35"/>
      </w:r>
      <w:r>
        <w:t xml:space="preserve"> where in most cases it (presumably) makes no difference if the patient is male </w:t>
      </w:r>
      <w:r w:rsidRPr="009B1F6C">
        <w:t>or</w:t>
      </w:r>
      <w:r w:rsidRPr="00183752">
        <w:rPr>
          <w:i/>
        </w:rPr>
        <w:t xml:space="preserve"> </w:t>
      </w:r>
      <w:r>
        <w:t xml:space="preserve">female, it seems difficult to suppose that </w:t>
      </w:r>
      <w:proofErr w:type="spellStart"/>
      <w:r w:rsidRPr="00183752">
        <w:rPr>
          <w:i/>
        </w:rPr>
        <w:t>amīlu</w:t>
      </w:r>
      <w:proofErr w:type="spellEnd"/>
      <w:r w:rsidRPr="00183752">
        <w:rPr>
          <w:i/>
        </w:rPr>
        <w:t xml:space="preserve"> </w:t>
      </w:r>
      <w:r>
        <w:t xml:space="preserve">(let alone </w:t>
      </w:r>
      <w:proofErr w:type="spellStart"/>
      <w:r w:rsidRPr="00183752">
        <w:rPr>
          <w:i/>
        </w:rPr>
        <w:t>amīlu</w:t>
      </w:r>
      <w:proofErr w:type="spellEnd"/>
      <w:r w:rsidRPr="00183752">
        <w:rPr>
          <w:i/>
        </w:rPr>
        <w:t xml:space="preserve"> </w:t>
      </w:r>
      <w:proofErr w:type="spellStart"/>
      <w:r w:rsidRPr="00183752">
        <w:rPr>
          <w:i/>
        </w:rPr>
        <w:t>šū</w:t>
      </w:r>
      <w:proofErr w:type="spellEnd"/>
      <w:r>
        <w:t xml:space="preserve">) can refer specifically to a woman, </w:t>
      </w:r>
      <w:r w:rsidRPr="00183752">
        <w:rPr>
          <w:i/>
        </w:rPr>
        <w:t xml:space="preserve">as opposed to </w:t>
      </w:r>
      <w:r>
        <w:t xml:space="preserve">a man.  </w:t>
      </w:r>
    </w:p>
    <w:p w14:paraId="4E6A68ED" w14:textId="2070D951" w:rsidR="00D56272" w:rsidRDefault="00D56272" w:rsidP="00D56272">
      <w:pPr>
        <w:ind w:firstLine="720"/>
      </w:pPr>
      <w:r>
        <w:t xml:space="preserve">The second way to account for gender </w:t>
      </w:r>
      <w:proofErr w:type="spellStart"/>
      <w:r>
        <w:t>behaviour</w:t>
      </w:r>
      <w:proofErr w:type="spellEnd"/>
      <w:r>
        <w:t xml:space="preserve"> in our pair of omens starts with the observation that they are not, in fact, properly symmetrical: the second one has a temporal specification (‘for two years’) which is missing in the first.  Had they been conceived as a </w:t>
      </w:r>
      <w:proofErr w:type="gramStart"/>
      <w:r>
        <w:t>pair,</w:t>
      </w:r>
      <w:proofErr w:type="gramEnd"/>
      <w:r>
        <w:t xml:space="preserve"> it is hard to see why this would be so.  </w:t>
      </w:r>
      <w:r w:rsidR="00B96BE9">
        <w:t>Perhaps</w:t>
      </w:r>
      <w:r>
        <w:t xml:space="preserve">, then, the two omens originated independently, and were brought together by a redactor of </w:t>
      </w:r>
      <w:proofErr w:type="spellStart"/>
      <w:r w:rsidR="00B96BE9" w:rsidRPr="004F3EFD">
        <w:rPr>
          <w:i/>
        </w:rPr>
        <w:t>Š</w:t>
      </w:r>
      <w:r w:rsidRPr="004F3EFD">
        <w:rPr>
          <w:i/>
        </w:rPr>
        <w:t>umma</w:t>
      </w:r>
      <w:proofErr w:type="spellEnd"/>
      <w:r w:rsidRPr="004F3EFD">
        <w:rPr>
          <w:i/>
        </w:rPr>
        <w:t xml:space="preserve"> </w:t>
      </w:r>
      <w:proofErr w:type="spellStart"/>
      <w:r w:rsidRPr="004F3EFD">
        <w:rPr>
          <w:i/>
        </w:rPr>
        <w:t>ālu</w:t>
      </w:r>
      <w:proofErr w:type="spellEnd"/>
      <w:r>
        <w:t xml:space="preserve">.  In this scenario, it would be fascinating if the redactor failed to </w:t>
      </w:r>
      <w:proofErr w:type="spellStart"/>
      <w:r>
        <w:t>realise</w:t>
      </w:r>
      <w:proofErr w:type="spellEnd"/>
      <w:r>
        <w:t xml:space="preserve"> that </w:t>
      </w:r>
      <w:proofErr w:type="spellStart"/>
      <w:r w:rsidRPr="00183752">
        <w:rPr>
          <w:i/>
        </w:rPr>
        <w:t>lilû</w:t>
      </w:r>
      <w:proofErr w:type="spellEnd"/>
      <w:r w:rsidRPr="00183752">
        <w:rPr>
          <w:i/>
        </w:rPr>
        <w:t xml:space="preserve"> </w:t>
      </w:r>
      <w:r>
        <w:t xml:space="preserve">was gender-neutral, and so </w:t>
      </w:r>
      <w:r>
        <w:lastRenderedPageBreak/>
        <w:t xml:space="preserve">inserted the specifications ‘male’ and ‘female’ to produce a contrast which was originally not there.  This would cohere with the fact that the misunderstanding arose while dealing with terrestrial omens, not with typologies which presupposed expertise in demonology (such as SA.GIG).  Perhaps redactors of </w:t>
      </w:r>
      <w:proofErr w:type="spellStart"/>
      <w:r w:rsidRPr="00BF09CE">
        <w:rPr>
          <w:i/>
        </w:rPr>
        <w:t>Šumma</w:t>
      </w:r>
      <w:proofErr w:type="spellEnd"/>
      <w:r w:rsidRPr="00BF09CE">
        <w:rPr>
          <w:i/>
        </w:rPr>
        <w:t xml:space="preserve"> </w:t>
      </w:r>
      <w:proofErr w:type="spellStart"/>
      <w:r w:rsidRPr="00BF09CE">
        <w:rPr>
          <w:i/>
        </w:rPr>
        <w:t>ālu</w:t>
      </w:r>
      <w:proofErr w:type="spellEnd"/>
      <w:r w:rsidRPr="00BF09CE">
        <w:rPr>
          <w:i/>
        </w:rPr>
        <w:t xml:space="preserve"> </w:t>
      </w:r>
      <w:r>
        <w:t>did not know much about demons!</w:t>
      </w:r>
    </w:p>
    <w:p w14:paraId="67D43CF6" w14:textId="53B6FBD9" w:rsidR="00D56272" w:rsidRDefault="00D56272" w:rsidP="00D56272"/>
    <w:p w14:paraId="4FD47708" w14:textId="543F70FE" w:rsidR="00FF1FF8" w:rsidRPr="00B44D53" w:rsidRDefault="00FF1FF8" w:rsidP="00FF1FF8">
      <w:pPr>
        <w:rPr>
          <w:b/>
          <w:bCs/>
        </w:rPr>
      </w:pPr>
      <w:r>
        <w:rPr>
          <w:b/>
          <w:bCs/>
        </w:rPr>
        <w:t xml:space="preserve">A </w:t>
      </w:r>
      <w:r w:rsidR="00256BEC">
        <w:rPr>
          <w:b/>
          <w:bCs/>
        </w:rPr>
        <w:t>further gender</w:t>
      </w:r>
      <w:r>
        <w:rPr>
          <w:b/>
          <w:bCs/>
        </w:rPr>
        <w:t xml:space="preserve"> complication</w:t>
      </w:r>
    </w:p>
    <w:p w14:paraId="2DE89CCF" w14:textId="1828627A" w:rsidR="00FF1FF8" w:rsidRDefault="00FF1FF8" w:rsidP="00D56272"/>
    <w:p w14:paraId="60568F47" w14:textId="1AEEB71A" w:rsidR="00FF1FF8" w:rsidRDefault="00FF1FF8" w:rsidP="00D56272">
      <w:r>
        <w:t xml:space="preserve">We have seen that (morphologically masculine) </w:t>
      </w:r>
      <w:proofErr w:type="spellStart"/>
      <w:r w:rsidRPr="00FF1FF8">
        <w:rPr>
          <w:i/>
          <w:iCs/>
        </w:rPr>
        <w:t>lilû</w:t>
      </w:r>
      <w:proofErr w:type="spellEnd"/>
      <w:r>
        <w:t xml:space="preserve"> can refer to male or female demons, and (morphologically feminine) </w:t>
      </w:r>
      <w:proofErr w:type="spellStart"/>
      <w:r w:rsidRPr="00FF1FF8">
        <w:rPr>
          <w:i/>
          <w:iCs/>
        </w:rPr>
        <w:t>lilītu</w:t>
      </w:r>
      <w:proofErr w:type="spellEnd"/>
      <w:r>
        <w:t xml:space="preserve"> only to female ones.  But, at least for First-Millennium Assyria, the situation may be different in the plural.</w:t>
      </w:r>
    </w:p>
    <w:p w14:paraId="2425E599" w14:textId="6900F252" w:rsidR="00FF1FF8" w:rsidRDefault="00FF1FF8" w:rsidP="00FF1FF8">
      <w:pPr>
        <w:ind w:firstLine="720"/>
        <w:rPr>
          <w:szCs w:val="20"/>
        </w:rPr>
      </w:pPr>
      <w:r>
        <w:rPr>
          <w:szCs w:val="20"/>
        </w:rPr>
        <w:t>M</w:t>
      </w:r>
      <w:r w:rsidRPr="00291524">
        <w:rPr>
          <w:szCs w:val="20"/>
        </w:rPr>
        <w:t xml:space="preserve">any Neo-Assyrian nouns which are masculine in the singular have </w:t>
      </w:r>
      <w:r>
        <w:rPr>
          <w:szCs w:val="20"/>
        </w:rPr>
        <w:t xml:space="preserve">morphologically </w:t>
      </w:r>
      <w:r w:rsidRPr="00291524">
        <w:rPr>
          <w:szCs w:val="20"/>
        </w:rPr>
        <w:t xml:space="preserve">feminine plurals in </w:t>
      </w:r>
      <w:r>
        <w:rPr>
          <w:szCs w:val="20"/>
        </w:rPr>
        <w:t>-</w:t>
      </w:r>
      <w:proofErr w:type="spellStart"/>
      <w:r w:rsidRPr="00291524">
        <w:rPr>
          <w:i/>
          <w:szCs w:val="20"/>
        </w:rPr>
        <w:t>āte</w:t>
      </w:r>
      <w:proofErr w:type="spellEnd"/>
      <w:r w:rsidRPr="00232B65">
        <w:rPr>
          <w:szCs w:val="20"/>
        </w:rPr>
        <w:t xml:space="preserve"> (</w:t>
      </w:r>
      <w:r>
        <w:rPr>
          <w:szCs w:val="20"/>
        </w:rPr>
        <w:t>whether this is also true of Neo-Babylonian a</w:t>
      </w:r>
      <w:r w:rsidRPr="00232B65">
        <w:rPr>
          <w:szCs w:val="20"/>
        </w:rPr>
        <w:t>waits</w:t>
      </w:r>
      <w:r>
        <w:rPr>
          <w:szCs w:val="20"/>
        </w:rPr>
        <w:t xml:space="preserve"> investigation).  This can happen even with nouns denoting male humans.  Thus </w:t>
      </w:r>
      <w:proofErr w:type="spellStart"/>
      <w:r w:rsidRPr="00D90455">
        <w:rPr>
          <w:i/>
          <w:szCs w:val="20"/>
        </w:rPr>
        <w:t>etinnu</w:t>
      </w:r>
      <w:proofErr w:type="spellEnd"/>
      <w:r>
        <w:rPr>
          <w:szCs w:val="20"/>
        </w:rPr>
        <w:t xml:space="preserve"> ‘master builder’ is attested in a morphologically feminine plural </w:t>
      </w:r>
      <w:proofErr w:type="spellStart"/>
      <w:r w:rsidRPr="005C1C8F">
        <w:rPr>
          <w:szCs w:val="20"/>
          <w:vertAlign w:val="superscript"/>
        </w:rPr>
        <w:t>lú</w:t>
      </w:r>
      <w:r w:rsidRPr="005C1C8F">
        <w:rPr>
          <w:i/>
          <w:szCs w:val="20"/>
        </w:rPr>
        <w:t>e</w:t>
      </w:r>
      <w:proofErr w:type="spellEnd"/>
      <w:r w:rsidRPr="005C1C8F">
        <w:rPr>
          <w:i/>
          <w:szCs w:val="20"/>
        </w:rPr>
        <w:t>-tin-</w:t>
      </w:r>
      <w:proofErr w:type="spellStart"/>
      <w:r w:rsidRPr="005C1C8F">
        <w:rPr>
          <w:i/>
          <w:szCs w:val="20"/>
        </w:rPr>
        <w:t>na</w:t>
      </w:r>
      <w:proofErr w:type="spellEnd"/>
      <w:r w:rsidRPr="005C1C8F">
        <w:rPr>
          <w:i/>
          <w:szCs w:val="20"/>
        </w:rPr>
        <w:t>-</w:t>
      </w:r>
      <w:proofErr w:type="spellStart"/>
      <w:r w:rsidRPr="005C1C8F">
        <w:rPr>
          <w:i/>
          <w:szCs w:val="20"/>
        </w:rPr>
        <w:t>ti</w:t>
      </w:r>
      <w:proofErr w:type="spellEnd"/>
      <w:r>
        <w:rPr>
          <w:szCs w:val="20"/>
        </w:rPr>
        <w:t xml:space="preserve"> (SAA I 138: 13),</w:t>
      </w:r>
      <w:r>
        <w:rPr>
          <w:rStyle w:val="FootnoteReference"/>
          <w:szCs w:val="20"/>
        </w:rPr>
        <w:footnoteReference w:id="36"/>
      </w:r>
      <w:r>
        <w:rPr>
          <w:szCs w:val="20"/>
        </w:rPr>
        <w:t xml:space="preserve"> which is virtually certain to mean ‘male master builders’, despite its feminine morphology.  The same applies to </w:t>
      </w:r>
      <w:proofErr w:type="spellStart"/>
      <w:r w:rsidRPr="005C1C8F">
        <w:rPr>
          <w:i/>
          <w:szCs w:val="20"/>
        </w:rPr>
        <w:t>hazannu</w:t>
      </w:r>
      <w:proofErr w:type="spellEnd"/>
      <w:r w:rsidRPr="005C1C8F">
        <w:rPr>
          <w:i/>
          <w:szCs w:val="20"/>
        </w:rPr>
        <w:t xml:space="preserve"> </w:t>
      </w:r>
      <w:r>
        <w:rPr>
          <w:szCs w:val="20"/>
        </w:rPr>
        <w:t>‘mayor’:</w:t>
      </w:r>
    </w:p>
    <w:p w14:paraId="5CE5E949" w14:textId="77777777" w:rsidR="00FF1FF8" w:rsidRDefault="00FF1FF8" w:rsidP="00FF1FF8">
      <w:pPr>
        <w:ind w:firstLine="720"/>
        <w:rPr>
          <w:szCs w:val="20"/>
        </w:rPr>
      </w:pPr>
    </w:p>
    <w:p w14:paraId="7B337307" w14:textId="77777777" w:rsidR="00FF1FF8" w:rsidRDefault="00FF1FF8" w:rsidP="00FF1FF8">
      <w:pPr>
        <w:ind w:firstLine="720"/>
        <w:rPr>
          <w:szCs w:val="20"/>
        </w:rPr>
      </w:pPr>
      <w:r w:rsidRPr="005C1C8F">
        <w:rPr>
          <w:i/>
          <w:szCs w:val="20"/>
        </w:rPr>
        <w:t xml:space="preserve">ana </w:t>
      </w:r>
      <w:proofErr w:type="spellStart"/>
      <w:r>
        <w:rPr>
          <w:szCs w:val="20"/>
          <w:vertAlign w:val="superscript"/>
        </w:rPr>
        <w:t>lú</w:t>
      </w:r>
      <w:proofErr w:type="spellEnd"/>
      <w:r>
        <w:rPr>
          <w:szCs w:val="20"/>
          <w:vertAlign w:val="superscript"/>
        </w:rPr>
        <w:t>*</w:t>
      </w:r>
      <w:r w:rsidRPr="005C1C8F">
        <w:rPr>
          <w:i/>
          <w:szCs w:val="20"/>
        </w:rPr>
        <w:t>ha-za-</w:t>
      </w:r>
      <w:proofErr w:type="spellStart"/>
      <w:r w:rsidRPr="005C1C8F">
        <w:rPr>
          <w:i/>
          <w:szCs w:val="20"/>
        </w:rPr>
        <w:t>na</w:t>
      </w:r>
      <w:proofErr w:type="spellEnd"/>
      <w:r w:rsidRPr="005C1C8F">
        <w:rPr>
          <w:i/>
          <w:szCs w:val="20"/>
        </w:rPr>
        <w:t>-</w:t>
      </w:r>
      <w:proofErr w:type="spellStart"/>
      <w:r w:rsidRPr="005C1C8F">
        <w:rPr>
          <w:i/>
          <w:szCs w:val="20"/>
        </w:rPr>
        <w:t>te</w:t>
      </w:r>
      <w:proofErr w:type="spellEnd"/>
      <w:r w:rsidRPr="005C1C8F">
        <w:rPr>
          <w:i/>
          <w:szCs w:val="20"/>
        </w:rPr>
        <w:t xml:space="preserve"> ana </w:t>
      </w:r>
      <w:proofErr w:type="spellStart"/>
      <w:r w:rsidRPr="005C1C8F">
        <w:rPr>
          <w:i/>
          <w:szCs w:val="20"/>
        </w:rPr>
        <w:t>urāsī</w:t>
      </w:r>
      <w:proofErr w:type="spellEnd"/>
      <w:r w:rsidRPr="005C1C8F">
        <w:rPr>
          <w:i/>
          <w:szCs w:val="20"/>
        </w:rPr>
        <w:t xml:space="preserve"> </w:t>
      </w:r>
      <w:proofErr w:type="spellStart"/>
      <w:r w:rsidRPr="005C1C8F">
        <w:rPr>
          <w:i/>
          <w:szCs w:val="20"/>
        </w:rPr>
        <w:t>šībūte</w:t>
      </w:r>
      <w:proofErr w:type="spellEnd"/>
      <w:r w:rsidRPr="005C1C8F">
        <w:rPr>
          <w:i/>
          <w:szCs w:val="20"/>
        </w:rPr>
        <w:t xml:space="preserve"> </w:t>
      </w:r>
      <w:proofErr w:type="spellStart"/>
      <w:r w:rsidRPr="005C1C8F">
        <w:rPr>
          <w:i/>
          <w:szCs w:val="20"/>
        </w:rPr>
        <w:t>assa’al</w:t>
      </w:r>
      <w:proofErr w:type="spellEnd"/>
    </w:p>
    <w:p w14:paraId="7FD0C7C1" w14:textId="77777777" w:rsidR="00FF1FF8" w:rsidRDefault="00FF1FF8" w:rsidP="00FF1FF8">
      <w:pPr>
        <w:ind w:firstLine="720"/>
        <w:rPr>
          <w:szCs w:val="20"/>
        </w:rPr>
      </w:pPr>
      <w:r>
        <w:rPr>
          <w:szCs w:val="20"/>
        </w:rPr>
        <w:t xml:space="preserve">I consulted the mayors, </w:t>
      </w:r>
      <w:proofErr w:type="gramStart"/>
      <w:r>
        <w:rPr>
          <w:szCs w:val="20"/>
        </w:rPr>
        <w:t>masons</w:t>
      </w:r>
      <w:proofErr w:type="gramEnd"/>
      <w:r>
        <w:rPr>
          <w:szCs w:val="20"/>
        </w:rPr>
        <w:t xml:space="preserve"> and elders.</w:t>
      </w:r>
    </w:p>
    <w:p w14:paraId="078C2CD4" w14:textId="549AFE97" w:rsidR="00FF1FF8" w:rsidRPr="005C1C8F" w:rsidRDefault="00D6645F" w:rsidP="00FF1FF8">
      <w:pPr>
        <w:ind w:firstLine="720"/>
        <w:rPr>
          <w:szCs w:val="20"/>
        </w:rPr>
      </w:pPr>
      <w:r w:rsidRPr="009F508C">
        <w:t xml:space="preserve">Ex. </w:t>
      </w:r>
      <w:r w:rsidRPr="009F508C">
        <w:fldChar w:fldCharType="begin"/>
      </w:r>
      <w:r w:rsidRPr="009F508C">
        <w:instrText xml:space="preserve"> AUTONUM </w:instrText>
      </w:r>
      <w:r w:rsidRPr="009F508C">
        <w:fldChar w:fldCharType="end"/>
      </w:r>
      <w:r>
        <w:t xml:space="preserve"> </w:t>
      </w:r>
      <w:r w:rsidR="00FF1FF8">
        <w:rPr>
          <w:szCs w:val="20"/>
        </w:rPr>
        <w:t>(SAA I 77: 12-14)</w:t>
      </w:r>
      <w:r w:rsidR="00FF1FF8">
        <w:rPr>
          <w:rStyle w:val="FootnoteReference"/>
          <w:szCs w:val="20"/>
        </w:rPr>
        <w:footnoteReference w:id="37"/>
      </w:r>
    </w:p>
    <w:p w14:paraId="27A08248" w14:textId="77777777" w:rsidR="00FF1FF8" w:rsidRDefault="00FF1FF8" w:rsidP="00FF1FF8">
      <w:pPr>
        <w:rPr>
          <w:szCs w:val="20"/>
        </w:rPr>
      </w:pPr>
    </w:p>
    <w:p w14:paraId="53B2BFA6" w14:textId="77777777" w:rsidR="00FF1FF8" w:rsidRDefault="00FF1FF8" w:rsidP="00FF1FF8">
      <w:pPr>
        <w:rPr>
          <w:szCs w:val="20"/>
        </w:rPr>
      </w:pPr>
      <w:r>
        <w:rPr>
          <w:szCs w:val="20"/>
        </w:rPr>
        <w:t>Here too, it is virtually certain that male mayors are meant.</w:t>
      </w:r>
    </w:p>
    <w:p w14:paraId="5A193075" w14:textId="77777777" w:rsidR="00FF1FF8" w:rsidRDefault="00FF1FF8" w:rsidP="00FF1FF8">
      <w:pPr>
        <w:ind w:firstLine="720"/>
        <w:rPr>
          <w:szCs w:val="20"/>
        </w:rPr>
      </w:pPr>
      <w:r>
        <w:rPr>
          <w:szCs w:val="20"/>
        </w:rPr>
        <w:t xml:space="preserve"> Therefore,</w:t>
      </w:r>
      <w:r w:rsidRPr="00291524">
        <w:rPr>
          <w:szCs w:val="20"/>
        </w:rPr>
        <w:t xml:space="preserve"> on Neo-Assyrian manuscripts</w:t>
      </w:r>
      <w:r>
        <w:rPr>
          <w:szCs w:val="20"/>
        </w:rPr>
        <w:t>,</w:t>
      </w:r>
      <w:r w:rsidRPr="00291524">
        <w:rPr>
          <w:szCs w:val="20"/>
        </w:rPr>
        <w:t xml:space="preserve"> </w:t>
      </w:r>
      <w:proofErr w:type="spellStart"/>
      <w:r w:rsidRPr="00291524">
        <w:rPr>
          <w:i/>
          <w:szCs w:val="20"/>
        </w:rPr>
        <w:t>l</w:t>
      </w:r>
      <w:r>
        <w:rPr>
          <w:i/>
          <w:szCs w:val="20"/>
        </w:rPr>
        <w:t>i</w:t>
      </w:r>
      <w:r w:rsidRPr="00291524">
        <w:rPr>
          <w:i/>
          <w:szCs w:val="20"/>
        </w:rPr>
        <w:t>lâti</w:t>
      </w:r>
      <w:proofErr w:type="spellEnd"/>
      <w:r w:rsidRPr="00291524">
        <w:rPr>
          <w:szCs w:val="20"/>
        </w:rPr>
        <w:t xml:space="preserve"> might be</w:t>
      </w:r>
      <w:r>
        <w:rPr>
          <w:szCs w:val="20"/>
        </w:rPr>
        <w:t xml:space="preserve"> </w:t>
      </w:r>
      <w:r w:rsidRPr="00291524">
        <w:rPr>
          <w:szCs w:val="20"/>
        </w:rPr>
        <w:t xml:space="preserve">the plural of </w:t>
      </w:r>
      <w:r>
        <w:rPr>
          <w:szCs w:val="20"/>
        </w:rPr>
        <w:t xml:space="preserve">masculine </w:t>
      </w:r>
      <w:proofErr w:type="spellStart"/>
      <w:r w:rsidRPr="00291524">
        <w:rPr>
          <w:i/>
          <w:szCs w:val="20"/>
        </w:rPr>
        <w:t>lilû</w:t>
      </w:r>
      <w:proofErr w:type="spellEnd"/>
      <w:r w:rsidRPr="00291524">
        <w:rPr>
          <w:szCs w:val="20"/>
        </w:rPr>
        <w:t xml:space="preserve">. </w:t>
      </w:r>
      <w:r>
        <w:rPr>
          <w:szCs w:val="20"/>
        </w:rPr>
        <w:t xml:space="preserve"> One could object that, since Neo-Assyrian society did not (as far as we know) have female master builders or female mayors, the forms </w:t>
      </w:r>
      <w:proofErr w:type="spellStart"/>
      <w:r w:rsidRPr="005C1C8F">
        <w:rPr>
          <w:i/>
          <w:szCs w:val="20"/>
        </w:rPr>
        <w:t>etinnāte</w:t>
      </w:r>
      <w:proofErr w:type="spellEnd"/>
      <w:r w:rsidRPr="005C1C8F">
        <w:rPr>
          <w:i/>
          <w:szCs w:val="20"/>
        </w:rPr>
        <w:t xml:space="preserve"> </w:t>
      </w:r>
      <w:r>
        <w:rPr>
          <w:szCs w:val="20"/>
        </w:rPr>
        <w:t xml:space="preserve">and </w:t>
      </w:r>
      <w:proofErr w:type="spellStart"/>
      <w:r w:rsidRPr="005C1C8F">
        <w:rPr>
          <w:i/>
          <w:szCs w:val="20"/>
        </w:rPr>
        <w:t>hazannāte</w:t>
      </w:r>
      <w:proofErr w:type="spellEnd"/>
      <w:r w:rsidRPr="005C1C8F">
        <w:rPr>
          <w:i/>
          <w:szCs w:val="20"/>
        </w:rPr>
        <w:t xml:space="preserve"> </w:t>
      </w:r>
      <w:r>
        <w:rPr>
          <w:szCs w:val="20"/>
        </w:rPr>
        <w:t>are unambiguous (</w:t>
      </w:r>
      <w:proofErr w:type="gramStart"/>
      <w:r>
        <w:rPr>
          <w:szCs w:val="20"/>
        </w:rPr>
        <w:t>i.e.</w:t>
      </w:r>
      <w:proofErr w:type="gramEnd"/>
      <w:r>
        <w:rPr>
          <w:szCs w:val="20"/>
        </w:rPr>
        <w:t xml:space="preserve"> they can refer only to men), whereas if </w:t>
      </w:r>
      <w:proofErr w:type="spellStart"/>
      <w:r w:rsidRPr="005C1C8F">
        <w:rPr>
          <w:i/>
          <w:szCs w:val="20"/>
        </w:rPr>
        <w:t>lilâti</w:t>
      </w:r>
      <w:proofErr w:type="spellEnd"/>
      <w:r>
        <w:rPr>
          <w:szCs w:val="20"/>
        </w:rPr>
        <w:t xml:space="preserve"> were used to denote male demons, it would end up being ambiguous.  However, this is not a serious obstacle, because when the gender of </w:t>
      </w:r>
      <w:proofErr w:type="spellStart"/>
      <w:r>
        <w:rPr>
          <w:szCs w:val="20"/>
        </w:rPr>
        <w:t>líl</w:t>
      </w:r>
      <w:proofErr w:type="spellEnd"/>
      <w:r>
        <w:rPr>
          <w:szCs w:val="20"/>
        </w:rPr>
        <w:t>-demons is important, this is obvious from the context.</w:t>
      </w:r>
    </w:p>
    <w:p w14:paraId="1A1E2EBE" w14:textId="19028868" w:rsidR="00FF1FF8" w:rsidRPr="00FF1FF8" w:rsidRDefault="00FF1FF8" w:rsidP="00FF1FF8">
      <w:pPr>
        <w:ind w:firstLine="720"/>
        <w:rPr>
          <w:szCs w:val="20"/>
        </w:rPr>
      </w:pPr>
      <w:r>
        <w:rPr>
          <w:szCs w:val="20"/>
        </w:rPr>
        <w:t xml:space="preserve">An effect of this is that, when </w:t>
      </w:r>
      <w:r w:rsidR="00D6645F">
        <w:rPr>
          <w:szCs w:val="20"/>
        </w:rPr>
        <w:t>(as I have argued elsewhere)</w:t>
      </w:r>
      <w:r w:rsidR="00D6645F">
        <w:rPr>
          <w:rStyle w:val="FootnoteReference"/>
          <w:szCs w:val="20"/>
        </w:rPr>
        <w:footnoteReference w:id="38"/>
      </w:r>
      <w:r w:rsidR="00D6645F">
        <w:rPr>
          <w:szCs w:val="20"/>
        </w:rPr>
        <w:t xml:space="preserve"> </w:t>
      </w:r>
      <w:proofErr w:type="spellStart"/>
      <w:r>
        <w:rPr>
          <w:szCs w:val="20"/>
        </w:rPr>
        <w:t>Ea</w:t>
      </w:r>
      <w:proofErr w:type="spellEnd"/>
      <w:r>
        <w:rPr>
          <w:szCs w:val="20"/>
        </w:rPr>
        <w:t xml:space="preserve"> uses </w:t>
      </w:r>
      <w:proofErr w:type="spellStart"/>
      <w:r w:rsidRPr="00FF1FF8">
        <w:rPr>
          <w:i/>
          <w:iCs/>
          <w:szCs w:val="20"/>
        </w:rPr>
        <w:t>lilâti</w:t>
      </w:r>
      <w:proofErr w:type="spellEnd"/>
      <w:r>
        <w:rPr>
          <w:szCs w:val="20"/>
        </w:rPr>
        <w:t xml:space="preserve"> to refer to demons in his ambivalent oracle in the </w:t>
      </w:r>
      <w:proofErr w:type="spellStart"/>
      <w:r w:rsidRPr="00FF1FF8">
        <w:rPr>
          <w:i/>
          <w:iCs/>
          <w:szCs w:val="20"/>
        </w:rPr>
        <w:t>Gilgameš</w:t>
      </w:r>
      <w:proofErr w:type="spellEnd"/>
      <w:r>
        <w:rPr>
          <w:szCs w:val="20"/>
        </w:rPr>
        <w:t xml:space="preserve"> Flood story, Assyrians would not necessarily have understood him as referring to </w:t>
      </w:r>
      <w:r w:rsidR="00D6645F">
        <w:rPr>
          <w:szCs w:val="20"/>
        </w:rPr>
        <w:t xml:space="preserve">specifically </w:t>
      </w:r>
      <w:r>
        <w:rPr>
          <w:szCs w:val="20"/>
        </w:rPr>
        <w:t xml:space="preserve">female </w:t>
      </w:r>
      <w:proofErr w:type="spellStart"/>
      <w:r>
        <w:rPr>
          <w:szCs w:val="20"/>
        </w:rPr>
        <w:t>líl</w:t>
      </w:r>
      <w:proofErr w:type="spellEnd"/>
      <w:r>
        <w:rPr>
          <w:szCs w:val="20"/>
        </w:rPr>
        <w:t>-demon</w:t>
      </w:r>
      <w:r w:rsidR="00D6645F">
        <w:rPr>
          <w:szCs w:val="20"/>
        </w:rPr>
        <w:t>s</w:t>
      </w:r>
      <w:r>
        <w:rPr>
          <w:szCs w:val="20"/>
        </w:rPr>
        <w:t xml:space="preserve">, but to </w:t>
      </w:r>
      <w:proofErr w:type="spellStart"/>
      <w:r>
        <w:rPr>
          <w:szCs w:val="20"/>
        </w:rPr>
        <w:t>líl</w:t>
      </w:r>
      <w:proofErr w:type="spellEnd"/>
      <w:r>
        <w:rPr>
          <w:szCs w:val="20"/>
        </w:rPr>
        <w:t>-demons generally.</w:t>
      </w:r>
      <w:r>
        <w:rPr>
          <w:rStyle w:val="FootnoteReference"/>
          <w:szCs w:val="20"/>
        </w:rPr>
        <w:footnoteReference w:id="39"/>
      </w:r>
    </w:p>
    <w:p w14:paraId="2BADC98F" w14:textId="20DEA8BA" w:rsidR="00FF1FF8" w:rsidRDefault="00FF1FF8" w:rsidP="00D56272"/>
    <w:p w14:paraId="18FBA2FE" w14:textId="3E38B945" w:rsidR="00256BEC" w:rsidRPr="00256BEC" w:rsidRDefault="00256BEC" w:rsidP="00D56272">
      <w:pPr>
        <w:rPr>
          <w:b/>
          <w:bCs/>
        </w:rPr>
      </w:pPr>
      <w:r w:rsidRPr="00256BEC">
        <w:rPr>
          <w:b/>
          <w:bCs/>
        </w:rPr>
        <w:t>The question of plurality</w:t>
      </w:r>
    </w:p>
    <w:p w14:paraId="47F4FDB5" w14:textId="4430FF7C" w:rsidR="00256BEC" w:rsidRDefault="00256BEC" w:rsidP="00D56272"/>
    <w:p w14:paraId="01AF72FD" w14:textId="68B315CE" w:rsidR="00256BEC" w:rsidRDefault="00256BEC" w:rsidP="00256BEC">
      <w:r>
        <w:t xml:space="preserve">The </w:t>
      </w:r>
      <w:r>
        <w:t xml:space="preserve">above </w:t>
      </w:r>
      <w:r>
        <w:t xml:space="preserve">interpretation of </w:t>
      </w:r>
      <w:proofErr w:type="spellStart"/>
      <w:r w:rsidRPr="002E444A">
        <w:rPr>
          <w:i/>
        </w:rPr>
        <w:t>ina</w:t>
      </w:r>
      <w:proofErr w:type="spellEnd"/>
      <w:r w:rsidRPr="002E444A">
        <w:rPr>
          <w:i/>
        </w:rPr>
        <w:t xml:space="preserve"> </w:t>
      </w:r>
      <w:proofErr w:type="spellStart"/>
      <w:r>
        <w:rPr>
          <w:i/>
        </w:rPr>
        <w:t>lilâ</w:t>
      </w:r>
      <w:r w:rsidRPr="002E444A">
        <w:rPr>
          <w:i/>
        </w:rPr>
        <w:t>ti</w:t>
      </w:r>
      <w:proofErr w:type="spellEnd"/>
      <w:r w:rsidRPr="002E444A">
        <w:rPr>
          <w:i/>
        </w:rPr>
        <w:t xml:space="preserve"> </w:t>
      </w:r>
      <w:r>
        <w:t xml:space="preserve">presupposes that one </w:t>
      </w:r>
      <w:r w:rsidRPr="00256BEC">
        <w:rPr>
          <w:i/>
          <w:iCs/>
        </w:rPr>
        <w:t>can</w:t>
      </w:r>
      <w:r>
        <w:t xml:space="preserve"> have multiple </w:t>
      </w:r>
      <w:proofErr w:type="spellStart"/>
      <w:r w:rsidRPr="002E444A">
        <w:rPr>
          <w:i/>
        </w:rPr>
        <w:t>lilītu</w:t>
      </w:r>
      <w:proofErr w:type="spellEnd"/>
      <w:r>
        <w:t xml:space="preserve">-demonesses: in other words that </w:t>
      </w:r>
      <w:proofErr w:type="spellStart"/>
      <w:r w:rsidRPr="002E444A">
        <w:rPr>
          <w:i/>
        </w:rPr>
        <w:t>lilītu</w:t>
      </w:r>
      <w:proofErr w:type="spellEnd"/>
      <w:r w:rsidRPr="002E444A">
        <w:rPr>
          <w:i/>
        </w:rPr>
        <w:t xml:space="preserve"> </w:t>
      </w:r>
      <w:r>
        <w:t xml:space="preserve">is not the name of an individual demon (as is the case with </w:t>
      </w:r>
      <w:proofErr w:type="spellStart"/>
      <w:r>
        <w:t>Lamaštu</w:t>
      </w:r>
      <w:proofErr w:type="spellEnd"/>
      <w:r>
        <w:t xml:space="preserve"> or Pazuzu), but rather the label for a </w:t>
      </w:r>
      <w:r w:rsidRPr="006D55B3">
        <w:rPr>
          <w:i/>
        </w:rPr>
        <w:t>type</w:t>
      </w:r>
      <w:r>
        <w:t xml:space="preserve"> of demon.</w:t>
      </w:r>
    </w:p>
    <w:p w14:paraId="42DB11BA" w14:textId="45E5F220" w:rsidR="00256BEC" w:rsidRDefault="00256BEC" w:rsidP="00256BEC">
      <w:pPr>
        <w:ind w:firstLine="720"/>
      </w:pPr>
      <w:r>
        <w:t xml:space="preserve">In </w:t>
      </w:r>
      <w:r w:rsidRPr="002E444A">
        <w:t>Aramaic magic</w:t>
      </w:r>
      <w:r>
        <w:t>,</w:t>
      </w:r>
      <w:r w:rsidRPr="002E444A">
        <w:t xml:space="preserve"> </w:t>
      </w:r>
      <w:r>
        <w:t>f</w:t>
      </w:r>
      <w:r>
        <w:t xml:space="preserve">rom at least the time of the </w:t>
      </w:r>
      <w:r w:rsidRPr="00AC105F">
        <w:rPr>
          <w:i/>
        </w:rPr>
        <w:t xml:space="preserve">Alphabet of Ben Sira </w:t>
      </w:r>
      <w:r>
        <w:t>(8</w:t>
      </w:r>
      <w:r w:rsidRPr="00AC105F">
        <w:rPr>
          <w:vertAlign w:val="superscript"/>
        </w:rPr>
        <w:t>th</w:t>
      </w:r>
      <w:r>
        <w:t>-10</w:t>
      </w:r>
      <w:r w:rsidRPr="00AC105F">
        <w:rPr>
          <w:vertAlign w:val="superscript"/>
        </w:rPr>
        <w:t>th</w:t>
      </w:r>
      <w:r>
        <w:t xml:space="preserve"> centuries AD onwards) there was an original Lilith, the first wife of Adam, who went on to produce a brood of her kind.</w:t>
      </w:r>
      <w:r>
        <w:rPr>
          <w:rStyle w:val="FootnoteReference"/>
        </w:rPr>
        <w:footnoteReference w:id="40"/>
      </w:r>
      <w:r>
        <w:t xml:space="preserve">  </w:t>
      </w:r>
      <w:r w:rsidRPr="002E444A">
        <w:t xml:space="preserve">In discussions of Aramaic magic, </w:t>
      </w:r>
      <w:r>
        <w:t>‘</w:t>
      </w:r>
      <w:proofErr w:type="spellStart"/>
      <w:r>
        <w:t>l</w:t>
      </w:r>
      <w:r w:rsidRPr="002E444A">
        <w:t>ilith</w:t>
      </w:r>
      <w:proofErr w:type="spellEnd"/>
      <w:r>
        <w:t>’</w:t>
      </w:r>
      <w:r w:rsidRPr="002E444A">
        <w:t xml:space="preserve"> is </w:t>
      </w:r>
      <w:r>
        <w:t xml:space="preserve">therefore </w:t>
      </w:r>
      <w:r w:rsidRPr="002E444A">
        <w:t xml:space="preserve">often </w:t>
      </w:r>
      <w:proofErr w:type="spellStart"/>
      <w:r w:rsidRPr="002E444A">
        <w:lastRenderedPageBreak/>
        <w:t>capitalised</w:t>
      </w:r>
      <w:proofErr w:type="spellEnd"/>
      <w:r w:rsidRPr="002E444A">
        <w:t xml:space="preserve">, </w:t>
      </w:r>
      <w:r>
        <w:t xml:space="preserve">as </w:t>
      </w:r>
      <w:r w:rsidRPr="002E444A">
        <w:t>the proper name of an individual demon.</w:t>
      </w:r>
      <w:r>
        <w:rPr>
          <w:rStyle w:val="FootnoteReference"/>
        </w:rPr>
        <w:footnoteReference w:id="41"/>
      </w:r>
      <w:r w:rsidRPr="002E444A">
        <w:t xml:space="preserve"> However, Aramaic magic bowls from Nippur mention plural </w:t>
      </w:r>
      <w:proofErr w:type="spellStart"/>
      <w:r w:rsidRPr="002E444A">
        <w:rPr>
          <w:i/>
        </w:rPr>
        <w:t>lilith</w:t>
      </w:r>
      <w:r w:rsidRPr="002E444A">
        <w:t>s</w:t>
      </w:r>
      <w:proofErr w:type="spellEnd"/>
      <w:r w:rsidRPr="002E444A">
        <w:t>,</w:t>
      </w:r>
      <w:r>
        <w:rPr>
          <w:rStyle w:val="FootnoteReference"/>
        </w:rPr>
        <w:footnoteReference w:id="42"/>
      </w:r>
      <w:r w:rsidRPr="002E444A">
        <w:t xml:space="preserve"> and also envisage </w:t>
      </w:r>
      <w:proofErr w:type="spellStart"/>
      <w:r w:rsidRPr="002E444A">
        <w:rPr>
          <w:i/>
        </w:rPr>
        <w:t>lilith</w:t>
      </w:r>
      <w:r w:rsidRPr="002E444A">
        <w:t>s</w:t>
      </w:r>
      <w:proofErr w:type="spellEnd"/>
      <w:r w:rsidRPr="002E444A">
        <w:t xml:space="preserve"> having names, showing that ‘</w:t>
      </w:r>
      <w:proofErr w:type="spellStart"/>
      <w:r w:rsidRPr="002E444A">
        <w:t>lilith</w:t>
      </w:r>
      <w:proofErr w:type="spellEnd"/>
      <w:r w:rsidRPr="002E444A">
        <w:t>’ is not (or not always) their name.</w:t>
      </w:r>
      <w:r>
        <w:rPr>
          <w:rStyle w:val="FootnoteReference"/>
        </w:rPr>
        <w:footnoteReference w:id="43"/>
      </w:r>
      <w:r>
        <w:t xml:space="preserve">  Whether or not they were all regarded as the brood of an original Lilith, it seems safe to infer that it should often be </w:t>
      </w:r>
      <w:proofErr w:type="spellStart"/>
      <w:r>
        <w:t>uncapitalised</w:t>
      </w:r>
      <w:proofErr w:type="spellEnd"/>
      <w:r>
        <w:t xml:space="preserve">, and understood as a demonic type rather than the name of an individual demon.  In this, they </w:t>
      </w:r>
      <w:r w:rsidR="00BE7F90">
        <w:t xml:space="preserve">may be </w:t>
      </w:r>
      <w:r>
        <w:t xml:space="preserve">preserving the </w:t>
      </w:r>
      <w:r w:rsidR="00BE7F90">
        <w:t xml:space="preserve">Babylonian </w:t>
      </w:r>
      <w:r>
        <w:t>usage.</w:t>
      </w:r>
    </w:p>
    <w:p w14:paraId="058F5F67" w14:textId="77777777" w:rsidR="00BA29AD" w:rsidRDefault="00256BEC" w:rsidP="00256BEC">
      <w:pPr>
        <w:ind w:firstLine="720"/>
      </w:pPr>
      <w:r w:rsidRPr="002E444A">
        <w:t xml:space="preserve">Similarly, it seems clear that </w:t>
      </w:r>
      <w:r w:rsidR="00BE7F90">
        <w:t xml:space="preserve">Babylonian/Assyrian </w:t>
      </w:r>
      <w:proofErr w:type="spellStart"/>
      <w:r w:rsidRPr="002E444A">
        <w:rPr>
          <w:i/>
        </w:rPr>
        <w:t>lilû</w:t>
      </w:r>
      <w:proofErr w:type="spellEnd"/>
      <w:r w:rsidRPr="002E444A">
        <w:rPr>
          <w:i/>
        </w:rPr>
        <w:t xml:space="preserve"> </w:t>
      </w:r>
      <w:r w:rsidRPr="002E444A">
        <w:t xml:space="preserve">and </w:t>
      </w:r>
      <w:proofErr w:type="spellStart"/>
      <w:r w:rsidRPr="002E444A">
        <w:rPr>
          <w:i/>
        </w:rPr>
        <w:t>lilītu</w:t>
      </w:r>
      <w:proofErr w:type="spellEnd"/>
      <w:r w:rsidRPr="002E444A">
        <w:rPr>
          <w:i/>
        </w:rPr>
        <w:t xml:space="preserve"> </w:t>
      </w:r>
      <w:r w:rsidRPr="002E444A">
        <w:t xml:space="preserve">denote a demon </w:t>
      </w:r>
      <w:r w:rsidRPr="002E444A">
        <w:rPr>
          <w:i/>
        </w:rPr>
        <w:t xml:space="preserve">type </w:t>
      </w:r>
      <w:r w:rsidRPr="002E444A">
        <w:t>rather than individual (named) demons</w:t>
      </w:r>
      <w:r>
        <w:t xml:space="preserve"> </w:t>
      </w:r>
      <w:r w:rsidRPr="002E444A">
        <w:t>in Pazuzu incantations</w:t>
      </w:r>
      <w:r>
        <w:t>.  For a start,</w:t>
      </w:r>
      <w:r w:rsidRPr="002E444A">
        <w:t xml:space="preserve"> the plural</w:t>
      </w:r>
      <w:r>
        <w:t xml:space="preserve"> </w:t>
      </w:r>
      <w:proofErr w:type="spellStart"/>
      <w:proofErr w:type="gramStart"/>
      <w:r>
        <w:t>líl.lá</w:t>
      </w:r>
      <w:r>
        <w:rPr>
          <w:vertAlign w:val="superscript"/>
        </w:rPr>
        <w:t>meš</w:t>
      </w:r>
      <w:proofErr w:type="spellEnd"/>
      <w:proofErr w:type="gramEnd"/>
      <w:r w:rsidRPr="002E444A">
        <w:t xml:space="preserve"> </w:t>
      </w:r>
      <w:proofErr w:type="spellStart"/>
      <w:r w:rsidRPr="001B6763">
        <w:rPr>
          <w:i/>
        </w:rPr>
        <w:t>lem</w:t>
      </w:r>
      <w:proofErr w:type="spellEnd"/>
      <w:r w:rsidRPr="001B6763">
        <w:rPr>
          <w:i/>
        </w:rPr>
        <w:t>-nu-</w:t>
      </w:r>
      <w:proofErr w:type="spellStart"/>
      <w:r w:rsidRPr="001B6763">
        <w:rPr>
          <w:i/>
        </w:rPr>
        <w:t>ti</w:t>
      </w:r>
      <w:proofErr w:type="spellEnd"/>
      <w:r>
        <w:t xml:space="preserve"> </w:t>
      </w:r>
      <w:r w:rsidR="00BA29AD">
        <w:t xml:space="preserve">‘evil </w:t>
      </w:r>
      <w:proofErr w:type="spellStart"/>
      <w:r w:rsidR="00BA29AD" w:rsidRPr="00BA29AD">
        <w:rPr>
          <w:i/>
          <w:iCs/>
        </w:rPr>
        <w:t>lilû</w:t>
      </w:r>
      <w:r w:rsidR="00BA29AD">
        <w:t>s</w:t>
      </w:r>
      <w:proofErr w:type="spellEnd"/>
      <w:r w:rsidR="00BA29AD">
        <w:t xml:space="preserve">’ </w:t>
      </w:r>
      <w:r w:rsidRPr="002E444A">
        <w:t xml:space="preserve">is </w:t>
      </w:r>
      <w:r w:rsidR="00BA29AD">
        <w:t>attested</w:t>
      </w:r>
      <w:r>
        <w:t>.</w:t>
      </w:r>
      <w:r>
        <w:rPr>
          <w:rStyle w:val="FootnoteReference"/>
        </w:rPr>
        <w:footnoteReference w:id="44"/>
      </w:r>
      <w:r>
        <w:t xml:space="preserve">  Frans </w:t>
      </w:r>
      <w:proofErr w:type="spellStart"/>
      <w:r>
        <w:t>Wiggermann</w:t>
      </w:r>
      <w:proofErr w:type="spellEnd"/>
      <w:r>
        <w:t xml:space="preserve"> notes </w:t>
      </w:r>
      <w:r w:rsidRPr="002E444A">
        <w:t xml:space="preserve">that the plural occurs </w:t>
      </w:r>
      <w:r w:rsidRPr="002E444A">
        <w:rPr>
          <w:i/>
        </w:rPr>
        <w:t xml:space="preserve">only </w:t>
      </w:r>
      <w:r w:rsidRPr="002E444A">
        <w:t>in Pazuzu incantations</w:t>
      </w:r>
      <w:r>
        <w:t>,</w:t>
      </w:r>
      <w:r>
        <w:rPr>
          <w:rStyle w:val="FootnoteReference"/>
        </w:rPr>
        <w:footnoteReference w:id="45"/>
      </w:r>
      <w:r>
        <w:t xml:space="preserve"> but</w:t>
      </w:r>
      <w:r w:rsidRPr="002E444A">
        <w:t xml:space="preserve"> </w:t>
      </w:r>
      <w:r>
        <w:t>t</w:t>
      </w:r>
      <w:r w:rsidRPr="002E444A">
        <w:t xml:space="preserve">his </w:t>
      </w:r>
      <w:r>
        <w:t>is</w:t>
      </w:r>
      <w:r w:rsidRPr="002E444A">
        <w:t xml:space="preserve"> </w:t>
      </w:r>
      <w:r w:rsidR="00BA29AD">
        <w:t xml:space="preserve">as </w:t>
      </w:r>
      <w:r w:rsidRPr="002E444A">
        <w:t xml:space="preserve">likely to derive from idioms of usage </w:t>
      </w:r>
      <w:r w:rsidR="00BA29AD">
        <w:t xml:space="preserve">as </w:t>
      </w:r>
      <w:r w:rsidRPr="002E444A">
        <w:t xml:space="preserve">than from </w:t>
      </w:r>
      <w:r w:rsidR="00BA29AD">
        <w:t xml:space="preserve">varying </w:t>
      </w:r>
      <w:r>
        <w:t xml:space="preserve">perceptions of </w:t>
      </w:r>
      <w:proofErr w:type="spellStart"/>
      <w:r w:rsidRPr="002E444A">
        <w:t>individualisation</w:t>
      </w:r>
      <w:proofErr w:type="spellEnd"/>
      <w:r w:rsidRPr="002E444A">
        <w:t xml:space="preserve"> </w:t>
      </w:r>
      <w:r w:rsidR="00BA29AD">
        <w:t xml:space="preserve">across </w:t>
      </w:r>
      <w:r w:rsidRPr="002E444A">
        <w:t>source</w:t>
      </w:r>
      <w:r w:rsidR="00BA29AD">
        <w:t xml:space="preserve"> types</w:t>
      </w:r>
      <w:r w:rsidRPr="002E444A">
        <w:t>.</w:t>
      </w:r>
      <w:r>
        <w:t xml:space="preserve">  Secondly,</w:t>
      </w:r>
      <w:r w:rsidRPr="002E444A">
        <w:t xml:space="preserve"> </w:t>
      </w:r>
      <w:proofErr w:type="spellStart"/>
      <w:r>
        <w:t>líl</w:t>
      </w:r>
      <w:proofErr w:type="spellEnd"/>
      <w:r>
        <w:t xml:space="preserve">-demons having a </w:t>
      </w:r>
      <w:r w:rsidRPr="002E444A">
        <w:t xml:space="preserve">‘king’ (§ </w:t>
      </w:r>
      <w:r>
        <w:fldChar w:fldCharType="begin"/>
      </w:r>
      <w:r>
        <w:instrText xml:space="preserve"> REF _Ref380957967 \r \h </w:instrText>
      </w:r>
      <w:r>
        <w:fldChar w:fldCharType="separate"/>
      </w:r>
      <w:r>
        <w:t>20</w:t>
      </w:r>
      <w:r>
        <w:fldChar w:fldCharType="end"/>
      </w:r>
      <w:r>
        <w:t xml:space="preserve"> below</w:t>
      </w:r>
      <w:r w:rsidRPr="002E444A">
        <w:t>) suggests a large group.</w:t>
      </w:r>
    </w:p>
    <w:p w14:paraId="26C5FF9B" w14:textId="684BAD62" w:rsidR="00256BEC" w:rsidRDefault="00256BEC" w:rsidP="00256BEC">
      <w:pPr>
        <w:ind w:firstLine="720"/>
      </w:pPr>
      <w:r w:rsidRPr="002E444A">
        <w:t xml:space="preserve">Of course, </w:t>
      </w:r>
      <w:proofErr w:type="spellStart"/>
      <w:r w:rsidRPr="002E444A">
        <w:rPr>
          <w:i/>
        </w:rPr>
        <w:t>lilītu</w:t>
      </w:r>
      <w:proofErr w:type="spellEnd"/>
      <w:r w:rsidRPr="002E444A">
        <w:rPr>
          <w:i/>
        </w:rPr>
        <w:t xml:space="preserve"> </w:t>
      </w:r>
      <w:r w:rsidRPr="002E444A">
        <w:t xml:space="preserve">could have originated as a personal name and subsequently become a type (in the same way that </w:t>
      </w:r>
      <w:proofErr w:type="spellStart"/>
      <w:r w:rsidRPr="002E444A">
        <w:t>Ištar</w:t>
      </w:r>
      <w:proofErr w:type="spellEnd"/>
      <w:r w:rsidRPr="002E444A">
        <w:t xml:space="preserve"> became a word for ‘goddess’),</w:t>
      </w:r>
      <w:r>
        <w:rPr>
          <w:rStyle w:val="FootnoteReference"/>
        </w:rPr>
        <w:footnoteReference w:id="46"/>
      </w:r>
      <w:r w:rsidRPr="002E444A">
        <w:t xml:space="preserve"> but at present there is no evidence for this</w:t>
      </w:r>
      <w:r w:rsidR="00BA29AD">
        <w:t>.</w:t>
      </w:r>
    </w:p>
    <w:p w14:paraId="2ECD41C9" w14:textId="77777777" w:rsidR="00256BEC" w:rsidRDefault="00256BEC" w:rsidP="00D56272"/>
    <w:p w14:paraId="579C35A8" w14:textId="1C8BD8F2" w:rsidR="00D56272" w:rsidRPr="00FF1FF8" w:rsidRDefault="00D56272" w:rsidP="00D56272">
      <w:pPr>
        <w:rPr>
          <w:b/>
          <w:bCs/>
        </w:rPr>
      </w:pPr>
      <w:r w:rsidRPr="00FF1FF8">
        <w:rPr>
          <w:b/>
          <w:bCs/>
        </w:rPr>
        <w:t>References</w:t>
      </w:r>
    </w:p>
    <w:p w14:paraId="582A0BD6" w14:textId="77777777" w:rsidR="00D56272" w:rsidRDefault="00D56272"/>
    <w:p w14:paraId="7F492D77" w14:textId="77777777" w:rsidR="00BA29AD" w:rsidRPr="00BA29AD" w:rsidRDefault="00D56272" w:rsidP="00BA29AD">
      <w:pPr>
        <w:pStyle w:val="EndNoteBibliography"/>
        <w:ind w:left="720" w:hanging="720"/>
        <w:rPr>
          <w:noProof/>
        </w:rPr>
      </w:pPr>
      <w:r>
        <w:fldChar w:fldCharType="begin"/>
      </w:r>
      <w:r>
        <w:instrText xml:space="preserve"> ADDIN EN.REFLIST </w:instrText>
      </w:r>
      <w:r>
        <w:fldChar w:fldCharType="separate"/>
      </w:r>
      <w:r w:rsidR="00BA29AD" w:rsidRPr="00BA29AD">
        <w:rPr>
          <w:noProof/>
        </w:rPr>
        <w:t xml:space="preserve">Alhawary, M. T. 2011. </w:t>
      </w:r>
      <w:r w:rsidR="00BA29AD" w:rsidRPr="00BA29AD">
        <w:rPr>
          <w:i/>
          <w:noProof/>
        </w:rPr>
        <w:t>Modern Standard Arabic Grammar: A Learner's Guide</w:t>
      </w:r>
      <w:r w:rsidR="00BA29AD" w:rsidRPr="00BA29AD">
        <w:rPr>
          <w:noProof/>
        </w:rPr>
        <w:t>. Chichester: Wiley-Blackwell</w:t>
      </w:r>
    </w:p>
    <w:p w14:paraId="7C1505BE" w14:textId="77777777" w:rsidR="00BA29AD" w:rsidRPr="00BA29AD" w:rsidRDefault="00BA29AD" w:rsidP="00BA29AD">
      <w:pPr>
        <w:pStyle w:val="EndNoteBibliography"/>
        <w:ind w:left="720" w:hanging="720"/>
        <w:rPr>
          <w:noProof/>
        </w:rPr>
      </w:pPr>
      <w:r w:rsidRPr="00BA29AD">
        <w:rPr>
          <w:noProof/>
        </w:rPr>
        <w:t xml:space="preserve">Borger, R. 1987. “Pazuzu”, in F. Rochberg-Halton (ed.), </w:t>
      </w:r>
      <w:r w:rsidRPr="00BA29AD">
        <w:rPr>
          <w:i/>
          <w:noProof/>
        </w:rPr>
        <w:t>Language, Literature and History: philological studies presented to Erica Reiner</w:t>
      </w:r>
      <w:r w:rsidRPr="00BA29AD">
        <w:rPr>
          <w:noProof/>
        </w:rPr>
        <w:t xml:space="preserve"> (AOS 67). New Haven, CT: American Oriental Society, 15-32</w:t>
      </w:r>
    </w:p>
    <w:p w14:paraId="4AED003C" w14:textId="77777777" w:rsidR="00BA29AD" w:rsidRPr="00BA29AD" w:rsidRDefault="00BA29AD" w:rsidP="00BA29AD">
      <w:pPr>
        <w:pStyle w:val="EndNoteBibliography"/>
        <w:ind w:left="720" w:hanging="720"/>
        <w:rPr>
          <w:noProof/>
        </w:rPr>
      </w:pPr>
      <w:r w:rsidRPr="00BA29AD">
        <w:rPr>
          <w:noProof/>
        </w:rPr>
        <w:t xml:space="preserve">Bottéro, J. 1974-1975. “Antiquités assyro-babyloniennes”, </w:t>
      </w:r>
      <w:r w:rsidRPr="00BA29AD">
        <w:rPr>
          <w:i/>
          <w:noProof/>
        </w:rPr>
        <w:t>Annuaire EPHE. 4e section</w:t>
      </w:r>
      <w:r w:rsidRPr="00BA29AD">
        <w:rPr>
          <w:noProof/>
        </w:rPr>
        <w:t xml:space="preserve"> 1975, 95-144</w:t>
      </w:r>
    </w:p>
    <w:p w14:paraId="7CBFFDA2" w14:textId="77777777" w:rsidR="00BA29AD" w:rsidRPr="00BA29AD" w:rsidRDefault="00BA29AD" w:rsidP="00BA29AD">
      <w:pPr>
        <w:pStyle w:val="EndNoteBibliography"/>
        <w:ind w:left="720" w:hanging="720"/>
        <w:rPr>
          <w:noProof/>
        </w:rPr>
      </w:pPr>
      <w:r w:rsidRPr="00BA29AD">
        <w:rPr>
          <w:noProof/>
        </w:rPr>
        <w:t xml:space="preserve">Butler, S. A. L. 1998. </w:t>
      </w:r>
      <w:r w:rsidRPr="00BA29AD">
        <w:rPr>
          <w:i/>
          <w:noProof/>
        </w:rPr>
        <w:t>Mesopotamian Conceptions of Dreams and Dream Rituals</w:t>
      </w:r>
      <w:r w:rsidRPr="00BA29AD">
        <w:rPr>
          <w:noProof/>
        </w:rPr>
        <w:t xml:space="preserve"> (AOAT 258). Münster: Ugarit-Verlag</w:t>
      </w:r>
    </w:p>
    <w:p w14:paraId="3FB7363B" w14:textId="77777777" w:rsidR="00BA29AD" w:rsidRPr="00BA29AD" w:rsidRDefault="00BA29AD" w:rsidP="00BA29AD">
      <w:pPr>
        <w:pStyle w:val="EndNoteBibliography"/>
        <w:ind w:left="720" w:hanging="720"/>
        <w:rPr>
          <w:noProof/>
        </w:rPr>
      </w:pPr>
      <w:r w:rsidRPr="00BA29AD">
        <w:rPr>
          <w:noProof/>
        </w:rPr>
        <w:t xml:space="preserve">Ebeling, E. 1938. “Dämonen”, in E. Ebeling, B. Meissner (eds.), </w:t>
      </w:r>
      <w:r w:rsidRPr="00BA29AD">
        <w:rPr>
          <w:i/>
          <w:noProof/>
        </w:rPr>
        <w:t>Reallexikon der Assyriologie II</w:t>
      </w:r>
      <w:r w:rsidRPr="00BA29AD">
        <w:rPr>
          <w:noProof/>
        </w:rPr>
        <w:t>. Berlin: Walter De Gruyter, 107-113</w:t>
      </w:r>
    </w:p>
    <w:p w14:paraId="3D214BAC" w14:textId="77777777" w:rsidR="00BA29AD" w:rsidRPr="00BA29AD" w:rsidRDefault="00BA29AD" w:rsidP="00BA29AD">
      <w:pPr>
        <w:pStyle w:val="EndNoteBibliography"/>
        <w:ind w:left="720" w:hanging="720"/>
        <w:rPr>
          <w:noProof/>
        </w:rPr>
      </w:pPr>
      <w:r w:rsidRPr="00BA29AD">
        <w:rPr>
          <w:noProof/>
        </w:rPr>
        <w:t xml:space="preserve">Farber, W. 1989. “(W)ardat-lilî(m)”, </w:t>
      </w:r>
      <w:r w:rsidRPr="00BA29AD">
        <w:rPr>
          <w:i/>
          <w:noProof/>
        </w:rPr>
        <w:t>ZA</w:t>
      </w:r>
      <w:r w:rsidRPr="00BA29AD">
        <w:rPr>
          <w:noProof/>
        </w:rPr>
        <w:t xml:space="preserve"> 79, 14-35</w:t>
      </w:r>
    </w:p>
    <w:p w14:paraId="24E3EF8B" w14:textId="77777777" w:rsidR="00BA29AD" w:rsidRPr="00BA29AD" w:rsidRDefault="00BA29AD" w:rsidP="00BA29AD">
      <w:pPr>
        <w:pStyle w:val="EndNoteBibliography"/>
        <w:ind w:left="720" w:hanging="720"/>
        <w:rPr>
          <w:noProof/>
        </w:rPr>
      </w:pPr>
      <w:r w:rsidRPr="00BA29AD">
        <w:rPr>
          <w:noProof/>
        </w:rPr>
        <w:t xml:space="preserve">Fauth, W. 1986. “Lilits und Astarten in aramäischen, mandäischen und syrischen Zaubertexten”, </w:t>
      </w:r>
      <w:r w:rsidRPr="00BA29AD">
        <w:rPr>
          <w:i/>
          <w:noProof/>
        </w:rPr>
        <w:t>WdO</w:t>
      </w:r>
      <w:r w:rsidRPr="00BA29AD">
        <w:rPr>
          <w:noProof/>
        </w:rPr>
        <w:t xml:space="preserve"> 17, 66-94</w:t>
      </w:r>
    </w:p>
    <w:p w14:paraId="58AD4BD6" w14:textId="77777777" w:rsidR="00BA29AD" w:rsidRPr="00BA29AD" w:rsidRDefault="00BA29AD" w:rsidP="00BA29AD">
      <w:pPr>
        <w:pStyle w:val="EndNoteBibliography"/>
        <w:ind w:left="720" w:hanging="720"/>
        <w:rPr>
          <w:noProof/>
        </w:rPr>
      </w:pPr>
      <w:r w:rsidRPr="00BA29AD">
        <w:rPr>
          <w:noProof/>
        </w:rPr>
        <w:t xml:space="preserve">Ford, J. N., Morgenstern, M. 2019. </w:t>
      </w:r>
      <w:r w:rsidRPr="00BA29AD">
        <w:rPr>
          <w:i/>
          <w:noProof/>
        </w:rPr>
        <w:t>Aramaic Incantation Bowls in Museum Collections. Volume One: The Frau Professor Hilprecht Collection of Babylonian Antiquities, Jena</w:t>
      </w:r>
      <w:r w:rsidRPr="00BA29AD">
        <w:rPr>
          <w:noProof/>
        </w:rPr>
        <w:t xml:space="preserve"> (Magical and Religious Literature of Late Antiquity). Leiden, The Netherlands: Brill</w:t>
      </w:r>
    </w:p>
    <w:p w14:paraId="2E5795AE" w14:textId="77777777" w:rsidR="00BA29AD" w:rsidRPr="00BA29AD" w:rsidRDefault="00BA29AD" w:rsidP="00BA29AD">
      <w:pPr>
        <w:pStyle w:val="EndNoteBibliography"/>
        <w:ind w:left="720" w:hanging="720"/>
        <w:rPr>
          <w:noProof/>
        </w:rPr>
      </w:pPr>
      <w:r w:rsidRPr="00BA29AD">
        <w:rPr>
          <w:noProof/>
        </w:rPr>
        <w:t xml:space="preserve">Freedman, S. M. 1998. </w:t>
      </w:r>
      <w:r w:rsidRPr="00BA29AD">
        <w:rPr>
          <w:i/>
          <w:noProof/>
        </w:rPr>
        <w:t>If a City is Set on a Height. The Akkadian Omen Series Šumma Ālu ina Mēlê Šakin. Volume 1</w:t>
      </w:r>
      <w:r w:rsidRPr="00BA29AD">
        <w:rPr>
          <w:noProof/>
        </w:rPr>
        <w:t xml:space="preserve"> (Occasional Publications of the Samuel Noah Kramer Fund 17). Philadelphia</w:t>
      </w:r>
    </w:p>
    <w:p w14:paraId="1DBBBB02" w14:textId="77777777" w:rsidR="00BA29AD" w:rsidRPr="00BA29AD" w:rsidRDefault="00BA29AD" w:rsidP="00BA29AD">
      <w:pPr>
        <w:pStyle w:val="EndNoteBibliography"/>
        <w:ind w:left="720" w:hanging="720"/>
        <w:rPr>
          <w:noProof/>
        </w:rPr>
      </w:pPr>
      <w:r w:rsidRPr="00BA29AD">
        <w:rPr>
          <w:noProof/>
        </w:rPr>
        <w:lastRenderedPageBreak/>
        <w:t xml:space="preserve">Geller, M. J. 2000. “Incipits and Rubrics”, in A. R. George, I. L. Finkel (eds.), </w:t>
      </w:r>
      <w:r w:rsidRPr="00BA29AD">
        <w:rPr>
          <w:i/>
          <w:noProof/>
        </w:rPr>
        <w:t>Wisdom, Gods and Literature: Studies in Assyriology in Honour of W. G. Lambert</w:t>
      </w:r>
      <w:r w:rsidRPr="00BA29AD">
        <w:rPr>
          <w:noProof/>
        </w:rPr>
        <w:t>. Winona Lake: Eisenbrauns, 225-258</w:t>
      </w:r>
    </w:p>
    <w:p w14:paraId="71049DAF" w14:textId="77777777" w:rsidR="00BA29AD" w:rsidRPr="00BA29AD" w:rsidRDefault="00BA29AD" w:rsidP="00BA29AD">
      <w:pPr>
        <w:pStyle w:val="EndNoteBibliography"/>
        <w:ind w:left="720" w:hanging="720"/>
        <w:rPr>
          <w:noProof/>
        </w:rPr>
      </w:pPr>
      <w:r w:rsidRPr="00BA29AD">
        <w:rPr>
          <w:noProof/>
        </w:rPr>
        <w:t xml:space="preserve">Geller, M. J., Vacín, L. 2015. </w:t>
      </w:r>
      <w:r w:rsidRPr="00BA29AD">
        <w:rPr>
          <w:i/>
          <w:noProof/>
        </w:rPr>
        <w:t>Healing Magic and Evil Demons: Canonical Udug-hul Incantations</w:t>
      </w:r>
      <w:r w:rsidRPr="00BA29AD">
        <w:rPr>
          <w:noProof/>
        </w:rPr>
        <w:t xml:space="preserve"> (BAM 8). Berlin: De Gruyter</w:t>
      </w:r>
    </w:p>
    <w:p w14:paraId="11D044F9" w14:textId="77777777" w:rsidR="00BA29AD" w:rsidRPr="00BA29AD" w:rsidRDefault="00BA29AD" w:rsidP="00BA29AD">
      <w:pPr>
        <w:pStyle w:val="EndNoteBibliography"/>
        <w:ind w:left="720" w:hanging="720"/>
        <w:rPr>
          <w:noProof/>
        </w:rPr>
      </w:pPr>
      <w:r w:rsidRPr="00BA29AD">
        <w:rPr>
          <w:noProof/>
        </w:rPr>
        <w:t xml:space="preserve">George, A. R. 1991. “Babylonian Texts from the Folios of Sidney Smith, Part Two: Prognostic and Diagnostic Omens, Tablet I”, </w:t>
      </w:r>
      <w:r w:rsidRPr="00BA29AD">
        <w:rPr>
          <w:i/>
          <w:noProof/>
        </w:rPr>
        <w:t>RA</w:t>
      </w:r>
      <w:r w:rsidRPr="00BA29AD">
        <w:rPr>
          <w:noProof/>
        </w:rPr>
        <w:t xml:space="preserve"> 85, 137-167</w:t>
      </w:r>
    </w:p>
    <w:p w14:paraId="39D6EE16" w14:textId="77777777" w:rsidR="00BA29AD" w:rsidRPr="00BA29AD" w:rsidRDefault="00BA29AD" w:rsidP="00BA29AD">
      <w:pPr>
        <w:pStyle w:val="EndNoteBibliography"/>
        <w:ind w:left="720" w:hanging="720"/>
        <w:rPr>
          <w:noProof/>
        </w:rPr>
      </w:pPr>
      <w:r w:rsidRPr="00BA29AD">
        <w:rPr>
          <w:noProof/>
        </w:rPr>
        <w:t xml:space="preserve">Gingzberg, L., Szold, H., Radin, P. 2003. </w:t>
      </w:r>
      <w:r w:rsidRPr="00BA29AD">
        <w:rPr>
          <w:i/>
          <w:noProof/>
        </w:rPr>
        <w:t>Legends of the Jews</w:t>
      </w:r>
      <w:r w:rsidRPr="00BA29AD">
        <w:rPr>
          <w:noProof/>
        </w:rPr>
        <w:t>. Philadelphia: Jewish Publication Society</w:t>
      </w:r>
    </w:p>
    <w:p w14:paraId="7F976531" w14:textId="77777777" w:rsidR="00BA29AD" w:rsidRPr="00BA29AD" w:rsidRDefault="00BA29AD" w:rsidP="00BA29AD">
      <w:pPr>
        <w:pStyle w:val="EndNoteBibliography"/>
        <w:ind w:left="720" w:hanging="720"/>
        <w:rPr>
          <w:noProof/>
        </w:rPr>
      </w:pPr>
      <w:r w:rsidRPr="00BA29AD">
        <w:rPr>
          <w:noProof/>
        </w:rPr>
        <w:t xml:space="preserve">Guinan, A. K. 2002. “A Severed Head Laughed: Stories of Divinatory Interpretation”, in L. Ciraolo, J. Seidel (eds.), </w:t>
      </w:r>
      <w:r w:rsidRPr="00BA29AD">
        <w:rPr>
          <w:i/>
          <w:noProof/>
        </w:rPr>
        <w:t>Magic and Divination in the Ancient World</w:t>
      </w:r>
      <w:r w:rsidRPr="00BA29AD">
        <w:rPr>
          <w:noProof/>
        </w:rPr>
        <w:t xml:space="preserve"> (AMD 2). Leiden: Brill, 7-40</w:t>
      </w:r>
    </w:p>
    <w:p w14:paraId="5AF090F7" w14:textId="77777777" w:rsidR="00BA29AD" w:rsidRPr="00BA29AD" w:rsidRDefault="00BA29AD" w:rsidP="00BA29AD">
      <w:pPr>
        <w:pStyle w:val="EndNoteBibliography"/>
        <w:ind w:left="720" w:hanging="720"/>
        <w:rPr>
          <w:noProof/>
        </w:rPr>
      </w:pPr>
      <w:r w:rsidRPr="00BA29AD">
        <w:rPr>
          <w:noProof/>
        </w:rPr>
        <w:t xml:space="preserve">Handy, L. K. 1992. “Lilith”, in D. N. Freedman (ed.), </w:t>
      </w:r>
      <w:r w:rsidRPr="00BA29AD">
        <w:rPr>
          <w:i/>
          <w:noProof/>
        </w:rPr>
        <w:t>The Anchor Bible Dictionary</w:t>
      </w:r>
      <w:r w:rsidRPr="00BA29AD">
        <w:rPr>
          <w:noProof/>
        </w:rPr>
        <w:t>. New York: Doubleday, vol. 4 pp. 324-325</w:t>
      </w:r>
    </w:p>
    <w:p w14:paraId="550B2287" w14:textId="77777777" w:rsidR="00BA29AD" w:rsidRPr="00BA29AD" w:rsidRDefault="00BA29AD" w:rsidP="00BA29AD">
      <w:pPr>
        <w:pStyle w:val="EndNoteBibliography"/>
        <w:ind w:left="720" w:hanging="720"/>
        <w:rPr>
          <w:noProof/>
        </w:rPr>
      </w:pPr>
      <w:r w:rsidRPr="00BA29AD">
        <w:rPr>
          <w:noProof/>
        </w:rPr>
        <w:t xml:space="preserve">Heeßel, N. P. 2000. </w:t>
      </w:r>
      <w:r w:rsidRPr="00BA29AD">
        <w:rPr>
          <w:i/>
          <w:noProof/>
        </w:rPr>
        <w:t xml:space="preserve">Babylonisch-assyrische Diagnostik </w:t>
      </w:r>
      <w:r w:rsidRPr="00BA29AD">
        <w:rPr>
          <w:noProof/>
        </w:rPr>
        <w:t>(AOAT 43). Münster: Ugarit-Verlag</w:t>
      </w:r>
    </w:p>
    <w:p w14:paraId="2080FC18" w14:textId="77777777" w:rsidR="00BA29AD" w:rsidRPr="00BA29AD" w:rsidRDefault="00BA29AD" w:rsidP="00BA29AD">
      <w:pPr>
        <w:pStyle w:val="EndNoteBibliography"/>
        <w:ind w:left="720" w:hanging="720"/>
        <w:rPr>
          <w:noProof/>
        </w:rPr>
      </w:pPr>
      <w:r w:rsidRPr="00BA29AD">
        <w:rPr>
          <w:noProof/>
        </w:rPr>
        <w:t xml:space="preserve">Heeßel, N. P. 2002. </w:t>
      </w:r>
      <w:r w:rsidRPr="00BA29AD">
        <w:rPr>
          <w:i/>
          <w:noProof/>
        </w:rPr>
        <w:t>Pazuzu: archäologische und philologische Studien zu einem altorientalischen Dämon</w:t>
      </w:r>
      <w:r w:rsidRPr="00BA29AD">
        <w:rPr>
          <w:noProof/>
        </w:rPr>
        <w:t xml:space="preserve"> (AMD 4). Leiden: Brill</w:t>
      </w:r>
    </w:p>
    <w:p w14:paraId="217F6679" w14:textId="77777777" w:rsidR="00BA29AD" w:rsidRPr="00BA29AD" w:rsidRDefault="00BA29AD" w:rsidP="00BA29AD">
      <w:pPr>
        <w:pStyle w:val="EndNoteBibliography"/>
        <w:ind w:left="720" w:hanging="720"/>
        <w:rPr>
          <w:noProof/>
        </w:rPr>
      </w:pPr>
      <w:r w:rsidRPr="00BA29AD">
        <w:rPr>
          <w:noProof/>
        </w:rPr>
        <w:t xml:space="preserve">Heeßel, N. P. 2007. </w:t>
      </w:r>
      <w:r w:rsidRPr="00BA29AD">
        <w:rPr>
          <w:i/>
          <w:noProof/>
        </w:rPr>
        <w:t>Divinatorische Texte I: Terrestrische, teratologische, physiognomische und oneiromantische Omina</w:t>
      </w:r>
      <w:r w:rsidRPr="00BA29AD">
        <w:rPr>
          <w:noProof/>
        </w:rPr>
        <w:t xml:space="preserve"> (KAL 1). Wiesbaden: Harrassowitz</w:t>
      </w:r>
    </w:p>
    <w:p w14:paraId="5D1CFAB8" w14:textId="77777777" w:rsidR="00BA29AD" w:rsidRPr="00BA29AD" w:rsidRDefault="00BA29AD" w:rsidP="00BA29AD">
      <w:pPr>
        <w:pStyle w:val="EndNoteBibliography"/>
        <w:ind w:left="720" w:hanging="720"/>
        <w:rPr>
          <w:noProof/>
        </w:rPr>
      </w:pPr>
      <w:r w:rsidRPr="00BA29AD">
        <w:rPr>
          <w:noProof/>
        </w:rPr>
        <w:t xml:space="preserve">Isbell, C. D. 1975. </w:t>
      </w:r>
      <w:r w:rsidRPr="00BA29AD">
        <w:rPr>
          <w:i/>
          <w:noProof/>
        </w:rPr>
        <w:t>Corpus of the Aramaic Incantation Bowls</w:t>
      </w:r>
      <w:r w:rsidRPr="00BA29AD">
        <w:rPr>
          <w:noProof/>
        </w:rPr>
        <w:t>. Missoula, MO: Scholars Press</w:t>
      </w:r>
    </w:p>
    <w:p w14:paraId="7F924CD8" w14:textId="77777777" w:rsidR="00BA29AD" w:rsidRPr="00BA29AD" w:rsidRDefault="00BA29AD" w:rsidP="00BA29AD">
      <w:pPr>
        <w:pStyle w:val="EndNoteBibliography"/>
        <w:ind w:left="720" w:hanging="720"/>
        <w:rPr>
          <w:noProof/>
        </w:rPr>
      </w:pPr>
      <w:r w:rsidRPr="00BA29AD">
        <w:rPr>
          <w:noProof/>
        </w:rPr>
        <w:t xml:space="preserve">Kinnier Wilson, J. V. 1965. “An Introduction to Babylonian Psychiatry”, in H. G. Güterbock, T. Jacobsen (eds.), </w:t>
      </w:r>
      <w:r w:rsidRPr="00BA29AD">
        <w:rPr>
          <w:i/>
          <w:noProof/>
        </w:rPr>
        <w:t>Studies in Honor of Benno Landsberger</w:t>
      </w:r>
      <w:r w:rsidRPr="00BA29AD">
        <w:rPr>
          <w:noProof/>
        </w:rPr>
        <w:t xml:space="preserve"> (AS 16). Chicago: Chicago University Press, 289-298</w:t>
      </w:r>
    </w:p>
    <w:p w14:paraId="2E3A5EFD" w14:textId="77777777" w:rsidR="00BA29AD" w:rsidRPr="00BA29AD" w:rsidRDefault="00BA29AD" w:rsidP="00BA29AD">
      <w:pPr>
        <w:pStyle w:val="EndNoteBibliography"/>
        <w:ind w:left="720" w:hanging="720"/>
        <w:rPr>
          <w:noProof/>
        </w:rPr>
      </w:pPr>
      <w:r w:rsidRPr="00BA29AD">
        <w:rPr>
          <w:noProof/>
        </w:rPr>
        <w:t xml:space="preserve">Lackenbacher, S. 1971. “Note sur l'ardat lilî”, </w:t>
      </w:r>
      <w:r w:rsidRPr="00BA29AD">
        <w:rPr>
          <w:i/>
          <w:noProof/>
        </w:rPr>
        <w:t>RA</w:t>
      </w:r>
      <w:r w:rsidRPr="00BA29AD">
        <w:rPr>
          <w:noProof/>
        </w:rPr>
        <w:t xml:space="preserve"> 65, 119-154</w:t>
      </w:r>
    </w:p>
    <w:p w14:paraId="06932CCB" w14:textId="77777777" w:rsidR="00BA29AD" w:rsidRPr="00BA29AD" w:rsidRDefault="00BA29AD" w:rsidP="00BA29AD">
      <w:pPr>
        <w:pStyle w:val="EndNoteBibliography"/>
        <w:ind w:left="720" w:hanging="720"/>
        <w:rPr>
          <w:noProof/>
        </w:rPr>
      </w:pPr>
      <w:r w:rsidRPr="00BA29AD">
        <w:rPr>
          <w:noProof/>
        </w:rPr>
        <w:t xml:space="preserve">Meier, G. 1941. “Die zweite Tafel der Serie bīt mēseri”, </w:t>
      </w:r>
      <w:r w:rsidRPr="00BA29AD">
        <w:rPr>
          <w:i/>
          <w:noProof/>
        </w:rPr>
        <w:t>AfO</w:t>
      </w:r>
      <w:r w:rsidRPr="00BA29AD">
        <w:rPr>
          <w:noProof/>
        </w:rPr>
        <w:t xml:space="preserve"> 14, 139-152</w:t>
      </w:r>
    </w:p>
    <w:p w14:paraId="0654A085" w14:textId="77777777" w:rsidR="00BA29AD" w:rsidRPr="00BA29AD" w:rsidRDefault="00BA29AD" w:rsidP="00BA29AD">
      <w:pPr>
        <w:pStyle w:val="EndNoteBibliography"/>
        <w:ind w:left="720" w:hanging="720"/>
        <w:rPr>
          <w:noProof/>
        </w:rPr>
      </w:pPr>
      <w:r w:rsidRPr="00BA29AD">
        <w:rPr>
          <w:noProof/>
        </w:rPr>
        <w:t xml:space="preserve">Montgomery, J. A. 1913. </w:t>
      </w:r>
      <w:r w:rsidRPr="00BA29AD">
        <w:rPr>
          <w:i/>
          <w:noProof/>
        </w:rPr>
        <w:t>Aramaic Incantation Texts from Nippur</w:t>
      </w:r>
      <w:r w:rsidRPr="00BA29AD">
        <w:rPr>
          <w:noProof/>
        </w:rPr>
        <w:t xml:space="preserve"> (PBS 3). Philadelphia: The University Museum</w:t>
      </w:r>
    </w:p>
    <w:p w14:paraId="430F223B" w14:textId="77777777" w:rsidR="00BA29AD" w:rsidRPr="00BA29AD" w:rsidRDefault="00BA29AD" w:rsidP="00BA29AD">
      <w:pPr>
        <w:pStyle w:val="EndNoteBibliography"/>
        <w:ind w:left="720" w:hanging="720"/>
        <w:rPr>
          <w:noProof/>
        </w:rPr>
      </w:pPr>
      <w:r w:rsidRPr="00BA29AD">
        <w:rPr>
          <w:noProof/>
        </w:rPr>
        <w:t xml:space="preserve">Parpola, S. 1987. </w:t>
      </w:r>
      <w:r w:rsidRPr="00BA29AD">
        <w:rPr>
          <w:i/>
          <w:noProof/>
        </w:rPr>
        <w:t>The Correspondence of Sargon II, Part I: Letters from Assyria and the West</w:t>
      </w:r>
      <w:r w:rsidRPr="00BA29AD">
        <w:rPr>
          <w:noProof/>
        </w:rPr>
        <w:t xml:space="preserve"> (SAA 1). Helsinki: The Neo-Assyrian Text Corpus Project</w:t>
      </w:r>
    </w:p>
    <w:p w14:paraId="5D6FBD9F" w14:textId="77777777" w:rsidR="00BA29AD" w:rsidRPr="00BA29AD" w:rsidRDefault="00BA29AD" w:rsidP="00BA29AD">
      <w:pPr>
        <w:pStyle w:val="EndNoteBibliography"/>
        <w:ind w:left="720" w:hanging="720"/>
        <w:rPr>
          <w:noProof/>
        </w:rPr>
      </w:pPr>
      <w:r w:rsidRPr="00BA29AD">
        <w:rPr>
          <w:noProof/>
        </w:rPr>
        <w:t xml:space="preserve">Postgate, J. N. 1994. “Text and figure in ancient Mesopotamia: match and mismatch”, in C. Renfrew, E. B. W. Zubrow (eds.), </w:t>
      </w:r>
      <w:r w:rsidRPr="00BA29AD">
        <w:rPr>
          <w:i/>
          <w:noProof/>
        </w:rPr>
        <w:t>The Ancient Mind: Elements of Cognitive Archaeology</w:t>
      </w:r>
      <w:r w:rsidRPr="00BA29AD">
        <w:rPr>
          <w:noProof/>
        </w:rPr>
        <w:t>. Cambridge: Cambridge University Press, 176-184</w:t>
      </w:r>
    </w:p>
    <w:p w14:paraId="49298F71" w14:textId="77777777" w:rsidR="00BA29AD" w:rsidRPr="00BA29AD" w:rsidRDefault="00BA29AD" w:rsidP="00BA29AD">
      <w:pPr>
        <w:pStyle w:val="EndNoteBibliography"/>
        <w:ind w:left="720" w:hanging="720"/>
        <w:rPr>
          <w:noProof/>
        </w:rPr>
      </w:pPr>
      <w:r w:rsidRPr="00BA29AD">
        <w:rPr>
          <w:noProof/>
        </w:rPr>
        <w:t xml:space="preserve">Salonen, A. 1970. </w:t>
      </w:r>
      <w:r w:rsidRPr="00BA29AD">
        <w:rPr>
          <w:i/>
          <w:noProof/>
        </w:rPr>
        <w:t>Die Fischerei im Alten Mesopotamien nach sumerisch-akkadischen Quellen</w:t>
      </w:r>
      <w:r w:rsidRPr="00BA29AD">
        <w:rPr>
          <w:noProof/>
        </w:rPr>
        <w:t xml:space="preserve"> (Annales Academiæ Scientiarum Fennicæ. Ser. B 166). Helsinki: Suomalainen Tiedeakademia</w:t>
      </w:r>
    </w:p>
    <w:p w14:paraId="0AA035FE" w14:textId="77777777" w:rsidR="00BA29AD" w:rsidRPr="00BA29AD" w:rsidRDefault="00BA29AD" w:rsidP="00BA29AD">
      <w:pPr>
        <w:pStyle w:val="EndNoteBibliography"/>
        <w:ind w:left="720" w:hanging="720"/>
        <w:rPr>
          <w:noProof/>
        </w:rPr>
      </w:pPr>
      <w:r w:rsidRPr="00BA29AD">
        <w:rPr>
          <w:noProof/>
        </w:rPr>
        <w:t xml:space="preserve">Salonen, A. 1973. </w:t>
      </w:r>
      <w:r w:rsidRPr="00BA29AD">
        <w:rPr>
          <w:i/>
          <w:noProof/>
        </w:rPr>
        <w:t>Vögel und Vögelfang in Alten Mesopotamien</w:t>
      </w:r>
      <w:r w:rsidRPr="00BA29AD">
        <w:rPr>
          <w:noProof/>
        </w:rPr>
        <w:t>. Helsinki: Suomalainen Tiedeakademia</w:t>
      </w:r>
    </w:p>
    <w:p w14:paraId="2E99B562" w14:textId="77777777" w:rsidR="00BA29AD" w:rsidRPr="00BA29AD" w:rsidRDefault="00BA29AD" w:rsidP="00BA29AD">
      <w:pPr>
        <w:pStyle w:val="EndNoteBibliography"/>
        <w:ind w:left="720" w:hanging="720"/>
        <w:rPr>
          <w:noProof/>
        </w:rPr>
      </w:pPr>
      <w:r w:rsidRPr="00BA29AD">
        <w:rPr>
          <w:noProof/>
        </w:rPr>
        <w:t xml:space="preserve">Scurlock, J. 2014. </w:t>
      </w:r>
      <w:r w:rsidRPr="00BA29AD">
        <w:rPr>
          <w:i/>
          <w:noProof/>
        </w:rPr>
        <w:t>Sourcebook for Ancient Mesopotamian Medicine</w:t>
      </w:r>
      <w:r w:rsidRPr="00BA29AD">
        <w:rPr>
          <w:noProof/>
        </w:rPr>
        <w:t xml:space="preserve"> (Writings from the Ancient World 36). Atlanta, GA: Society of Biblical Literature</w:t>
      </w:r>
    </w:p>
    <w:p w14:paraId="1E64A80A" w14:textId="77777777" w:rsidR="00BA29AD" w:rsidRPr="00BA29AD" w:rsidRDefault="00BA29AD" w:rsidP="00BA29AD">
      <w:pPr>
        <w:pStyle w:val="EndNoteBibliography"/>
        <w:ind w:left="720" w:hanging="720"/>
        <w:rPr>
          <w:noProof/>
        </w:rPr>
      </w:pPr>
      <w:r w:rsidRPr="00BA29AD">
        <w:rPr>
          <w:noProof/>
        </w:rPr>
        <w:t xml:space="preserve">Scurlock, J., Andersen, B. R. 2005. </w:t>
      </w:r>
      <w:r w:rsidRPr="00BA29AD">
        <w:rPr>
          <w:i/>
          <w:noProof/>
        </w:rPr>
        <w:t>Diagnoses in Assyrian and Babyonian Medicine</w:t>
      </w:r>
      <w:r w:rsidRPr="00BA29AD">
        <w:rPr>
          <w:noProof/>
        </w:rPr>
        <w:t>. Champaign, IL: University of Illinois Press</w:t>
      </w:r>
    </w:p>
    <w:p w14:paraId="0FD5B31B" w14:textId="77777777" w:rsidR="00BA29AD" w:rsidRPr="00BA29AD" w:rsidRDefault="00BA29AD" w:rsidP="00BA29AD">
      <w:pPr>
        <w:pStyle w:val="EndNoteBibliography"/>
        <w:ind w:left="720" w:hanging="720"/>
        <w:rPr>
          <w:noProof/>
        </w:rPr>
      </w:pPr>
      <w:r w:rsidRPr="00BA29AD">
        <w:rPr>
          <w:noProof/>
        </w:rPr>
        <w:t xml:space="preserve">Scurlock, J. A. 1991. “Baby-snatching demons, restless souls and the dangers of childbirth”, </w:t>
      </w:r>
      <w:r w:rsidRPr="00BA29AD">
        <w:rPr>
          <w:i/>
          <w:noProof/>
        </w:rPr>
        <w:t>Incognita</w:t>
      </w:r>
      <w:r w:rsidRPr="00BA29AD">
        <w:rPr>
          <w:noProof/>
        </w:rPr>
        <w:t xml:space="preserve"> 2, 135-183</w:t>
      </w:r>
    </w:p>
    <w:p w14:paraId="304A25D2" w14:textId="77777777" w:rsidR="00BA29AD" w:rsidRPr="00BA29AD" w:rsidRDefault="00BA29AD" w:rsidP="00BA29AD">
      <w:pPr>
        <w:pStyle w:val="EndNoteBibliography"/>
        <w:ind w:left="720" w:hanging="720"/>
        <w:rPr>
          <w:noProof/>
        </w:rPr>
      </w:pPr>
      <w:r w:rsidRPr="00BA29AD">
        <w:rPr>
          <w:noProof/>
        </w:rPr>
        <w:t xml:space="preserve">Shaked, S., Ford, J. N., Bhayro, S. 2022. </w:t>
      </w:r>
      <w:r w:rsidRPr="00BA29AD">
        <w:rPr>
          <w:i/>
          <w:noProof/>
        </w:rPr>
        <w:t>Aramaic Bowl Spells</w:t>
      </w:r>
      <w:r w:rsidRPr="00BA29AD">
        <w:rPr>
          <w:noProof/>
        </w:rPr>
        <w:t xml:space="preserve"> (Magical and Religious Literature of Late Antiquity 10). Leiden: Brill</w:t>
      </w:r>
    </w:p>
    <w:p w14:paraId="5ACE50DB" w14:textId="77777777" w:rsidR="00BA29AD" w:rsidRPr="00BA29AD" w:rsidRDefault="00BA29AD" w:rsidP="00BA29AD">
      <w:pPr>
        <w:pStyle w:val="EndNoteBibliography"/>
        <w:ind w:left="720" w:hanging="720"/>
        <w:rPr>
          <w:noProof/>
        </w:rPr>
      </w:pPr>
      <w:r w:rsidRPr="00BA29AD">
        <w:rPr>
          <w:noProof/>
        </w:rPr>
        <w:t xml:space="preserve">Steinert, U. 2014. “City Streets: reflections on urban society in the cuneiform sources of the second and first millennium BCE”, in N. N. May, U. Steinert (eds.), </w:t>
      </w:r>
      <w:r w:rsidRPr="00BA29AD">
        <w:rPr>
          <w:i/>
          <w:noProof/>
        </w:rPr>
        <w:t>The Fabric of Cities: Aspects of Urbanism, Urban Topography and Society in Mesopotamia, Greece and Rome</w:t>
      </w:r>
      <w:r w:rsidRPr="00BA29AD">
        <w:rPr>
          <w:noProof/>
        </w:rPr>
        <w:t xml:space="preserve"> (Culture and History of the Ancient Near East 68). Leiden: Brill, 123-169</w:t>
      </w:r>
    </w:p>
    <w:p w14:paraId="10A33866" w14:textId="77777777" w:rsidR="00BA29AD" w:rsidRPr="00BA29AD" w:rsidRDefault="00BA29AD" w:rsidP="00BA29AD">
      <w:pPr>
        <w:pStyle w:val="EndNoteBibliography"/>
        <w:ind w:left="720" w:hanging="720"/>
        <w:rPr>
          <w:noProof/>
        </w:rPr>
      </w:pPr>
      <w:r w:rsidRPr="00BA29AD">
        <w:rPr>
          <w:noProof/>
        </w:rPr>
        <w:t xml:space="preserve">Stol, M. 1993. </w:t>
      </w:r>
      <w:r w:rsidRPr="00BA29AD">
        <w:rPr>
          <w:i/>
          <w:noProof/>
        </w:rPr>
        <w:t>Epilepsy in Babylonia</w:t>
      </w:r>
      <w:r w:rsidRPr="00BA29AD">
        <w:rPr>
          <w:noProof/>
        </w:rPr>
        <w:t xml:space="preserve"> (CM 2). Groningen: Styx Publications</w:t>
      </w:r>
    </w:p>
    <w:p w14:paraId="4C44126B" w14:textId="77777777" w:rsidR="00BA29AD" w:rsidRPr="00BA29AD" w:rsidRDefault="00BA29AD" w:rsidP="00BA29AD">
      <w:pPr>
        <w:pStyle w:val="EndNoteBibliography"/>
        <w:ind w:left="720" w:hanging="720"/>
        <w:rPr>
          <w:noProof/>
        </w:rPr>
      </w:pPr>
      <w:r w:rsidRPr="00BA29AD">
        <w:rPr>
          <w:noProof/>
        </w:rPr>
        <w:lastRenderedPageBreak/>
        <w:t xml:space="preserve">Thompson, R. C. 1906. “The Folklore of Mossoul. I”, </w:t>
      </w:r>
      <w:r w:rsidRPr="00BA29AD">
        <w:rPr>
          <w:i/>
          <w:noProof/>
        </w:rPr>
        <w:t>Proceedings of the Society of Biblical Archaeology</w:t>
      </w:r>
      <w:r w:rsidRPr="00BA29AD">
        <w:rPr>
          <w:noProof/>
        </w:rPr>
        <w:t xml:space="preserve"> 28, 76-86</w:t>
      </w:r>
    </w:p>
    <w:p w14:paraId="4D05A9C6" w14:textId="77777777" w:rsidR="00BA29AD" w:rsidRPr="00BA29AD" w:rsidRDefault="00BA29AD" w:rsidP="00BA29AD">
      <w:pPr>
        <w:pStyle w:val="EndNoteBibliography"/>
        <w:ind w:left="720" w:hanging="720"/>
        <w:rPr>
          <w:noProof/>
        </w:rPr>
      </w:pPr>
      <w:r w:rsidRPr="00BA29AD">
        <w:rPr>
          <w:noProof/>
        </w:rPr>
        <w:t xml:space="preserve">von Soden, W. 1995. </w:t>
      </w:r>
      <w:r w:rsidRPr="00BA29AD">
        <w:rPr>
          <w:i/>
          <w:noProof/>
        </w:rPr>
        <w:t>Grundriss der akkadischen Grammatik</w:t>
      </w:r>
      <w:r w:rsidRPr="00BA29AD">
        <w:rPr>
          <w:noProof/>
        </w:rPr>
        <w:t xml:space="preserve"> (AnOr 33). Rome: Pontificio Istituto Biblico</w:t>
      </w:r>
    </w:p>
    <w:p w14:paraId="114E44B5" w14:textId="77777777" w:rsidR="00BA29AD" w:rsidRPr="00BA29AD" w:rsidRDefault="00BA29AD" w:rsidP="00BA29AD">
      <w:pPr>
        <w:pStyle w:val="EndNoteBibliography"/>
        <w:ind w:left="720" w:hanging="720"/>
        <w:rPr>
          <w:noProof/>
        </w:rPr>
      </w:pPr>
      <w:r w:rsidRPr="00BA29AD">
        <w:rPr>
          <w:noProof/>
        </w:rPr>
        <w:t xml:space="preserve">von Weiher, E. 1998. </w:t>
      </w:r>
      <w:r w:rsidRPr="00BA29AD">
        <w:rPr>
          <w:i/>
          <w:noProof/>
        </w:rPr>
        <w:t>Spätbabylonische Texte aus Uruk. Teil 5</w:t>
      </w:r>
      <w:r w:rsidRPr="00BA29AD">
        <w:rPr>
          <w:noProof/>
        </w:rPr>
        <w:t xml:space="preserve"> (Ausgrabungen in Uruk-Warka. Endberichte). Berlin: Mann</w:t>
      </w:r>
    </w:p>
    <w:p w14:paraId="7E4FBF8A" w14:textId="77777777" w:rsidR="00BA29AD" w:rsidRPr="00BA29AD" w:rsidRDefault="00BA29AD" w:rsidP="00BA29AD">
      <w:pPr>
        <w:pStyle w:val="EndNoteBibliography"/>
        <w:ind w:left="720" w:hanging="720"/>
        <w:rPr>
          <w:noProof/>
        </w:rPr>
      </w:pPr>
      <w:r w:rsidRPr="00BA29AD">
        <w:rPr>
          <w:noProof/>
        </w:rPr>
        <w:t xml:space="preserve">Wiggermann, F. A. M. 2011. “The Mesopotamian Pandemonium: A Provisional Census”, </w:t>
      </w:r>
      <w:r w:rsidRPr="00BA29AD">
        <w:rPr>
          <w:i/>
          <w:noProof/>
        </w:rPr>
        <w:t>Studi e Materiali di Storia delle Religioni</w:t>
      </w:r>
      <w:r w:rsidRPr="00BA29AD">
        <w:rPr>
          <w:noProof/>
        </w:rPr>
        <w:t xml:space="preserve"> 77, 298-322</w:t>
      </w:r>
    </w:p>
    <w:p w14:paraId="37748EB4" w14:textId="77777777" w:rsidR="00BA29AD" w:rsidRPr="00BA29AD" w:rsidRDefault="00BA29AD" w:rsidP="00BA29AD">
      <w:pPr>
        <w:pStyle w:val="EndNoteBibliography"/>
        <w:ind w:left="720" w:hanging="720"/>
        <w:rPr>
          <w:noProof/>
        </w:rPr>
      </w:pPr>
      <w:r w:rsidRPr="00BA29AD">
        <w:rPr>
          <w:noProof/>
        </w:rPr>
        <w:t xml:space="preserve">Wojciech, K. 2018. “A Tale of Two Sisters: The Image of Eve in Early Rabbinic Literature and Its Influence on the Portrayal of Lilith in the Alphabet of Ben Sira”, </w:t>
      </w:r>
      <w:r w:rsidRPr="00BA29AD">
        <w:rPr>
          <w:i/>
          <w:noProof/>
        </w:rPr>
        <w:t>Nashim: A Journal of Jewish Women's Studies &amp; Gender Issues</w:t>
      </w:r>
      <w:r w:rsidRPr="00BA29AD">
        <w:rPr>
          <w:noProof/>
        </w:rPr>
        <w:t xml:space="preserve"> 112-130</w:t>
      </w:r>
    </w:p>
    <w:p w14:paraId="1A2E76F8" w14:textId="77777777" w:rsidR="00BA29AD" w:rsidRPr="00BA29AD" w:rsidRDefault="00BA29AD" w:rsidP="00BA29AD">
      <w:pPr>
        <w:pStyle w:val="EndNoteBibliography"/>
        <w:ind w:left="720" w:hanging="720"/>
        <w:rPr>
          <w:noProof/>
        </w:rPr>
      </w:pPr>
      <w:r w:rsidRPr="00BA29AD">
        <w:rPr>
          <w:noProof/>
        </w:rPr>
        <w:t xml:space="preserve">Worthington, M. 2019. </w:t>
      </w:r>
      <w:r w:rsidRPr="00BA29AD">
        <w:rPr>
          <w:i/>
          <w:noProof/>
        </w:rPr>
        <w:t>Ea's Duplicity in the Gilgamesh Flood Story</w:t>
      </w:r>
      <w:r w:rsidRPr="00BA29AD">
        <w:rPr>
          <w:noProof/>
        </w:rPr>
        <w:t xml:space="preserve"> (The Ancient Word 3). London: Routledge</w:t>
      </w:r>
    </w:p>
    <w:p w14:paraId="790D6F84" w14:textId="6C191B05" w:rsidR="006566E5" w:rsidRDefault="00D56272">
      <w:r>
        <w:fldChar w:fldCharType="end"/>
      </w:r>
    </w:p>
    <w:sectPr w:rsidR="006566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EC5FC" w14:textId="77777777" w:rsidR="00D01214" w:rsidRDefault="00D01214" w:rsidP="00D56272">
      <w:r>
        <w:separator/>
      </w:r>
    </w:p>
  </w:endnote>
  <w:endnote w:type="continuationSeparator" w:id="0">
    <w:p w14:paraId="3E1FF64E" w14:textId="77777777" w:rsidR="00D01214" w:rsidRDefault="00D01214" w:rsidP="00D56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Code2000">
    <w:altName w:val="Times New Roman"/>
    <w:panose1 w:val="020B0604020202020204"/>
    <w:charset w:val="4D"/>
    <w:family w:val="roman"/>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BC03E" w14:textId="77777777" w:rsidR="00D01214" w:rsidRDefault="00D01214" w:rsidP="00D56272">
      <w:r>
        <w:separator/>
      </w:r>
    </w:p>
  </w:footnote>
  <w:footnote w:type="continuationSeparator" w:id="0">
    <w:p w14:paraId="1799CD71" w14:textId="77777777" w:rsidR="00D01214" w:rsidRDefault="00D01214" w:rsidP="00D56272">
      <w:r>
        <w:continuationSeparator/>
      </w:r>
    </w:p>
  </w:footnote>
  <w:footnote w:id="1">
    <w:p w14:paraId="34DEB0FE" w14:textId="1274452C" w:rsidR="00DC42FE" w:rsidRPr="00DC42FE" w:rsidRDefault="00DC42FE">
      <w:pPr>
        <w:pStyle w:val="FootnoteText"/>
        <w:rPr>
          <w:sz w:val="20"/>
          <w:szCs w:val="20"/>
        </w:rPr>
      </w:pPr>
      <w:r w:rsidRPr="00DC42FE">
        <w:rPr>
          <w:rStyle w:val="FootnoteReference"/>
          <w:sz w:val="20"/>
          <w:szCs w:val="20"/>
        </w:rPr>
        <w:footnoteRef/>
      </w:r>
      <w:r w:rsidRPr="00DC42FE">
        <w:rPr>
          <w:sz w:val="20"/>
          <w:szCs w:val="20"/>
        </w:rPr>
        <w:t xml:space="preserve"> </w:t>
      </w:r>
      <w:r w:rsidR="00F324A3">
        <w:rPr>
          <w:sz w:val="20"/>
          <w:szCs w:val="20"/>
        </w:rPr>
        <w:t xml:space="preserve">By this I mean </w:t>
      </w:r>
      <w:proofErr w:type="spellStart"/>
      <w:r w:rsidR="00F324A3" w:rsidRPr="00F324A3">
        <w:rPr>
          <w:i/>
          <w:iCs/>
          <w:sz w:val="20"/>
          <w:szCs w:val="20"/>
        </w:rPr>
        <w:t>lilû</w:t>
      </w:r>
      <w:proofErr w:type="spellEnd"/>
      <w:r w:rsidR="00F324A3">
        <w:rPr>
          <w:sz w:val="20"/>
          <w:szCs w:val="20"/>
        </w:rPr>
        <w:t xml:space="preserve">, </w:t>
      </w:r>
      <w:proofErr w:type="spellStart"/>
      <w:r w:rsidR="00F324A3" w:rsidRPr="00F324A3">
        <w:rPr>
          <w:i/>
          <w:iCs/>
          <w:sz w:val="20"/>
          <w:szCs w:val="20"/>
        </w:rPr>
        <w:t>lilītu</w:t>
      </w:r>
      <w:proofErr w:type="spellEnd"/>
      <w:r w:rsidR="00F324A3">
        <w:rPr>
          <w:sz w:val="20"/>
          <w:szCs w:val="20"/>
        </w:rPr>
        <w:t xml:space="preserve">, </w:t>
      </w:r>
      <w:proofErr w:type="spellStart"/>
      <w:r w:rsidR="00F324A3" w:rsidRPr="00F324A3">
        <w:rPr>
          <w:i/>
          <w:iCs/>
          <w:sz w:val="20"/>
          <w:szCs w:val="20"/>
        </w:rPr>
        <w:t>ardat</w:t>
      </w:r>
      <w:proofErr w:type="spellEnd"/>
      <w:r w:rsidR="00F324A3" w:rsidRPr="00F324A3">
        <w:rPr>
          <w:i/>
          <w:iCs/>
          <w:sz w:val="20"/>
          <w:szCs w:val="20"/>
        </w:rPr>
        <w:t xml:space="preserve"> </w:t>
      </w:r>
      <w:proofErr w:type="spellStart"/>
      <w:r w:rsidR="00F324A3" w:rsidRPr="00F324A3">
        <w:rPr>
          <w:i/>
          <w:iCs/>
          <w:sz w:val="20"/>
          <w:szCs w:val="20"/>
        </w:rPr>
        <w:t>lilî</w:t>
      </w:r>
      <w:proofErr w:type="spellEnd"/>
      <w:r w:rsidR="00F324A3">
        <w:rPr>
          <w:sz w:val="20"/>
          <w:szCs w:val="20"/>
        </w:rPr>
        <w:t xml:space="preserve">, and </w:t>
      </w:r>
      <w:proofErr w:type="spellStart"/>
      <w:r w:rsidR="00F324A3" w:rsidRPr="00F324A3">
        <w:rPr>
          <w:i/>
          <w:iCs/>
          <w:sz w:val="20"/>
          <w:szCs w:val="20"/>
        </w:rPr>
        <w:t>eṭel</w:t>
      </w:r>
      <w:proofErr w:type="spellEnd"/>
      <w:r w:rsidR="00F324A3" w:rsidRPr="00F324A3">
        <w:rPr>
          <w:i/>
          <w:iCs/>
          <w:sz w:val="20"/>
          <w:szCs w:val="20"/>
        </w:rPr>
        <w:t xml:space="preserve"> </w:t>
      </w:r>
      <w:proofErr w:type="spellStart"/>
      <w:r w:rsidR="00F324A3" w:rsidRPr="00F324A3">
        <w:rPr>
          <w:i/>
          <w:iCs/>
          <w:sz w:val="20"/>
          <w:szCs w:val="20"/>
        </w:rPr>
        <w:t>lilî</w:t>
      </w:r>
      <w:proofErr w:type="spellEnd"/>
      <w:r w:rsidR="00F324A3">
        <w:rPr>
          <w:sz w:val="20"/>
          <w:szCs w:val="20"/>
        </w:rPr>
        <w:t xml:space="preserve">, on the basis that </w:t>
      </w:r>
      <w:r w:rsidR="00801DFE">
        <w:rPr>
          <w:sz w:val="20"/>
          <w:szCs w:val="20"/>
        </w:rPr>
        <w:t>their names include an element ‘</w:t>
      </w:r>
      <w:proofErr w:type="spellStart"/>
      <w:r w:rsidR="00801DFE">
        <w:rPr>
          <w:sz w:val="20"/>
          <w:szCs w:val="20"/>
        </w:rPr>
        <w:t>lil</w:t>
      </w:r>
      <w:proofErr w:type="spellEnd"/>
      <w:r w:rsidR="00801DFE">
        <w:rPr>
          <w:sz w:val="20"/>
          <w:szCs w:val="20"/>
        </w:rPr>
        <w:t xml:space="preserve">’ which is written </w:t>
      </w:r>
      <w:proofErr w:type="spellStart"/>
      <w:r w:rsidR="00801DFE">
        <w:rPr>
          <w:sz w:val="20"/>
          <w:szCs w:val="20"/>
        </w:rPr>
        <w:t>sumerographically</w:t>
      </w:r>
      <w:proofErr w:type="spellEnd"/>
      <w:r w:rsidR="00801DFE">
        <w:rPr>
          <w:sz w:val="20"/>
          <w:szCs w:val="20"/>
        </w:rPr>
        <w:t xml:space="preserve"> as </w:t>
      </w:r>
      <w:proofErr w:type="spellStart"/>
      <w:r w:rsidR="00801DFE">
        <w:rPr>
          <w:sz w:val="20"/>
          <w:szCs w:val="20"/>
        </w:rPr>
        <w:t>líl</w:t>
      </w:r>
      <w:proofErr w:type="spellEnd"/>
      <w:r w:rsidR="00801DFE">
        <w:rPr>
          <w:sz w:val="20"/>
          <w:szCs w:val="20"/>
        </w:rPr>
        <w:t xml:space="preserve">.  </w:t>
      </w:r>
      <w:r w:rsidR="00801DFE" w:rsidRPr="004B6669">
        <w:rPr>
          <w:sz w:val="20"/>
        </w:rPr>
        <w:fldChar w:fldCharType="begin"/>
      </w:r>
      <w:r w:rsidR="00F324A3">
        <w:rPr>
          <w:sz w:val="20"/>
        </w:rPr>
        <w:instrText xml:space="preserve"> ADDIN EN.CITE &lt;EndNote&gt;&lt;Cite&gt;&lt;Author&gt;Wiggermann&lt;/Author&gt;&lt;Year&gt;2011&lt;/Year&gt;&lt;RecNum&gt;3041&lt;/RecNum&gt;&lt;Pages&gt;312&lt;/Pages&gt;&lt;DisplayText&gt;Wiggermann, &lt;style face="italic"&gt;Studi e Materiali di Storia delle Religioni&lt;/style&gt; 77/2 (2011) 312&lt;/DisplayText&gt;&lt;record&gt;&lt;rec-number&gt;3041&lt;/rec-number&gt;&lt;foreign-keys&gt;&lt;key app="EN" db-id="225fxd904pw0zueapxd5pdxewdrsefare5tz" timestamp="1518480619"&gt;3041&lt;/key&gt;&lt;/foreign-keys&gt;&lt;ref-type name="Journal Article"&gt;17&lt;/ref-type&gt;&lt;contributors&gt;&lt;authors&gt;&lt;author&gt;Wiggermann, F. A. M.&lt;/author&gt;&lt;/authors&gt;&lt;/contributors&gt;&lt;titles&gt;&lt;title&gt;The Mesopotamian Pandemonium: A Provisional Census&lt;/title&gt;&lt;secondary-title&gt;Studi e Materiali di Storia delle Religioni&lt;/secondary-title&gt;&lt;/titles&gt;&lt;periodical&gt;&lt;full-title&gt;Studi e Materiali di Storia delle Religioni&lt;/full-title&gt;&lt;/periodical&gt;&lt;pages&gt;298-322&lt;/pages&gt;&lt;volume&gt;77&lt;/volume&gt;&lt;number&gt;2&lt;/number&gt;&lt;dates&gt;&lt;year&gt;2011&lt;/year&gt;&lt;/dates&gt;&lt;urls&gt;&lt;/urls&gt;&lt;/record&gt;&lt;/Cite&gt;&lt;/EndNote&gt;</w:instrText>
      </w:r>
      <w:r w:rsidR="00801DFE" w:rsidRPr="004B6669">
        <w:rPr>
          <w:sz w:val="20"/>
        </w:rPr>
        <w:fldChar w:fldCharType="separate"/>
      </w:r>
      <w:r w:rsidR="00F324A3">
        <w:rPr>
          <w:noProof/>
          <w:sz w:val="20"/>
        </w:rPr>
        <w:t xml:space="preserve">Wiggermann, </w:t>
      </w:r>
      <w:r w:rsidR="00F324A3" w:rsidRPr="00F324A3">
        <w:rPr>
          <w:i/>
          <w:noProof/>
          <w:sz w:val="20"/>
        </w:rPr>
        <w:t>Studi e Materiali di Storia delle Religioni</w:t>
      </w:r>
      <w:r w:rsidR="00F324A3">
        <w:rPr>
          <w:noProof/>
          <w:sz w:val="20"/>
        </w:rPr>
        <w:t xml:space="preserve"> 77/2 (2011) 312</w:t>
      </w:r>
      <w:r w:rsidR="00801DFE" w:rsidRPr="004B6669">
        <w:rPr>
          <w:sz w:val="20"/>
        </w:rPr>
        <w:fldChar w:fldCharType="end"/>
      </w:r>
      <w:r w:rsidR="00801DFE">
        <w:rPr>
          <w:sz w:val="20"/>
        </w:rPr>
        <w:t xml:space="preserve"> suggests that the rarely attested </w:t>
      </w:r>
      <w:proofErr w:type="spellStart"/>
      <w:r w:rsidR="00801DFE" w:rsidRPr="00801DFE">
        <w:rPr>
          <w:i/>
          <w:sz w:val="20"/>
        </w:rPr>
        <w:t>naššuqītu</w:t>
      </w:r>
      <w:proofErr w:type="spellEnd"/>
      <w:r w:rsidR="00801DFE" w:rsidRPr="00801DFE">
        <w:rPr>
          <w:sz w:val="20"/>
        </w:rPr>
        <w:t xml:space="preserve"> ‘</w:t>
      </w:r>
      <w:r w:rsidR="00801DFE">
        <w:rPr>
          <w:sz w:val="20"/>
        </w:rPr>
        <w:t>female</w:t>
      </w:r>
      <w:r w:rsidR="00801DFE" w:rsidRPr="00801DFE">
        <w:rPr>
          <w:sz w:val="20"/>
        </w:rPr>
        <w:t xml:space="preserve"> kisser’</w:t>
      </w:r>
      <w:r w:rsidR="00801DFE">
        <w:rPr>
          <w:sz w:val="20"/>
        </w:rPr>
        <w:t xml:space="preserve"> belongs to the same group.  </w:t>
      </w:r>
      <w:proofErr w:type="spellStart"/>
      <w:r w:rsidR="00801DFE" w:rsidRPr="004B6669">
        <w:rPr>
          <w:sz w:val="20"/>
        </w:rPr>
        <w:t>AHw</w:t>
      </w:r>
      <w:proofErr w:type="spellEnd"/>
      <w:r w:rsidR="00801DFE" w:rsidRPr="004B6669">
        <w:rPr>
          <w:sz w:val="20"/>
        </w:rPr>
        <w:t xml:space="preserve"> </w:t>
      </w:r>
      <w:r w:rsidR="00801DFE">
        <w:rPr>
          <w:sz w:val="20"/>
        </w:rPr>
        <w:t xml:space="preserve">(1969) </w:t>
      </w:r>
      <w:r w:rsidR="00801DFE" w:rsidRPr="004B6669">
        <w:rPr>
          <w:sz w:val="20"/>
        </w:rPr>
        <w:t xml:space="preserve">761b takes </w:t>
      </w:r>
      <w:r w:rsidR="00801DFE">
        <w:rPr>
          <w:sz w:val="20"/>
        </w:rPr>
        <w:t xml:space="preserve">this more generally as </w:t>
      </w:r>
      <w:r w:rsidR="00801DFE" w:rsidRPr="004B6669">
        <w:rPr>
          <w:sz w:val="20"/>
        </w:rPr>
        <w:t>“</w:t>
      </w:r>
      <w:proofErr w:type="spellStart"/>
      <w:r w:rsidR="00801DFE" w:rsidRPr="004B6669">
        <w:rPr>
          <w:sz w:val="20"/>
        </w:rPr>
        <w:t>bösartig</w:t>
      </w:r>
      <w:proofErr w:type="spellEnd"/>
      <w:r w:rsidR="00801DFE" w:rsidRPr="004B6669">
        <w:rPr>
          <w:sz w:val="20"/>
        </w:rPr>
        <w:t xml:space="preserve"> </w:t>
      </w:r>
      <w:proofErr w:type="spellStart"/>
      <w:r w:rsidR="00801DFE" w:rsidRPr="004B6669">
        <w:rPr>
          <w:sz w:val="20"/>
        </w:rPr>
        <w:t>küssende</w:t>
      </w:r>
      <w:proofErr w:type="spellEnd"/>
      <w:r w:rsidR="00801DFE" w:rsidRPr="004B6669">
        <w:rPr>
          <w:sz w:val="20"/>
        </w:rPr>
        <w:t xml:space="preserve"> (</w:t>
      </w:r>
      <w:proofErr w:type="spellStart"/>
      <w:r w:rsidR="00801DFE" w:rsidRPr="004B6669">
        <w:rPr>
          <w:sz w:val="20"/>
        </w:rPr>
        <w:t>Dämonin</w:t>
      </w:r>
      <w:proofErr w:type="spellEnd"/>
      <w:r w:rsidR="00801DFE" w:rsidRPr="004B6669">
        <w:rPr>
          <w:sz w:val="20"/>
        </w:rPr>
        <w:t>)”, with ref. to GAG § 35o: 36 (“</w:t>
      </w:r>
      <w:proofErr w:type="spellStart"/>
      <w:r w:rsidR="00801DFE" w:rsidRPr="004B6669">
        <w:rPr>
          <w:sz w:val="20"/>
        </w:rPr>
        <w:t>Adjektive</w:t>
      </w:r>
      <w:proofErr w:type="spellEnd"/>
      <w:r w:rsidR="00801DFE" w:rsidRPr="004B6669">
        <w:rPr>
          <w:sz w:val="20"/>
        </w:rPr>
        <w:t xml:space="preserve"> für </w:t>
      </w:r>
      <w:proofErr w:type="spellStart"/>
      <w:r w:rsidR="00801DFE" w:rsidRPr="004B6669">
        <w:rPr>
          <w:sz w:val="20"/>
        </w:rPr>
        <w:t>schlechte</w:t>
      </w:r>
      <w:proofErr w:type="spellEnd"/>
      <w:r w:rsidR="00801DFE" w:rsidRPr="004B6669">
        <w:rPr>
          <w:sz w:val="20"/>
        </w:rPr>
        <w:t xml:space="preserve"> </w:t>
      </w:r>
      <w:proofErr w:type="spellStart"/>
      <w:r w:rsidR="00801DFE" w:rsidRPr="004B6669">
        <w:rPr>
          <w:sz w:val="20"/>
        </w:rPr>
        <w:t>Gewohnheiten</w:t>
      </w:r>
      <w:proofErr w:type="spellEnd"/>
      <w:r w:rsidR="00801DFE" w:rsidRPr="004B6669">
        <w:rPr>
          <w:sz w:val="20"/>
        </w:rPr>
        <w:t xml:space="preserve">”).  CAD N/ii </w:t>
      </w:r>
      <w:r w:rsidR="00801DFE">
        <w:rPr>
          <w:sz w:val="20"/>
        </w:rPr>
        <w:t xml:space="preserve">(1980) </w:t>
      </w:r>
      <w:r w:rsidR="00801DFE" w:rsidRPr="004B6669">
        <w:rPr>
          <w:sz w:val="20"/>
        </w:rPr>
        <w:t xml:space="preserve">79a </w:t>
      </w:r>
      <w:r w:rsidR="00801DFE">
        <w:rPr>
          <w:sz w:val="20"/>
        </w:rPr>
        <w:t xml:space="preserve">instead </w:t>
      </w:r>
      <w:r w:rsidR="00801DFE" w:rsidRPr="004B6669">
        <w:rPr>
          <w:sz w:val="20"/>
        </w:rPr>
        <w:t xml:space="preserve">takes </w:t>
      </w:r>
      <w:r w:rsidR="00801DFE">
        <w:rPr>
          <w:sz w:val="20"/>
        </w:rPr>
        <w:t xml:space="preserve">the word </w:t>
      </w:r>
      <w:r w:rsidR="00801DFE" w:rsidRPr="004B6669">
        <w:rPr>
          <w:sz w:val="20"/>
        </w:rPr>
        <w:t>as “a hardship”.</w:t>
      </w:r>
    </w:p>
  </w:footnote>
  <w:footnote w:id="2">
    <w:p w14:paraId="4394B934" w14:textId="54A6F8F2" w:rsidR="008D4DA3" w:rsidRPr="00D62E7D" w:rsidRDefault="008D4DA3">
      <w:pPr>
        <w:pStyle w:val="FootnoteText"/>
        <w:rPr>
          <w:sz w:val="20"/>
          <w:szCs w:val="20"/>
        </w:rPr>
      </w:pPr>
      <w:r w:rsidRPr="00D62E7D">
        <w:rPr>
          <w:rStyle w:val="FootnoteReference"/>
          <w:sz w:val="20"/>
          <w:szCs w:val="20"/>
        </w:rPr>
        <w:footnoteRef/>
      </w:r>
      <w:r w:rsidRPr="00D62E7D">
        <w:rPr>
          <w:sz w:val="20"/>
          <w:szCs w:val="20"/>
        </w:rPr>
        <w:t xml:space="preserve"> See </w:t>
      </w:r>
      <w:r w:rsidR="00F324A3">
        <w:rPr>
          <w:sz w:val="20"/>
          <w:szCs w:val="20"/>
        </w:rPr>
        <w:fldChar w:fldCharType="begin"/>
      </w:r>
      <w:r w:rsidR="00F324A3">
        <w:rPr>
          <w:sz w:val="20"/>
          <w:szCs w:val="20"/>
        </w:rPr>
        <w:instrText xml:space="preserve"> ADDIN EN.CITE &lt;EndNote&gt;&lt;Cite&gt;&lt;Author&gt;Montgomery&lt;/Author&gt;&lt;Year&gt;1913&lt;/Year&gt;&lt;RecNum&gt;2864&lt;/RecNum&gt;&lt;DisplayText&gt;Montgomery, &lt;style face="italic"&gt;Aramaic Incantation Texts from Nippur &lt;/style&gt;(1913)&lt;/DisplayText&gt;&lt;record&gt;&lt;rec-number&gt;2864&lt;/rec-number&gt;&lt;foreign-keys&gt;&lt;key app="EN" db-id="225fxd904pw0zueapxd5pdxewdrsefare5tz" timestamp="1513733667"&gt;2864&lt;/key&gt;&lt;/foreign-keys&gt;&lt;ref-type name="Book"&gt;6&lt;/ref-type&gt;&lt;contributors&gt;&lt;authors&gt;&lt;author&gt;Montgomery, J. A.&lt;/author&gt;&lt;/authors&gt;&lt;/contributors&gt;&lt;titles&gt;&lt;title&gt;Aramaic Incantation Texts from Nippur&lt;/title&gt;&lt;secondary-title&gt;PBS&lt;/secondary-title&gt;&lt;/titles&gt;&lt;number&gt;3&lt;/number&gt;&lt;dates&gt;&lt;year&gt;1913&lt;/year&gt;&lt;/dates&gt;&lt;pub-location&gt;Philadelphia&lt;/pub-location&gt;&lt;publisher&gt;The University Museum&lt;/publisher&gt;&lt;urls&gt;&lt;/urls&gt;&lt;/record&gt;&lt;/Cite&gt;&lt;/EndNote&gt;</w:instrText>
      </w:r>
      <w:r w:rsidR="00F324A3">
        <w:rPr>
          <w:sz w:val="20"/>
          <w:szCs w:val="20"/>
        </w:rPr>
        <w:fldChar w:fldCharType="separate"/>
      </w:r>
      <w:r w:rsidR="00F324A3">
        <w:rPr>
          <w:noProof/>
          <w:sz w:val="20"/>
          <w:szCs w:val="20"/>
        </w:rPr>
        <w:t xml:space="preserve">Montgomery, </w:t>
      </w:r>
      <w:r w:rsidR="00F324A3" w:rsidRPr="00F324A3">
        <w:rPr>
          <w:i/>
          <w:noProof/>
          <w:sz w:val="20"/>
          <w:szCs w:val="20"/>
        </w:rPr>
        <w:t xml:space="preserve">Aramaic Incantation Texts from Nippur </w:t>
      </w:r>
      <w:r w:rsidR="00F324A3">
        <w:rPr>
          <w:noProof/>
          <w:sz w:val="20"/>
          <w:szCs w:val="20"/>
        </w:rPr>
        <w:t>(1913)</w:t>
      </w:r>
      <w:r w:rsidR="00F324A3">
        <w:rPr>
          <w:sz w:val="20"/>
          <w:szCs w:val="20"/>
        </w:rPr>
        <w:fldChar w:fldCharType="end"/>
      </w:r>
      <w:r w:rsidR="00D62E7D" w:rsidRPr="00D62E7D">
        <w:rPr>
          <w:sz w:val="20"/>
          <w:szCs w:val="20"/>
        </w:rPr>
        <w:t xml:space="preserve"> </w:t>
      </w:r>
      <w:r w:rsidRPr="00D62E7D">
        <w:rPr>
          <w:sz w:val="20"/>
          <w:szCs w:val="20"/>
        </w:rPr>
        <w:t>and many more recent publications</w:t>
      </w:r>
      <w:r w:rsidR="00DC42FE">
        <w:rPr>
          <w:sz w:val="20"/>
          <w:szCs w:val="20"/>
        </w:rPr>
        <w:t>, such as</w:t>
      </w:r>
      <w:r w:rsidR="00801DFE">
        <w:rPr>
          <w:sz w:val="20"/>
          <w:szCs w:val="20"/>
        </w:rPr>
        <w:t xml:space="preserve"> </w:t>
      </w:r>
      <w:r w:rsidR="00F324A3">
        <w:rPr>
          <w:sz w:val="20"/>
          <w:szCs w:val="20"/>
        </w:rPr>
        <w:fldChar w:fldCharType="begin"/>
      </w:r>
      <w:r w:rsidR="00F324A3">
        <w:rPr>
          <w:sz w:val="20"/>
          <w:szCs w:val="20"/>
        </w:rPr>
        <w:instrText xml:space="preserve"> ADDIN EN.CITE &lt;EndNote&gt;&lt;Cite&gt;&lt;Author&gt;Ford&lt;/Author&gt;&lt;Year&gt;2019&lt;/Year&gt;&lt;RecNum&gt;5798&lt;/RecNum&gt;&lt;DisplayText&gt;Ford and Morgenstern, &lt;style face="italic"&gt;Hilprecht Bowls &lt;/style&gt;(2019)&lt;/DisplayText&gt;&lt;record&gt;&lt;rec-number&gt;5798&lt;/rec-number&gt;&lt;foreign-keys&gt;&lt;key app="EN" db-id="225fxd904pw0zueapxd5pdxewdrsefare5tz" timestamp="1682163658"&gt;5798&lt;/key&gt;&lt;/foreign-keys&gt;&lt;ref-type name="Book"&gt;6&lt;/ref-type&gt;&lt;contributors&gt;&lt;authors&gt;&lt;author&gt;Ford, James Nathan&lt;/author&gt;&lt;author&gt;Morgenstern, Matthew&lt;/author&gt;&lt;/authors&gt;&lt;/contributors&gt;&lt;titles&gt;&lt;title&gt;Aramaic Incantation Bowls in Museum Collections. Volume One: The Frau Professor Hilprecht Collection of Babylonian Antiquities, Jena&lt;/title&gt;&lt;secondary-title&gt;Magical and Religious Literature of Late Antiquity&lt;/secondary-title&gt;&lt;short-title&gt;Hilprecht Bowls&lt;/short-title&gt;&lt;/titles&gt;&lt;volume&gt;8&lt;/volume&gt;&lt;dates&gt;&lt;year&gt;2019&lt;/year&gt;&lt;pub-dates&gt;&lt;date&gt;04 Nov. 2019&lt;/date&gt;&lt;/pub-dates&gt;&lt;/dates&gt;&lt;pub-location&gt;Leiden, The Netherlands&lt;/pub-location&gt;&lt;publisher&gt;Brill&lt;/publisher&gt;&lt;isbn&gt;978-90-04-41183-8&lt;/isbn&gt;&lt;urls&gt;&lt;related-urls&gt;&lt;url&gt;https://brill.com/view/title/38923&lt;/url&gt;&lt;/related-urls&gt;&lt;/urls&gt;&lt;electronic-resource-num&gt;https://doi.org/10.1163/9789004411838&lt;/electronic-resource-num&gt;&lt;language&gt;English&lt;/language&gt;&lt;/record&gt;&lt;/Cite&gt;&lt;/EndNote&gt;</w:instrText>
      </w:r>
      <w:r w:rsidR="00F324A3">
        <w:rPr>
          <w:sz w:val="20"/>
          <w:szCs w:val="20"/>
        </w:rPr>
        <w:fldChar w:fldCharType="separate"/>
      </w:r>
      <w:r w:rsidR="00F324A3">
        <w:rPr>
          <w:noProof/>
          <w:sz w:val="20"/>
          <w:szCs w:val="20"/>
        </w:rPr>
        <w:t xml:space="preserve">Ford and Morgenstern, </w:t>
      </w:r>
      <w:r w:rsidR="00F324A3" w:rsidRPr="00F324A3">
        <w:rPr>
          <w:i/>
          <w:noProof/>
          <w:sz w:val="20"/>
          <w:szCs w:val="20"/>
        </w:rPr>
        <w:t xml:space="preserve">Hilprecht Bowls </w:t>
      </w:r>
      <w:r w:rsidR="00F324A3">
        <w:rPr>
          <w:noProof/>
          <w:sz w:val="20"/>
          <w:szCs w:val="20"/>
        </w:rPr>
        <w:t>(2019)</w:t>
      </w:r>
      <w:r w:rsidR="00F324A3">
        <w:rPr>
          <w:sz w:val="20"/>
          <w:szCs w:val="20"/>
        </w:rPr>
        <w:fldChar w:fldCharType="end"/>
      </w:r>
      <w:r w:rsidR="00DC42FE">
        <w:rPr>
          <w:sz w:val="20"/>
          <w:szCs w:val="20"/>
        </w:rPr>
        <w:t xml:space="preserve"> </w:t>
      </w:r>
      <w:r w:rsidR="00801DFE">
        <w:rPr>
          <w:sz w:val="20"/>
          <w:szCs w:val="20"/>
        </w:rPr>
        <w:t xml:space="preserve">or </w:t>
      </w:r>
      <w:r w:rsidR="00F324A3">
        <w:rPr>
          <w:sz w:val="20"/>
          <w:szCs w:val="20"/>
        </w:rPr>
        <w:fldChar w:fldCharType="begin"/>
      </w:r>
      <w:r w:rsidR="00F324A3">
        <w:rPr>
          <w:sz w:val="20"/>
          <w:szCs w:val="20"/>
        </w:rPr>
        <w:instrText xml:space="preserve"> ADDIN EN.CITE &lt;EndNote&gt;&lt;Cite&gt;&lt;Author&gt;Shaked&lt;/Author&gt;&lt;Year&gt;2022&lt;/Year&gt;&lt;RecNum&gt;5797&lt;/RecNum&gt;&lt;DisplayText&gt;Shaked, Ford and Bhayro, &lt;style face="italic"&gt;Bowl Spells &lt;/style&gt;(2022)&lt;/DisplayText&gt;&lt;record&gt;&lt;rec-number&gt;5797&lt;/rec-number&gt;&lt;foreign-keys&gt;&lt;key app="EN" db-id="225fxd904pw0zueapxd5pdxewdrsefare5tz" timestamp="1682163583"&gt;5797&lt;/key&gt;&lt;/foreign-keys&gt;&lt;ref-type name="Book"&gt;6&lt;/ref-type&gt;&lt;contributors&gt;&lt;authors&gt;&lt;author&gt;Shaked, Shaul&lt;/author&gt;&lt;author&gt;Ford, James Nathan&lt;/author&gt;&lt;author&gt;Bhayro, Siam&lt;/author&gt;&lt;/authors&gt;&lt;/contributors&gt;&lt;titles&gt;&lt;title&gt;Aramaic Bowl Spells&lt;/title&gt;&lt;secondary-title&gt;Magical and Religious Literature of Late Antiquity&lt;/secondary-title&gt;&lt;short-title&gt;Bowl Spells&lt;/short-title&gt;&lt;/titles&gt;&lt;number&gt;10&lt;/number&gt;&lt;dates&gt;&lt;year&gt;2022&lt;/year&gt;&lt;pub-dates&gt;&lt;date&gt;23 Mar. 2022&lt;/date&gt;&lt;/pub-dates&gt;&lt;/dates&gt;&lt;pub-location&gt;Leiden&lt;/pub-location&gt;&lt;publisher&gt;Brill&lt;/publisher&gt;&lt;isbn&gt;978-90-04-47171-9&lt;/isbn&gt;&lt;urls&gt;&lt;related-urls&gt;&lt;url&gt;https://brill.com/view/title/60966&lt;/url&gt;&lt;/related-urls&gt;&lt;/urls&gt;&lt;electronic-resource-num&gt;https://doi.org/10.1163/9789004471719&lt;/electronic-resource-num&gt;&lt;language&gt;English&lt;/language&gt;&lt;/record&gt;&lt;/Cite&gt;&lt;/EndNote&gt;</w:instrText>
      </w:r>
      <w:r w:rsidR="00F324A3">
        <w:rPr>
          <w:sz w:val="20"/>
          <w:szCs w:val="20"/>
        </w:rPr>
        <w:fldChar w:fldCharType="separate"/>
      </w:r>
      <w:r w:rsidR="00F324A3">
        <w:rPr>
          <w:noProof/>
          <w:sz w:val="20"/>
          <w:szCs w:val="20"/>
        </w:rPr>
        <w:t xml:space="preserve">Shaked, Ford and Bhayro, </w:t>
      </w:r>
      <w:r w:rsidR="00F324A3" w:rsidRPr="00F324A3">
        <w:rPr>
          <w:i/>
          <w:noProof/>
          <w:sz w:val="20"/>
          <w:szCs w:val="20"/>
        </w:rPr>
        <w:t xml:space="preserve">Bowl Spells </w:t>
      </w:r>
      <w:r w:rsidR="00F324A3">
        <w:rPr>
          <w:noProof/>
          <w:sz w:val="20"/>
          <w:szCs w:val="20"/>
        </w:rPr>
        <w:t>(2022)</w:t>
      </w:r>
      <w:r w:rsidR="00F324A3">
        <w:rPr>
          <w:sz w:val="20"/>
          <w:szCs w:val="20"/>
        </w:rPr>
        <w:fldChar w:fldCharType="end"/>
      </w:r>
      <w:r w:rsidRPr="00D62E7D">
        <w:rPr>
          <w:sz w:val="20"/>
          <w:szCs w:val="20"/>
        </w:rPr>
        <w:t>.</w:t>
      </w:r>
    </w:p>
  </w:footnote>
  <w:footnote w:id="3">
    <w:p w14:paraId="45724963" w14:textId="2352A0C4" w:rsidR="00DC42FE" w:rsidRPr="004B6669" w:rsidRDefault="00DC42FE" w:rsidP="00DC42FE">
      <w:pPr>
        <w:pStyle w:val="FootnoteText"/>
        <w:spacing w:before="2" w:after="2"/>
        <w:rPr>
          <w:sz w:val="20"/>
        </w:rPr>
      </w:pPr>
      <w:r w:rsidRPr="004B6669">
        <w:rPr>
          <w:rStyle w:val="FootnoteReference"/>
          <w:sz w:val="20"/>
        </w:rPr>
        <w:footnoteRef/>
      </w:r>
      <w:r w:rsidRPr="004B6669">
        <w:rPr>
          <w:sz w:val="20"/>
        </w:rPr>
        <w:t xml:space="preserve"> </w:t>
      </w:r>
      <w:r w:rsidRPr="004B6669">
        <w:rPr>
          <w:sz w:val="20"/>
        </w:rPr>
        <w:fldChar w:fldCharType="begin"/>
      </w:r>
      <w:r w:rsidR="00F324A3">
        <w:rPr>
          <w:sz w:val="20"/>
        </w:rPr>
        <w:instrText xml:space="preserve"> ADDIN EN.CITE &lt;EndNote&gt;&lt;Cite&gt;&lt;Author&gt;Lackenbacher&lt;/Author&gt;&lt;Year&gt;1971&lt;/Year&gt;&lt;RecNum&gt;1273&lt;/RecNum&gt;&lt;Pages&gt;149&lt;/Pages&gt;&lt;DisplayText&gt;Lackenbacher, &lt;style face="italic"&gt;RA&lt;/style&gt; 65/2 (1971) 149&lt;/DisplayText&gt;&lt;record&gt;&lt;rec-number&gt;1273&lt;/rec-number&gt;&lt;foreign-keys&gt;&lt;key app="EN" db-id="225fxd904pw0zueapxd5pdxewdrsefare5tz" timestamp="1466356841"&gt;1273&lt;/key&gt;&lt;/foreign-keys&gt;&lt;ref-type name="Journal Article"&gt;17&lt;/ref-type&gt;&lt;contributors&gt;&lt;authors&gt;&lt;author&gt;Lackenbacher, S.&lt;/author&gt;&lt;/authors&gt;&lt;/contributors&gt;&lt;titles&gt;&lt;title&gt;Note sur l&amp;apos;ardat lilî&lt;/title&gt;&lt;secondary-title&gt;RA&lt;/secondary-title&gt;&lt;/titles&gt;&lt;periodical&gt;&lt;full-title&gt;RA&lt;/full-title&gt;&lt;/periodical&gt;&lt;pages&gt;119-154&lt;/pages&gt;&lt;volume&gt;65&lt;/volume&gt;&lt;number&gt;2&lt;/number&gt;&lt;dates&gt;&lt;year&gt;1971&lt;/year&gt;&lt;/dates&gt;&lt;publisher&gt;Presses Universitaires de France&lt;/publisher&gt;&lt;isbn&gt;03736032, 21043817&lt;/isbn&gt;&lt;urls&gt;&lt;related-urls&gt;&lt;url&gt;http://www.jstor.org/stable/23283434&lt;/url&gt;&lt;/related-urls&gt;&lt;/urls&gt;&lt;custom1&gt;Full publication date: 1971&lt;/custom1&gt;&lt;/record&gt;&lt;/Cite&gt;&lt;/EndNote&gt;</w:instrText>
      </w:r>
      <w:r w:rsidRPr="004B6669">
        <w:rPr>
          <w:sz w:val="20"/>
        </w:rPr>
        <w:fldChar w:fldCharType="separate"/>
      </w:r>
      <w:r w:rsidR="00F324A3">
        <w:rPr>
          <w:noProof/>
          <w:sz w:val="20"/>
        </w:rPr>
        <w:t xml:space="preserve">Lackenbacher, </w:t>
      </w:r>
      <w:r w:rsidR="00F324A3" w:rsidRPr="00F324A3">
        <w:rPr>
          <w:i/>
          <w:noProof/>
          <w:sz w:val="20"/>
        </w:rPr>
        <w:t>RA</w:t>
      </w:r>
      <w:r w:rsidR="00F324A3">
        <w:rPr>
          <w:noProof/>
          <w:sz w:val="20"/>
        </w:rPr>
        <w:t xml:space="preserve"> 65/2 (1971) 149</w:t>
      </w:r>
      <w:r w:rsidRPr="004B6669">
        <w:rPr>
          <w:sz w:val="20"/>
        </w:rPr>
        <w:fldChar w:fldCharType="end"/>
      </w:r>
      <w:r w:rsidRPr="004B6669">
        <w:rPr>
          <w:sz w:val="20"/>
        </w:rPr>
        <w:t xml:space="preserve"> collected evidence that the </w:t>
      </w:r>
      <w:proofErr w:type="spellStart"/>
      <w:r w:rsidRPr="004B6669">
        <w:rPr>
          <w:i/>
          <w:sz w:val="20"/>
        </w:rPr>
        <w:t>ardat</w:t>
      </w:r>
      <w:proofErr w:type="spellEnd"/>
      <w:r w:rsidRPr="004B6669">
        <w:rPr>
          <w:i/>
          <w:sz w:val="20"/>
        </w:rPr>
        <w:t xml:space="preserve"> </w:t>
      </w:r>
      <w:proofErr w:type="spellStart"/>
      <w:r w:rsidRPr="004B6669">
        <w:rPr>
          <w:i/>
          <w:sz w:val="20"/>
        </w:rPr>
        <w:t>lilî</w:t>
      </w:r>
      <w:proofErr w:type="spellEnd"/>
      <w:r w:rsidRPr="004B6669">
        <w:rPr>
          <w:i/>
          <w:sz w:val="20"/>
        </w:rPr>
        <w:t xml:space="preserve"> </w:t>
      </w:r>
      <w:r w:rsidRPr="004B6669">
        <w:rPr>
          <w:sz w:val="20"/>
        </w:rPr>
        <w:t xml:space="preserve">was “la </w:t>
      </w:r>
      <w:proofErr w:type="spellStart"/>
      <w:r w:rsidRPr="004B6669">
        <w:rPr>
          <w:sz w:val="20"/>
        </w:rPr>
        <w:t>jeune</w:t>
      </w:r>
      <w:proofErr w:type="spellEnd"/>
      <w:r w:rsidRPr="004B6669">
        <w:rPr>
          <w:sz w:val="20"/>
        </w:rPr>
        <w:t xml:space="preserve"> fille qui </w:t>
      </w:r>
      <w:proofErr w:type="spellStart"/>
      <w:r w:rsidRPr="004B6669">
        <w:rPr>
          <w:sz w:val="20"/>
        </w:rPr>
        <w:t>n’a</w:t>
      </w:r>
      <w:proofErr w:type="spellEnd"/>
      <w:r w:rsidRPr="004B6669">
        <w:rPr>
          <w:sz w:val="20"/>
        </w:rPr>
        <w:t xml:space="preserve"> pas </w:t>
      </w:r>
      <w:proofErr w:type="spellStart"/>
      <w:r w:rsidRPr="004B6669">
        <w:rPr>
          <w:sz w:val="20"/>
        </w:rPr>
        <w:t>eu</w:t>
      </w:r>
      <w:proofErr w:type="spellEnd"/>
      <w:r w:rsidRPr="004B6669">
        <w:rPr>
          <w:sz w:val="20"/>
        </w:rPr>
        <w:t xml:space="preserve"> son </w:t>
      </w:r>
      <w:proofErr w:type="spellStart"/>
      <w:r w:rsidRPr="004B6669">
        <w:rPr>
          <w:sz w:val="20"/>
        </w:rPr>
        <w:t>destin</w:t>
      </w:r>
      <w:proofErr w:type="spellEnd"/>
      <w:r w:rsidRPr="004B6669">
        <w:rPr>
          <w:sz w:val="20"/>
        </w:rPr>
        <w:t xml:space="preserve"> normal, </w:t>
      </w:r>
      <w:proofErr w:type="spellStart"/>
      <w:r w:rsidRPr="004B6669">
        <w:rPr>
          <w:sz w:val="20"/>
        </w:rPr>
        <w:t>c’est</w:t>
      </w:r>
      <w:proofErr w:type="spellEnd"/>
      <w:r w:rsidRPr="004B6669">
        <w:rPr>
          <w:sz w:val="20"/>
        </w:rPr>
        <w:t xml:space="preserve">-à-dire qui </w:t>
      </w:r>
      <w:proofErr w:type="spellStart"/>
      <w:r w:rsidRPr="004B6669">
        <w:rPr>
          <w:sz w:val="20"/>
        </w:rPr>
        <w:t>n’a</w:t>
      </w:r>
      <w:proofErr w:type="spellEnd"/>
      <w:r w:rsidRPr="004B6669">
        <w:rPr>
          <w:sz w:val="20"/>
        </w:rPr>
        <w:t xml:space="preserve"> pas perdu </w:t>
      </w:r>
      <w:proofErr w:type="spellStart"/>
      <w:r w:rsidRPr="004B6669">
        <w:rPr>
          <w:sz w:val="20"/>
        </w:rPr>
        <w:t>sa</w:t>
      </w:r>
      <w:proofErr w:type="spellEnd"/>
      <w:r w:rsidRPr="004B6669">
        <w:rPr>
          <w:sz w:val="20"/>
        </w:rPr>
        <w:t xml:space="preserve"> </w:t>
      </w:r>
      <w:proofErr w:type="spellStart"/>
      <w:r w:rsidRPr="004B6669">
        <w:rPr>
          <w:sz w:val="20"/>
        </w:rPr>
        <w:t>virginite</w:t>
      </w:r>
      <w:proofErr w:type="spellEnd"/>
      <w:r w:rsidRPr="004B6669">
        <w:rPr>
          <w:sz w:val="20"/>
        </w:rPr>
        <w:t xml:space="preserve">́ et </w:t>
      </w:r>
      <w:proofErr w:type="spellStart"/>
      <w:r w:rsidRPr="004B6669">
        <w:rPr>
          <w:sz w:val="20"/>
        </w:rPr>
        <w:t>n’a</w:t>
      </w:r>
      <w:proofErr w:type="spellEnd"/>
      <w:r w:rsidRPr="004B6669">
        <w:rPr>
          <w:sz w:val="20"/>
        </w:rPr>
        <w:t xml:space="preserve"> pas </w:t>
      </w:r>
      <w:proofErr w:type="spellStart"/>
      <w:r w:rsidRPr="004B6669">
        <w:rPr>
          <w:sz w:val="20"/>
        </w:rPr>
        <w:t>eu</w:t>
      </w:r>
      <w:proofErr w:type="spellEnd"/>
      <w:r w:rsidRPr="004B6669">
        <w:rPr>
          <w:sz w:val="20"/>
        </w:rPr>
        <w:t xml:space="preserve"> d'enfant”.  See also the </w:t>
      </w:r>
      <w:proofErr w:type="spellStart"/>
      <w:r w:rsidRPr="004B6669">
        <w:rPr>
          <w:sz w:val="20"/>
        </w:rPr>
        <w:t>characterisation</w:t>
      </w:r>
      <w:proofErr w:type="spellEnd"/>
      <w:r w:rsidRPr="004B6669">
        <w:rPr>
          <w:sz w:val="20"/>
        </w:rPr>
        <w:t xml:space="preserve"> by </w:t>
      </w:r>
      <w:r w:rsidRPr="004B6669">
        <w:rPr>
          <w:sz w:val="20"/>
        </w:rPr>
        <w:fldChar w:fldCharType="begin"/>
      </w:r>
      <w:r w:rsidR="00F324A3">
        <w:rPr>
          <w:sz w:val="20"/>
        </w:rPr>
        <w:instrText xml:space="preserve"> ADDIN EN.CITE &lt;EndNote&gt;&lt;Cite&gt;&lt;Author&gt;Scurlock&lt;/Author&gt;&lt;Year&gt;1991&lt;/Year&gt;&lt;RecNum&gt;2228&lt;/RecNum&gt;&lt;Pages&gt;151&lt;/Pages&gt;&lt;DisplayText&gt;Scurlock, &lt;style face="italic"&gt;Incognita&lt;/style&gt; 2 (1991) 151&lt;/DisplayText&gt;&lt;record&gt;&lt;rec-number&gt;2228&lt;/rec-number&gt;&lt;foreign-keys&gt;&lt;key app="EN" db-id="225fxd904pw0zueapxd5pdxewdrsefare5tz" timestamp="1467609765"&gt;2228&lt;/key&gt;&lt;/foreign-keys&gt;&lt;ref-type name="Journal Article"&gt;17&lt;/ref-type&gt;&lt;contributors&gt;&lt;authors&gt;&lt;author&gt;Scurlock, J. A.&lt;/author&gt;&lt;/authors&gt;&lt;/contributors&gt;&lt;titles&gt;&lt;title&gt;Baby-snatching demons, restless souls and the dangers of childbirth&lt;/title&gt;&lt;secondary-title&gt;Incognita&lt;/secondary-title&gt;&lt;/titles&gt;&lt;periodical&gt;&lt;full-title&gt;Incognita&lt;/full-title&gt;&lt;/periodical&gt;&lt;pages&gt;135-183&lt;/pages&gt;&lt;volume&gt;2&lt;/volume&gt;&lt;dates&gt;&lt;year&gt;1991&lt;/year&gt;&lt;/dates&gt;&lt;urls&gt;&lt;/urls&gt;&lt;/record&gt;&lt;/Cite&gt;&lt;/EndNote&gt;</w:instrText>
      </w:r>
      <w:r w:rsidRPr="004B6669">
        <w:rPr>
          <w:sz w:val="20"/>
        </w:rPr>
        <w:fldChar w:fldCharType="separate"/>
      </w:r>
      <w:r w:rsidR="00F324A3">
        <w:rPr>
          <w:noProof/>
          <w:sz w:val="20"/>
        </w:rPr>
        <w:t xml:space="preserve">Scurlock, </w:t>
      </w:r>
      <w:r w:rsidR="00F324A3" w:rsidRPr="00F324A3">
        <w:rPr>
          <w:i/>
          <w:noProof/>
          <w:sz w:val="20"/>
        </w:rPr>
        <w:t>Incognita</w:t>
      </w:r>
      <w:r w:rsidR="00F324A3">
        <w:rPr>
          <w:noProof/>
          <w:sz w:val="20"/>
        </w:rPr>
        <w:t xml:space="preserve"> 2 (1991) 151</w:t>
      </w:r>
      <w:r w:rsidRPr="004B6669">
        <w:rPr>
          <w:sz w:val="20"/>
        </w:rPr>
        <w:fldChar w:fldCharType="end"/>
      </w:r>
      <w:r w:rsidRPr="004B6669">
        <w:rPr>
          <w:sz w:val="20"/>
        </w:rPr>
        <w:t xml:space="preserve"> “The </w:t>
      </w:r>
      <w:proofErr w:type="spellStart"/>
      <w:r w:rsidRPr="004B6669">
        <w:rPr>
          <w:i/>
          <w:sz w:val="20"/>
        </w:rPr>
        <w:t>lilû</w:t>
      </w:r>
      <w:proofErr w:type="spellEnd"/>
      <w:r w:rsidRPr="004B6669">
        <w:rPr>
          <w:sz w:val="20"/>
        </w:rPr>
        <w:t xml:space="preserve">-demons and their female counterparts the </w:t>
      </w:r>
      <w:proofErr w:type="spellStart"/>
      <w:r w:rsidRPr="004B6669">
        <w:rPr>
          <w:i/>
          <w:sz w:val="20"/>
        </w:rPr>
        <w:t>lilītu</w:t>
      </w:r>
      <w:proofErr w:type="spellEnd"/>
      <w:r w:rsidRPr="004B6669">
        <w:rPr>
          <w:i/>
          <w:sz w:val="20"/>
        </w:rPr>
        <w:t xml:space="preserve"> </w:t>
      </w:r>
      <w:r w:rsidRPr="004B6669">
        <w:rPr>
          <w:sz w:val="20"/>
        </w:rPr>
        <w:t xml:space="preserve">or </w:t>
      </w:r>
      <w:proofErr w:type="spellStart"/>
      <w:r w:rsidRPr="004B6669">
        <w:rPr>
          <w:i/>
          <w:sz w:val="20"/>
        </w:rPr>
        <w:t>ardat-lilî</w:t>
      </w:r>
      <w:proofErr w:type="spellEnd"/>
      <w:r w:rsidRPr="004B6669">
        <w:rPr>
          <w:i/>
          <w:sz w:val="20"/>
        </w:rPr>
        <w:t xml:space="preserve"> </w:t>
      </w:r>
      <w:r w:rsidRPr="004B6669">
        <w:rPr>
          <w:sz w:val="20"/>
        </w:rPr>
        <w:t xml:space="preserve">demons were hungry for victims because they had once been human; they were the spirits of young men and women who had themselves died young”.  </w:t>
      </w:r>
      <w:r w:rsidRPr="004B6669">
        <w:rPr>
          <w:sz w:val="20"/>
        </w:rPr>
        <w:fldChar w:fldCharType="begin"/>
      </w:r>
      <w:r w:rsidR="00F324A3">
        <w:rPr>
          <w:sz w:val="20"/>
        </w:rPr>
        <w:instrText xml:space="preserve"> ADDIN EN.CITE &lt;EndNote&gt;&lt;Cite&gt;&lt;Author&gt;Geller&lt;/Author&gt;&lt;Year&gt;2015&lt;/Year&gt;&lt;RecNum&gt;1282&lt;/RecNum&gt;&lt;Pages&gt;28:53&lt;/Pages&gt;&lt;DisplayText&gt;Geller and Vacín, &lt;style face="italic"&gt;Udug-hul &lt;/style&gt;(2015) 28:53&lt;/DisplayText&gt;&lt;record&gt;&lt;rec-number&gt;1282&lt;/rec-number&gt;&lt;foreign-keys&gt;&lt;key app="EN" db-id="225fxd904pw0zueapxd5pdxewdrsefare5tz" timestamp="1466466930"&gt;1282&lt;/key&gt;&lt;/foreign-keys&gt;&lt;ref-type name="Book"&gt;6&lt;/ref-type&gt;&lt;contributors&gt;&lt;authors&gt;&lt;author&gt;Geller, Markham J.&lt;/author&gt;&lt;author&gt;Vacín, Ludek&lt;/author&gt;&lt;/authors&gt;&lt;/contributors&gt;&lt;titles&gt;&lt;title&gt;Healing Magic and Evil Demons: Canonical Udug-hul Incantations&lt;/title&gt;&lt;secondary-title&gt;BAM&lt;/secondary-title&gt;&lt;short-title&gt;Udug-hul&lt;/short-title&gt;&lt;/titles&gt;&lt;periodical&gt;&lt;full-title&gt;BaM&lt;/full-title&gt;&lt;/periodical&gt;&lt;number&gt;8&lt;/number&gt;&lt;keywords&gt;&lt;keyword&gt;Exorcism -- Iraq.&lt;/keyword&gt;&lt;keyword&gt;Incantations, Assyro-Babylonian.&lt;/keyword&gt;&lt;keyword&gt;Incantations, Sumerian.&lt;/keyword&gt;&lt;keyword&gt;Magic, Assyro-Babylonian.&lt;/keyword&gt;&lt;keyword&gt;Ancient Near Eastern Studies.&lt;/keyword&gt;&lt;keyword&gt;Babylonisch.&lt;/keyword&gt;&lt;keyword&gt;Classical Studies.&lt;/keyword&gt;&lt;/keywords&gt;&lt;dates&gt;&lt;year&gt;2015&lt;/year&gt;&lt;/dates&gt;&lt;pub-location&gt;Berlin&lt;/pub-location&gt;&lt;publisher&gt;De Gruyter&lt;/publisher&gt;&lt;isbn&gt;9781614513094&lt;/isbn&gt;&lt;call-num&gt;299/.21, PJ3791&lt;/call-num&gt;&lt;urls&gt;&lt;related-urls&gt;&lt;url&gt;http://search.lib.cam.ac.uk/?itemid=|eresources|570530&lt;/url&gt;&lt;url&gt;http://ezproxy.lib.cam.ac.uk:2048/login?url=http://dx.doi.org/10.1515/9781614513094&lt;/url&gt;&lt;/related-urls&gt;&lt;/urls&gt;&lt;/record&gt;&lt;/Cite&gt;&lt;/EndNote&gt;</w:instrText>
      </w:r>
      <w:r w:rsidRPr="004B6669">
        <w:rPr>
          <w:sz w:val="20"/>
        </w:rPr>
        <w:fldChar w:fldCharType="separate"/>
      </w:r>
      <w:r w:rsidR="00F324A3">
        <w:rPr>
          <w:noProof/>
          <w:sz w:val="20"/>
        </w:rPr>
        <w:t xml:space="preserve">Geller and Vacín, </w:t>
      </w:r>
      <w:r w:rsidR="00F324A3" w:rsidRPr="00F324A3">
        <w:rPr>
          <w:i/>
          <w:noProof/>
          <w:sz w:val="20"/>
        </w:rPr>
        <w:t xml:space="preserve">Udug-hul </w:t>
      </w:r>
      <w:r w:rsidR="00F324A3">
        <w:rPr>
          <w:noProof/>
          <w:sz w:val="20"/>
        </w:rPr>
        <w:t>(2015) 28:53</w:t>
      </w:r>
      <w:r w:rsidRPr="004B6669">
        <w:rPr>
          <w:sz w:val="20"/>
        </w:rPr>
        <w:fldChar w:fldCharType="end"/>
      </w:r>
      <w:r w:rsidRPr="004B6669">
        <w:rPr>
          <w:sz w:val="20"/>
        </w:rPr>
        <w:t xml:space="preserve"> terms them “incubus/succubus demons”. Cases have been reported in modern times of patients believing they had sexual congress with demons, e.g. </w:t>
      </w:r>
      <w:r w:rsidRPr="004B6669">
        <w:rPr>
          <w:sz w:val="20"/>
        </w:rPr>
        <w:fldChar w:fldCharType="begin"/>
      </w:r>
      <w:r w:rsidR="00F324A3">
        <w:rPr>
          <w:sz w:val="20"/>
        </w:rPr>
        <w:instrText xml:space="preserve"> ADDIN EN.CITE &lt;EndNote&gt;&lt;Cite&gt;&lt;Author&gt;Thompson&lt;/Author&gt;&lt;Year&gt;1906&lt;/Year&gt;&lt;RecNum&gt;2861&lt;/RecNum&gt;&lt;Pages&gt;83&lt;/Pages&gt;&lt;DisplayText&gt;Thompson, &lt;style face="italic"&gt;Proceedings of the Society of Biblical Archaeology&lt;/style&gt; 28/ccix (1906) 83&lt;/DisplayText&gt;&lt;record&gt;&lt;rec-number&gt;2861&lt;/rec-number&gt;&lt;foreign-keys&gt;&lt;key app="EN" db-id="225fxd904pw0zueapxd5pdxewdrsefare5tz" timestamp="1513654434"&gt;2861&lt;/key&gt;&lt;/foreign-keys&gt;&lt;ref-type name="Journal Article"&gt;17&lt;/ref-type&gt;&lt;contributors&gt;&lt;authors&gt;&lt;author&gt;Thompson, R. Campbell&lt;/author&gt;&lt;/authors&gt;&lt;/contributors&gt;&lt;titles&gt;&lt;title&gt;The Folklore of Mossoul. I&lt;/title&gt;&lt;secondary-title&gt;Proceedings of the Society of Biblical Archaeology&lt;/secondary-title&gt;&lt;/titles&gt;&lt;periodical&gt;&lt;full-title&gt;Proceedings of the Society of Biblical Archaeology&lt;/full-title&gt;&lt;/periodical&gt;&lt;pages&gt;76-86&lt;/pages&gt;&lt;volume&gt;28&lt;/volume&gt;&lt;number&gt;ccix&lt;/number&gt;&lt;dates&gt;&lt;year&gt;1906&lt;/year&gt;&lt;/dates&gt;&lt;urls&gt;&lt;/urls&gt;&lt;/record&gt;&lt;/Cite&gt;&lt;/EndNote&gt;</w:instrText>
      </w:r>
      <w:r w:rsidRPr="004B6669">
        <w:rPr>
          <w:sz w:val="20"/>
        </w:rPr>
        <w:fldChar w:fldCharType="separate"/>
      </w:r>
      <w:r w:rsidR="00F324A3">
        <w:rPr>
          <w:noProof/>
          <w:sz w:val="20"/>
        </w:rPr>
        <w:t xml:space="preserve">Thompson, </w:t>
      </w:r>
      <w:r w:rsidR="00F324A3" w:rsidRPr="00F324A3">
        <w:rPr>
          <w:i/>
          <w:noProof/>
          <w:sz w:val="20"/>
        </w:rPr>
        <w:t>Proceedings of the Society of Biblical Archaeology</w:t>
      </w:r>
      <w:r w:rsidR="00F324A3">
        <w:rPr>
          <w:noProof/>
          <w:sz w:val="20"/>
        </w:rPr>
        <w:t xml:space="preserve"> 28/ccix (1906) 83</w:t>
      </w:r>
      <w:r w:rsidRPr="004B6669">
        <w:rPr>
          <w:sz w:val="20"/>
        </w:rPr>
        <w:fldChar w:fldCharType="end"/>
      </w:r>
      <w:r w:rsidRPr="004B6669">
        <w:rPr>
          <w:sz w:val="20"/>
        </w:rPr>
        <w:t xml:space="preserve">: “[one of my men] told me that he knew a man in </w:t>
      </w:r>
      <w:proofErr w:type="spellStart"/>
      <w:r w:rsidRPr="004B6669">
        <w:rPr>
          <w:sz w:val="20"/>
        </w:rPr>
        <w:t>Mossoul</w:t>
      </w:r>
      <w:proofErr w:type="spellEnd"/>
      <w:r w:rsidRPr="004B6669">
        <w:rPr>
          <w:sz w:val="20"/>
        </w:rPr>
        <w:t xml:space="preserve"> who declared he was visited of nights by a spirit in the form of a beautiful woman who had borne him three children”, with the comment by </w:t>
      </w:r>
      <w:r w:rsidRPr="004B6669">
        <w:rPr>
          <w:sz w:val="20"/>
        </w:rPr>
        <w:fldChar w:fldCharType="begin"/>
      </w:r>
      <w:r w:rsidR="00F324A3">
        <w:rPr>
          <w:sz w:val="20"/>
        </w:rPr>
        <w:instrText xml:space="preserve"> ADDIN EN.CITE &lt;EndNote&gt;&lt;Cite&gt;&lt;Author&gt;Kinnier Wilson&lt;/Author&gt;&lt;Year&gt;1965&lt;/Year&gt;&lt;RecNum&gt;1316&lt;/RecNum&gt;&lt;Pages&gt;296&lt;/Pages&gt;&lt;DisplayText&gt;Kinnier Wilson in &lt;style face="italic"&gt;Studies Landsberger &lt;/style&gt;(1965) 296&lt;/DisplayText&gt;&lt;record&gt;&lt;rec-number&gt;1316&lt;/rec-number&gt;&lt;foreign-keys&gt;&lt;key app="EN" db-id="225fxd904pw0zueapxd5pdxewdrsefare5tz" timestamp="1467237151"&gt;1316&lt;/key&gt;&lt;/foreign-keys&gt;&lt;ref-type name="Book Section"&gt;5&lt;/ref-type&gt;&lt;contributors&gt;&lt;authors&gt;&lt;author&gt;Kinnier Wilson, J. V.&lt;/author&gt;&lt;/authors&gt;&lt;secondary-authors&gt;&lt;author&gt;Güterbock, H. G.&lt;/author&gt;&lt;author&gt;Jacobsen, T.&lt;/author&gt;&lt;/secondary-authors&gt;&lt;/contributors&gt;&lt;titles&gt;&lt;title&gt;An Introduction to Babylonian Psychiatry&lt;/title&gt;&lt;secondary-title&gt;Studies in Honor of Benno Landsberger&lt;/secondary-title&gt;&lt;tertiary-title&gt;AS&lt;/tertiary-title&gt;&lt;short-title&gt;Studies Landsberger&lt;/short-title&gt;&lt;/titles&gt;&lt;pages&gt;289-298&lt;/pages&gt;&lt;number&gt;16&lt;/number&gt;&lt;dates&gt;&lt;year&gt;1965&lt;/year&gt;&lt;/dates&gt;&lt;pub-location&gt;Chicago&lt;/pub-location&gt;&lt;publisher&gt;Chicago University Press&lt;/publisher&gt;&lt;urls&gt;&lt;/urls&gt;&lt;/record&gt;&lt;/Cite&gt;&lt;/EndNote&gt;</w:instrText>
      </w:r>
      <w:r w:rsidRPr="004B6669">
        <w:rPr>
          <w:sz w:val="20"/>
        </w:rPr>
        <w:fldChar w:fldCharType="separate"/>
      </w:r>
      <w:r w:rsidR="00F324A3">
        <w:rPr>
          <w:noProof/>
          <w:sz w:val="20"/>
        </w:rPr>
        <w:t xml:space="preserve">Kinnier Wilson in </w:t>
      </w:r>
      <w:r w:rsidR="00F324A3" w:rsidRPr="00F324A3">
        <w:rPr>
          <w:i/>
          <w:noProof/>
          <w:sz w:val="20"/>
        </w:rPr>
        <w:t xml:space="preserve">Studies Landsberger </w:t>
      </w:r>
      <w:r w:rsidR="00F324A3">
        <w:rPr>
          <w:noProof/>
          <w:sz w:val="20"/>
        </w:rPr>
        <w:t>(1965) 296</w:t>
      </w:r>
      <w:r w:rsidRPr="004B6669">
        <w:rPr>
          <w:sz w:val="20"/>
        </w:rPr>
        <w:fldChar w:fldCharType="end"/>
      </w:r>
      <w:r w:rsidRPr="004B6669">
        <w:rPr>
          <w:sz w:val="20"/>
        </w:rPr>
        <w:t xml:space="preserve">; also </w:t>
      </w:r>
      <w:r w:rsidRPr="004B6669">
        <w:rPr>
          <w:sz w:val="20"/>
        </w:rPr>
        <w:fldChar w:fldCharType="begin"/>
      </w:r>
      <w:r w:rsidR="00F324A3">
        <w:rPr>
          <w:sz w:val="20"/>
        </w:rPr>
        <w:instrText xml:space="preserve"> ADDIN EN.CITE &lt;EndNote&gt;&lt;Cite&gt;&lt;Author&gt;Stol&lt;/Author&gt;&lt;Year&gt;1993&lt;/Year&gt;&lt;RecNum&gt;1294&lt;/RecNum&gt;&lt;Pages&gt;229&lt;/Pages&gt;&lt;DisplayText&gt;Stol, &lt;style face="italic"&gt;Epilepsy &lt;/style&gt;(1993) 229&lt;/DisplayText&gt;&lt;record&gt;&lt;rec-number&gt;1294&lt;/rec-number&gt;&lt;foreign-keys&gt;&lt;key app="EN" db-id="225fxd904pw0zueapxd5pdxewdrsefare5tz" timestamp="1466695121"&gt;1294&lt;/key&gt;&lt;/foreign-keys&gt;&lt;ref-type name="Book"&gt;6&lt;/ref-type&gt;&lt;contributors&gt;&lt;authors&gt;&lt;author&gt;Stol, Marten&lt;/author&gt;&lt;/authors&gt;&lt;/contributors&gt;&lt;titles&gt;&lt;title&gt;Epilepsy in Babylonia&lt;/title&gt;&lt;secondary-title&gt;CM&lt;/secondary-title&gt;&lt;short-title&gt;Epilepsy&lt;/short-title&gt;&lt;/titles&gt;&lt;pages&gt;155p&lt;/pages&gt;&lt;volume&gt;2&lt;/volume&gt;&lt;number&gt;2&lt;/number&gt;&lt;keywords&gt;&lt;keyword&gt;Epilepsy -- Iraq -- History.&lt;/keyword&gt;&lt;keyword&gt;Medicine, Assyro-Babylonian.&lt;/keyword&gt;&lt;keyword&gt;Cuneiform tablets -- Iraq.&lt;/keyword&gt;&lt;keyword&gt;Epilepsy -- History.&lt;/keyword&gt;&lt;keyword&gt;Assyro-Babylonian literature.&lt;/keyword&gt;&lt;keyword&gt;Bible O.T. -- History of contemporary events&lt;/keyword&gt;&lt;/keywords&gt;&lt;dates&gt;&lt;year&gt;1993&lt;/year&gt;&lt;/dates&gt;&lt;pub-location&gt;Groningen&lt;/pub-location&gt;&lt;publisher&gt;Styx Publications&lt;/publisher&gt;&lt;isbn&gt;9072371631&lt;/isbn&gt;&lt;urls&gt;&lt;related-urls&gt;&lt;url&gt;http://search.lib.cam.ac.uk/?itemid=|cambrdgedb|1784216&lt;/url&gt;&lt;/related-urls&gt;&lt;/urls&gt;&lt;/record&gt;&lt;/Cite&gt;&lt;/EndNote&gt;</w:instrText>
      </w:r>
      <w:r w:rsidRPr="004B6669">
        <w:rPr>
          <w:sz w:val="20"/>
        </w:rPr>
        <w:fldChar w:fldCharType="separate"/>
      </w:r>
      <w:r w:rsidR="00F324A3">
        <w:rPr>
          <w:noProof/>
          <w:sz w:val="20"/>
        </w:rPr>
        <w:t xml:space="preserve">Stol, </w:t>
      </w:r>
      <w:r w:rsidR="00F324A3" w:rsidRPr="00F324A3">
        <w:rPr>
          <w:i/>
          <w:noProof/>
          <w:sz w:val="20"/>
        </w:rPr>
        <w:t xml:space="preserve">Epilepsy </w:t>
      </w:r>
      <w:r w:rsidR="00F324A3">
        <w:rPr>
          <w:noProof/>
          <w:sz w:val="20"/>
        </w:rPr>
        <w:t>(1993) 229</w:t>
      </w:r>
      <w:r w:rsidRPr="004B6669">
        <w:rPr>
          <w:sz w:val="20"/>
        </w:rPr>
        <w:fldChar w:fldCharType="end"/>
      </w:r>
      <w:r w:rsidRPr="004B6669">
        <w:rPr>
          <w:sz w:val="20"/>
        </w:rPr>
        <w:t>.</w:t>
      </w:r>
    </w:p>
  </w:footnote>
  <w:footnote w:id="4">
    <w:p w14:paraId="4C76376D" w14:textId="32990AED" w:rsidR="00DC42FE" w:rsidRPr="004B6669" w:rsidRDefault="00DC42FE" w:rsidP="00DC42FE">
      <w:pPr>
        <w:pStyle w:val="FootnoteText"/>
        <w:spacing w:before="2" w:after="2"/>
        <w:rPr>
          <w:sz w:val="20"/>
        </w:rPr>
      </w:pPr>
      <w:r w:rsidRPr="004B6669">
        <w:rPr>
          <w:rStyle w:val="FootnoteReference"/>
          <w:sz w:val="20"/>
        </w:rPr>
        <w:footnoteRef/>
      </w:r>
      <w:r w:rsidRPr="004B6669">
        <w:rPr>
          <w:sz w:val="20"/>
        </w:rPr>
        <w:t xml:space="preserve"> </w:t>
      </w:r>
      <w:r w:rsidRPr="004B6669">
        <w:rPr>
          <w:sz w:val="20"/>
        </w:rPr>
        <w:fldChar w:fldCharType="begin"/>
      </w:r>
      <w:r w:rsidR="00F324A3">
        <w:rPr>
          <w:sz w:val="20"/>
        </w:rPr>
        <w:instrText xml:space="preserve"> ADDIN EN.CITE &lt;EndNote&gt;&lt;Cite&gt;&lt;Author&gt;Butler&lt;/Author&gt;&lt;Year&gt;1998&lt;/Year&gt;&lt;RecNum&gt;1253&lt;/RecNum&gt;&lt;Pages&gt;62-63&lt;/Pages&gt;&lt;DisplayText&gt;Butler, &lt;style face="italic"&gt;Dreams &lt;/style&gt;(1998) 62-63&lt;/DisplayText&gt;&lt;record&gt;&lt;rec-number&gt;1253&lt;/rec-number&gt;&lt;foreign-keys&gt;&lt;key app="EN" db-id="225fxd904pw0zueapxd5pdxewdrsefare5tz" timestamp="1457778335"&gt;1253&lt;/key&gt;&lt;/foreign-keys&gt;&lt;ref-type name="Book"&gt;6&lt;/ref-type&gt;&lt;contributors&gt;&lt;authors&gt;&lt;author&gt;Butler, S. A. L.&lt;/author&gt;&lt;/authors&gt;&lt;/contributors&gt;&lt;titles&gt;&lt;title&gt;Mesopotamian Conceptions of Dreams and Dream Rituals&lt;/title&gt;&lt;secondary-title&gt;AOAT&lt;/secondary-title&gt;&lt;short-title&gt;Dreams&lt;/short-title&gt;&lt;/titles&gt;&lt;pages&gt;xxxix, 473 p., [22] p. of plates&lt;/pages&gt;&lt;number&gt;258&lt;/number&gt;&lt;keywords&gt;&lt;keyword&gt;Dreams.&lt;/keyword&gt;&lt;keyword&gt;Dreams -- Religious aspects.&lt;/keyword&gt;&lt;keyword&gt;Assyro-Babylonian religion.&lt;/keyword&gt;&lt;keyword&gt;Civilization, Assyro-Babylonian.&lt;/keyword&gt;&lt;keyword&gt;Assyro-Babylonian literature -- Religion&lt;/keyword&gt;&lt;keyword&gt;Bible O.T. -- History of contemporary events&lt;/keyword&gt;&lt;/keywords&gt;&lt;dates&gt;&lt;year&gt;1998&lt;/year&gt;&lt;/dates&gt;&lt;pub-location&gt;Münster&lt;/pub-location&gt;&lt;publisher&gt;Ugarit-Verlag&lt;/publisher&gt;&lt;isbn&gt;3927120650&lt;/isbn&gt;&lt;urls&gt;&lt;related-urls&gt;&lt;url&gt;http://search.lib.cam.ac.uk/?itemid=|cambrdgedb|497869&lt;/url&gt;&lt;/related-urls&gt;&lt;/urls&gt;&lt;/record&gt;&lt;/Cite&gt;&lt;/EndNote&gt;</w:instrText>
      </w:r>
      <w:r w:rsidRPr="004B6669">
        <w:rPr>
          <w:sz w:val="20"/>
        </w:rPr>
        <w:fldChar w:fldCharType="separate"/>
      </w:r>
      <w:r w:rsidR="00F324A3">
        <w:rPr>
          <w:noProof/>
          <w:sz w:val="20"/>
        </w:rPr>
        <w:t xml:space="preserve">Butler, </w:t>
      </w:r>
      <w:r w:rsidR="00F324A3" w:rsidRPr="00F324A3">
        <w:rPr>
          <w:i/>
          <w:noProof/>
          <w:sz w:val="20"/>
        </w:rPr>
        <w:t xml:space="preserve">Dreams </w:t>
      </w:r>
      <w:r w:rsidR="00F324A3">
        <w:rPr>
          <w:noProof/>
          <w:sz w:val="20"/>
        </w:rPr>
        <w:t>(1998) 62-63</w:t>
      </w:r>
      <w:r w:rsidRPr="004B6669">
        <w:rPr>
          <w:sz w:val="20"/>
        </w:rPr>
        <w:fldChar w:fldCharType="end"/>
      </w:r>
      <w:r w:rsidRPr="004B6669">
        <w:rPr>
          <w:sz w:val="20"/>
        </w:rPr>
        <w:t xml:space="preserve"> points out that the </w:t>
      </w:r>
      <w:proofErr w:type="spellStart"/>
      <w:r w:rsidRPr="004B6669">
        <w:rPr>
          <w:i/>
          <w:sz w:val="20"/>
        </w:rPr>
        <w:t>alû</w:t>
      </w:r>
      <w:proofErr w:type="spellEnd"/>
      <w:r w:rsidRPr="004B6669">
        <w:rPr>
          <w:sz w:val="20"/>
        </w:rPr>
        <w:t>-demon is also attested as an incubus.</w:t>
      </w:r>
    </w:p>
  </w:footnote>
  <w:footnote w:id="5">
    <w:p w14:paraId="6E392FFB" w14:textId="661B60D7" w:rsidR="00DC42FE" w:rsidRPr="004B6669" w:rsidRDefault="00DC42FE" w:rsidP="00DC42FE">
      <w:pPr>
        <w:pStyle w:val="FootnoteText"/>
        <w:spacing w:before="2" w:after="2"/>
        <w:rPr>
          <w:i/>
          <w:sz w:val="20"/>
        </w:rPr>
      </w:pPr>
      <w:r w:rsidRPr="004B6669">
        <w:rPr>
          <w:rStyle w:val="FootnoteReference"/>
          <w:sz w:val="20"/>
        </w:rPr>
        <w:footnoteRef/>
      </w:r>
      <w:r w:rsidRPr="004B6669">
        <w:rPr>
          <w:sz w:val="20"/>
        </w:rPr>
        <w:t xml:space="preserve"> See e.g. </w:t>
      </w:r>
      <w:r w:rsidRPr="004B6669">
        <w:rPr>
          <w:sz w:val="20"/>
        </w:rPr>
        <w:fldChar w:fldCharType="begin"/>
      </w:r>
      <w:r w:rsidR="00F324A3">
        <w:rPr>
          <w:sz w:val="20"/>
        </w:rPr>
        <w:instrText xml:space="preserve"> ADDIN EN.CITE &lt;EndNote&gt;&lt;Cite&gt;&lt;Author&gt;Meier&lt;/Author&gt;&lt;Year&gt;1941&lt;/Year&gt;&lt;RecNum&gt;1274&lt;/RecNum&gt;&lt;Pages&gt;142: 34-36&lt;/Pages&gt;&lt;DisplayText&gt;Meier, &lt;style face="italic"&gt;AfO&lt;/style&gt; 14 (1941) 142: 134-136&lt;/DisplayText&gt;&lt;record&gt;&lt;rec-number&gt;1274&lt;/rec-number&gt;&lt;foreign-keys&gt;&lt;key app="EN" db-id="225fxd904pw0zueapxd5pdxewdrsefare5tz" timestamp="1466419338"&gt;1274&lt;/key&gt;&lt;/foreign-keys&gt;&lt;ref-type name="Journal Article"&gt;17&lt;/ref-type&gt;&lt;contributors&gt;&lt;authors&gt;&lt;author&gt;Meier, Gerhard&lt;/author&gt;&lt;/authors&gt;&lt;/contributors&gt;&lt;titles&gt;&lt;title&gt;Die zweite Tafel der Serie bīt mēseri&lt;/title&gt;&lt;secondary-title&gt;AfO&lt;/secondary-title&gt;&lt;/titles&gt;&lt;periodical&gt;&lt;full-title&gt;AfO&lt;/full-title&gt;&lt;/periodical&gt;&lt;pages&gt;139-152&lt;/pages&gt;&lt;volume&gt;14&lt;/volume&gt;&lt;dates&gt;&lt;year&gt;1941&lt;/year&gt;&lt;/dates&gt;&lt;isbn&gt;00666440&lt;/isbn&gt;&lt;urls&gt;&lt;related-urls&gt;&lt;url&gt;http://www.jstor.org/stable/41681278&lt;/url&gt;&lt;/related-urls&gt;&lt;/urls&gt;&lt;custom1&gt;Full publication date: 1941-1944&lt;/custom1&gt;&lt;/record&gt;&lt;/Cite&gt;&lt;/EndNote&gt;</w:instrText>
      </w:r>
      <w:r w:rsidRPr="004B6669">
        <w:rPr>
          <w:sz w:val="20"/>
        </w:rPr>
        <w:fldChar w:fldCharType="separate"/>
      </w:r>
      <w:r w:rsidR="00F324A3">
        <w:rPr>
          <w:noProof/>
          <w:sz w:val="20"/>
        </w:rPr>
        <w:t xml:space="preserve">Meier, </w:t>
      </w:r>
      <w:r w:rsidR="00F324A3" w:rsidRPr="00F324A3">
        <w:rPr>
          <w:i/>
          <w:noProof/>
          <w:sz w:val="20"/>
        </w:rPr>
        <w:t>AfO</w:t>
      </w:r>
      <w:r w:rsidR="00F324A3">
        <w:rPr>
          <w:noProof/>
          <w:sz w:val="20"/>
        </w:rPr>
        <w:t xml:space="preserve"> 14 (1941) 142: 134-136</w:t>
      </w:r>
      <w:r w:rsidRPr="004B6669">
        <w:rPr>
          <w:sz w:val="20"/>
        </w:rPr>
        <w:fldChar w:fldCharType="end"/>
      </w:r>
      <w:r w:rsidRPr="004B6669">
        <w:rPr>
          <w:sz w:val="20"/>
        </w:rPr>
        <w:t xml:space="preserve"> in a </w:t>
      </w:r>
      <w:proofErr w:type="spellStart"/>
      <w:r w:rsidRPr="004B6669">
        <w:rPr>
          <w:i/>
          <w:sz w:val="20"/>
        </w:rPr>
        <w:t>Bīt</w:t>
      </w:r>
      <w:proofErr w:type="spellEnd"/>
      <w:r w:rsidRPr="004B6669">
        <w:rPr>
          <w:i/>
          <w:sz w:val="20"/>
        </w:rPr>
        <w:t xml:space="preserve"> </w:t>
      </w:r>
      <w:proofErr w:type="spellStart"/>
      <w:r w:rsidRPr="004B6669">
        <w:rPr>
          <w:i/>
          <w:sz w:val="20"/>
        </w:rPr>
        <w:t>mēseri</w:t>
      </w:r>
      <w:proofErr w:type="spellEnd"/>
      <w:r w:rsidRPr="004B6669">
        <w:rPr>
          <w:i/>
          <w:sz w:val="20"/>
        </w:rPr>
        <w:t xml:space="preserve"> </w:t>
      </w:r>
      <w:r w:rsidRPr="004B6669">
        <w:rPr>
          <w:sz w:val="20"/>
        </w:rPr>
        <w:t xml:space="preserve">incantation addressed to </w:t>
      </w:r>
      <w:proofErr w:type="spellStart"/>
      <w:r w:rsidRPr="004B6669">
        <w:rPr>
          <w:sz w:val="20"/>
        </w:rPr>
        <w:t>Lugalgirra</w:t>
      </w:r>
      <w:proofErr w:type="spellEnd"/>
      <w:r w:rsidRPr="004B6669">
        <w:rPr>
          <w:sz w:val="20"/>
        </w:rPr>
        <w:t xml:space="preserve">: </w:t>
      </w:r>
      <w:r w:rsidRPr="004B6669">
        <w:rPr>
          <w:i/>
          <w:sz w:val="20"/>
        </w:rPr>
        <w:t xml:space="preserve">ana </w:t>
      </w:r>
      <w:proofErr w:type="spellStart"/>
      <w:r w:rsidRPr="004B6669">
        <w:rPr>
          <w:i/>
          <w:sz w:val="20"/>
        </w:rPr>
        <w:t>utukki</w:t>
      </w:r>
      <w:proofErr w:type="spellEnd"/>
      <w:r w:rsidRPr="004B6669">
        <w:rPr>
          <w:i/>
          <w:sz w:val="20"/>
        </w:rPr>
        <w:t xml:space="preserve"> </w:t>
      </w:r>
      <w:proofErr w:type="spellStart"/>
      <w:r w:rsidRPr="004B6669">
        <w:rPr>
          <w:i/>
          <w:sz w:val="20"/>
        </w:rPr>
        <w:t>šēdi</w:t>
      </w:r>
      <w:proofErr w:type="spellEnd"/>
      <w:r w:rsidRPr="004B6669">
        <w:rPr>
          <w:i/>
          <w:sz w:val="20"/>
        </w:rPr>
        <w:t xml:space="preserve"> </w:t>
      </w:r>
      <w:proofErr w:type="spellStart"/>
      <w:r w:rsidRPr="004B6669">
        <w:rPr>
          <w:i/>
          <w:sz w:val="20"/>
        </w:rPr>
        <w:t>rābiṣi</w:t>
      </w:r>
      <w:proofErr w:type="spellEnd"/>
      <w:r w:rsidRPr="004B6669">
        <w:rPr>
          <w:i/>
          <w:sz w:val="20"/>
        </w:rPr>
        <w:t xml:space="preserve"> </w:t>
      </w:r>
      <w:proofErr w:type="spellStart"/>
      <w:r w:rsidRPr="004B6669">
        <w:rPr>
          <w:i/>
          <w:sz w:val="20"/>
        </w:rPr>
        <w:t>eṭemmi</w:t>
      </w:r>
      <w:proofErr w:type="spellEnd"/>
      <w:r w:rsidRPr="004B6669">
        <w:rPr>
          <w:i/>
          <w:sz w:val="20"/>
        </w:rPr>
        <w:t xml:space="preserve"> </w:t>
      </w:r>
      <w:proofErr w:type="spellStart"/>
      <w:r w:rsidRPr="004B6669">
        <w:rPr>
          <w:i/>
          <w:sz w:val="20"/>
        </w:rPr>
        <w:t>lilî</w:t>
      </w:r>
      <w:proofErr w:type="spellEnd"/>
      <w:r w:rsidRPr="004B6669">
        <w:rPr>
          <w:i/>
          <w:sz w:val="20"/>
        </w:rPr>
        <w:t xml:space="preserve"> </w:t>
      </w:r>
      <w:proofErr w:type="spellStart"/>
      <w:r w:rsidRPr="004B6669">
        <w:rPr>
          <w:i/>
          <w:sz w:val="20"/>
        </w:rPr>
        <w:t>lilîti</w:t>
      </w:r>
      <w:proofErr w:type="spellEnd"/>
      <w:r w:rsidRPr="004B6669">
        <w:rPr>
          <w:i/>
          <w:sz w:val="20"/>
        </w:rPr>
        <w:t xml:space="preserve"> kat-</w:t>
      </w:r>
      <w:proofErr w:type="spellStart"/>
      <w:r w:rsidRPr="004B6669">
        <w:rPr>
          <w:i/>
          <w:sz w:val="20"/>
        </w:rPr>
        <w:t>til</w:t>
      </w:r>
      <w:proofErr w:type="spellEnd"/>
      <w:r w:rsidRPr="004B6669">
        <w:rPr>
          <w:i/>
          <w:sz w:val="20"/>
        </w:rPr>
        <w:t>-</w:t>
      </w:r>
      <w:proofErr w:type="spellStart"/>
      <w:r w:rsidRPr="004B6669">
        <w:rPr>
          <w:i/>
          <w:sz w:val="20"/>
        </w:rPr>
        <w:t>lu</w:t>
      </w:r>
      <w:proofErr w:type="spellEnd"/>
      <w:r w:rsidRPr="004B6669">
        <w:rPr>
          <w:i/>
          <w:sz w:val="20"/>
        </w:rPr>
        <w:t xml:space="preserve"> be</w:t>
      </w:r>
      <w:r w:rsidRPr="004B6669">
        <w:rPr>
          <w:sz w:val="20"/>
        </w:rPr>
        <w:t>[</w:t>
      </w:r>
      <w:r w:rsidRPr="004B6669">
        <w:rPr>
          <w:i/>
          <w:sz w:val="20"/>
        </w:rPr>
        <w:t>n</w:t>
      </w:r>
      <w:r w:rsidRPr="004B6669">
        <w:rPr>
          <w:sz w:val="20"/>
        </w:rPr>
        <w:t>]</w:t>
      </w:r>
      <w:proofErr w:type="spellStart"/>
      <w:r w:rsidRPr="004B6669">
        <w:rPr>
          <w:i/>
          <w:sz w:val="20"/>
        </w:rPr>
        <w:t>ni</w:t>
      </w:r>
      <w:proofErr w:type="spellEnd"/>
      <w:r w:rsidRPr="004B6669">
        <w:rPr>
          <w:i/>
          <w:sz w:val="20"/>
        </w:rPr>
        <w:t xml:space="preserve"> </w:t>
      </w:r>
      <w:proofErr w:type="spellStart"/>
      <w:r w:rsidRPr="004B6669">
        <w:rPr>
          <w:i/>
          <w:sz w:val="20"/>
        </w:rPr>
        <w:t>lemni</w:t>
      </w:r>
      <w:proofErr w:type="spellEnd"/>
      <w:r w:rsidRPr="004B6669">
        <w:rPr>
          <w:i/>
          <w:sz w:val="20"/>
        </w:rPr>
        <w:t xml:space="preserve"> </w:t>
      </w:r>
      <w:proofErr w:type="spellStart"/>
      <w:r w:rsidRPr="004B6669">
        <w:rPr>
          <w:i/>
          <w:sz w:val="20"/>
        </w:rPr>
        <w:t>šudingirakki</w:t>
      </w:r>
      <w:proofErr w:type="spellEnd"/>
      <w:r w:rsidRPr="004B6669">
        <w:rPr>
          <w:i/>
          <w:sz w:val="20"/>
        </w:rPr>
        <w:t xml:space="preserve"> </w:t>
      </w:r>
      <w:proofErr w:type="spellStart"/>
      <w:r w:rsidRPr="004B6669">
        <w:rPr>
          <w:i/>
          <w:sz w:val="20"/>
        </w:rPr>
        <w:t>rehût</w:t>
      </w:r>
      <w:proofErr w:type="spellEnd"/>
      <w:r w:rsidRPr="004B6669">
        <w:rPr>
          <w:i/>
          <w:sz w:val="20"/>
        </w:rPr>
        <w:t xml:space="preserve"> </w:t>
      </w:r>
      <w:proofErr w:type="spellStart"/>
      <w:r w:rsidRPr="004B6669">
        <w:rPr>
          <w:i/>
          <w:sz w:val="20"/>
        </w:rPr>
        <w:t>šulpaéa</w:t>
      </w:r>
      <w:proofErr w:type="spellEnd"/>
      <w:r w:rsidRPr="004B6669">
        <w:rPr>
          <w:i/>
          <w:sz w:val="20"/>
        </w:rPr>
        <w:t xml:space="preserve"> ù </w:t>
      </w:r>
      <w:proofErr w:type="spellStart"/>
      <w:r w:rsidRPr="004B6669">
        <w:rPr>
          <w:i/>
          <w:sz w:val="20"/>
        </w:rPr>
        <w:t>antašubbê</w:t>
      </w:r>
      <w:proofErr w:type="spellEnd"/>
      <w:r w:rsidRPr="004B6669">
        <w:rPr>
          <w:sz w:val="20"/>
        </w:rPr>
        <w:t xml:space="preserve"> “against </w:t>
      </w:r>
      <w:proofErr w:type="spellStart"/>
      <w:r w:rsidRPr="004B6669">
        <w:rPr>
          <w:i/>
          <w:sz w:val="20"/>
        </w:rPr>
        <w:t>utukku</w:t>
      </w:r>
      <w:proofErr w:type="spellEnd"/>
      <w:r w:rsidRPr="004B6669">
        <w:rPr>
          <w:sz w:val="20"/>
        </w:rPr>
        <w:t xml:space="preserve">, </w:t>
      </w:r>
      <w:proofErr w:type="spellStart"/>
      <w:r w:rsidRPr="004B6669">
        <w:rPr>
          <w:i/>
          <w:sz w:val="20"/>
        </w:rPr>
        <w:t>šēdu</w:t>
      </w:r>
      <w:proofErr w:type="spellEnd"/>
      <w:r w:rsidRPr="004B6669">
        <w:rPr>
          <w:sz w:val="20"/>
        </w:rPr>
        <w:t xml:space="preserve">, </w:t>
      </w:r>
      <w:proofErr w:type="spellStart"/>
      <w:r w:rsidRPr="004B6669">
        <w:rPr>
          <w:i/>
          <w:sz w:val="20"/>
        </w:rPr>
        <w:t>rābiṣu</w:t>
      </w:r>
      <w:proofErr w:type="spellEnd"/>
      <w:r w:rsidRPr="004B6669">
        <w:rPr>
          <w:sz w:val="20"/>
        </w:rPr>
        <w:t xml:space="preserve">, </w:t>
      </w:r>
      <w:proofErr w:type="spellStart"/>
      <w:r w:rsidRPr="004B6669">
        <w:rPr>
          <w:i/>
          <w:sz w:val="20"/>
        </w:rPr>
        <w:t>lilû</w:t>
      </w:r>
      <w:proofErr w:type="spellEnd"/>
      <w:r w:rsidRPr="004B6669">
        <w:rPr>
          <w:sz w:val="20"/>
        </w:rPr>
        <w:t xml:space="preserve">, </w:t>
      </w:r>
      <w:proofErr w:type="spellStart"/>
      <w:r w:rsidRPr="004B6669">
        <w:rPr>
          <w:i/>
          <w:sz w:val="20"/>
        </w:rPr>
        <w:t>lilītu</w:t>
      </w:r>
      <w:proofErr w:type="spellEnd"/>
      <w:r w:rsidRPr="004B6669">
        <w:rPr>
          <w:sz w:val="20"/>
        </w:rPr>
        <w:t xml:space="preserve">, </w:t>
      </w:r>
      <w:proofErr w:type="spellStart"/>
      <w:r w:rsidRPr="004B6669">
        <w:rPr>
          <w:i/>
          <w:sz w:val="20"/>
        </w:rPr>
        <w:t>kattilu</w:t>
      </w:r>
      <w:proofErr w:type="spellEnd"/>
      <w:r w:rsidRPr="004B6669">
        <w:rPr>
          <w:sz w:val="20"/>
        </w:rPr>
        <w:t xml:space="preserve">, evil </w:t>
      </w:r>
      <w:proofErr w:type="spellStart"/>
      <w:r w:rsidRPr="004B6669">
        <w:rPr>
          <w:i/>
          <w:sz w:val="20"/>
        </w:rPr>
        <w:t>bennu</w:t>
      </w:r>
      <w:proofErr w:type="spellEnd"/>
      <w:r w:rsidRPr="004B6669">
        <w:rPr>
          <w:sz w:val="20"/>
        </w:rPr>
        <w:t xml:space="preserve">, </w:t>
      </w:r>
      <w:proofErr w:type="spellStart"/>
      <w:r w:rsidRPr="004B6669">
        <w:rPr>
          <w:i/>
          <w:sz w:val="20"/>
        </w:rPr>
        <w:t>šudingirakku</w:t>
      </w:r>
      <w:proofErr w:type="spellEnd"/>
      <w:r w:rsidRPr="004B6669">
        <w:rPr>
          <w:sz w:val="20"/>
        </w:rPr>
        <w:t xml:space="preserve">, spawn of </w:t>
      </w:r>
      <w:proofErr w:type="spellStart"/>
      <w:r w:rsidRPr="004B6669">
        <w:rPr>
          <w:sz w:val="20"/>
        </w:rPr>
        <w:t>Šulpaea</w:t>
      </w:r>
      <w:proofErr w:type="spellEnd"/>
      <w:r w:rsidRPr="004B6669">
        <w:rPr>
          <w:sz w:val="20"/>
        </w:rPr>
        <w:t xml:space="preserve"> and </w:t>
      </w:r>
      <w:proofErr w:type="spellStart"/>
      <w:r w:rsidRPr="004B6669">
        <w:rPr>
          <w:i/>
          <w:sz w:val="20"/>
        </w:rPr>
        <w:t>antašubba</w:t>
      </w:r>
      <w:proofErr w:type="spellEnd"/>
      <w:r w:rsidRPr="004B6669">
        <w:rPr>
          <w:sz w:val="20"/>
        </w:rPr>
        <w:t xml:space="preserve">”.  Though the latter items in the list are arguably diseases rather than demons, </w:t>
      </w:r>
      <w:proofErr w:type="spellStart"/>
      <w:r w:rsidRPr="004B6669">
        <w:rPr>
          <w:i/>
          <w:sz w:val="20"/>
        </w:rPr>
        <w:t>lilû</w:t>
      </w:r>
      <w:proofErr w:type="spellEnd"/>
      <w:r w:rsidRPr="004B6669">
        <w:rPr>
          <w:i/>
          <w:sz w:val="20"/>
        </w:rPr>
        <w:t xml:space="preserve"> </w:t>
      </w:r>
      <w:r w:rsidRPr="004B6669">
        <w:rPr>
          <w:sz w:val="20"/>
        </w:rPr>
        <w:t xml:space="preserve">and </w:t>
      </w:r>
      <w:proofErr w:type="spellStart"/>
      <w:r w:rsidRPr="004B6669">
        <w:rPr>
          <w:i/>
          <w:sz w:val="20"/>
        </w:rPr>
        <w:t>lilītu</w:t>
      </w:r>
      <w:proofErr w:type="spellEnd"/>
      <w:r w:rsidRPr="004B6669">
        <w:rPr>
          <w:i/>
          <w:sz w:val="20"/>
        </w:rPr>
        <w:t xml:space="preserve"> </w:t>
      </w:r>
      <w:r w:rsidRPr="004B6669">
        <w:rPr>
          <w:sz w:val="20"/>
        </w:rPr>
        <w:t xml:space="preserve">appear before the rare </w:t>
      </w:r>
      <w:proofErr w:type="spellStart"/>
      <w:r w:rsidRPr="004B6669">
        <w:rPr>
          <w:i/>
          <w:sz w:val="20"/>
        </w:rPr>
        <w:t>kattilu</w:t>
      </w:r>
      <w:proofErr w:type="spellEnd"/>
      <w:r w:rsidRPr="004B6669">
        <w:rPr>
          <w:sz w:val="20"/>
        </w:rPr>
        <w:t>, which seems to be a demon.  Cf. CAD K</w:t>
      </w:r>
      <w:r w:rsidR="00F324A3">
        <w:rPr>
          <w:sz w:val="20"/>
        </w:rPr>
        <w:t xml:space="preserve"> (1971)</w:t>
      </w:r>
      <w:r w:rsidRPr="004B6669">
        <w:rPr>
          <w:sz w:val="20"/>
        </w:rPr>
        <w:t xml:space="preserve"> 307b, </w:t>
      </w:r>
      <w:r w:rsidRPr="004B6669">
        <w:rPr>
          <w:i/>
          <w:sz w:val="20"/>
        </w:rPr>
        <w:t xml:space="preserve">inter alia </w:t>
      </w:r>
      <w:r w:rsidRPr="004B6669">
        <w:rPr>
          <w:sz w:val="20"/>
        </w:rPr>
        <w:t xml:space="preserve">citing a passage where </w:t>
      </w:r>
      <w:proofErr w:type="spellStart"/>
      <w:r w:rsidRPr="004B6669">
        <w:rPr>
          <w:i/>
          <w:sz w:val="20"/>
        </w:rPr>
        <w:t>kattilu</w:t>
      </w:r>
      <w:proofErr w:type="spellEnd"/>
      <w:r w:rsidRPr="004B6669">
        <w:rPr>
          <w:i/>
          <w:sz w:val="20"/>
        </w:rPr>
        <w:t xml:space="preserve"> </w:t>
      </w:r>
      <w:r w:rsidRPr="004B6669">
        <w:rPr>
          <w:sz w:val="20"/>
        </w:rPr>
        <w:t xml:space="preserve">is listed between </w:t>
      </w:r>
      <w:proofErr w:type="spellStart"/>
      <w:r w:rsidRPr="004B6669">
        <w:rPr>
          <w:i/>
          <w:sz w:val="20"/>
        </w:rPr>
        <w:t>utukku</w:t>
      </w:r>
      <w:proofErr w:type="spellEnd"/>
      <w:r w:rsidRPr="004B6669">
        <w:rPr>
          <w:i/>
          <w:sz w:val="20"/>
        </w:rPr>
        <w:t xml:space="preserve"> </w:t>
      </w:r>
      <w:r w:rsidRPr="004B6669">
        <w:rPr>
          <w:sz w:val="20"/>
        </w:rPr>
        <w:t xml:space="preserve">and </w:t>
      </w:r>
      <w:proofErr w:type="spellStart"/>
      <w:r w:rsidRPr="004B6669">
        <w:rPr>
          <w:i/>
          <w:sz w:val="20"/>
        </w:rPr>
        <w:t>rābiṣu</w:t>
      </w:r>
      <w:proofErr w:type="spellEnd"/>
      <w:r w:rsidRPr="004B6669">
        <w:rPr>
          <w:sz w:val="20"/>
        </w:rPr>
        <w:t xml:space="preserve">. </w:t>
      </w:r>
      <w:proofErr w:type="spellStart"/>
      <w:r w:rsidRPr="004B6669">
        <w:rPr>
          <w:sz w:val="20"/>
        </w:rPr>
        <w:t>AHw</w:t>
      </w:r>
      <w:proofErr w:type="spellEnd"/>
      <w:r w:rsidRPr="004B6669">
        <w:rPr>
          <w:sz w:val="20"/>
        </w:rPr>
        <w:t xml:space="preserve"> </w:t>
      </w:r>
      <w:r w:rsidR="00F324A3">
        <w:rPr>
          <w:sz w:val="20"/>
        </w:rPr>
        <w:t xml:space="preserve">() </w:t>
      </w:r>
      <w:r w:rsidRPr="004B6669">
        <w:rPr>
          <w:sz w:val="20"/>
        </w:rPr>
        <w:t>466a books it as “</w:t>
      </w:r>
      <w:proofErr w:type="spellStart"/>
      <w:r w:rsidRPr="004B6669">
        <w:rPr>
          <w:sz w:val="20"/>
        </w:rPr>
        <w:t>ein</w:t>
      </w:r>
      <w:proofErr w:type="spellEnd"/>
      <w:r w:rsidRPr="004B6669">
        <w:rPr>
          <w:sz w:val="20"/>
        </w:rPr>
        <w:t xml:space="preserve"> </w:t>
      </w:r>
      <w:proofErr w:type="spellStart"/>
      <w:r w:rsidRPr="004B6669">
        <w:rPr>
          <w:sz w:val="20"/>
        </w:rPr>
        <w:t>mythisches</w:t>
      </w:r>
      <w:proofErr w:type="spellEnd"/>
      <w:r w:rsidRPr="004B6669">
        <w:rPr>
          <w:sz w:val="20"/>
        </w:rPr>
        <w:t xml:space="preserve"> </w:t>
      </w:r>
      <w:proofErr w:type="spellStart"/>
      <w:r w:rsidRPr="004B6669">
        <w:rPr>
          <w:sz w:val="20"/>
        </w:rPr>
        <w:t>Raubtier</w:t>
      </w:r>
      <w:proofErr w:type="spellEnd"/>
      <w:r w:rsidRPr="004B6669">
        <w:rPr>
          <w:sz w:val="20"/>
        </w:rPr>
        <w:t>”.</w:t>
      </w:r>
    </w:p>
  </w:footnote>
  <w:footnote w:id="6">
    <w:p w14:paraId="22F292CB" w14:textId="575EC226" w:rsidR="00DC42FE" w:rsidRPr="004B6669" w:rsidRDefault="00DC42FE" w:rsidP="00DC42FE">
      <w:pPr>
        <w:pStyle w:val="FootnoteText"/>
        <w:spacing w:before="2" w:after="2"/>
        <w:rPr>
          <w:rFonts w:ascii="Code2000" w:hAnsi="Code2000"/>
          <w:sz w:val="20"/>
          <w:szCs w:val="26"/>
        </w:rPr>
      </w:pPr>
      <w:r w:rsidRPr="004B6669">
        <w:rPr>
          <w:rStyle w:val="FootnoteReference"/>
          <w:sz w:val="20"/>
        </w:rPr>
        <w:footnoteRef/>
      </w:r>
      <w:r w:rsidRPr="004B6669">
        <w:rPr>
          <w:sz w:val="20"/>
        </w:rPr>
        <w:t xml:space="preserve"> See already </w:t>
      </w:r>
      <w:r w:rsidRPr="004B6669">
        <w:rPr>
          <w:sz w:val="20"/>
        </w:rPr>
        <w:fldChar w:fldCharType="begin"/>
      </w:r>
      <w:r w:rsidR="00F324A3">
        <w:rPr>
          <w:sz w:val="20"/>
        </w:rPr>
        <w:instrText xml:space="preserve"> ADDIN EN.CITE &lt;EndNote&gt;&lt;Cite&gt;&lt;Author&gt;Bottéro&lt;/Author&gt;&lt;Year&gt;1974-1975&lt;/Year&gt;&lt;RecNum&gt;1283&lt;/RecNum&gt;&lt;Pages&gt;131&lt;/Pages&gt;&lt;DisplayText&gt;Bottéro, &lt;style face="italic"&gt;Annuaire EPHE. 4e section&lt;/style&gt; 1975 (1974-1975) 131&lt;/DisplayText&gt;&lt;record&gt;&lt;rec-number&gt;1283&lt;/rec-number&gt;&lt;foreign-keys&gt;&lt;key app="EN" db-id="225fxd904pw0zueapxd5pdxewdrsefare5tz" timestamp="1466606625"&gt;1283&lt;/key&gt;&lt;/foreign-keys&gt;&lt;ref-type name="Journal Article"&gt;17&lt;/ref-type&gt;&lt;contributors&gt;&lt;authors&gt;&lt;author&gt;Bottéro, Jean&lt;/author&gt;&lt;/authors&gt;&lt;/contributors&gt;&lt;titles&gt;&lt;title&gt;Antiquités assyro-babyloniennes&lt;/title&gt;&lt;secondary-title&gt;Annuaire EPHE. 4e section&lt;/secondary-title&gt;&lt;/titles&gt;&lt;periodical&gt;&lt;full-title&gt;Annuaire EPHE. 4e section&lt;/full-title&gt;&lt;/periodical&gt;&lt;pages&gt;95-144&lt;/pages&gt;&lt;volume&gt;1975&lt;/volume&gt;&lt;dates&gt;&lt;year&gt;1974-1975&lt;/year&gt;&lt;/dates&gt;&lt;urls&gt;&lt;/urls&gt;&lt;/record&gt;&lt;/Cite&gt;&lt;/EndNote&gt;</w:instrText>
      </w:r>
      <w:r w:rsidRPr="004B6669">
        <w:rPr>
          <w:sz w:val="20"/>
        </w:rPr>
        <w:fldChar w:fldCharType="separate"/>
      </w:r>
      <w:r w:rsidR="00F324A3">
        <w:rPr>
          <w:noProof/>
          <w:sz w:val="20"/>
        </w:rPr>
        <w:t xml:space="preserve">Bottéro, </w:t>
      </w:r>
      <w:r w:rsidR="00F324A3" w:rsidRPr="00F324A3">
        <w:rPr>
          <w:i/>
          <w:noProof/>
          <w:sz w:val="20"/>
        </w:rPr>
        <w:t>Annuaire EPHE. 4e section</w:t>
      </w:r>
      <w:r w:rsidR="00F324A3">
        <w:rPr>
          <w:noProof/>
          <w:sz w:val="20"/>
        </w:rPr>
        <w:t xml:space="preserve"> 1975 (1974-1975) 131</w:t>
      </w:r>
      <w:r w:rsidRPr="004B6669">
        <w:rPr>
          <w:sz w:val="20"/>
        </w:rPr>
        <w:fldChar w:fldCharType="end"/>
      </w:r>
      <w:r w:rsidRPr="004B6669">
        <w:rPr>
          <w:sz w:val="20"/>
        </w:rPr>
        <w:t xml:space="preserve"> commenting on the incantation compendium BRM IV 20:</w:t>
      </w:r>
      <w:r w:rsidRPr="004B6669">
        <w:rPr>
          <w:rFonts w:ascii="Code2000" w:hAnsi="Code2000"/>
          <w:sz w:val="20"/>
          <w:szCs w:val="26"/>
        </w:rPr>
        <w:t xml:space="preserve"> “</w:t>
      </w:r>
      <w:proofErr w:type="spellStart"/>
      <w:r w:rsidRPr="004B6669">
        <w:rPr>
          <w:rFonts w:ascii="Code2000" w:hAnsi="Code2000"/>
          <w:sz w:val="20"/>
          <w:szCs w:val="26"/>
        </w:rPr>
        <w:t>Chaque</w:t>
      </w:r>
      <w:proofErr w:type="spellEnd"/>
      <w:r w:rsidRPr="004B6669">
        <w:rPr>
          <w:rFonts w:ascii="Code2000" w:hAnsi="Code2000"/>
          <w:sz w:val="20"/>
          <w:szCs w:val="26"/>
        </w:rPr>
        <w:t xml:space="preserve"> conjuration se </w:t>
      </w:r>
      <w:proofErr w:type="spellStart"/>
      <w:r w:rsidRPr="004B6669">
        <w:rPr>
          <w:rFonts w:ascii="Code2000" w:hAnsi="Code2000"/>
          <w:sz w:val="20"/>
          <w:szCs w:val="26"/>
        </w:rPr>
        <w:t>rapporte</w:t>
      </w:r>
      <w:proofErr w:type="spellEnd"/>
      <w:r w:rsidRPr="004B6669">
        <w:rPr>
          <w:rFonts w:ascii="Code2000" w:hAnsi="Code2000"/>
          <w:sz w:val="20"/>
          <w:szCs w:val="26"/>
        </w:rPr>
        <w:t xml:space="preserve"> à </w:t>
      </w:r>
      <w:proofErr w:type="spellStart"/>
      <w:r w:rsidRPr="004B6669">
        <w:rPr>
          <w:rFonts w:ascii="Code2000" w:hAnsi="Code2000"/>
          <w:sz w:val="20"/>
          <w:szCs w:val="26"/>
        </w:rPr>
        <w:t>une</w:t>
      </w:r>
      <w:proofErr w:type="spellEnd"/>
      <w:r w:rsidRPr="004B6669">
        <w:rPr>
          <w:rFonts w:ascii="Code2000" w:hAnsi="Code2000"/>
          <w:sz w:val="20"/>
          <w:szCs w:val="26"/>
        </w:rPr>
        <w:t xml:space="preserve"> action </w:t>
      </w:r>
      <w:proofErr w:type="spellStart"/>
      <w:r w:rsidRPr="004B6669">
        <w:rPr>
          <w:rFonts w:ascii="Code2000" w:hAnsi="Code2000"/>
          <w:sz w:val="20"/>
          <w:szCs w:val="26"/>
        </w:rPr>
        <w:t>précise</w:t>
      </w:r>
      <w:proofErr w:type="spellEnd"/>
      <w:r w:rsidRPr="004B6669">
        <w:rPr>
          <w:rFonts w:ascii="Code2000" w:hAnsi="Code2000"/>
          <w:sz w:val="20"/>
          <w:szCs w:val="26"/>
        </w:rPr>
        <w:t xml:space="preserve">. Et </w:t>
      </w:r>
      <w:proofErr w:type="spellStart"/>
      <w:r w:rsidRPr="004B6669">
        <w:rPr>
          <w:rFonts w:ascii="Code2000" w:hAnsi="Code2000"/>
          <w:sz w:val="20"/>
          <w:szCs w:val="26"/>
        </w:rPr>
        <w:t>chacune</w:t>
      </w:r>
      <w:proofErr w:type="spellEnd"/>
      <w:r w:rsidRPr="004B6669">
        <w:rPr>
          <w:rFonts w:ascii="Code2000" w:hAnsi="Code2000"/>
          <w:sz w:val="20"/>
          <w:szCs w:val="26"/>
        </w:rPr>
        <w:t xml:space="preserve"> de </w:t>
      </w:r>
      <w:proofErr w:type="spellStart"/>
      <w:r w:rsidRPr="004B6669">
        <w:rPr>
          <w:rFonts w:ascii="Code2000" w:hAnsi="Code2000"/>
          <w:sz w:val="20"/>
          <w:szCs w:val="26"/>
        </w:rPr>
        <w:t>ces</w:t>
      </w:r>
      <w:proofErr w:type="spellEnd"/>
      <w:r w:rsidRPr="004B6669">
        <w:rPr>
          <w:rFonts w:ascii="Code2000" w:hAnsi="Code2000"/>
          <w:sz w:val="20"/>
          <w:szCs w:val="26"/>
        </w:rPr>
        <w:t xml:space="preserve"> actions </w:t>
      </w:r>
      <w:proofErr w:type="spellStart"/>
      <w:r w:rsidRPr="004B6669">
        <w:rPr>
          <w:rFonts w:ascii="Code2000" w:hAnsi="Code2000"/>
          <w:sz w:val="20"/>
          <w:szCs w:val="26"/>
        </w:rPr>
        <w:t>intéresse</w:t>
      </w:r>
      <w:proofErr w:type="spellEnd"/>
      <w:r w:rsidRPr="004B6669">
        <w:rPr>
          <w:rFonts w:ascii="Code2000" w:hAnsi="Code2000"/>
          <w:sz w:val="20"/>
          <w:szCs w:val="26"/>
        </w:rPr>
        <w:t xml:space="preserve"> la </w:t>
      </w:r>
      <w:proofErr w:type="spellStart"/>
      <w:r w:rsidRPr="004B6669">
        <w:rPr>
          <w:rFonts w:ascii="Code2000" w:hAnsi="Code2000"/>
          <w:sz w:val="20"/>
          <w:szCs w:val="26"/>
        </w:rPr>
        <w:t>seule</w:t>
      </w:r>
      <w:proofErr w:type="spellEnd"/>
      <w:r w:rsidRPr="004B6669">
        <w:rPr>
          <w:rFonts w:ascii="Code2000" w:hAnsi="Code2000"/>
          <w:sz w:val="20"/>
          <w:szCs w:val="26"/>
        </w:rPr>
        <w:t xml:space="preserve"> vie </w:t>
      </w:r>
      <w:proofErr w:type="spellStart"/>
      <w:r w:rsidRPr="004B6669">
        <w:rPr>
          <w:rFonts w:ascii="Code2000" w:hAnsi="Code2000"/>
          <w:sz w:val="20"/>
          <w:szCs w:val="18"/>
        </w:rPr>
        <w:t>individuelle</w:t>
      </w:r>
      <w:proofErr w:type="spellEnd"/>
      <w:r w:rsidRPr="004B6669">
        <w:rPr>
          <w:rFonts w:ascii="Code2000" w:hAnsi="Code2000"/>
          <w:sz w:val="20"/>
          <w:szCs w:val="18"/>
        </w:rPr>
        <w:t xml:space="preserve">, </w:t>
      </w:r>
      <w:r w:rsidRPr="004B6669">
        <w:rPr>
          <w:rFonts w:ascii="Code2000" w:hAnsi="Code2000"/>
          <w:sz w:val="20"/>
          <w:szCs w:val="26"/>
        </w:rPr>
        <w:t xml:space="preserve">jamais le bien </w:t>
      </w:r>
      <w:proofErr w:type="spellStart"/>
      <w:r w:rsidRPr="004B6669">
        <w:rPr>
          <w:rFonts w:ascii="Code2000" w:hAnsi="Code2000"/>
          <w:sz w:val="20"/>
          <w:szCs w:val="26"/>
        </w:rPr>
        <w:t>commun</w:t>
      </w:r>
      <w:proofErr w:type="spellEnd"/>
      <w:r w:rsidRPr="004B6669">
        <w:rPr>
          <w:rFonts w:ascii="Code2000" w:hAnsi="Code2000"/>
          <w:sz w:val="20"/>
          <w:szCs w:val="26"/>
        </w:rPr>
        <w:t xml:space="preserve">, </w:t>
      </w:r>
      <w:proofErr w:type="spellStart"/>
      <w:r w:rsidRPr="004B6669">
        <w:rPr>
          <w:rFonts w:ascii="Code2000" w:hAnsi="Code2000"/>
          <w:sz w:val="20"/>
          <w:szCs w:val="26"/>
        </w:rPr>
        <w:t>l'intérêt</w:t>
      </w:r>
      <w:proofErr w:type="spellEnd"/>
      <w:r w:rsidRPr="004B6669">
        <w:rPr>
          <w:rFonts w:ascii="Code2000" w:hAnsi="Code2000"/>
          <w:sz w:val="20"/>
          <w:szCs w:val="26"/>
        </w:rPr>
        <w:t xml:space="preserve"> public”.  He also notes that the </w:t>
      </w:r>
      <w:proofErr w:type="spellStart"/>
      <w:r w:rsidRPr="004B6669">
        <w:rPr>
          <w:rFonts w:ascii="Code2000" w:hAnsi="Code2000"/>
          <w:i/>
          <w:sz w:val="20"/>
          <w:szCs w:val="26"/>
        </w:rPr>
        <w:t>lilû</w:t>
      </w:r>
      <w:proofErr w:type="spellEnd"/>
      <w:r w:rsidRPr="004B6669">
        <w:rPr>
          <w:rFonts w:ascii="Code2000" w:hAnsi="Code2000"/>
          <w:i/>
          <w:sz w:val="20"/>
          <w:szCs w:val="26"/>
        </w:rPr>
        <w:t xml:space="preserve"> </w:t>
      </w:r>
      <w:r w:rsidRPr="004B6669">
        <w:rPr>
          <w:rFonts w:ascii="Code2000" w:hAnsi="Code2000"/>
          <w:sz w:val="20"/>
          <w:szCs w:val="26"/>
        </w:rPr>
        <w:t xml:space="preserve">and </w:t>
      </w:r>
      <w:proofErr w:type="spellStart"/>
      <w:r w:rsidRPr="004B6669">
        <w:rPr>
          <w:rFonts w:ascii="Code2000" w:hAnsi="Code2000"/>
          <w:i/>
          <w:sz w:val="20"/>
          <w:szCs w:val="26"/>
        </w:rPr>
        <w:t>ardat</w:t>
      </w:r>
      <w:proofErr w:type="spellEnd"/>
      <w:r w:rsidRPr="004B6669">
        <w:rPr>
          <w:rFonts w:ascii="Code2000" w:hAnsi="Code2000"/>
          <w:i/>
          <w:sz w:val="20"/>
          <w:szCs w:val="26"/>
        </w:rPr>
        <w:t xml:space="preserve"> </w:t>
      </w:r>
      <w:proofErr w:type="spellStart"/>
      <w:r w:rsidRPr="004B6669">
        <w:rPr>
          <w:rFonts w:ascii="Code2000" w:hAnsi="Code2000"/>
          <w:i/>
          <w:sz w:val="20"/>
          <w:szCs w:val="26"/>
        </w:rPr>
        <w:t>lilî</w:t>
      </w:r>
      <w:proofErr w:type="spellEnd"/>
      <w:r w:rsidRPr="004B6669">
        <w:rPr>
          <w:rFonts w:ascii="Code2000" w:hAnsi="Code2000"/>
          <w:i/>
          <w:sz w:val="20"/>
          <w:szCs w:val="26"/>
        </w:rPr>
        <w:t xml:space="preserve"> </w:t>
      </w:r>
      <w:r w:rsidRPr="004B6669">
        <w:rPr>
          <w:rFonts w:ascii="Code2000" w:hAnsi="Code2000"/>
          <w:sz w:val="20"/>
          <w:szCs w:val="26"/>
        </w:rPr>
        <w:t>“</w:t>
      </w:r>
      <w:proofErr w:type="spellStart"/>
      <w:r w:rsidRPr="004B6669">
        <w:rPr>
          <w:rFonts w:ascii="Code2000" w:hAnsi="Code2000"/>
          <w:sz w:val="20"/>
          <w:szCs w:val="26"/>
        </w:rPr>
        <w:t>reparaissent</w:t>
      </w:r>
      <w:proofErr w:type="spellEnd"/>
      <w:r w:rsidRPr="004B6669">
        <w:rPr>
          <w:rFonts w:ascii="Code2000" w:hAnsi="Code2000"/>
          <w:sz w:val="20"/>
          <w:szCs w:val="26"/>
        </w:rPr>
        <w:t xml:space="preserve"> </w:t>
      </w:r>
      <w:proofErr w:type="spellStart"/>
      <w:r w:rsidRPr="004B6669">
        <w:rPr>
          <w:rFonts w:ascii="Code2000" w:hAnsi="Code2000"/>
          <w:sz w:val="20"/>
          <w:szCs w:val="26"/>
        </w:rPr>
        <w:t>également</w:t>
      </w:r>
      <w:proofErr w:type="spellEnd"/>
      <w:r w:rsidRPr="004B6669">
        <w:rPr>
          <w:rFonts w:ascii="Code2000" w:hAnsi="Code2000"/>
          <w:sz w:val="20"/>
          <w:szCs w:val="26"/>
        </w:rPr>
        <w:t xml:space="preserve"> </w:t>
      </w:r>
      <w:proofErr w:type="spellStart"/>
      <w:r w:rsidRPr="004B6669">
        <w:rPr>
          <w:rFonts w:ascii="Code2000" w:hAnsi="Code2000"/>
          <w:sz w:val="20"/>
          <w:szCs w:val="26"/>
        </w:rPr>
        <w:t>une</w:t>
      </w:r>
      <w:proofErr w:type="spellEnd"/>
      <w:r w:rsidRPr="004B6669">
        <w:rPr>
          <w:rFonts w:ascii="Code2000" w:hAnsi="Code2000"/>
          <w:sz w:val="20"/>
          <w:szCs w:val="26"/>
        </w:rPr>
        <w:t xml:space="preserve"> demi-douzaine de </w:t>
      </w:r>
      <w:proofErr w:type="spellStart"/>
      <w:r w:rsidRPr="004B6669">
        <w:rPr>
          <w:rFonts w:ascii="Code2000" w:hAnsi="Code2000"/>
          <w:sz w:val="20"/>
        </w:rPr>
        <w:t>fois</w:t>
      </w:r>
      <w:proofErr w:type="spellEnd"/>
      <w:r w:rsidRPr="004B6669">
        <w:rPr>
          <w:rFonts w:ascii="Code2000" w:hAnsi="Code2000"/>
          <w:sz w:val="20"/>
        </w:rPr>
        <w:t xml:space="preserve"> </w:t>
      </w:r>
      <w:r w:rsidRPr="004B6669">
        <w:rPr>
          <w:rFonts w:ascii="Code2000" w:hAnsi="Code2000"/>
          <w:sz w:val="20"/>
          <w:szCs w:val="26"/>
        </w:rPr>
        <w:t xml:space="preserve">dans </w:t>
      </w:r>
      <w:r w:rsidRPr="004B6669">
        <w:rPr>
          <w:rFonts w:ascii="Code2000" w:hAnsi="Code2000"/>
          <w:sz w:val="20"/>
          <w:szCs w:val="28"/>
        </w:rPr>
        <w:t xml:space="preserve">S.T.T., </w:t>
      </w:r>
      <w:proofErr w:type="gramStart"/>
      <w:r w:rsidRPr="004B6669">
        <w:rPr>
          <w:rFonts w:ascii="Code2000" w:hAnsi="Code2000"/>
          <w:sz w:val="20"/>
          <w:szCs w:val="26"/>
        </w:rPr>
        <w:t xml:space="preserve">300 </w:t>
      </w:r>
      <w:r w:rsidRPr="004B6669">
        <w:rPr>
          <w:rFonts w:ascii="Code2000" w:hAnsi="Code2000"/>
          <w:sz w:val="20"/>
          <w:szCs w:val="18"/>
        </w:rPr>
        <w:t>:</w:t>
      </w:r>
      <w:proofErr w:type="gramEnd"/>
      <w:r w:rsidRPr="004B6669">
        <w:rPr>
          <w:rFonts w:ascii="Code2000" w:hAnsi="Code2000"/>
          <w:sz w:val="20"/>
          <w:szCs w:val="18"/>
        </w:rPr>
        <w:t xml:space="preserve"> </w:t>
      </w:r>
      <w:r w:rsidRPr="004B6669">
        <w:rPr>
          <w:rFonts w:ascii="Code2000" w:hAnsi="Code2000"/>
          <w:sz w:val="20"/>
        </w:rPr>
        <w:t xml:space="preserve">3, </w:t>
      </w:r>
      <w:r w:rsidRPr="004B6669">
        <w:rPr>
          <w:rFonts w:ascii="Code2000" w:hAnsi="Code2000"/>
          <w:sz w:val="20"/>
          <w:szCs w:val="26"/>
        </w:rPr>
        <w:t xml:space="preserve">8, </w:t>
      </w:r>
      <w:r w:rsidRPr="004B6669">
        <w:rPr>
          <w:rFonts w:ascii="Code2000" w:hAnsi="Code2000"/>
          <w:sz w:val="20"/>
          <w:szCs w:val="28"/>
        </w:rPr>
        <w:t xml:space="preserve">12; </w:t>
      </w:r>
      <w:r w:rsidRPr="004B6669">
        <w:rPr>
          <w:rFonts w:ascii="Code2000" w:hAnsi="Code2000"/>
          <w:sz w:val="20"/>
          <w:szCs w:val="26"/>
        </w:rPr>
        <w:t xml:space="preserve">rev. 8, </w:t>
      </w:r>
      <w:r w:rsidRPr="004B6669">
        <w:rPr>
          <w:rFonts w:ascii="Code2000" w:hAnsi="Code2000"/>
          <w:sz w:val="20"/>
          <w:szCs w:val="30"/>
        </w:rPr>
        <w:t xml:space="preserve">11s, </w:t>
      </w:r>
      <w:r w:rsidRPr="004B6669">
        <w:rPr>
          <w:rFonts w:ascii="Code2000" w:hAnsi="Code2000"/>
          <w:sz w:val="20"/>
        </w:rPr>
        <w:t xml:space="preserve">et </w:t>
      </w:r>
      <w:proofErr w:type="spellStart"/>
      <w:r w:rsidRPr="004B6669">
        <w:rPr>
          <w:rFonts w:ascii="Code2000" w:hAnsi="Code2000"/>
          <w:sz w:val="20"/>
          <w:szCs w:val="26"/>
        </w:rPr>
        <w:t>devaient</w:t>
      </w:r>
      <w:proofErr w:type="spellEnd"/>
      <w:r w:rsidRPr="004B6669">
        <w:rPr>
          <w:rFonts w:ascii="Code2000" w:hAnsi="Code2000"/>
          <w:sz w:val="20"/>
          <w:szCs w:val="26"/>
        </w:rPr>
        <w:t xml:space="preserve"> </w:t>
      </w:r>
      <w:proofErr w:type="spellStart"/>
      <w:r w:rsidRPr="004B6669">
        <w:rPr>
          <w:rFonts w:ascii="Code2000" w:hAnsi="Code2000"/>
          <w:sz w:val="20"/>
          <w:szCs w:val="26"/>
        </w:rPr>
        <w:t>donc</w:t>
      </w:r>
      <w:proofErr w:type="spellEnd"/>
      <w:r w:rsidRPr="004B6669">
        <w:rPr>
          <w:rFonts w:ascii="Code2000" w:hAnsi="Code2000"/>
          <w:sz w:val="20"/>
          <w:szCs w:val="26"/>
        </w:rPr>
        <w:t xml:space="preserve"> </w:t>
      </w:r>
      <w:proofErr w:type="spellStart"/>
      <w:r w:rsidRPr="004B6669">
        <w:rPr>
          <w:rFonts w:ascii="Code2000" w:hAnsi="Code2000"/>
          <w:sz w:val="20"/>
          <w:szCs w:val="26"/>
        </w:rPr>
        <w:t>jouer</w:t>
      </w:r>
      <w:proofErr w:type="spellEnd"/>
      <w:r w:rsidRPr="004B6669">
        <w:rPr>
          <w:rFonts w:ascii="Code2000" w:hAnsi="Code2000"/>
          <w:sz w:val="20"/>
          <w:szCs w:val="26"/>
        </w:rPr>
        <w:t xml:space="preserve"> un grand</w:t>
      </w:r>
      <w:r w:rsidRPr="004B6669">
        <w:rPr>
          <w:sz w:val="20"/>
        </w:rPr>
        <w:t xml:space="preserve"> </w:t>
      </w:r>
      <w:proofErr w:type="spellStart"/>
      <w:r w:rsidRPr="004B6669">
        <w:rPr>
          <w:rFonts w:ascii="Code2000" w:hAnsi="Code2000"/>
          <w:sz w:val="20"/>
          <w:szCs w:val="26"/>
        </w:rPr>
        <w:t>rôle</w:t>
      </w:r>
      <w:proofErr w:type="spellEnd"/>
      <w:r w:rsidRPr="004B6669">
        <w:rPr>
          <w:rFonts w:ascii="Code2000" w:hAnsi="Code2000"/>
          <w:sz w:val="20"/>
          <w:szCs w:val="26"/>
        </w:rPr>
        <w:t xml:space="preserve"> dans la vie </w:t>
      </w:r>
      <w:proofErr w:type="spellStart"/>
      <w:r w:rsidRPr="004B6669">
        <w:rPr>
          <w:rFonts w:ascii="Code2000" w:hAnsi="Code2000"/>
          <w:sz w:val="20"/>
          <w:szCs w:val="26"/>
        </w:rPr>
        <w:t>privée</w:t>
      </w:r>
      <w:proofErr w:type="spellEnd"/>
      <w:r w:rsidRPr="004B6669">
        <w:rPr>
          <w:rFonts w:ascii="Code2000" w:hAnsi="Code2000"/>
          <w:sz w:val="20"/>
          <w:szCs w:val="26"/>
        </w:rPr>
        <w:t>”.</w:t>
      </w:r>
    </w:p>
  </w:footnote>
  <w:footnote w:id="7">
    <w:p w14:paraId="4EF62AB8" w14:textId="7BDD1FC0" w:rsidR="00DC42FE" w:rsidRPr="004B6669" w:rsidRDefault="00DC42FE" w:rsidP="00DC42FE">
      <w:pPr>
        <w:pStyle w:val="FootnoteText"/>
        <w:spacing w:before="2" w:after="2"/>
        <w:rPr>
          <w:sz w:val="20"/>
        </w:rPr>
      </w:pPr>
      <w:r w:rsidRPr="004B6669">
        <w:rPr>
          <w:rStyle w:val="FootnoteReference"/>
          <w:sz w:val="20"/>
        </w:rPr>
        <w:footnoteRef/>
      </w:r>
      <w:r w:rsidRPr="004B6669">
        <w:rPr>
          <w:sz w:val="20"/>
        </w:rPr>
        <w:t xml:space="preserve"> </w:t>
      </w:r>
      <w:r w:rsidRPr="004B6669">
        <w:rPr>
          <w:sz w:val="20"/>
        </w:rPr>
        <w:fldChar w:fldCharType="begin"/>
      </w:r>
      <w:r w:rsidR="00F324A3">
        <w:rPr>
          <w:sz w:val="20"/>
        </w:rPr>
        <w:instrText xml:space="preserve"> ADDIN EN.CITE &lt;EndNote&gt;&lt;Cite&gt;&lt;Author&gt;Stol&lt;/Author&gt;&lt;Year&gt;1993&lt;/Year&gt;&lt;RecNum&gt;1294&lt;/RecNum&gt;&lt;Pages&gt;48&lt;/Pages&gt;&lt;DisplayText&gt;Stol, &lt;style face="italic"&gt;Epilepsy&lt;/style&gt; (1993) 48&lt;/DisplayText&gt;&lt;record&gt;&lt;rec-number&gt;1294&lt;/rec-number&gt;&lt;foreign-keys&gt;&lt;key app="EN" db-id="225fxd904pw0zueapxd5pdxewdrsefare5tz" timestamp="1466695121"&gt;1294&lt;/key&gt;&lt;/foreign-keys&gt;&lt;ref-type name="Book"&gt;6&lt;/ref-type&gt;&lt;contributors&gt;&lt;authors&gt;&lt;author&gt;Stol, Marten&lt;/author&gt;&lt;/authors&gt;&lt;/contributors&gt;&lt;titles&gt;&lt;title&gt;Epilepsy in Babylonia&lt;/title&gt;&lt;secondary-title&gt;CM&lt;/secondary-title&gt;&lt;short-title&gt;Epilepsy&lt;/short-title&gt;&lt;/titles&gt;&lt;pages&gt;155p&lt;/pages&gt;&lt;volume&gt;2&lt;/volume&gt;&lt;number&gt;2&lt;/number&gt;&lt;keywords&gt;&lt;keyword&gt;Epilepsy -- Iraq -- History.&lt;/keyword&gt;&lt;keyword&gt;Medicine, Assyro-Babylonian.&lt;/keyword&gt;&lt;keyword&gt;Cuneiform tablets -- Iraq.&lt;/keyword&gt;&lt;keyword&gt;Epilepsy -- History.&lt;/keyword&gt;&lt;keyword&gt;Assyro-Babylonian literature.&lt;/keyword&gt;&lt;keyword&gt;Bible O.T. -- History of contemporary events&lt;/keyword&gt;&lt;/keywords&gt;&lt;dates&gt;&lt;year&gt;1993&lt;/year&gt;&lt;/dates&gt;&lt;pub-location&gt;Groningen&lt;/pub-location&gt;&lt;publisher&gt;Styx Publications&lt;/publisher&gt;&lt;isbn&gt;9072371631&lt;/isbn&gt;&lt;urls&gt;&lt;related-urls&gt;&lt;url&gt;http://search.lib.cam.ac.uk/?itemid=|cambrdgedb|1784216&lt;/url&gt;&lt;/related-urls&gt;&lt;/urls&gt;&lt;/record&gt;&lt;/Cite&gt;&lt;/EndNote&gt;</w:instrText>
      </w:r>
      <w:r w:rsidRPr="004B6669">
        <w:rPr>
          <w:sz w:val="20"/>
        </w:rPr>
        <w:fldChar w:fldCharType="separate"/>
      </w:r>
      <w:r w:rsidR="00F324A3">
        <w:rPr>
          <w:noProof/>
          <w:sz w:val="20"/>
        </w:rPr>
        <w:t xml:space="preserve">Stol, </w:t>
      </w:r>
      <w:r w:rsidR="00F324A3" w:rsidRPr="00F324A3">
        <w:rPr>
          <w:i/>
          <w:noProof/>
          <w:sz w:val="20"/>
        </w:rPr>
        <w:t>Epilepsy</w:t>
      </w:r>
      <w:r w:rsidR="00F324A3">
        <w:rPr>
          <w:noProof/>
          <w:sz w:val="20"/>
        </w:rPr>
        <w:t xml:space="preserve"> (1993) 48</w:t>
      </w:r>
      <w:r w:rsidRPr="004B6669">
        <w:rPr>
          <w:sz w:val="20"/>
        </w:rPr>
        <w:fldChar w:fldCharType="end"/>
      </w:r>
      <w:r w:rsidRPr="004B6669">
        <w:rPr>
          <w:sz w:val="20"/>
        </w:rPr>
        <w:t>.</w:t>
      </w:r>
    </w:p>
  </w:footnote>
  <w:footnote w:id="8">
    <w:p w14:paraId="54D1BECB" w14:textId="1F0B21BA" w:rsidR="00DC42FE" w:rsidRPr="004B6669" w:rsidRDefault="00DC42FE" w:rsidP="00DC42FE">
      <w:pPr>
        <w:pStyle w:val="FootnoteText"/>
        <w:spacing w:before="2" w:after="2"/>
        <w:rPr>
          <w:sz w:val="20"/>
        </w:rPr>
      </w:pPr>
      <w:r w:rsidRPr="004B6669">
        <w:rPr>
          <w:rStyle w:val="FootnoteReference"/>
          <w:sz w:val="20"/>
        </w:rPr>
        <w:footnoteRef/>
      </w:r>
      <w:r w:rsidRPr="004B6669">
        <w:rPr>
          <w:sz w:val="20"/>
        </w:rPr>
        <w:t xml:space="preserve"> </w:t>
      </w:r>
      <w:r w:rsidRPr="004B6669">
        <w:rPr>
          <w:sz w:val="20"/>
        </w:rPr>
        <w:fldChar w:fldCharType="begin"/>
      </w:r>
      <w:r w:rsidR="00F324A3">
        <w:rPr>
          <w:sz w:val="20"/>
        </w:rPr>
        <w:instrText xml:space="preserve"> ADDIN EN.CITE &lt;EndNote&gt;&lt;Cite&gt;&lt;Author&gt;Lackenbacher&lt;/Author&gt;&lt;Year&gt;1971&lt;/Year&gt;&lt;RecNum&gt;1273&lt;/RecNum&gt;&lt;Pages&gt;151&lt;/Pages&gt;&lt;DisplayText&gt;Lackenbacher, &lt;style face="italic"&gt;RA&lt;/style&gt; 65/2 (1971) 151&lt;/DisplayText&gt;&lt;record&gt;&lt;rec-number&gt;1273&lt;/rec-number&gt;&lt;foreign-keys&gt;&lt;key app="EN" db-id="225fxd904pw0zueapxd5pdxewdrsefare5tz" timestamp="1466356841"&gt;1273&lt;/key&gt;&lt;/foreign-keys&gt;&lt;ref-type name="Journal Article"&gt;17&lt;/ref-type&gt;&lt;contributors&gt;&lt;authors&gt;&lt;author&gt;Lackenbacher, S.&lt;/author&gt;&lt;/authors&gt;&lt;/contributors&gt;&lt;titles&gt;&lt;title&gt;Note sur l&amp;apos;ardat lilî&lt;/title&gt;&lt;secondary-title&gt;RA&lt;/secondary-title&gt;&lt;/titles&gt;&lt;periodical&gt;&lt;full-title&gt;RA&lt;/full-title&gt;&lt;/periodical&gt;&lt;pages&gt;119-154&lt;/pages&gt;&lt;volume&gt;65&lt;/volume&gt;&lt;number&gt;2&lt;/number&gt;&lt;dates&gt;&lt;year&gt;1971&lt;/year&gt;&lt;/dates&gt;&lt;publisher&gt;Presses Universitaires de France&lt;/publisher&gt;&lt;isbn&gt;03736032, 21043817&lt;/isbn&gt;&lt;urls&gt;&lt;related-urls&gt;&lt;url&gt;http://www.jstor.org/stable/23283434&lt;/url&gt;&lt;/related-urls&gt;&lt;/urls&gt;&lt;custom1&gt;Full publication date: 1971&lt;/custom1&gt;&lt;/record&gt;&lt;/Cite&gt;&lt;/EndNote&gt;</w:instrText>
      </w:r>
      <w:r w:rsidRPr="004B6669">
        <w:rPr>
          <w:sz w:val="20"/>
        </w:rPr>
        <w:fldChar w:fldCharType="separate"/>
      </w:r>
      <w:r w:rsidR="00F324A3">
        <w:rPr>
          <w:noProof/>
          <w:sz w:val="20"/>
        </w:rPr>
        <w:t xml:space="preserve">Lackenbacher, </w:t>
      </w:r>
      <w:r w:rsidR="00F324A3" w:rsidRPr="00F324A3">
        <w:rPr>
          <w:i/>
          <w:noProof/>
          <w:sz w:val="20"/>
        </w:rPr>
        <w:t>RA</w:t>
      </w:r>
      <w:r w:rsidR="00F324A3">
        <w:rPr>
          <w:noProof/>
          <w:sz w:val="20"/>
        </w:rPr>
        <w:t xml:space="preserve"> 65/2 (1971) 151</w:t>
      </w:r>
      <w:r w:rsidRPr="004B6669">
        <w:rPr>
          <w:sz w:val="20"/>
        </w:rPr>
        <w:fldChar w:fldCharType="end"/>
      </w:r>
      <w:r w:rsidRPr="004B6669">
        <w:rPr>
          <w:sz w:val="20"/>
        </w:rPr>
        <w:t xml:space="preserve">.  See on this point also </w:t>
      </w:r>
      <w:r w:rsidRPr="004B6669">
        <w:rPr>
          <w:sz w:val="20"/>
        </w:rPr>
        <w:fldChar w:fldCharType="begin"/>
      </w:r>
      <w:r w:rsidR="00F324A3">
        <w:rPr>
          <w:sz w:val="20"/>
        </w:rPr>
        <w:instrText xml:space="preserve"> ADDIN EN.CITE &lt;EndNote&gt;&lt;Cite&gt;&lt;Author&gt;Steinert&lt;/Author&gt;&lt;Year&gt;2014&lt;/Year&gt;&lt;RecNum&gt;3104&lt;/RecNum&gt;&lt;Pages&gt;128&lt;/Pages&gt;&lt;DisplayText&gt;Steinert in &lt;style face="italic"&gt;Fabric of Cities &lt;/style&gt;(2014) 128&lt;/DisplayText&gt;&lt;record&gt;&lt;rec-number&gt;3104&lt;/rec-number&gt;&lt;foreign-keys&gt;&lt;key app="EN" db-id="225fxd904pw0zueapxd5pdxewdrsefare5tz" timestamp="1519415691"&gt;3104&lt;/key&gt;&lt;/foreign-keys&gt;&lt;ref-type name="Book Section"&gt;5&lt;/ref-type&gt;&lt;contributors&gt;&lt;authors&gt;&lt;author&gt;Steinert, Ulrike&lt;/author&gt;&lt;/authors&gt;&lt;secondary-authors&gt;&lt;author&gt;May, N. N.&lt;/author&gt;&lt;author&gt;Steinert, Ulrike&lt;/author&gt;&lt;/secondary-authors&gt;&lt;/contributors&gt;&lt;titles&gt;&lt;title&gt;City Streets: reflections on urban society in the cuneiform sources of the second and first millennium BCE&lt;/title&gt;&lt;secondary-title&gt;The Fabric of Cities: Aspects of Urbanism, Urban Topography and Society in Mesopotamia, Greece and Rome&lt;/secondary-title&gt;&lt;tertiary-title&gt;Culture and History of the Ancient Near East&lt;/tertiary-title&gt;&lt;short-title&gt;Fabric of Cities&lt;/short-title&gt;&lt;/titles&gt;&lt;pages&gt;123-169&lt;/pages&gt;&lt;number&gt;68&lt;/number&gt;&lt;dates&gt;&lt;year&gt;2014&lt;/year&gt;&lt;/dates&gt;&lt;pub-location&gt;Leiden&lt;/pub-location&gt;&lt;publisher&gt;Brill&lt;/publisher&gt;&lt;urls&gt;&lt;/urls&gt;&lt;/record&gt;&lt;/Cite&gt;&lt;/EndNote&gt;</w:instrText>
      </w:r>
      <w:r w:rsidRPr="004B6669">
        <w:rPr>
          <w:sz w:val="20"/>
        </w:rPr>
        <w:fldChar w:fldCharType="separate"/>
      </w:r>
      <w:r w:rsidR="00F324A3">
        <w:rPr>
          <w:noProof/>
          <w:sz w:val="20"/>
        </w:rPr>
        <w:t xml:space="preserve">Steinert in </w:t>
      </w:r>
      <w:r w:rsidR="00F324A3" w:rsidRPr="00F324A3">
        <w:rPr>
          <w:i/>
          <w:noProof/>
          <w:sz w:val="20"/>
        </w:rPr>
        <w:t xml:space="preserve">Fabric of Cities </w:t>
      </w:r>
      <w:r w:rsidR="00F324A3">
        <w:rPr>
          <w:noProof/>
          <w:sz w:val="20"/>
        </w:rPr>
        <w:t>(2014) 128</w:t>
      </w:r>
      <w:r w:rsidRPr="004B6669">
        <w:rPr>
          <w:sz w:val="20"/>
        </w:rPr>
        <w:fldChar w:fldCharType="end"/>
      </w:r>
      <w:r w:rsidRPr="004B6669">
        <w:rPr>
          <w:sz w:val="20"/>
        </w:rPr>
        <w:t xml:space="preserve">, stressing that the </w:t>
      </w:r>
      <w:proofErr w:type="spellStart"/>
      <w:r w:rsidRPr="004B6669">
        <w:rPr>
          <w:i/>
          <w:sz w:val="20"/>
        </w:rPr>
        <w:t>ardat</w:t>
      </w:r>
      <w:proofErr w:type="spellEnd"/>
      <w:r w:rsidRPr="004B6669">
        <w:rPr>
          <w:i/>
          <w:sz w:val="20"/>
        </w:rPr>
        <w:t xml:space="preserve"> </w:t>
      </w:r>
      <w:proofErr w:type="spellStart"/>
      <w:r w:rsidRPr="004B6669">
        <w:rPr>
          <w:i/>
          <w:sz w:val="20"/>
        </w:rPr>
        <w:t>lilî</w:t>
      </w:r>
      <w:proofErr w:type="spellEnd"/>
      <w:r w:rsidRPr="004B6669">
        <w:rPr>
          <w:i/>
          <w:sz w:val="20"/>
        </w:rPr>
        <w:t xml:space="preserve"> </w:t>
      </w:r>
      <w:r w:rsidRPr="004B6669">
        <w:rPr>
          <w:sz w:val="20"/>
        </w:rPr>
        <w:t>“never ha[d] the chance to take part in the social life of her community”.</w:t>
      </w:r>
    </w:p>
  </w:footnote>
  <w:footnote w:id="9">
    <w:p w14:paraId="65648BD2" w14:textId="77777777" w:rsidR="00DC42FE" w:rsidRPr="004B6669" w:rsidRDefault="00DC42FE" w:rsidP="00DC42FE">
      <w:pPr>
        <w:pStyle w:val="FootnoteText"/>
        <w:rPr>
          <w:sz w:val="20"/>
        </w:rPr>
      </w:pPr>
      <w:r w:rsidRPr="004B6669">
        <w:rPr>
          <w:rStyle w:val="FootnoteReference"/>
          <w:sz w:val="20"/>
        </w:rPr>
        <w:footnoteRef/>
      </w:r>
      <w:r w:rsidRPr="004B6669">
        <w:rPr>
          <w:sz w:val="20"/>
        </w:rPr>
        <w:t xml:space="preserve"> See already </w:t>
      </w:r>
      <w:r w:rsidRPr="004B6669">
        <w:rPr>
          <w:sz w:val="20"/>
        </w:rPr>
        <w:fldChar w:fldCharType="begin"/>
      </w:r>
      <w:r>
        <w:rPr>
          <w:sz w:val="20"/>
        </w:rPr>
        <w:instrText xml:space="preserve"> ADDIN EN.CITE &lt;EndNote&gt;&lt;Cite&gt;&lt;Author&gt;Ebeling&lt;/Author&gt;&lt;Year&gt;1938&lt;/Year&gt;&lt;RecNum&gt;1556&lt;/RecNum&gt;&lt;Pages&gt;110b&lt;/Pages&gt;&lt;DisplayText&gt;Ebeling in &lt;style face="italic"&gt;RlA II &lt;/style&gt;(1938) 110b&lt;/DisplayText&gt;&lt;record&gt;&lt;rec-number&gt;1556&lt;/rec-number&gt;&lt;foreign-keys&gt;&lt;key app="EN" db-id="225fxd904pw0zueapxd5pdxewdrsefare5tz" timestamp="1467609764"&gt;1556&lt;/key&gt;&lt;/foreign-keys&gt;&lt;ref-type name="Book Section"&gt;5&lt;/ref-type&gt;&lt;contributors&gt;&lt;authors&gt;&lt;author&gt;Ebeling, E.&lt;/author&gt;&lt;/authors&gt;&lt;secondary-authors&gt;&lt;author&gt;Ebeling, E.&lt;/author&gt;&lt;author&gt;Meissner, B.&lt;/author&gt;&lt;/secondary-authors&gt;&lt;/contributors&gt;&lt;titles&gt;&lt;title&gt;Dämonen&lt;/title&gt;&lt;secondary-title&gt;Reallexikon der Assyriologie II&lt;/secondary-title&gt;&lt;short-title&gt;RlA II&lt;/short-title&gt;&lt;/titles&gt;&lt;pages&gt;107-113&lt;/pages&gt;&lt;dates&gt;&lt;year&gt;1938&lt;/year&gt;&lt;/dates&gt;&lt;pub-location&gt;Berlin&lt;/pub-location&gt;&lt;publisher&gt;Walter De Gruyter&lt;/publisher&gt;&lt;urls&gt;&lt;/urls&gt;&lt;/record&gt;&lt;/Cite&gt;&lt;/EndNote&gt;</w:instrText>
      </w:r>
      <w:r w:rsidRPr="004B6669">
        <w:rPr>
          <w:sz w:val="20"/>
        </w:rPr>
        <w:fldChar w:fldCharType="separate"/>
      </w:r>
      <w:r>
        <w:rPr>
          <w:noProof/>
          <w:sz w:val="20"/>
        </w:rPr>
        <w:t xml:space="preserve">Ebeling in </w:t>
      </w:r>
      <w:r w:rsidRPr="00D56272">
        <w:rPr>
          <w:i/>
          <w:noProof/>
          <w:sz w:val="20"/>
        </w:rPr>
        <w:t xml:space="preserve">RlA II </w:t>
      </w:r>
      <w:r>
        <w:rPr>
          <w:noProof/>
          <w:sz w:val="20"/>
        </w:rPr>
        <w:t>(1938) 110b</w:t>
      </w:r>
      <w:r w:rsidRPr="004B6669">
        <w:rPr>
          <w:sz w:val="20"/>
        </w:rPr>
        <w:fldChar w:fldCharType="end"/>
      </w:r>
      <w:r w:rsidRPr="004B6669">
        <w:rPr>
          <w:sz w:val="20"/>
        </w:rPr>
        <w:t xml:space="preserve">: </w:t>
      </w:r>
      <w:proofErr w:type="spellStart"/>
      <w:r w:rsidRPr="004B6669">
        <w:rPr>
          <w:i/>
          <w:sz w:val="20"/>
        </w:rPr>
        <w:t>lilû</w:t>
      </w:r>
      <w:proofErr w:type="spellEnd"/>
      <w:r w:rsidRPr="004B6669">
        <w:rPr>
          <w:sz w:val="20"/>
        </w:rPr>
        <w:t xml:space="preserve">, </w:t>
      </w:r>
      <w:proofErr w:type="spellStart"/>
      <w:r w:rsidRPr="004B6669">
        <w:rPr>
          <w:i/>
          <w:sz w:val="20"/>
        </w:rPr>
        <w:t>lilītu</w:t>
      </w:r>
      <w:proofErr w:type="spellEnd"/>
      <w:r w:rsidRPr="004B6669">
        <w:rPr>
          <w:i/>
          <w:sz w:val="20"/>
        </w:rPr>
        <w:t xml:space="preserve"> </w:t>
      </w:r>
      <w:r w:rsidRPr="004B6669">
        <w:rPr>
          <w:sz w:val="20"/>
        </w:rPr>
        <w:t xml:space="preserve">and </w:t>
      </w:r>
      <w:proofErr w:type="spellStart"/>
      <w:r w:rsidRPr="004B6669">
        <w:rPr>
          <w:i/>
          <w:sz w:val="20"/>
        </w:rPr>
        <w:t>ardat-lilî</w:t>
      </w:r>
      <w:proofErr w:type="spellEnd"/>
      <w:r w:rsidRPr="004B6669">
        <w:rPr>
          <w:i/>
          <w:sz w:val="20"/>
        </w:rPr>
        <w:t xml:space="preserve"> </w:t>
      </w:r>
      <w:r w:rsidRPr="004B6669">
        <w:rPr>
          <w:sz w:val="20"/>
        </w:rPr>
        <w:t>“</w:t>
      </w:r>
      <w:proofErr w:type="spellStart"/>
      <w:r w:rsidRPr="004B6669">
        <w:rPr>
          <w:sz w:val="20"/>
        </w:rPr>
        <w:t>gehören</w:t>
      </w:r>
      <w:proofErr w:type="spellEnd"/>
      <w:r w:rsidRPr="004B6669">
        <w:rPr>
          <w:sz w:val="20"/>
        </w:rPr>
        <w:t xml:space="preserve"> </w:t>
      </w:r>
      <w:proofErr w:type="spellStart"/>
      <w:r w:rsidRPr="004B6669">
        <w:rPr>
          <w:sz w:val="20"/>
        </w:rPr>
        <w:t>zu</w:t>
      </w:r>
      <w:proofErr w:type="spellEnd"/>
      <w:r w:rsidRPr="004B6669">
        <w:rPr>
          <w:sz w:val="20"/>
        </w:rPr>
        <w:t xml:space="preserve"> </w:t>
      </w:r>
      <w:proofErr w:type="spellStart"/>
      <w:r w:rsidRPr="004B6669">
        <w:rPr>
          <w:sz w:val="20"/>
        </w:rPr>
        <w:t>einer</w:t>
      </w:r>
      <w:proofErr w:type="spellEnd"/>
      <w:r w:rsidRPr="004B6669">
        <w:rPr>
          <w:sz w:val="20"/>
        </w:rPr>
        <w:t xml:space="preserve"> Gemeinschaft, </w:t>
      </w:r>
      <w:proofErr w:type="spellStart"/>
      <w:r w:rsidRPr="004B6669">
        <w:rPr>
          <w:sz w:val="20"/>
        </w:rPr>
        <w:t>weil</w:t>
      </w:r>
      <w:proofErr w:type="spellEnd"/>
      <w:r w:rsidRPr="004B6669">
        <w:rPr>
          <w:sz w:val="20"/>
        </w:rPr>
        <w:t xml:space="preserve"> </w:t>
      </w:r>
      <w:proofErr w:type="spellStart"/>
      <w:r w:rsidRPr="004B6669">
        <w:rPr>
          <w:sz w:val="20"/>
        </w:rPr>
        <w:t>sie</w:t>
      </w:r>
      <w:proofErr w:type="spellEnd"/>
      <w:r w:rsidRPr="004B6669">
        <w:rPr>
          <w:sz w:val="20"/>
        </w:rPr>
        <w:t xml:space="preserve"> in </w:t>
      </w:r>
      <w:proofErr w:type="spellStart"/>
      <w:r w:rsidRPr="004B6669">
        <w:rPr>
          <w:sz w:val="20"/>
        </w:rPr>
        <w:t>ihrem</w:t>
      </w:r>
      <w:proofErr w:type="spellEnd"/>
      <w:r w:rsidRPr="004B6669">
        <w:rPr>
          <w:sz w:val="20"/>
        </w:rPr>
        <w:t xml:space="preserve"> </w:t>
      </w:r>
      <w:proofErr w:type="spellStart"/>
      <w:r w:rsidRPr="004B6669">
        <w:rPr>
          <w:sz w:val="20"/>
        </w:rPr>
        <w:t>Wesen</w:t>
      </w:r>
      <w:proofErr w:type="spellEnd"/>
      <w:r w:rsidRPr="004B6669">
        <w:rPr>
          <w:sz w:val="20"/>
        </w:rPr>
        <w:t xml:space="preserve"> </w:t>
      </w:r>
      <w:proofErr w:type="spellStart"/>
      <w:r w:rsidRPr="004B6669">
        <w:rPr>
          <w:sz w:val="20"/>
        </w:rPr>
        <w:t>übereinstimmen</w:t>
      </w:r>
      <w:proofErr w:type="spellEnd"/>
      <w:r w:rsidRPr="004B6669">
        <w:rPr>
          <w:sz w:val="20"/>
        </w:rPr>
        <w:t xml:space="preserve">, </w:t>
      </w:r>
      <w:proofErr w:type="spellStart"/>
      <w:r w:rsidRPr="004B6669">
        <w:rPr>
          <w:sz w:val="20"/>
        </w:rPr>
        <w:t>sozusagen</w:t>
      </w:r>
      <w:proofErr w:type="spellEnd"/>
      <w:r w:rsidRPr="004B6669">
        <w:rPr>
          <w:sz w:val="20"/>
        </w:rPr>
        <w:t xml:space="preserve"> die </w:t>
      </w:r>
      <w:proofErr w:type="spellStart"/>
      <w:r w:rsidRPr="004B6669">
        <w:rPr>
          <w:sz w:val="20"/>
        </w:rPr>
        <w:t>männliche</w:t>
      </w:r>
      <w:proofErr w:type="spellEnd"/>
      <w:r w:rsidRPr="004B6669">
        <w:rPr>
          <w:sz w:val="20"/>
        </w:rPr>
        <w:t xml:space="preserve"> und </w:t>
      </w:r>
      <w:proofErr w:type="spellStart"/>
      <w:r w:rsidRPr="004B6669">
        <w:rPr>
          <w:sz w:val="20"/>
        </w:rPr>
        <w:t>weibliche</w:t>
      </w:r>
      <w:proofErr w:type="spellEnd"/>
      <w:r w:rsidRPr="004B6669">
        <w:rPr>
          <w:sz w:val="20"/>
        </w:rPr>
        <w:t xml:space="preserve"> </w:t>
      </w:r>
      <w:proofErr w:type="spellStart"/>
      <w:r w:rsidRPr="004B6669">
        <w:rPr>
          <w:sz w:val="20"/>
        </w:rPr>
        <w:t>Seite</w:t>
      </w:r>
      <w:proofErr w:type="spellEnd"/>
      <w:r w:rsidRPr="004B6669">
        <w:rPr>
          <w:sz w:val="20"/>
        </w:rPr>
        <w:t xml:space="preserve"> </w:t>
      </w:r>
      <w:proofErr w:type="spellStart"/>
      <w:r w:rsidRPr="004B6669">
        <w:rPr>
          <w:sz w:val="20"/>
        </w:rPr>
        <w:t>ein</w:t>
      </w:r>
      <w:proofErr w:type="spellEnd"/>
      <w:r w:rsidRPr="004B6669">
        <w:rPr>
          <w:sz w:val="20"/>
        </w:rPr>
        <w:t xml:space="preserve"> und </w:t>
      </w:r>
      <w:proofErr w:type="spellStart"/>
      <w:r w:rsidRPr="004B6669">
        <w:rPr>
          <w:sz w:val="20"/>
        </w:rPr>
        <w:t>desselben</w:t>
      </w:r>
      <w:proofErr w:type="spellEnd"/>
      <w:r w:rsidRPr="004B6669">
        <w:rPr>
          <w:sz w:val="20"/>
        </w:rPr>
        <w:t xml:space="preserve"> </w:t>
      </w:r>
      <w:proofErr w:type="spellStart"/>
      <w:r w:rsidRPr="004B6669">
        <w:rPr>
          <w:sz w:val="20"/>
        </w:rPr>
        <w:t>Prinzips</w:t>
      </w:r>
      <w:proofErr w:type="spellEnd"/>
      <w:r w:rsidRPr="004B6669">
        <w:rPr>
          <w:sz w:val="20"/>
        </w:rPr>
        <w:t xml:space="preserve"> </w:t>
      </w:r>
      <w:proofErr w:type="spellStart"/>
      <w:r w:rsidRPr="004B6669">
        <w:rPr>
          <w:sz w:val="20"/>
        </w:rPr>
        <w:t>darstellen</w:t>
      </w:r>
      <w:proofErr w:type="spellEnd"/>
      <w:r w:rsidRPr="004B6669">
        <w:rPr>
          <w:sz w:val="20"/>
        </w:rPr>
        <w:t>”.</w:t>
      </w:r>
    </w:p>
  </w:footnote>
  <w:footnote w:id="10">
    <w:p w14:paraId="60B0A7B2" w14:textId="6911C9B5" w:rsidR="00D56272" w:rsidRPr="004B6669" w:rsidRDefault="00D56272" w:rsidP="00D56272">
      <w:pPr>
        <w:pStyle w:val="FootnoteText"/>
        <w:rPr>
          <w:sz w:val="20"/>
        </w:rPr>
      </w:pPr>
      <w:r w:rsidRPr="004B6669">
        <w:rPr>
          <w:rStyle w:val="FootnoteReference"/>
          <w:sz w:val="20"/>
        </w:rPr>
        <w:footnoteRef/>
      </w:r>
      <w:r w:rsidRPr="004B6669">
        <w:rPr>
          <w:sz w:val="20"/>
        </w:rPr>
        <w:t xml:space="preserve"> </w:t>
      </w:r>
      <w:r w:rsidRPr="004B6669">
        <w:rPr>
          <w:sz w:val="20"/>
        </w:rPr>
        <w:fldChar w:fldCharType="begin"/>
      </w:r>
      <w:r>
        <w:rPr>
          <w:sz w:val="20"/>
        </w:rPr>
        <w:instrText xml:space="preserve"> ADDIN EN.CITE &lt;EndNote&gt;&lt;Cite&gt;&lt;Author&gt;Heeßel&lt;/Author&gt;&lt;Year&gt;2000&lt;/Year&gt;&lt;RecNum&gt;1754&lt;/RecNum&gt;&lt;Pages&gt;282&lt;/Pages&gt;&lt;DisplayText&gt;Heeßel, &lt;style face="italic"&gt;Diagnostik &lt;/style&gt;(2000) 282&lt;/DisplayText&gt;&lt;record&gt;&lt;rec-number&gt;1754&lt;/rec-number&gt;&lt;foreign-keys&gt;&lt;key app="EN" db-id="225fxd904pw0zueapxd5pdxewdrsefare5tz" timestamp="1467609764"&gt;1754&lt;/key&gt;&lt;/foreign-keys&gt;&lt;ref-type name="Book"&gt;6&lt;/ref-type&gt;&lt;contributors&gt;&lt;authors&gt;&lt;author&gt;Heeßel, N. P.&lt;/author&gt;&lt;/authors&gt;&lt;/contributors&gt;&lt;titles&gt;&lt;title&gt;Babylonisch-assyrische Diagnostik &lt;/title&gt;&lt;secondary-title&gt;AOAT&lt;/secondary-title&gt;&lt;short-title&gt;Diagnostik&lt;/short-title&gt;&lt;/titles&gt;&lt;number&gt;43&lt;/number&gt;&lt;dates&gt;&lt;year&gt;2000&lt;/year&gt;&lt;/dates&gt;&lt;pub-location&gt;Münster&lt;/pub-location&gt;&lt;publisher&gt;Ugarit-Verlag&lt;/publisher&gt;&lt;urls&gt;&lt;/urls&gt;&lt;/record&gt;&lt;/Cite&gt;&lt;/EndNote&gt;</w:instrText>
      </w:r>
      <w:r w:rsidRPr="004B6669">
        <w:rPr>
          <w:sz w:val="20"/>
        </w:rPr>
        <w:fldChar w:fldCharType="separate"/>
      </w:r>
      <w:r>
        <w:rPr>
          <w:noProof/>
          <w:sz w:val="20"/>
        </w:rPr>
        <w:t xml:space="preserve">Heeßel, </w:t>
      </w:r>
      <w:r w:rsidRPr="00D56272">
        <w:rPr>
          <w:i/>
          <w:noProof/>
          <w:sz w:val="20"/>
        </w:rPr>
        <w:t xml:space="preserve">Diagnostik </w:t>
      </w:r>
      <w:r>
        <w:rPr>
          <w:noProof/>
          <w:sz w:val="20"/>
        </w:rPr>
        <w:t>(2000) 282</w:t>
      </w:r>
      <w:r w:rsidRPr="004B6669">
        <w:rPr>
          <w:sz w:val="20"/>
        </w:rPr>
        <w:fldChar w:fldCharType="end"/>
      </w:r>
      <w:r w:rsidRPr="004B6669">
        <w:rPr>
          <w:sz w:val="20"/>
        </w:rPr>
        <w:t>.</w:t>
      </w:r>
    </w:p>
  </w:footnote>
  <w:footnote w:id="11">
    <w:p w14:paraId="741E4402" w14:textId="389E4BA9" w:rsidR="00D56272" w:rsidRPr="004B6669" w:rsidRDefault="00D56272" w:rsidP="00D56272">
      <w:pPr>
        <w:pStyle w:val="FootnoteText"/>
        <w:rPr>
          <w:sz w:val="20"/>
        </w:rPr>
      </w:pPr>
      <w:r w:rsidRPr="004B6669">
        <w:rPr>
          <w:rStyle w:val="FootnoteReference"/>
          <w:sz w:val="20"/>
        </w:rPr>
        <w:footnoteRef/>
      </w:r>
      <w:r w:rsidRPr="004B6669">
        <w:rPr>
          <w:sz w:val="20"/>
        </w:rPr>
        <w:t xml:space="preserve"> </w:t>
      </w:r>
      <w:r w:rsidRPr="004B6669">
        <w:rPr>
          <w:sz w:val="20"/>
        </w:rPr>
        <w:fldChar w:fldCharType="begin"/>
      </w:r>
      <w:r>
        <w:rPr>
          <w:sz w:val="20"/>
        </w:rPr>
        <w:instrText xml:space="preserve"> ADDIN EN.CITE &lt;EndNote&gt;&lt;Cite&gt;&lt;Author&gt;Heeßel&lt;/Author&gt;&lt;Year&gt;2000&lt;/Year&gt;&lt;RecNum&gt;1754&lt;/RecNum&gt;&lt;Pages&gt;282&lt;/Pages&gt;&lt;DisplayText&gt;Heeßel, &lt;style face="italic"&gt;Diagnostik&lt;/style&gt; (2000) 282&lt;/DisplayText&gt;&lt;record&gt;&lt;rec-number&gt;1754&lt;/rec-number&gt;&lt;foreign-keys&gt;&lt;key app="EN" db-id="225fxd904pw0zueapxd5pdxewdrsefare5tz" timestamp="1467609764"&gt;1754&lt;/key&gt;&lt;/foreign-keys&gt;&lt;ref-type name="Book"&gt;6&lt;/ref-type&gt;&lt;contributors&gt;&lt;authors&gt;&lt;author&gt;Heeßel, N. P.&lt;/author&gt;&lt;/authors&gt;&lt;/contributors&gt;&lt;titles&gt;&lt;title&gt;Babylonisch-assyrische Diagnostik &lt;/title&gt;&lt;secondary-title&gt;AOAT&lt;/secondary-title&gt;&lt;short-title&gt;Diagnostik&lt;/short-title&gt;&lt;/titles&gt;&lt;number&gt;43&lt;/number&gt;&lt;dates&gt;&lt;year&gt;2000&lt;/year&gt;&lt;/dates&gt;&lt;pub-location&gt;Münster&lt;/pub-location&gt;&lt;publisher&gt;Ugarit-Verlag&lt;/publisher&gt;&lt;urls&gt;&lt;/urls&gt;&lt;/record&gt;&lt;/Cite&gt;&lt;/EndNote&gt;</w:instrText>
      </w:r>
      <w:r w:rsidRPr="004B6669">
        <w:rPr>
          <w:sz w:val="20"/>
        </w:rPr>
        <w:fldChar w:fldCharType="separate"/>
      </w:r>
      <w:r>
        <w:rPr>
          <w:noProof/>
          <w:sz w:val="20"/>
        </w:rPr>
        <w:t xml:space="preserve">Heeßel, </w:t>
      </w:r>
      <w:r w:rsidRPr="00D56272">
        <w:rPr>
          <w:i/>
          <w:noProof/>
          <w:sz w:val="20"/>
        </w:rPr>
        <w:t>Diagnostik</w:t>
      </w:r>
      <w:r>
        <w:rPr>
          <w:noProof/>
          <w:sz w:val="20"/>
        </w:rPr>
        <w:t xml:space="preserve"> (2000) 282</w:t>
      </w:r>
      <w:r w:rsidRPr="004B6669">
        <w:rPr>
          <w:sz w:val="20"/>
        </w:rPr>
        <w:fldChar w:fldCharType="end"/>
      </w:r>
      <w:r w:rsidRPr="004B6669">
        <w:rPr>
          <w:sz w:val="20"/>
        </w:rPr>
        <w:t>.</w:t>
      </w:r>
    </w:p>
  </w:footnote>
  <w:footnote w:id="12">
    <w:p w14:paraId="638B910F" w14:textId="62BD5DB3" w:rsidR="00B44D53" w:rsidRDefault="00B44D53">
      <w:pPr>
        <w:pStyle w:val="FootnoteText"/>
      </w:pPr>
      <w:r>
        <w:rPr>
          <w:rStyle w:val="FootnoteReference"/>
        </w:rPr>
        <w:footnoteRef/>
      </w:r>
      <w:r>
        <w:t xml:space="preserve"> </w:t>
      </w:r>
      <w:r w:rsidRPr="004B6669">
        <w:rPr>
          <w:sz w:val="20"/>
        </w:rPr>
        <w:t xml:space="preserve">For </w:t>
      </w:r>
      <w:proofErr w:type="spellStart"/>
      <w:r w:rsidRPr="004B6669">
        <w:rPr>
          <w:i/>
          <w:sz w:val="20"/>
        </w:rPr>
        <w:t>sarru</w:t>
      </w:r>
      <w:proofErr w:type="spellEnd"/>
      <w:r w:rsidRPr="004B6669">
        <w:rPr>
          <w:sz w:val="20"/>
        </w:rPr>
        <w:t xml:space="preserve"> ‘mendacious(?)’, </w:t>
      </w:r>
      <w:proofErr w:type="spellStart"/>
      <w:r w:rsidRPr="004B6669">
        <w:rPr>
          <w:sz w:val="20"/>
        </w:rPr>
        <w:t>Heeßel</w:t>
      </w:r>
      <w:proofErr w:type="spellEnd"/>
      <w:r w:rsidRPr="004B6669">
        <w:rPr>
          <w:sz w:val="20"/>
        </w:rPr>
        <w:t xml:space="preserve"> p. 294 cites the parallel in BAM 407, 7’ and 10’.</w:t>
      </w:r>
    </w:p>
  </w:footnote>
  <w:footnote w:id="13">
    <w:p w14:paraId="0796C0F4" w14:textId="7A04D1B0" w:rsidR="00B44D53" w:rsidRPr="004B6669" w:rsidRDefault="00D56272" w:rsidP="00D56272">
      <w:pPr>
        <w:pStyle w:val="FootnoteText"/>
        <w:rPr>
          <w:sz w:val="20"/>
        </w:rPr>
      </w:pPr>
      <w:r w:rsidRPr="004B6669">
        <w:rPr>
          <w:rStyle w:val="FootnoteReference"/>
          <w:sz w:val="20"/>
        </w:rPr>
        <w:footnoteRef/>
      </w:r>
      <w:r w:rsidRPr="004B6669">
        <w:rPr>
          <w:sz w:val="20"/>
        </w:rPr>
        <w:t xml:space="preserve"> </w:t>
      </w:r>
      <w:proofErr w:type="spellStart"/>
      <w:proofErr w:type="gramStart"/>
      <w:r w:rsidR="00B44D53" w:rsidRPr="004B6669">
        <w:rPr>
          <w:sz w:val="20"/>
        </w:rPr>
        <w:t>zi.zi</w:t>
      </w:r>
      <w:proofErr w:type="spellEnd"/>
      <w:proofErr w:type="gramEnd"/>
      <w:r w:rsidR="00B44D53" w:rsidRPr="004B6669">
        <w:rPr>
          <w:sz w:val="20"/>
        </w:rPr>
        <w:t>-</w:t>
      </w:r>
      <w:r w:rsidR="00B44D53" w:rsidRPr="004B6669">
        <w:rPr>
          <w:i/>
          <w:sz w:val="20"/>
        </w:rPr>
        <w:t>bi</w:t>
      </w:r>
      <w:r w:rsidR="00B44D53">
        <w:rPr>
          <w:sz w:val="20"/>
        </w:rPr>
        <w:t xml:space="preserve"> </w:t>
      </w:r>
      <w:r w:rsidR="003C7E97">
        <w:rPr>
          <w:sz w:val="20"/>
        </w:rPr>
        <w:t xml:space="preserve">poses two problems.  </w:t>
      </w:r>
      <w:r w:rsidR="003C7E97" w:rsidRPr="003C7E97">
        <w:rPr>
          <w:b/>
          <w:bCs/>
          <w:sz w:val="20"/>
        </w:rPr>
        <w:t>1)</w:t>
      </w:r>
      <w:r w:rsidR="003C7E97">
        <w:rPr>
          <w:sz w:val="20"/>
        </w:rPr>
        <w:t xml:space="preserve"> it </w:t>
      </w:r>
      <w:r w:rsidR="00B44D53">
        <w:rPr>
          <w:sz w:val="20"/>
        </w:rPr>
        <w:t xml:space="preserve">clearly represents a form of </w:t>
      </w:r>
      <w:proofErr w:type="spellStart"/>
      <w:r w:rsidR="00B44D53" w:rsidRPr="003C7E97">
        <w:rPr>
          <w:i/>
          <w:iCs/>
          <w:sz w:val="20"/>
        </w:rPr>
        <w:t>tebû</w:t>
      </w:r>
      <w:proofErr w:type="spellEnd"/>
      <w:r w:rsidR="00B44D53">
        <w:rPr>
          <w:sz w:val="20"/>
        </w:rPr>
        <w:t>, but exactly how to read it is uncertain.</w:t>
      </w:r>
      <w:r w:rsidR="00B44D53" w:rsidRPr="004B6669">
        <w:rPr>
          <w:sz w:val="20"/>
        </w:rPr>
        <w:t xml:space="preserve"> </w:t>
      </w:r>
      <w:r w:rsidR="00B44D53">
        <w:rPr>
          <w:sz w:val="20"/>
        </w:rPr>
        <w:t xml:space="preserve"> </w:t>
      </w:r>
      <w:r w:rsidR="003C7E97">
        <w:rPr>
          <w:sz w:val="20"/>
        </w:rPr>
        <w:fldChar w:fldCharType="begin"/>
      </w:r>
      <w:r w:rsidR="003C7E97">
        <w:rPr>
          <w:sz w:val="20"/>
        </w:rPr>
        <w:instrText xml:space="preserve"> ADDIN EN.CITE &lt;EndNote&gt;&lt;Cite&gt;&lt;Author&gt;Scurlock&lt;/Author&gt;&lt;Year&gt;2014&lt;/Year&gt;&lt;RecNum&gt;3024&lt;/RecNum&gt;&lt;Pages&gt;203&lt;/Pages&gt;&lt;DisplayText&gt;Scurlock, &lt;style face="italic"&gt;Sourcebook &lt;/style&gt;(2014) 203&lt;/DisplayText&gt;&lt;record&gt;&lt;rec-number&gt;3024&lt;/rec-number&gt;&lt;foreign-keys&gt;&lt;key app="EN" db-id="225fxd904pw0zueapxd5pdxewdrsefare5tz" timestamp="1518053109"&gt;3024&lt;/key&gt;&lt;/foreign-keys&gt;&lt;ref-type name="Book"&gt;6&lt;/ref-type&gt;&lt;contributors&gt;&lt;authors&gt;&lt;author&gt;Scurlock, J.&lt;/author&gt;&lt;/authors&gt;&lt;/contributors&gt;&lt;titles&gt;&lt;title&gt;Sourcebook for Ancient Mesopotamian Medicine&lt;/title&gt;&lt;secondary-title&gt;Writings from the Ancient World&lt;/secondary-title&gt;&lt;short-title&gt;Sourcebook&lt;/short-title&gt;&lt;/titles&gt;&lt;number&gt;36&lt;/number&gt;&lt;dates&gt;&lt;year&gt;2014&lt;/year&gt;&lt;/dates&gt;&lt;pub-location&gt;Atlanta, GA&lt;/pub-location&gt;&lt;publisher&gt;Society of Biblical Literature&lt;/publisher&gt;&lt;urls&gt;&lt;/urls&gt;&lt;/record&gt;&lt;/Cite&gt;&lt;/EndNote&gt;</w:instrText>
      </w:r>
      <w:r w:rsidR="003C7E97">
        <w:rPr>
          <w:sz w:val="20"/>
        </w:rPr>
        <w:fldChar w:fldCharType="separate"/>
      </w:r>
      <w:r w:rsidR="003C7E97">
        <w:rPr>
          <w:noProof/>
          <w:sz w:val="20"/>
        </w:rPr>
        <w:t xml:space="preserve">Scurlock, </w:t>
      </w:r>
      <w:r w:rsidR="003C7E97" w:rsidRPr="003C7E97">
        <w:rPr>
          <w:i/>
          <w:noProof/>
          <w:sz w:val="20"/>
        </w:rPr>
        <w:t xml:space="preserve">Sourcebook </w:t>
      </w:r>
      <w:r w:rsidR="003C7E97">
        <w:rPr>
          <w:noProof/>
          <w:sz w:val="20"/>
        </w:rPr>
        <w:t>(2014) 203</w:t>
      </w:r>
      <w:r w:rsidR="003C7E97">
        <w:rPr>
          <w:sz w:val="20"/>
        </w:rPr>
        <w:fldChar w:fldCharType="end"/>
      </w:r>
      <w:r w:rsidR="00B44D53" w:rsidRPr="004B6669">
        <w:rPr>
          <w:sz w:val="20"/>
        </w:rPr>
        <w:t xml:space="preserve"> translates </w:t>
      </w:r>
      <w:r w:rsidR="00B44D53">
        <w:rPr>
          <w:sz w:val="20"/>
        </w:rPr>
        <w:t xml:space="preserve">it </w:t>
      </w:r>
      <w:r w:rsidR="00B44D53" w:rsidRPr="004B6669">
        <w:rPr>
          <w:sz w:val="20"/>
        </w:rPr>
        <w:t>as “he can get up</w:t>
      </w:r>
      <w:r w:rsidR="003C7E97">
        <w:rPr>
          <w:sz w:val="20"/>
        </w:rPr>
        <w:t xml:space="preserve"> (afterwards)</w:t>
      </w:r>
      <w:r w:rsidR="00B44D53" w:rsidRPr="004B6669">
        <w:rPr>
          <w:sz w:val="20"/>
        </w:rPr>
        <w:t xml:space="preserve">”, apparently assuming the form is </w:t>
      </w:r>
      <w:proofErr w:type="spellStart"/>
      <w:r w:rsidR="00B44D53" w:rsidRPr="004B6669">
        <w:rPr>
          <w:i/>
          <w:sz w:val="20"/>
        </w:rPr>
        <w:t>tebû</w:t>
      </w:r>
      <w:proofErr w:type="spellEnd"/>
      <w:r w:rsidR="00B44D53" w:rsidRPr="004B6669">
        <w:rPr>
          <w:sz w:val="20"/>
        </w:rPr>
        <w:t xml:space="preserve"> </w:t>
      </w:r>
      <w:proofErr w:type="spellStart"/>
      <w:r w:rsidR="00B44D53" w:rsidRPr="004B6669">
        <w:rPr>
          <w:sz w:val="20"/>
        </w:rPr>
        <w:t>Gtn</w:t>
      </w:r>
      <w:proofErr w:type="spellEnd"/>
      <w:r w:rsidR="00B44D53" w:rsidRPr="004B6669">
        <w:rPr>
          <w:sz w:val="20"/>
        </w:rPr>
        <w:t xml:space="preserve"> (though </w:t>
      </w:r>
      <w:proofErr w:type="spellStart"/>
      <w:r w:rsidR="00B44D53" w:rsidRPr="004B6669">
        <w:rPr>
          <w:sz w:val="20"/>
        </w:rPr>
        <w:t>AHw</w:t>
      </w:r>
      <w:proofErr w:type="spellEnd"/>
      <w:r w:rsidR="00B44D53" w:rsidRPr="004B6669">
        <w:rPr>
          <w:sz w:val="20"/>
        </w:rPr>
        <w:t xml:space="preserve"> </w:t>
      </w:r>
      <w:r w:rsidR="00ED12F9">
        <w:rPr>
          <w:sz w:val="20"/>
        </w:rPr>
        <w:t xml:space="preserve">(1977) </w:t>
      </w:r>
      <w:r w:rsidR="00B44D53" w:rsidRPr="004B6669">
        <w:rPr>
          <w:sz w:val="20"/>
        </w:rPr>
        <w:t xml:space="preserve">1343a </w:t>
      </w:r>
      <w:proofErr w:type="spellStart"/>
      <w:r w:rsidR="00B44D53" w:rsidRPr="004B6669">
        <w:rPr>
          <w:sz w:val="20"/>
        </w:rPr>
        <w:t>recognises</w:t>
      </w:r>
      <w:proofErr w:type="spellEnd"/>
      <w:r w:rsidR="00B44D53" w:rsidRPr="004B6669">
        <w:rPr>
          <w:sz w:val="20"/>
        </w:rPr>
        <w:t xml:space="preserve"> several nuances for this).  However, at </w:t>
      </w:r>
      <w:r w:rsidR="003C7E97" w:rsidRPr="003C7E97">
        <w:rPr>
          <w:iCs/>
          <w:sz w:val="20"/>
        </w:rPr>
        <w:t>SA.GIG</w:t>
      </w:r>
      <w:r w:rsidR="00B44D53" w:rsidRPr="004B6669">
        <w:rPr>
          <w:sz w:val="20"/>
        </w:rPr>
        <w:t xml:space="preserve"> XXVI 82’ (</w:t>
      </w:r>
      <w:proofErr w:type="spellStart"/>
      <w:r w:rsidR="00B44D53" w:rsidRPr="004B6669">
        <w:rPr>
          <w:sz w:val="20"/>
        </w:rPr>
        <w:t>Heeßel</w:t>
      </w:r>
      <w:proofErr w:type="spellEnd"/>
      <w:r w:rsidR="00B44D53" w:rsidRPr="004B6669">
        <w:rPr>
          <w:sz w:val="20"/>
        </w:rPr>
        <w:t xml:space="preserve"> p. 285) we find </w:t>
      </w:r>
      <w:proofErr w:type="spellStart"/>
      <w:r w:rsidR="00B44D53" w:rsidRPr="004B6669">
        <w:rPr>
          <w:i/>
          <w:sz w:val="20"/>
        </w:rPr>
        <w:t>šumma</w:t>
      </w:r>
      <w:proofErr w:type="spellEnd"/>
      <w:r w:rsidR="00B44D53" w:rsidRPr="004B6669">
        <w:rPr>
          <w:i/>
          <w:sz w:val="20"/>
        </w:rPr>
        <w:t xml:space="preserve"> </w:t>
      </w:r>
      <w:proofErr w:type="spellStart"/>
      <w:r w:rsidR="00B44D53" w:rsidRPr="004B6669">
        <w:rPr>
          <w:i/>
          <w:sz w:val="20"/>
        </w:rPr>
        <w:t>parid</w:t>
      </w:r>
      <w:proofErr w:type="spellEnd"/>
      <w:r w:rsidR="00B44D53" w:rsidRPr="004B6669">
        <w:rPr>
          <w:i/>
          <w:sz w:val="20"/>
        </w:rPr>
        <w:t>-ma it-</w:t>
      </w:r>
      <w:proofErr w:type="spellStart"/>
      <w:r w:rsidR="00B44D53" w:rsidRPr="004B6669">
        <w:rPr>
          <w:i/>
          <w:sz w:val="20"/>
        </w:rPr>
        <w:t>te</w:t>
      </w:r>
      <w:proofErr w:type="spellEnd"/>
      <w:r w:rsidR="00B44D53" w:rsidRPr="004B6669">
        <w:rPr>
          <w:i/>
          <w:sz w:val="20"/>
        </w:rPr>
        <w:t>-né-et-</w:t>
      </w:r>
      <w:proofErr w:type="spellStart"/>
      <w:r w:rsidR="00B44D53" w:rsidRPr="004B6669">
        <w:rPr>
          <w:i/>
          <w:sz w:val="20"/>
        </w:rPr>
        <w:t>bi</w:t>
      </w:r>
      <w:proofErr w:type="spellEnd"/>
      <w:r w:rsidR="00B44D53" w:rsidRPr="004B6669">
        <w:rPr>
          <w:i/>
          <w:sz w:val="20"/>
        </w:rPr>
        <w:t xml:space="preserve"> </w:t>
      </w:r>
      <w:proofErr w:type="spellStart"/>
      <w:r w:rsidR="00B44D53" w:rsidRPr="004B6669">
        <w:rPr>
          <w:i/>
          <w:sz w:val="20"/>
        </w:rPr>
        <w:t>magal</w:t>
      </w:r>
      <w:proofErr w:type="spellEnd"/>
      <w:r w:rsidR="00B44D53" w:rsidRPr="004B6669">
        <w:rPr>
          <w:i/>
          <w:sz w:val="20"/>
        </w:rPr>
        <w:t xml:space="preserve"> </w:t>
      </w:r>
      <w:proofErr w:type="spellStart"/>
      <w:r w:rsidR="00B44D53" w:rsidRPr="004B6669">
        <w:rPr>
          <w:i/>
          <w:sz w:val="20"/>
        </w:rPr>
        <w:t>iddanabbub</w:t>
      </w:r>
      <w:proofErr w:type="spellEnd"/>
      <w:r w:rsidR="00B44D53" w:rsidRPr="004B6669">
        <w:rPr>
          <w:i/>
          <w:sz w:val="20"/>
        </w:rPr>
        <w:t xml:space="preserve"> u </w:t>
      </w:r>
      <w:proofErr w:type="spellStart"/>
      <w:r w:rsidR="00B44D53" w:rsidRPr="004B6669">
        <w:rPr>
          <w:i/>
          <w:sz w:val="20"/>
        </w:rPr>
        <w:t>i</w:t>
      </w:r>
      <w:proofErr w:type="spellEnd"/>
      <w:r w:rsidR="00B44D53" w:rsidRPr="004B6669">
        <w:rPr>
          <w:sz w:val="20"/>
        </w:rPr>
        <w:t>[</w:t>
      </w:r>
      <w:proofErr w:type="spellStart"/>
      <w:r w:rsidR="00B44D53" w:rsidRPr="004B6669">
        <w:rPr>
          <w:i/>
          <w:sz w:val="20"/>
        </w:rPr>
        <w:t>gd</w:t>
      </w:r>
      <w:proofErr w:type="spellEnd"/>
      <w:r w:rsidR="00B44D53" w:rsidRPr="004B6669">
        <w:rPr>
          <w:sz w:val="20"/>
        </w:rPr>
        <w:t>]</w:t>
      </w:r>
      <w:proofErr w:type="spellStart"/>
      <w:r w:rsidR="00B44D53" w:rsidRPr="004B6669">
        <w:rPr>
          <w:i/>
          <w:sz w:val="20"/>
        </w:rPr>
        <w:t>anallu</w:t>
      </w:r>
      <w:proofErr w:type="spellEnd"/>
      <w:r w:rsidR="00B44D53" w:rsidRPr="004B6669">
        <w:rPr>
          <w:sz w:val="20"/>
        </w:rPr>
        <w:t>[</w:t>
      </w:r>
      <w:r w:rsidR="00B44D53" w:rsidRPr="004B6669">
        <w:rPr>
          <w:i/>
          <w:sz w:val="20"/>
        </w:rPr>
        <w:t>t</w:t>
      </w:r>
      <w:r w:rsidR="00B44D53" w:rsidRPr="004B6669">
        <w:rPr>
          <w:sz w:val="20"/>
        </w:rPr>
        <w:t xml:space="preserve">], suggesting that our </w:t>
      </w:r>
      <w:proofErr w:type="spellStart"/>
      <w:proofErr w:type="gramStart"/>
      <w:r w:rsidR="00B44D53" w:rsidRPr="004B6669">
        <w:rPr>
          <w:sz w:val="20"/>
        </w:rPr>
        <w:t>zi.zi</w:t>
      </w:r>
      <w:proofErr w:type="spellEnd"/>
      <w:proofErr w:type="gramEnd"/>
      <w:r w:rsidR="00B44D53" w:rsidRPr="004B6669">
        <w:rPr>
          <w:sz w:val="20"/>
        </w:rPr>
        <w:t>-</w:t>
      </w:r>
      <w:r w:rsidR="00B44D53" w:rsidRPr="004B6669">
        <w:rPr>
          <w:i/>
          <w:sz w:val="20"/>
        </w:rPr>
        <w:t xml:space="preserve">bi </w:t>
      </w:r>
      <w:r w:rsidR="00B44D53" w:rsidRPr="004B6669">
        <w:rPr>
          <w:sz w:val="20"/>
        </w:rPr>
        <w:t xml:space="preserve">– also next to a form of </w:t>
      </w:r>
      <w:proofErr w:type="spellStart"/>
      <w:r w:rsidR="00B44D53" w:rsidRPr="004B6669">
        <w:rPr>
          <w:i/>
          <w:sz w:val="20"/>
        </w:rPr>
        <w:t>parādu</w:t>
      </w:r>
      <w:proofErr w:type="spellEnd"/>
      <w:r w:rsidR="00B44D53" w:rsidRPr="004B6669">
        <w:rPr>
          <w:i/>
          <w:sz w:val="20"/>
        </w:rPr>
        <w:t xml:space="preserve"> </w:t>
      </w:r>
      <w:r w:rsidR="00B44D53" w:rsidRPr="004B6669">
        <w:rPr>
          <w:sz w:val="20"/>
        </w:rPr>
        <w:t xml:space="preserve">– might well be hiding an </w:t>
      </w:r>
      <w:proofErr w:type="spellStart"/>
      <w:r w:rsidR="00B44D53" w:rsidRPr="004B6669">
        <w:rPr>
          <w:i/>
          <w:sz w:val="20"/>
        </w:rPr>
        <w:t>ittenetbi</w:t>
      </w:r>
      <w:proofErr w:type="spellEnd"/>
      <w:r w:rsidR="00B44D53" w:rsidRPr="004B6669">
        <w:rPr>
          <w:i/>
          <w:sz w:val="20"/>
        </w:rPr>
        <w:t xml:space="preserve"> </w:t>
      </w:r>
      <w:r w:rsidR="00B44D53" w:rsidRPr="004B6669">
        <w:rPr>
          <w:sz w:val="20"/>
        </w:rPr>
        <w:t>(</w:t>
      </w:r>
      <w:proofErr w:type="spellStart"/>
      <w:r w:rsidR="00B44D53" w:rsidRPr="004B6669">
        <w:rPr>
          <w:sz w:val="20"/>
        </w:rPr>
        <w:t>Ntn</w:t>
      </w:r>
      <w:proofErr w:type="spellEnd"/>
      <w:r w:rsidR="00B44D53" w:rsidRPr="004B6669">
        <w:rPr>
          <w:sz w:val="20"/>
        </w:rPr>
        <w:t xml:space="preserve"> present).  The translation of </w:t>
      </w:r>
      <w:proofErr w:type="spellStart"/>
      <w:r w:rsidR="00B44D53" w:rsidRPr="004B6669">
        <w:rPr>
          <w:i/>
          <w:sz w:val="20"/>
        </w:rPr>
        <w:t>ittenetbi</w:t>
      </w:r>
      <w:proofErr w:type="spellEnd"/>
      <w:r w:rsidR="00B44D53" w:rsidRPr="004B6669">
        <w:rPr>
          <w:sz w:val="20"/>
        </w:rPr>
        <w:t xml:space="preserve"> is uncertain. </w:t>
      </w:r>
      <w:proofErr w:type="spellStart"/>
      <w:r w:rsidR="00B44D53" w:rsidRPr="004B6669">
        <w:rPr>
          <w:sz w:val="20"/>
        </w:rPr>
        <w:t>Heeßel</w:t>
      </w:r>
      <w:proofErr w:type="spellEnd"/>
      <w:r w:rsidR="00B44D53" w:rsidRPr="004B6669">
        <w:rPr>
          <w:sz w:val="20"/>
        </w:rPr>
        <w:t xml:space="preserve"> renders the two occurrences in the prescription in lines 82’-83’ as “</w:t>
      </w:r>
      <w:proofErr w:type="spellStart"/>
      <w:r w:rsidR="00B44D53" w:rsidRPr="004B6669">
        <w:rPr>
          <w:sz w:val="20"/>
        </w:rPr>
        <w:t>immer</w:t>
      </w:r>
      <w:proofErr w:type="spellEnd"/>
      <w:r w:rsidR="00B44D53" w:rsidRPr="004B6669">
        <w:rPr>
          <w:sz w:val="20"/>
        </w:rPr>
        <w:t xml:space="preserve"> </w:t>
      </w:r>
      <w:proofErr w:type="spellStart"/>
      <w:r w:rsidR="00B44D53" w:rsidRPr="004B6669">
        <w:rPr>
          <w:sz w:val="20"/>
        </w:rPr>
        <w:t>wieder</w:t>
      </w:r>
      <w:proofErr w:type="spellEnd"/>
      <w:r w:rsidR="00B44D53" w:rsidRPr="004B6669">
        <w:rPr>
          <w:sz w:val="20"/>
        </w:rPr>
        <w:t xml:space="preserve"> </w:t>
      </w:r>
      <w:proofErr w:type="spellStart"/>
      <w:r w:rsidR="00B44D53" w:rsidRPr="004B6669">
        <w:rPr>
          <w:sz w:val="20"/>
        </w:rPr>
        <w:t>aufsteht</w:t>
      </w:r>
      <w:proofErr w:type="spellEnd"/>
      <w:r w:rsidR="00B44D53" w:rsidRPr="004B6669">
        <w:rPr>
          <w:sz w:val="20"/>
        </w:rPr>
        <w:t>” and “</w:t>
      </w:r>
      <w:proofErr w:type="spellStart"/>
      <w:r w:rsidR="00B44D53" w:rsidRPr="004B6669">
        <w:rPr>
          <w:sz w:val="20"/>
        </w:rPr>
        <w:t>sie</w:t>
      </w:r>
      <w:proofErr w:type="spellEnd"/>
      <w:r w:rsidR="00B44D53" w:rsidRPr="004B6669">
        <w:rPr>
          <w:sz w:val="20"/>
        </w:rPr>
        <w:t xml:space="preserve"> </w:t>
      </w:r>
      <w:proofErr w:type="spellStart"/>
      <w:r w:rsidR="00B44D53" w:rsidRPr="004B6669">
        <w:rPr>
          <w:sz w:val="20"/>
        </w:rPr>
        <w:t>werden</w:t>
      </w:r>
      <w:proofErr w:type="spellEnd"/>
      <w:r w:rsidR="00B44D53" w:rsidRPr="004B6669">
        <w:rPr>
          <w:sz w:val="20"/>
        </w:rPr>
        <w:t xml:space="preserve"> </w:t>
      </w:r>
      <w:proofErr w:type="spellStart"/>
      <w:r w:rsidR="00B44D53" w:rsidRPr="004B6669">
        <w:rPr>
          <w:sz w:val="20"/>
        </w:rPr>
        <w:t>sich</w:t>
      </w:r>
      <w:proofErr w:type="spellEnd"/>
      <w:r w:rsidR="00B44D53" w:rsidRPr="004B6669">
        <w:rPr>
          <w:sz w:val="20"/>
        </w:rPr>
        <w:t xml:space="preserve"> </w:t>
      </w:r>
      <w:proofErr w:type="spellStart"/>
      <w:r w:rsidR="00B44D53" w:rsidRPr="004B6669">
        <w:rPr>
          <w:sz w:val="20"/>
        </w:rPr>
        <w:t>hinwegheben</w:t>
      </w:r>
      <w:proofErr w:type="spellEnd"/>
      <w:r w:rsidR="00B44D53" w:rsidRPr="004B6669">
        <w:rPr>
          <w:sz w:val="20"/>
        </w:rPr>
        <w:t xml:space="preserve">”. CAD T </w:t>
      </w:r>
      <w:r w:rsidR="00ED12F9">
        <w:rPr>
          <w:sz w:val="20"/>
        </w:rPr>
        <w:t xml:space="preserve">(2006) </w:t>
      </w:r>
      <w:r w:rsidR="00B44D53" w:rsidRPr="004B6669">
        <w:rPr>
          <w:sz w:val="20"/>
        </w:rPr>
        <w:t xml:space="preserve">320b does not cite </w:t>
      </w:r>
      <w:proofErr w:type="spellStart"/>
      <w:r w:rsidR="00B44D53" w:rsidRPr="004B6669">
        <w:rPr>
          <w:sz w:val="20"/>
        </w:rPr>
        <w:t>Heeßel’s</w:t>
      </w:r>
      <w:proofErr w:type="spellEnd"/>
      <w:r w:rsidR="00B44D53" w:rsidRPr="004B6669">
        <w:rPr>
          <w:sz w:val="20"/>
        </w:rPr>
        <w:t xml:space="preserve"> attestations, but interprets another as “causes pain continuously”, which does not fit here. The second occurrence of </w:t>
      </w:r>
      <w:proofErr w:type="spellStart"/>
      <w:proofErr w:type="gramStart"/>
      <w:r w:rsidR="00B44D53" w:rsidRPr="004B6669">
        <w:rPr>
          <w:sz w:val="20"/>
        </w:rPr>
        <w:t>zi.zi</w:t>
      </w:r>
      <w:proofErr w:type="spellEnd"/>
      <w:proofErr w:type="gramEnd"/>
      <w:r w:rsidR="00B44D53" w:rsidRPr="004B6669">
        <w:rPr>
          <w:sz w:val="20"/>
        </w:rPr>
        <w:t>-</w:t>
      </w:r>
      <w:r w:rsidR="00B44D53" w:rsidRPr="004B6669">
        <w:rPr>
          <w:i/>
          <w:sz w:val="20"/>
        </w:rPr>
        <w:t xml:space="preserve">bi </w:t>
      </w:r>
      <w:r w:rsidR="00B44D53" w:rsidRPr="004B6669">
        <w:rPr>
          <w:sz w:val="20"/>
        </w:rPr>
        <w:t>pertains specifically to a female patient, and so may denote the male demon’s sexual arousal.</w:t>
      </w:r>
      <w:r w:rsidR="003C7E97">
        <w:rPr>
          <w:sz w:val="20"/>
        </w:rPr>
        <w:t xml:space="preserve"> </w:t>
      </w:r>
      <w:r w:rsidR="003C7E97" w:rsidRPr="003C7E97">
        <w:rPr>
          <w:b/>
          <w:bCs/>
          <w:sz w:val="20"/>
        </w:rPr>
        <w:t>2)</w:t>
      </w:r>
      <w:r w:rsidR="003C7E97">
        <w:rPr>
          <w:sz w:val="20"/>
        </w:rPr>
        <w:t xml:space="preserve"> </w:t>
      </w:r>
      <w:proofErr w:type="gramStart"/>
      <w:r w:rsidR="003C7E97">
        <w:rPr>
          <w:sz w:val="20"/>
        </w:rPr>
        <w:t>However</w:t>
      </w:r>
      <w:proofErr w:type="gramEnd"/>
      <w:r w:rsidR="003C7E97">
        <w:rPr>
          <w:sz w:val="20"/>
        </w:rPr>
        <w:t xml:space="preserve"> the verb should be read, there is the question of who its subject is.  My translation above supposes it is the </w:t>
      </w:r>
      <w:proofErr w:type="spellStart"/>
      <w:r w:rsidR="003C7E97">
        <w:rPr>
          <w:sz w:val="20"/>
        </w:rPr>
        <w:t>líl</w:t>
      </w:r>
      <w:proofErr w:type="spellEnd"/>
      <w:r w:rsidR="003C7E97">
        <w:rPr>
          <w:sz w:val="20"/>
        </w:rPr>
        <w:t>-demon, but Scurlock supposes it is the human patient.</w:t>
      </w:r>
    </w:p>
  </w:footnote>
  <w:footnote w:id="14">
    <w:p w14:paraId="2644D33B" w14:textId="3A814C3F" w:rsidR="00D56272" w:rsidRPr="004B6669" w:rsidRDefault="00D56272" w:rsidP="00D56272">
      <w:pPr>
        <w:rPr>
          <w:sz w:val="20"/>
        </w:rPr>
      </w:pPr>
      <w:r w:rsidRPr="004B6669">
        <w:rPr>
          <w:rStyle w:val="FootnoteReference"/>
          <w:sz w:val="20"/>
        </w:rPr>
        <w:footnoteRef/>
      </w:r>
      <w:r w:rsidRPr="004B6669">
        <w:rPr>
          <w:sz w:val="20"/>
        </w:rPr>
        <w:t xml:space="preserve"> </w:t>
      </w:r>
      <w:r w:rsidRPr="004B6669">
        <w:rPr>
          <w:sz w:val="20"/>
        </w:rPr>
        <w:fldChar w:fldCharType="begin"/>
      </w:r>
      <w:r>
        <w:rPr>
          <w:sz w:val="20"/>
        </w:rPr>
        <w:instrText xml:space="preserve"> ADDIN EN.CITE &lt;EndNote&gt;&lt;Cite&gt;&lt;Author&gt;Heeßel&lt;/Author&gt;&lt;Year&gt;2000&lt;/Year&gt;&lt;RecNum&gt;1754&lt;/RecNum&gt;&lt;Pages&gt;282&lt;/Pages&gt;&lt;DisplayText&gt;Heeßel, &lt;style face="italic"&gt;Diagnostik&lt;/style&gt; (2000) 282&lt;/DisplayText&gt;&lt;record&gt;&lt;rec-number&gt;1754&lt;/rec-number&gt;&lt;foreign-keys&gt;&lt;key app="EN" db-id="225fxd904pw0zueapxd5pdxewdrsefare5tz" timestamp="1467609764"&gt;1754&lt;/key&gt;&lt;/foreign-keys&gt;&lt;ref-type name="Book"&gt;6&lt;/ref-type&gt;&lt;contributors&gt;&lt;authors&gt;&lt;author&gt;Heeßel, N. P.&lt;/author&gt;&lt;/authors&gt;&lt;/contributors&gt;&lt;titles&gt;&lt;title&gt;Babylonisch-assyrische Diagnostik &lt;/title&gt;&lt;secondary-title&gt;AOAT&lt;/secondary-title&gt;&lt;short-title&gt;Diagnostik&lt;/short-title&gt;&lt;/titles&gt;&lt;number&gt;43&lt;/number&gt;&lt;dates&gt;&lt;year&gt;2000&lt;/year&gt;&lt;/dates&gt;&lt;pub-location&gt;Münster&lt;/pub-location&gt;&lt;publisher&gt;Ugarit-Verlag&lt;/publisher&gt;&lt;urls&gt;&lt;/urls&gt;&lt;/record&gt;&lt;/Cite&gt;&lt;/EndNote&gt;</w:instrText>
      </w:r>
      <w:r w:rsidRPr="004B6669">
        <w:rPr>
          <w:sz w:val="20"/>
        </w:rPr>
        <w:fldChar w:fldCharType="separate"/>
      </w:r>
      <w:r>
        <w:rPr>
          <w:noProof/>
          <w:sz w:val="20"/>
        </w:rPr>
        <w:t xml:space="preserve">Heeßel, </w:t>
      </w:r>
      <w:r w:rsidRPr="00D56272">
        <w:rPr>
          <w:i/>
          <w:noProof/>
          <w:sz w:val="20"/>
        </w:rPr>
        <w:t>Diagnostik</w:t>
      </w:r>
      <w:r>
        <w:rPr>
          <w:noProof/>
          <w:sz w:val="20"/>
        </w:rPr>
        <w:t xml:space="preserve"> (2000) 282</w:t>
      </w:r>
      <w:r w:rsidRPr="004B6669">
        <w:rPr>
          <w:sz w:val="20"/>
        </w:rPr>
        <w:fldChar w:fldCharType="end"/>
      </w:r>
      <w:r w:rsidRPr="004B6669">
        <w:rPr>
          <w:sz w:val="20"/>
        </w:rPr>
        <w:t>.</w:t>
      </w:r>
    </w:p>
  </w:footnote>
  <w:footnote w:id="15">
    <w:p w14:paraId="39683D13" w14:textId="10CF240B" w:rsidR="00D56272" w:rsidRPr="004B6669" w:rsidRDefault="00D56272" w:rsidP="00D56272">
      <w:pPr>
        <w:pStyle w:val="FootnoteText"/>
        <w:rPr>
          <w:sz w:val="20"/>
        </w:rPr>
      </w:pPr>
      <w:r w:rsidRPr="004B6669">
        <w:rPr>
          <w:rStyle w:val="FootnoteReference"/>
          <w:sz w:val="20"/>
        </w:rPr>
        <w:footnoteRef/>
      </w:r>
      <w:r w:rsidRPr="004B6669">
        <w:rPr>
          <w:sz w:val="20"/>
        </w:rPr>
        <w:t xml:space="preserve"> </w:t>
      </w:r>
      <w:r w:rsidRPr="004B6669">
        <w:rPr>
          <w:sz w:val="20"/>
        </w:rPr>
        <w:fldChar w:fldCharType="begin"/>
      </w:r>
      <w:r w:rsidR="00F324A3">
        <w:rPr>
          <w:sz w:val="20"/>
        </w:rPr>
        <w:instrText xml:space="preserve"> ADDIN EN.CITE &lt;EndNote&gt;&lt;Cite&gt;&lt;Author&gt;Stol&lt;/Author&gt;&lt;Year&gt;1993&lt;/Year&gt;&lt;RecNum&gt;1294&lt;/RecNum&gt;&lt;Pages&gt;48&lt;/Pages&gt;&lt;DisplayText&gt;Stol, &lt;style face="italic"&gt;Epilepsy&lt;/style&gt; (1993) 48&lt;/DisplayText&gt;&lt;record&gt;&lt;rec-number&gt;1294&lt;/rec-number&gt;&lt;foreign-keys&gt;&lt;key app="EN" db-id="225fxd904pw0zueapxd5pdxewdrsefare5tz" timestamp="1466695121"&gt;1294&lt;/key&gt;&lt;/foreign-keys&gt;&lt;ref-type name="Book"&gt;6&lt;/ref-type&gt;&lt;contributors&gt;&lt;authors&gt;&lt;author&gt;Stol, Marten&lt;/author&gt;&lt;/authors&gt;&lt;/contributors&gt;&lt;titles&gt;&lt;title&gt;Epilepsy in Babylonia&lt;/title&gt;&lt;secondary-title&gt;CM&lt;/secondary-title&gt;&lt;short-title&gt;Epilepsy&lt;/short-title&gt;&lt;/titles&gt;&lt;pages&gt;155p&lt;/pages&gt;&lt;volume&gt;2&lt;/volume&gt;&lt;number&gt;2&lt;/number&gt;&lt;keywords&gt;&lt;keyword&gt;Epilepsy -- Iraq -- History.&lt;/keyword&gt;&lt;keyword&gt;Medicine, Assyro-Babylonian.&lt;/keyword&gt;&lt;keyword&gt;Cuneiform tablets -- Iraq.&lt;/keyword&gt;&lt;keyword&gt;Epilepsy -- History.&lt;/keyword&gt;&lt;keyword&gt;Assyro-Babylonian literature.&lt;/keyword&gt;&lt;keyword&gt;Bible O.T. -- History of contemporary events&lt;/keyword&gt;&lt;/keywords&gt;&lt;dates&gt;&lt;year&gt;1993&lt;/year&gt;&lt;/dates&gt;&lt;pub-location&gt;Groningen&lt;/pub-location&gt;&lt;publisher&gt;Styx Publications&lt;/publisher&gt;&lt;isbn&gt;9072371631&lt;/isbn&gt;&lt;urls&gt;&lt;related-urls&gt;&lt;url&gt;http://search.lib.cam.ac.uk/?itemid=|cambrdgedb|1784216&lt;/url&gt;&lt;/related-urls&gt;&lt;/urls&gt;&lt;/record&gt;&lt;/Cite&gt;&lt;/EndNote&gt;</w:instrText>
      </w:r>
      <w:r w:rsidRPr="004B6669">
        <w:rPr>
          <w:sz w:val="20"/>
        </w:rPr>
        <w:fldChar w:fldCharType="separate"/>
      </w:r>
      <w:r w:rsidR="00F324A3">
        <w:rPr>
          <w:noProof/>
          <w:sz w:val="20"/>
        </w:rPr>
        <w:t xml:space="preserve">Stol, </w:t>
      </w:r>
      <w:r w:rsidR="00F324A3" w:rsidRPr="00F324A3">
        <w:rPr>
          <w:i/>
          <w:noProof/>
          <w:sz w:val="20"/>
        </w:rPr>
        <w:t>Epilepsy</w:t>
      </w:r>
      <w:r w:rsidR="00F324A3">
        <w:rPr>
          <w:noProof/>
          <w:sz w:val="20"/>
        </w:rPr>
        <w:t xml:space="preserve"> (1993) 48</w:t>
      </w:r>
      <w:r w:rsidRPr="004B6669">
        <w:rPr>
          <w:sz w:val="20"/>
        </w:rPr>
        <w:fldChar w:fldCharType="end"/>
      </w:r>
      <w:r w:rsidRPr="004B6669">
        <w:rPr>
          <w:sz w:val="20"/>
        </w:rPr>
        <w:t>.</w:t>
      </w:r>
    </w:p>
  </w:footnote>
  <w:footnote w:id="16">
    <w:p w14:paraId="22187518" w14:textId="77777777" w:rsidR="00B44D53" w:rsidRPr="004B6669" w:rsidRDefault="00B44D53" w:rsidP="00B44D53">
      <w:pPr>
        <w:pStyle w:val="FootnoteText"/>
        <w:rPr>
          <w:sz w:val="20"/>
        </w:rPr>
      </w:pPr>
      <w:r w:rsidRPr="004B6669">
        <w:rPr>
          <w:rStyle w:val="FootnoteReference"/>
          <w:sz w:val="20"/>
        </w:rPr>
        <w:footnoteRef/>
      </w:r>
      <w:r w:rsidRPr="004B6669">
        <w:rPr>
          <w:sz w:val="20"/>
        </w:rPr>
        <w:t xml:space="preserve"> Thus e.g. </w:t>
      </w:r>
      <w:r w:rsidRPr="004B6669">
        <w:rPr>
          <w:sz w:val="20"/>
        </w:rPr>
        <w:fldChar w:fldCharType="begin"/>
      </w:r>
      <w:r>
        <w:rPr>
          <w:sz w:val="20"/>
        </w:rPr>
        <w:instrText xml:space="preserve"> ADDIN EN.CITE &lt;EndNote&gt;&lt;Cite&gt;&lt;Author&gt;Stol&lt;/Author&gt;&lt;Year&gt;1993&lt;/Year&gt;&lt;RecNum&gt;1294&lt;/RecNum&gt;&lt;Pages&gt;48&lt;/Pages&gt;&lt;DisplayText&gt;Stol, &lt;style face="italic"&gt;Epilepsy&lt;/style&gt; (1993) 48&lt;/DisplayText&gt;&lt;record&gt;&lt;rec-number&gt;1294&lt;/rec-number&gt;&lt;foreign-keys&gt;&lt;key app="EN" db-id="225fxd904pw0zueapxd5pdxewdrsefare5tz" timestamp="1466695121"&gt;1294&lt;/key&gt;&lt;/foreign-keys&gt;&lt;ref-type name="Book"&gt;6&lt;/ref-type&gt;&lt;contributors&gt;&lt;authors&gt;&lt;author&gt;Stol, Marten&lt;/author&gt;&lt;/authors&gt;&lt;/contributors&gt;&lt;titles&gt;&lt;title&gt;Epilepsy in Babylonia&lt;/title&gt;&lt;secondary-title&gt;CM&lt;/secondary-title&gt;&lt;short-title&gt;Epilepsy&lt;/short-title&gt;&lt;/titles&gt;&lt;pages&gt;155p&lt;/pages&gt;&lt;volume&gt;2&lt;/volume&gt;&lt;number&gt;2&lt;/number&gt;&lt;keywords&gt;&lt;keyword&gt;Epilepsy -- Iraq -- History.&lt;/keyword&gt;&lt;keyword&gt;Medicine, Assyro-Babylonian.&lt;/keyword&gt;&lt;keyword&gt;Cuneiform tablets -- Iraq.&lt;/keyword&gt;&lt;keyword&gt;Epilepsy -- History.&lt;/keyword&gt;&lt;keyword&gt;Assyro-Babylonian literature.&lt;/keyword&gt;&lt;keyword&gt;Bible O.T. -- History of contemporary events&lt;/keyword&gt;&lt;/keywords&gt;&lt;dates&gt;&lt;year&gt;1993&lt;/year&gt;&lt;/dates&gt;&lt;pub-location&gt;Groningen&lt;/pub-location&gt;&lt;publisher&gt;Styx Publications&lt;/publisher&gt;&lt;isbn&gt;9072371631&lt;/isbn&gt;&lt;urls&gt;&lt;related-urls&gt;&lt;url&gt;http://search.lib.cam.ac.uk/?itemid=|cambrdgedb|1784216&lt;/url&gt;&lt;/related-urls&gt;&lt;/urls&gt;&lt;/record&gt;&lt;/Cite&gt;&lt;/EndNote&gt;</w:instrText>
      </w:r>
      <w:r w:rsidRPr="004B6669">
        <w:rPr>
          <w:sz w:val="20"/>
        </w:rPr>
        <w:fldChar w:fldCharType="separate"/>
      </w:r>
      <w:r>
        <w:rPr>
          <w:noProof/>
          <w:sz w:val="20"/>
        </w:rPr>
        <w:t xml:space="preserve">Stol, </w:t>
      </w:r>
      <w:r w:rsidRPr="00D56272">
        <w:rPr>
          <w:i/>
          <w:noProof/>
          <w:sz w:val="20"/>
        </w:rPr>
        <w:t>Epilepsy</w:t>
      </w:r>
      <w:r>
        <w:rPr>
          <w:noProof/>
          <w:sz w:val="20"/>
        </w:rPr>
        <w:t xml:space="preserve"> (1993) 48</w:t>
      </w:r>
      <w:r w:rsidRPr="004B6669">
        <w:rPr>
          <w:sz w:val="20"/>
        </w:rPr>
        <w:fldChar w:fldCharType="end"/>
      </w:r>
      <w:r w:rsidRPr="004B6669">
        <w:rPr>
          <w:sz w:val="20"/>
        </w:rPr>
        <w:t xml:space="preserve">, proposing as a solution that in Tablet XXVI of SA.GIG the “hand of </w:t>
      </w:r>
      <w:proofErr w:type="spellStart"/>
      <w:r w:rsidRPr="004B6669">
        <w:rPr>
          <w:i/>
          <w:sz w:val="20"/>
        </w:rPr>
        <w:t>lilû</w:t>
      </w:r>
      <w:proofErr w:type="spellEnd"/>
      <w:r w:rsidRPr="004B6669">
        <w:rPr>
          <w:sz w:val="20"/>
        </w:rPr>
        <w:t>” is “solely a form of epilepsy”, while also noting that a male incubus might do harm to a man “in order to get hold of his wife”, like Asmodeus in the book of Tobit.</w:t>
      </w:r>
    </w:p>
  </w:footnote>
  <w:footnote w:id="17">
    <w:p w14:paraId="6EFBD60B" w14:textId="409EBA3E" w:rsidR="00D56272" w:rsidRPr="004B6669" w:rsidRDefault="00D56272" w:rsidP="00D56272">
      <w:pPr>
        <w:pStyle w:val="FootnoteText"/>
        <w:rPr>
          <w:sz w:val="20"/>
        </w:rPr>
      </w:pPr>
      <w:r w:rsidRPr="004B6669">
        <w:rPr>
          <w:rStyle w:val="FootnoteReference"/>
          <w:sz w:val="20"/>
        </w:rPr>
        <w:footnoteRef/>
      </w:r>
      <w:r w:rsidRPr="004B6669">
        <w:rPr>
          <w:sz w:val="20"/>
        </w:rPr>
        <w:t xml:space="preserve"> Edited by </w:t>
      </w:r>
      <w:r w:rsidRPr="004B6669">
        <w:rPr>
          <w:sz w:val="20"/>
        </w:rPr>
        <w:fldChar w:fldCharType="begin"/>
      </w:r>
      <w:r>
        <w:rPr>
          <w:sz w:val="20"/>
        </w:rPr>
        <w:instrText xml:space="preserve"> ADDIN EN.CITE &lt;EndNote&gt;&lt;Cite&gt;&lt;Author&gt;Heeßel&lt;/Author&gt;&lt;Year&gt;2000&lt;/Year&gt;&lt;RecNum&gt;1754&lt;/RecNum&gt;&lt;Pages&gt;202&lt;/Pages&gt;&lt;DisplayText&gt;Heeßel, &lt;style face="italic"&gt;Diagnostik&lt;/style&gt; (2000) 202&lt;/DisplayText&gt;&lt;record&gt;&lt;rec-number&gt;1754&lt;/rec-number&gt;&lt;foreign-keys&gt;&lt;key app="EN" db-id="225fxd904pw0zueapxd5pdxewdrsefare5tz" timestamp="1467609764"&gt;1754&lt;/key&gt;&lt;/foreign-keys&gt;&lt;ref-type name="Book"&gt;6&lt;/ref-type&gt;&lt;contributors&gt;&lt;authors&gt;&lt;author&gt;Heeßel, N. P.&lt;/author&gt;&lt;/authors&gt;&lt;/contributors&gt;&lt;titles&gt;&lt;title&gt;Babylonisch-assyrische Diagnostik &lt;/title&gt;&lt;secondary-title&gt;AOAT&lt;/secondary-title&gt;&lt;short-title&gt;Diagnostik&lt;/short-title&gt;&lt;/titles&gt;&lt;number&gt;43&lt;/number&gt;&lt;dates&gt;&lt;year&gt;2000&lt;/year&gt;&lt;/dates&gt;&lt;pub-location&gt;Münster&lt;/pub-location&gt;&lt;publisher&gt;Ugarit-Verlag&lt;/publisher&gt;&lt;urls&gt;&lt;/urls&gt;&lt;/record&gt;&lt;/Cite&gt;&lt;/EndNote&gt;</w:instrText>
      </w:r>
      <w:r w:rsidRPr="004B6669">
        <w:rPr>
          <w:sz w:val="20"/>
        </w:rPr>
        <w:fldChar w:fldCharType="separate"/>
      </w:r>
      <w:r>
        <w:rPr>
          <w:noProof/>
          <w:sz w:val="20"/>
        </w:rPr>
        <w:t xml:space="preserve">Heeßel, </w:t>
      </w:r>
      <w:r w:rsidRPr="00D56272">
        <w:rPr>
          <w:i/>
          <w:noProof/>
          <w:sz w:val="20"/>
        </w:rPr>
        <w:t>Diagnostik</w:t>
      </w:r>
      <w:r>
        <w:rPr>
          <w:noProof/>
          <w:sz w:val="20"/>
        </w:rPr>
        <w:t xml:space="preserve"> (2000) 202</w:t>
      </w:r>
      <w:r w:rsidRPr="004B6669">
        <w:rPr>
          <w:sz w:val="20"/>
        </w:rPr>
        <w:fldChar w:fldCharType="end"/>
      </w:r>
      <w:r w:rsidRPr="004B6669">
        <w:rPr>
          <w:sz w:val="20"/>
        </w:rPr>
        <w:t xml:space="preserve">.  The line is preserved on a </w:t>
      </w:r>
      <w:proofErr w:type="spellStart"/>
      <w:r w:rsidRPr="004B6669">
        <w:rPr>
          <w:sz w:val="20"/>
        </w:rPr>
        <w:t>Kuyunjik</w:t>
      </w:r>
      <w:proofErr w:type="spellEnd"/>
      <w:r w:rsidRPr="004B6669">
        <w:rPr>
          <w:sz w:val="20"/>
        </w:rPr>
        <w:t xml:space="preserve"> manuscript (K. 3962) and a Neo-Babylonian manuscript in Chicago, perhaps from </w:t>
      </w:r>
      <w:proofErr w:type="spellStart"/>
      <w:r w:rsidRPr="004B6669">
        <w:rPr>
          <w:sz w:val="20"/>
        </w:rPr>
        <w:t>Uruk</w:t>
      </w:r>
      <w:proofErr w:type="spellEnd"/>
      <w:r w:rsidRPr="004B6669">
        <w:rPr>
          <w:sz w:val="20"/>
        </w:rPr>
        <w:t xml:space="preserve"> (A. 3437; see </w:t>
      </w:r>
      <w:r w:rsidRPr="004B6669">
        <w:rPr>
          <w:sz w:val="20"/>
        </w:rPr>
        <w:fldChar w:fldCharType="begin"/>
      </w:r>
      <w:r>
        <w:rPr>
          <w:sz w:val="20"/>
        </w:rPr>
        <w:instrText xml:space="preserve"> ADDIN EN.CITE &lt;EndNote&gt;&lt;Cite&gt;&lt;Author&gt;George&lt;/Author&gt;&lt;Year&gt;1991&lt;/Year&gt;&lt;RecNum&gt;3359&lt;/RecNum&gt;&lt;Pages&gt;138-139&lt;/Pages&gt;&lt;DisplayText&gt;George, &lt;style face="italic"&gt;RA&lt;/style&gt; 85/2 (1991) 138-139&lt;/DisplayText&gt;&lt;record&gt;&lt;rec-number&gt;3359&lt;/rec-number&gt;&lt;foreign-keys&gt;&lt;key app="EN" db-id="225fxd904pw0zueapxd5pdxewdrsefare5tz" timestamp="1523987713"&gt;3359&lt;/key&gt;&lt;/foreign-keys&gt;&lt;ref-type name="Journal Article"&gt;17&lt;/ref-type&gt;&lt;contributors&gt;&lt;authors&gt;&lt;author&gt;George, A. R.&lt;/author&gt;&lt;/authors&gt;&lt;/contributors&gt;&lt;titles&gt;&lt;title&gt;Babylonian Texts from the Folios of Sidney Smith, Part Two: Prognostic and Diagnostic Omens, Tablet I&lt;/title&gt;&lt;secondary-title&gt;RA&lt;/secondary-title&gt;&lt;short-title&gt;RA&lt;/short-title&gt;&lt;/titles&gt;&lt;periodical&gt;&lt;full-title&gt;RA&lt;/full-title&gt;&lt;/periodical&gt;&lt;pages&gt;137-167&lt;/pages&gt;&lt;volume&gt;85&lt;/volume&gt;&lt;number&gt;2&lt;/number&gt;&lt;dates&gt;&lt;year&gt;1991&lt;/year&gt;&lt;/dates&gt;&lt;urls&gt;&lt;/urls&gt;&lt;/record&gt;&lt;/Cite&gt;&lt;/EndNote&gt;</w:instrText>
      </w:r>
      <w:r w:rsidRPr="004B6669">
        <w:rPr>
          <w:sz w:val="20"/>
        </w:rPr>
        <w:fldChar w:fldCharType="separate"/>
      </w:r>
      <w:r>
        <w:rPr>
          <w:noProof/>
          <w:sz w:val="20"/>
        </w:rPr>
        <w:t xml:space="preserve">George, </w:t>
      </w:r>
      <w:r w:rsidRPr="00D56272">
        <w:rPr>
          <w:i/>
          <w:noProof/>
          <w:sz w:val="20"/>
        </w:rPr>
        <w:t>RA</w:t>
      </w:r>
      <w:r>
        <w:rPr>
          <w:noProof/>
          <w:sz w:val="20"/>
        </w:rPr>
        <w:t xml:space="preserve"> 85/2 (1991) 138-139</w:t>
      </w:r>
      <w:r w:rsidRPr="004B6669">
        <w:rPr>
          <w:sz w:val="20"/>
        </w:rPr>
        <w:fldChar w:fldCharType="end"/>
      </w:r>
      <w:r w:rsidRPr="004B6669">
        <w:rPr>
          <w:sz w:val="20"/>
        </w:rPr>
        <w:t xml:space="preserve"> n. 9).  The end of the line was collated by </w:t>
      </w:r>
      <w:r w:rsidRPr="004B6669">
        <w:rPr>
          <w:sz w:val="20"/>
        </w:rPr>
        <w:fldChar w:fldCharType="begin"/>
      </w:r>
      <w:r>
        <w:rPr>
          <w:sz w:val="20"/>
        </w:rPr>
        <w:instrText xml:space="preserve"> ADDIN EN.CITE &lt;EndNote&gt;&lt;Cite&gt;&lt;Author&gt;Scurlock&lt;/Author&gt;&lt;Year&gt;2005&lt;/Year&gt;&lt;RecNum&gt;2227&lt;/RecNum&gt;&lt;Pages&gt;751&lt;/Pages&gt;&lt;DisplayText&gt;Scurlock and Andersen, &lt;style face="italic"&gt;Diagnoses &lt;/style&gt;(2005) 751&lt;/DisplayText&gt;&lt;record&gt;&lt;rec-number&gt;2227&lt;/rec-number&gt;&lt;foreign-keys&gt;&lt;key app="EN" db-id="225fxd904pw0zueapxd5pdxewdrsefare5tz" timestamp="1467609765"&gt;2227&lt;/key&gt;&lt;/foreign-keys&gt;&lt;ref-type name="Book"&gt;6&lt;/ref-type&gt;&lt;contributors&gt;&lt;authors&gt;&lt;author&gt;Scurlock, J.&lt;/author&gt;&lt;author&gt;Andersen, Burton R&lt;/author&gt;&lt;/authors&gt;&lt;/contributors&gt;&lt;titles&gt;&lt;title&gt;Diagnoses in Assyrian and Babyonian Medicine&lt;/title&gt;&lt;short-title&gt;Diagnoses&lt;/short-title&gt;&lt;/titles&gt;&lt;dates&gt;&lt;year&gt;2005&lt;/year&gt;&lt;/dates&gt;&lt;pub-location&gt;Champaign, IL&lt;/pub-location&gt;&lt;publisher&gt;University of Illinois Press&lt;/publisher&gt;&lt;urls&gt;&lt;/urls&gt;&lt;/record&gt;&lt;/Cite&gt;&lt;/EndNote&gt;</w:instrText>
      </w:r>
      <w:r w:rsidRPr="004B6669">
        <w:rPr>
          <w:sz w:val="20"/>
        </w:rPr>
        <w:fldChar w:fldCharType="separate"/>
      </w:r>
      <w:r>
        <w:rPr>
          <w:noProof/>
          <w:sz w:val="20"/>
        </w:rPr>
        <w:t xml:space="preserve">Scurlock and Andersen, </w:t>
      </w:r>
      <w:r w:rsidRPr="00D56272">
        <w:rPr>
          <w:i/>
          <w:noProof/>
          <w:sz w:val="20"/>
        </w:rPr>
        <w:t xml:space="preserve">Diagnoses </w:t>
      </w:r>
      <w:r>
        <w:rPr>
          <w:noProof/>
          <w:sz w:val="20"/>
        </w:rPr>
        <w:t>(2005) 751</w:t>
      </w:r>
      <w:r w:rsidRPr="004B6669">
        <w:rPr>
          <w:sz w:val="20"/>
        </w:rPr>
        <w:fldChar w:fldCharType="end"/>
      </w:r>
      <w:r w:rsidRPr="004B6669">
        <w:rPr>
          <w:sz w:val="20"/>
        </w:rPr>
        <w:t xml:space="preserve"> n. 18.</w:t>
      </w:r>
    </w:p>
  </w:footnote>
  <w:footnote w:id="18">
    <w:p w14:paraId="56A9EB83" w14:textId="039101E1" w:rsidR="00D56272" w:rsidRPr="004B6669" w:rsidRDefault="00D56272" w:rsidP="00D56272">
      <w:pPr>
        <w:pStyle w:val="NormalWeb"/>
        <w:spacing w:before="2" w:after="2"/>
      </w:pPr>
      <w:r w:rsidRPr="004B6669">
        <w:rPr>
          <w:rStyle w:val="FootnoteReference"/>
        </w:rPr>
        <w:footnoteRef/>
      </w:r>
      <w:r w:rsidRPr="004B6669">
        <w:t xml:space="preserve"> Cf. the observation by </w:t>
      </w:r>
      <w:r w:rsidRPr="004B6669">
        <w:fldChar w:fldCharType="begin"/>
      </w:r>
      <w:r>
        <w:instrText xml:space="preserve"> ADDIN EN.CITE &lt;EndNote&gt;&lt;Cite&gt;&lt;Author&gt;Fauth&lt;/Author&gt;&lt;Year&gt;1986&lt;/Year&gt;&lt;RecNum&gt;3050&lt;/RecNum&gt;&lt;Pages&gt;72&lt;/Pages&gt;&lt;DisplayText&gt;Fauth, &lt;style face="italic"&gt;WdO&lt;/style&gt; 17 (1986) 72&lt;/DisplayText&gt;&lt;record&gt;&lt;rec-number&gt;3050&lt;/rec-number&gt;&lt;foreign-keys&gt;&lt;key app="EN" db-id="225fxd904pw0zueapxd5pdxewdrsefare5tz" timestamp="1518656201"&gt;3050&lt;/key&gt;&lt;/foreign-keys&gt;&lt;ref-type name="Journal Article"&gt;17&lt;/ref-type&gt;&lt;contributors&gt;&lt;authors&gt;&lt;author&gt;Fauth, Wolfgang&lt;/author&gt;&lt;/authors&gt;&lt;/contributors&gt;&lt;titles&gt;&lt;title&gt;Lilits und Astarten in aramäischen, mandäischen und syrischen Zaubertexten&lt;/title&gt;&lt;secondary-title&gt;WdO&lt;/secondary-title&gt;&lt;/titles&gt;&lt;periodical&gt;&lt;full-title&gt;WdO&lt;/full-title&gt;&lt;/periodical&gt;&lt;pages&gt;66-94&lt;/pages&gt;&lt;volume&gt;17&lt;/volume&gt;&lt;dates&gt;&lt;year&gt;1986&lt;/year&gt;&lt;/dates&gt;&lt;publisher&gt;Vandenhoeck &amp;amp; Ruprecht (GmbH &amp;amp; Co. KG)&lt;/publisher&gt;&lt;isbn&gt;00432547&lt;/isbn&gt;&lt;urls&gt;&lt;related-urls&gt;&lt;url&gt;http://www.jstor.org/stable/25683218&lt;/url&gt;&lt;/related-urls&gt;&lt;/urls&gt;&lt;custom1&gt;Full publication date: 1986&lt;/custom1&gt;&lt;/record&gt;&lt;/Cite&gt;&lt;/EndNote&gt;</w:instrText>
      </w:r>
      <w:r w:rsidRPr="004B6669">
        <w:fldChar w:fldCharType="separate"/>
      </w:r>
      <w:r>
        <w:rPr>
          <w:noProof/>
        </w:rPr>
        <w:t xml:space="preserve">Fauth, </w:t>
      </w:r>
      <w:r w:rsidRPr="00D56272">
        <w:rPr>
          <w:i/>
          <w:noProof/>
        </w:rPr>
        <w:t>WdO</w:t>
      </w:r>
      <w:r>
        <w:rPr>
          <w:noProof/>
        </w:rPr>
        <w:t xml:space="preserve"> 17 (1986) 72</w:t>
      </w:r>
      <w:r w:rsidRPr="004B6669">
        <w:fldChar w:fldCharType="end"/>
      </w:r>
      <w:r w:rsidRPr="004B6669">
        <w:t xml:space="preserve"> that an Aramaic incantation expressly mentions ‘male and female’ </w:t>
      </w:r>
      <w:proofErr w:type="spellStart"/>
      <w:r w:rsidRPr="004B6669">
        <w:rPr>
          <w:i/>
        </w:rPr>
        <w:t>lyly</w:t>
      </w:r>
      <w:proofErr w:type="spellEnd"/>
      <w:r w:rsidRPr="004B6669">
        <w:rPr>
          <w:i/>
        </w:rPr>
        <w:t xml:space="preserve"> </w:t>
      </w:r>
      <w:r w:rsidRPr="004B6669">
        <w:t>(morphologically masculine) demons, suggesting that “</w:t>
      </w:r>
      <w:r w:rsidRPr="004B6669">
        <w:rPr>
          <w:rFonts w:ascii="Code2000" w:hAnsi="Code2000"/>
          <w:szCs w:val="18"/>
        </w:rPr>
        <w:t xml:space="preserve">auf </w:t>
      </w:r>
      <w:proofErr w:type="spellStart"/>
      <w:r w:rsidRPr="004B6669">
        <w:rPr>
          <w:rFonts w:ascii="Code2000" w:hAnsi="Code2000"/>
          <w:szCs w:val="18"/>
        </w:rPr>
        <w:t>einer</w:t>
      </w:r>
      <w:proofErr w:type="spellEnd"/>
      <w:r w:rsidRPr="004B6669">
        <w:rPr>
          <w:rFonts w:ascii="Code2000" w:hAnsi="Code2000"/>
          <w:szCs w:val="18"/>
        </w:rPr>
        <w:t xml:space="preserve"> </w:t>
      </w:r>
      <w:proofErr w:type="spellStart"/>
      <w:r w:rsidRPr="004B6669">
        <w:rPr>
          <w:rFonts w:ascii="Code2000" w:hAnsi="Code2000"/>
        </w:rPr>
        <w:t>älteren</w:t>
      </w:r>
      <w:proofErr w:type="spellEnd"/>
      <w:r w:rsidRPr="004B6669">
        <w:rPr>
          <w:rFonts w:ascii="Code2000" w:hAnsi="Code2000"/>
        </w:rPr>
        <w:t xml:space="preserve"> </w:t>
      </w:r>
      <w:proofErr w:type="spellStart"/>
      <w:r w:rsidRPr="004B6669">
        <w:rPr>
          <w:rFonts w:ascii="Code2000" w:hAnsi="Code2000"/>
        </w:rPr>
        <w:t>sprachlichen</w:t>
      </w:r>
      <w:proofErr w:type="spellEnd"/>
      <w:r w:rsidRPr="004B6669">
        <w:rPr>
          <w:rFonts w:ascii="Code2000" w:hAnsi="Code2000"/>
        </w:rPr>
        <w:t xml:space="preserve"> </w:t>
      </w:r>
      <w:proofErr w:type="spellStart"/>
      <w:r w:rsidRPr="004B6669">
        <w:rPr>
          <w:rFonts w:ascii="Code2000" w:hAnsi="Code2000"/>
        </w:rPr>
        <w:t>Stufe</w:t>
      </w:r>
      <w:proofErr w:type="spellEnd"/>
      <w:r w:rsidRPr="004B6669">
        <w:rPr>
          <w:rFonts w:ascii="Code2000" w:hAnsi="Code2000"/>
        </w:rPr>
        <w:t xml:space="preserve"> des </w:t>
      </w:r>
      <w:proofErr w:type="spellStart"/>
      <w:r w:rsidRPr="004B6669">
        <w:rPr>
          <w:rFonts w:ascii="Code2000" w:hAnsi="Code2000"/>
        </w:rPr>
        <w:t>Westsemitischen</w:t>
      </w:r>
      <w:proofErr w:type="spellEnd"/>
      <w:r w:rsidRPr="004B6669">
        <w:rPr>
          <w:rFonts w:ascii="Code2000" w:hAnsi="Code2000"/>
        </w:rPr>
        <w:t xml:space="preserve"> die </w:t>
      </w:r>
      <w:proofErr w:type="spellStart"/>
      <w:r w:rsidRPr="004B6669">
        <w:rPr>
          <w:rFonts w:ascii="Code2000" w:hAnsi="Code2000"/>
        </w:rPr>
        <w:t>Bezeichnung</w:t>
      </w:r>
      <w:proofErr w:type="spellEnd"/>
      <w:r w:rsidRPr="004B6669">
        <w:rPr>
          <w:rFonts w:ascii="Code2000" w:hAnsi="Code2000"/>
        </w:rPr>
        <w:t xml:space="preserve"> (ן)</w:t>
      </w:r>
      <w:proofErr w:type="spellStart"/>
      <w:r w:rsidRPr="004B6669">
        <w:rPr>
          <w:rFonts w:ascii="Code2000" w:hAnsi="Code2000"/>
        </w:rPr>
        <w:t>לילי</w:t>
      </w:r>
      <w:proofErr w:type="spellEnd"/>
      <w:r w:rsidRPr="004B6669">
        <w:rPr>
          <w:rFonts w:ascii="Code2000" w:hAnsi="Code2000"/>
        </w:rPr>
        <w:t xml:space="preserve"> </w:t>
      </w:r>
      <w:proofErr w:type="spellStart"/>
      <w:r w:rsidRPr="004B6669">
        <w:rPr>
          <w:rFonts w:ascii="Code2000" w:hAnsi="Code2000"/>
        </w:rPr>
        <w:t>offenbar</w:t>
      </w:r>
      <w:proofErr w:type="spellEnd"/>
      <w:r w:rsidRPr="004B6669">
        <w:rPr>
          <w:rFonts w:ascii="Code2000" w:hAnsi="Code2000"/>
        </w:rPr>
        <w:t xml:space="preserve"> </w:t>
      </w:r>
      <w:proofErr w:type="spellStart"/>
      <w:r w:rsidRPr="004B6669">
        <w:rPr>
          <w:rFonts w:ascii="Code2000" w:hAnsi="Code2000"/>
        </w:rPr>
        <w:t>auch</w:t>
      </w:r>
      <w:proofErr w:type="spellEnd"/>
      <w:r w:rsidRPr="004B6669">
        <w:rPr>
          <w:rFonts w:ascii="Code2000" w:hAnsi="Code2000"/>
        </w:rPr>
        <w:t xml:space="preserve"> für den </w:t>
      </w:r>
      <w:proofErr w:type="spellStart"/>
      <w:r w:rsidRPr="004B6669">
        <w:rPr>
          <w:rFonts w:ascii="Code2000" w:hAnsi="Code2000"/>
        </w:rPr>
        <w:t>weiblichen</w:t>
      </w:r>
      <w:proofErr w:type="spellEnd"/>
      <w:r w:rsidRPr="004B6669">
        <w:rPr>
          <w:rFonts w:ascii="Code2000" w:hAnsi="Code2000"/>
        </w:rPr>
        <w:t xml:space="preserve"> ,</w:t>
      </w:r>
      <w:proofErr w:type="spellStart"/>
      <w:r w:rsidRPr="004B6669">
        <w:rPr>
          <w:rFonts w:ascii="Code2000" w:hAnsi="Code2000"/>
        </w:rPr>
        <w:t>Nachtdämon</w:t>
      </w:r>
      <w:proofErr w:type="spellEnd"/>
      <w:r w:rsidRPr="004B6669">
        <w:rPr>
          <w:rFonts w:ascii="Code2000" w:hAnsi="Code2000"/>
        </w:rPr>
        <w:t xml:space="preserve">‘ </w:t>
      </w:r>
      <w:proofErr w:type="spellStart"/>
      <w:r w:rsidRPr="004B6669">
        <w:rPr>
          <w:rFonts w:ascii="Code2000" w:hAnsi="Code2000"/>
        </w:rPr>
        <w:t>verwendet</w:t>
      </w:r>
      <w:proofErr w:type="spellEnd"/>
      <w:r w:rsidRPr="004B6669">
        <w:rPr>
          <w:rFonts w:ascii="Code2000" w:hAnsi="Code2000"/>
        </w:rPr>
        <w:t xml:space="preserve"> </w:t>
      </w:r>
      <w:proofErr w:type="spellStart"/>
      <w:r w:rsidRPr="004B6669">
        <w:rPr>
          <w:rFonts w:ascii="Code2000" w:hAnsi="Code2000"/>
          <w:szCs w:val="18"/>
        </w:rPr>
        <w:t>wurde</w:t>
      </w:r>
      <w:proofErr w:type="spellEnd"/>
      <w:r w:rsidRPr="004B6669">
        <w:t xml:space="preserve">”.  This was probably a feature from </w:t>
      </w:r>
      <w:r w:rsidR="00BE7F90">
        <w:t>Babylonian</w:t>
      </w:r>
      <w:r w:rsidRPr="004B6669">
        <w:t xml:space="preserve">.  </w:t>
      </w:r>
      <w:proofErr w:type="spellStart"/>
      <w:r w:rsidRPr="004B6669">
        <w:t>Fauth</w:t>
      </w:r>
      <w:proofErr w:type="spellEnd"/>
      <w:r w:rsidRPr="004B6669">
        <w:t xml:space="preserve"> (</w:t>
      </w:r>
      <w:r w:rsidRPr="004B6669">
        <w:rPr>
          <w:i/>
        </w:rPr>
        <w:t>ibid</w:t>
      </w:r>
      <w:r w:rsidRPr="004B6669">
        <w:t xml:space="preserve">.) further observes that in later Aramaic magic the opposite of the </w:t>
      </w:r>
      <w:r w:rsidR="00BE7F90">
        <w:t xml:space="preserve">Babylonian </w:t>
      </w:r>
      <w:r w:rsidRPr="004B6669">
        <w:t xml:space="preserve">situation arises: the morphologically feminine word is used as an umbrella term for demons of both genders.  For this phenomenon a different line of explanation is necessary.  It probably has to do with the greater prominence of the female demon in the Aramaic magical tradition (which is also inherited from </w:t>
      </w:r>
      <w:r w:rsidR="00BE7F90">
        <w:t>Babylonian</w:t>
      </w:r>
      <w:r w:rsidRPr="004B6669">
        <w:t xml:space="preserve">, probably owing to male-centric healing traditions – cf. fn. </w:t>
      </w:r>
      <w:r>
        <w:fldChar w:fldCharType="begin"/>
      </w:r>
      <w:r>
        <w:instrText xml:space="preserve"> NOTEREF _Ref382315869 \h </w:instrText>
      </w:r>
      <w:r>
        <w:fldChar w:fldCharType="separate"/>
      </w:r>
      <w:r w:rsidR="00B44D53">
        <w:t>23</w:t>
      </w:r>
      <w:r>
        <w:fldChar w:fldCharType="end"/>
      </w:r>
      <w:r w:rsidRPr="004B6669">
        <w:t>).</w:t>
      </w:r>
    </w:p>
  </w:footnote>
  <w:footnote w:id="19">
    <w:p w14:paraId="4FBCE6A4" w14:textId="7B9474CB" w:rsidR="00D56272" w:rsidRPr="004B6669" w:rsidRDefault="00D56272" w:rsidP="00D56272">
      <w:pPr>
        <w:pStyle w:val="FootnoteText"/>
        <w:rPr>
          <w:sz w:val="20"/>
        </w:rPr>
      </w:pPr>
      <w:r w:rsidRPr="004B6669">
        <w:rPr>
          <w:rStyle w:val="FootnoteReference"/>
          <w:sz w:val="20"/>
        </w:rPr>
        <w:footnoteRef/>
      </w:r>
      <w:r w:rsidRPr="004B6669">
        <w:rPr>
          <w:sz w:val="20"/>
        </w:rPr>
        <w:t xml:space="preserve"> Though see </w:t>
      </w:r>
      <w:r w:rsidRPr="004B6669">
        <w:rPr>
          <w:sz w:val="20"/>
        </w:rPr>
        <w:fldChar w:fldCharType="begin"/>
      </w:r>
      <w:r>
        <w:rPr>
          <w:sz w:val="20"/>
        </w:rPr>
        <w:instrText xml:space="preserve"> ADDIN EN.CITE &lt;EndNote&gt;&lt;Cite&gt;&lt;Author&gt;Alhawary&lt;/Author&gt;&lt;Year&gt;2011&lt;/Year&gt;&lt;RecNum&gt;3494&lt;/RecNum&gt;&lt;Pages&gt;39&lt;/Pages&gt;&lt;DisplayText&gt;Alhawary, &lt;style face="italic"&gt;Arabic Grammar &lt;/style&gt;(2011) 39&lt;/DisplayText&gt;&lt;record&gt;&lt;rec-number&gt;3494&lt;/rec-number&gt;&lt;foreign-keys&gt;&lt;key app="EN" db-id="225fxd904pw0zueapxd5pdxewdrsefare5tz" timestamp="1530047813"&gt;3494&lt;/key&gt;&lt;/foreign-keys&gt;&lt;ref-type name="Book"&gt;6&lt;/ref-type&gt;&lt;contributors&gt;&lt;authors&gt;&lt;author&gt;Alhawary, M. T.&lt;/author&gt;&lt;/authors&gt;&lt;/contributors&gt;&lt;titles&gt;&lt;title&gt;Modern Standard Arabic Grammar: A Learner&amp;apos;s Guide&lt;/title&gt;&lt;short-title&gt;Arabic Grammar&lt;/short-title&gt;&lt;/titles&gt;&lt;dates&gt;&lt;year&gt;2011&lt;/year&gt;&lt;/dates&gt;&lt;pub-location&gt;Chichester&lt;/pub-location&gt;&lt;publisher&gt;Wiley-Blackwell&lt;/publisher&gt;&lt;urls&gt;&lt;/urls&gt;&lt;/record&gt;&lt;/Cite&gt;&lt;/EndNote&gt;</w:instrText>
      </w:r>
      <w:r w:rsidRPr="004B6669">
        <w:rPr>
          <w:sz w:val="20"/>
        </w:rPr>
        <w:fldChar w:fldCharType="separate"/>
      </w:r>
      <w:r>
        <w:rPr>
          <w:noProof/>
          <w:sz w:val="20"/>
        </w:rPr>
        <w:t xml:space="preserve">Alhawary, </w:t>
      </w:r>
      <w:r w:rsidRPr="00D56272">
        <w:rPr>
          <w:i/>
          <w:noProof/>
          <w:sz w:val="20"/>
        </w:rPr>
        <w:t xml:space="preserve">Arabic Grammar </w:t>
      </w:r>
      <w:r>
        <w:rPr>
          <w:noProof/>
          <w:sz w:val="20"/>
        </w:rPr>
        <w:t>(2011) 39</w:t>
      </w:r>
      <w:r w:rsidRPr="004B6669">
        <w:rPr>
          <w:sz w:val="20"/>
        </w:rPr>
        <w:fldChar w:fldCharType="end"/>
      </w:r>
      <w:r w:rsidRPr="004B6669">
        <w:rPr>
          <w:sz w:val="20"/>
        </w:rPr>
        <w:t xml:space="preserve"> on Arabic using default feminine forms for animals whose sex is “not obvious”, e.g. </w:t>
      </w:r>
      <w:proofErr w:type="spellStart"/>
      <w:r w:rsidRPr="004B6669">
        <w:rPr>
          <w:i/>
          <w:sz w:val="20"/>
        </w:rPr>
        <w:t>ḥayya</w:t>
      </w:r>
      <w:proofErr w:type="spellEnd"/>
      <w:r w:rsidRPr="004B6669">
        <w:rPr>
          <w:i/>
          <w:sz w:val="20"/>
        </w:rPr>
        <w:t xml:space="preserve"> </w:t>
      </w:r>
      <w:r w:rsidRPr="004B6669">
        <w:rPr>
          <w:sz w:val="20"/>
        </w:rPr>
        <w:t xml:space="preserve">‘snake’, </w:t>
      </w:r>
      <w:proofErr w:type="spellStart"/>
      <w:r w:rsidRPr="004B6669">
        <w:rPr>
          <w:i/>
          <w:sz w:val="20"/>
        </w:rPr>
        <w:t>naḥla</w:t>
      </w:r>
      <w:proofErr w:type="spellEnd"/>
      <w:r w:rsidRPr="004B6669">
        <w:rPr>
          <w:i/>
          <w:sz w:val="20"/>
        </w:rPr>
        <w:t xml:space="preserve"> </w:t>
      </w:r>
      <w:r w:rsidRPr="004B6669">
        <w:rPr>
          <w:sz w:val="20"/>
        </w:rPr>
        <w:t>‘bee’.</w:t>
      </w:r>
    </w:p>
  </w:footnote>
  <w:footnote w:id="20">
    <w:p w14:paraId="1CE90A8E" w14:textId="19A230B0" w:rsidR="00D56272" w:rsidRPr="004B6669" w:rsidRDefault="00D56272" w:rsidP="00D56272">
      <w:pPr>
        <w:pStyle w:val="FootnoteText"/>
        <w:rPr>
          <w:sz w:val="20"/>
        </w:rPr>
      </w:pPr>
      <w:r w:rsidRPr="004B6669">
        <w:rPr>
          <w:rStyle w:val="FootnoteReference"/>
          <w:sz w:val="20"/>
        </w:rPr>
        <w:footnoteRef/>
      </w:r>
      <w:r w:rsidRPr="004B6669">
        <w:rPr>
          <w:sz w:val="20"/>
        </w:rPr>
        <w:t xml:space="preserve"> CAD Z</w:t>
      </w:r>
      <w:r w:rsidR="00ED12F9">
        <w:rPr>
          <w:sz w:val="20"/>
        </w:rPr>
        <w:t xml:space="preserve"> (1961)</w:t>
      </w:r>
      <w:r w:rsidRPr="004B6669">
        <w:rPr>
          <w:sz w:val="20"/>
        </w:rPr>
        <w:t xml:space="preserve"> 111-112, </w:t>
      </w:r>
      <w:proofErr w:type="spellStart"/>
      <w:r w:rsidRPr="004B6669">
        <w:rPr>
          <w:sz w:val="20"/>
        </w:rPr>
        <w:t>AHw</w:t>
      </w:r>
      <w:proofErr w:type="spellEnd"/>
      <w:r w:rsidRPr="004B6669">
        <w:rPr>
          <w:sz w:val="20"/>
        </w:rPr>
        <w:t xml:space="preserve"> </w:t>
      </w:r>
      <w:r w:rsidR="00ED12F9">
        <w:rPr>
          <w:sz w:val="20"/>
        </w:rPr>
        <w:t xml:space="preserve">(1981) </w:t>
      </w:r>
      <w:r w:rsidRPr="004B6669">
        <w:rPr>
          <w:sz w:val="20"/>
        </w:rPr>
        <w:t>1526b.</w:t>
      </w:r>
    </w:p>
  </w:footnote>
  <w:footnote w:id="21">
    <w:p w14:paraId="3346AF6C" w14:textId="352E3CE1" w:rsidR="00D56272" w:rsidRPr="004B6669" w:rsidRDefault="00D56272" w:rsidP="00D56272">
      <w:pPr>
        <w:pStyle w:val="FootnoteText"/>
        <w:rPr>
          <w:sz w:val="20"/>
        </w:rPr>
      </w:pPr>
      <w:r w:rsidRPr="004B6669">
        <w:rPr>
          <w:rStyle w:val="FootnoteReference"/>
          <w:sz w:val="20"/>
        </w:rPr>
        <w:footnoteRef/>
      </w:r>
      <w:r w:rsidRPr="004B6669">
        <w:rPr>
          <w:sz w:val="20"/>
        </w:rPr>
        <w:t xml:space="preserve"> Edited by </w:t>
      </w:r>
      <w:r w:rsidRPr="004B6669">
        <w:rPr>
          <w:sz w:val="20"/>
        </w:rPr>
        <w:fldChar w:fldCharType="begin"/>
      </w:r>
      <w:r>
        <w:rPr>
          <w:sz w:val="20"/>
        </w:rPr>
        <w:instrText xml:space="preserve"> ADDIN EN.CITE &lt;EndNote&gt;&lt;Cite&gt;&lt;Author&gt;Guinan&lt;/Author&gt;&lt;Year&gt;2002&lt;/Year&gt;&lt;RecNum&gt;1269&lt;/RecNum&gt;&lt;Pages&gt;36&lt;/Pages&gt;&lt;DisplayText&gt;Guinan in &lt;style face="italic"&gt;AMD 2 &lt;/style&gt;(2002) 36&lt;/DisplayText&gt;&lt;record&gt;&lt;rec-number&gt;1269&lt;/rec-number&gt;&lt;foreign-keys&gt;&lt;key app="EN" db-id="225fxd904pw0zueapxd5pdxewdrsefare5tz" timestamp="1465031477"&gt;1269&lt;/key&gt;&lt;/foreign-keys&gt;&lt;ref-type name="Book Section"&gt;5&lt;/ref-type&gt;&lt;contributors&gt;&lt;authors&gt;&lt;author&gt;Guinan, A. K.&lt;/author&gt;&lt;/authors&gt;&lt;secondary-authors&gt;&lt;author&gt;Ciraolo, L.&lt;/author&gt;&lt;author&gt;Seidel, J.&lt;/author&gt;&lt;/secondary-authors&gt;&lt;/contributors&gt;&lt;titles&gt;&lt;title&gt;A Severed Head Laughed: Stories of Divinatory Interpretation&lt;/title&gt;&lt;secondary-title&gt;Magic and Divination in the Ancient World&lt;/secondary-title&gt;&lt;tertiary-title&gt;AMD&lt;/tertiary-title&gt;&lt;short-title&gt;AMD 2&lt;/short-title&gt;&lt;/titles&gt;&lt;pages&gt;7-40&lt;/pages&gt;&lt;number&gt;2&lt;/number&gt;&lt;dates&gt;&lt;year&gt;2002&lt;/year&gt;&lt;/dates&gt;&lt;pub-location&gt;Leiden&lt;/pub-location&gt;&lt;publisher&gt;Brill&lt;/publisher&gt;&lt;urls&gt;&lt;/urls&gt;&lt;/record&gt;&lt;/Cite&gt;&lt;/EndNote&gt;</w:instrText>
      </w:r>
      <w:r w:rsidRPr="004B6669">
        <w:rPr>
          <w:sz w:val="20"/>
        </w:rPr>
        <w:fldChar w:fldCharType="separate"/>
      </w:r>
      <w:r>
        <w:rPr>
          <w:noProof/>
          <w:sz w:val="20"/>
        </w:rPr>
        <w:t xml:space="preserve">Guinan in </w:t>
      </w:r>
      <w:r w:rsidRPr="00D56272">
        <w:rPr>
          <w:i/>
          <w:noProof/>
          <w:sz w:val="20"/>
        </w:rPr>
        <w:t xml:space="preserve">AMD 2 </w:t>
      </w:r>
      <w:r>
        <w:rPr>
          <w:noProof/>
          <w:sz w:val="20"/>
        </w:rPr>
        <w:t>(2002) 36</w:t>
      </w:r>
      <w:r w:rsidRPr="004B6669">
        <w:rPr>
          <w:sz w:val="20"/>
        </w:rPr>
        <w:fldChar w:fldCharType="end"/>
      </w:r>
      <w:r w:rsidRPr="004B6669">
        <w:rPr>
          <w:sz w:val="20"/>
        </w:rPr>
        <w:t xml:space="preserve"> and 39, with comment on her p. 40.  The form </w:t>
      </w:r>
      <w:proofErr w:type="spellStart"/>
      <w:r w:rsidRPr="004B6669">
        <w:rPr>
          <w:i/>
          <w:sz w:val="20"/>
        </w:rPr>
        <w:t>itta’lad</w:t>
      </w:r>
      <w:proofErr w:type="spellEnd"/>
      <w:r w:rsidRPr="004B6669">
        <w:rPr>
          <w:i/>
          <w:sz w:val="20"/>
        </w:rPr>
        <w:t xml:space="preserve"> </w:t>
      </w:r>
      <w:r w:rsidRPr="004B6669">
        <w:rPr>
          <w:sz w:val="20"/>
        </w:rPr>
        <w:t xml:space="preserve">is presumably a corruption of </w:t>
      </w:r>
      <w:proofErr w:type="spellStart"/>
      <w:r w:rsidRPr="004B6669">
        <w:rPr>
          <w:i/>
          <w:sz w:val="20"/>
        </w:rPr>
        <w:t>ittalad</w:t>
      </w:r>
      <w:proofErr w:type="spellEnd"/>
      <w:r w:rsidRPr="004B6669">
        <w:rPr>
          <w:sz w:val="20"/>
        </w:rPr>
        <w:t xml:space="preserve"> (G perfect of (</w:t>
      </w:r>
      <w:r w:rsidRPr="004B6669">
        <w:rPr>
          <w:i/>
          <w:sz w:val="20"/>
        </w:rPr>
        <w:t>w</w:t>
      </w:r>
      <w:r w:rsidRPr="004B6669">
        <w:rPr>
          <w:sz w:val="20"/>
        </w:rPr>
        <w:t>)</w:t>
      </w:r>
      <w:proofErr w:type="spellStart"/>
      <w:r w:rsidRPr="004B6669">
        <w:rPr>
          <w:i/>
          <w:sz w:val="20"/>
        </w:rPr>
        <w:t>alādu</w:t>
      </w:r>
      <w:proofErr w:type="spellEnd"/>
      <w:r w:rsidRPr="004B6669">
        <w:rPr>
          <w:sz w:val="20"/>
        </w:rPr>
        <w:t xml:space="preserve"> ‘to give birth’)</w:t>
      </w:r>
    </w:p>
  </w:footnote>
  <w:footnote w:id="22">
    <w:p w14:paraId="39C480CD" w14:textId="313ACEA8" w:rsidR="00D56272" w:rsidRPr="004B6669" w:rsidRDefault="00D56272" w:rsidP="00D56272">
      <w:pPr>
        <w:pStyle w:val="FootnoteText"/>
        <w:rPr>
          <w:sz w:val="20"/>
        </w:rPr>
      </w:pPr>
      <w:r w:rsidRPr="004B6669">
        <w:rPr>
          <w:rStyle w:val="FootnoteReference"/>
          <w:sz w:val="20"/>
        </w:rPr>
        <w:footnoteRef/>
      </w:r>
      <w:r w:rsidRPr="004B6669">
        <w:rPr>
          <w:sz w:val="20"/>
        </w:rPr>
        <w:t xml:space="preserve"> </w:t>
      </w:r>
      <w:r w:rsidRPr="004B6669">
        <w:rPr>
          <w:sz w:val="20"/>
        </w:rPr>
        <w:fldChar w:fldCharType="begin"/>
      </w:r>
      <w:r>
        <w:rPr>
          <w:sz w:val="20"/>
        </w:rPr>
        <w:instrText xml:space="preserve"> ADDIN EN.CITE &lt;EndNote&gt;&lt;Cite&gt;&lt;Author&gt;Salonen&lt;/Author&gt;&lt;Year&gt;1970&lt;/Year&gt;&lt;RecNum&gt;3055&lt;/RecNum&gt;&lt;Pages&gt;143&lt;/Pages&gt;&lt;DisplayText&gt;Salonen, &lt;style face="italic"&gt;Fischerei &lt;/style&gt;(1970) 143&lt;/DisplayText&gt;&lt;record&gt;&lt;rec-number&gt;3055&lt;/rec-number&gt;&lt;foreign-keys&gt;&lt;key app="EN" db-id="225fxd904pw0zueapxd5pdxewdrsefare5tz" timestamp="1518724512"&gt;3055&lt;/key&gt;&lt;/foreign-keys&gt;&lt;ref-type name="Book"&gt;6&lt;/ref-type&gt;&lt;contributors&gt;&lt;authors&gt;&lt;author&gt;Salonen, Armas&lt;/author&gt;&lt;/authors&gt;&lt;/contributors&gt;&lt;titles&gt;&lt;title&gt;Die Fischerei im Alten Mesopotamien nach sumerisch-akkadischen Quellen&lt;/title&gt;&lt;secondary-title&gt;Annales Academiæ Scientiarum Fennicæ. Ser. B&lt;/secondary-title&gt;&lt;short-title&gt;Fischerei&lt;/short-title&gt;&lt;/titles&gt;&lt;number&gt;166&lt;/number&gt;&lt;dates&gt;&lt;year&gt;1970&lt;/year&gt;&lt;/dates&gt;&lt;pub-location&gt;Helsinki&lt;/pub-location&gt;&lt;publisher&gt;Suomalainen Tiedeakademia&lt;/publisher&gt;&lt;urls&gt;&lt;/urls&gt;&lt;/record&gt;&lt;/Cite&gt;&lt;/EndNote&gt;</w:instrText>
      </w:r>
      <w:r w:rsidRPr="004B6669">
        <w:rPr>
          <w:sz w:val="20"/>
        </w:rPr>
        <w:fldChar w:fldCharType="separate"/>
      </w:r>
      <w:r>
        <w:rPr>
          <w:noProof/>
          <w:sz w:val="20"/>
        </w:rPr>
        <w:t xml:space="preserve">Salonen, </w:t>
      </w:r>
      <w:r w:rsidRPr="00D56272">
        <w:rPr>
          <w:i/>
          <w:noProof/>
          <w:sz w:val="20"/>
        </w:rPr>
        <w:t xml:space="preserve">Fischerei </w:t>
      </w:r>
      <w:r>
        <w:rPr>
          <w:noProof/>
          <w:sz w:val="20"/>
        </w:rPr>
        <w:t>(1970) 143</w:t>
      </w:r>
      <w:r w:rsidRPr="004B6669">
        <w:rPr>
          <w:sz w:val="20"/>
        </w:rPr>
        <w:fldChar w:fldCharType="end"/>
      </w:r>
      <w:r w:rsidRPr="004B6669">
        <w:rPr>
          <w:sz w:val="20"/>
        </w:rPr>
        <w:t xml:space="preserve"> and </w:t>
      </w:r>
      <w:r w:rsidRPr="004B6669">
        <w:rPr>
          <w:sz w:val="20"/>
        </w:rPr>
        <w:fldChar w:fldCharType="begin"/>
      </w:r>
      <w:r>
        <w:rPr>
          <w:sz w:val="20"/>
        </w:rPr>
        <w:instrText xml:space="preserve"> ADDIN EN.CITE &lt;EndNote&gt;&lt;Cite&gt;&lt;Author&gt;Salonen&lt;/Author&gt;&lt;Year&gt;1973&lt;/Year&gt;&lt;RecNum&gt;3058&lt;/RecNum&gt;&lt;Pages&gt;94&lt;/Pages&gt;&lt;DisplayText&gt;Salonen, &lt;style face="italic"&gt;Vögel &lt;/style&gt;(1973) 94&lt;/DisplayText&gt;&lt;record&gt;&lt;rec-number&gt;3058&lt;/rec-number&gt;&lt;foreign-keys&gt;&lt;key app="EN" db-id="225fxd904pw0zueapxd5pdxewdrsefare5tz" timestamp="1518730534"&gt;3058&lt;/key&gt;&lt;/foreign-keys&gt;&lt;ref-type name="Book"&gt;6&lt;/ref-type&gt;&lt;contributors&gt;&lt;authors&gt;&lt;author&gt;Salonen, Armas&lt;/author&gt;&lt;/authors&gt;&lt;/contributors&gt;&lt;titles&gt;&lt;title&gt;Vögel und Vögelfang in Alten Mesopotamien&lt;/title&gt;&lt;short-title&gt;Vögel&lt;/short-title&gt;&lt;/titles&gt;&lt;dates&gt;&lt;year&gt;1973&lt;/year&gt;&lt;/dates&gt;&lt;pub-location&gt;Helsinki&lt;/pub-location&gt;&lt;publisher&gt;Suomalainen Tiedeakademia&lt;/publisher&gt;&lt;urls&gt;&lt;/urls&gt;&lt;/record&gt;&lt;/Cite&gt;&lt;/EndNote&gt;</w:instrText>
      </w:r>
      <w:r w:rsidRPr="004B6669">
        <w:rPr>
          <w:sz w:val="20"/>
        </w:rPr>
        <w:fldChar w:fldCharType="separate"/>
      </w:r>
      <w:r>
        <w:rPr>
          <w:noProof/>
          <w:sz w:val="20"/>
        </w:rPr>
        <w:t xml:space="preserve">Salonen, </w:t>
      </w:r>
      <w:r w:rsidRPr="00D56272">
        <w:rPr>
          <w:i/>
          <w:noProof/>
          <w:sz w:val="20"/>
        </w:rPr>
        <w:t xml:space="preserve">Vögel </w:t>
      </w:r>
      <w:r>
        <w:rPr>
          <w:noProof/>
          <w:sz w:val="20"/>
        </w:rPr>
        <w:t>(1973) 94</w:t>
      </w:r>
      <w:r w:rsidRPr="004B6669">
        <w:rPr>
          <w:sz w:val="20"/>
        </w:rPr>
        <w:fldChar w:fldCharType="end"/>
      </w:r>
      <w:r w:rsidRPr="004B6669">
        <w:rPr>
          <w:sz w:val="20"/>
        </w:rPr>
        <w:t xml:space="preserve"> maintains that Sumerian used of ab “father” (</w:t>
      </w:r>
      <w:r w:rsidRPr="004B6669">
        <w:rPr>
          <w:i/>
          <w:sz w:val="20"/>
        </w:rPr>
        <w:t>sic</w:t>
      </w:r>
      <w:r w:rsidRPr="004B6669">
        <w:rPr>
          <w:sz w:val="20"/>
        </w:rPr>
        <w:t xml:space="preserve">!) and </w:t>
      </w:r>
      <w:proofErr w:type="spellStart"/>
      <w:r w:rsidRPr="004B6669">
        <w:rPr>
          <w:sz w:val="20"/>
        </w:rPr>
        <w:t>áb</w:t>
      </w:r>
      <w:proofErr w:type="spellEnd"/>
      <w:r w:rsidRPr="004B6669">
        <w:rPr>
          <w:sz w:val="20"/>
        </w:rPr>
        <w:t xml:space="preserve"> ‘cow’ to indicate the gender of fish and birds.  This usage would be different from the phenomenon discussed above, since Sumerian cannot indicate gender morphologically, whereas </w:t>
      </w:r>
      <w:r w:rsidR="00BE7F90">
        <w:rPr>
          <w:sz w:val="20"/>
        </w:rPr>
        <w:t xml:space="preserve">Babylonian and Assyrian </w:t>
      </w:r>
      <w:r w:rsidRPr="004B6669">
        <w:rPr>
          <w:sz w:val="20"/>
        </w:rPr>
        <w:t>can.  However, PSD</w:t>
      </w:r>
      <w:r w:rsidR="00B44D53">
        <w:rPr>
          <w:sz w:val="20"/>
        </w:rPr>
        <w:t xml:space="preserve"> A</w:t>
      </w:r>
      <w:r w:rsidRPr="004B6669">
        <w:rPr>
          <w:sz w:val="20"/>
        </w:rPr>
        <w:t xml:space="preserve"> 128a and 169a takes ab and </w:t>
      </w:r>
      <w:proofErr w:type="spellStart"/>
      <w:r w:rsidRPr="004B6669">
        <w:rPr>
          <w:sz w:val="20"/>
        </w:rPr>
        <w:t>áb</w:t>
      </w:r>
      <w:proofErr w:type="spellEnd"/>
      <w:r w:rsidRPr="004B6669">
        <w:rPr>
          <w:sz w:val="20"/>
        </w:rPr>
        <w:t xml:space="preserve"> as the names of fish (as does </w:t>
      </w:r>
      <w:proofErr w:type="spellStart"/>
      <w:r w:rsidRPr="004B6669">
        <w:rPr>
          <w:sz w:val="20"/>
        </w:rPr>
        <w:t>ePSD</w:t>
      </w:r>
      <w:proofErr w:type="spellEnd"/>
      <w:r w:rsidRPr="004B6669">
        <w:rPr>
          <w:sz w:val="20"/>
        </w:rPr>
        <w:t>).  This seems simpler, as usually there would have been little point in specifying fish’s gender.</w:t>
      </w:r>
    </w:p>
  </w:footnote>
  <w:footnote w:id="23">
    <w:p w14:paraId="428E05A6" w14:textId="52570485" w:rsidR="00D56272" w:rsidRPr="004B6669" w:rsidRDefault="00D56272" w:rsidP="00D56272">
      <w:pPr>
        <w:pStyle w:val="FootnoteText"/>
        <w:rPr>
          <w:sz w:val="20"/>
        </w:rPr>
      </w:pPr>
      <w:r w:rsidRPr="004B6669">
        <w:rPr>
          <w:rStyle w:val="FootnoteReference"/>
          <w:sz w:val="20"/>
        </w:rPr>
        <w:footnoteRef/>
      </w:r>
      <w:r w:rsidRPr="004B6669">
        <w:rPr>
          <w:sz w:val="20"/>
        </w:rPr>
        <w:t xml:space="preserve"> Cf. </w:t>
      </w:r>
      <w:r w:rsidRPr="004B6669">
        <w:rPr>
          <w:sz w:val="20"/>
        </w:rPr>
        <w:fldChar w:fldCharType="begin"/>
      </w:r>
      <w:r>
        <w:rPr>
          <w:sz w:val="20"/>
        </w:rPr>
        <w:instrText xml:space="preserve"> ADDIN EN.CITE &lt;EndNote&gt;&lt;Cite&gt;&lt;Author&gt;von Soden&lt;/Author&gt;&lt;Year&gt;1995&lt;/Year&gt;&lt;RecNum&gt;2390&lt;/RecNum&gt;&lt;Pages&gt;§ 60a*&lt;/Pages&gt;&lt;DisplayText&gt;von Soden, &lt;style face="italic"&gt;GAG&lt;/style&gt;&lt;style face="italic superscript"&gt;3&lt;/style&gt;&lt;style face="italic"&gt; &lt;/style&gt;(1995) § 60a*&lt;/DisplayText&gt;&lt;record&gt;&lt;rec-number&gt;2390&lt;/rec-number&gt;&lt;foreign-keys&gt;&lt;key app="EN" db-id="225fxd904pw0zueapxd5pdxewdrsefare5tz" timestamp="1467609765"&gt;2390&lt;/key&gt;&lt;/foreign-keys&gt;&lt;ref-type name="Book"&gt;6&lt;/ref-type&gt;&lt;contributors&gt;&lt;authors&gt;&lt;author&gt;von Soden, Wolfram&lt;/author&gt;&lt;/authors&gt;&lt;/contributors&gt;&lt;titles&gt;&lt;title&gt;Grundriss der akkadischen Grammatik&lt;/title&gt;&lt;secondary-title&gt;AnOr&lt;/secondary-title&gt;&lt;short-title&gt;&lt;style face="normal" font="default" size="100%"&gt;GAG&lt;/style&gt;&lt;style face="superscript" font="default" size="100%"&gt;3&lt;/style&gt;&lt;/short-title&gt;&lt;/titles&gt;&lt;number&gt;33&lt;/number&gt;&lt;dates&gt;&lt;year&gt;1995&lt;/year&gt;&lt;/dates&gt;&lt;pub-location&gt;Rome&lt;/pub-location&gt;&lt;publisher&gt;Pontificio Istituto Biblico&lt;/publisher&gt;&lt;urls&gt;&lt;/urls&gt;&lt;/record&gt;&lt;/Cite&gt;&lt;/EndNote&gt;</w:instrText>
      </w:r>
      <w:r w:rsidRPr="004B6669">
        <w:rPr>
          <w:sz w:val="20"/>
        </w:rPr>
        <w:fldChar w:fldCharType="separate"/>
      </w:r>
      <w:r>
        <w:rPr>
          <w:noProof/>
          <w:sz w:val="20"/>
        </w:rPr>
        <w:t xml:space="preserve">von Soden, </w:t>
      </w:r>
      <w:r w:rsidRPr="00D56272">
        <w:rPr>
          <w:i/>
          <w:noProof/>
          <w:sz w:val="20"/>
        </w:rPr>
        <w:t>GAG</w:t>
      </w:r>
      <w:r w:rsidRPr="00D56272">
        <w:rPr>
          <w:i/>
          <w:noProof/>
          <w:sz w:val="20"/>
          <w:vertAlign w:val="superscript"/>
        </w:rPr>
        <w:t>3</w:t>
      </w:r>
      <w:r w:rsidRPr="00D56272">
        <w:rPr>
          <w:i/>
          <w:noProof/>
          <w:sz w:val="20"/>
        </w:rPr>
        <w:t xml:space="preserve"> </w:t>
      </w:r>
      <w:r>
        <w:rPr>
          <w:noProof/>
          <w:sz w:val="20"/>
        </w:rPr>
        <w:t>(1995) § 60a*</w:t>
      </w:r>
      <w:r w:rsidRPr="004B6669">
        <w:rPr>
          <w:sz w:val="20"/>
        </w:rPr>
        <w:fldChar w:fldCharType="end"/>
      </w:r>
      <w:r w:rsidRPr="004B6669">
        <w:rPr>
          <w:sz w:val="20"/>
        </w:rPr>
        <w:t xml:space="preserve"> on </w:t>
      </w:r>
      <w:proofErr w:type="spellStart"/>
      <w:r w:rsidRPr="004B6669">
        <w:rPr>
          <w:i/>
          <w:sz w:val="20"/>
        </w:rPr>
        <w:t>pirsu</w:t>
      </w:r>
      <w:proofErr w:type="spellEnd"/>
      <w:r w:rsidRPr="004B6669">
        <w:rPr>
          <w:sz w:val="20"/>
        </w:rPr>
        <w:t>: “</w:t>
      </w:r>
      <w:proofErr w:type="spellStart"/>
      <w:r w:rsidRPr="004B6669">
        <w:rPr>
          <w:i/>
          <w:sz w:val="20"/>
        </w:rPr>
        <w:t>pirsu</w:t>
      </w:r>
      <w:proofErr w:type="spellEnd"/>
      <w:r w:rsidRPr="004B6669">
        <w:rPr>
          <w:i/>
          <w:sz w:val="20"/>
        </w:rPr>
        <w:t xml:space="preserve"> </w:t>
      </w:r>
      <w:r w:rsidRPr="004B6669">
        <w:rPr>
          <w:sz w:val="20"/>
        </w:rPr>
        <w:t>‘</w:t>
      </w:r>
      <w:proofErr w:type="spellStart"/>
      <w:r w:rsidRPr="004B6669">
        <w:rPr>
          <w:sz w:val="20"/>
        </w:rPr>
        <w:t>entwöhntes</w:t>
      </w:r>
      <w:proofErr w:type="spellEnd"/>
      <w:r w:rsidRPr="004B6669">
        <w:rPr>
          <w:sz w:val="20"/>
        </w:rPr>
        <w:t xml:space="preserve"> Kind </w:t>
      </w:r>
      <w:proofErr w:type="spellStart"/>
      <w:r w:rsidRPr="004B6669">
        <w:rPr>
          <w:sz w:val="20"/>
        </w:rPr>
        <w:t>bzw</w:t>
      </w:r>
      <w:proofErr w:type="spellEnd"/>
      <w:r w:rsidRPr="004B6669">
        <w:rPr>
          <w:sz w:val="20"/>
        </w:rPr>
        <w:t xml:space="preserve">. </w:t>
      </w:r>
      <w:proofErr w:type="spellStart"/>
      <w:r w:rsidRPr="004B6669">
        <w:rPr>
          <w:sz w:val="20"/>
        </w:rPr>
        <w:t>Tierjunges</w:t>
      </w:r>
      <w:proofErr w:type="spellEnd"/>
      <w:r w:rsidRPr="004B6669">
        <w:rPr>
          <w:sz w:val="20"/>
        </w:rPr>
        <w:t xml:space="preserve">’ </w:t>
      </w:r>
      <w:proofErr w:type="spellStart"/>
      <w:r w:rsidRPr="004B6669">
        <w:rPr>
          <w:sz w:val="20"/>
        </w:rPr>
        <w:t>steht</w:t>
      </w:r>
      <w:proofErr w:type="spellEnd"/>
      <w:r w:rsidRPr="004B6669">
        <w:rPr>
          <w:sz w:val="20"/>
        </w:rPr>
        <w:t xml:space="preserve"> </w:t>
      </w:r>
      <w:proofErr w:type="spellStart"/>
      <w:r w:rsidRPr="004B6669">
        <w:rPr>
          <w:sz w:val="20"/>
        </w:rPr>
        <w:t>meistens</w:t>
      </w:r>
      <w:proofErr w:type="spellEnd"/>
      <w:r w:rsidRPr="004B6669">
        <w:rPr>
          <w:sz w:val="20"/>
        </w:rPr>
        <w:t xml:space="preserve"> </w:t>
      </w:r>
      <w:proofErr w:type="spellStart"/>
      <w:r w:rsidRPr="004B6669">
        <w:rPr>
          <w:sz w:val="20"/>
        </w:rPr>
        <w:t>auch</w:t>
      </w:r>
      <w:proofErr w:type="spellEnd"/>
      <w:r w:rsidRPr="004B6669">
        <w:rPr>
          <w:sz w:val="20"/>
        </w:rPr>
        <w:t xml:space="preserve"> für das Fem”.</w:t>
      </w:r>
    </w:p>
  </w:footnote>
  <w:footnote w:id="24">
    <w:p w14:paraId="5D7B8E97" w14:textId="77777777" w:rsidR="00D56272" w:rsidRPr="004B6669" w:rsidRDefault="00D56272" w:rsidP="00D56272">
      <w:pPr>
        <w:pStyle w:val="FootnoteText"/>
        <w:rPr>
          <w:sz w:val="20"/>
        </w:rPr>
      </w:pPr>
      <w:r w:rsidRPr="004B6669">
        <w:rPr>
          <w:rStyle w:val="FootnoteReference"/>
          <w:sz w:val="20"/>
        </w:rPr>
        <w:footnoteRef/>
      </w:r>
      <w:r w:rsidRPr="004B6669">
        <w:rPr>
          <w:sz w:val="20"/>
        </w:rPr>
        <w:t xml:space="preserve"> The edition by the </w:t>
      </w:r>
      <w:proofErr w:type="spellStart"/>
      <w:r w:rsidRPr="004B6669">
        <w:rPr>
          <w:sz w:val="20"/>
        </w:rPr>
        <w:t>BabMed</w:t>
      </w:r>
      <w:proofErr w:type="spellEnd"/>
      <w:r w:rsidRPr="004B6669">
        <w:rPr>
          <w:sz w:val="20"/>
        </w:rPr>
        <w:t xml:space="preserve"> team is accessible at </w:t>
      </w:r>
      <w:hyperlink r:id="rId1" w:history="1">
        <w:r w:rsidRPr="004B6669">
          <w:rPr>
            <w:rStyle w:val="Hyperlink"/>
            <w:sz w:val="20"/>
          </w:rPr>
          <w:t>http://www.geschkult.fu-berlin.de/e/babmed/Corpora/AMT-2/AMT-76-6/index.html</w:t>
        </w:r>
      </w:hyperlink>
      <w:r w:rsidRPr="004B6669">
        <w:rPr>
          <w:sz w:val="20"/>
        </w:rPr>
        <w:t xml:space="preserve">. </w:t>
      </w:r>
    </w:p>
  </w:footnote>
  <w:footnote w:id="25">
    <w:p w14:paraId="681A162A" w14:textId="73FDB8EA" w:rsidR="00D56272" w:rsidRPr="004B6669" w:rsidRDefault="00D56272" w:rsidP="00D56272">
      <w:pPr>
        <w:pStyle w:val="FootnoteText"/>
        <w:rPr>
          <w:sz w:val="20"/>
        </w:rPr>
      </w:pPr>
      <w:r w:rsidRPr="004B6669">
        <w:rPr>
          <w:rStyle w:val="FootnoteReference"/>
          <w:sz w:val="20"/>
        </w:rPr>
        <w:footnoteRef/>
      </w:r>
      <w:r w:rsidRPr="004B6669">
        <w:rPr>
          <w:sz w:val="20"/>
        </w:rPr>
        <w:t xml:space="preserve"> Though the morphologically male </w:t>
      </w:r>
      <w:proofErr w:type="spellStart"/>
      <w:r w:rsidRPr="004B6669">
        <w:rPr>
          <w:i/>
          <w:sz w:val="20"/>
        </w:rPr>
        <w:t>awīlu</w:t>
      </w:r>
      <w:proofErr w:type="spellEnd"/>
      <w:r w:rsidRPr="004B6669">
        <w:rPr>
          <w:sz w:val="20"/>
        </w:rPr>
        <w:t xml:space="preserve"> ‘man’ who is ubiquitous as the patient in </w:t>
      </w:r>
      <w:r w:rsidR="00BE7F90">
        <w:rPr>
          <w:sz w:val="20"/>
        </w:rPr>
        <w:t>Babylonian/Assyrian</w:t>
      </w:r>
      <w:r w:rsidRPr="004B6669">
        <w:rPr>
          <w:sz w:val="20"/>
        </w:rPr>
        <w:t xml:space="preserve"> medical prescriptions has often been suspected to represent a gender-neutral patient.  CAD I-J </w:t>
      </w:r>
      <w:r w:rsidR="00ED12F9">
        <w:rPr>
          <w:sz w:val="20"/>
        </w:rPr>
        <w:t xml:space="preserve">(1960) </w:t>
      </w:r>
      <w:r w:rsidRPr="004B6669">
        <w:rPr>
          <w:sz w:val="20"/>
        </w:rPr>
        <w:t xml:space="preserve">90b and 98a envisage a small number of instances where the morphologically masculine </w:t>
      </w:r>
      <w:proofErr w:type="spellStart"/>
      <w:r w:rsidRPr="004B6669">
        <w:rPr>
          <w:i/>
          <w:sz w:val="20"/>
        </w:rPr>
        <w:t>ilu</w:t>
      </w:r>
      <w:proofErr w:type="spellEnd"/>
      <w:r w:rsidRPr="004B6669">
        <w:rPr>
          <w:i/>
          <w:sz w:val="20"/>
        </w:rPr>
        <w:t xml:space="preserve"> </w:t>
      </w:r>
      <w:r w:rsidRPr="004B6669">
        <w:rPr>
          <w:sz w:val="20"/>
        </w:rPr>
        <w:t xml:space="preserve">‘god’ refers to a female deity. </w:t>
      </w:r>
      <w:proofErr w:type="spellStart"/>
      <w:r w:rsidRPr="004B6669">
        <w:rPr>
          <w:sz w:val="20"/>
        </w:rPr>
        <w:t>AHw</w:t>
      </w:r>
      <w:proofErr w:type="spellEnd"/>
      <w:r w:rsidRPr="004B6669">
        <w:rPr>
          <w:sz w:val="20"/>
        </w:rPr>
        <w:t xml:space="preserve"> </w:t>
      </w:r>
      <w:r w:rsidR="00ED12F9">
        <w:rPr>
          <w:sz w:val="20"/>
        </w:rPr>
        <w:t xml:space="preserve">(1962) </w:t>
      </w:r>
      <w:r w:rsidRPr="004B6669">
        <w:rPr>
          <w:sz w:val="20"/>
        </w:rPr>
        <w:t>374a tentatively (</w:t>
      </w:r>
      <w:proofErr w:type="gramStart"/>
      <w:r w:rsidRPr="004B6669">
        <w:rPr>
          <w:sz w:val="20"/>
        </w:rPr>
        <w:t>i.e.</w:t>
      </w:r>
      <w:proofErr w:type="gramEnd"/>
      <w:r w:rsidRPr="004B6669">
        <w:rPr>
          <w:sz w:val="20"/>
        </w:rPr>
        <w:t xml:space="preserve"> with a question mark) </w:t>
      </w:r>
      <w:proofErr w:type="spellStart"/>
      <w:r w:rsidRPr="004B6669">
        <w:rPr>
          <w:sz w:val="20"/>
        </w:rPr>
        <w:t>recognises</w:t>
      </w:r>
      <w:proofErr w:type="spellEnd"/>
      <w:r w:rsidRPr="004B6669">
        <w:rPr>
          <w:sz w:val="20"/>
        </w:rPr>
        <w:t xml:space="preserve"> an instance in the Neo-Assyrian personal name </w:t>
      </w:r>
      <w:proofErr w:type="spellStart"/>
      <w:r w:rsidRPr="004B6669">
        <w:rPr>
          <w:i/>
          <w:sz w:val="20"/>
        </w:rPr>
        <w:t>Ištar</w:t>
      </w:r>
      <w:proofErr w:type="spellEnd"/>
      <w:r w:rsidRPr="004B6669">
        <w:rPr>
          <w:i/>
          <w:sz w:val="20"/>
        </w:rPr>
        <w:t>-</w:t>
      </w:r>
      <w:proofErr w:type="spellStart"/>
      <w:r w:rsidRPr="004B6669">
        <w:rPr>
          <w:i/>
          <w:sz w:val="20"/>
        </w:rPr>
        <w:t>ila</w:t>
      </w:r>
      <w:proofErr w:type="spellEnd"/>
      <w:r w:rsidRPr="004B6669">
        <w:rPr>
          <w:i/>
          <w:sz w:val="20"/>
        </w:rPr>
        <w:t>-a-a</w:t>
      </w:r>
      <w:r w:rsidRPr="004B6669">
        <w:rPr>
          <w:sz w:val="20"/>
        </w:rPr>
        <w:t xml:space="preserve"> ‘</w:t>
      </w:r>
      <w:proofErr w:type="spellStart"/>
      <w:r w:rsidRPr="004B6669">
        <w:rPr>
          <w:sz w:val="20"/>
        </w:rPr>
        <w:t>Ištar</w:t>
      </w:r>
      <w:proofErr w:type="spellEnd"/>
      <w:r w:rsidRPr="004B6669">
        <w:rPr>
          <w:sz w:val="20"/>
        </w:rPr>
        <w:t xml:space="preserve"> is my god’.  There is of course the problem of whether the sign </w:t>
      </w:r>
      <w:proofErr w:type="spellStart"/>
      <w:r w:rsidRPr="004B6669">
        <w:rPr>
          <w:sz w:val="20"/>
        </w:rPr>
        <w:t>dingir</w:t>
      </w:r>
      <w:proofErr w:type="spellEnd"/>
      <w:r w:rsidRPr="004B6669">
        <w:rPr>
          <w:sz w:val="20"/>
        </w:rPr>
        <w:t xml:space="preserve"> might</w:t>
      </w:r>
      <w:r>
        <w:rPr>
          <w:sz w:val="20"/>
        </w:rPr>
        <w:t xml:space="preserve"> </w:t>
      </w:r>
      <w:r w:rsidRPr="004B6669">
        <w:rPr>
          <w:sz w:val="20"/>
        </w:rPr>
        <w:t xml:space="preserve">represent </w:t>
      </w:r>
      <w:proofErr w:type="spellStart"/>
      <w:r w:rsidRPr="004B6669">
        <w:rPr>
          <w:i/>
          <w:sz w:val="20"/>
        </w:rPr>
        <w:t>iltu</w:t>
      </w:r>
      <w:proofErr w:type="spellEnd"/>
      <w:r w:rsidRPr="004B6669">
        <w:rPr>
          <w:sz w:val="20"/>
        </w:rPr>
        <w:t>.</w:t>
      </w:r>
    </w:p>
  </w:footnote>
  <w:footnote w:id="26">
    <w:p w14:paraId="4BD124E5" w14:textId="6EE826D3" w:rsidR="00D56272" w:rsidRPr="004B6669" w:rsidRDefault="00D56272" w:rsidP="00D56272">
      <w:pPr>
        <w:pStyle w:val="FootnoteText"/>
        <w:rPr>
          <w:sz w:val="20"/>
        </w:rPr>
      </w:pPr>
      <w:r w:rsidRPr="004B6669">
        <w:rPr>
          <w:rStyle w:val="FootnoteReference"/>
          <w:sz w:val="20"/>
        </w:rPr>
        <w:footnoteRef/>
      </w:r>
      <w:r w:rsidRPr="004B6669">
        <w:rPr>
          <w:sz w:val="20"/>
        </w:rPr>
        <w:t xml:space="preserve"> </w:t>
      </w:r>
      <w:r w:rsidRPr="004B6669">
        <w:rPr>
          <w:sz w:val="20"/>
        </w:rPr>
        <w:fldChar w:fldCharType="begin"/>
      </w:r>
      <w:r>
        <w:rPr>
          <w:sz w:val="20"/>
        </w:rPr>
        <w:instrText xml:space="preserve"> ADDIN EN.CITE &lt;EndNote&gt;&lt;Cite&gt;&lt;Author&gt;Postgate&lt;/Author&gt;&lt;Year&gt;1994&lt;/Year&gt;&lt;RecNum&gt;2509&lt;/RecNum&gt;&lt;Pages&gt;178-180&lt;/Pages&gt;&lt;DisplayText&gt;Postgate in &lt;style face="italic"&gt;The Ancient Mind &lt;/style&gt;(1994) 178-180&lt;/DisplayText&gt;&lt;record&gt;&lt;rec-number&gt;2509&lt;/rec-number&gt;&lt;foreign-keys&gt;&lt;key app="EN" db-id="225fxd904pw0zueapxd5pdxewdrsefare5tz" timestamp="1477433125"&gt;2509&lt;/key&gt;&lt;/foreign-keys&gt;&lt;ref-type name="Book Section"&gt;5&lt;/ref-type&gt;&lt;contributors&gt;&lt;authors&gt;&lt;author&gt;Postgate, J. N.&lt;/author&gt;&lt;/authors&gt;&lt;secondary-authors&gt;&lt;author&gt;Renfrew, Colin&lt;/author&gt;&lt;author&gt;Zubrow, Ezra B. W.&lt;/author&gt;&lt;/secondary-authors&gt;&lt;/contributors&gt;&lt;titles&gt;&lt;title&gt;Text and figure in ancient Mesopotamia: match and mismatch&lt;/title&gt;&lt;secondary-title&gt;The Ancient Mind: Elements of Cognitive Archaeology&lt;/secondary-title&gt;&lt;short-title&gt;The Ancient Mind&lt;/short-title&gt;&lt;/titles&gt;&lt;pages&gt;176-184&lt;/pages&gt;&lt;dates&gt;&lt;year&gt;1994&lt;/year&gt;&lt;/dates&gt;&lt;pub-location&gt;Cambridge&lt;/pub-location&gt;&lt;publisher&gt;Cambridge University Press&lt;/publisher&gt;&lt;urls&gt;&lt;/urls&gt;&lt;/record&gt;&lt;/Cite&gt;&lt;/EndNote&gt;</w:instrText>
      </w:r>
      <w:r w:rsidRPr="004B6669">
        <w:rPr>
          <w:sz w:val="20"/>
        </w:rPr>
        <w:fldChar w:fldCharType="separate"/>
      </w:r>
      <w:r>
        <w:rPr>
          <w:noProof/>
          <w:sz w:val="20"/>
        </w:rPr>
        <w:t xml:space="preserve">Postgate in </w:t>
      </w:r>
      <w:r w:rsidRPr="00D56272">
        <w:rPr>
          <w:i/>
          <w:noProof/>
          <w:sz w:val="20"/>
        </w:rPr>
        <w:t xml:space="preserve">The Ancient Mind </w:t>
      </w:r>
      <w:r>
        <w:rPr>
          <w:noProof/>
          <w:sz w:val="20"/>
        </w:rPr>
        <w:t>(1994) 178-180</w:t>
      </w:r>
      <w:r w:rsidRPr="004B6669">
        <w:rPr>
          <w:sz w:val="20"/>
        </w:rPr>
        <w:fldChar w:fldCharType="end"/>
      </w:r>
      <w:r w:rsidRPr="004B6669">
        <w:rPr>
          <w:sz w:val="20"/>
        </w:rPr>
        <w:t>.</w:t>
      </w:r>
    </w:p>
  </w:footnote>
  <w:footnote w:id="27">
    <w:p w14:paraId="318144A7" w14:textId="0DFC45D7" w:rsidR="00D56272" w:rsidRPr="004B6669" w:rsidRDefault="00D56272" w:rsidP="00D56272">
      <w:pPr>
        <w:rPr>
          <w:sz w:val="20"/>
        </w:rPr>
      </w:pPr>
      <w:r w:rsidRPr="004B6669">
        <w:rPr>
          <w:rStyle w:val="FootnoteReference"/>
          <w:sz w:val="20"/>
        </w:rPr>
        <w:footnoteRef/>
      </w:r>
      <w:r w:rsidRPr="004B6669">
        <w:rPr>
          <w:sz w:val="20"/>
        </w:rPr>
        <w:t xml:space="preserve"> KAR 44: 10: </w:t>
      </w:r>
      <w:proofErr w:type="spellStart"/>
      <w:r w:rsidRPr="004B6669">
        <w:rPr>
          <w:sz w:val="20"/>
          <w:vertAlign w:val="superscript"/>
        </w:rPr>
        <w:t>gu-ru-uš</w:t>
      </w:r>
      <w:r w:rsidRPr="004B6669">
        <w:rPr>
          <w:sz w:val="20"/>
        </w:rPr>
        <w:t>guruš.líl.lá</w:t>
      </w:r>
      <w:r w:rsidRPr="004B6669">
        <w:rPr>
          <w:sz w:val="20"/>
          <w:vertAlign w:val="superscript"/>
        </w:rPr>
        <w:t>meš</w:t>
      </w:r>
      <w:proofErr w:type="spellEnd"/>
      <w:r w:rsidRPr="004B6669">
        <w:rPr>
          <w:sz w:val="20"/>
        </w:rPr>
        <w:t xml:space="preserve"> </w:t>
      </w:r>
      <w:proofErr w:type="spellStart"/>
      <w:r w:rsidRPr="004B6669">
        <w:rPr>
          <w:sz w:val="20"/>
        </w:rPr>
        <w:t>ki.sikil.líl.lá</w:t>
      </w:r>
      <w:r w:rsidRPr="004B6669">
        <w:rPr>
          <w:sz w:val="20"/>
          <w:vertAlign w:val="superscript"/>
        </w:rPr>
        <w:t>meš</w:t>
      </w:r>
      <w:proofErr w:type="spellEnd"/>
      <w:r w:rsidRPr="004B6669">
        <w:rPr>
          <w:sz w:val="20"/>
        </w:rPr>
        <w:t xml:space="preserve"> </w:t>
      </w:r>
      <w:r w:rsidRPr="004B6669">
        <w:rPr>
          <w:i/>
          <w:sz w:val="20"/>
        </w:rPr>
        <w:t>u</w:t>
      </w:r>
      <w:r w:rsidRPr="004B6669">
        <w:rPr>
          <w:sz w:val="20"/>
        </w:rPr>
        <w:t xml:space="preserve"> alan.níg.é.sag.íl.</w:t>
      </w:r>
      <w:r w:rsidRPr="004B6669">
        <w:rPr>
          <w:sz w:val="20"/>
          <w:vertAlign w:val="superscript"/>
        </w:rPr>
        <w:t>me</w:t>
      </w:r>
      <w:r w:rsidRPr="004B6669">
        <w:rPr>
          <w:sz w:val="20"/>
        </w:rPr>
        <w:t>[</w:t>
      </w:r>
      <w:r w:rsidRPr="004B6669">
        <w:rPr>
          <w:sz w:val="20"/>
          <w:vertAlign w:val="superscript"/>
        </w:rPr>
        <w:t>š</w:t>
      </w:r>
      <w:r w:rsidRPr="004B6669">
        <w:rPr>
          <w:sz w:val="20"/>
        </w:rPr>
        <w:t>]</w:t>
      </w:r>
      <w:r w:rsidRPr="004B6669">
        <w:rPr>
          <w:sz w:val="20"/>
          <w:vertAlign w:val="superscript"/>
        </w:rPr>
        <w:t>.</w:t>
      </w:r>
      <w:proofErr w:type="spellStart"/>
      <w:r w:rsidRPr="004B6669">
        <w:rPr>
          <w:sz w:val="20"/>
          <w:vertAlign w:val="superscript"/>
        </w:rPr>
        <w:t>udug</w:t>
      </w:r>
      <w:proofErr w:type="spellEnd"/>
      <w:r w:rsidRPr="004B6669">
        <w:rPr>
          <w:sz w:val="20"/>
          <w:vertAlign w:val="superscript"/>
        </w:rPr>
        <w:t xml:space="preserve"> </w:t>
      </w:r>
      <w:proofErr w:type="spellStart"/>
      <w:r w:rsidRPr="004B6669">
        <w:rPr>
          <w:sz w:val="20"/>
          <w:vertAlign w:val="superscript"/>
        </w:rPr>
        <w:t>hul.gál.a</w:t>
      </w:r>
      <w:proofErr w:type="spellEnd"/>
      <w:r w:rsidRPr="004B6669">
        <w:rPr>
          <w:sz w:val="20"/>
          <w:vertAlign w:val="superscript"/>
        </w:rPr>
        <w:t xml:space="preserve"> </w:t>
      </w:r>
      <w:proofErr w:type="spellStart"/>
      <w:r w:rsidRPr="004B6669">
        <w:rPr>
          <w:sz w:val="20"/>
          <w:vertAlign w:val="superscript"/>
        </w:rPr>
        <w:t>mu.du.du</w:t>
      </w:r>
      <w:proofErr w:type="spellEnd"/>
      <w:r w:rsidRPr="004B6669">
        <w:rPr>
          <w:sz w:val="20"/>
        </w:rPr>
        <w:t xml:space="preserve">, ed. </w:t>
      </w:r>
      <w:r w:rsidRPr="004B6669">
        <w:rPr>
          <w:sz w:val="20"/>
        </w:rPr>
        <w:fldChar w:fldCharType="begin"/>
      </w:r>
      <w:r>
        <w:rPr>
          <w:sz w:val="20"/>
        </w:rPr>
        <w:instrText xml:space="preserve"> ADDIN EN.CITE &lt;EndNote&gt;&lt;Cite&gt;&lt;Author&gt;Geller&lt;/Author&gt;&lt;Year&gt;2000&lt;/Year&gt;&lt;RecNum&gt;1306&lt;/RecNum&gt;&lt;Pages&gt;244&lt;/Pages&gt;&lt;DisplayText&gt;Geller in &lt;style face="italic"&gt;Studies Lambert &lt;/style&gt;(2000) 244&lt;/DisplayText&gt;&lt;record&gt;&lt;rec-number&gt;1306&lt;/rec-number&gt;&lt;foreign-keys&gt;&lt;key app="EN" db-id="225fxd904pw0zueapxd5pdxewdrsefare5tz" timestamp="1467134775"&gt;1306&lt;/key&gt;&lt;/foreign-keys&gt;&lt;ref-type name="Book Section"&gt;5&lt;/ref-type&gt;&lt;contributors&gt;&lt;authors&gt;&lt;author&gt;Geller, M. J.&lt;/author&gt;&lt;/authors&gt;&lt;secondary-authors&gt;&lt;author&gt;George, A. R.&lt;/author&gt;&lt;author&gt;Finkel, I. L.&lt;/author&gt;&lt;/secondary-authors&gt;&lt;/contributors&gt;&lt;titles&gt;&lt;title&gt;Incipits and Rubrics&lt;/title&gt;&lt;secondary-title&gt;Wisdom, Gods and Literature: Studies in Assyriology in Honour of W. G. Lambert&lt;/secondary-title&gt;&lt;short-title&gt;Studies Lambert&lt;/short-title&gt;&lt;/titles&gt;&lt;pages&gt;225-258&lt;/pages&gt;&lt;dates&gt;&lt;year&gt;2000&lt;/year&gt;&lt;/dates&gt;&lt;pub-location&gt;Winona Lake&lt;/pub-location&gt;&lt;publisher&gt;Eisenbrauns&lt;/publisher&gt;&lt;urls&gt;&lt;/urls&gt;&lt;/record&gt;&lt;/Cite&gt;&lt;/EndNote&gt;</w:instrText>
      </w:r>
      <w:r w:rsidRPr="004B6669">
        <w:rPr>
          <w:sz w:val="20"/>
        </w:rPr>
        <w:fldChar w:fldCharType="separate"/>
      </w:r>
      <w:r>
        <w:rPr>
          <w:noProof/>
          <w:sz w:val="20"/>
        </w:rPr>
        <w:t xml:space="preserve">Geller in </w:t>
      </w:r>
      <w:r w:rsidRPr="00D56272">
        <w:rPr>
          <w:i/>
          <w:noProof/>
          <w:sz w:val="20"/>
        </w:rPr>
        <w:t xml:space="preserve">Studies Lambert </w:t>
      </w:r>
      <w:r>
        <w:rPr>
          <w:noProof/>
          <w:sz w:val="20"/>
        </w:rPr>
        <w:t>(2000) 244</w:t>
      </w:r>
      <w:r w:rsidRPr="004B6669">
        <w:rPr>
          <w:sz w:val="20"/>
        </w:rPr>
        <w:fldChar w:fldCharType="end"/>
      </w:r>
      <w:r w:rsidRPr="004B6669">
        <w:rPr>
          <w:sz w:val="20"/>
        </w:rPr>
        <w:t xml:space="preserve"> (with minor variants on the two duplicate manuscripts, BM 55148+ and Rm 717+; lacuna in </w:t>
      </w:r>
      <w:r w:rsidRPr="004B6669">
        <w:rPr>
          <w:sz w:val="20"/>
        </w:rPr>
        <w:fldChar w:fldCharType="begin"/>
      </w:r>
      <w:r>
        <w:rPr>
          <w:sz w:val="20"/>
        </w:rPr>
        <w:instrText xml:space="preserve"> ADDIN EN.CITE &lt;EndNote&gt;&lt;Cite&gt;&lt;Author&gt;von Weiher&lt;/Author&gt;&lt;Year&gt;1998&lt;/Year&gt;&lt;RecNum&gt;3245&lt;/RecNum&gt;&lt;Pages&gt;231&lt;/Pages&gt;&lt;DisplayText&gt;von Weiher, &lt;style face="italic"&gt;SpTU V &lt;/style&gt;(1998) 231&lt;/DisplayText&gt;&lt;record&gt;&lt;rec-number&gt;3245&lt;/rec-number&gt;&lt;foreign-keys&gt;&lt;key app="EN" db-id="225fxd904pw0zueapxd5pdxewdrsefare5tz" timestamp="1521641546"&gt;3245&lt;/key&gt;&lt;/foreign-keys&gt;&lt;ref-type name="Book"&gt;6&lt;/ref-type&gt;&lt;contributors&gt;&lt;authors&gt;&lt;author&gt;von Weiher, Egbert&lt;/author&gt;&lt;/authors&gt;&lt;/contributors&gt;&lt;titles&gt;&lt;title&gt;Spätbabylonische Texte aus Uruk. Teil 5&lt;/title&gt;&lt;secondary-title&gt;Ausgrabungen in Uruk-Warka. Endberichte&lt;/secondary-title&gt;&lt;tertiary-title&gt;Ausgrabungen der Deutschen Forschungsgemeinschaft in Uruk-Warka ;&lt;/tertiary-title&gt;&lt;short-title&gt;SpTU V&lt;/short-title&gt;&lt;/titles&gt;&lt;pages&gt;289p&lt;/pages&gt;&lt;volume&gt;13&lt;/volume&gt;&lt;keywords&gt;&lt;keyword&gt;Akkadian language -- Texts.&lt;/keyword&gt;&lt;keyword&gt;Erech (Extinct city)&lt;/keyword&gt;&lt;/keywords&gt;&lt;dates&gt;&lt;year&gt;1998&lt;/year&gt;&lt;/dates&gt;&lt;pub-location&gt;Berlin&lt;/pub-location&gt;&lt;publisher&gt;Mann&lt;/publisher&gt;&lt;isbn&gt;378611336X&lt;/isbn&gt;&lt;urls&gt;&lt;related-urls&gt;&lt;url&gt;http://search.lib.cam.ac.uk/?itemid=|cambrdgedb|878367&lt;/url&gt;&lt;/related-urls&gt;&lt;/urls&gt;&lt;/record&gt;&lt;/Cite&gt;&lt;/EndNote&gt;</w:instrText>
      </w:r>
      <w:r w:rsidRPr="004B6669">
        <w:rPr>
          <w:sz w:val="20"/>
        </w:rPr>
        <w:fldChar w:fldCharType="separate"/>
      </w:r>
      <w:r>
        <w:rPr>
          <w:noProof/>
          <w:sz w:val="20"/>
        </w:rPr>
        <w:t xml:space="preserve">von Weiher, </w:t>
      </w:r>
      <w:r w:rsidRPr="00D56272">
        <w:rPr>
          <w:i/>
          <w:noProof/>
          <w:sz w:val="20"/>
        </w:rPr>
        <w:t xml:space="preserve">SpTU V </w:t>
      </w:r>
      <w:r>
        <w:rPr>
          <w:noProof/>
          <w:sz w:val="20"/>
        </w:rPr>
        <w:t>(1998) 231</w:t>
      </w:r>
      <w:r w:rsidRPr="004B6669">
        <w:rPr>
          <w:sz w:val="20"/>
        </w:rPr>
        <w:fldChar w:fldCharType="end"/>
      </w:r>
      <w:r w:rsidRPr="004B6669">
        <w:rPr>
          <w:sz w:val="20"/>
        </w:rPr>
        <w:t xml:space="preserve">).  I see no reason to follow Geller </w:t>
      </w:r>
      <w:r w:rsidRPr="004B6669">
        <w:rPr>
          <w:i/>
          <w:sz w:val="20"/>
        </w:rPr>
        <w:t>ad loc</w:t>
      </w:r>
      <w:r w:rsidRPr="004B6669">
        <w:rPr>
          <w:sz w:val="20"/>
        </w:rPr>
        <w:t xml:space="preserve">. (on his p. 253) in viewing the gloss </w:t>
      </w:r>
      <w:proofErr w:type="spellStart"/>
      <w:r w:rsidRPr="004B6669">
        <w:rPr>
          <w:sz w:val="20"/>
          <w:vertAlign w:val="superscript"/>
        </w:rPr>
        <w:t>gu-ru-uš</w:t>
      </w:r>
      <w:proofErr w:type="spellEnd"/>
      <w:r w:rsidRPr="004B6669">
        <w:rPr>
          <w:sz w:val="20"/>
        </w:rPr>
        <w:t xml:space="preserve"> as referring to another incantation. For comments on </w:t>
      </w:r>
      <w:proofErr w:type="spellStart"/>
      <w:r w:rsidRPr="004B6669">
        <w:rPr>
          <w:sz w:val="20"/>
          <w:vertAlign w:val="superscript"/>
        </w:rPr>
        <w:t>gu-ru-uš</w:t>
      </w:r>
      <w:proofErr w:type="spellEnd"/>
      <w:r w:rsidRPr="004B6669">
        <w:rPr>
          <w:sz w:val="20"/>
        </w:rPr>
        <w:t xml:space="preserve"> see </w:t>
      </w:r>
      <w:r w:rsidRPr="004B6669">
        <w:rPr>
          <w:sz w:val="20"/>
        </w:rPr>
        <w:fldChar w:fldCharType="begin"/>
      </w:r>
      <w:r>
        <w:rPr>
          <w:sz w:val="20"/>
        </w:rPr>
        <w:instrText xml:space="preserve"> ADDIN EN.CITE &lt;EndNote&gt;&lt;Cite&gt;&lt;Author&gt;Farber&lt;/Author&gt;&lt;Year&gt;1989&lt;/Year&gt;&lt;RecNum&gt;1300&lt;/RecNum&gt;&lt;Pages&gt;33 n. 45&lt;/Pages&gt;&lt;DisplayText&gt;Farber, &lt;style face="italic"&gt;ZA&lt;/style&gt; 79/1 (1989) 33 n. 45&lt;/DisplayText&gt;&lt;record&gt;&lt;rec-number&gt;1300&lt;/rec-number&gt;&lt;foreign-keys&gt;&lt;key app="EN" db-id="225fxd904pw0zueapxd5pdxewdrsefare5tz" timestamp="1466932444"&gt;1300&lt;/key&gt;&lt;/foreign-keys&gt;&lt;ref-type name="Journal Article"&gt;17&lt;/ref-type&gt;&lt;contributors&gt;&lt;authors&gt;&lt;author&gt;Farber, Walter&lt;/author&gt;&lt;/authors&gt;&lt;/contributors&gt;&lt;titles&gt;&lt;title&gt;(W)ardat-lilî(m)&lt;/title&gt;&lt;secondary-title&gt;ZA&lt;/secondary-title&gt;&lt;/titles&gt;&lt;periodical&gt;&lt;full-title&gt;ZA&lt;/full-title&gt;&lt;/periodical&gt;&lt;pages&gt;14-35&lt;/pages&gt;&lt;volume&gt;79&lt;/volume&gt;&lt;number&gt;1&lt;/number&gt;&lt;dates&gt;&lt;year&gt;1989&lt;/year&gt;&lt;/dates&gt;&lt;urls&gt;&lt;/urls&gt;&lt;/record&gt;&lt;/Cite&gt;&lt;/EndNote&gt;</w:instrText>
      </w:r>
      <w:r w:rsidRPr="004B6669">
        <w:rPr>
          <w:sz w:val="20"/>
        </w:rPr>
        <w:fldChar w:fldCharType="separate"/>
      </w:r>
      <w:r>
        <w:rPr>
          <w:noProof/>
          <w:sz w:val="20"/>
        </w:rPr>
        <w:t xml:space="preserve">Farber, </w:t>
      </w:r>
      <w:r w:rsidRPr="00D56272">
        <w:rPr>
          <w:i/>
          <w:noProof/>
          <w:sz w:val="20"/>
        </w:rPr>
        <w:t>ZA</w:t>
      </w:r>
      <w:r>
        <w:rPr>
          <w:noProof/>
          <w:sz w:val="20"/>
        </w:rPr>
        <w:t xml:space="preserve"> 79/1 (1989) 33 n. 45</w:t>
      </w:r>
      <w:r w:rsidRPr="004B6669">
        <w:rPr>
          <w:sz w:val="20"/>
        </w:rPr>
        <w:fldChar w:fldCharType="end"/>
      </w:r>
      <w:r w:rsidRPr="004B6669">
        <w:rPr>
          <w:sz w:val="20"/>
        </w:rPr>
        <w:t>.</w:t>
      </w:r>
    </w:p>
  </w:footnote>
  <w:footnote w:id="28">
    <w:p w14:paraId="47337DE1" w14:textId="2DC420CB" w:rsidR="00D56272" w:rsidRPr="004B6669" w:rsidRDefault="00D56272" w:rsidP="00D56272">
      <w:pPr>
        <w:pStyle w:val="FootnoteText"/>
        <w:rPr>
          <w:sz w:val="20"/>
        </w:rPr>
      </w:pPr>
      <w:r w:rsidRPr="004B6669">
        <w:rPr>
          <w:rStyle w:val="FootnoteReference"/>
          <w:sz w:val="20"/>
        </w:rPr>
        <w:footnoteRef/>
      </w:r>
      <w:r w:rsidRPr="004B6669">
        <w:rPr>
          <w:sz w:val="20"/>
        </w:rPr>
        <w:t xml:space="preserve"> KAR 44: 34: </w:t>
      </w:r>
      <w:proofErr w:type="spellStart"/>
      <w:proofErr w:type="gramStart"/>
      <w:r w:rsidRPr="004B6669">
        <w:rPr>
          <w:sz w:val="20"/>
        </w:rPr>
        <w:t>a.lá</w:t>
      </w:r>
      <w:proofErr w:type="spellEnd"/>
      <w:proofErr w:type="gramEnd"/>
      <w:r w:rsidRPr="004B6669">
        <w:rPr>
          <w:sz w:val="20"/>
        </w:rPr>
        <w:t xml:space="preserve"> </w:t>
      </w:r>
      <w:proofErr w:type="spellStart"/>
      <w:r w:rsidRPr="004B6669">
        <w:rPr>
          <w:sz w:val="20"/>
        </w:rPr>
        <w:t>hul</w:t>
      </w:r>
      <w:proofErr w:type="spellEnd"/>
      <w:r w:rsidRPr="004B6669">
        <w:rPr>
          <w:sz w:val="20"/>
        </w:rPr>
        <w:t xml:space="preserve"> líl.lá.en.na sag.hul.ha.za </w:t>
      </w:r>
      <w:proofErr w:type="spellStart"/>
      <w:r w:rsidRPr="004B6669">
        <w:rPr>
          <w:sz w:val="20"/>
        </w:rPr>
        <w:t>šu</w:t>
      </w:r>
      <w:proofErr w:type="spellEnd"/>
      <w:r w:rsidRPr="004B6669">
        <w:rPr>
          <w:sz w:val="20"/>
        </w:rPr>
        <w:t xml:space="preserve"> nam.érim.ma </w:t>
      </w:r>
      <w:proofErr w:type="spellStart"/>
      <w:r w:rsidRPr="004B6669">
        <w:rPr>
          <w:sz w:val="20"/>
        </w:rPr>
        <w:t>šu</w:t>
      </w:r>
      <w:proofErr w:type="spellEnd"/>
      <w:r w:rsidRPr="004B6669">
        <w:rPr>
          <w:sz w:val="20"/>
        </w:rPr>
        <w:t xml:space="preserve"> nam.lú.u</w:t>
      </w:r>
      <w:r w:rsidRPr="004B6669">
        <w:rPr>
          <w:sz w:val="20"/>
          <w:vertAlign w:val="subscript"/>
        </w:rPr>
        <w:t>18</w:t>
      </w:r>
      <w:r w:rsidRPr="004B6669">
        <w:rPr>
          <w:sz w:val="20"/>
        </w:rPr>
        <w:t xml:space="preserve">.lu (Geller p. 291; </w:t>
      </w:r>
      <w:proofErr w:type="spellStart"/>
      <w:r w:rsidRPr="004B6669">
        <w:rPr>
          <w:sz w:val="20"/>
        </w:rPr>
        <w:t>hul</w:t>
      </w:r>
      <w:proofErr w:type="spellEnd"/>
      <w:r w:rsidRPr="004B6669">
        <w:rPr>
          <w:sz w:val="20"/>
        </w:rPr>
        <w:t xml:space="preserve"> omitted on the two duplicate manuscripts).  The asymmetry between this and the earlier line is noted by </w:t>
      </w:r>
      <w:r w:rsidRPr="004B6669">
        <w:rPr>
          <w:sz w:val="20"/>
        </w:rPr>
        <w:fldChar w:fldCharType="begin"/>
      </w:r>
      <w:r>
        <w:rPr>
          <w:sz w:val="20"/>
        </w:rPr>
        <w:instrText xml:space="preserve"> ADDIN EN.CITE &lt;EndNote&gt;&lt;Cite&gt;&lt;Author&gt;Stol&lt;/Author&gt;&lt;Year&gt;1993&lt;/Year&gt;&lt;RecNum&gt;1294&lt;/RecNum&gt;&lt;Pages&gt;48&lt;/Pages&gt;&lt;DisplayText&gt;Stol, &lt;style face="italic"&gt;Epilepsy&lt;/style&gt; (1993) 48&lt;/DisplayText&gt;&lt;record&gt;&lt;rec-number&gt;1294&lt;/rec-number&gt;&lt;foreign-keys&gt;&lt;key app="EN" db-id="225fxd904pw0zueapxd5pdxewdrsefare5tz" timestamp="1466695121"&gt;1294&lt;/key&gt;&lt;/foreign-keys&gt;&lt;ref-type name="Book"&gt;6&lt;/ref-type&gt;&lt;contributors&gt;&lt;authors&gt;&lt;author&gt;Stol, Marten&lt;/author&gt;&lt;/authors&gt;&lt;/contributors&gt;&lt;titles&gt;&lt;title&gt;Epilepsy in Babylonia&lt;/title&gt;&lt;secondary-title&gt;CM&lt;/secondary-title&gt;&lt;short-title&gt;Epilepsy&lt;/short-title&gt;&lt;/titles&gt;&lt;pages&gt;155p&lt;/pages&gt;&lt;volume&gt;2&lt;/volume&gt;&lt;number&gt;2&lt;/number&gt;&lt;keywords&gt;&lt;keyword&gt;Epilepsy -- Iraq -- History.&lt;/keyword&gt;&lt;keyword&gt;Medicine, Assyro-Babylonian.&lt;/keyword&gt;&lt;keyword&gt;Cuneiform tablets -- Iraq.&lt;/keyword&gt;&lt;keyword&gt;Epilepsy -- History.&lt;/keyword&gt;&lt;keyword&gt;Assyro-Babylonian literature.&lt;/keyword&gt;&lt;keyword&gt;Bible O.T. -- History of contemporary events&lt;/keyword&gt;&lt;/keywords&gt;&lt;dates&gt;&lt;year&gt;1993&lt;/year&gt;&lt;/dates&gt;&lt;pub-location&gt;Groningen&lt;/pub-location&gt;&lt;publisher&gt;Styx Publications&lt;/publisher&gt;&lt;isbn&gt;9072371631&lt;/isbn&gt;&lt;urls&gt;&lt;related-urls&gt;&lt;url&gt;http://search.lib.cam.ac.uk/?itemid=|cambrdgedb|1784216&lt;/url&gt;&lt;/related-urls&gt;&lt;/urls&gt;&lt;/record&gt;&lt;/Cite&gt;&lt;/EndNote&gt;</w:instrText>
      </w:r>
      <w:r w:rsidRPr="004B6669">
        <w:rPr>
          <w:sz w:val="20"/>
        </w:rPr>
        <w:fldChar w:fldCharType="separate"/>
      </w:r>
      <w:r>
        <w:rPr>
          <w:noProof/>
          <w:sz w:val="20"/>
        </w:rPr>
        <w:t xml:space="preserve">Stol, </w:t>
      </w:r>
      <w:r w:rsidRPr="00D56272">
        <w:rPr>
          <w:i/>
          <w:noProof/>
          <w:sz w:val="20"/>
        </w:rPr>
        <w:t>Epilepsy</w:t>
      </w:r>
      <w:r>
        <w:rPr>
          <w:noProof/>
          <w:sz w:val="20"/>
        </w:rPr>
        <w:t xml:space="preserve"> (1993) 48</w:t>
      </w:r>
      <w:r w:rsidRPr="004B6669">
        <w:rPr>
          <w:sz w:val="20"/>
        </w:rPr>
        <w:fldChar w:fldCharType="end"/>
      </w:r>
      <w:r w:rsidRPr="004B6669">
        <w:rPr>
          <w:sz w:val="20"/>
        </w:rPr>
        <w:t>.</w:t>
      </w:r>
    </w:p>
  </w:footnote>
  <w:footnote w:id="29">
    <w:p w14:paraId="1D70F7F5" w14:textId="2A03A4B9" w:rsidR="00D56272" w:rsidRPr="004B6669" w:rsidRDefault="00D56272" w:rsidP="00D56272">
      <w:pPr>
        <w:pStyle w:val="FootnoteText"/>
        <w:rPr>
          <w:sz w:val="20"/>
        </w:rPr>
      </w:pPr>
      <w:r w:rsidRPr="004B6669">
        <w:rPr>
          <w:rStyle w:val="FootnoteReference"/>
          <w:sz w:val="20"/>
        </w:rPr>
        <w:footnoteRef/>
      </w:r>
      <w:r w:rsidRPr="004B6669">
        <w:rPr>
          <w:sz w:val="20"/>
        </w:rPr>
        <w:t xml:space="preserve"> See </w:t>
      </w:r>
      <w:r w:rsidRPr="004B6669">
        <w:rPr>
          <w:sz w:val="20"/>
        </w:rPr>
        <w:fldChar w:fldCharType="begin"/>
      </w:r>
      <w:r>
        <w:rPr>
          <w:sz w:val="20"/>
        </w:rPr>
        <w:instrText xml:space="preserve"> ADDIN EN.CITE &lt;EndNote&gt;&lt;Cite&gt;&lt;Author&gt;Stol&lt;/Author&gt;&lt;Year&gt;1993&lt;/Year&gt;&lt;RecNum&gt;1294&lt;/RecNum&gt;&lt;Pages&gt;48&lt;/Pages&gt;&lt;DisplayText&gt;Stol, &lt;style face="italic"&gt;Epilepsy&lt;/style&gt; (1993) 48&lt;/DisplayText&gt;&lt;record&gt;&lt;rec-number&gt;1294&lt;/rec-number&gt;&lt;foreign-keys&gt;&lt;key app="EN" db-id="225fxd904pw0zueapxd5pdxewdrsefare5tz" timestamp="1466695121"&gt;1294&lt;/key&gt;&lt;/foreign-keys&gt;&lt;ref-type name="Book"&gt;6&lt;/ref-type&gt;&lt;contributors&gt;&lt;authors&gt;&lt;author&gt;Stol, Marten&lt;/author&gt;&lt;/authors&gt;&lt;/contributors&gt;&lt;titles&gt;&lt;title&gt;Epilepsy in Babylonia&lt;/title&gt;&lt;secondary-title&gt;CM&lt;/secondary-title&gt;&lt;short-title&gt;Epilepsy&lt;/short-title&gt;&lt;/titles&gt;&lt;pages&gt;155p&lt;/pages&gt;&lt;volume&gt;2&lt;/volume&gt;&lt;number&gt;2&lt;/number&gt;&lt;keywords&gt;&lt;keyword&gt;Epilepsy -- Iraq -- History.&lt;/keyword&gt;&lt;keyword&gt;Medicine, Assyro-Babylonian.&lt;/keyword&gt;&lt;keyword&gt;Cuneiform tablets -- Iraq.&lt;/keyword&gt;&lt;keyword&gt;Epilepsy -- History.&lt;/keyword&gt;&lt;keyword&gt;Assyro-Babylonian literature.&lt;/keyword&gt;&lt;keyword&gt;Bible O.T. -- History of contemporary events&lt;/keyword&gt;&lt;/keywords&gt;&lt;dates&gt;&lt;year&gt;1993&lt;/year&gt;&lt;/dates&gt;&lt;pub-location&gt;Groningen&lt;/pub-location&gt;&lt;publisher&gt;Styx Publications&lt;/publisher&gt;&lt;isbn&gt;9072371631&lt;/isbn&gt;&lt;urls&gt;&lt;related-urls&gt;&lt;url&gt;http://search.lib.cam.ac.uk/?itemid=|cambrdgedb|1784216&lt;/url&gt;&lt;/related-urls&gt;&lt;/urls&gt;&lt;/record&gt;&lt;/Cite&gt;&lt;/EndNote&gt;</w:instrText>
      </w:r>
      <w:r w:rsidRPr="004B6669">
        <w:rPr>
          <w:sz w:val="20"/>
        </w:rPr>
        <w:fldChar w:fldCharType="separate"/>
      </w:r>
      <w:r>
        <w:rPr>
          <w:noProof/>
          <w:sz w:val="20"/>
        </w:rPr>
        <w:t xml:space="preserve">Stol, </w:t>
      </w:r>
      <w:r w:rsidRPr="00D56272">
        <w:rPr>
          <w:i/>
          <w:noProof/>
          <w:sz w:val="20"/>
        </w:rPr>
        <w:t>Epilepsy</w:t>
      </w:r>
      <w:r>
        <w:rPr>
          <w:noProof/>
          <w:sz w:val="20"/>
        </w:rPr>
        <w:t xml:space="preserve"> (1993) 48</w:t>
      </w:r>
      <w:r w:rsidRPr="004B6669">
        <w:rPr>
          <w:sz w:val="20"/>
        </w:rPr>
        <w:fldChar w:fldCharType="end"/>
      </w:r>
      <w:r w:rsidRPr="004B6669">
        <w:rPr>
          <w:sz w:val="20"/>
        </w:rPr>
        <w:t xml:space="preserve"> on this point as a “flaw in the picture” of </w:t>
      </w:r>
      <w:proofErr w:type="spellStart"/>
      <w:r w:rsidRPr="004B6669">
        <w:rPr>
          <w:sz w:val="20"/>
        </w:rPr>
        <w:t>líl</w:t>
      </w:r>
      <w:proofErr w:type="spellEnd"/>
      <w:r w:rsidRPr="004B6669">
        <w:rPr>
          <w:sz w:val="20"/>
        </w:rPr>
        <w:t xml:space="preserve">-demons’ gendered </w:t>
      </w:r>
      <w:proofErr w:type="spellStart"/>
      <w:r w:rsidRPr="004B6669">
        <w:rPr>
          <w:sz w:val="20"/>
        </w:rPr>
        <w:t>behaviour</w:t>
      </w:r>
      <w:proofErr w:type="spellEnd"/>
      <w:r w:rsidRPr="004B6669">
        <w:rPr>
          <w:sz w:val="20"/>
        </w:rPr>
        <w:t>.</w:t>
      </w:r>
    </w:p>
  </w:footnote>
  <w:footnote w:id="30">
    <w:p w14:paraId="11E535F8" w14:textId="0CFAF00F" w:rsidR="00D56272" w:rsidRPr="004B6669" w:rsidRDefault="00D56272" w:rsidP="00D56272">
      <w:pPr>
        <w:pStyle w:val="FootnoteText"/>
        <w:rPr>
          <w:sz w:val="20"/>
        </w:rPr>
      </w:pPr>
      <w:r w:rsidRPr="004B6669">
        <w:rPr>
          <w:rStyle w:val="FootnoteReference"/>
          <w:sz w:val="20"/>
        </w:rPr>
        <w:footnoteRef/>
      </w:r>
      <w:r w:rsidR="003C7E97">
        <w:rPr>
          <w:sz w:val="20"/>
        </w:rPr>
        <w:t xml:space="preserve"> </w:t>
      </w:r>
      <w:r w:rsidR="003C7E97" w:rsidRPr="004B6669">
        <w:rPr>
          <w:sz w:val="20"/>
        </w:rPr>
        <w:t xml:space="preserve">For this meaning see refs in </w:t>
      </w:r>
      <w:r w:rsidR="003C7E97" w:rsidRPr="004B6669">
        <w:rPr>
          <w:sz w:val="20"/>
        </w:rPr>
        <w:fldChar w:fldCharType="begin"/>
      </w:r>
      <w:r w:rsidR="003C7E97">
        <w:rPr>
          <w:sz w:val="20"/>
        </w:rPr>
        <w:instrText xml:space="preserve"> ADDIN EN.CITE &lt;EndNote&gt;&lt;Cite&gt;&lt;Author&gt;Stol&lt;/Author&gt;&lt;Year&gt;1993&lt;/Year&gt;&lt;RecNum&gt;1294&lt;/RecNum&gt;&lt;Pages&gt;47&lt;/Pages&gt;&lt;DisplayText&gt;Stol, &lt;style face="italic"&gt;Epilepsy&lt;/style&gt; (1993) 47&lt;/DisplayText&gt;&lt;record&gt;&lt;rec-number&gt;1294&lt;/rec-number&gt;&lt;foreign-keys&gt;&lt;key app="EN" db-id="225fxd904pw0zueapxd5pdxewdrsefare5tz" timestamp="1466695121"&gt;1294&lt;/key&gt;&lt;/foreign-keys&gt;&lt;ref-type name="Book"&gt;6&lt;/ref-type&gt;&lt;contributors&gt;&lt;authors&gt;&lt;author&gt;Stol, Marten&lt;/author&gt;&lt;/authors&gt;&lt;/contributors&gt;&lt;titles&gt;&lt;title&gt;Epilepsy in Babylonia&lt;/title&gt;&lt;secondary-title&gt;CM&lt;/secondary-title&gt;&lt;short-title&gt;Epilepsy&lt;/short-title&gt;&lt;/titles&gt;&lt;pages&gt;155p&lt;/pages&gt;&lt;volume&gt;2&lt;/volume&gt;&lt;number&gt;2&lt;/number&gt;&lt;keywords&gt;&lt;keyword&gt;Epilepsy -- Iraq -- History.&lt;/keyword&gt;&lt;keyword&gt;Medicine, Assyro-Babylonian.&lt;/keyword&gt;&lt;keyword&gt;Cuneiform tablets -- Iraq.&lt;/keyword&gt;&lt;keyword&gt;Epilepsy -- History.&lt;/keyword&gt;&lt;keyword&gt;Assyro-Babylonian literature.&lt;/keyword&gt;&lt;keyword&gt;Bible O.T. -- History of contemporary events&lt;/keyword&gt;&lt;/keywords&gt;&lt;dates&gt;&lt;year&gt;1993&lt;/year&gt;&lt;/dates&gt;&lt;pub-location&gt;Groningen&lt;/pub-location&gt;&lt;publisher&gt;Styx Publications&lt;/publisher&gt;&lt;isbn&gt;9072371631&lt;/isbn&gt;&lt;urls&gt;&lt;related-urls&gt;&lt;url&gt;http://search.lib.cam.ac.uk/?itemid=|cambrdgedb|1784216&lt;/url&gt;&lt;/related-urls&gt;&lt;/urls&gt;&lt;/record&gt;&lt;/Cite&gt;&lt;/EndNote&gt;</w:instrText>
      </w:r>
      <w:r w:rsidR="003C7E97" w:rsidRPr="004B6669">
        <w:rPr>
          <w:sz w:val="20"/>
        </w:rPr>
        <w:fldChar w:fldCharType="separate"/>
      </w:r>
      <w:r w:rsidR="003C7E97">
        <w:rPr>
          <w:noProof/>
          <w:sz w:val="20"/>
        </w:rPr>
        <w:t xml:space="preserve">Stol, </w:t>
      </w:r>
      <w:r w:rsidR="003C7E97" w:rsidRPr="003C7E97">
        <w:rPr>
          <w:i/>
          <w:noProof/>
          <w:sz w:val="20"/>
        </w:rPr>
        <w:t>Epilepsy</w:t>
      </w:r>
      <w:r w:rsidR="003C7E97">
        <w:rPr>
          <w:noProof/>
          <w:sz w:val="20"/>
        </w:rPr>
        <w:t xml:space="preserve"> (1993) 47</w:t>
      </w:r>
      <w:r w:rsidR="003C7E97" w:rsidRPr="004B6669">
        <w:rPr>
          <w:sz w:val="20"/>
        </w:rPr>
        <w:fldChar w:fldCharType="end"/>
      </w:r>
      <w:r w:rsidR="003C7E97" w:rsidRPr="004B6669">
        <w:rPr>
          <w:sz w:val="20"/>
        </w:rPr>
        <w:t xml:space="preserve">.  CAD H </w:t>
      </w:r>
      <w:r w:rsidR="003C7E97">
        <w:rPr>
          <w:sz w:val="20"/>
        </w:rPr>
        <w:t xml:space="preserve">(1956) </w:t>
      </w:r>
      <w:r w:rsidR="003C7E97" w:rsidRPr="004B6669">
        <w:rPr>
          <w:sz w:val="20"/>
        </w:rPr>
        <w:t>list two verbs ‘</w:t>
      </w:r>
      <w:proofErr w:type="spellStart"/>
      <w:r w:rsidR="003C7E97" w:rsidRPr="004B6669">
        <w:rPr>
          <w:i/>
          <w:sz w:val="20"/>
        </w:rPr>
        <w:t>hâru</w:t>
      </w:r>
      <w:proofErr w:type="spellEnd"/>
      <w:r w:rsidR="003C7E97" w:rsidRPr="004B6669">
        <w:rPr>
          <w:sz w:val="20"/>
        </w:rPr>
        <w:t xml:space="preserve">’, one meaning ‘to get ready (transitive)’ (attested only in “SB, NB”) and one meaning ‘to pick for marriage’. Since the meanings and uses are quite close, it is simpler to treat them as one verb, as done in </w:t>
      </w:r>
      <w:proofErr w:type="spellStart"/>
      <w:r w:rsidR="003C7E97" w:rsidRPr="004B6669">
        <w:rPr>
          <w:sz w:val="20"/>
        </w:rPr>
        <w:t>AHw</w:t>
      </w:r>
      <w:proofErr w:type="spellEnd"/>
      <w:r w:rsidR="003C7E97" w:rsidRPr="004B6669">
        <w:rPr>
          <w:sz w:val="20"/>
        </w:rPr>
        <w:t xml:space="preserve"> </w:t>
      </w:r>
      <w:r w:rsidR="003C7E97">
        <w:rPr>
          <w:sz w:val="20"/>
        </w:rPr>
        <w:t xml:space="preserve">(1962) </w:t>
      </w:r>
      <w:r w:rsidR="003C7E97" w:rsidRPr="004B6669">
        <w:rPr>
          <w:sz w:val="20"/>
        </w:rPr>
        <w:t>342-342.</w:t>
      </w:r>
    </w:p>
  </w:footnote>
  <w:footnote w:id="31">
    <w:p w14:paraId="215414E8" w14:textId="4BCE640F" w:rsidR="00D56272" w:rsidRPr="004B6669" w:rsidRDefault="00D56272" w:rsidP="00D56272">
      <w:pPr>
        <w:pStyle w:val="FootnoteText"/>
        <w:rPr>
          <w:sz w:val="20"/>
        </w:rPr>
      </w:pPr>
      <w:r w:rsidRPr="004B6669">
        <w:rPr>
          <w:rStyle w:val="FootnoteReference"/>
          <w:sz w:val="20"/>
        </w:rPr>
        <w:footnoteRef/>
      </w:r>
      <w:r w:rsidRPr="004B6669">
        <w:rPr>
          <w:sz w:val="20"/>
        </w:rPr>
        <w:t xml:space="preserve"> As pointed out by </w:t>
      </w:r>
      <w:r w:rsidRPr="004B6669">
        <w:rPr>
          <w:sz w:val="20"/>
        </w:rPr>
        <w:fldChar w:fldCharType="begin"/>
      </w:r>
      <w:r>
        <w:rPr>
          <w:sz w:val="20"/>
        </w:rPr>
        <w:instrText xml:space="preserve"> ADDIN EN.CITE &lt;EndNote&gt;&lt;Cite&gt;&lt;Author&gt;Stol&lt;/Author&gt;&lt;Year&gt;1993&lt;/Year&gt;&lt;RecNum&gt;1294&lt;/RecNum&gt;&lt;Pages&gt;47&lt;/Pages&gt;&lt;DisplayText&gt;Stol, &lt;style face="italic"&gt;Epilepsy&lt;/style&gt; (1993) 47&lt;/DisplayText&gt;&lt;record&gt;&lt;rec-number&gt;1294&lt;/rec-number&gt;&lt;foreign-keys&gt;&lt;key app="EN" db-id="225fxd904pw0zueapxd5pdxewdrsefare5tz" timestamp="1466695121"&gt;1294&lt;/key&gt;&lt;/foreign-keys&gt;&lt;ref-type name="Book"&gt;6&lt;/ref-type&gt;&lt;contributors&gt;&lt;authors&gt;&lt;author&gt;Stol, Marten&lt;/author&gt;&lt;/authors&gt;&lt;/contributors&gt;&lt;titles&gt;&lt;title&gt;Epilepsy in Babylonia&lt;/title&gt;&lt;secondary-title&gt;CM&lt;/secondary-title&gt;&lt;short-title&gt;Epilepsy&lt;/short-title&gt;&lt;/titles&gt;&lt;pages&gt;155p&lt;/pages&gt;&lt;volume&gt;2&lt;/volume&gt;&lt;number&gt;2&lt;/number&gt;&lt;keywords&gt;&lt;keyword&gt;Epilepsy -- Iraq -- History.&lt;/keyword&gt;&lt;keyword&gt;Medicine, Assyro-Babylonian.&lt;/keyword&gt;&lt;keyword&gt;Cuneiform tablets -- Iraq.&lt;/keyword&gt;&lt;keyword&gt;Epilepsy -- History.&lt;/keyword&gt;&lt;keyword&gt;Assyro-Babylonian literature.&lt;/keyword&gt;&lt;keyword&gt;Bible O.T. -- History of contemporary events&lt;/keyword&gt;&lt;/keywords&gt;&lt;dates&gt;&lt;year&gt;1993&lt;/year&gt;&lt;/dates&gt;&lt;pub-location&gt;Groningen&lt;/pub-location&gt;&lt;publisher&gt;Styx Publications&lt;/publisher&gt;&lt;isbn&gt;9072371631&lt;/isbn&gt;&lt;urls&gt;&lt;related-urls&gt;&lt;url&gt;http://search.lib.cam.ac.uk/?itemid=|cambrdgedb|1784216&lt;/url&gt;&lt;/related-urls&gt;&lt;/urls&gt;&lt;/record&gt;&lt;/Cite&gt;&lt;/EndNote&gt;</w:instrText>
      </w:r>
      <w:r w:rsidRPr="004B6669">
        <w:rPr>
          <w:sz w:val="20"/>
        </w:rPr>
        <w:fldChar w:fldCharType="separate"/>
      </w:r>
      <w:r>
        <w:rPr>
          <w:noProof/>
          <w:sz w:val="20"/>
        </w:rPr>
        <w:t xml:space="preserve">Stol, </w:t>
      </w:r>
      <w:r w:rsidRPr="00D56272">
        <w:rPr>
          <w:i/>
          <w:noProof/>
          <w:sz w:val="20"/>
        </w:rPr>
        <w:t>Epilepsy</w:t>
      </w:r>
      <w:r>
        <w:rPr>
          <w:noProof/>
          <w:sz w:val="20"/>
        </w:rPr>
        <w:t xml:space="preserve"> (1993) 47</w:t>
      </w:r>
      <w:r w:rsidRPr="004B6669">
        <w:rPr>
          <w:sz w:val="20"/>
        </w:rPr>
        <w:fldChar w:fldCharType="end"/>
      </w:r>
      <w:r w:rsidRPr="004B6669">
        <w:rPr>
          <w:sz w:val="20"/>
        </w:rPr>
        <w:t xml:space="preserve">, the higher incidence of female </w:t>
      </w:r>
      <w:proofErr w:type="spellStart"/>
      <w:r w:rsidRPr="004B6669">
        <w:rPr>
          <w:sz w:val="20"/>
        </w:rPr>
        <w:t>líl</w:t>
      </w:r>
      <w:proofErr w:type="spellEnd"/>
      <w:r w:rsidRPr="004B6669">
        <w:rPr>
          <w:sz w:val="20"/>
        </w:rPr>
        <w:t>-demons (</w:t>
      </w:r>
      <w:proofErr w:type="spellStart"/>
      <w:r w:rsidRPr="004B6669">
        <w:rPr>
          <w:i/>
          <w:sz w:val="20"/>
        </w:rPr>
        <w:t>lilītu</w:t>
      </w:r>
      <w:r w:rsidRPr="004B6669">
        <w:rPr>
          <w:sz w:val="20"/>
        </w:rPr>
        <w:t>s</w:t>
      </w:r>
      <w:proofErr w:type="spellEnd"/>
      <w:r w:rsidRPr="004B6669">
        <w:rPr>
          <w:sz w:val="20"/>
        </w:rPr>
        <w:t xml:space="preserve"> and </w:t>
      </w:r>
      <w:proofErr w:type="spellStart"/>
      <w:r w:rsidRPr="004B6669">
        <w:rPr>
          <w:i/>
          <w:sz w:val="20"/>
        </w:rPr>
        <w:t>ardat</w:t>
      </w:r>
      <w:proofErr w:type="spellEnd"/>
      <w:r w:rsidRPr="004B6669">
        <w:rPr>
          <w:i/>
          <w:sz w:val="20"/>
        </w:rPr>
        <w:t xml:space="preserve"> </w:t>
      </w:r>
      <w:proofErr w:type="spellStart"/>
      <w:r w:rsidRPr="004B6669">
        <w:rPr>
          <w:i/>
          <w:sz w:val="20"/>
        </w:rPr>
        <w:t>lilî</w:t>
      </w:r>
      <w:r w:rsidRPr="004B6669">
        <w:rPr>
          <w:sz w:val="20"/>
        </w:rPr>
        <w:t>s</w:t>
      </w:r>
      <w:proofErr w:type="spellEnd"/>
      <w:r w:rsidRPr="004B6669">
        <w:rPr>
          <w:sz w:val="20"/>
        </w:rPr>
        <w:t>) is probably because of male-centricity in the extant sources as regards the victim.</w:t>
      </w:r>
    </w:p>
  </w:footnote>
  <w:footnote w:id="32">
    <w:p w14:paraId="31B2C965" w14:textId="4332D544" w:rsidR="00D56272" w:rsidRPr="004B6669" w:rsidRDefault="00D56272" w:rsidP="00D56272">
      <w:pPr>
        <w:pStyle w:val="FootnoteText"/>
        <w:rPr>
          <w:sz w:val="20"/>
        </w:rPr>
      </w:pPr>
      <w:r w:rsidRPr="004B6669">
        <w:rPr>
          <w:rStyle w:val="FootnoteReference"/>
          <w:sz w:val="20"/>
        </w:rPr>
        <w:footnoteRef/>
      </w:r>
      <w:r w:rsidRPr="004B6669">
        <w:rPr>
          <w:sz w:val="20"/>
        </w:rPr>
        <w:t xml:space="preserve"> Cf. </w:t>
      </w:r>
      <w:r w:rsidRPr="004B6669">
        <w:rPr>
          <w:sz w:val="20"/>
        </w:rPr>
        <w:fldChar w:fldCharType="begin"/>
      </w:r>
      <w:r>
        <w:rPr>
          <w:sz w:val="20"/>
        </w:rPr>
        <w:instrText xml:space="preserve"> ADDIN EN.CITE &lt;EndNote&gt;&lt;Cite&gt;&lt;Author&gt;Scurlock&lt;/Author&gt;&lt;Year&gt;1991&lt;/Year&gt;&lt;RecNum&gt;2228&lt;/RecNum&gt;&lt;Pages&gt;181&lt;/Pages&gt;&lt;DisplayText&gt;Scurlock, &lt;style face="italic"&gt;Incognita&lt;/style&gt; 2 (1991) 181&lt;/DisplayText&gt;&lt;record&gt;&lt;rec-number&gt;2228&lt;/rec-number&gt;&lt;foreign-keys&gt;&lt;key app="EN" db-id="225fxd904pw0zueapxd5pdxewdrsefare5tz" timestamp="1467609765"&gt;2228&lt;/key&gt;&lt;/foreign-keys&gt;&lt;ref-type name="Journal Article"&gt;17&lt;/ref-type&gt;&lt;contributors&gt;&lt;authors&gt;&lt;author&gt;Scurlock, J. A.&lt;/author&gt;&lt;/authors&gt;&lt;/contributors&gt;&lt;titles&gt;&lt;title&gt;Baby-snatching demons, restless souls and the dangers of childbirth&lt;/title&gt;&lt;secondary-title&gt;Incognita&lt;/secondary-title&gt;&lt;/titles&gt;&lt;periodical&gt;&lt;full-title&gt;Incognita&lt;/full-title&gt;&lt;/periodical&gt;&lt;pages&gt;135-183&lt;/pages&gt;&lt;volume&gt;2&lt;/volume&gt;&lt;dates&gt;&lt;year&gt;1991&lt;/year&gt;&lt;/dates&gt;&lt;urls&gt;&lt;/urls&gt;&lt;/record&gt;&lt;/Cite&gt;&lt;/EndNote&gt;</w:instrText>
      </w:r>
      <w:r w:rsidRPr="004B6669">
        <w:rPr>
          <w:sz w:val="20"/>
        </w:rPr>
        <w:fldChar w:fldCharType="separate"/>
      </w:r>
      <w:r>
        <w:rPr>
          <w:noProof/>
          <w:sz w:val="20"/>
        </w:rPr>
        <w:t xml:space="preserve">Scurlock, </w:t>
      </w:r>
      <w:r w:rsidRPr="00D56272">
        <w:rPr>
          <w:i/>
          <w:noProof/>
          <w:sz w:val="20"/>
        </w:rPr>
        <w:t>Incognita</w:t>
      </w:r>
      <w:r>
        <w:rPr>
          <w:noProof/>
          <w:sz w:val="20"/>
        </w:rPr>
        <w:t xml:space="preserve"> 2 (1991) 181</w:t>
      </w:r>
      <w:r w:rsidRPr="004B6669">
        <w:rPr>
          <w:sz w:val="20"/>
        </w:rPr>
        <w:fldChar w:fldCharType="end"/>
      </w:r>
      <w:r w:rsidRPr="004B6669">
        <w:rPr>
          <w:sz w:val="20"/>
        </w:rPr>
        <w:t xml:space="preserve"> n. 192: “the term </w:t>
      </w:r>
      <w:proofErr w:type="spellStart"/>
      <w:r w:rsidRPr="004B6669">
        <w:rPr>
          <w:sz w:val="20"/>
        </w:rPr>
        <w:t>ardat</w:t>
      </w:r>
      <w:proofErr w:type="spellEnd"/>
      <w:r w:rsidRPr="004B6669">
        <w:rPr>
          <w:sz w:val="20"/>
        </w:rPr>
        <w:t xml:space="preserve"> </w:t>
      </w:r>
      <w:proofErr w:type="spellStart"/>
      <w:r w:rsidRPr="004B6669">
        <w:rPr>
          <w:sz w:val="20"/>
        </w:rPr>
        <w:t>lilî</w:t>
      </w:r>
      <w:proofErr w:type="spellEnd"/>
      <w:r w:rsidRPr="004B6669">
        <w:rPr>
          <w:sz w:val="20"/>
        </w:rPr>
        <w:t xml:space="preserve"> means literally ‘</w:t>
      </w:r>
      <w:proofErr w:type="spellStart"/>
      <w:r w:rsidRPr="004B6669">
        <w:rPr>
          <w:sz w:val="20"/>
        </w:rPr>
        <w:t>lilû’s</w:t>
      </w:r>
      <w:proofErr w:type="spellEnd"/>
      <w:r w:rsidRPr="004B6669">
        <w:rPr>
          <w:sz w:val="20"/>
        </w:rPr>
        <w:t xml:space="preserve"> girls’, which might imply that these were originally young girls chosen as wives by those demons”.</w:t>
      </w:r>
    </w:p>
  </w:footnote>
  <w:footnote w:id="33">
    <w:p w14:paraId="32E4FB9D" w14:textId="0EECED9A" w:rsidR="00D56272" w:rsidRPr="004B6669" w:rsidRDefault="00D56272" w:rsidP="00D56272">
      <w:pPr>
        <w:pStyle w:val="FootnoteText"/>
        <w:rPr>
          <w:sz w:val="20"/>
        </w:rPr>
      </w:pPr>
      <w:r w:rsidRPr="004B6669">
        <w:rPr>
          <w:rStyle w:val="FootnoteReference"/>
          <w:sz w:val="20"/>
        </w:rPr>
        <w:footnoteRef/>
      </w:r>
      <w:r w:rsidRPr="004B6669">
        <w:rPr>
          <w:sz w:val="20"/>
        </w:rPr>
        <w:t xml:space="preserve"> In taking sag.ki as ‘face’ I follow </w:t>
      </w:r>
      <w:r w:rsidRPr="004B6669">
        <w:rPr>
          <w:sz w:val="20"/>
        </w:rPr>
        <w:fldChar w:fldCharType="begin"/>
      </w:r>
      <w:r>
        <w:rPr>
          <w:sz w:val="20"/>
        </w:rPr>
        <w:instrText xml:space="preserve"> ADDIN EN.CITE &lt;EndNote&gt;&lt;Cite&gt;&lt;Author&gt;Freedman&lt;/Author&gt;&lt;Year&gt;1998&lt;/Year&gt;&lt;RecNum&gt;3221&lt;/RecNum&gt;&lt;Pages&gt; p. 298&lt;/Pages&gt;&lt;DisplayText&gt;Freedman, &lt;style face="italic"&gt;If a City, vol. 1 &lt;/style&gt;(1998) p. 298&lt;/DisplayText&gt;&lt;record&gt;&lt;rec-number&gt;3221&lt;/rec-number&gt;&lt;foreign-keys&gt;&lt;key app="EN" db-id="225fxd904pw0zueapxd5pdxewdrsefare5tz" timestamp="1521323272"&gt;3221&lt;/key&gt;&lt;/foreign-keys&gt;&lt;ref-type name="Book"&gt;6&lt;/ref-type&gt;&lt;contributors&gt;&lt;authors&gt;&lt;author&gt;Freedman, Sally M.&lt;/author&gt;&lt;/authors&gt;&lt;/contributors&gt;&lt;titles&gt;&lt;title&gt;If a City is Set on a Height. The Akkadian Omen Series Šumma Ālu ina Mēlê Šakin. Volume 1&lt;/title&gt;&lt;secondary-title&gt;Occasional Publications of the Samuel Noah Kramer Fund &lt;/secondary-title&gt;&lt;short-title&gt;If a City, vol. 1&lt;/short-title&gt;&lt;/titles&gt;&lt;number&gt;17&lt;/number&gt;&lt;dates&gt;&lt;year&gt;1998&lt;/year&gt;&lt;/dates&gt;&lt;pub-location&gt;Philadelphia&lt;/pub-location&gt;&lt;urls&gt;&lt;/urls&gt;&lt;/record&gt;&lt;/Cite&gt;&lt;/EndNote&gt;</w:instrText>
      </w:r>
      <w:r w:rsidRPr="004B6669">
        <w:rPr>
          <w:sz w:val="20"/>
        </w:rPr>
        <w:fldChar w:fldCharType="separate"/>
      </w:r>
      <w:r>
        <w:rPr>
          <w:noProof/>
          <w:sz w:val="20"/>
        </w:rPr>
        <w:t xml:space="preserve">Freedman, </w:t>
      </w:r>
      <w:r w:rsidRPr="00D56272">
        <w:rPr>
          <w:i/>
          <w:noProof/>
          <w:sz w:val="20"/>
        </w:rPr>
        <w:t xml:space="preserve">If a City, vol. 1 </w:t>
      </w:r>
      <w:r>
        <w:rPr>
          <w:noProof/>
          <w:sz w:val="20"/>
        </w:rPr>
        <w:t>(1998) p. 298</w:t>
      </w:r>
      <w:r w:rsidRPr="004B6669">
        <w:rPr>
          <w:sz w:val="20"/>
        </w:rPr>
        <w:fldChar w:fldCharType="end"/>
      </w:r>
      <w:r w:rsidRPr="004B6669">
        <w:rPr>
          <w:sz w:val="20"/>
        </w:rPr>
        <w:t xml:space="preserve"> note to line 21, who cites an ancient commentary (CT 41 25 r.9): sag.ki = </w:t>
      </w:r>
      <w:proofErr w:type="spellStart"/>
      <w:r w:rsidRPr="004B6669">
        <w:rPr>
          <w:i/>
          <w:sz w:val="20"/>
        </w:rPr>
        <w:t>zīmū</w:t>
      </w:r>
      <w:proofErr w:type="spellEnd"/>
      <w:r w:rsidRPr="004B6669">
        <w:rPr>
          <w:i/>
          <w:sz w:val="20"/>
        </w:rPr>
        <w:t xml:space="preserve"> </w:t>
      </w:r>
      <w:r w:rsidRPr="004B6669">
        <w:rPr>
          <w:sz w:val="20"/>
        </w:rPr>
        <w:t>‘sag.ki means ‘face’’.</w:t>
      </w:r>
    </w:p>
  </w:footnote>
  <w:footnote w:id="34">
    <w:p w14:paraId="15957A4C" w14:textId="0851C161" w:rsidR="00D56272" w:rsidRPr="004B6669" w:rsidRDefault="00D56272" w:rsidP="00D56272">
      <w:pPr>
        <w:pStyle w:val="FootnoteText"/>
        <w:rPr>
          <w:sz w:val="20"/>
        </w:rPr>
      </w:pPr>
      <w:r w:rsidRPr="004B6669">
        <w:rPr>
          <w:rStyle w:val="FootnoteReference"/>
          <w:sz w:val="20"/>
        </w:rPr>
        <w:footnoteRef/>
      </w:r>
      <w:r w:rsidRPr="004B6669">
        <w:rPr>
          <w:sz w:val="20"/>
        </w:rPr>
        <w:t xml:space="preserve"> </w:t>
      </w:r>
      <w:r w:rsidRPr="004B6669">
        <w:rPr>
          <w:sz w:val="20"/>
        </w:rPr>
        <w:fldChar w:fldCharType="begin"/>
      </w:r>
      <w:r>
        <w:rPr>
          <w:sz w:val="20"/>
        </w:rPr>
        <w:instrText xml:space="preserve"> ADDIN EN.CITE &lt;EndNote&gt;&lt;Cite&gt;&lt;Author&gt;Freedman&lt;/Author&gt;&lt;Year&gt;1998&lt;/Year&gt;&lt;RecNum&gt;3221&lt;/RecNum&gt;&lt;Pages&gt;298-299&lt;/Pages&gt;&lt;DisplayText&gt;Freedman, &lt;style face="italic"&gt;If a City, vol. 1&lt;/style&gt; (1998) 298-299&lt;/DisplayText&gt;&lt;record&gt;&lt;rec-number&gt;3221&lt;/rec-number&gt;&lt;foreign-keys&gt;&lt;key app="EN" db-id="225fxd904pw0zueapxd5pdxewdrsefare5tz" timestamp="1521323272"&gt;3221&lt;/key&gt;&lt;/foreign-keys&gt;&lt;ref-type name="Book"&gt;6&lt;/ref-type&gt;&lt;contributors&gt;&lt;authors&gt;&lt;author&gt;Freedman, Sally M.&lt;/author&gt;&lt;/authors&gt;&lt;/contributors&gt;&lt;titles&gt;&lt;title&gt;If a City is Set on a Height. The Akkadian Omen Series Šumma Ālu ina Mēlê Šakin. Volume 1&lt;/title&gt;&lt;secondary-title&gt;Occasional Publications of the Samuel Noah Kramer Fund &lt;/secondary-title&gt;&lt;short-title&gt;If a City, vol. 1&lt;/short-title&gt;&lt;/titles&gt;&lt;number&gt;17&lt;/number&gt;&lt;dates&gt;&lt;year&gt;1998&lt;/year&gt;&lt;/dates&gt;&lt;pub-location&gt;Philadelphia&lt;/pub-location&gt;&lt;urls&gt;&lt;/urls&gt;&lt;/record&gt;&lt;/Cite&gt;&lt;/EndNote&gt;</w:instrText>
      </w:r>
      <w:r w:rsidRPr="004B6669">
        <w:rPr>
          <w:sz w:val="20"/>
        </w:rPr>
        <w:fldChar w:fldCharType="separate"/>
      </w:r>
      <w:r>
        <w:rPr>
          <w:noProof/>
          <w:sz w:val="20"/>
        </w:rPr>
        <w:t xml:space="preserve">Freedman, </w:t>
      </w:r>
      <w:r w:rsidRPr="00D56272">
        <w:rPr>
          <w:i/>
          <w:noProof/>
          <w:sz w:val="20"/>
        </w:rPr>
        <w:t>If a City, vol. 1</w:t>
      </w:r>
      <w:r>
        <w:rPr>
          <w:noProof/>
          <w:sz w:val="20"/>
        </w:rPr>
        <w:t xml:space="preserve"> (1998) 298-299</w:t>
      </w:r>
      <w:r w:rsidRPr="004B6669">
        <w:rPr>
          <w:sz w:val="20"/>
        </w:rPr>
        <w:fldChar w:fldCharType="end"/>
      </w:r>
      <w:r w:rsidRPr="004B6669">
        <w:rPr>
          <w:sz w:val="20"/>
        </w:rPr>
        <w:t xml:space="preserve">.  On the placing of K. 3698+ = CT XXXVIII 28 (CDLI P236900) within </w:t>
      </w:r>
      <w:proofErr w:type="spellStart"/>
      <w:r w:rsidRPr="004B6669">
        <w:rPr>
          <w:i/>
          <w:sz w:val="20"/>
        </w:rPr>
        <w:t>Šumma</w:t>
      </w:r>
      <w:proofErr w:type="spellEnd"/>
      <w:r w:rsidRPr="004B6669">
        <w:rPr>
          <w:i/>
          <w:sz w:val="20"/>
        </w:rPr>
        <w:t xml:space="preserve"> </w:t>
      </w:r>
      <w:proofErr w:type="spellStart"/>
      <w:r w:rsidRPr="004B6669">
        <w:rPr>
          <w:i/>
          <w:sz w:val="20"/>
        </w:rPr>
        <w:t>ālu</w:t>
      </w:r>
      <w:proofErr w:type="spellEnd"/>
      <w:r w:rsidRPr="004B6669">
        <w:rPr>
          <w:i/>
          <w:sz w:val="20"/>
        </w:rPr>
        <w:t xml:space="preserve"> </w:t>
      </w:r>
      <w:r w:rsidRPr="004B6669">
        <w:rPr>
          <w:sz w:val="20"/>
        </w:rPr>
        <w:t xml:space="preserve">see </w:t>
      </w:r>
      <w:r w:rsidRPr="004B6669">
        <w:rPr>
          <w:sz w:val="20"/>
        </w:rPr>
        <w:fldChar w:fldCharType="begin"/>
      </w:r>
      <w:r>
        <w:rPr>
          <w:sz w:val="20"/>
        </w:rPr>
        <w:instrText xml:space="preserve"> ADDIN EN.CITE &lt;EndNote&gt;&lt;Cite&gt;&lt;Author&gt;Heeßel&lt;/Author&gt;&lt;Year&gt;2007&lt;/Year&gt;&lt;RecNum&gt;2901&lt;/RecNum&gt;&lt;Pages&gt;7&lt;/Pages&gt;&lt;DisplayText&gt;Heeßel, &lt;style face="italic"&gt;Divinatorische Texte I &lt;/style&gt;(2007) 7&lt;/DisplayText&gt;&lt;record&gt;&lt;rec-number&gt;2901&lt;/rec-number&gt;&lt;foreign-keys&gt;&lt;key app="EN" db-id="225fxd904pw0zueapxd5pdxewdrsefare5tz" timestamp="1515272985"&gt;2901&lt;/key&gt;&lt;/foreign-keys&gt;&lt;ref-type name="Book"&gt;6&lt;/ref-type&gt;&lt;contributors&gt;&lt;authors&gt;&lt;author&gt;Heeßel, N. P.&lt;/author&gt;&lt;/authors&gt;&lt;/contributors&gt;&lt;titles&gt;&lt;title&gt;Divinatorische Texte I: Terrestrische, teratologische, physiognomische und oneiromantische Omina&lt;/title&gt;&lt;secondary-title&gt;KAL 1&lt;/secondary-title&gt;&lt;short-title&gt;Divinatorische Texte I&lt;/short-title&gt;&lt;/titles&gt;&lt;dates&gt;&lt;year&gt;2007&lt;/year&gt;&lt;/dates&gt;&lt;pub-location&gt;Wiesbaden&lt;/pub-location&gt;&lt;publisher&gt;Harrassowitz&lt;/publisher&gt;&lt;urls&gt;&lt;/urls&gt;&lt;/record&gt;&lt;/Cite&gt;&lt;/EndNote&gt;</w:instrText>
      </w:r>
      <w:r w:rsidRPr="004B6669">
        <w:rPr>
          <w:sz w:val="20"/>
        </w:rPr>
        <w:fldChar w:fldCharType="separate"/>
      </w:r>
      <w:r>
        <w:rPr>
          <w:noProof/>
          <w:sz w:val="20"/>
        </w:rPr>
        <w:t xml:space="preserve">Heeßel, </w:t>
      </w:r>
      <w:r w:rsidRPr="00D56272">
        <w:rPr>
          <w:i/>
          <w:noProof/>
          <w:sz w:val="20"/>
        </w:rPr>
        <w:t xml:space="preserve">Divinatorische Texte I </w:t>
      </w:r>
      <w:r>
        <w:rPr>
          <w:noProof/>
          <w:sz w:val="20"/>
        </w:rPr>
        <w:t>(2007) 7</w:t>
      </w:r>
      <w:r w:rsidRPr="004B6669">
        <w:rPr>
          <w:sz w:val="20"/>
        </w:rPr>
        <w:fldChar w:fldCharType="end"/>
      </w:r>
      <w:r w:rsidRPr="004B6669">
        <w:rPr>
          <w:sz w:val="20"/>
        </w:rPr>
        <w:t xml:space="preserve"> n. 66.  </w:t>
      </w:r>
    </w:p>
  </w:footnote>
  <w:footnote w:id="35">
    <w:p w14:paraId="22817B4B" w14:textId="336B8314" w:rsidR="00D56272" w:rsidRPr="004B6669" w:rsidRDefault="00D56272" w:rsidP="00D56272">
      <w:pPr>
        <w:pStyle w:val="FootnoteText"/>
        <w:rPr>
          <w:sz w:val="20"/>
        </w:rPr>
      </w:pPr>
      <w:r w:rsidRPr="004B6669">
        <w:rPr>
          <w:rStyle w:val="FootnoteReference"/>
          <w:sz w:val="20"/>
        </w:rPr>
        <w:footnoteRef/>
      </w:r>
      <w:r w:rsidRPr="004B6669">
        <w:rPr>
          <w:sz w:val="20"/>
        </w:rPr>
        <w:t xml:space="preserve"> </w:t>
      </w:r>
      <w:r w:rsidRPr="004B6669">
        <w:rPr>
          <w:sz w:val="20"/>
        </w:rPr>
        <w:fldChar w:fldCharType="begin"/>
      </w:r>
      <w:r>
        <w:rPr>
          <w:sz w:val="20"/>
        </w:rPr>
        <w:instrText xml:space="preserve"> ADDIN EN.CITE &lt;EndNote&gt;&lt;Cite&gt;&lt;Author&gt;Scurlock&lt;/Author&gt;&lt;Year&gt;2005&lt;/Year&gt;&lt;RecNum&gt;2227&lt;/RecNum&gt;&lt;Pages&gt;e.g. p. 30&lt;/Pages&gt;&lt;DisplayText&gt;Scurlock and Andersen, &lt;style face="italic"&gt;Diagnoses&lt;/style&gt; (2005) e.g. p. 30&lt;/DisplayText&gt;&lt;record&gt;&lt;rec-number&gt;2227&lt;/rec-number&gt;&lt;foreign-keys&gt;&lt;key app="EN" db-id="225fxd904pw0zueapxd5pdxewdrsefare5tz" timestamp="1467609765"&gt;2227&lt;/key&gt;&lt;/foreign-keys&gt;&lt;ref-type name="Book"&gt;6&lt;/ref-type&gt;&lt;contributors&gt;&lt;authors&gt;&lt;author&gt;Scurlock, J.&lt;/author&gt;&lt;author&gt;Andersen, Burton R&lt;/author&gt;&lt;/authors&gt;&lt;/contributors&gt;&lt;titles&gt;&lt;title&gt;Diagnoses in Assyrian and Babyonian Medicine&lt;/title&gt;&lt;short-title&gt;Diagnoses&lt;/short-title&gt;&lt;/titles&gt;&lt;dates&gt;&lt;year&gt;2005&lt;/year&gt;&lt;/dates&gt;&lt;pub-location&gt;Champaign, IL&lt;/pub-location&gt;&lt;publisher&gt;University of Illinois Press&lt;/publisher&gt;&lt;urls&gt;&lt;/urls&gt;&lt;/record&gt;&lt;/Cite&gt;&lt;/EndNote&gt;</w:instrText>
      </w:r>
      <w:r w:rsidRPr="004B6669">
        <w:rPr>
          <w:sz w:val="20"/>
        </w:rPr>
        <w:fldChar w:fldCharType="separate"/>
      </w:r>
      <w:r>
        <w:rPr>
          <w:noProof/>
          <w:sz w:val="20"/>
        </w:rPr>
        <w:t xml:space="preserve">Scurlock and Andersen, </w:t>
      </w:r>
      <w:r w:rsidRPr="00D56272">
        <w:rPr>
          <w:i/>
          <w:noProof/>
          <w:sz w:val="20"/>
        </w:rPr>
        <w:t>Diagnoses</w:t>
      </w:r>
      <w:r>
        <w:rPr>
          <w:noProof/>
          <w:sz w:val="20"/>
        </w:rPr>
        <w:t xml:space="preserve"> (2005) e.g. p. 30</w:t>
      </w:r>
      <w:r w:rsidRPr="004B6669">
        <w:rPr>
          <w:sz w:val="20"/>
        </w:rPr>
        <w:fldChar w:fldCharType="end"/>
      </w:r>
      <w:r w:rsidRPr="004B6669">
        <w:rPr>
          <w:sz w:val="20"/>
        </w:rPr>
        <w:t xml:space="preserve"> and </w:t>
      </w:r>
      <w:r w:rsidRPr="004B6669">
        <w:rPr>
          <w:i/>
          <w:sz w:val="20"/>
        </w:rPr>
        <w:t>passim</w:t>
      </w:r>
      <w:r w:rsidRPr="004B6669">
        <w:rPr>
          <w:sz w:val="20"/>
        </w:rPr>
        <w:t>.  Cf their p. xxiii: “the masculine LÚ and NA (</w:t>
      </w:r>
      <w:r w:rsidR="00C078FF">
        <w:rPr>
          <w:sz w:val="20"/>
        </w:rPr>
        <w:t xml:space="preserve">but </w:t>
      </w:r>
      <w:r w:rsidRPr="004B6669">
        <w:rPr>
          <w:sz w:val="20"/>
        </w:rPr>
        <w:t>n</w:t>
      </w:r>
      <w:r w:rsidR="003C7E97">
        <w:rPr>
          <w:sz w:val="20"/>
        </w:rPr>
        <w:t>o</w:t>
      </w:r>
      <w:r w:rsidRPr="004B6669">
        <w:rPr>
          <w:sz w:val="20"/>
        </w:rPr>
        <w:t>t the specifically male NITA/NÍTA) are used to refer to both sexes”.</w:t>
      </w:r>
    </w:p>
  </w:footnote>
  <w:footnote w:id="36">
    <w:p w14:paraId="4205975F" w14:textId="79A224B3" w:rsidR="00FF1FF8" w:rsidRPr="004B6669" w:rsidRDefault="00FF1FF8" w:rsidP="00FF1FF8">
      <w:pPr>
        <w:pStyle w:val="FootnoteText"/>
        <w:spacing w:before="2" w:after="2"/>
        <w:rPr>
          <w:sz w:val="20"/>
        </w:rPr>
      </w:pPr>
      <w:r w:rsidRPr="004B6669">
        <w:rPr>
          <w:rStyle w:val="FootnoteReference"/>
          <w:sz w:val="20"/>
        </w:rPr>
        <w:footnoteRef/>
      </w:r>
      <w:r w:rsidRPr="004B6669">
        <w:rPr>
          <w:sz w:val="20"/>
        </w:rPr>
        <w:t xml:space="preserve"> </w:t>
      </w:r>
      <w:r w:rsidRPr="004B6669">
        <w:rPr>
          <w:sz w:val="20"/>
        </w:rPr>
        <w:fldChar w:fldCharType="begin"/>
      </w:r>
      <w:r w:rsidR="00F324A3">
        <w:rPr>
          <w:sz w:val="20"/>
        </w:rPr>
        <w:instrText xml:space="preserve"> ADDIN EN.CITE &lt;EndNote&gt;&lt;Cite&gt;&lt;Author&gt;Parpola&lt;/Author&gt;&lt;Year&gt;1987&lt;/Year&gt;&lt;RecNum&gt;3259&lt;/RecNum&gt;&lt;Pages&gt;p. 113&lt;/Pages&gt;&lt;DisplayText&gt;Parpola, &lt;style face="italic"&gt;SAA I &lt;/style&gt;(1987) p. 113&lt;/DisplayText&gt;&lt;record&gt;&lt;rec-number&gt;3259&lt;/rec-number&gt;&lt;foreign-keys&gt;&lt;key app="EN" db-id="225fxd904pw0zueapxd5pdxewdrsefare5tz" timestamp="1521777722"&gt;3259&lt;/key&gt;&lt;/foreign-keys&gt;&lt;ref-type name="Book"&gt;6&lt;/ref-type&gt;&lt;contributors&gt;&lt;authors&gt;&lt;author&gt;Parpola, S.&lt;/author&gt;&lt;/authors&gt;&lt;/contributors&gt;&lt;titles&gt;&lt;title&gt;The Correspondence of Sargon II, Part I: Letters from Assyria and the West&lt;/title&gt;&lt;secondary-title&gt;SAA&lt;/secondary-title&gt;&lt;short-title&gt;SAA I&lt;/short-title&gt;&lt;/titles&gt;&lt;number&gt;1&lt;/number&gt;&lt;dates&gt;&lt;year&gt;1987&lt;/year&gt;&lt;/dates&gt;&lt;pub-location&gt;Helsinki&lt;/pub-location&gt;&lt;publisher&gt;The Neo-Assyrian Text Corpus Project&lt;/publisher&gt;&lt;urls&gt;&lt;/urls&gt;&lt;/record&gt;&lt;/Cite&gt;&lt;/EndNote&gt;</w:instrText>
      </w:r>
      <w:r w:rsidRPr="004B6669">
        <w:rPr>
          <w:sz w:val="20"/>
        </w:rPr>
        <w:fldChar w:fldCharType="separate"/>
      </w:r>
      <w:r w:rsidR="00F324A3">
        <w:rPr>
          <w:noProof/>
          <w:sz w:val="20"/>
        </w:rPr>
        <w:t xml:space="preserve">Parpola, </w:t>
      </w:r>
      <w:r w:rsidR="00F324A3" w:rsidRPr="00F324A3">
        <w:rPr>
          <w:i/>
          <w:noProof/>
          <w:sz w:val="20"/>
        </w:rPr>
        <w:t xml:space="preserve">SAA I </w:t>
      </w:r>
      <w:r w:rsidR="00F324A3">
        <w:rPr>
          <w:noProof/>
          <w:sz w:val="20"/>
        </w:rPr>
        <w:t>(1987) p. 113</w:t>
      </w:r>
      <w:r w:rsidRPr="004B6669">
        <w:rPr>
          <w:sz w:val="20"/>
        </w:rPr>
        <w:fldChar w:fldCharType="end"/>
      </w:r>
      <w:r w:rsidRPr="004B6669">
        <w:rPr>
          <w:sz w:val="20"/>
        </w:rPr>
        <w:t>.  The word is followed by a lacuna.  The context concerns a wall (</w:t>
      </w:r>
      <w:proofErr w:type="gramStart"/>
      <w:r w:rsidRPr="004B6669">
        <w:rPr>
          <w:sz w:val="20"/>
        </w:rPr>
        <w:t>é.sig</w:t>
      </w:r>
      <w:proofErr w:type="gramEnd"/>
      <w:r w:rsidRPr="004B6669">
        <w:rPr>
          <w:sz w:val="20"/>
          <w:vertAlign w:val="subscript"/>
        </w:rPr>
        <w:t>4</w:t>
      </w:r>
      <w:r w:rsidRPr="004B6669">
        <w:rPr>
          <w:sz w:val="20"/>
        </w:rPr>
        <w:t>) that [</w:t>
      </w:r>
      <w:proofErr w:type="spellStart"/>
      <w:r w:rsidRPr="004B6669">
        <w:rPr>
          <w:i/>
          <w:sz w:val="20"/>
        </w:rPr>
        <w:t>i</w:t>
      </w:r>
      <w:proofErr w:type="spellEnd"/>
      <w:r w:rsidRPr="004B6669">
        <w:rPr>
          <w:sz w:val="20"/>
        </w:rPr>
        <w:t>]</w:t>
      </w:r>
      <w:proofErr w:type="spellStart"/>
      <w:r w:rsidRPr="004B6669">
        <w:rPr>
          <w:i/>
          <w:sz w:val="20"/>
        </w:rPr>
        <w:t>ddi’ib</w:t>
      </w:r>
      <w:proofErr w:type="spellEnd"/>
      <w:r w:rsidRPr="004B6669">
        <w:rPr>
          <w:sz w:val="20"/>
        </w:rPr>
        <w:t xml:space="preserve"> ‘caved in’ (line 12).</w:t>
      </w:r>
    </w:p>
  </w:footnote>
  <w:footnote w:id="37">
    <w:p w14:paraId="6B8CE775" w14:textId="755E6EFC" w:rsidR="00FF1FF8" w:rsidRPr="004B6669" w:rsidRDefault="00FF1FF8" w:rsidP="00FF1FF8">
      <w:pPr>
        <w:pStyle w:val="FootnoteText"/>
        <w:spacing w:before="2" w:after="2"/>
        <w:rPr>
          <w:sz w:val="20"/>
        </w:rPr>
      </w:pPr>
      <w:r w:rsidRPr="004B6669">
        <w:rPr>
          <w:rStyle w:val="FootnoteReference"/>
          <w:sz w:val="20"/>
        </w:rPr>
        <w:footnoteRef/>
      </w:r>
      <w:r w:rsidRPr="004B6669">
        <w:rPr>
          <w:sz w:val="20"/>
        </w:rPr>
        <w:t xml:space="preserve"> </w:t>
      </w:r>
      <w:r w:rsidRPr="004B6669">
        <w:rPr>
          <w:sz w:val="20"/>
        </w:rPr>
        <w:fldChar w:fldCharType="begin"/>
      </w:r>
      <w:r w:rsidR="00F324A3">
        <w:rPr>
          <w:sz w:val="20"/>
        </w:rPr>
        <w:instrText xml:space="preserve"> ADDIN EN.CITE &lt;EndNote&gt;&lt;Cite&gt;&lt;Author&gt;Parpola&lt;/Author&gt;&lt;Year&gt;1987&lt;/Year&gt;&lt;RecNum&gt;3259&lt;/RecNum&gt;&lt;Pages&gt;p. 71&lt;/Pages&gt;&lt;DisplayText&gt;Parpola, &lt;style face="italic"&gt;SAA I&lt;/style&gt; (1987) p. 71&lt;/DisplayText&gt;&lt;record&gt;&lt;rec-number&gt;3259&lt;/rec-number&gt;&lt;foreign-keys&gt;&lt;key app="EN" db-id="225fxd904pw0zueapxd5pdxewdrsefare5tz" timestamp="1521777722"&gt;3259&lt;/key&gt;&lt;/foreign-keys&gt;&lt;ref-type name="Book"&gt;6&lt;/ref-type&gt;&lt;contributors&gt;&lt;authors&gt;&lt;author&gt;Parpola, S.&lt;/author&gt;&lt;/authors&gt;&lt;/contributors&gt;&lt;titles&gt;&lt;title&gt;The Correspondence of Sargon II, Part I: Letters from Assyria and the West&lt;/title&gt;&lt;secondary-title&gt;SAA&lt;/secondary-title&gt;&lt;short-title&gt;SAA I&lt;/short-title&gt;&lt;/titles&gt;&lt;number&gt;1&lt;/number&gt;&lt;dates&gt;&lt;year&gt;1987&lt;/year&gt;&lt;/dates&gt;&lt;pub-location&gt;Helsinki&lt;/pub-location&gt;&lt;publisher&gt;The Neo-Assyrian Text Corpus Project&lt;/publisher&gt;&lt;urls&gt;&lt;/urls&gt;&lt;/record&gt;&lt;/Cite&gt;&lt;/EndNote&gt;</w:instrText>
      </w:r>
      <w:r w:rsidRPr="004B6669">
        <w:rPr>
          <w:sz w:val="20"/>
        </w:rPr>
        <w:fldChar w:fldCharType="separate"/>
      </w:r>
      <w:r w:rsidR="00F324A3">
        <w:rPr>
          <w:noProof/>
          <w:sz w:val="20"/>
        </w:rPr>
        <w:t xml:space="preserve">Parpola, </w:t>
      </w:r>
      <w:r w:rsidR="00F324A3" w:rsidRPr="00F324A3">
        <w:rPr>
          <w:i/>
          <w:noProof/>
          <w:sz w:val="20"/>
        </w:rPr>
        <w:t>SAA I</w:t>
      </w:r>
      <w:r w:rsidR="00F324A3">
        <w:rPr>
          <w:noProof/>
          <w:sz w:val="20"/>
        </w:rPr>
        <w:t xml:space="preserve"> (1987) p. 71</w:t>
      </w:r>
      <w:r w:rsidRPr="004B6669">
        <w:rPr>
          <w:sz w:val="20"/>
        </w:rPr>
        <w:fldChar w:fldCharType="end"/>
      </w:r>
      <w:r w:rsidRPr="004B6669">
        <w:rPr>
          <w:sz w:val="20"/>
        </w:rPr>
        <w:t>.</w:t>
      </w:r>
    </w:p>
  </w:footnote>
  <w:footnote w:id="38">
    <w:p w14:paraId="37596837" w14:textId="77777777" w:rsidR="00D6645F" w:rsidRDefault="00D6645F" w:rsidP="00D6645F">
      <w:pPr>
        <w:pStyle w:val="FootnoteText"/>
      </w:pPr>
      <w:r w:rsidRPr="00FF1FF8">
        <w:rPr>
          <w:rStyle w:val="FootnoteReference"/>
          <w:sz w:val="20"/>
          <w:szCs w:val="20"/>
        </w:rPr>
        <w:footnoteRef/>
      </w:r>
      <w:r w:rsidRPr="00FF1FF8">
        <w:rPr>
          <w:sz w:val="20"/>
          <w:szCs w:val="20"/>
        </w:rPr>
        <w:t xml:space="preserve"> </w:t>
      </w:r>
      <w:r>
        <w:rPr>
          <w:sz w:val="20"/>
          <w:szCs w:val="20"/>
        </w:rPr>
        <w:fldChar w:fldCharType="begin"/>
      </w:r>
      <w:r>
        <w:rPr>
          <w:sz w:val="20"/>
          <w:szCs w:val="20"/>
        </w:rPr>
        <w:instrText xml:space="preserve"> ADDIN EN.CITE &lt;EndNote&gt;&lt;Cite&gt;&lt;Author&gt;Worthington&lt;/Author&gt;&lt;Year&gt;2019&lt;/Year&gt;&lt;RecNum&gt;3794&lt;/RecNum&gt;&lt;Pages&gt;225-227&lt;/Pages&gt;&lt;DisplayText&gt;Worthington, &lt;style face="italic"&gt;Ea&amp;apos;s Duplicity &lt;/style&gt;(2019) 225-227&lt;/DisplayText&gt;&lt;record&gt;&lt;rec-number&gt;3794&lt;/rec-number&gt;&lt;foreign-keys&gt;&lt;key app="EN" db-id="225fxd904pw0zueapxd5pdxewdrsefare5tz" timestamp="1551112462"&gt;3794&lt;/key&gt;&lt;/foreign-keys&gt;&lt;ref-type name="Book"&gt;6&lt;/ref-type&gt;&lt;contributors&gt;&lt;authors&gt;&lt;author&gt;Worthington, Martin&lt;/author&gt;&lt;/authors&gt;&lt;/contributors&gt;&lt;titles&gt;&lt;title&gt;&lt;style face="normal" font="default" size="100%"&gt;Ea&amp;apos;s Duplicity in the &lt;/style&gt;&lt;style face="italic" font="default" size="100%"&gt;Gilgamesh&lt;/style&gt;&lt;style face="normal" font="default" size="100%"&gt; Flood Story&lt;/style&gt;&lt;/title&gt;&lt;secondary-title&gt;The Ancient Word&lt;/secondary-title&gt;&lt;short-title&gt;Ea&amp;apos;s Duplicity&lt;/short-title&gt;&lt;/titles&gt;&lt;number&gt;3&lt;/number&gt;&lt;dates&gt;&lt;year&gt;2019&lt;/year&gt;&lt;/dates&gt;&lt;pub-location&gt;London&lt;/pub-location&gt;&lt;publisher&gt;Routledge&lt;/publisher&gt;&lt;urls&gt;&lt;/urls&gt;&lt;/record&gt;&lt;/Cite&gt;&lt;/EndNote&gt;</w:instrText>
      </w:r>
      <w:r>
        <w:rPr>
          <w:sz w:val="20"/>
          <w:szCs w:val="20"/>
        </w:rPr>
        <w:fldChar w:fldCharType="separate"/>
      </w:r>
      <w:r>
        <w:rPr>
          <w:noProof/>
          <w:sz w:val="20"/>
          <w:szCs w:val="20"/>
        </w:rPr>
        <w:t xml:space="preserve">Worthington, </w:t>
      </w:r>
      <w:r w:rsidRPr="00F324A3">
        <w:rPr>
          <w:i/>
          <w:noProof/>
          <w:sz w:val="20"/>
          <w:szCs w:val="20"/>
        </w:rPr>
        <w:t xml:space="preserve">Ea's Duplicity </w:t>
      </w:r>
      <w:r>
        <w:rPr>
          <w:noProof/>
          <w:sz w:val="20"/>
          <w:szCs w:val="20"/>
        </w:rPr>
        <w:t>(2019) 225-227</w:t>
      </w:r>
      <w:r>
        <w:rPr>
          <w:sz w:val="20"/>
          <w:szCs w:val="20"/>
        </w:rPr>
        <w:fldChar w:fldCharType="end"/>
      </w:r>
      <w:r w:rsidRPr="00FF1FF8">
        <w:rPr>
          <w:sz w:val="20"/>
          <w:szCs w:val="20"/>
        </w:rPr>
        <w:t>.</w:t>
      </w:r>
    </w:p>
  </w:footnote>
  <w:footnote w:id="39">
    <w:p w14:paraId="62BD54B1" w14:textId="4B1B3186" w:rsidR="00FF1FF8" w:rsidRDefault="00FF1FF8">
      <w:pPr>
        <w:pStyle w:val="FootnoteText"/>
      </w:pPr>
      <w:r w:rsidRPr="00FF1FF8">
        <w:rPr>
          <w:rStyle w:val="FootnoteReference"/>
          <w:sz w:val="20"/>
          <w:szCs w:val="20"/>
        </w:rPr>
        <w:footnoteRef/>
      </w:r>
      <w:r w:rsidRPr="00FF1FF8">
        <w:rPr>
          <w:sz w:val="20"/>
          <w:szCs w:val="20"/>
        </w:rPr>
        <w:t xml:space="preserve"> The present argument thus fulfils </w:t>
      </w:r>
      <w:r>
        <w:rPr>
          <w:sz w:val="20"/>
          <w:szCs w:val="20"/>
        </w:rPr>
        <w:t xml:space="preserve">the </w:t>
      </w:r>
      <w:r w:rsidR="00F324A3">
        <w:rPr>
          <w:sz w:val="20"/>
          <w:szCs w:val="20"/>
        </w:rPr>
        <w:t xml:space="preserve">anticipation </w:t>
      </w:r>
      <w:r>
        <w:rPr>
          <w:sz w:val="20"/>
          <w:szCs w:val="20"/>
        </w:rPr>
        <w:t xml:space="preserve">in </w:t>
      </w:r>
      <w:r w:rsidRPr="00FF1FF8">
        <w:rPr>
          <w:sz w:val="20"/>
          <w:szCs w:val="20"/>
        </w:rPr>
        <w:t xml:space="preserve">fn. 928 </w:t>
      </w:r>
      <w:r>
        <w:rPr>
          <w:sz w:val="20"/>
          <w:szCs w:val="20"/>
        </w:rPr>
        <w:t xml:space="preserve">of </w:t>
      </w:r>
      <w:proofErr w:type="spellStart"/>
      <w:r w:rsidRPr="00FF1FF8">
        <w:rPr>
          <w:i/>
          <w:iCs/>
          <w:sz w:val="20"/>
          <w:szCs w:val="20"/>
        </w:rPr>
        <w:t>Ea’s</w:t>
      </w:r>
      <w:proofErr w:type="spellEnd"/>
      <w:r w:rsidRPr="00FF1FF8">
        <w:rPr>
          <w:i/>
          <w:iCs/>
          <w:sz w:val="20"/>
          <w:szCs w:val="20"/>
        </w:rPr>
        <w:t xml:space="preserve"> Duplicity</w:t>
      </w:r>
      <w:r w:rsidRPr="00FF1FF8">
        <w:rPr>
          <w:sz w:val="20"/>
          <w:szCs w:val="20"/>
        </w:rPr>
        <w:t>.</w:t>
      </w:r>
    </w:p>
  </w:footnote>
  <w:footnote w:id="40">
    <w:p w14:paraId="6C139C84" w14:textId="5621A674" w:rsidR="00256BEC" w:rsidRPr="004B6669" w:rsidRDefault="00256BEC" w:rsidP="00256BEC">
      <w:pPr>
        <w:pStyle w:val="FootnoteText"/>
        <w:spacing w:before="2" w:after="2"/>
        <w:rPr>
          <w:sz w:val="20"/>
        </w:rPr>
      </w:pPr>
      <w:r w:rsidRPr="004B6669">
        <w:rPr>
          <w:rStyle w:val="FootnoteReference"/>
          <w:sz w:val="20"/>
        </w:rPr>
        <w:footnoteRef/>
      </w:r>
      <w:r w:rsidRPr="004B6669">
        <w:rPr>
          <w:sz w:val="20"/>
        </w:rPr>
        <w:t xml:space="preserve"> </w:t>
      </w:r>
      <w:r w:rsidRPr="004B6669">
        <w:rPr>
          <w:sz w:val="20"/>
        </w:rPr>
        <w:fldChar w:fldCharType="begin"/>
      </w:r>
      <w:r>
        <w:rPr>
          <w:sz w:val="20"/>
        </w:rPr>
        <w:instrText xml:space="preserve"> ADDIN EN.CITE &lt;EndNote&gt;&lt;Cite&gt;&lt;Author&gt;Wojciech&lt;/Author&gt;&lt;Year&gt;2018&lt;/Year&gt;&lt;RecNum&gt;3491&lt;/RecNum&gt;&lt;Pages&gt;115-116&lt;/Pages&gt;&lt;DisplayText&gt;Wojciech, &lt;style face="italic"&gt;Nashim: A Journal of Jewish Women&amp;apos;s Studies &amp;amp; Gender Issues&lt;/style&gt; /32 (2018) 115-116&lt;/DisplayText&gt;&lt;record&gt;&lt;rec-number&gt;3491&lt;/rec-number&gt;&lt;foreign-keys&gt;&lt;key app="EN" db-id="225fxd904pw0zueapxd5pdxewdrsefare5tz" timestamp="1529796303"&gt;3491&lt;/key&gt;&lt;/foreign-keys&gt;&lt;ref-type name="Journal Article"&gt;17&lt;/ref-type&gt;&lt;contributors&gt;&lt;authors&gt;&lt;author&gt;Wojciech, Kosior&lt;/author&gt;&lt;/authors&gt;&lt;/contributors&gt;&lt;titles&gt;&lt;title&gt;A Tale of Two Sisters: The Image of Eve in Early Rabbinic Literature and Its Influence on the Portrayal of Lilith in the Alphabet of Ben Sira&lt;/title&gt;&lt;secondary-title&gt;Nashim: A Journal of Jewish Women&amp;apos;s Studies &amp;amp; Gender Issues&lt;/secondary-title&gt;&lt;/titles&gt;&lt;periodical&gt;&lt;full-title&gt;Nashim: A Journal of Jewish Women&amp;apos;s Studies &amp;amp; Gender Issues&lt;/full-title&gt;&lt;/periodical&gt;&lt;pages&gt;112-130&lt;/pages&gt;&lt;number&gt;32&lt;/number&gt;&lt;dates&gt;&lt;year&gt;2018&lt;/year&gt;&lt;/dates&gt;&lt;publisher&gt;Indiana University Press&lt;/publisher&gt;&lt;isbn&gt;07938934, 15655288&lt;/isbn&gt;&lt;urls&gt;&lt;related-urls&gt;&lt;url&gt;http://www.jstor.org/stable/10.2979/nashim.32.1.10&lt;/url&gt;&lt;/related-urls&gt;&lt;/urls&gt;&lt;custom1&gt;Full publication date: Spring 2018&lt;/custom1&gt;&lt;electronic-resource-num&gt;10.2979/nashim.32.1.10&lt;/electronic-resource-num&gt;&lt;/record&gt;&lt;/Cite&gt;&lt;/EndNote&gt;</w:instrText>
      </w:r>
      <w:r w:rsidRPr="004B6669">
        <w:rPr>
          <w:sz w:val="20"/>
        </w:rPr>
        <w:fldChar w:fldCharType="separate"/>
      </w:r>
      <w:r>
        <w:rPr>
          <w:noProof/>
          <w:sz w:val="20"/>
        </w:rPr>
        <w:t xml:space="preserve">Wojciech, </w:t>
      </w:r>
      <w:r w:rsidRPr="00256BEC">
        <w:rPr>
          <w:i/>
          <w:noProof/>
          <w:sz w:val="20"/>
        </w:rPr>
        <w:t>Nashim: A Journal of Jewish Women's Studies &amp; Gender Issues</w:t>
      </w:r>
      <w:r>
        <w:rPr>
          <w:noProof/>
          <w:sz w:val="20"/>
        </w:rPr>
        <w:t xml:space="preserve"> /32 (2018) 115-116</w:t>
      </w:r>
      <w:r w:rsidRPr="004B6669">
        <w:rPr>
          <w:sz w:val="20"/>
        </w:rPr>
        <w:fldChar w:fldCharType="end"/>
      </w:r>
      <w:r w:rsidRPr="004B6669">
        <w:rPr>
          <w:sz w:val="20"/>
        </w:rPr>
        <w:t xml:space="preserve">, who goes on to compare traditions about Lilith with earlier traditions about Eve. (Wojciech also notes that the </w:t>
      </w:r>
      <w:r w:rsidRPr="004B6669">
        <w:rPr>
          <w:i/>
          <w:sz w:val="20"/>
        </w:rPr>
        <w:t>Alphabet of Ben Sira</w:t>
      </w:r>
      <w:r w:rsidRPr="004B6669">
        <w:rPr>
          <w:sz w:val="20"/>
        </w:rPr>
        <w:t xml:space="preserve"> may have originally been intended as satirical or scurrilous).  For another example of the same tradition see </w:t>
      </w:r>
      <w:r w:rsidRPr="004B6669">
        <w:rPr>
          <w:sz w:val="20"/>
        </w:rPr>
        <w:fldChar w:fldCharType="begin"/>
      </w:r>
      <w:r>
        <w:rPr>
          <w:sz w:val="20"/>
        </w:rPr>
        <w:instrText xml:space="preserve"> ADDIN EN.CITE &lt;EndNote&gt;&lt;Cite&gt;&lt;Author&gt;Gingzberg&lt;/Author&gt;&lt;Year&gt;2003&lt;/Year&gt;&lt;RecNum&gt;3492&lt;/RecNum&gt;&lt;Pages&gt;172b&lt;/Pages&gt;&lt;DisplayText&gt;Gingzberg, Szold and Radin, &lt;style face="italic"&gt;Legends of the Jews &lt;/style&gt;(2003) 172b&lt;/DisplayText&gt;&lt;record&gt;&lt;rec-number&gt;3492&lt;/rec-number&gt;&lt;foreign-keys&gt;&lt;key app="EN" db-id="225fxd904pw0zueapxd5pdxewdrsefare5tz" timestamp="1529797704"&gt;3492&lt;/key&gt;&lt;/foreign-keys&gt;&lt;ref-type name="Book"&gt;6&lt;/ref-type&gt;&lt;contributors&gt;&lt;authors&gt;&lt;author&gt;Gingzberg, Louis&lt;/author&gt;&lt;author&gt;Henrietta Szold&lt;/author&gt;&lt;author&gt;Paul Radin&lt;/author&gt;&lt;/authors&gt;&lt;/contributors&gt;&lt;titles&gt;&lt;title&gt;Legends of the Jews&lt;/title&gt;&lt;/titles&gt;&lt;dates&gt;&lt;year&gt;2003&lt;/year&gt;&lt;/dates&gt;&lt;pub-location&gt;Philadelphia&lt;/pub-location&gt;&lt;publisher&gt;Jewish Publication Society&lt;/publisher&gt;&lt;urls&gt;&lt;/urls&gt;&lt;/record&gt;&lt;/Cite&gt;&lt;/EndNote&gt;</w:instrText>
      </w:r>
      <w:r w:rsidRPr="004B6669">
        <w:rPr>
          <w:sz w:val="20"/>
        </w:rPr>
        <w:fldChar w:fldCharType="separate"/>
      </w:r>
      <w:r>
        <w:rPr>
          <w:noProof/>
          <w:sz w:val="20"/>
        </w:rPr>
        <w:t xml:space="preserve">Gingzberg, Szold and Radin, </w:t>
      </w:r>
      <w:r w:rsidRPr="00256BEC">
        <w:rPr>
          <w:i/>
          <w:noProof/>
          <w:sz w:val="20"/>
        </w:rPr>
        <w:t xml:space="preserve">Legends of the Jews </w:t>
      </w:r>
      <w:r>
        <w:rPr>
          <w:noProof/>
          <w:sz w:val="20"/>
        </w:rPr>
        <w:t>(2003) 172b</w:t>
      </w:r>
      <w:r w:rsidRPr="004B6669">
        <w:rPr>
          <w:sz w:val="20"/>
        </w:rPr>
        <w:fldChar w:fldCharType="end"/>
      </w:r>
      <w:r w:rsidRPr="004B6669">
        <w:rPr>
          <w:sz w:val="20"/>
        </w:rPr>
        <w:t xml:space="preserve"> (after </w:t>
      </w:r>
      <w:proofErr w:type="spellStart"/>
      <w:r w:rsidRPr="004B6669">
        <w:rPr>
          <w:sz w:val="20"/>
        </w:rPr>
        <w:t>Yerahmeel</w:t>
      </w:r>
      <w:proofErr w:type="spellEnd"/>
      <w:r w:rsidRPr="004B6669">
        <w:rPr>
          <w:sz w:val="20"/>
        </w:rPr>
        <w:t>).</w:t>
      </w:r>
    </w:p>
  </w:footnote>
  <w:footnote w:id="41">
    <w:p w14:paraId="47686CD0" w14:textId="2026313D" w:rsidR="00256BEC" w:rsidRPr="004B6669" w:rsidRDefault="00256BEC" w:rsidP="00256BEC">
      <w:pPr>
        <w:pStyle w:val="FootnoteText"/>
        <w:spacing w:before="2" w:after="2"/>
        <w:rPr>
          <w:sz w:val="20"/>
        </w:rPr>
      </w:pPr>
      <w:r w:rsidRPr="004B6669">
        <w:rPr>
          <w:rStyle w:val="FootnoteReference"/>
          <w:sz w:val="20"/>
        </w:rPr>
        <w:footnoteRef/>
      </w:r>
      <w:r w:rsidRPr="004B6669">
        <w:rPr>
          <w:sz w:val="20"/>
        </w:rPr>
        <w:t xml:space="preserve"> E.g. </w:t>
      </w:r>
      <w:r w:rsidRPr="004B6669">
        <w:rPr>
          <w:sz w:val="20"/>
        </w:rPr>
        <w:fldChar w:fldCharType="begin"/>
      </w:r>
      <w:r>
        <w:rPr>
          <w:sz w:val="20"/>
        </w:rPr>
        <w:instrText xml:space="preserve"> ADDIN EN.CITE &lt;EndNote&gt;&lt;Cite&gt;&lt;Author&gt;Handy&lt;/Author&gt;&lt;Year&gt;1992&lt;/Year&gt;&lt;RecNum&gt;2863&lt;/RecNum&gt;&lt;Pages&gt;324&lt;/Pages&gt;&lt;DisplayText&gt;Handy in &lt;style face="italic"&gt;Lilith &lt;/style&gt;(1992) 324&lt;/DisplayText&gt;&lt;record&gt;&lt;rec-number&gt;2863&lt;/rec-number&gt;&lt;foreign-keys&gt;&lt;key app="EN" db-id="225fxd904pw0zueapxd5pdxewdrsefare5tz" timestamp="1513732558"&gt;2863&lt;/key&gt;&lt;/foreign-keys&gt;&lt;ref-type name="Book Section"&gt;5&lt;/ref-type&gt;&lt;contributors&gt;&lt;authors&gt;&lt;author&gt;Handy, L. K.&lt;/author&gt;&lt;/authors&gt;&lt;secondary-authors&gt;&lt;author&gt;Freedman, D. N.&lt;/author&gt;&lt;/secondary-authors&gt;&lt;/contributors&gt;&lt;titles&gt;&lt;title&gt;Lilith&lt;/title&gt;&lt;secondary-title&gt;The Anchor Bible Dictionary&lt;/secondary-title&gt;&lt;/titles&gt;&lt;pages&gt;vol. 4 pp. 324-325&lt;/pages&gt;&lt;dates&gt;&lt;year&gt;1992&lt;/year&gt;&lt;/dates&gt;&lt;pub-location&gt;New York&lt;/pub-location&gt;&lt;publisher&gt;Doubleday&lt;/publisher&gt;&lt;urls&gt;&lt;/urls&gt;&lt;/record&gt;&lt;/Cite&gt;&lt;/EndNote&gt;</w:instrText>
      </w:r>
      <w:r w:rsidRPr="004B6669">
        <w:rPr>
          <w:sz w:val="20"/>
        </w:rPr>
        <w:fldChar w:fldCharType="separate"/>
      </w:r>
      <w:r>
        <w:rPr>
          <w:noProof/>
          <w:sz w:val="20"/>
        </w:rPr>
        <w:t xml:space="preserve">Handy in </w:t>
      </w:r>
      <w:r w:rsidRPr="00256BEC">
        <w:rPr>
          <w:i/>
          <w:noProof/>
          <w:sz w:val="20"/>
        </w:rPr>
        <w:t xml:space="preserve">Lilith </w:t>
      </w:r>
      <w:r>
        <w:rPr>
          <w:noProof/>
          <w:sz w:val="20"/>
        </w:rPr>
        <w:t>(1992) 324</w:t>
      </w:r>
      <w:r w:rsidRPr="004B6669">
        <w:rPr>
          <w:sz w:val="20"/>
        </w:rPr>
        <w:fldChar w:fldCharType="end"/>
      </w:r>
      <w:r w:rsidRPr="004B6669">
        <w:rPr>
          <w:sz w:val="20"/>
        </w:rPr>
        <w:t>.</w:t>
      </w:r>
    </w:p>
  </w:footnote>
  <w:footnote w:id="42">
    <w:p w14:paraId="0C2340F5" w14:textId="28F95843" w:rsidR="00256BEC" w:rsidRPr="004B6669" w:rsidRDefault="00256BEC" w:rsidP="00256BEC">
      <w:pPr>
        <w:pStyle w:val="FootnoteText"/>
        <w:spacing w:before="2" w:after="2"/>
        <w:rPr>
          <w:sz w:val="20"/>
        </w:rPr>
      </w:pPr>
      <w:r w:rsidRPr="004B6669">
        <w:rPr>
          <w:rStyle w:val="FootnoteReference"/>
          <w:sz w:val="20"/>
        </w:rPr>
        <w:footnoteRef/>
      </w:r>
      <w:r w:rsidRPr="004B6669">
        <w:rPr>
          <w:sz w:val="20"/>
        </w:rPr>
        <w:t xml:space="preserve"> E.g. </w:t>
      </w:r>
      <w:r w:rsidRPr="004B6669">
        <w:rPr>
          <w:sz w:val="20"/>
        </w:rPr>
        <w:fldChar w:fldCharType="begin"/>
      </w:r>
      <w:r>
        <w:rPr>
          <w:sz w:val="20"/>
        </w:rPr>
        <w:instrText xml:space="preserve"> ADDIN EN.CITE &lt;EndNote&gt;&lt;Cite&gt;&lt;Author&gt;Montgomery&lt;/Author&gt;&lt;Year&gt;1913&lt;/Year&gt;&lt;RecNum&gt;2864&lt;/RecNum&gt;&lt;Pages&gt;no. 7&lt;/Pages&gt;&lt;DisplayText&gt;Montgomery, &lt;style face="italic"&gt;Aramaic Incantation Texts from Nippur&lt;/style&gt; (1913) no. 7&lt;/DisplayText&gt;&lt;record&gt;&lt;rec-number&gt;2864&lt;/rec-number&gt;&lt;foreign-keys&gt;&lt;key app="EN" db-id="225fxd904pw0zueapxd5pdxewdrsefare5tz" timestamp="1513733667"&gt;2864&lt;/key&gt;&lt;/foreign-keys&gt;&lt;ref-type name="Book"&gt;6&lt;/ref-type&gt;&lt;contributors&gt;&lt;authors&gt;&lt;author&gt;Montgomery, J. A.&lt;/author&gt;&lt;/authors&gt;&lt;/contributors&gt;&lt;titles&gt;&lt;title&gt;Aramaic Incantation Texts from Nippur&lt;/title&gt;&lt;secondary-title&gt;PBS&lt;/secondary-title&gt;&lt;/titles&gt;&lt;number&gt;3&lt;/number&gt;&lt;dates&gt;&lt;year&gt;1913&lt;/year&gt;&lt;/dates&gt;&lt;pub-location&gt;Philadelphia&lt;/pub-location&gt;&lt;publisher&gt;The University Museum&lt;/publisher&gt;&lt;urls&gt;&lt;/urls&gt;&lt;/record&gt;&lt;/Cite&gt;&lt;/EndNote&gt;</w:instrText>
      </w:r>
      <w:r w:rsidRPr="004B6669">
        <w:rPr>
          <w:sz w:val="20"/>
        </w:rPr>
        <w:fldChar w:fldCharType="separate"/>
      </w:r>
      <w:r>
        <w:rPr>
          <w:noProof/>
          <w:sz w:val="20"/>
        </w:rPr>
        <w:t xml:space="preserve">Montgomery, </w:t>
      </w:r>
      <w:r w:rsidRPr="00256BEC">
        <w:rPr>
          <w:i/>
          <w:noProof/>
          <w:sz w:val="20"/>
        </w:rPr>
        <w:t>Aramaic Incantation Texts from Nippur</w:t>
      </w:r>
      <w:r>
        <w:rPr>
          <w:noProof/>
          <w:sz w:val="20"/>
        </w:rPr>
        <w:t xml:space="preserve"> (1913) no. 7</w:t>
      </w:r>
      <w:r w:rsidRPr="004B6669">
        <w:rPr>
          <w:sz w:val="20"/>
        </w:rPr>
        <w:fldChar w:fldCharType="end"/>
      </w:r>
      <w:r w:rsidRPr="004B6669">
        <w:rPr>
          <w:sz w:val="20"/>
        </w:rPr>
        <w:t xml:space="preserve"> p. 147 = </w:t>
      </w:r>
      <w:r w:rsidRPr="004B6669">
        <w:rPr>
          <w:sz w:val="20"/>
        </w:rPr>
        <w:fldChar w:fldCharType="begin"/>
      </w:r>
      <w:r>
        <w:rPr>
          <w:sz w:val="20"/>
        </w:rPr>
        <w:instrText xml:space="preserve"> ADDIN EN.CITE &lt;EndNote&gt;&lt;Cite&gt;&lt;Author&gt;Isbell&lt;/Author&gt;&lt;Year&gt;1975&lt;/Year&gt;&lt;RecNum&gt;2865&lt;/RecNum&gt;&lt;Pages&gt;21-22&lt;/Pages&gt;&lt;DisplayText&gt;Isbell, &lt;style face="italic"&gt;Aramaic Incantation Bowls &lt;/style&gt;(1975) 21-22&lt;/DisplayText&gt;&lt;record&gt;&lt;rec-number&gt;2865&lt;/rec-number&gt;&lt;foreign-keys&gt;&lt;key app="EN" db-id="225fxd904pw0zueapxd5pdxewdrsefare5tz" timestamp="1513734420"&gt;2865&lt;/key&gt;&lt;/foreign-keys&gt;&lt;ref-type name="Book"&gt;6&lt;/ref-type&gt;&lt;contributors&gt;&lt;authors&gt;&lt;author&gt;Isbell, Charles D.&lt;/author&gt;&lt;/authors&gt;&lt;/contributors&gt;&lt;titles&gt;&lt;title&gt;Corpus of the Aramaic Incantation Bowls&lt;/title&gt;&lt;short-title&gt;Aramaic Incantation Bowls&lt;/short-title&gt;&lt;/titles&gt;&lt;dates&gt;&lt;year&gt;1975&lt;/year&gt;&lt;/dates&gt;&lt;pub-location&gt;Missoula, MO&lt;/pub-location&gt;&lt;publisher&gt;Scholars Press&lt;/publisher&gt;&lt;urls&gt;&lt;/urls&gt;&lt;/record&gt;&lt;/Cite&gt;&lt;/EndNote&gt;</w:instrText>
      </w:r>
      <w:r w:rsidRPr="004B6669">
        <w:rPr>
          <w:sz w:val="20"/>
        </w:rPr>
        <w:fldChar w:fldCharType="separate"/>
      </w:r>
      <w:r>
        <w:rPr>
          <w:noProof/>
          <w:sz w:val="20"/>
        </w:rPr>
        <w:t xml:space="preserve">Isbell, </w:t>
      </w:r>
      <w:r w:rsidRPr="00256BEC">
        <w:rPr>
          <w:i/>
          <w:noProof/>
          <w:sz w:val="20"/>
        </w:rPr>
        <w:t xml:space="preserve">Aramaic Incantation Bowls </w:t>
      </w:r>
      <w:r>
        <w:rPr>
          <w:noProof/>
          <w:sz w:val="20"/>
        </w:rPr>
        <w:t>(1975) 21-22</w:t>
      </w:r>
      <w:r w:rsidRPr="004B6669">
        <w:rPr>
          <w:sz w:val="20"/>
        </w:rPr>
        <w:fldChar w:fldCharType="end"/>
      </w:r>
      <w:r w:rsidRPr="004B6669">
        <w:rPr>
          <w:sz w:val="20"/>
        </w:rPr>
        <w:t>, line 14.</w:t>
      </w:r>
    </w:p>
  </w:footnote>
  <w:footnote w:id="43">
    <w:p w14:paraId="3F7F9EDE" w14:textId="1F106541" w:rsidR="00256BEC" w:rsidRPr="004B6669" w:rsidRDefault="00256BEC" w:rsidP="00256BEC">
      <w:pPr>
        <w:pStyle w:val="FootnoteText"/>
        <w:spacing w:before="2" w:after="2"/>
        <w:rPr>
          <w:sz w:val="20"/>
        </w:rPr>
      </w:pPr>
      <w:r w:rsidRPr="004B6669">
        <w:rPr>
          <w:rStyle w:val="FootnoteReference"/>
          <w:sz w:val="20"/>
        </w:rPr>
        <w:footnoteRef/>
      </w:r>
      <w:r w:rsidRPr="004B6669">
        <w:rPr>
          <w:sz w:val="20"/>
        </w:rPr>
        <w:t xml:space="preserve"> </w:t>
      </w:r>
      <w:r w:rsidRPr="004B6669">
        <w:rPr>
          <w:sz w:val="20"/>
        </w:rPr>
        <w:fldChar w:fldCharType="begin"/>
      </w:r>
      <w:r>
        <w:rPr>
          <w:sz w:val="20"/>
        </w:rPr>
        <w:instrText xml:space="preserve"> ADDIN EN.CITE &lt;EndNote&gt;&lt;Cite&gt;&lt;Author&gt;Montgomery&lt;/Author&gt;&lt;Year&gt;1913&lt;/Year&gt;&lt;RecNum&gt;2864&lt;/RecNum&gt;&lt;Pages&gt;118&lt;/Pages&gt;&lt;DisplayText&gt;Montgomery, &lt;style face="italic"&gt;Aramaic Incantation Texts from Nippur&lt;/style&gt; (1913) 118&lt;/DisplayText&gt;&lt;record&gt;&lt;rec-number&gt;2864&lt;/rec-number&gt;&lt;foreign-keys&gt;&lt;key app="EN" db-id="225fxd904pw0zueapxd5pdxewdrsefare5tz" timestamp="1513733667"&gt;2864&lt;/key&gt;&lt;/foreign-keys&gt;&lt;ref-type name="Book"&gt;6&lt;/ref-type&gt;&lt;contributors&gt;&lt;authors&gt;&lt;author&gt;Montgomery, J. A.&lt;/author&gt;&lt;/authors&gt;&lt;/contributors&gt;&lt;titles&gt;&lt;title&gt;Aramaic Incantation Texts from Nippur&lt;/title&gt;&lt;secondary-title&gt;PBS&lt;/secondary-title&gt;&lt;/titles&gt;&lt;number&gt;3&lt;/number&gt;&lt;dates&gt;&lt;year&gt;1913&lt;/year&gt;&lt;/dates&gt;&lt;pub-location&gt;Philadelphia&lt;/pub-location&gt;&lt;publisher&gt;The University Museum&lt;/publisher&gt;&lt;urls&gt;&lt;/urls&gt;&lt;/record&gt;&lt;/Cite&gt;&lt;/EndNote&gt;</w:instrText>
      </w:r>
      <w:r w:rsidRPr="004B6669">
        <w:rPr>
          <w:sz w:val="20"/>
        </w:rPr>
        <w:fldChar w:fldCharType="separate"/>
      </w:r>
      <w:r>
        <w:rPr>
          <w:noProof/>
          <w:sz w:val="20"/>
        </w:rPr>
        <w:t xml:space="preserve">Montgomery, </w:t>
      </w:r>
      <w:r w:rsidRPr="00256BEC">
        <w:rPr>
          <w:i/>
          <w:noProof/>
          <w:sz w:val="20"/>
        </w:rPr>
        <w:t>Aramaic Incantation Texts from Nippur</w:t>
      </w:r>
      <w:r>
        <w:rPr>
          <w:noProof/>
          <w:sz w:val="20"/>
        </w:rPr>
        <w:t xml:space="preserve"> (1913) 118</w:t>
      </w:r>
      <w:r w:rsidRPr="004B6669">
        <w:rPr>
          <w:sz w:val="20"/>
        </w:rPr>
        <w:fldChar w:fldCharType="end"/>
      </w:r>
      <w:r w:rsidRPr="004B6669">
        <w:rPr>
          <w:sz w:val="20"/>
        </w:rPr>
        <w:t xml:space="preserve"> line 15.</w:t>
      </w:r>
    </w:p>
  </w:footnote>
  <w:footnote w:id="44">
    <w:p w14:paraId="1DFE7667" w14:textId="3316A4A0" w:rsidR="00256BEC" w:rsidRPr="004B6669" w:rsidRDefault="00256BEC" w:rsidP="00256BEC">
      <w:pPr>
        <w:pStyle w:val="FootnoteText"/>
        <w:spacing w:before="2" w:after="2"/>
        <w:rPr>
          <w:sz w:val="20"/>
        </w:rPr>
      </w:pPr>
      <w:r w:rsidRPr="004B6669">
        <w:rPr>
          <w:rStyle w:val="FootnoteReference"/>
          <w:sz w:val="20"/>
        </w:rPr>
        <w:footnoteRef/>
      </w:r>
      <w:r w:rsidRPr="004B6669">
        <w:rPr>
          <w:sz w:val="20"/>
        </w:rPr>
        <w:t xml:space="preserve"> </w:t>
      </w:r>
      <w:r w:rsidRPr="004B6669">
        <w:rPr>
          <w:sz w:val="20"/>
        </w:rPr>
        <w:fldChar w:fldCharType="begin"/>
      </w:r>
      <w:r>
        <w:rPr>
          <w:sz w:val="20"/>
        </w:rPr>
        <w:instrText xml:space="preserve"> ADDIN EN.CITE &lt;EndNote&gt;&lt;Cite&gt;&lt;Author&gt;Borger&lt;/Author&gt;&lt;Year&gt;1987&lt;/Year&gt;&lt;RecNum&gt;1286&lt;/RecNum&gt;&lt;Pages&gt;25&lt;/Pages&gt;&lt;DisplayText&gt;Borger in &lt;style face="italic"&gt;Studies Reiner &lt;/style&gt;(1987) 25&lt;/DisplayText&gt;&lt;record&gt;&lt;rec-number&gt;1286&lt;/rec-number&gt;&lt;foreign-keys&gt;&lt;key app="EN" db-id="225fxd904pw0zueapxd5pdxewdrsefare5tz" timestamp="1466614370"&gt;1286&lt;/key&gt;&lt;/foreign-keys&gt;&lt;ref-type name="Book Section"&gt;5&lt;/ref-type&gt;&lt;contributors&gt;&lt;authors&gt;&lt;author&gt;Borger, R.&lt;/author&gt;&lt;/authors&gt;&lt;secondary-authors&gt;&lt;author&gt;Rochberg-Halton, Francesca&lt;/author&gt;&lt;/secondary-authors&gt;&lt;/contributors&gt;&lt;titles&gt;&lt;title&gt;Pazuzu&lt;/title&gt;&lt;secondary-title&gt;Language, Literature and History: philological studies presented to Erica Reiner&lt;/secondary-title&gt;&lt;tertiary-title&gt;AOS&lt;/tertiary-title&gt;&lt;short-title&gt;Studies Reiner&lt;/short-title&gt;&lt;/titles&gt;&lt;pages&gt;15-32&lt;/pages&gt;&lt;number&gt;67&lt;/number&gt;&lt;dates&gt;&lt;year&gt;1987&lt;/year&gt;&lt;/dates&gt;&lt;pub-location&gt;New Haven, CT&lt;/pub-location&gt;&lt;publisher&gt;American Oriental Society&lt;/publisher&gt;&lt;urls&gt;&lt;/urls&gt;&lt;/record&gt;&lt;/Cite&gt;&lt;/EndNote&gt;</w:instrText>
      </w:r>
      <w:r w:rsidRPr="004B6669">
        <w:rPr>
          <w:sz w:val="20"/>
        </w:rPr>
        <w:fldChar w:fldCharType="separate"/>
      </w:r>
      <w:r>
        <w:rPr>
          <w:noProof/>
          <w:sz w:val="20"/>
        </w:rPr>
        <w:t xml:space="preserve">Borger in </w:t>
      </w:r>
      <w:r w:rsidRPr="00256BEC">
        <w:rPr>
          <w:i/>
          <w:noProof/>
          <w:sz w:val="20"/>
        </w:rPr>
        <w:t xml:space="preserve">Studies Reiner </w:t>
      </w:r>
      <w:r>
        <w:rPr>
          <w:noProof/>
          <w:sz w:val="20"/>
        </w:rPr>
        <w:t>(1987) 25</w:t>
      </w:r>
      <w:r w:rsidRPr="004B6669">
        <w:rPr>
          <w:sz w:val="20"/>
        </w:rPr>
        <w:fldChar w:fldCharType="end"/>
      </w:r>
      <w:r w:rsidRPr="004B6669">
        <w:rPr>
          <w:sz w:val="20"/>
        </w:rPr>
        <w:t>: 103 (</w:t>
      </w:r>
      <w:proofErr w:type="spellStart"/>
      <w:r w:rsidRPr="004B6669">
        <w:rPr>
          <w:sz w:val="20"/>
        </w:rPr>
        <w:t>Sm</w:t>
      </w:r>
      <w:proofErr w:type="spellEnd"/>
      <w:r w:rsidRPr="004B6669">
        <w:rPr>
          <w:sz w:val="20"/>
        </w:rPr>
        <w:t xml:space="preserve"> 98: 9’ and STT 147 r.11); cf. also </w:t>
      </w:r>
      <w:proofErr w:type="gramStart"/>
      <w:r w:rsidRPr="004B6669">
        <w:rPr>
          <w:sz w:val="20"/>
        </w:rPr>
        <w:t>line</w:t>
      </w:r>
      <w:proofErr w:type="gramEnd"/>
      <w:r w:rsidRPr="004B6669">
        <w:rPr>
          <w:sz w:val="20"/>
        </w:rPr>
        <w:t xml:space="preserve"> 102.  Pazuzu heads offer further plural forms, e.g. </w:t>
      </w:r>
      <w:proofErr w:type="spellStart"/>
      <w:r w:rsidRPr="004B6669">
        <w:rPr>
          <w:sz w:val="20"/>
        </w:rPr>
        <w:t>líl-lá-hul-a</w:t>
      </w:r>
      <w:r w:rsidRPr="004B6669">
        <w:rPr>
          <w:sz w:val="20"/>
          <w:vertAlign w:val="superscript"/>
        </w:rPr>
        <w:t>meš</w:t>
      </w:r>
      <w:proofErr w:type="spellEnd"/>
      <w:r w:rsidRPr="004B6669">
        <w:rPr>
          <w:sz w:val="20"/>
        </w:rPr>
        <w:t xml:space="preserve"> (</w:t>
      </w:r>
      <w:proofErr w:type="spellStart"/>
      <w:r w:rsidRPr="004B6669">
        <w:rPr>
          <w:sz w:val="20"/>
        </w:rPr>
        <w:fldChar w:fldCharType="begin"/>
      </w:r>
      <w:r>
        <w:rPr>
          <w:sz w:val="20"/>
        </w:rPr>
        <w:instrText xml:space="preserve"> ADDIN EN.CITE &lt;EndNote&gt;&lt;Cite&gt;&lt;Author&gt;Heeßel&lt;/Author&gt;&lt;Year&gt;2002&lt;/Year&gt;&lt;RecNum&gt;1278&lt;/RecNum&gt;&lt;Pages&gt;p. 105&lt;/Pages&gt;&lt;DisplayText&gt;Heeßel, &lt;style face="italic"&gt;Pazuzu &lt;/style&gt;(2002) p. 105&lt;/DisplayText&gt;&lt;record&gt;&lt;rec-number&gt;1278&lt;/rec-number&gt;&lt;foreign-keys&gt;&lt;key app="EN" db-id="225fxd904pw0zueapxd5pdxewdrsefare5tz" timestamp="1466454420"&gt;1278&lt;/key&gt;&lt;/foreign-keys&gt;&lt;ref-type name="Book"&gt;6&lt;/ref-type&gt;&lt;contributors&gt;&lt;authors&gt;&lt;author&gt;Heeßel, Nils P.&lt;/author&gt;&lt;/authors&gt;&lt;/contributors&gt;&lt;titles&gt;&lt;title&gt;Pazuzu: archäologische und philologische Studien zu einem altorientalischen Dämon&lt;/title&gt;&lt;secondary-title&gt;AMD&lt;/secondary-title&gt;&lt;tertiary-title&gt;Ancient magic and divination ;&lt;/tertiary-title&gt;&lt;short-title&gt;Pazuzu&lt;/short-title&gt;&lt;/titles&gt;&lt;pages&gt;viii, 253 p.&lt;/pages&gt;&lt;number&gt;4&lt;/number&gt;&lt;keywords&gt;&lt;keyword&gt;Pazuzu (Assyro-Babylonian deity)&lt;/keyword&gt;&lt;keyword&gt;Demonology, Semitic.&lt;/keyword&gt;&lt;keyword&gt;Demonology, Assyro-Babylonian.&lt;/keyword&gt;&lt;/keywords&gt;&lt;dates&gt;&lt;year&gt;2002&lt;/year&gt;&lt;/dates&gt;&lt;pub-location&gt;Leiden&lt;/pub-location&gt;&lt;publisher&gt;Brill&lt;/publisher&gt;&lt;isbn&gt;9004123865&lt;/isbn&gt;&lt;call-num&gt;BL1605.P39 H44 2002&lt;/call-num&gt;&lt;urls&gt;&lt;related-urls&gt;&lt;url&gt;http://search.lib.cam.ac.uk/?itemid=|cambrdgedb|4020923&lt;/url&gt;&lt;/related-urls&gt;&lt;/urls&gt;&lt;/record&gt;&lt;/Cite&gt;&lt;/EndNote&gt;</w:instrText>
      </w:r>
      <w:r w:rsidRPr="004B6669">
        <w:rPr>
          <w:sz w:val="20"/>
        </w:rPr>
        <w:fldChar w:fldCharType="separate"/>
      </w:r>
      <w:r>
        <w:rPr>
          <w:noProof/>
          <w:sz w:val="20"/>
        </w:rPr>
        <w:t>Heeßel</w:t>
      </w:r>
      <w:proofErr w:type="spellEnd"/>
      <w:r>
        <w:rPr>
          <w:noProof/>
          <w:sz w:val="20"/>
        </w:rPr>
        <w:t xml:space="preserve">, </w:t>
      </w:r>
      <w:r w:rsidRPr="00256BEC">
        <w:rPr>
          <w:i/>
          <w:noProof/>
          <w:sz w:val="20"/>
        </w:rPr>
        <w:t xml:space="preserve">Pazuzu </w:t>
      </w:r>
      <w:r>
        <w:rPr>
          <w:noProof/>
          <w:sz w:val="20"/>
        </w:rPr>
        <w:t>(2002) p. 105</w:t>
      </w:r>
      <w:r w:rsidRPr="004B6669">
        <w:rPr>
          <w:sz w:val="20"/>
        </w:rPr>
        <w:fldChar w:fldCharType="end"/>
      </w:r>
      <w:r w:rsidRPr="004B6669">
        <w:rPr>
          <w:sz w:val="20"/>
        </w:rPr>
        <w:t>).</w:t>
      </w:r>
    </w:p>
  </w:footnote>
  <w:footnote w:id="45">
    <w:p w14:paraId="46111965" w14:textId="75531FFB" w:rsidR="00256BEC" w:rsidRPr="004B6669" w:rsidRDefault="00256BEC" w:rsidP="00256BEC">
      <w:pPr>
        <w:pStyle w:val="FootnoteText"/>
        <w:spacing w:before="2" w:after="2"/>
        <w:rPr>
          <w:sz w:val="20"/>
        </w:rPr>
      </w:pPr>
      <w:r w:rsidRPr="004B6669">
        <w:rPr>
          <w:rStyle w:val="FootnoteReference"/>
          <w:sz w:val="20"/>
        </w:rPr>
        <w:footnoteRef/>
      </w:r>
      <w:r w:rsidRPr="004B6669">
        <w:rPr>
          <w:sz w:val="20"/>
        </w:rPr>
        <w:t xml:space="preserve"> </w:t>
      </w:r>
      <w:r w:rsidRPr="004B6669">
        <w:rPr>
          <w:sz w:val="20"/>
        </w:rPr>
        <w:fldChar w:fldCharType="begin"/>
      </w:r>
      <w:r>
        <w:rPr>
          <w:sz w:val="20"/>
        </w:rPr>
        <w:instrText xml:space="preserve"> ADDIN EN.CITE &lt;EndNote&gt;&lt;Cite&gt;&lt;Author&gt;Wiggermann&lt;/Author&gt;&lt;Year&gt;2011&lt;/Year&gt;&lt;RecNum&gt;3041&lt;/RecNum&gt;&lt;Pages&gt;312&lt;/Pages&gt;&lt;DisplayText&gt;Wiggermann, &lt;style face="italic"&gt;Studi e Materiali di Storia delle Religioni&lt;/style&gt; 77/2 (2011) 312&lt;/DisplayText&gt;&lt;record&gt;&lt;rec-number&gt;3041&lt;/rec-number&gt;&lt;foreign-keys&gt;&lt;key app="EN" db-id="225fxd904pw0zueapxd5pdxewdrsefare5tz" timestamp="1518480619"&gt;3041&lt;/key&gt;&lt;/foreign-keys&gt;&lt;ref-type name="Journal Article"&gt;17&lt;/ref-type&gt;&lt;contributors&gt;&lt;authors&gt;&lt;author&gt;Wiggermann, F. A. M.&lt;/author&gt;&lt;/authors&gt;&lt;/contributors&gt;&lt;titles&gt;&lt;title&gt;The Mesopotamian Pandemonium: A Provisional Census&lt;/title&gt;&lt;secondary-title&gt;Studi e Materiali di Storia delle Religioni&lt;/secondary-title&gt;&lt;/titles&gt;&lt;periodical&gt;&lt;full-title&gt;Studi e Materiali di Storia delle Religioni&lt;/full-title&gt;&lt;/periodical&gt;&lt;pages&gt;298-322&lt;/pages&gt;&lt;volume&gt;77&lt;/volume&gt;&lt;number&gt;2&lt;/number&gt;&lt;dates&gt;&lt;year&gt;2011&lt;/year&gt;&lt;/dates&gt;&lt;urls&gt;&lt;/urls&gt;&lt;/record&gt;&lt;/Cite&gt;&lt;/EndNote&gt;</w:instrText>
      </w:r>
      <w:r w:rsidRPr="004B6669">
        <w:rPr>
          <w:sz w:val="20"/>
        </w:rPr>
        <w:fldChar w:fldCharType="separate"/>
      </w:r>
      <w:r>
        <w:rPr>
          <w:noProof/>
          <w:sz w:val="20"/>
        </w:rPr>
        <w:t xml:space="preserve">Wiggermann, </w:t>
      </w:r>
      <w:r w:rsidRPr="00256BEC">
        <w:rPr>
          <w:i/>
          <w:noProof/>
          <w:sz w:val="20"/>
        </w:rPr>
        <w:t>Studi e Materiali di Storia delle Religioni</w:t>
      </w:r>
      <w:r>
        <w:rPr>
          <w:noProof/>
          <w:sz w:val="20"/>
        </w:rPr>
        <w:t xml:space="preserve"> 77/2 (2011) 312</w:t>
      </w:r>
      <w:r w:rsidRPr="004B6669">
        <w:rPr>
          <w:sz w:val="20"/>
        </w:rPr>
        <w:fldChar w:fldCharType="end"/>
      </w:r>
      <w:r w:rsidRPr="004B6669">
        <w:rPr>
          <w:sz w:val="20"/>
        </w:rPr>
        <w:t>.</w:t>
      </w:r>
    </w:p>
  </w:footnote>
  <w:footnote w:id="46">
    <w:p w14:paraId="19081894" w14:textId="4CAF873C" w:rsidR="00256BEC" w:rsidRPr="004B6669" w:rsidRDefault="00256BEC" w:rsidP="00256BEC">
      <w:pPr>
        <w:pStyle w:val="NormalWeb"/>
        <w:spacing w:before="2" w:after="2"/>
        <w:rPr>
          <w:rFonts w:ascii="Times New Roman" w:hAnsi="Times New Roman"/>
        </w:rPr>
      </w:pPr>
      <w:r w:rsidRPr="004B6669">
        <w:rPr>
          <w:rStyle w:val="FootnoteReference"/>
          <w:rFonts w:ascii="Times New Roman" w:hAnsi="Times New Roman"/>
        </w:rPr>
        <w:footnoteRef/>
      </w:r>
      <w:r w:rsidRPr="004B6669">
        <w:rPr>
          <w:rFonts w:ascii="Times New Roman" w:hAnsi="Times New Roman"/>
        </w:rPr>
        <w:t xml:space="preserve"> For the view that </w:t>
      </w:r>
      <w:proofErr w:type="spellStart"/>
      <w:r w:rsidRPr="004B6669">
        <w:rPr>
          <w:rFonts w:ascii="Times New Roman" w:hAnsi="Times New Roman"/>
          <w:i/>
        </w:rPr>
        <w:t>lilītu</w:t>
      </w:r>
      <w:proofErr w:type="spellEnd"/>
      <w:r w:rsidRPr="004B6669">
        <w:rPr>
          <w:rFonts w:ascii="Times New Roman" w:hAnsi="Times New Roman"/>
          <w:i/>
        </w:rPr>
        <w:t xml:space="preserve"> </w:t>
      </w:r>
      <w:r w:rsidRPr="004B6669">
        <w:rPr>
          <w:rFonts w:ascii="Times New Roman" w:hAnsi="Times New Roman"/>
        </w:rPr>
        <w:t>“</w:t>
      </w:r>
      <w:r w:rsidRPr="004B6669">
        <w:rPr>
          <w:rFonts w:ascii="Times New Roman" w:hAnsi="Times New Roman"/>
          <w:szCs w:val="18"/>
        </w:rPr>
        <w:t xml:space="preserve">auf </w:t>
      </w:r>
      <w:proofErr w:type="spellStart"/>
      <w:r w:rsidRPr="004B6669">
        <w:rPr>
          <w:rFonts w:ascii="Times New Roman" w:hAnsi="Times New Roman"/>
          <w:szCs w:val="18"/>
        </w:rPr>
        <w:t>einen</w:t>
      </w:r>
      <w:proofErr w:type="spellEnd"/>
      <w:r w:rsidRPr="004B6669">
        <w:rPr>
          <w:rFonts w:ascii="Times New Roman" w:hAnsi="Times New Roman"/>
          <w:szCs w:val="18"/>
        </w:rPr>
        <w:t xml:space="preserve"> </w:t>
      </w:r>
      <w:proofErr w:type="spellStart"/>
      <w:r w:rsidRPr="004B6669">
        <w:rPr>
          <w:rFonts w:ascii="Times New Roman" w:hAnsi="Times New Roman"/>
          <w:szCs w:val="18"/>
        </w:rPr>
        <w:t>Individualnamen</w:t>
      </w:r>
      <w:proofErr w:type="spellEnd"/>
      <w:r w:rsidRPr="004B6669">
        <w:rPr>
          <w:rFonts w:ascii="Times New Roman" w:hAnsi="Times New Roman"/>
          <w:szCs w:val="18"/>
        </w:rPr>
        <w:t xml:space="preserve"> fur </w:t>
      </w:r>
      <w:proofErr w:type="spellStart"/>
      <w:r w:rsidRPr="004B6669">
        <w:rPr>
          <w:rFonts w:ascii="Times New Roman" w:hAnsi="Times New Roman"/>
          <w:szCs w:val="18"/>
        </w:rPr>
        <w:t>eine</w:t>
      </w:r>
      <w:proofErr w:type="spellEnd"/>
      <w:r w:rsidRPr="004B6669">
        <w:rPr>
          <w:rFonts w:ascii="Times New Roman" w:hAnsi="Times New Roman"/>
          <w:szCs w:val="18"/>
        </w:rPr>
        <w:t xml:space="preserve"> ... </w:t>
      </w:r>
      <w:proofErr w:type="spellStart"/>
      <w:r w:rsidRPr="004B6669">
        <w:rPr>
          <w:rFonts w:ascii="Times New Roman" w:hAnsi="Times New Roman"/>
          <w:szCs w:val="18"/>
        </w:rPr>
        <w:t>Dämonin</w:t>
      </w:r>
      <w:proofErr w:type="spellEnd"/>
      <w:r w:rsidRPr="004B6669">
        <w:rPr>
          <w:rFonts w:ascii="Times New Roman" w:hAnsi="Times New Roman"/>
          <w:szCs w:val="18"/>
        </w:rPr>
        <w:t xml:space="preserve"> des </w:t>
      </w:r>
      <w:proofErr w:type="spellStart"/>
      <w:r w:rsidRPr="004B6669">
        <w:rPr>
          <w:rFonts w:ascii="Times New Roman" w:hAnsi="Times New Roman"/>
          <w:szCs w:val="18"/>
        </w:rPr>
        <w:t>altbabylonischen</w:t>
      </w:r>
      <w:proofErr w:type="spellEnd"/>
      <w:r w:rsidRPr="004B6669">
        <w:rPr>
          <w:rFonts w:ascii="Times New Roman" w:hAnsi="Times New Roman"/>
          <w:szCs w:val="18"/>
        </w:rPr>
        <w:t xml:space="preserve"> Pantheons </w:t>
      </w:r>
      <w:proofErr w:type="spellStart"/>
      <w:r w:rsidRPr="004B6669">
        <w:rPr>
          <w:rFonts w:ascii="Times New Roman" w:hAnsi="Times New Roman"/>
          <w:szCs w:val="18"/>
        </w:rPr>
        <w:t>zurückgeh</w:t>
      </w:r>
      <w:proofErr w:type="spellEnd"/>
      <w:r w:rsidRPr="004B6669">
        <w:rPr>
          <w:rFonts w:ascii="Times New Roman" w:hAnsi="Times New Roman"/>
          <w:szCs w:val="18"/>
        </w:rPr>
        <w:t>[t]</w:t>
      </w:r>
      <w:r w:rsidRPr="004B6669">
        <w:rPr>
          <w:rFonts w:ascii="Times New Roman" w:hAnsi="Times New Roman"/>
        </w:rPr>
        <w:t xml:space="preserve">” see </w:t>
      </w:r>
      <w:r w:rsidRPr="004B6669">
        <w:rPr>
          <w:rFonts w:ascii="Times New Roman" w:hAnsi="Times New Roman"/>
        </w:rPr>
        <w:fldChar w:fldCharType="begin"/>
      </w:r>
      <w:r>
        <w:rPr>
          <w:rFonts w:ascii="Times New Roman" w:hAnsi="Times New Roman"/>
        </w:rPr>
        <w:instrText xml:space="preserve"> ADDIN EN.CITE &lt;EndNote&gt;&lt;Cite&gt;&lt;Author&gt;Fauth&lt;/Author&gt;&lt;Year&gt;1986&lt;/Year&gt;&lt;RecNum&gt;3050&lt;/RecNum&gt;&lt;Pages&gt;67&lt;/Pages&gt;&lt;DisplayText&gt;Fauth, &lt;style face="italic"&gt;WdO&lt;/style&gt; 17 (1986) 67&lt;/DisplayText&gt;&lt;record&gt;&lt;rec-number&gt;3050&lt;/rec-number&gt;&lt;foreign-keys&gt;&lt;key app="EN" db-id="225fxd904pw0zueapxd5pdxewdrsefare5tz" timestamp="1518656201"&gt;3050&lt;/key&gt;&lt;/foreign-keys&gt;&lt;ref-type name="Journal Article"&gt;17&lt;/ref-type&gt;&lt;contributors&gt;&lt;authors&gt;&lt;author&gt;Fauth, Wolfgang&lt;/author&gt;&lt;/authors&gt;&lt;/contributors&gt;&lt;titles&gt;&lt;title&gt;Lilits und Astarten in aramäischen, mandäischen und syrischen Zaubertexten&lt;/title&gt;&lt;secondary-title&gt;WdO&lt;/secondary-title&gt;&lt;/titles&gt;&lt;periodical&gt;&lt;full-title&gt;WdO&lt;/full-title&gt;&lt;/periodical&gt;&lt;pages&gt;66-94&lt;/pages&gt;&lt;volume&gt;17&lt;/volume&gt;&lt;dates&gt;&lt;year&gt;1986&lt;/year&gt;&lt;/dates&gt;&lt;publisher&gt;Vandenhoeck &amp;amp; Ruprecht (GmbH &amp;amp; Co. KG)&lt;/publisher&gt;&lt;isbn&gt;00432547&lt;/isbn&gt;&lt;urls&gt;&lt;related-urls&gt;&lt;url&gt;http://www.jstor.org/stable/25683218&lt;/url&gt;&lt;/related-urls&gt;&lt;/urls&gt;&lt;custom1&gt;Full publication date: 1986&lt;/custom1&gt;&lt;/record&gt;&lt;/Cite&gt;&lt;/EndNote&gt;</w:instrText>
      </w:r>
      <w:r w:rsidRPr="004B6669">
        <w:rPr>
          <w:rFonts w:ascii="Times New Roman" w:hAnsi="Times New Roman"/>
        </w:rPr>
        <w:fldChar w:fldCharType="separate"/>
      </w:r>
      <w:r>
        <w:rPr>
          <w:rFonts w:ascii="Times New Roman" w:hAnsi="Times New Roman"/>
          <w:noProof/>
        </w:rPr>
        <w:t xml:space="preserve">Fauth, </w:t>
      </w:r>
      <w:r w:rsidRPr="00256BEC">
        <w:rPr>
          <w:rFonts w:ascii="Times New Roman" w:hAnsi="Times New Roman"/>
          <w:i/>
          <w:noProof/>
        </w:rPr>
        <w:t>WdO</w:t>
      </w:r>
      <w:r>
        <w:rPr>
          <w:rFonts w:ascii="Times New Roman" w:hAnsi="Times New Roman"/>
          <w:noProof/>
        </w:rPr>
        <w:t xml:space="preserve"> 17 (1986) 67</w:t>
      </w:r>
      <w:r w:rsidRPr="004B6669">
        <w:rPr>
          <w:rFonts w:ascii="Times New Roman" w:hAnsi="Times New Roman"/>
        </w:rPr>
        <w:fldChar w:fldCharType="end"/>
      </w:r>
      <w:r w:rsidRPr="004B6669">
        <w:rPr>
          <w:rFonts w:ascii="Times New Roman" w:hAnsi="Times New Roman"/>
        </w:rPr>
        <w:t xml:space="preserve">. </w:t>
      </w:r>
      <w:r w:rsidRPr="004B6669">
        <w:t>On his p. 79 he notes that plurality could have come about through the demons’ activity as incubus and succubus.  (</w:t>
      </w:r>
      <w:r w:rsidRPr="004B6669">
        <w:rPr>
          <w:rFonts w:ascii="Times New Roman" w:hAnsi="Times New Roman"/>
        </w:rPr>
        <w:t xml:space="preserve">I do not understand the suggestion on </w:t>
      </w:r>
      <w:r w:rsidRPr="004B6669">
        <w:t xml:space="preserve">his p. 68 </w:t>
      </w:r>
      <w:r w:rsidRPr="004B6669">
        <w:rPr>
          <w:rFonts w:ascii="Times New Roman" w:hAnsi="Times New Roman"/>
        </w:rPr>
        <w:t>that “</w:t>
      </w:r>
      <w:proofErr w:type="spellStart"/>
      <w:r w:rsidRPr="004B6669">
        <w:rPr>
          <w:rFonts w:ascii="Times New Roman" w:hAnsi="Times New Roman"/>
          <w:szCs w:val="18"/>
        </w:rPr>
        <w:t>Lilitu</w:t>
      </w:r>
      <w:proofErr w:type="spellEnd"/>
      <w:r w:rsidRPr="004B6669">
        <w:rPr>
          <w:rFonts w:ascii="Times New Roman" w:hAnsi="Times New Roman"/>
          <w:szCs w:val="18"/>
        </w:rPr>
        <w:t xml:space="preserve"> von </w:t>
      </w:r>
      <w:proofErr w:type="spellStart"/>
      <w:r w:rsidRPr="004B6669">
        <w:rPr>
          <w:rFonts w:ascii="Times New Roman" w:hAnsi="Times New Roman"/>
          <w:szCs w:val="18"/>
        </w:rPr>
        <w:t>vornherein</w:t>
      </w:r>
      <w:proofErr w:type="spellEnd"/>
      <w:r w:rsidRPr="004B6669">
        <w:rPr>
          <w:rFonts w:ascii="Times New Roman" w:hAnsi="Times New Roman"/>
          <w:szCs w:val="18"/>
        </w:rPr>
        <w:t xml:space="preserve"> in </w:t>
      </w:r>
      <w:proofErr w:type="spellStart"/>
      <w:r w:rsidRPr="004B6669">
        <w:rPr>
          <w:rFonts w:ascii="Times New Roman" w:hAnsi="Times New Roman"/>
          <w:szCs w:val="18"/>
        </w:rPr>
        <w:t>einer</w:t>
      </w:r>
      <w:proofErr w:type="spellEnd"/>
      <w:r w:rsidRPr="004B6669">
        <w:rPr>
          <w:rFonts w:ascii="Times New Roman" w:hAnsi="Times New Roman"/>
          <w:szCs w:val="18"/>
        </w:rPr>
        <w:t xml:space="preserve"> die </w:t>
      </w:r>
      <w:proofErr w:type="spellStart"/>
      <w:r w:rsidRPr="004B6669">
        <w:rPr>
          <w:rFonts w:ascii="Times New Roman" w:hAnsi="Times New Roman"/>
          <w:szCs w:val="18"/>
        </w:rPr>
        <w:t>verschiedenen</w:t>
      </w:r>
      <w:proofErr w:type="spellEnd"/>
      <w:r w:rsidRPr="004B6669">
        <w:rPr>
          <w:rFonts w:ascii="Times New Roman" w:hAnsi="Times New Roman"/>
          <w:szCs w:val="18"/>
        </w:rPr>
        <w:t xml:space="preserve"> </w:t>
      </w:r>
      <w:proofErr w:type="spellStart"/>
      <w:r w:rsidRPr="004B6669">
        <w:rPr>
          <w:rFonts w:ascii="Times New Roman" w:hAnsi="Times New Roman"/>
          <w:szCs w:val="18"/>
        </w:rPr>
        <w:t>dämonischen</w:t>
      </w:r>
      <w:proofErr w:type="spellEnd"/>
      <w:r w:rsidRPr="004B6669">
        <w:rPr>
          <w:rFonts w:ascii="Times New Roman" w:hAnsi="Times New Roman"/>
          <w:szCs w:val="18"/>
        </w:rPr>
        <w:t xml:space="preserve"> </w:t>
      </w:r>
      <w:proofErr w:type="spellStart"/>
      <w:r w:rsidRPr="004B6669">
        <w:rPr>
          <w:rFonts w:ascii="Times New Roman" w:hAnsi="Times New Roman"/>
          <w:szCs w:val="18"/>
        </w:rPr>
        <w:t>Aspekte</w:t>
      </w:r>
      <w:proofErr w:type="spellEnd"/>
      <w:r w:rsidRPr="004B6669">
        <w:rPr>
          <w:rFonts w:ascii="Times New Roman" w:hAnsi="Times New Roman"/>
          <w:szCs w:val="18"/>
        </w:rPr>
        <w:t xml:space="preserve"> </w:t>
      </w:r>
      <w:proofErr w:type="spellStart"/>
      <w:r w:rsidRPr="004B6669">
        <w:rPr>
          <w:rFonts w:ascii="Times New Roman" w:hAnsi="Times New Roman"/>
          <w:szCs w:val="18"/>
        </w:rPr>
        <w:t>einfangenden</w:t>
      </w:r>
      <w:proofErr w:type="spellEnd"/>
      <w:r w:rsidRPr="004B6669">
        <w:rPr>
          <w:rFonts w:ascii="Times New Roman" w:hAnsi="Times New Roman"/>
          <w:szCs w:val="18"/>
        </w:rPr>
        <w:t xml:space="preserve"> </w:t>
      </w:r>
      <w:proofErr w:type="spellStart"/>
      <w:r w:rsidRPr="004B6669">
        <w:rPr>
          <w:rFonts w:ascii="Times New Roman" w:hAnsi="Times New Roman"/>
          <w:szCs w:val="18"/>
        </w:rPr>
        <w:t>Trias</w:t>
      </w:r>
      <w:proofErr w:type="spellEnd"/>
      <w:r w:rsidRPr="004B6669">
        <w:rPr>
          <w:rFonts w:ascii="Times New Roman" w:hAnsi="Times New Roman"/>
          <w:szCs w:val="18"/>
        </w:rPr>
        <w:t xml:space="preserve"> (</w:t>
      </w:r>
      <w:proofErr w:type="spellStart"/>
      <w:r w:rsidRPr="004B6669">
        <w:rPr>
          <w:rFonts w:ascii="Times New Roman" w:hAnsi="Times New Roman"/>
          <w:szCs w:val="18"/>
        </w:rPr>
        <w:t>Lilu</w:t>
      </w:r>
      <w:proofErr w:type="spellEnd"/>
      <w:r w:rsidRPr="004B6669">
        <w:rPr>
          <w:rFonts w:ascii="Times New Roman" w:hAnsi="Times New Roman"/>
          <w:szCs w:val="18"/>
        </w:rPr>
        <w:t xml:space="preserve">, </w:t>
      </w:r>
      <w:proofErr w:type="spellStart"/>
      <w:r w:rsidRPr="004B6669">
        <w:rPr>
          <w:rFonts w:ascii="Times New Roman" w:hAnsi="Times New Roman"/>
          <w:szCs w:val="18"/>
        </w:rPr>
        <w:t>Lilitu</w:t>
      </w:r>
      <w:proofErr w:type="spellEnd"/>
      <w:r w:rsidRPr="004B6669">
        <w:rPr>
          <w:rFonts w:ascii="Times New Roman" w:hAnsi="Times New Roman"/>
          <w:szCs w:val="18"/>
        </w:rPr>
        <w:t xml:space="preserve">, </w:t>
      </w:r>
      <w:proofErr w:type="spellStart"/>
      <w:r w:rsidRPr="004B6669">
        <w:rPr>
          <w:rFonts w:ascii="Times New Roman" w:hAnsi="Times New Roman"/>
          <w:szCs w:val="18"/>
        </w:rPr>
        <w:t>Ardat</w:t>
      </w:r>
      <w:proofErr w:type="spellEnd"/>
      <w:r w:rsidRPr="004B6669">
        <w:rPr>
          <w:rFonts w:ascii="Times New Roman" w:hAnsi="Times New Roman"/>
          <w:szCs w:val="18"/>
        </w:rPr>
        <w:t xml:space="preserve"> Lili) </w:t>
      </w:r>
      <w:proofErr w:type="spellStart"/>
      <w:r w:rsidRPr="004B6669">
        <w:rPr>
          <w:szCs w:val="16"/>
        </w:rPr>
        <w:t>integriert</w:t>
      </w:r>
      <w:proofErr w:type="spellEnd"/>
      <w:r w:rsidRPr="004B6669">
        <w:rPr>
          <w:szCs w:val="16"/>
        </w:rPr>
        <w:t xml:space="preserve"> war</w:t>
      </w:r>
      <w:r w:rsidRPr="004B6669">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šerkukkī B&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25fxd904pw0zueapxd5pdxewdrsefare5tz&quot;&gt;MJW Assyriology library&lt;record-ids&gt;&lt;item&gt;1253&lt;/item&gt;&lt;item&gt;1269&lt;/item&gt;&lt;item&gt;1273&lt;/item&gt;&lt;item&gt;1274&lt;/item&gt;&lt;item&gt;1278&lt;/item&gt;&lt;item&gt;1282&lt;/item&gt;&lt;item&gt;1283&lt;/item&gt;&lt;item&gt;1286&lt;/item&gt;&lt;item&gt;1294&lt;/item&gt;&lt;item&gt;1300&lt;/item&gt;&lt;item&gt;1306&lt;/item&gt;&lt;item&gt;1316&lt;/item&gt;&lt;item&gt;1556&lt;/item&gt;&lt;item&gt;1754&lt;/item&gt;&lt;item&gt;2227&lt;/item&gt;&lt;item&gt;2228&lt;/item&gt;&lt;item&gt;2390&lt;/item&gt;&lt;item&gt;2509&lt;/item&gt;&lt;item&gt;2861&lt;/item&gt;&lt;item&gt;2863&lt;/item&gt;&lt;item&gt;2864&lt;/item&gt;&lt;item&gt;2865&lt;/item&gt;&lt;item&gt;2901&lt;/item&gt;&lt;item&gt;3024&lt;/item&gt;&lt;item&gt;3041&lt;/item&gt;&lt;item&gt;3050&lt;/item&gt;&lt;item&gt;3055&lt;/item&gt;&lt;item&gt;3058&lt;/item&gt;&lt;item&gt;3104&lt;/item&gt;&lt;item&gt;3221&lt;/item&gt;&lt;item&gt;3245&lt;/item&gt;&lt;item&gt;3259&lt;/item&gt;&lt;item&gt;3359&lt;/item&gt;&lt;item&gt;3491&lt;/item&gt;&lt;item&gt;3492&lt;/item&gt;&lt;item&gt;3494&lt;/item&gt;&lt;item&gt;3794&lt;/item&gt;&lt;item&gt;5797&lt;/item&gt;&lt;item&gt;5798&lt;/item&gt;&lt;/record-ids&gt;&lt;/item&gt;&lt;/Libraries&gt;"/>
  </w:docVars>
  <w:rsids>
    <w:rsidRoot w:val="00D56272"/>
    <w:rsid w:val="000029CF"/>
    <w:rsid w:val="00013FC7"/>
    <w:rsid w:val="00020A6F"/>
    <w:rsid w:val="0002293D"/>
    <w:rsid w:val="0002388B"/>
    <w:rsid w:val="00030C5D"/>
    <w:rsid w:val="00032E5B"/>
    <w:rsid w:val="00033473"/>
    <w:rsid w:val="00037495"/>
    <w:rsid w:val="000412F1"/>
    <w:rsid w:val="00045040"/>
    <w:rsid w:val="00065BC3"/>
    <w:rsid w:val="00075C00"/>
    <w:rsid w:val="0008645A"/>
    <w:rsid w:val="00087B91"/>
    <w:rsid w:val="00090150"/>
    <w:rsid w:val="00093144"/>
    <w:rsid w:val="000A196F"/>
    <w:rsid w:val="000A4132"/>
    <w:rsid w:val="000B09EC"/>
    <w:rsid w:val="000C05D0"/>
    <w:rsid w:val="000C0640"/>
    <w:rsid w:val="000C0A62"/>
    <w:rsid w:val="000C239E"/>
    <w:rsid w:val="000C2E91"/>
    <w:rsid w:val="000D3A70"/>
    <w:rsid w:val="000E49ED"/>
    <w:rsid w:val="000E7C29"/>
    <w:rsid w:val="000F797A"/>
    <w:rsid w:val="00101FC3"/>
    <w:rsid w:val="00105E56"/>
    <w:rsid w:val="00111C50"/>
    <w:rsid w:val="001165B0"/>
    <w:rsid w:val="001210B4"/>
    <w:rsid w:val="00122997"/>
    <w:rsid w:val="00143EA3"/>
    <w:rsid w:val="00151712"/>
    <w:rsid w:val="00151E2D"/>
    <w:rsid w:val="0016281A"/>
    <w:rsid w:val="00167177"/>
    <w:rsid w:val="0017667C"/>
    <w:rsid w:val="00177860"/>
    <w:rsid w:val="00190968"/>
    <w:rsid w:val="001A13D1"/>
    <w:rsid w:val="001C0443"/>
    <w:rsid w:val="001D3D28"/>
    <w:rsid w:val="001D4AFC"/>
    <w:rsid w:val="001E0696"/>
    <w:rsid w:val="001E1C86"/>
    <w:rsid w:val="001E3563"/>
    <w:rsid w:val="001E4BBD"/>
    <w:rsid w:val="001E592F"/>
    <w:rsid w:val="001F4F3C"/>
    <w:rsid w:val="002337A4"/>
    <w:rsid w:val="0024365E"/>
    <w:rsid w:val="002440DE"/>
    <w:rsid w:val="00256BEC"/>
    <w:rsid w:val="00263EF5"/>
    <w:rsid w:val="00283ABE"/>
    <w:rsid w:val="00291386"/>
    <w:rsid w:val="002946E8"/>
    <w:rsid w:val="002A272D"/>
    <w:rsid w:val="002A487D"/>
    <w:rsid w:val="002D2F2A"/>
    <w:rsid w:val="002D5B7F"/>
    <w:rsid w:val="002F4D46"/>
    <w:rsid w:val="00301DD8"/>
    <w:rsid w:val="0030440E"/>
    <w:rsid w:val="00311218"/>
    <w:rsid w:val="00315195"/>
    <w:rsid w:val="003216D2"/>
    <w:rsid w:val="00327BD8"/>
    <w:rsid w:val="00334DED"/>
    <w:rsid w:val="003354F6"/>
    <w:rsid w:val="00340728"/>
    <w:rsid w:val="00347268"/>
    <w:rsid w:val="003521B0"/>
    <w:rsid w:val="003535E4"/>
    <w:rsid w:val="00375961"/>
    <w:rsid w:val="003A58AA"/>
    <w:rsid w:val="003A5D36"/>
    <w:rsid w:val="003A5ECE"/>
    <w:rsid w:val="003A71E3"/>
    <w:rsid w:val="003B3C54"/>
    <w:rsid w:val="003B5558"/>
    <w:rsid w:val="003C7E97"/>
    <w:rsid w:val="003D2359"/>
    <w:rsid w:val="003D46D9"/>
    <w:rsid w:val="003E2B08"/>
    <w:rsid w:val="003E3DE6"/>
    <w:rsid w:val="003E5503"/>
    <w:rsid w:val="003F4C21"/>
    <w:rsid w:val="004015D3"/>
    <w:rsid w:val="004030F9"/>
    <w:rsid w:val="00411B00"/>
    <w:rsid w:val="004144A0"/>
    <w:rsid w:val="00421428"/>
    <w:rsid w:val="00423881"/>
    <w:rsid w:val="00426165"/>
    <w:rsid w:val="00427639"/>
    <w:rsid w:val="00432EE0"/>
    <w:rsid w:val="00437A50"/>
    <w:rsid w:val="00447167"/>
    <w:rsid w:val="00463F5C"/>
    <w:rsid w:val="00466B2B"/>
    <w:rsid w:val="004823F1"/>
    <w:rsid w:val="00483A9A"/>
    <w:rsid w:val="00493397"/>
    <w:rsid w:val="00493564"/>
    <w:rsid w:val="004A55ED"/>
    <w:rsid w:val="004B033B"/>
    <w:rsid w:val="004B0DBF"/>
    <w:rsid w:val="004B7240"/>
    <w:rsid w:val="004C73F6"/>
    <w:rsid w:val="004C74AD"/>
    <w:rsid w:val="004D1D7C"/>
    <w:rsid w:val="004D3106"/>
    <w:rsid w:val="00500607"/>
    <w:rsid w:val="00507FCB"/>
    <w:rsid w:val="00512335"/>
    <w:rsid w:val="0051727B"/>
    <w:rsid w:val="00524712"/>
    <w:rsid w:val="00534120"/>
    <w:rsid w:val="00540F95"/>
    <w:rsid w:val="00547950"/>
    <w:rsid w:val="0055029E"/>
    <w:rsid w:val="00553EEB"/>
    <w:rsid w:val="005603A1"/>
    <w:rsid w:val="0056651C"/>
    <w:rsid w:val="005720F9"/>
    <w:rsid w:val="00586979"/>
    <w:rsid w:val="005A17BC"/>
    <w:rsid w:val="005B1418"/>
    <w:rsid w:val="005B7212"/>
    <w:rsid w:val="005E2758"/>
    <w:rsid w:val="005F16C0"/>
    <w:rsid w:val="00600E5A"/>
    <w:rsid w:val="00621533"/>
    <w:rsid w:val="00625CFB"/>
    <w:rsid w:val="00634C28"/>
    <w:rsid w:val="00642EDC"/>
    <w:rsid w:val="0064371C"/>
    <w:rsid w:val="0065231B"/>
    <w:rsid w:val="006566E5"/>
    <w:rsid w:val="00666396"/>
    <w:rsid w:val="006673A2"/>
    <w:rsid w:val="006707A2"/>
    <w:rsid w:val="006743FE"/>
    <w:rsid w:val="006744FC"/>
    <w:rsid w:val="0068619D"/>
    <w:rsid w:val="006901C4"/>
    <w:rsid w:val="00697282"/>
    <w:rsid w:val="006A6EF8"/>
    <w:rsid w:val="006C4410"/>
    <w:rsid w:val="006D29F9"/>
    <w:rsid w:val="006E48DA"/>
    <w:rsid w:val="006E515F"/>
    <w:rsid w:val="006F4593"/>
    <w:rsid w:val="00704B11"/>
    <w:rsid w:val="0070747C"/>
    <w:rsid w:val="00715C16"/>
    <w:rsid w:val="00716CB5"/>
    <w:rsid w:val="00722A45"/>
    <w:rsid w:val="00723B93"/>
    <w:rsid w:val="007251BC"/>
    <w:rsid w:val="00732B1F"/>
    <w:rsid w:val="00742120"/>
    <w:rsid w:val="00746D0B"/>
    <w:rsid w:val="00751BC1"/>
    <w:rsid w:val="00757BCF"/>
    <w:rsid w:val="00764D74"/>
    <w:rsid w:val="00790425"/>
    <w:rsid w:val="00795E45"/>
    <w:rsid w:val="007A7721"/>
    <w:rsid w:val="007A7FCE"/>
    <w:rsid w:val="007D7491"/>
    <w:rsid w:val="007E0346"/>
    <w:rsid w:val="007E5DE1"/>
    <w:rsid w:val="00800543"/>
    <w:rsid w:val="00801368"/>
    <w:rsid w:val="00801DFE"/>
    <w:rsid w:val="00815409"/>
    <w:rsid w:val="00820484"/>
    <w:rsid w:val="008238DF"/>
    <w:rsid w:val="00826A5D"/>
    <w:rsid w:val="00827476"/>
    <w:rsid w:val="00831F36"/>
    <w:rsid w:val="00835BD0"/>
    <w:rsid w:val="00846B49"/>
    <w:rsid w:val="00846EE8"/>
    <w:rsid w:val="00852DF2"/>
    <w:rsid w:val="00856908"/>
    <w:rsid w:val="00866C71"/>
    <w:rsid w:val="008844A2"/>
    <w:rsid w:val="00893B3F"/>
    <w:rsid w:val="00894B95"/>
    <w:rsid w:val="008A3A25"/>
    <w:rsid w:val="008A59B4"/>
    <w:rsid w:val="008B1E3C"/>
    <w:rsid w:val="008B5001"/>
    <w:rsid w:val="008C166F"/>
    <w:rsid w:val="008C5397"/>
    <w:rsid w:val="008D0978"/>
    <w:rsid w:val="008D4DA3"/>
    <w:rsid w:val="00910A6D"/>
    <w:rsid w:val="009155E5"/>
    <w:rsid w:val="00920EF2"/>
    <w:rsid w:val="00930A83"/>
    <w:rsid w:val="00931207"/>
    <w:rsid w:val="00934FEF"/>
    <w:rsid w:val="00943A83"/>
    <w:rsid w:val="009459EB"/>
    <w:rsid w:val="009561E0"/>
    <w:rsid w:val="009620F3"/>
    <w:rsid w:val="00962729"/>
    <w:rsid w:val="00962BC6"/>
    <w:rsid w:val="00984106"/>
    <w:rsid w:val="00997D0F"/>
    <w:rsid w:val="009A122A"/>
    <w:rsid w:val="009A4D40"/>
    <w:rsid w:val="009A6143"/>
    <w:rsid w:val="009B38C4"/>
    <w:rsid w:val="009C0D83"/>
    <w:rsid w:val="009C3656"/>
    <w:rsid w:val="009D48F9"/>
    <w:rsid w:val="009D630F"/>
    <w:rsid w:val="009E0041"/>
    <w:rsid w:val="009F0730"/>
    <w:rsid w:val="009F1F97"/>
    <w:rsid w:val="009F51B9"/>
    <w:rsid w:val="00A10B46"/>
    <w:rsid w:val="00A2044D"/>
    <w:rsid w:val="00A43B7D"/>
    <w:rsid w:val="00A51C42"/>
    <w:rsid w:val="00A55C9C"/>
    <w:rsid w:val="00A56C1E"/>
    <w:rsid w:val="00A57473"/>
    <w:rsid w:val="00A61047"/>
    <w:rsid w:val="00A61932"/>
    <w:rsid w:val="00A947D5"/>
    <w:rsid w:val="00AA6CEF"/>
    <w:rsid w:val="00AB5721"/>
    <w:rsid w:val="00AB74F1"/>
    <w:rsid w:val="00AC6CDA"/>
    <w:rsid w:val="00AC6D62"/>
    <w:rsid w:val="00AC782B"/>
    <w:rsid w:val="00AD06D2"/>
    <w:rsid w:val="00AE7DB5"/>
    <w:rsid w:val="00AF46B5"/>
    <w:rsid w:val="00B03945"/>
    <w:rsid w:val="00B117C0"/>
    <w:rsid w:val="00B22D33"/>
    <w:rsid w:val="00B31EE0"/>
    <w:rsid w:val="00B35A9D"/>
    <w:rsid w:val="00B36DF0"/>
    <w:rsid w:val="00B3735C"/>
    <w:rsid w:val="00B44D53"/>
    <w:rsid w:val="00B52A66"/>
    <w:rsid w:val="00B54187"/>
    <w:rsid w:val="00B56B85"/>
    <w:rsid w:val="00B60227"/>
    <w:rsid w:val="00B72E50"/>
    <w:rsid w:val="00B7400D"/>
    <w:rsid w:val="00B752C8"/>
    <w:rsid w:val="00B76728"/>
    <w:rsid w:val="00B9194D"/>
    <w:rsid w:val="00B93DFA"/>
    <w:rsid w:val="00B944CB"/>
    <w:rsid w:val="00B96BE9"/>
    <w:rsid w:val="00BA29AD"/>
    <w:rsid w:val="00BA725F"/>
    <w:rsid w:val="00BB0704"/>
    <w:rsid w:val="00BC3BB9"/>
    <w:rsid w:val="00BE13AB"/>
    <w:rsid w:val="00BE7F90"/>
    <w:rsid w:val="00BF7E02"/>
    <w:rsid w:val="00C078FF"/>
    <w:rsid w:val="00C23E91"/>
    <w:rsid w:val="00C26F06"/>
    <w:rsid w:val="00C310DD"/>
    <w:rsid w:val="00C320FE"/>
    <w:rsid w:val="00C366A1"/>
    <w:rsid w:val="00C3723D"/>
    <w:rsid w:val="00C429F8"/>
    <w:rsid w:val="00C70707"/>
    <w:rsid w:val="00C71DA8"/>
    <w:rsid w:val="00C73314"/>
    <w:rsid w:val="00C81460"/>
    <w:rsid w:val="00C8207F"/>
    <w:rsid w:val="00C87802"/>
    <w:rsid w:val="00C96562"/>
    <w:rsid w:val="00CC298E"/>
    <w:rsid w:val="00CC4E7C"/>
    <w:rsid w:val="00CE3829"/>
    <w:rsid w:val="00CE425A"/>
    <w:rsid w:val="00CF49DC"/>
    <w:rsid w:val="00CF651F"/>
    <w:rsid w:val="00D00356"/>
    <w:rsid w:val="00D01214"/>
    <w:rsid w:val="00D045B8"/>
    <w:rsid w:val="00D22D03"/>
    <w:rsid w:val="00D33D00"/>
    <w:rsid w:val="00D44F03"/>
    <w:rsid w:val="00D515C7"/>
    <w:rsid w:val="00D56272"/>
    <w:rsid w:val="00D62E7D"/>
    <w:rsid w:val="00D6645F"/>
    <w:rsid w:val="00D73A38"/>
    <w:rsid w:val="00D74232"/>
    <w:rsid w:val="00D7515B"/>
    <w:rsid w:val="00D83E2C"/>
    <w:rsid w:val="00D87313"/>
    <w:rsid w:val="00D9390F"/>
    <w:rsid w:val="00D93CBA"/>
    <w:rsid w:val="00DA0468"/>
    <w:rsid w:val="00DA3524"/>
    <w:rsid w:val="00DC42FE"/>
    <w:rsid w:val="00DC6346"/>
    <w:rsid w:val="00DD0D3F"/>
    <w:rsid w:val="00DD19D4"/>
    <w:rsid w:val="00DD30DD"/>
    <w:rsid w:val="00DD3AD6"/>
    <w:rsid w:val="00DD4313"/>
    <w:rsid w:val="00DD6D88"/>
    <w:rsid w:val="00DD7E7C"/>
    <w:rsid w:val="00DE46DF"/>
    <w:rsid w:val="00DF3544"/>
    <w:rsid w:val="00DF358A"/>
    <w:rsid w:val="00E01E1B"/>
    <w:rsid w:val="00E112DE"/>
    <w:rsid w:val="00E25198"/>
    <w:rsid w:val="00E333AD"/>
    <w:rsid w:val="00E60F1F"/>
    <w:rsid w:val="00E66064"/>
    <w:rsid w:val="00E87737"/>
    <w:rsid w:val="00E938FA"/>
    <w:rsid w:val="00E93B2D"/>
    <w:rsid w:val="00EB2819"/>
    <w:rsid w:val="00EB53F6"/>
    <w:rsid w:val="00EC0D58"/>
    <w:rsid w:val="00EC345C"/>
    <w:rsid w:val="00EC6D00"/>
    <w:rsid w:val="00ED12F9"/>
    <w:rsid w:val="00ED5903"/>
    <w:rsid w:val="00ED65A1"/>
    <w:rsid w:val="00EF02FA"/>
    <w:rsid w:val="00EF1A9E"/>
    <w:rsid w:val="00EF4492"/>
    <w:rsid w:val="00F0626C"/>
    <w:rsid w:val="00F0703B"/>
    <w:rsid w:val="00F14F22"/>
    <w:rsid w:val="00F16AF5"/>
    <w:rsid w:val="00F324A3"/>
    <w:rsid w:val="00F3323F"/>
    <w:rsid w:val="00F3492C"/>
    <w:rsid w:val="00F3579A"/>
    <w:rsid w:val="00F543B1"/>
    <w:rsid w:val="00F55218"/>
    <w:rsid w:val="00F71552"/>
    <w:rsid w:val="00F92A9D"/>
    <w:rsid w:val="00F94B62"/>
    <w:rsid w:val="00FA6387"/>
    <w:rsid w:val="00FB6EFB"/>
    <w:rsid w:val="00FC479E"/>
    <w:rsid w:val="00FC6A4B"/>
    <w:rsid w:val="00FC7965"/>
    <w:rsid w:val="00FD38D4"/>
    <w:rsid w:val="00FF1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FFACBB"/>
  <w15:chartTrackingRefBased/>
  <w15:docId w15:val="{C6EAB714-DED3-D342-BAC1-052DB8834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272"/>
    <w:rPr>
      <w:rFonts w:ascii="Times New Roman" w:hAnsi="Times New Roman"/>
      <w:kern w:val="0"/>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D56272"/>
  </w:style>
  <w:style w:type="character" w:customStyle="1" w:styleId="FootnoteTextChar">
    <w:name w:val="Footnote Text Char"/>
    <w:basedOn w:val="DefaultParagraphFont"/>
    <w:link w:val="FootnoteText"/>
    <w:rsid w:val="00D56272"/>
    <w:rPr>
      <w:rFonts w:ascii="Times New Roman" w:hAnsi="Times New Roman"/>
      <w:kern w:val="0"/>
      <w:lang w:val="en-US"/>
      <w14:ligatures w14:val="none"/>
    </w:rPr>
  </w:style>
  <w:style w:type="character" w:styleId="FootnoteReference">
    <w:name w:val="footnote reference"/>
    <w:basedOn w:val="DefaultParagraphFont"/>
    <w:uiPriority w:val="99"/>
    <w:unhideWhenUsed/>
    <w:rsid w:val="00D56272"/>
    <w:rPr>
      <w:vertAlign w:val="superscript"/>
    </w:rPr>
  </w:style>
  <w:style w:type="character" w:styleId="Hyperlink">
    <w:name w:val="Hyperlink"/>
    <w:basedOn w:val="DefaultParagraphFont"/>
    <w:uiPriority w:val="99"/>
    <w:rsid w:val="00D56272"/>
    <w:rPr>
      <w:color w:val="0000FF"/>
      <w:u w:val="single"/>
    </w:rPr>
  </w:style>
  <w:style w:type="paragraph" w:styleId="NormalWeb">
    <w:name w:val="Normal (Web)"/>
    <w:basedOn w:val="Normal"/>
    <w:uiPriority w:val="99"/>
    <w:rsid w:val="00D56272"/>
    <w:pPr>
      <w:spacing w:beforeLines="1" w:afterLines="1"/>
    </w:pPr>
    <w:rPr>
      <w:rFonts w:ascii="Times" w:hAnsi="Times" w:cs="Times New Roman"/>
      <w:sz w:val="20"/>
      <w:szCs w:val="20"/>
    </w:rPr>
  </w:style>
  <w:style w:type="paragraph" w:customStyle="1" w:styleId="EndNoteBibliographyTitle">
    <w:name w:val="EndNote Bibliography Title"/>
    <w:basedOn w:val="Normal"/>
    <w:link w:val="EndNoteBibliographyTitleChar"/>
    <w:rsid w:val="00D56272"/>
    <w:pPr>
      <w:jc w:val="center"/>
    </w:pPr>
    <w:rPr>
      <w:rFonts w:cs="Times New Roman"/>
    </w:rPr>
  </w:style>
  <w:style w:type="character" w:customStyle="1" w:styleId="EndNoteBibliographyTitleChar">
    <w:name w:val="EndNote Bibliography Title Char"/>
    <w:basedOn w:val="DefaultParagraphFont"/>
    <w:link w:val="EndNoteBibliographyTitle"/>
    <w:rsid w:val="00D56272"/>
    <w:rPr>
      <w:rFonts w:ascii="Times New Roman" w:hAnsi="Times New Roman" w:cs="Times New Roman"/>
      <w:kern w:val="0"/>
      <w:lang w:val="en-US"/>
      <w14:ligatures w14:val="none"/>
    </w:rPr>
  </w:style>
  <w:style w:type="paragraph" w:customStyle="1" w:styleId="EndNoteBibliography">
    <w:name w:val="EndNote Bibliography"/>
    <w:basedOn w:val="Normal"/>
    <w:link w:val="EndNoteBibliographyChar"/>
    <w:rsid w:val="00D56272"/>
    <w:rPr>
      <w:rFonts w:cs="Times New Roman"/>
    </w:rPr>
  </w:style>
  <w:style w:type="character" w:customStyle="1" w:styleId="EndNoteBibliographyChar">
    <w:name w:val="EndNote Bibliography Char"/>
    <w:basedOn w:val="DefaultParagraphFont"/>
    <w:link w:val="EndNoteBibliography"/>
    <w:rsid w:val="00D56272"/>
    <w:rPr>
      <w:rFonts w:ascii="Times New Roman" w:hAnsi="Times New Roman" w:cs="Times New Roman"/>
      <w:kern w:val="0"/>
      <w:lang w:val="en-US"/>
      <w14:ligatures w14:val="none"/>
    </w:rPr>
  </w:style>
  <w:style w:type="paragraph" w:styleId="EndnoteText">
    <w:name w:val="endnote text"/>
    <w:basedOn w:val="Normal"/>
    <w:link w:val="EndnoteTextChar"/>
    <w:uiPriority w:val="99"/>
    <w:semiHidden/>
    <w:unhideWhenUsed/>
    <w:rsid w:val="008D4DA3"/>
    <w:rPr>
      <w:sz w:val="20"/>
      <w:szCs w:val="20"/>
    </w:rPr>
  </w:style>
  <w:style w:type="character" w:customStyle="1" w:styleId="EndnoteTextChar">
    <w:name w:val="Endnote Text Char"/>
    <w:basedOn w:val="DefaultParagraphFont"/>
    <w:link w:val="EndnoteText"/>
    <w:uiPriority w:val="99"/>
    <w:semiHidden/>
    <w:rsid w:val="008D4DA3"/>
    <w:rPr>
      <w:rFonts w:ascii="Times New Roman" w:hAnsi="Times New Roman"/>
      <w:kern w:val="0"/>
      <w:sz w:val="20"/>
      <w:szCs w:val="20"/>
      <w:lang w:val="en-US"/>
      <w14:ligatures w14:val="none"/>
    </w:rPr>
  </w:style>
  <w:style w:type="character" w:styleId="EndnoteReference">
    <w:name w:val="endnote reference"/>
    <w:basedOn w:val="DefaultParagraphFont"/>
    <w:uiPriority w:val="99"/>
    <w:semiHidden/>
    <w:unhideWhenUsed/>
    <w:rsid w:val="008D4DA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www.geschkult.fu-berlin.de/e/babmed/Corpora/AMT-2/AMT-76-6/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9</Pages>
  <Words>2869</Words>
  <Characters>16355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Worthington</dc:creator>
  <cp:keywords/>
  <dc:description/>
  <cp:lastModifiedBy>Martin Worthington</cp:lastModifiedBy>
  <cp:revision>13</cp:revision>
  <cp:lastPrinted>2023-04-22T11:09:00Z</cp:lastPrinted>
  <dcterms:created xsi:type="dcterms:W3CDTF">2023-04-19T16:25:00Z</dcterms:created>
  <dcterms:modified xsi:type="dcterms:W3CDTF">2023-04-22T14:25:00Z</dcterms:modified>
</cp:coreProperties>
</file>