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AAAC0A" w14:textId="1C20092B" w:rsidR="004919DB" w:rsidRPr="001B21FB" w:rsidRDefault="004919DB" w:rsidP="0071591C">
      <w:pPr>
        <w:pStyle w:val="Heading2"/>
        <w:rPr>
          <w:rFonts w:ascii="Calibri" w:eastAsia="Calibri" w:hAnsi="Calibri" w:cs="Calibri"/>
          <w:b/>
          <w:bCs/>
          <w:color w:val="000000" w:themeColor="text1"/>
          <w:sz w:val="24"/>
          <w:szCs w:val="24"/>
        </w:rPr>
      </w:pPr>
      <w:bookmarkStart w:id="0" w:name="_Toc185347309"/>
      <w:r w:rsidRPr="001B21FB">
        <w:rPr>
          <w:rFonts w:ascii="Calibri" w:eastAsia="Calibri" w:hAnsi="Calibri" w:cs="Calibri"/>
          <w:b/>
          <w:bCs/>
          <w:color w:val="000000" w:themeColor="text1"/>
          <w:sz w:val="24"/>
          <w:szCs w:val="24"/>
        </w:rPr>
        <w:t>Chapter 2 Unlearning Colonial Perspectives in Psychology of Education</w:t>
      </w:r>
      <w:bookmarkEnd w:id="0"/>
    </w:p>
    <w:p w14:paraId="2B96C404" w14:textId="77777777" w:rsidR="004919DB" w:rsidRPr="001B21FB" w:rsidRDefault="004919DB" w:rsidP="004919DB">
      <w:pPr>
        <w:spacing w:line="360" w:lineRule="auto"/>
        <w:jc w:val="center"/>
        <w:rPr>
          <w:rFonts w:ascii="Calibri" w:eastAsia="Calibri" w:hAnsi="Calibri" w:cs="Calibri"/>
          <w:b/>
          <w:color w:val="000000" w:themeColor="text1"/>
        </w:rPr>
      </w:pPr>
    </w:p>
    <w:p w14:paraId="51EA92C3"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 xml:space="preserve">Aoife Lynam, Lucie </w:t>
      </w:r>
      <w:proofErr w:type="spellStart"/>
      <w:r w:rsidRPr="001B21FB">
        <w:rPr>
          <w:rFonts w:ascii="Calibri" w:eastAsia="Calibri" w:hAnsi="Calibri" w:cs="Calibri"/>
          <w:color w:val="000000" w:themeColor="text1"/>
        </w:rPr>
        <w:t>Ehiwe</w:t>
      </w:r>
      <w:proofErr w:type="spellEnd"/>
      <w:r w:rsidRPr="001B21FB">
        <w:rPr>
          <w:rFonts w:ascii="Calibri" w:eastAsia="Calibri" w:hAnsi="Calibri" w:cs="Calibri"/>
          <w:color w:val="000000" w:themeColor="text1"/>
        </w:rPr>
        <w:t>, Conor Mc Guckin, Patricia McCarthy, and Geraldine Fitzgerald</w:t>
      </w:r>
    </w:p>
    <w:p w14:paraId="2F0D1D5B" w14:textId="77777777" w:rsidR="004919DB" w:rsidRPr="001B21FB" w:rsidRDefault="004919DB" w:rsidP="004919DB">
      <w:pPr>
        <w:spacing w:line="360" w:lineRule="auto"/>
        <w:jc w:val="center"/>
        <w:rPr>
          <w:rFonts w:ascii="Calibri" w:eastAsia="Calibri" w:hAnsi="Calibri" w:cs="Calibri"/>
          <w:b/>
          <w:color w:val="000000" w:themeColor="text1"/>
        </w:rPr>
      </w:pP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754944" w:rsidRPr="001B21FB" w14:paraId="48FA4D13" w14:textId="77777777" w:rsidTr="00A80B10">
        <w:tc>
          <w:tcPr>
            <w:tcW w:w="9016" w:type="dxa"/>
          </w:tcPr>
          <w:p w14:paraId="252BEFB9" w14:textId="77777777" w:rsidR="004919DB" w:rsidRPr="001B21FB" w:rsidRDefault="004919DB" w:rsidP="00A80B10">
            <w:pPr>
              <w:spacing w:line="360" w:lineRule="auto"/>
              <w:rPr>
                <w:rFonts w:ascii="Calibri" w:eastAsia="Calibri" w:hAnsi="Calibri" w:cs="Calibri"/>
                <w:color w:val="000000" w:themeColor="text1"/>
              </w:rPr>
            </w:pPr>
          </w:p>
          <w:p w14:paraId="21984082" w14:textId="77777777" w:rsidR="004919DB" w:rsidRPr="001B21FB" w:rsidRDefault="004919DB" w:rsidP="004919DB">
            <w:pPr>
              <w:rPr>
                <w:rFonts w:ascii="Calibri" w:eastAsia="Calibri" w:hAnsi="Calibri" w:cs="Calibri"/>
                <w:color w:val="000000" w:themeColor="text1"/>
              </w:rPr>
            </w:pPr>
            <w:r w:rsidRPr="001B21FB">
              <w:rPr>
                <w:rFonts w:ascii="Calibri" w:eastAsia="Calibri" w:hAnsi="Calibri" w:cs="Calibri"/>
                <w:color w:val="000000" w:themeColor="text1"/>
              </w:rPr>
              <w:t>This chapter explores the unlearning of colonial narratives within Psychology of Education, emphasising the need for reflexivity and critical self-examination in both teaching and learning. It advocates for a transformative approach to decolonisation, aiming to create a more inclusive and equitable curriculum that reflects diverse cultural perspectives and challenges entrenched biases.</w:t>
            </w:r>
          </w:p>
          <w:p w14:paraId="68EF8CD2" w14:textId="77777777" w:rsidR="004919DB" w:rsidRPr="001B21FB" w:rsidRDefault="004919DB" w:rsidP="00A80B10">
            <w:pPr>
              <w:spacing w:line="360" w:lineRule="auto"/>
              <w:rPr>
                <w:rFonts w:ascii="Calibri" w:eastAsia="Calibri" w:hAnsi="Calibri" w:cs="Calibri"/>
                <w:b/>
                <w:color w:val="000000" w:themeColor="text1"/>
              </w:rPr>
            </w:pPr>
          </w:p>
        </w:tc>
      </w:tr>
    </w:tbl>
    <w:p w14:paraId="456BA440" w14:textId="77777777" w:rsidR="004919DB" w:rsidRPr="001B21FB" w:rsidRDefault="004919DB" w:rsidP="004919DB">
      <w:pPr>
        <w:spacing w:line="360" w:lineRule="auto"/>
        <w:jc w:val="center"/>
        <w:rPr>
          <w:rFonts w:ascii="Calibri" w:eastAsia="Calibri" w:hAnsi="Calibri" w:cs="Calibri"/>
          <w:b/>
          <w:color w:val="000000" w:themeColor="text1"/>
        </w:rPr>
      </w:pPr>
    </w:p>
    <w:p w14:paraId="4D88F6A1" w14:textId="77777777" w:rsidR="004919DB" w:rsidRPr="001B21FB" w:rsidRDefault="004919DB" w:rsidP="004919DB">
      <w:pPr>
        <w:spacing w:line="360" w:lineRule="auto"/>
        <w:rPr>
          <w:rFonts w:ascii="Calibri" w:eastAsia="Calibri" w:hAnsi="Calibri" w:cs="Calibri"/>
          <w:b/>
          <w:color w:val="000000" w:themeColor="text1"/>
        </w:rPr>
      </w:pPr>
      <w:r w:rsidRPr="001B21FB">
        <w:rPr>
          <w:rFonts w:ascii="Calibri" w:eastAsia="Calibri" w:hAnsi="Calibri" w:cs="Calibri"/>
          <w:b/>
          <w:color w:val="000000" w:themeColor="text1"/>
        </w:rPr>
        <w:t>Abstract</w:t>
      </w:r>
    </w:p>
    <w:p w14:paraId="1A6A4DFD"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 xml:space="preserve">This chapter explores how we should unlearn colonial narratives in the field of Psychology of Education. We know that Psychology has historically been shaped by ethnocentric and Western perspectives, which has often excluded the voices and experiences of non-Western, female, and marginalised groups. This exclusion continues to reinforce a biased understanding of human development and behaviour, perpetuating and contributing to exclusionary practices. This chapter discusses how we can integrate diverse perspectives into academic knowledge and highlights the importance of reflexivity and “unlearning” </w:t>
      </w:r>
      <w:sdt>
        <w:sdtPr>
          <w:rPr>
            <w:rFonts w:ascii="Calibri" w:hAnsi="Calibri" w:cs="Calibri"/>
            <w:color w:val="000000" w:themeColor="text1"/>
          </w:rPr>
          <w:tag w:val="goog_rdk_0"/>
          <w:id w:val="1099915739"/>
        </w:sdtPr>
        <w:sdtContent>
          <w:r w:rsidRPr="001B21FB">
            <w:rPr>
              <w:rFonts w:ascii="Calibri" w:eastAsia="Calibri" w:hAnsi="Calibri" w:cs="Calibri"/>
              <w:color w:val="000000" w:themeColor="text1"/>
            </w:rPr>
            <w:t xml:space="preserve">of </w:t>
          </w:r>
        </w:sdtContent>
      </w:sdt>
      <w:r w:rsidRPr="001B21FB">
        <w:rPr>
          <w:rFonts w:ascii="Calibri" w:eastAsia="Calibri" w:hAnsi="Calibri" w:cs="Calibri"/>
          <w:color w:val="000000" w:themeColor="text1"/>
        </w:rPr>
        <w:t xml:space="preserve">entrenched biases as part of a broader decolonising effort, encouraging both educators and students to critically examine their own positionality. This chapter advocates for a </w:t>
      </w:r>
      <w:sdt>
        <w:sdtPr>
          <w:rPr>
            <w:rFonts w:ascii="Calibri" w:hAnsi="Calibri" w:cs="Calibri"/>
            <w:color w:val="000000" w:themeColor="text1"/>
          </w:rPr>
          <w:tag w:val="goog_rdk_1"/>
          <w:id w:val="1571221603"/>
        </w:sdtPr>
        <w:sdtContent>
          <w:r w:rsidRPr="001B21FB">
            <w:rPr>
              <w:rFonts w:ascii="Calibri" w:eastAsia="Calibri" w:hAnsi="Calibri" w:cs="Calibri"/>
              <w:color w:val="000000" w:themeColor="text1"/>
            </w:rPr>
            <w:t>broader</w:t>
          </w:r>
        </w:sdtContent>
      </w:sdt>
      <w:sdt>
        <w:sdtPr>
          <w:rPr>
            <w:rFonts w:ascii="Calibri" w:hAnsi="Calibri" w:cs="Calibri"/>
            <w:color w:val="000000" w:themeColor="text1"/>
          </w:rPr>
          <w:tag w:val="goog_rdk_2"/>
          <w:id w:val="2146616357"/>
          <w:showingPlcHdr/>
        </w:sdtPr>
        <w:sdtContent>
          <w:r w:rsidRPr="001B21FB">
            <w:rPr>
              <w:rFonts w:ascii="Calibri" w:hAnsi="Calibri" w:cs="Calibri"/>
              <w:color w:val="000000" w:themeColor="text1"/>
            </w:rPr>
            <w:t xml:space="preserve">     </w:t>
          </w:r>
        </w:sdtContent>
      </w:sdt>
      <w:r w:rsidRPr="001B21FB">
        <w:rPr>
          <w:rFonts w:ascii="Calibri" w:eastAsia="Calibri" w:hAnsi="Calibri" w:cs="Calibri"/>
          <w:color w:val="000000" w:themeColor="text1"/>
        </w:rPr>
        <w:t xml:space="preserve"> Psychology of Education curriculum to create a learning environment where all students feel represented,</w:t>
      </w:r>
      <w:sdt>
        <w:sdtPr>
          <w:rPr>
            <w:rFonts w:ascii="Calibri" w:hAnsi="Calibri" w:cs="Calibri"/>
            <w:color w:val="000000" w:themeColor="text1"/>
          </w:rPr>
          <w:tag w:val="goog_rdk_3"/>
          <w:id w:val="368569582"/>
        </w:sdtPr>
        <w:sdtContent>
          <w:r w:rsidRPr="001B21FB">
            <w:rPr>
              <w:rFonts w:ascii="Calibri" w:eastAsia="Calibri" w:hAnsi="Calibri" w:cs="Calibri"/>
              <w:color w:val="000000" w:themeColor="text1"/>
            </w:rPr>
            <w:t xml:space="preserve"> and</w:t>
          </w:r>
        </w:sdtContent>
      </w:sdt>
      <w:r w:rsidRPr="001B21FB">
        <w:rPr>
          <w:rFonts w:ascii="Calibri" w:eastAsia="Calibri" w:hAnsi="Calibri" w:cs="Calibri"/>
          <w:color w:val="000000" w:themeColor="text1"/>
        </w:rPr>
        <w:t xml:space="preserve"> have a sense of belonging and equity.</w:t>
      </w:r>
    </w:p>
    <w:p w14:paraId="7B3EB208" w14:textId="77777777" w:rsidR="004919DB" w:rsidRPr="001B21FB" w:rsidRDefault="004919DB" w:rsidP="004919DB">
      <w:pPr>
        <w:spacing w:line="360" w:lineRule="auto"/>
        <w:rPr>
          <w:rFonts w:ascii="Calibri" w:eastAsia="Calibri" w:hAnsi="Calibri" w:cs="Calibri"/>
          <w:b/>
          <w:color w:val="000000" w:themeColor="text1"/>
        </w:rPr>
      </w:pPr>
    </w:p>
    <w:p w14:paraId="2F40D5EB" w14:textId="77777777" w:rsidR="004919DB" w:rsidRPr="001B21FB" w:rsidRDefault="004919DB" w:rsidP="004919DB">
      <w:pPr>
        <w:spacing w:line="360" w:lineRule="auto"/>
        <w:rPr>
          <w:rFonts w:ascii="Calibri" w:eastAsia="Calibri" w:hAnsi="Calibri" w:cs="Calibri"/>
          <w:b/>
          <w:color w:val="000000" w:themeColor="text1"/>
        </w:rPr>
      </w:pPr>
      <w:r w:rsidRPr="001B21FB">
        <w:rPr>
          <w:rFonts w:ascii="Calibri" w:eastAsia="Calibri" w:hAnsi="Calibri" w:cs="Calibri"/>
          <w:b/>
          <w:color w:val="000000" w:themeColor="text1"/>
        </w:rPr>
        <w:t>Introduction</w:t>
      </w:r>
    </w:p>
    <w:p w14:paraId="655B5955"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 xml:space="preserve">Decolonisation is a complex and multifaceted process, and its meaning can vary depending on the context. According to Le Grange (2023) decolonisation does not have a single meaning, highlighting the need for a nuanced understanding of what it means in different educational settings. In the context of education, decolonising the curriculum involves more than just expanding reading lists or including token non-Western voices. It requires a fundamental </w:t>
      </w:r>
      <w:r w:rsidRPr="001B21FB">
        <w:rPr>
          <w:rFonts w:ascii="Calibri" w:eastAsia="Calibri" w:hAnsi="Calibri" w:cs="Calibri"/>
          <w:color w:val="000000" w:themeColor="text1"/>
        </w:rPr>
        <w:lastRenderedPageBreak/>
        <w:t>transformation of how knowledge is constructed, presented, and valued within academic disciplines.  The legacy of colonialism continues to shape education, particularly within the field of Psychology of Education. Historically, psychological theories and practices have been developed predominantly from Western perspectives, reflecting the experiences of a narrow, privileged demographic</w:t>
      </w:r>
      <w:sdt>
        <w:sdtPr>
          <w:rPr>
            <w:rFonts w:ascii="Calibri" w:hAnsi="Calibri" w:cs="Calibri"/>
            <w:color w:val="000000" w:themeColor="text1"/>
          </w:rPr>
          <w:tag w:val="goog_rdk_4"/>
          <w:id w:val="-445322203"/>
        </w:sdtPr>
        <w:sdtContent>
          <w:r w:rsidRPr="001B21FB">
            <w:rPr>
              <w:rFonts w:ascii="Calibri" w:eastAsia="Calibri" w:hAnsi="Calibri" w:cs="Calibri"/>
              <w:color w:val="000000" w:themeColor="text1"/>
            </w:rPr>
            <w:t>;</w:t>
          </w:r>
        </w:sdtContent>
      </w:sdt>
      <w:sdt>
        <w:sdtPr>
          <w:rPr>
            <w:rFonts w:ascii="Calibri" w:hAnsi="Calibri" w:cs="Calibri"/>
            <w:color w:val="000000" w:themeColor="text1"/>
          </w:rPr>
          <w:tag w:val="goog_rdk_5"/>
          <w:id w:val="-1330983864"/>
          <w:showingPlcHdr/>
        </w:sdtPr>
        <w:sdtContent>
          <w:r w:rsidRPr="001B21FB">
            <w:rPr>
              <w:rFonts w:ascii="Calibri" w:hAnsi="Calibri" w:cs="Calibri"/>
              <w:color w:val="000000" w:themeColor="text1"/>
            </w:rPr>
            <w:t xml:space="preserve">     </w:t>
          </w:r>
        </w:sdtContent>
      </w:sdt>
      <w:r w:rsidRPr="001B21FB">
        <w:rPr>
          <w:rFonts w:ascii="Calibri" w:eastAsia="Calibri" w:hAnsi="Calibri" w:cs="Calibri"/>
          <w:color w:val="000000" w:themeColor="text1"/>
        </w:rPr>
        <w:t xml:space="preserve"> primarily white, Western men, while marginalising or ignoring the voices of non-Western and minority communities (MacDonald, 2006). This chapter explores the critical importance of</w:t>
      </w:r>
      <w:sdt>
        <w:sdtPr>
          <w:rPr>
            <w:rFonts w:ascii="Calibri" w:hAnsi="Calibri" w:cs="Calibri"/>
            <w:color w:val="000000" w:themeColor="text1"/>
          </w:rPr>
          <w:tag w:val="goog_rdk_6"/>
          <w:id w:val="-922109333"/>
        </w:sdtPr>
        <w:sdtContent>
          <w:r w:rsidRPr="001B21FB">
            <w:rPr>
              <w:rFonts w:ascii="Calibri" w:eastAsia="Calibri" w:hAnsi="Calibri" w:cs="Calibri"/>
              <w:color w:val="000000" w:themeColor="text1"/>
            </w:rPr>
            <w:t xml:space="preserve"> reflection on one’s positionality</w:t>
          </w:r>
          <w:sdt>
            <w:sdtPr>
              <w:rPr>
                <w:rFonts w:ascii="Calibri" w:hAnsi="Calibri" w:cs="Calibri"/>
                <w:color w:val="000000" w:themeColor="text1"/>
              </w:rPr>
              <w:tag w:val="goog_rdk_7"/>
              <w:id w:val="1199359631"/>
            </w:sdtPr>
            <w:sdtContent>
              <w:r w:rsidRPr="001B21FB">
                <w:rPr>
                  <w:rFonts w:ascii="Calibri" w:eastAsia="Calibri" w:hAnsi="Calibri" w:cs="Calibri"/>
                  <w:color w:val="000000" w:themeColor="text1"/>
                </w:rPr>
                <w:t>, critical examination of</w:t>
              </w:r>
            </w:sdtContent>
          </w:sdt>
        </w:sdtContent>
      </w:sdt>
      <w:sdt>
        <w:sdtPr>
          <w:rPr>
            <w:rFonts w:ascii="Calibri" w:hAnsi="Calibri" w:cs="Calibri"/>
            <w:color w:val="000000" w:themeColor="text1"/>
          </w:rPr>
          <w:tag w:val="goog_rdk_8"/>
          <w:id w:val="-1001201714"/>
        </w:sdtPr>
        <w:sdtContent>
          <w:sdt>
            <w:sdtPr>
              <w:rPr>
                <w:rFonts w:ascii="Calibri" w:hAnsi="Calibri" w:cs="Calibri"/>
                <w:color w:val="000000" w:themeColor="text1"/>
              </w:rPr>
              <w:tag w:val="goog_rdk_9"/>
              <w:id w:val="-46457233"/>
              <w:showingPlcHdr/>
            </w:sdtPr>
            <w:sdtContent>
              <w:r w:rsidRPr="001B21FB">
                <w:rPr>
                  <w:rFonts w:ascii="Calibri" w:hAnsi="Calibri" w:cs="Calibri"/>
                  <w:color w:val="000000" w:themeColor="text1"/>
                </w:rPr>
                <w:t xml:space="preserve">     </w:t>
              </w:r>
            </w:sdtContent>
          </w:sdt>
        </w:sdtContent>
      </w:sdt>
      <w:sdt>
        <w:sdtPr>
          <w:rPr>
            <w:rFonts w:ascii="Calibri" w:hAnsi="Calibri" w:cs="Calibri"/>
            <w:color w:val="000000" w:themeColor="text1"/>
          </w:rPr>
          <w:tag w:val="goog_rdk_10"/>
          <w:id w:val="-1281644821"/>
        </w:sdtPr>
        <w:sdtContent>
          <w:sdt>
            <w:sdtPr>
              <w:rPr>
                <w:rFonts w:ascii="Calibri" w:hAnsi="Calibri" w:cs="Calibri"/>
                <w:color w:val="000000" w:themeColor="text1"/>
              </w:rPr>
              <w:tag w:val="goog_rdk_11"/>
              <w:id w:val="1188648948"/>
            </w:sdtPr>
            <w:sdtContent/>
          </w:sdt>
          <w:sdt>
            <w:sdtPr>
              <w:rPr>
                <w:rFonts w:ascii="Calibri" w:hAnsi="Calibri" w:cs="Calibri"/>
                <w:color w:val="000000" w:themeColor="text1"/>
              </w:rPr>
              <w:tag w:val="goog_rdk_12"/>
              <w:id w:val="2047254836"/>
              <w:showingPlcHdr/>
            </w:sdtPr>
            <w:sdtContent>
              <w:r w:rsidRPr="001B21FB">
                <w:rPr>
                  <w:rFonts w:ascii="Calibri" w:hAnsi="Calibri" w:cs="Calibri"/>
                  <w:color w:val="000000" w:themeColor="text1"/>
                </w:rPr>
                <w:t xml:space="preserve">     </w:t>
              </w:r>
            </w:sdtContent>
          </w:sdt>
        </w:sdtContent>
      </w:sdt>
      <w:sdt>
        <w:sdtPr>
          <w:rPr>
            <w:rFonts w:ascii="Calibri" w:hAnsi="Calibri" w:cs="Calibri"/>
            <w:color w:val="000000" w:themeColor="text1"/>
          </w:rPr>
          <w:tag w:val="goog_rdk_13"/>
          <w:id w:val="-150536882"/>
          <w:showingPlcHdr/>
        </w:sdtPr>
        <w:sdtContent>
          <w:r w:rsidRPr="001B21FB">
            <w:rPr>
              <w:rFonts w:ascii="Calibri" w:hAnsi="Calibri" w:cs="Calibri"/>
              <w:color w:val="000000" w:themeColor="text1"/>
            </w:rPr>
            <w:t xml:space="preserve">     </w:t>
          </w:r>
        </w:sdtContent>
      </w:sdt>
      <w:sdt>
        <w:sdtPr>
          <w:rPr>
            <w:rFonts w:ascii="Calibri" w:hAnsi="Calibri" w:cs="Calibri"/>
            <w:color w:val="000000" w:themeColor="text1"/>
          </w:rPr>
          <w:tag w:val="goog_rdk_14"/>
          <w:id w:val="450746713"/>
          <w:showingPlcHdr/>
        </w:sdtPr>
        <w:sdtContent>
          <w:r w:rsidRPr="001B21FB">
            <w:rPr>
              <w:rFonts w:ascii="Calibri" w:hAnsi="Calibri" w:cs="Calibri"/>
              <w:color w:val="000000" w:themeColor="text1"/>
            </w:rPr>
            <w:t xml:space="preserve">     </w:t>
          </w:r>
        </w:sdtContent>
      </w:sdt>
      <w:r w:rsidRPr="001B21FB">
        <w:rPr>
          <w:rFonts w:ascii="Calibri" w:eastAsia="Calibri" w:hAnsi="Calibri" w:cs="Calibri"/>
          <w:color w:val="000000" w:themeColor="text1"/>
        </w:rPr>
        <w:t xml:space="preserve"> colonial narratives in Psychology of Education, </w:t>
      </w:r>
      <w:sdt>
        <w:sdtPr>
          <w:rPr>
            <w:rFonts w:ascii="Calibri" w:hAnsi="Calibri" w:cs="Calibri"/>
            <w:color w:val="000000" w:themeColor="text1"/>
          </w:rPr>
          <w:tag w:val="goog_rdk_15"/>
          <w:id w:val="-1611580824"/>
        </w:sdtPr>
        <w:sdtContent>
          <w:r w:rsidRPr="001B21FB">
            <w:rPr>
              <w:rFonts w:ascii="Calibri" w:eastAsia="Calibri" w:hAnsi="Calibri" w:cs="Calibri"/>
              <w:color w:val="000000" w:themeColor="text1"/>
            </w:rPr>
            <w:t xml:space="preserve">and potentially, unlearning of preconceived biases.  </w:t>
          </w:r>
        </w:sdtContent>
      </w:sdt>
      <w:sdt>
        <w:sdtPr>
          <w:rPr>
            <w:rFonts w:ascii="Calibri" w:hAnsi="Calibri" w:cs="Calibri"/>
            <w:color w:val="000000" w:themeColor="text1"/>
          </w:rPr>
          <w:tag w:val="goog_rdk_16"/>
          <w:id w:val="64771971"/>
          <w:showingPlcHdr/>
        </w:sdtPr>
        <w:sdtContent>
          <w:r w:rsidRPr="001B21FB">
            <w:rPr>
              <w:rFonts w:ascii="Calibri" w:hAnsi="Calibri" w:cs="Calibri"/>
              <w:color w:val="000000" w:themeColor="text1"/>
            </w:rPr>
            <w:t xml:space="preserve">     </w:t>
          </w:r>
        </w:sdtContent>
      </w:sdt>
      <w:sdt>
        <w:sdtPr>
          <w:rPr>
            <w:rFonts w:ascii="Calibri" w:hAnsi="Calibri" w:cs="Calibri"/>
            <w:color w:val="000000" w:themeColor="text1"/>
          </w:rPr>
          <w:tag w:val="goog_rdk_17"/>
          <w:id w:val="-2037732105"/>
        </w:sdtPr>
        <w:sdtContent>
          <w:r w:rsidRPr="001B21FB">
            <w:rPr>
              <w:rFonts w:ascii="Calibri" w:eastAsia="Calibri" w:hAnsi="Calibri" w:cs="Calibri"/>
              <w:color w:val="000000" w:themeColor="text1"/>
            </w:rPr>
            <w:t xml:space="preserve">A </w:t>
          </w:r>
        </w:sdtContent>
      </w:sdt>
      <w:r w:rsidRPr="001B21FB">
        <w:rPr>
          <w:rFonts w:ascii="Calibri" w:eastAsia="Calibri" w:hAnsi="Calibri" w:cs="Calibri"/>
          <w:color w:val="000000" w:themeColor="text1"/>
        </w:rPr>
        <w:t xml:space="preserve">focus on </w:t>
      </w:r>
      <w:sdt>
        <w:sdtPr>
          <w:rPr>
            <w:rFonts w:ascii="Calibri" w:hAnsi="Calibri" w:cs="Calibri"/>
            <w:color w:val="000000" w:themeColor="text1"/>
          </w:rPr>
          <w:tag w:val="goog_rdk_18"/>
          <w:id w:val="-491024791"/>
        </w:sdtPr>
        <w:sdtContent>
          <w:r w:rsidRPr="001B21FB">
            <w:rPr>
              <w:rFonts w:ascii="Calibri" w:eastAsia="Calibri" w:hAnsi="Calibri" w:cs="Calibri"/>
              <w:color w:val="000000" w:themeColor="text1"/>
            </w:rPr>
            <w:t xml:space="preserve">reflexive exercises for all members of the higher education environment, as well as critical review of </w:t>
          </w:r>
        </w:sdtContent>
      </w:sdt>
      <w:sdt>
        <w:sdtPr>
          <w:rPr>
            <w:rFonts w:ascii="Calibri" w:hAnsi="Calibri" w:cs="Calibri"/>
            <w:color w:val="000000" w:themeColor="text1"/>
          </w:rPr>
          <w:tag w:val="goog_rdk_19"/>
          <w:id w:val="-1623531776"/>
          <w:showingPlcHdr/>
        </w:sdtPr>
        <w:sdtContent>
          <w:r w:rsidRPr="001B21FB">
            <w:rPr>
              <w:rFonts w:ascii="Calibri" w:hAnsi="Calibri" w:cs="Calibri"/>
              <w:color w:val="000000" w:themeColor="text1"/>
            </w:rPr>
            <w:t xml:space="preserve">     </w:t>
          </w:r>
        </w:sdtContent>
      </w:sdt>
      <w:r w:rsidRPr="001B21FB">
        <w:rPr>
          <w:rFonts w:ascii="Calibri" w:eastAsia="Calibri" w:hAnsi="Calibri" w:cs="Calibri"/>
          <w:color w:val="000000" w:themeColor="text1"/>
        </w:rPr>
        <w:t xml:space="preserve">curricula, reading lists, and teaching practices can </w:t>
      </w:r>
      <w:sdt>
        <w:sdtPr>
          <w:rPr>
            <w:rFonts w:ascii="Calibri" w:hAnsi="Calibri" w:cs="Calibri"/>
            <w:color w:val="000000" w:themeColor="text1"/>
          </w:rPr>
          <w:tag w:val="goog_rdk_20"/>
          <w:id w:val="2128268484"/>
        </w:sdtPr>
        <w:sdtContent>
          <w:r w:rsidRPr="001B21FB">
            <w:rPr>
              <w:rFonts w:ascii="Calibri" w:eastAsia="Calibri" w:hAnsi="Calibri" w:cs="Calibri"/>
              <w:color w:val="000000" w:themeColor="text1"/>
            </w:rPr>
            <w:t xml:space="preserve">contribute to </w:t>
          </w:r>
        </w:sdtContent>
      </w:sdt>
      <w:sdt>
        <w:sdtPr>
          <w:rPr>
            <w:rFonts w:ascii="Calibri" w:hAnsi="Calibri" w:cs="Calibri"/>
            <w:color w:val="000000" w:themeColor="text1"/>
          </w:rPr>
          <w:tag w:val="goog_rdk_21"/>
          <w:id w:val="-246807507"/>
          <w:showingPlcHdr/>
        </w:sdtPr>
        <w:sdtContent>
          <w:r w:rsidRPr="001B21FB">
            <w:rPr>
              <w:rFonts w:ascii="Calibri" w:hAnsi="Calibri" w:cs="Calibri"/>
              <w:color w:val="000000" w:themeColor="text1"/>
            </w:rPr>
            <w:t xml:space="preserve">     </w:t>
          </w:r>
        </w:sdtContent>
      </w:sdt>
      <w:sdt>
        <w:sdtPr>
          <w:rPr>
            <w:rFonts w:ascii="Calibri" w:hAnsi="Calibri" w:cs="Calibri"/>
            <w:color w:val="000000" w:themeColor="text1"/>
          </w:rPr>
          <w:tag w:val="goog_rdk_22"/>
          <w:id w:val="-1322645671"/>
        </w:sdtPr>
        <w:sdtContent>
          <w:sdt>
            <w:sdtPr>
              <w:rPr>
                <w:rFonts w:ascii="Calibri" w:hAnsi="Calibri" w:cs="Calibri"/>
                <w:color w:val="000000" w:themeColor="text1"/>
              </w:rPr>
              <w:tag w:val="goog_rdk_23"/>
              <w:id w:val="1928844503"/>
              <w:showingPlcHdr/>
            </w:sdtPr>
            <w:sdtContent>
              <w:r w:rsidRPr="001B21FB">
                <w:rPr>
                  <w:rFonts w:ascii="Calibri" w:hAnsi="Calibri" w:cs="Calibri"/>
                  <w:color w:val="000000" w:themeColor="text1"/>
                </w:rPr>
                <w:t xml:space="preserve">     </w:t>
              </w:r>
            </w:sdtContent>
          </w:sdt>
        </w:sdtContent>
      </w:sdt>
      <w:sdt>
        <w:sdtPr>
          <w:rPr>
            <w:rFonts w:ascii="Calibri" w:hAnsi="Calibri" w:cs="Calibri"/>
            <w:color w:val="000000" w:themeColor="text1"/>
          </w:rPr>
          <w:tag w:val="goog_rdk_24"/>
          <w:id w:val="744072392"/>
          <w:showingPlcHdr/>
        </w:sdtPr>
        <w:sdtContent>
          <w:r w:rsidRPr="001B21FB">
            <w:rPr>
              <w:rFonts w:ascii="Calibri" w:hAnsi="Calibri" w:cs="Calibri"/>
              <w:color w:val="000000" w:themeColor="text1"/>
            </w:rPr>
            <w:t xml:space="preserve">     </w:t>
          </w:r>
        </w:sdtContent>
      </w:sdt>
      <w:r w:rsidRPr="001B21FB">
        <w:rPr>
          <w:rFonts w:ascii="Calibri" w:eastAsia="Calibri" w:hAnsi="Calibri" w:cs="Calibri"/>
          <w:color w:val="000000" w:themeColor="text1"/>
        </w:rPr>
        <w:t>a more inclusive and equitable learning environment.</w:t>
      </w:r>
    </w:p>
    <w:p w14:paraId="7C7EFE39" w14:textId="77777777" w:rsidR="004919DB" w:rsidRPr="001B21FB" w:rsidRDefault="004919DB" w:rsidP="004919DB">
      <w:pPr>
        <w:spacing w:line="360" w:lineRule="auto"/>
        <w:ind w:firstLine="720"/>
        <w:rPr>
          <w:rFonts w:ascii="Calibri" w:eastAsia="Calibri" w:hAnsi="Calibri" w:cs="Calibri"/>
          <w:color w:val="000000" w:themeColor="text1"/>
        </w:rPr>
      </w:pPr>
      <w:r w:rsidRPr="001B21FB">
        <w:rPr>
          <w:rFonts w:ascii="Calibri" w:eastAsia="Calibri" w:hAnsi="Calibri" w:cs="Calibri"/>
          <w:color w:val="000000" w:themeColor="text1"/>
        </w:rPr>
        <w:t>Drawing from international perspectives on decolonisation in education, this chapter outlines how we can reflect as educators to consider dismantling the colonial legacies and practices within our Psychology of Education programmes. The chapter argues for a transformative and holistic approach to decolonisation, which goes beyond mere diversification and aims to reframe the ways in which knowledge is constructed and presented in educational spaces.</w:t>
      </w:r>
    </w:p>
    <w:p w14:paraId="2EEBC393" w14:textId="77777777" w:rsidR="004919DB" w:rsidRPr="001B21FB" w:rsidRDefault="004919DB" w:rsidP="004919DB">
      <w:pPr>
        <w:spacing w:line="360" w:lineRule="auto"/>
        <w:rPr>
          <w:rFonts w:ascii="Calibri" w:eastAsia="Calibri" w:hAnsi="Calibri" w:cs="Calibri"/>
          <w:color w:val="000000" w:themeColor="text1"/>
        </w:rPr>
      </w:pPr>
    </w:p>
    <w:p w14:paraId="25BAA36A" w14:textId="77777777" w:rsidR="004919DB" w:rsidRPr="001B21FB" w:rsidRDefault="004919DB" w:rsidP="004919DB">
      <w:pPr>
        <w:spacing w:line="360" w:lineRule="auto"/>
        <w:rPr>
          <w:rFonts w:ascii="Calibri" w:eastAsia="Calibri" w:hAnsi="Calibri" w:cs="Calibri"/>
          <w:b/>
          <w:color w:val="000000" w:themeColor="text1"/>
        </w:rPr>
      </w:pPr>
      <w:r w:rsidRPr="001B21FB">
        <w:rPr>
          <w:rFonts w:ascii="Calibri" w:eastAsia="Calibri" w:hAnsi="Calibri" w:cs="Calibri"/>
          <w:b/>
          <w:color w:val="000000" w:themeColor="text1"/>
        </w:rPr>
        <w:t>White Saviourism and Fragility</w:t>
      </w:r>
    </w:p>
    <w:sdt>
      <w:sdtPr>
        <w:rPr>
          <w:rFonts w:ascii="Calibri" w:hAnsi="Calibri" w:cs="Calibri"/>
          <w:color w:val="000000" w:themeColor="text1"/>
        </w:rPr>
        <w:tag w:val="goog_rdk_31"/>
        <w:id w:val="-1055396433"/>
      </w:sdtPr>
      <w:sdtContent>
        <w:p w14:paraId="041BD827" w14:textId="77777777" w:rsidR="004919DB" w:rsidRPr="001B21FB" w:rsidRDefault="00000000" w:rsidP="004919DB">
          <w:pPr>
            <w:spacing w:line="360" w:lineRule="auto"/>
            <w:rPr>
              <w:rFonts w:ascii="Calibri" w:eastAsia="Calibri" w:hAnsi="Calibri" w:cs="Calibri"/>
              <w:color w:val="000000" w:themeColor="text1"/>
            </w:rPr>
          </w:pPr>
          <w:sdt>
            <w:sdtPr>
              <w:rPr>
                <w:rFonts w:ascii="Calibri" w:hAnsi="Calibri" w:cs="Calibri"/>
                <w:color w:val="000000" w:themeColor="text1"/>
              </w:rPr>
              <w:tag w:val="goog_rdk_26"/>
              <w:id w:val="-241490316"/>
              <w:showingPlcHdr/>
            </w:sdtPr>
            <w:sdtContent>
              <w:r w:rsidR="004919DB" w:rsidRPr="001B21FB">
                <w:rPr>
                  <w:rFonts w:ascii="Calibri" w:hAnsi="Calibri" w:cs="Calibri"/>
                  <w:color w:val="000000" w:themeColor="text1"/>
                </w:rPr>
                <w:t xml:space="preserve">     </w:t>
              </w:r>
            </w:sdtContent>
          </w:sdt>
          <w:r w:rsidR="004919DB" w:rsidRPr="001B21FB">
            <w:rPr>
              <w:rFonts w:ascii="Calibri" w:eastAsia="Calibri" w:hAnsi="Calibri" w:cs="Calibri"/>
              <w:color w:val="000000" w:themeColor="text1"/>
            </w:rPr>
            <w:t xml:space="preserve">Aronson (2017) critically examines the concept of </w:t>
          </w:r>
          <w:r w:rsidR="004919DB" w:rsidRPr="001B21FB">
            <w:rPr>
              <w:rFonts w:ascii="Calibri" w:eastAsia="Calibri" w:hAnsi="Calibri" w:cs="Calibri"/>
              <w:i/>
              <w:color w:val="000000" w:themeColor="text1"/>
            </w:rPr>
            <w:t>White Saviourism</w:t>
          </w:r>
          <w:r w:rsidR="004919DB" w:rsidRPr="001B21FB">
            <w:rPr>
              <w:rFonts w:ascii="Calibri" w:eastAsia="Calibri" w:hAnsi="Calibri" w:cs="Calibri"/>
              <w:color w:val="000000" w:themeColor="text1"/>
            </w:rPr>
            <w:t xml:space="preserve"> in education, drawing from Teju Cole’s (2012) framing of the White Savior Industrial Complex (WSIC).  Aronson (2017) argues that WSIC emerges when well-meaning white individuals, particularly teachers, assume a heroic role in “saving” non-white or marginalised students from perceived deficits. </w:t>
          </w:r>
          <w:sdt>
            <w:sdtPr>
              <w:rPr>
                <w:rFonts w:ascii="Calibri" w:hAnsi="Calibri" w:cs="Calibri"/>
                <w:color w:val="000000" w:themeColor="text1"/>
              </w:rPr>
              <w:tag w:val="goog_rdk_27"/>
              <w:id w:val="1887373907"/>
            </w:sdtPr>
            <w:sdtContent>
              <w:r w:rsidR="004919DB" w:rsidRPr="001B21FB">
                <w:rPr>
                  <w:rFonts w:ascii="Calibri" w:eastAsia="Calibri" w:hAnsi="Calibri" w:cs="Calibri"/>
                  <w:color w:val="000000" w:themeColor="text1"/>
                </w:rPr>
                <w:t>Aronson (2017) argues that</w:t>
              </w:r>
            </w:sdtContent>
          </w:sdt>
          <w:sdt>
            <w:sdtPr>
              <w:rPr>
                <w:rFonts w:ascii="Calibri" w:hAnsi="Calibri" w:cs="Calibri"/>
                <w:color w:val="000000" w:themeColor="text1"/>
              </w:rPr>
              <w:tag w:val="goog_rdk_28"/>
              <w:id w:val="1356622686"/>
              <w:showingPlcHdr/>
            </w:sdtPr>
            <w:sdtContent>
              <w:r w:rsidR="004919DB" w:rsidRPr="001B21FB">
                <w:rPr>
                  <w:rFonts w:ascii="Calibri" w:hAnsi="Calibri" w:cs="Calibri"/>
                  <w:color w:val="000000" w:themeColor="text1"/>
                </w:rPr>
                <w:t xml:space="preserve">     </w:t>
              </w:r>
            </w:sdtContent>
          </w:sdt>
          <w:sdt>
            <w:sdtPr>
              <w:rPr>
                <w:rFonts w:ascii="Calibri" w:hAnsi="Calibri" w:cs="Calibri"/>
                <w:color w:val="000000" w:themeColor="text1"/>
              </w:rPr>
              <w:tag w:val="goog_rdk_29"/>
              <w:id w:val="1573776196"/>
            </w:sdtPr>
            <w:sdtContent>
              <w:r w:rsidR="004919DB" w:rsidRPr="001B21FB">
                <w:rPr>
                  <w:rFonts w:ascii="Calibri" w:eastAsia="Calibri" w:hAnsi="Calibri" w:cs="Calibri"/>
                  <w:color w:val="000000" w:themeColor="text1"/>
                </w:rPr>
                <w:t xml:space="preserve"> t</w:t>
              </w:r>
            </w:sdtContent>
          </w:sdt>
          <w:r w:rsidR="004919DB" w:rsidRPr="001B21FB">
            <w:rPr>
              <w:rFonts w:ascii="Calibri" w:eastAsia="Calibri" w:hAnsi="Calibri" w:cs="Calibri"/>
              <w:color w:val="000000" w:themeColor="text1"/>
            </w:rPr>
            <w:t xml:space="preserve">his narrative, while often driven by good intentions, reinforces white privilege and perpetuates systemic inequalities. White saviours are emotionally rewarded by these acts of “saving” but fail to confront the broader, structural causes of the social issues they aim to address. In educational settings, this mentality undermines the agency of students of colour by viewing them as passive recipients of help rather than active participants in their own learning and transformation. Furthermore, WSIC fails to acknowledge how systemic factors, </w:t>
          </w:r>
          <w:r w:rsidR="004919DB" w:rsidRPr="001B21FB">
            <w:rPr>
              <w:rFonts w:ascii="Calibri" w:eastAsia="Calibri" w:hAnsi="Calibri" w:cs="Calibri"/>
              <w:color w:val="000000" w:themeColor="text1"/>
            </w:rPr>
            <w:lastRenderedPageBreak/>
            <w:t xml:space="preserve">such as white supremacy and colonial legacies, contribute to the very challenges these students face.  The concept of white saviourism has important implications for how we approach teaching, learning, and curricular content in Psychology of Education. We know that Psychology has historically been shaped by Western, ethnocentric perspectives, which frequently disregard non-Western or marginalised voices. Educators, particularly in the context of decolonising Psychology of Education curricula, must avoid reproducing “white </w:t>
          </w:r>
          <w:proofErr w:type="spellStart"/>
          <w:r w:rsidR="004919DB" w:rsidRPr="001B21FB">
            <w:rPr>
              <w:rFonts w:ascii="Calibri" w:eastAsia="Calibri" w:hAnsi="Calibri" w:cs="Calibri"/>
              <w:color w:val="000000" w:themeColor="text1"/>
            </w:rPr>
            <w:t>saviourist</w:t>
          </w:r>
          <w:proofErr w:type="spellEnd"/>
          <w:r w:rsidR="004919DB" w:rsidRPr="001B21FB">
            <w:rPr>
              <w:rFonts w:ascii="Calibri" w:eastAsia="Calibri" w:hAnsi="Calibri" w:cs="Calibri"/>
              <w:color w:val="000000" w:themeColor="text1"/>
            </w:rPr>
            <w:t xml:space="preserve">” narratives when attempting to address the gaps in representation of diverse perspectives. This involves moving beyond surface-level inclusion of non-Western scholars and engaging in a deeper critique of the colonial and racial dynamics that underpin traditional psychological theories. Additionally, educators must critically reflect on their own positionality and biases to ensure they are not positioning themselves as saviours but rather as facilitators of a more equitable and inclusive learning environment. This shift is essential in Psychology of Education, a field where </w:t>
          </w:r>
          <w:proofErr w:type="spellStart"/>
          <w:r w:rsidR="004919DB" w:rsidRPr="001B21FB">
            <w:rPr>
              <w:rFonts w:ascii="Calibri" w:eastAsia="Calibri" w:hAnsi="Calibri" w:cs="Calibri"/>
              <w:color w:val="000000" w:themeColor="text1"/>
            </w:rPr>
            <w:t>the</w:t>
          </w:r>
          <w:proofErr w:type="spellEnd"/>
          <w:r w:rsidR="004919DB" w:rsidRPr="001B21FB">
            <w:rPr>
              <w:rFonts w:ascii="Calibri" w:eastAsia="Calibri" w:hAnsi="Calibri" w:cs="Calibri"/>
              <w:color w:val="000000" w:themeColor="text1"/>
            </w:rPr>
            <w:t xml:space="preserve"> lived experiences of diverse cultural groups must be acknowledged to avoid perpetuating harmful hierarchies and reinforcing the marginalisation of those already underrepresented in psychological research and practice.</w:t>
          </w:r>
          <w:sdt>
            <w:sdtPr>
              <w:rPr>
                <w:rFonts w:ascii="Calibri" w:hAnsi="Calibri" w:cs="Calibri"/>
                <w:color w:val="000000" w:themeColor="text1"/>
              </w:rPr>
              <w:tag w:val="goog_rdk_30"/>
              <w:id w:val="178625761"/>
            </w:sdtPr>
            <w:sdtContent/>
          </w:sdt>
        </w:p>
      </w:sdtContent>
    </w:sdt>
    <w:sdt>
      <w:sdtPr>
        <w:rPr>
          <w:rFonts w:ascii="Calibri" w:hAnsi="Calibri" w:cs="Calibri"/>
          <w:color w:val="000000" w:themeColor="text1"/>
        </w:rPr>
        <w:tag w:val="goog_rdk_34"/>
        <w:id w:val="-2121513545"/>
      </w:sdtPr>
      <w:sdtContent>
        <w:p w14:paraId="3B3FFDF3" w14:textId="77777777" w:rsidR="004919DB" w:rsidRPr="001B21FB" w:rsidRDefault="00000000" w:rsidP="004919DB">
          <w:pPr>
            <w:spacing w:line="360" w:lineRule="auto"/>
            <w:rPr>
              <w:rFonts w:ascii="Calibri" w:eastAsia="Calibri" w:hAnsi="Calibri" w:cs="Calibri"/>
              <w:color w:val="000000" w:themeColor="text1"/>
            </w:rPr>
          </w:pPr>
          <w:sdt>
            <w:sdtPr>
              <w:rPr>
                <w:rFonts w:ascii="Calibri" w:hAnsi="Calibri" w:cs="Calibri"/>
                <w:color w:val="000000" w:themeColor="text1"/>
              </w:rPr>
              <w:tag w:val="goog_rdk_32"/>
              <w:id w:val="-1123604509"/>
            </w:sdtPr>
            <w:sdtContent>
              <w:r w:rsidR="004919DB" w:rsidRPr="001B21FB">
                <w:rPr>
                  <w:rFonts w:ascii="Calibri" w:eastAsia="Calibri" w:hAnsi="Calibri" w:cs="Calibri"/>
                  <w:color w:val="000000" w:themeColor="text1"/>
                </w:rPr>
                <w:tab/>
                <w:t>It is important to consider alternative perspectives on Aronson’s (2017) white saviour concept.  For example, Lemalu-</w:t>
              </w:r>
              <w:proofErr w:type="spellStart"/>
              <w:r w:rsidR="004919DB" w:rsidRPr="001B21FB">
                <w:rPr>
                  <w:rFonts w:ascii="Calibri" w:eastAsia="Calibri" w:hAnsi="Calibri" w:cs="Calibri"/>
                  <w:color w:val="000000" w:themeColor="text1"/>
                </w:rPr>
                <w:t>Sankale</w:t>
              </w:r>
              <w:proofErr w:type="spellEnd"/>
              <w:r w:rsidR="004919DB" w:rsidRPr="001B21FB">
                <w:rPr>
                  <w:rFonts w:ascii="Calibri" w:eastAsia="Calibri" w:hAnsi="Calibri" w:cs="Calibri"/>
                  <w:color w:val="000000" w:themeColor="text1"/>
                </w:rPr>
                <w:t xml:space="preserve"> (2023) discusses Mr. Beast's building of wells in Kenya. Mr. Beast is a white American Internet personality who has used his wealth to contribute to a number of humanitarian causes, including feeding needy Americans, planting millions of trees, and building wells to provide people in Kenya, Cameroon, and Zimbabwe with clean drinking water.  He has received criticism from some who suggest that his actions perpetuate the idea that Africans need a handout, or that he is ultimately profiting from the attention gained with these humanitarian efforts (Miltimore, 2023).  Lemalu-</w:t>
              </w:r>
              <w:proofErr w:type="spellStart"/>
              <w:r w:rsidR="004919DB" w:rsidRPr="001B21FB">
                <w:rPr>
                  <w:rFonts w:ascii="Calibri" w:eastAsia="Calibri" w:hAnsi="Calibri" w:cs="Calibri"/>
                  <w:color w:val="000000" w:themeColor="text1"/>
                </w:rPr>
                <w:t>Sankale</w:t>
              </w:r>
              <w:proofErr w:type="spellEnd"/>
              <w:r w:rsidR="004919DB" w:rsidRPr="001B21FB">
                <w:rPr>
                  <w:rFonts w:ascii="Calibri" w:eastAsia="Calibri" w:hAnsi="Calibri" w:cs="Calibri"/>
                  <w:color w:val="000000" w:themeColor="text1"/>
                </w:rPr>
                <w:t xml:space="preserve"> (2023) suggests that such criticism often comes from those who are removed from the hardship being addressed.  For the communities involved the impact and its domino effect can be profound.  "These wells represent a path to a different future. With access to clean water, children can and do spend more time in school, their health improves with a decrease in waterborne diseases, and agricultural productivity increases, enhancing the economic stability of the communities"  (Lemalu-</w:t>
              </w:r>
              <w:proofErr w:type="spellStart"/>
              <w:r w:rsidR="004919DB" w:rsidRPr="001B21FB">
                <w:rPr>
                  <w:rFonts w:ascii="Calibri" w:eastAsia="Calibri" w:hAnsi="Calibri" w:cs="Calibri"/>
                  <w:color w:val="000000" w:themeColor="text1"/>
                </w:rPr>
                <w:t>Sankale</w:t>
              </w:r>
              <w:proofErr w:type="spellEnd"/>
              <w:r w:rsidR="004919DB" w:rsidRPr="001B21FB">
                <w:rPr>
                  <w:rFonts w:ascii="Calibri" w:eastAsia="Calibri" w:hAnsi="Calibri" w:cs="Calibri"/>
                  <w:color w:val="000000" w:themeColor="text1"/>
                </w:rPr>
                <w:t xml:space="preserve">, 2023).  This perspective reminds us that this issue is complex and contains </w:t>
              </w:r>
              <w:r w:rsidR="004919DB" w:rsidRPr="001B21FB">
                <w:rPr>
                  <w:rFonts w:ascii="Calibri" w:eastAsia="Calibri" w:hAnsi="Calibri" w:cs="Calibri"/>
                  <w:color w:val="000000" w:themeColor="text1"/>
                </w:rPr>
                <w:lastRenderedPageBreak/>
                <w:t xml:space="preserve">many perspectives.  Focusing on this phenomenon in an educational context in the USA, Brown (2013) explores the subtle ways in which teacher bias can impact in the classroom.      </w:t>
              </w:r>
            </w:sdtContent>
          </w:sdt>
          <w:sdt>
            <w:sdtPr>
              <w:rPr>
                <w:rFonts w:ascii="Calibri" w:hAnsi="Calibri" w:cs="Calibri"/>
                <w:color w:val="000000" w:themeColor="text1"/>
              </w:rPr>
              <w:tag w:val="goog_rdk_33"/>
              <w:id w:val="-1962027171"/>
            </w:sdtPr>
            <w:sdtContent/>
          </w:sdt>
        </w:p>
      </w:sdtContent>
    </w:sdt>
    <w:p w14:paraId="20FE2C72" w14:textId="77777777" w:rsidR="004919DB" w:rsidRPr="001B21FB" w:rsidRDefault="004919DB" w:rsidP="004919DB">
      <w:pPr>
        <w:spacing w:line="360" w:lineRule="auto"/>
        <w:ind w:firstLine="720"/>
        <w:jc w:val="both"/>
        <w:rPr>
          <w:rFonts w:ascii="Calibri" w:eastAsia="Calibri" w:hAnsi="Calibri" w:cs="Calibri"/>
          <w:color w:val="000000" w:themeColor="text1"/>
        </w:rPr>
      </w:pPr>
      <w:r w:rsidRPr="001B21FB">
        <w:rPr>
          <w:rFonts w:ascii="Calibri" w:eastAsia="Calibri" w:hAnsi="Calibri" w:cs="Calibri"/>
          <w:color w:val="000000" w:themeColor="text1"/>
        </w:rPr>
        <w:t>Brown (2013) critically reviews the trope of the white female teacher as saviour in the context of a New York public school which focuses on college readiness.  Introducing the concept of the saviour mentality, she describes a white educator’s assumption that she is “responsible for students’ success, and problematically constructs students and their families through a deficit lens; they can only be ‘saved’ with the school’s help”(Brown, 2013, p. 124).  She argues that the saviour mentality is evident in the educator</w:t>
      </w:r>
      <w:sdt>
        <w:sdtPr>
          <w:rPr>
            <w:rFonts w:ascii="Calibri" w:hAnsi="Calibri" w:cs="Calibri"/>
            <w:color w:val="000000" w:themeColor="text1"/>
          </w:rPr>
          <w:tag w:val="goog_rdk_35"/>
          <w:id w:val="-595558224"/>
        </w:sdtPr>
        <w:sdtContent>
          <w:r w:rsidRPr="001B21FB">
            <w:rPr>
              <w:rFonts w:ascii="Calibri" w:eastAsia="Calibri" w:hAnsi="Calibri" w:cs="Calibri"/>
              <w:color w:val="000000" w:themeColor="text1"/>
            </w:rPr>
            <w:t>’</w:t>
          </w:r>
        </w:sdtContent>
      </w:sdt>
      <w:r w:rsidRPr="001B21FB">
        <w:rPr>
          <w:rFonts w:ascii="Calibri" w:eastAsia="Calibri" w:hAnsi="Calibri" w:cs="Calibri"/>
          <w:color w:val="000000" w:themeColor="text1"/>
        </w:rPr>
        <w:t xml:space="preserve">s attempts at the social justice work of supporting students to become more attractive or acceptable to, what she considers, an inequitable social and economic system.  An alternative, Brown (2013) suggests, would be to critique or challenge the system itself.  Focusing her argument on the cultural context of America, Brown (2013) refers to the typical media portrayal (e.g., the movie Dangerous Minds) of white, female teachers saving students of colour from themselves and their communities in order that they might achieve academic success.  She proposes that this representation is reflected in the tendency for white females to enter the teaching profession in the United States of America (USA).  Moreover, Brown (2013) believes that racist attitudes are perpetuated, not only by media representations, but also by teacher training, professional development, and policy debates.  Brown (2013) states that much racism in the urban American classroom manifests as unintentional, passive, or </w:t>
      </w:r>
      <w:sdt>
        <w:sdtPr>
          <w:rPr>
            <w:rFonts w:ascii="Calibri" w:hAnsi="Calibri" w:cs="Calibri"/>
            <w:color w:val="000000" w:themeColor="text1"/>
          </w:rPr>
          <w:tag w:val="goog_rdk_36"/>
          <w:id w:val="698827276"/>
        </w:sdtPr>
        <w:sdtContent>
          <w:r w:rsidRPr="001B21FB">
            <w:rPr>
              <w:rFonts w:ascii="Calibri" w:eastAsia="Calibri" w:hAnsi="Calibri" w:cs="Calibri"/>
              <w:color w:val="000000" w:themeColor="text1"/>
            </w:rPr>
            <w:t>‘</w:t>
          </w:r>
          <w:proofErr w:type="spellStart"/>
        </w:sdtContent>
      </w:sdt>
      <w:r w:rsidRPr="001B21FB">
        <w:rPr>
          <w:rFonts w:ascii="Calibri" w:eastAsia="Calibri" w:hAnsi="Calibri" w:cs="Calibri"/>
          <w:color w:val="000000" w:themeColor="text1"/>
        </w:rPr>
        <w:t>dysconscious</w:t>
      </w:r>
      <w:proofErr w:type="spellEnd"/>
      <w:sdt>
        <w:sdtPr>
          <w:rPr>
            <w:rFonts w:ascii="Calibri" w:hAnsi="Calibri" w:cs="Calibri"/>
            <w:color w:val="000000" w:themeColor="text1"/>
          </w:rPr>
          <w:tag w:val="goog_rdk_37"/>
          <w:id w:val="617031287"/>
        </w:sdtPr>
        <w:sdtContent>
          <w:r w:rsidRPr="001B21FB">
            <w:rPr>
              <w:rFonts w:ascii="Calibri" w:eastAsia="Calibri" w:hAnsi="Calibri" w:cs="Calibri"/>
              <w:color w:val="000000" w:themeColor="text1"/>
            </w:rPr>
            <w:t>’</w:t>
          </w:r>
        </w:sdtContent>
      </w:sdt>
      <w:r w:rsidRPr="001B21FB">
        <w:rPr>
          <w:rFonts w:ascii="Calibri" w:eastAsia="Calibri" w:hAnsi="Calibri" w:cs="Calibri"/>
          <w:color w:val="000000" w:themeColor="text1"/>
        </w:rPr>
        <w:t xml:space="preserve"> behaviour.  Brown (2013) gives an example of a teacher (a composite composed of two teachers she had observed and given the name ‘Ms. Joseph’) lacking in self-awareness and displaying cultural bias during a grammar lesson: </w:t>
      </w:r>
    </w:p>
    <w:p w14:paraId="51FBCABC" w14:textId="77777777" w:rsidR="004919DB" w:rsidRPr="001B21FB" w:rsidRDefault="004919DB" w:rsidP="004919DB">
      <w:pPr>
        <w:spacing w:line="360" w:lineRule="auto"/>
        <w:ind w:left="1133"/>
        <w:jc w:val="both"/>
        <w:rPr>
          <w:rFonts w:ascii="Calibri" w:eastAsia="Calibri" w:hAnsi="Calibri" w:cs="Calibri"/>
          <w:color w:val="000000" w:themeColor="text1"/>
        </w:rPr>
      </w:pPr>
      <w:r w:rsidRPr="001B21FB">
        <w:rPr>
          <w:rFonts w:ascii="Calibri" w:eastAsia="Calibri" w:hAnsi="Calibri" w:cs="Calibri"/>
          <w:color w:val="000000" w:themeColor="text1"/>
        </w:rPr>
        <w:t>Ms. Joseph elevates her own raced and classed discourse … without explicit social critique or self-reflexivity ... she does not … demonstrate an awareness of herself as a racial actor in that setting who elevates her own experience to normalcy and correctness without a critique of the constructed and problematic nature of this hierarchy (p. 141).</w:t>
      </w:r>
    </w:p>
    <w:p w14:paraId="439D666A" w14:textId="77777777" w:rsidR="004919DB" w:rsidRPr="001B21FB" w:rsidRDefault="004919DB" w:rsidP="004919DB">
      <w:pPr>
        <w:spacing w:line="360" w:lineRule="auto"/>
        <w:ind w:left="1133"/>
        <w:jc w:val="both"/>
        <w:rPr>
          <w:rFonts w:ascii="Calibri" w:eastAsia="Calibri" w:hAnsi="Calibri" w:cs="Calibri"/>
          <w:color w:val="000000" w:themeColor="text1"/>
        </w:rPr>
      </w:pPr>
    </w:p>
    <w:p w14:paraId="086EBB5D" w14:textId="77777777" w:rsidR="004919DB" w:rsidRPr="001B21FB" w:rsidRDefault="004919DB" w:rsidP="004919DB">
      <w:pPr>
        <w:spacing w:line="360" w:lineRule="auto"/>
        <w:jc w:val="both"/>
        <w:rPr>
          <w:rFonts w:ascii="Calibri" w:eastAsia="Calibri" w:hAnsi="Calibri" w:cs="Calibri"/>
          <w:color w:val="000000" w:themeColor="text1"/>
        </w:rPr>
      </w:pPr>
      <w:r w:rsidRPr="001B21FB">
        <w:rPr>
          <w:rFonts w:ascii="Calibri" w:eastAsia="Calibri" w:hAnsi="Calibri" w:cs="Calibri"/>
          <w:color w:val="000000" w:themeColor="text1"/>
        </w:rPr>
        <w:t xml:space="preserve">This example contrasts with another composite of two teachers interviewed and observed in the same study.  ‘Ms Easton’ is also white but grew up and was schooled (for the most part) in </w:t>
      </w:r>
      <w:sdt>
        <w:sdtPr>
          <w:rPr>
            <w:rFonts w:ascii="Calibri" w:hAnsi="Calibri" w:cs="Calibri"/>
            <w:color w:val="000000" w:themeColor="text1"/>
          </w:rPr>
          <w:tag w:val="goog_rdk_38"/>
          <w:id w:val="-150059882"/>
          <w:showingPlcHdr/>
        </w:sdtPr>
        <w:sdtContent>
          <w:r w:rsidRPr="001B21FB">
            <w:rPr>
              <w:rFonts w:ascii="Calibri" w:hAnsi="Calibri" w:cs="Calibri"/>
              <w:color w:val="000000" w:themeColor="text1"/>
            </w:rPr>
            <w:t xml:space="preserve">     </w:t>
          </w:r>
        </w:sdtContent>
      </w:sdt>
      <w:r w:rsidRPr="001B21FB">
        <w:rPr>
          <w:rFonts w:ascii="Calibri" w:eastAsia="Calibri" w:hAnsi="Calibri" w:cs="Calibri"/>
          <w:color w:val="000000" w:themeColor="text1"/>
        </w:rPr>
        <w:t xml:space="preserve">a </w:t>
      </w:r>
      <w:r w:rsidRPr="001B21FB">
        <w:rPr>
          <w:rFonts w:ascii="Calibri" w:eastAsia="Calibri" w:hAnsi="Calibri" w:cs="Calibri"/>
          <w:color w:val="000000" w:themeColor="text1"/>
        </w:rPr>
        <w:lastRenderedPageBreak/>
        <w:t xml:space="preserve">multi-cultural and ethnically diverse community.  She is quick to advocate and defend student perspectives among other staff and “She views students’ communities and experiences through an asset-based lens, and does not normalize her own experience through her pedagogy or praxis” (Brown, 2013, p. 146).  Furthermore, Ms. Easton would like to see more involvement of parents and more holistic education, as opposed to focusing entirely on preparation for college.  In undertaking a student cultural exchange with predominantly white working class students from Maine, Ms. Easton shifted the focus and objective away from a colourblind perspective, and instead asked the students to explore the differences between themselves and their counterparts.  This embracing of, and curiosity regarding difference, provides a useful example of how positionality can be explored and methods of reflexivity developed.   </w:t>
      </w:r>
    </w:p>
    <w:p w14:paraId="1B16A3DF" w14:textId="77777777" w:rsidR="004919DB" w:rsidRPr="001B21FB" w:rsidRDefault="004919DB" w:rsidP="004919DB">
      <w:pPr>
        <w:spacing w:line="360" w:lineRule="auto"/>
        <w:rPr>
          <w:rFonts w:ascii="Calibri" w:eastAsia="Calibri" w:hAnsi="Calibri" w:cs="Calibri"/>
          <w:color w:val="000000" w:themeColor="text1"/>
        </w:rPr>
      </w:pPr>
    </w:p>
    <w:p w14:paraId="4E99679F"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b/>
          <w:color w:val="000000" w:themeColor="text1"/>
        </w:rPr>
        <w:t>Reflexivity and Unlearning: Key Steps in Decolonisation</w:t>
      </w:r>
    </w:p>
    <w:p w14:paraId="6E290EC8"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 xml:space="preserve">A key aspect of decolonising Psychology of Education is fostering reflexivity among educators and students. Reflexivity involves a continuous process of self-examination and critical reflection on one’s positionality, biases, and assumptions. Le Grange (2023) and Pinar (1975, 2011) highlight the importance of </w:t>
      </w:r>
      <w:proofErr w:type="spellStart"/>
      <w:r w:rsidRPr="001B21FB">
        <w:rPr>
          <w:rFonts w:ascii="Calibri" w:eastAsia="Calibri" w:hAnsi="Calibri" w:cs="Calibri"/>
          <w:i/>
          <w:color w:val="000000" w:themeColor="text1"/>
        </w:rPr>
        <w:t>currere</w:t>
      </w:r>
      <w:proofErr w:type="spellEnd"/>
      <w:r w:rsidRPr="001B21FB">
        <w:rPr>
          <w:rFonts w:ascii="Calibri" w:eastAsia="Calibri" w:hAnsi="Calibri" w:cs="Calibri"/>
          <w:color w:val="000000" w:themeColor="text1"/>
        </w:rPr>
        <w:t>, an autobiographical method that encourages educators and students to critically engage with their own educational experiences and examine how these experiences are shaped by colonial narratives.</w:t>
      </w:r>
    </w:p>
    <w:p w14:paraId="38290E8F"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Unlearning colonial biases requires educators and students to interrogate their own assumptions about knowledge, power, and identity. This process is not only about identifying and addressing explicit biases but also about recognising the more subtle, implicit ways in which colonial ideologies continue to shape educational content and practices. By fostering reflexivity and encouraging open, critical dialogue, educators can help students develop a deeper understanding of how colonialism has shaped the field of psychology and work towards a more inclusive, global perspective.</w:t>
      </w:r>
    </w:p>
    <w:p w14:paraId="1A206030" w14:textId="77777777" w:rsidR="004919DB" w:rsidRPr="001B21FB" w:rsidRDefault="004919DB" w:rsidP="004919DB">
      <w:pPr>
        <w:spacing w:line="360" w:lineRule="auto"/>
        <w:ind w:firstLine="720"/>
        <w:jc w:val="both"/>
        <w:rPr>
          <w:rFonts w:ascii="Calibri" w:eastAsia="Calibri" w:hAnsi="Calibri" w:cs="Calibri"/>
          <w:color w:val="000000" w:themeColor="text1"/>
        </w:rPr>
      </w:pPr>
      <w:r w:rsidRPr="001B21FB">
        <w:rPr>
          <w:rFonts w:ascii="Calibri" w:eastAsia="Calibri" w:hAnsi="Calibri" w:cs="Calibri"/>
          <w:color w:val="000000" w:themeColor="text1"/>
        </w:rPr>
        <w:t>“Elaborated awareness of past experience, when faced with contrast, challenges embedded assumptions. Then these assumptions can be theorized rather than dismissed as idiosyncratic”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p. 36).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describes how the anthropologist in the field unlearns what he/she has taken for granted (sometimes) since infancy.  Furthermore, she </w:t>
      </w:r>
      <w:r w:rsidRPr="001B21FB">
        <w:rPr>
          <w:rFonts w:ascii="Calibri" w:eastAsia="Calibri" w:hAnsi="Calibri" w:cs="Calibri"/>
          <w:color w:val="000000" w:themeColor="text1"/>
        </w:rPr>
        <w:lastRenderedPageBreak/>
        <w:t>suggests that it is by making mistakes or breaking rules in a different cultural context that one comes to understand the mistaken assumptions.  “Unlearning, by definition, entails confronting what has already been learned, whether enforced or naively absorbed, so that it may later be problematised”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p. 37).  “Unlearning” is regarded by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as an important factor contributing to creativity and originality.  One might ask, how can such unlearning be supported in an educational context.  </w:t>
      </w:r>
      <w:proofErr w:type="spellStart"/>
      <w:r w:rsidRPr="001B21FB">
        <w:rPr>
          <w:rFonts w:ascii="Calibri" w:eastAsia="Calibri" w:hAnsi="Calibri" w:cs="Calibri"/>
          <w:color w:val="000000" w:themeColor="text1"/>
        </w:rPr>
        <w:t>Finefter-Rosenbluh</w:t>
      </w:r>
      <w:proofErr w:type="spellEnd"/>
      <w:r w:rsidRPr="001B21FB">
        <w:rPr>
          <w:rFonts w:ascii="Calibri" w:eastAsia="Calibri" w:hAnsi="Calibri" w:cs="Calibri"/>
          <w:color w:val="000000" w:themeColor="text1"/>
        </w:rPr>
        <w:t xml:space="preserve"> (2017) describes how social perspective taking can allow an individual to remove oneself from one’s own frame of reference and the relevant constraints and biases of perspective.  Researchers engaging in qualitative research often apply reflexivity as a means to better understand one’s own position and bias.  Harding (as cited by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refers to positionality as awareness of aspects of oneself (e.g., gender, ethnicity, class, age) and how these things have shaped learning from early life.  Considering one’s positionality requires looking outwards and reflexivity can lead to greater understanding of difference and “others”.  Holland (1999) defines reflexivity as “that which turns back upon (or takes account of) itself or the person’s self” (p. 464).  </w:t>
      </w:r>
      <w:proofErr w:type="spellStart"/>
      <w:r w:rsidRPr="001B21FB">
        <w:rPr>
          <w:rFonts w:ascii="Calibri" w:eastAsia="Calibri" w:hAnsi="Calibri" w:cs="Calibri"/>
          <w:color w:val="000000" w:themeColor="text1"/>
        </w:rPr>
        <w:t>Finefter-Rosenbluh</w:t>
      </w:r>
      <w:proofErr w:type="spellEnd"/>
      <w:r w:rsidRPr="001B21FB">
        <w:rPr>
          <w:rFonts w:ascii="Calibri" w:eastAsia="Calibri" w:hAnsi="Calibri" w:cs="Calibri"/>
          <w:color w:val="000000" w:themeColor="text1"/>
        </w:rPr>
        <w:t xml:space="preserve"> (2017) cites both Pillow, and Mauthner and Doucet to define reflexivity as a “... continual internal dialogue and critical self-evaluation of the researcher's positionality … which leaves the researcher changed in its wake” (p. 2).  Reflexivity is typically used to refer to the critical self-reflection engaged in by a researcher but can also refer to a practitioner's approach.</w:t>
      </w:r>
    </w:p>
    <w:p w14:paraId="6716DBEA" w14:textId="77777777" w:rsidR="004919DB" w:rsidRPr="001B21FB" w:rsidRDefault="004919DB" w:rsidP="004919DB">
      <w:pPr>
        <w:spacing w:line="360" w:lineRule="auto"/>
        <w:ind w:firstLine="720"/>
        <w:jc w:val="both"/>
        <w:rPr>
          <w:rFonts w:ascii="Calibri" w:eastAsia="Calibri" w:hAnsi="Calibri" w:cs="Calibri"/>
          <w:color w:val="000000" w:themeColor="text1"/>
        </w:rPr>
      </w:pPr>
      <w:proofErr w:type="spellStart"/>
      <w:r w:rsidRPr="001B21FB">
        <w:rPr>
          <w:rFonts w:ascii="Calibri" w:eastAsia="Calibri" w:hAnsi="Calibri" w:cs="Calibri"/>
          <w:color w:val="000000" w:themeColor="text1"/>
        </w:rPr>
        <w:t>Finefter-Rosenbluh</w:t>
      </w:r>
      <w:proofErr w:type="spellEnd"/>
      <w:r w:rsidRPr="001B21FB">
        <w:rPr>
          <w:rFonts w:ascii="Calibri" w:eastAsia="Calibri" w:hAnsi="Calibri" w:cs="Calibri"/>
          <w:color w:val="000000" w:themeColor="text1"/>
        </w:rPr>
        <w:t xml:space="preserve"> (2017) describes her approach to perspective taking in three steps.  Although she is describing a process of self-reflection for research purposes, a similar approach could be adapted for trainee teachers.  In step one, </w:t>
      </w:r>
      <w:proofErr w:type="spellStart"/>
      <w:r w:rsidRPr="001B21FB">
        <w:rPr>
          <w:rFonts w:ascii="Calibri" w:eastAsia="Calibri" w:hAnsi="Calibri" w:cs="Calibri"/>
          <w:color w:val="000000" w:themeColor="text1"/>
        </w:rPr>
        <w:t>Finefter-Rosenbluh</w:t>
      </w:r>
      <w:proofErr w:type="spellEnd"/>
      <w:r w:rsidRPr="001B21FB">
        <w:rPr>
          <w:rFonts w:ascii="Calibri" w:eastAsia="Calibri" w:hAnsi="Calibri" w:cs="Calibri"/>
          <w:color w:val="000000" w:themeColor="text1"/>
        </w:rPr>
        <w:t xml:space="preserve"> (2017) undertook to activate the mental process of perspective taking.  Realising that she had reached very different conclusions from an 'outside' researcher who had conducted a similar study, she adopted the 'outsider' perspective.  She recognised the shared elements of the two studies.  Step two involved anchoring her own 'insider' perspective and dissecting the other researcher’s “outsider” perspective.  For example, </w:t>
      </w:r>
      <w:proofErr w:type="spellStart"/>
      <w:r w:rsidRPr="001B21FB">
        <w:rPr>
          <w:rFonts w:ascii="Calibri" w:eastAsia="Calibri" w:hAnsi="Calibri" w:cs="Calibri"/>
          <w:color w:val="000000" w:themeColor="text1"/>
        </w:rPr>
        <w:t>Finefter-Rosenbluh</w:t>
      </w:r>
      <w:proofErr w:type="spellEnd"/>
      <w:r w:rsidRPr="001B21FB">
        <w:rPr>
          <w:rFonts w:ascii="Calibri" w:eastAsia="Calibri" w:hAnsi="Calibri" w:cs="Calibri"/>
          <w:color w:val="000000" w:themeColor="text1"/>
        </w:rPr>
        <w:t xml:space="preserve"> (2017) describes how she had a dual relationship with the research sample in that she was both colleague and researcher which sometimes called for discernment about ethical challenges.  Step three </w:t>
      </w:r>
      <w:sdt>
        <w:sdtPr>
          <w:rPr>
            <w:rFonts w:ascii="Calibri" w:hAnsi="Calibri" w:cs="Calibri"/>
            <w:color w:val="000000" w:themeColor="text1"/>
          </w:rPr>
          <w:tag w:val="goog_rdk_39"/>
          <w:id w:val="-1963730391"/>
          <w:showingPlcHdr/>
        </w:sdtPr>
        <w:sdtContent>
          <w:r w:rsidRPr="001B21FB">
            <w:rPr>
              <w:rFonts w:ascii="Calibri" w:hAnsi="Calibri" w:cs="Calibri"/>
              <w:color w:val="000000" w:themeColor="text1"/>
            </w:rPr>
            <w:t xml:space="preserve">     </w:t>
          </w:r>
        </w:sdtContent>
      </w:sdt>
      <w:r w:rsidRPr="001B21FB">
        <w:rPr>
          <w:rFonts w:ascii="Calibri" w:eastAsia="Calibri" w:hAnsi="Calibri" w:cs="Calibri"/>
          <w:color w:val="000000" w:themeColor="text1"/>
        </w:rPr>
        <w:t xml:space="preserve">required consideration of different ways of understanding without imposition of commonly shared meaning.  Upon exploring the complex </w:t>
      </w:r>
      <w:r w:rsidRPr="001B21FB">
        <w:rPr>
          <w:rFonts w:ascii="Calibri" w:eastAsia="Calibri" w:hAnsi="Calibri" w:cs="Calibri"/>
          <w:color w:val="000000" w:themeColor="text1"/>
        </w:rPr>
        <w:lastRenderedPageBreak/>
        <w:t xml:space="preserve">perspective of the outsider-researcher, </w:t>
      </w:r>
      <w:proofErr w:type="spellStart"/>
      <w:r w:rsidRPr="001B21FB">
        <w:rPr>
          <w:rFonts w:ascii="Calibri" w:eastAsia="Calibri" w:hAnsi="Calibri" w:cs="Calibri"/>
          <w:color w:val="000000" w:themeColor="text1"/>
        </w:rPr>
        <w:t>Finefter-Rosenbluh</w:t>
      </w:r>
      <w:proofErr w:type="spellEnd"/>
      <w:r w:rsidRPr="001B21FB">
        <w:rPr>
          <w:rFonts w:ascii="Calibri" w:eastAsia="Calibri" w:hAnsi="Calibri" w:cs="Calibri"/>
          <w:color w:val="000000" w:themeColor="text1"/>
        </w:rPr>
        <w:t xml:space="preserve"> (2017) reflected on her own methodological processes, biases, and ethical dilemmas with critical awareness.  This approach is related to research, but could be adapted as a useful cognitive exercise for trainee educators.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describes more experiential approaches to interrogating different cultural positions.  </w:t>
      </w:r>
    </w:p>
    <w:p w14:paraId="72FF8EF9" w14:textId="2C51677F" w:rsidR="004919DB" w:rsidRPr="001B21FB" w:rsidRDefault="004919DB" w:rsidP="004919DB">
      <w:pPr>
        <w:spacing w:line="360" w:lineRule="auto"/>
        <w:ind w:firstLine="720"/>
        <w:jc w:val="both"/>
        <w:rPr>
          <w:rFonts w:ascii="Calibri" w:eastAsia="Calibri" w:hAnsi="Calibri" w:cs="Calibri"/>
          <w:color w:val="000000" w:themeColor="text1"/>
        </w:rPr>
      </w:pP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explains how social anthropology exposes one to all cultural possibilities.  Describing her early university experiences and introduction into work in education, she discusses how examination of one's own positionality can expand one's understanding of cultural difference.  An example of working with students' subjective and lived experiences is described by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in relation to a movement which allowed trade unionists to study at Oxford.  The culture of the university could have been intimidating for these students, however, she describes how tradesmen were encouraged to share their specialism and grounded experience as a means to enhance awareness of their own position in history (they were studying history at the time).  “Lived experience was not incompatible with theoretical knowledge, generalizing or holistic contexts”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2012, p. 39).</w:t>
      </w:r>
      <w:sdt>
        <w:sdtPr>
          <w:rPr>
            <w:rFonts w:ascii="Calibri" w:hAnsi="Calibri" w:cs="Calibri"/>
            <w:color w:val="000000" w:themeColor="text1"/>
          </w:rPr>
          <w:tag w:val="goog_rdk_40"/>
          <w:id w:val="-894815707"/>
        </w:sdtPr>
        <w:sdtContent>
          <w:r w:rsidR="00754944" w:rsidRPr="001B21FB">
            <w:rPr>
              <w:rFonts w:ascii="Calibri" w:hAnsi="Calibri" w:cs="Calibri"/>
              <w:color w:val="000000" w:themeColor="text1"/>
            </w:rPr>
            <w:t xml:space="preserve">  </w:t>
          </w:r>
        </w:sdtContent>
      </w:sdt>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describes her own approach to supporting Jamaican students in examining their positionality during the 1960s as part of Social and Economic History studies.  Rather than repeat the narrow and racist teaching she had received when learning about slavery and its economical relevance, she embraced the multiculturalism in her classroom and approached the task of allowing both white and Caribbean students to examine their positionality with subtlety.  She used art to facilitate this process with music such as Billie Holiday's 'Strange Fruit' and the movie 'In the Heat of the Night' as means to examine the legacy of slavery and racism.  “The intention was to encourage lateral identification among the Jamaicans and deconstruction of stereotypes among the white students”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p. 41).  In another example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explains how she requested that first year students reflect on their subjective positionality, by considering a time in which they were in an unfamiliar cultural context, and how they made mistakes and were surprised.  This led to sharing of personal vulnerability and learning about difference.  The students realised that they had wrongly assumed some “rules” or experiences to be universal.  They came to better understand the lived experience of ethnocentricity when they transgressed other cultural rules.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discusses the advantage that students of mixed heritage (nationality or ethnicity) enjoy as they </w:t>
      </w:r>
      <w:r w:rsidRPr="001B21FB">
        <w:rPr>
          <w:rFonts w:ascii="Calibri" w:eastAsia="Calibri" w:hAnsi="Calibri" w:cs="Calibri"/>
          <w:color w:val="000000" w:themeColor="text1"/>
        </w:rPr>
        <w:lastRenderedPageBreak/>
        <w:t xml:space="preserve">have 'bifocal vision'; that is to say, they may have experienced different languages or lived in different cultures and therefore already knew that one culture cannot be superior to another.  This perspective was much appreciated by one of her mixed heritage students (born in Hull but with </w:t>
      </w:r>
      <w:sdt>
        <w:sdtPr>
          <w:rPr>
            <w:rFonts w:ascii="Calibri" w:hAnsi="Calibri" w:cs="Calibri"/>
            <w:color w:val="000000" w:themeColor="text1"/>
          </w:rPr>
          <w:tag w:val="goog_rdk_42"/>
          <w:id w:val="-940528298"/>
        </w:sdtPr>
        <w:sdtContent>
          <w:r w:rsidRPr="001B21FB">
            <w:rPr>
              <w:rFonts w:ascii="Calibri" w:eastAsia="Calibri" w:hAnsi="Calibri" w:cs="Calibri"/>
              <w:color w:val="000000" w:themeColor="text1"/>
            </w:rPr>
            <w:t>Ukrainian</w:t>
          </w:r>
        </w:sdtContent>
      </w:sdt>
      <w:sdt>
        <w:sdtPr>
          <w:rPr>
            <w:rFonts w:ascii="Calibri" w:hAnsi="Calibri" w:cs="Calibri"/>
            <w:color w:val="000000" w:themeColor="text1"/>
          </w:rPr>
          <w:tag w:val="goog_rdk_43"/>
          <w:id w:val="347452236"/>
          <w:showingPlcHdr/>
        </w:sdtPr>
        <w:sdtContent>
          <w:r w:rsidRPr="001B21FB">
            <w:rPr>
              <w:rFonts w:ascii="Calibri" w:hAnsi="Calibri" w:cs="Calibri"/>
              <w:color w:val="000000" w:themeColor="text1"/>
            </w:rPr>
            <w:t xml:space="preserve">     </w:t>
          </w:r>
        </w:sdtContent>
      </w:sdt>
      <w:r w:rsidRPr="001B21FB">
        <w:rPr>
          <w:rFonts w:ascii="Calibri" w:eastAsia="Calibri" w:hAnsi="Calibri" w:cs="Calibri"/>
          <w:color w:val="000000" w:themeColor="text1"/>
        </w:rPr>
        <w:t xml:space="preserve"> roots) who had always been denigrated for not being 'real Hull'.  This unlearning had allowed the young woman to experience her positionality with pride.  Ultimately </w:t>
      </w:r>
      <w:proofErr w:type="spellStart"/>
      <w:r w:rsidRPr="001B21FB">
        <w:rPr>
          <w:rFonts w:ascii="Calibri" w:eastAsia="Calibri" w:hAnsi="Calibri" w:cs="Calibri"/>
          <w:color w:val="000000" w:themeColor="text1"/>
        </w:rPr>
        <w:t>Okely</w:t>
      </w:r>
      <w:proofErr w:type="spellEnd"/>
      <w:r w:rsidRPr="001B21FB">
        <w:rPr>
          <w:rFonts w:ascii="Calibri" w:eastAsia="Calibri" w:hAnsi="Calibri" w:cs="Calibri"/>
          <w:color w:val="000000" w:themeColor="text1"/>
        </w:rPr>
        <w:t xml:space="preserve"> (2012) proposes that “New learning can be inspired by building on the student’s prior knowledge and identity as a means of fostering both commonality and contrast” (p. 42). </w:t>
      </w:r>
    </w:p>
    <w:p w14:paraId="511CE709" w14:textId="77777777" w:rsidR="004919DB" w:rsidRPr="001B21FB" w:rsidRDefault="004919DB" w:rsidP="004919DB">
      <w:pPr>
        <w:spacing w:line="360" w:lineRule="auto"/>
        <w:rPr>
          <w:rFonts w:ascii="Calibri" w:eastAsia="Calibri" w:hAnsi="Calibri" w:cs="Calibri"/>
          <w:color w:val="000000" w:themeColor="text1"/>
        </w:rPr>
      </w:pPr>
    </w:p>
    <w:p w14:paraId="5CD8126B" w14:textId="77777777" w:rsidR="004919DB" w:rsidRPr="001B21FB" w:rsidRDefault="004919DB" w:rsidP="004919DB">
      <w:pPr>
        <w:spacing w:line="360" w:lineRule="auto"/>
        <w:rPr>
          <w:rFonts w:ascii="Calibri" w:eastAsia="Calibri" w:hAnsi="Calibri" w:cs="Calibri"/>
          <w:b/>
          <w:color w:val="000000" w:themeColor="text1"/>
        </w:rPr>
      </w:pPr>
      <w:r w:rsidRPr="001B21FB">
        <w:rPr>
          <w:rFonts w:ascii="Calibri" w:eastAsia="Calibri" w:hAnsi="Calibri" w:cs="Calibri"/>
          <w:b/>
          <w:color w:val="000000" w:themeColor="text1"/>
        </w:rPr>
        <w:t>Decolonising the Early Childhood and School Years</w:t>
      </w:r>
    </w:p>
    <w:p w14:paraId="68477E04"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 xml:space="preserve">Tembo and Bateson (2024) examine how racial discrimination and colonial legacies shape early childhood education and development, arguing that race and racism are embedded in children’s play and relational habits long before explicit acts of racism emerge. They critique traditional anti-racist approaches in early education, which focus on surface-level interventions, such as diverse books and discussions about race, but fail to address deeper colonial norms that shape children’s interactions.  Drawing on the concept of “coloniality” Tembo and Bateson (2024) argue that many early childhood settings perpetuate colonial power structures through neoliberal values like individualism and competition, which reinforce racialisation. Tembo and Bateson’s (2024) work highlights how colonial legacies shape children’s interactions and relational habits before explicit racism emerges, showing the importance of addressing these deep-rooted norms within psychology of education. By critiquing neoliberal and individualistic values that reinforce racialisation, they argue for pedagogies that prioritise relational learning and free play, such as Froebelian methods, which allow children to explore their identities outside colonial frameworks (Tembo &amp; Bateson, 2024).  For psychology of education, this means we need to rethink developmental models that often implicitly reinforce colonial ideologies. Decolonising this field requires moving beyond surface-level diversity initiatives to address the deeper, often unconscious, colonial structures that shape children’s socialisation and learning.  Tembo and Bateson's (2024) approach encourages a re-examination of how psychology of education </w:t>
      </w:r>
      <w:sdt>
        <w:sdtPr>
          <w:rPr>
            <w:rFonts w:ascii="Calibri" w:hAnsi="Calibri" w:cs="Calibri"/>
            <w:color w:val="000000" w:themeColor="text1"/>
          </w:rPr>
          <w:tag w:val="goog_rdk_44"/>
          <w:id w:val="-1115831867"/>
        </w:sdtPr>
        <w:sdtContent>
          <w:r w:rsidRPr="001B21FB">
            <w:rPr>
              <w:rFonts w:ascii="Calibri" w:eastAsia="Calibri" w:hAnsi="Calibri" w:cs="Calibri"/>
              <w:color w:val="000000" w:themeColor="text1"/>
            </w:rPr>
            <w:t>conceptualises</w:t>
          </w:r>
        </w:sdtContent>
      </w:sdt>
      <w:sdt>
        <w:sdtPr>
          <w:rPr>
            <w:rFonts w:ascii="Calibri" w:hAnsi="Calibri" w:cs="Calibri"/>
            <w:color w:val="000000" w:themeColor="text1"/>
          </w:rPr>
          <w:tag w:val="goog_rdk_45"/>
          <w:id w:val="-143817819"/>
          <w:showingPlcHdr/>
        </w:sdtPr>
        <w:sdtContent>
          <w:r w:rsidRPr="001B21FB">
            <w:rPr>
              <w:rFonts w:ascii="Calibri" w:hAnsi="Calibri" w:cs="Calibri"/>
              <w:color w:val="000000" w:themeColor="text1"/>
            </w:rPr>
            <w:t xml:space="preserve">     </w:t>
          </w:r>
        </w:sdtContent>
      </w:sdt>
      <w:r w:rsidRPr="001B21FB">
        <w:rPr>
          <w:rFonts w:ascii="Calibri" w:eastAsia="Calibri" w:hAnsi="Calibri" w:cs="Calibri"/>
          <w:color w:val="000000" w:themeColor="text1"/>
        </w:rPr>
        <w:t xml:space="preserve"> child development, identity, and learning within decolonial frameworks.</w:t>
      </w:r>
    </w:p>
    <w:p w14:paraId="19BA55EB" w14:textId="77777777" w:rsidR="004919DB" w:rsidRPr="001B21FB" w:rsidRDefault="004919DB" w:rsidP="004919DB">
      <w:pPr>
        <w:spacing w:line="360" w:lineRule="auto"/>
        <w:ind w:firstLine="720"/>
        <w:rPr>
          <w:rFonts w:ascii="Calibri" w:eastAsia="Calibri" w:hAnsi="Calibri" w:cs="Calibri"/>
          <w:color w:val="000000" w:themeColor="text1"/>
        </w:rPr>
      </w:pPr>
      <w:r w:rsidRPr="001B21FB">
        <w:rPr>
          <w:rFonts w:ascii="Calibri" w:eastAsia="Calibri" w:hAnsi="Calibri" w:cs="Calibri"/>
          <w:color w:val="000000" w:themeColor="text1"/>
        </w:rPr>
        <w:lastRenderedPageBreak/>
        <w:t xml:space="preserve">Neville (2023) proposed an approach to language teaching advocating for the empowerment of student teachers as agents of change within their post-primary classrooms with pupils aged between 12-18 years. This model encouraged teachers and local curriculum leaders to challenge the dominant, canonical narratives embedded in the education system. Teachers need to be empowered with the critical skills necessary to interrogate their teaching practice, classroom environment, institutional contexts, and the broader educational system. Neville (2023) argued that teachers could continually deconstruct and renegotiate their identities, positioning themselves in what was referred to as a “Third Space”, a dynamic area of professional reflection where they could act as agents of transformative change, promoting greater equity, diversity, and inclusion within their classrooms.  Neville (2023) introduced the concept of Critical Decolonial Reflection (CDR), building upon the foundational idea of Critical Decolonial Awareness (CDA). CDR encourages teachers to critically reflect on their practice in a participant-centred manner which should occur throughout teachers professional careers through ongoing dialogue and reflection among teachers, focusing on key aspects of subject knowledge, pedagogy, and classroom practice (Neville, 2023).  One key aspect of CDR, as outlined by Neville (2023), involved student teachers reflecting on their own Language Teacher Identities (LTIs) and examining whether their teaching practices perpetuated traditional, Eurocentric approaches or embraced a decolonial perspective.  Neville (2023) stressed the importance of recognising the plurality of knowledge systems. Student teachers were urged to reflect on their own subject knowledge and consider whether their teaching included peripheral epistemologies, particularly those from the Global South. Neville’s (2023) CDA-CDR model was piloted with a small group of student language teachers (N=7) at University College Cork (UCC) and the results indicated that the model enhanced the participants’ awareness of decolonial issues and encouraged them to engage with diverse content in their teaching. However, there were challenges, particularly in relation to workload and a lack of autonomy during school placements.  Neville (2023) argued that while the CDA-CDR model made a valuable contribution to the decolonisation of language education, more research is required to understand how such approaches could be embedded in post-primary education. This research highlights the need for collaboration between teachers, curriculum leaders, publishers, and </w:t>
      </w:r>
      <w:r w:rsidRPr="001B21FB">
        <w:rPr>
          <w:rFonts w:ascii="Calibri" w:eastAsia="Calibri" w:hAnsi="Calibri" w:cs="Calibri"/>
          <w:color w:val="000000" w:themeColor="text1"/>
        </w:rPr>
        <w:lastRenderedPageBreak/>
        <w:t>policymakers to support the ongoing development of culturally responsive pedagogy that will permeate through all aspects of education from early childhood through to higher education and beyond.</w:t>
      </w:r>
    </w:p>
    <w:p w14:paraId="1C7ED285" w14:textId="77777777" w:rsidR="004919DB" w:rsidRPr="001B21FB" w:rsidRDefault="004919DB" w:rsidP="004919DB">
      <w:pPr>
        <w:spacing w:line="360" w:lineRule="auto"/>
        <w:rPr>
          <w:rFonts w:ascii="Calibri" w:eastAsia="Calibri" w:hAnsi="Calibri" w:cs="Calibri"/>
          <w:b/>
          <w:color w:val="000000" w:themeColor="text1"/>
        </w:rPr>
      </w:pPr>
    </w:p>
    <w:p w14:paraId="485EE9FE" w14:textId="77777777" w:rsidR="004919DB" w:rsidRPr="001B21FB" w:rsidRDefault="004919DB" w:rsidP="004919DB">
      <w:pPr>
        <w:spacing w:line="360" w:lineRule="auto"/>
        <w:rPr>
          <w:rFonts w:ascii="Calibri" w:eastAsia="Calibri" w:hAnsi="Calibri" w:cs="Calibri"/>
          <w:b/>
          <w:color w:val="000000" w:themeColor="text1"/>
        </w:rPr>
      </w:pPr>
      <w:r w:rsidRPr="001B21FB">
        <w:rPr>
          <w:rFonts w:ascii="Calibri" w:eastAsia="Calibri" w:hAnsi="Calibri" w:cs="Calibri"/>
          <w:b/>
          <w:color w:val="000000" w:themeColor="text1"/>
        </w:rPr>
        <w:t>Colonial Legacies in Higher Education</w:t>
      </w:r>
    </w:p>
    <w:p w14:paraId="7C439F85"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We know that Psychology, as a discipline, has been historically shaped by colonial and ethnocentric frameworks. Literature  (MacDonald, 2006; Henrich et al., 2010) has shown that much of psychological research and theory has relied on WEIRD (Western, Educated, Industrialised, Rich, Democratic) populations, which limits its international applicability. This over-reliance on Western perspectives has created a narrow understanding of human development and behaviour; which is often reflected in university curricula and reading lists. As a result, we may continue to perpetuate colonial biases and legacies by exposing students to a curriculum that prioritises Western, male scholars, marginalising the perspectives of women, minority ethnic groups, and those from non-Western cultures.</w:t>
      </w:r>
    </w:p>
    <w:p w14:paraId="494BA0E2" w14:textId="77777777" w:rsidR="004919DB" w:rsidRPr="001B21FB" w:rsidRDefault="004919DB" w:rsidP="004919DB">
      <w:pPr>
        <w:spacing w:line="360" w:lineRule="auto"/>
        <w:ind w:firstLine="720"/>
        <w:rPr>
          <w:rFonts w:ascii="Calibri" w:eastAsia="Calibri" w:hAnsi="Calibri" w:cs="Calibri"/>
          <w:color w:val="000000" w:themeColor="text1"/>
        </w:rPr>
      </w:pPr>
      <w:r w:rsidRPr="001B21FB">
        <w:rPr>
          <w:rFonts w:ascii="Calibri" w:eastAsia="Calibri" w:hAnsi="Calibri" w:cs="Calibri"/>
          <w:color w:val="000000" w:themeColor="text1"/>
        </w:rPr>
        <w:t xml:space="preserve">O’Neill (2024) highlights the “epistemological ignorance” present in United Kingdom (UK) Politics curricula, shaped by whiteness and Western-centrism. O’Neill (2024) draws on the lived experiences of racially minoritised students to argue that the curriculum is narrow and biased toward Western, white perspectives, thus failing to acknowledge alternative epistemologies and the legacies of colonialism. The key findings of the study are that students experience the curriculum as lacking in diversity, particularly in how it presented political theory through a predominantly white, male lens, often omitting or marginalising non-Western perspectives. This “narrowness” can lead to a lack of engagement with colonialism’s role in shaping political thought, treating it as an isolated historical issue rather than an ongoing influence.  O’Neill (2024) acknowledges the constraints faced by educators, noting that while individual lecturers can push for change, institutional structures and traditional norms often hinder more radical transformation.  This offers critical insights into how whiteness and Western-centrism can shape academic disciplines, including Psychology of Education. It is important to recognise how these biases affect curriculum content, and highlights the need to pluralise educational materials by integrating non-Western perspectives. Just as in Politics, </w:t>
      </w:r>
      <w:r w:rsidRPr="001B21FB">
        <w:rPr>
          <w:rFonts w:ascii="Calibri" w:eastAsia="Calibri" w:hAnsi="Calibri" w:cs="Calibri"/>
          <w:color w:val="000000" w:themeColor="text1"/>
        </w:rPr>
        <w:lastRenderedPageBreak/>
        <w:t>Psychology of Education curricula could benefit from including diverse epistemologies, engaging with the global contexts of psychological theories, and addressing the historical role of colonialism in shaping the field. Moreover, the idea of “epistemological ignorance” can be applied to critique how traditional psychological theories have often ignored or marginalised non-Western forms of knowledge.  In practice, O'Neill’s (2024) work suggests that decolonising the Psychology of Education curriculum should not be limited to diversifying reading lists; it must involve a deeper transformation of how knowledge is framed and taught, ensuring that students from diverse backgrounds feel represented, included, and that critical perspectives on race, colonialism, and power are embedded into the core of the curriculum.</w:t>
      </w:r>
    </w:p>
    <w:p w14:paraId="7567E9C5" w14:textId="77777777" w:rsidR="004919DB" w:rsidRPr="001B21FB" w:rsidRDefault="004919DB" w:rsidP="004919DB">
      <w:pPr>
        <w:spacing w:line="360" w:lineRule="auto"/>
        <w:ind w:firstLine="720"/>
        <w:rPr>
          <w:rFonts w:ascii="Calibri" w:eastAsia="Calibri" w:hAnsi="Calibri" w:cs="Calibri"/>
          <w:color w:val="000000" w:themeColor="text1"/>
        </w:rPr>
      </w:pPr>
      <w:r w:rsidRPr="001B21FB">
        <w:rPr>
          <w:rFonts w:ascii="Calibri" w:eastAsia="Calibri" w:hAnsi="Calibri" w:cs="Calibri"/>
          <w:color w:val="000000" w:themeColor="text1"/>
        </w:rPr>
        <w:t>In order to decolonise the Psychology of Education curriculum, we must recognise and address these biases. Phiri et al. (2023) argue that decolonisation seeks to reverse the harmful impact of colonisation on marginalised groups by ensuring that educational spaces reflect diverse voices and experiences. In this context, unlearning colonial narratives involves critically examining the historical and ongoing influence of colonialism on the construction of psychological knowledge and its dissemination in higher education.</w:t>
      </w:r>
    </w:p>
    <w:p w14:paraId="2E802B72"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Phiri et al. (2023) emphasise that surface-level efforts, such as adding a few non-Western authors to a reading list, are insufficient to address the deep-rooted colonial biases present in academic curricula. Instead, they argue for a comprehensive re-examination of the underlying frameworks that shape educational content, ensuring that the perspectives of those who have been historically marginalised are given equal legitimacy and representation. This process involves critically engaging with both the “hidden curriculum”, the implicit norms and values that shape the academic environment, and the “null curriculum”, the content that is excluded or ignored (O’Neill, 2024).</w:t>
      </w:r>
    </w:p>
    <w:p w14:paraId="060F7814" w14:textId="77777777" w:rsidR="004919DB" w:rsidRPr="001B21FB" w:rsidRDefault="004919DB" w:rsidP="004919DB">
      <w:pPr>
        <w:spacing w:line="360" w:lineRule="auto"/>
        <w:ind w:firstLine="720"/>
        <w:rPr>
          <w:rFonts w:ascii="Calibri" w:eastAsia="Calibri" w:hAnsi="Calibri" w:cs="Calibri"/>
          <w:color w:val="000000" w:themeColor="text1"/>
        </w:rPr>
      </w:pPr>
      <w:proofErr w:type="spellStart"/>
      <w:r w:rsidRPr="001B21FB">
        <w:rPr>
          <w:rFonts w:ascii="Calibri" w:eastAsia="Calibri" w:hAnsi="Calibri" w:cs="Calibri"/>
          <w:color w:val="000000" w:themeColor="text1"/>
        </w:rPr>
        <w:t>Chikoko</w:t>
      </w:r>
      <w:proofErr w:type="spellEnd"/>
      <w:r w:rsidRPr="001B21FB">
        <w:rPr>
          <w:rFonts w:ascii="Calibri" w:eastAsia="Calibri" w:hAnsi="Calibri" w:cs="Calibri"/>
          <w:color w:val="000000" w:themeColor="text1"/>
        </w:rPr>
        <w:t xml:space="preserve"> (2021) discusses how re-visiting the decolonisation of higher education in South Africa has become a critical focus since the #FeesMustFall movement, revealing a range of approaches to addressing colonial legacies. </w:t>
      </w:r>
      <w:proofErr w:type="spellStart"/>
      <w:r w:rsidRPr="001B21FB">
        <w:rPr>
          <w:rFonts w:ascii="Calibri" w:eastAsia="Calibri" w:hAnsi="Calibri" w:cs="Calibri"/>
          <w:color w:val="000000" w:themeColor="text1"/>
        </w:rPr>
        <w:t>Chikoko</w:t>
      </w:r>
      <w:proofErr w:type="spellEnd"/>
      <w:r w:rsidRPr="001B21FB">
        <w:rPr>
          <w:rFonts w:ascii="Calibri" w:eastAsia="Calibri" w:hAnsi="Calibri" w:cs="Calibri"/>
          <w:color w:val="000000" w:themeColor="text1"/>
        </w:rPr>
        <w:t xml:space="preserve"> (2021) categorises these into three broad strategies: (a) soft reform; (b) radical reform; and (c) beyond-reform.  Soft reform refers to surface-level changes, such as improving access or supplementing curricula with non-Western content, without challenging the deeper power structures that sustain coloniality (</w:t>
      </w:r>
      <w:proofErr w:type="spellStart"/>
      <w:r w:rsidRPr="001B21FB">
        <w:rPr>
          <w:rFonts w:ascii="Calibri" w:eastAsia="Calibri" w:hAnsi="Calibri" w:cs="Calibri"/>
          <w:color w:val="000000" w:themeColor="text1"/>
        </w:rPr>
        <w:t>Zembylas</w:t>
      </w:r>
      <w:proofErr w:type="spellEnd"/>
      <w:r w:rsidRPr="001B21FB">
        <w:rPr>
          <w:rFonts w:ascii="Calibri" w:eastAsia="Calibri" w:hAnsi="Calibri" w:cs="Calibri"/>
          <w:color w:val="000000" w:themeColor="text1"/>
        </w:rPr>
        <w:t xml:space="preserve">, </w:t>
      </w:r>
      <w:r w:rsidRPr="001B21FB">
        <w:rPr>
          <w:rFonts w:ascii="Calibri" w:eastAsia="Calibri" w:hAnsi="Calibri" w:cs="Calibri"/>
          <w:color w:val="000000" w:themeColor="text1"/>
        </w:rPr>
        <w:lastRenderedPageBreak/>
        <w:t xml:space="preserve">2018). These changes maintain the status quo and fall short of meaningful transformation, as they fail to disrupt the Eurocentric foundations of higher education. </w:t>
      </w:r>
      <w:proofErr w:type="spellStart"/>
      <w:r w:rsidRPr="001B21FB">
        <w:rPr>
          <w:rFonts w:ascii="Calibri" w:eastAsia="Calibri" w:hAnsi="Calibri" w:cs="Calibri"/>
          <w:color w:val="000000" w:themeColor="text1"/>
        </w:rPr>
        <w:t>Chikoko</w:t>
      </w:r>
      <w:proofErr w:type="spellEnd"/>
      <w:r w:rsidRPr="001B21FB">
        <w:rPr>
          <w:rFonts w:ascii="Calibri" w:eastAsia="Calibri" w:hAnsi="Calibri" w:cs="Calibri"/>
          <w:color w:val="000000" w:themeColor="text1"/>
        </w:rPr>
        <w:t xml:space="preserve"> (2021) describes such efforts, which target isolated aspects of the system like qualifications or individual programmes, as “sub-soft reforms”, unable to address the entrenchment of colonial values.  Radical reform, in contrast, aims to dismantle these entrenched colonial values. This approach calls for transforming the entire curriculum, leadership, and research practices to empower historically marginalised groups (Le Grange, 2016; </w:t>
      </w:r>
      <w:proofErr w:type="spellStart"/>
      <w:r w:rsidRPr="001B21FB">
        <w:rPr>
          <w:rFonts w:ascii="Calibri" w:eastAsia="Calibri" w:hAnsi="Calibri" w:cs="Calibri"/>
          <w:color w:val="000000" w:themeColor="text1"/>
        </w:rPr>
        <w:t>Zembylas</w:t>
      </w:r>
      <w:proofErr w:type="spellEnd"/>
      <w:r w:rsidRPr="001B21FB">
        <w:rPr>
          <w:rFonts w:ascii="Calibri" w:eastAsia="Calibri" w:hAnsi="Calibri" w:cs="Calibri"/>
          <w:color w:val="000000" w:themeColor="text1"/>
        </w:rPr>
        <w:t xml:space="preserve">, 2018). However, </w:t>
      </w:r>
      <w:proofErr w:type="spellStart"/>
      <w:r w:rsidRPr="001B21FB">
        <w:rPr>
          <w:rFonts w:ascii="Calibri" w:eastAsia="Calibri" w:hAnsi="Calibri" w:cs="Calibri"/>
          <w:color w:val="000000" w:themeColor="text1"/>
        </w:rPr>
        <w:t>Chikoko</w:t>
      </w:r>
      <w:proofErr w:type="spellEnd"/>
      <w:r w:rsidRPr="001B21FB">
        <w:rPr>
          <w:rFonts w:ascii="Calibri" w:eastAsia="Calibri" w:hAnsi="Calibri" w:cs="Calibri"/>
          <w:color w:val="000000" w:themeColor="text1"/>
        </w:rPr>
        <w:t xml:space="preserve"> (2021) notes that while these reforms address the curriculum, universities are broader institutions, and focusing solely on curriculum change may still fall short of the necessary transformation.  The notion of beyond-reform goes further, recognising that higher education institutions are fundamentally tied to coloniality. </w:t>
      </w:r>
      <w:proofErr w:type="spellStart"/>
      <w:r w:rsidRPr="001B21FB">
        <w:rPr>
          <w:rFonts w:ascii="Calibri" w:eastAsia="Calibri" w:hAnsi="Calibri" w:cs="Calibri"/>
          <w:color w:val="000000" w:themeColor="text1"/>
        </w:rPr>
        <w:t>Zembylas</w:t>
      </w:r>
      <w:proofErr w:type="spellEnd"/>
      <w:r w:rsidRPr="001B21FB">
        <w:rPr>
          <w:rFonts w:ascii="Calibri" w:eastAsia="Calibri" w:hAnsi="Calibri" w:cs="Calibri"/>
          <w:color w:val="000000" w:themeColor="text1"/>
        </w:rPr>
        <w:t xml:space="preserve"> (2018) suggests that decolonisation should encompass all aspects of the university, including administration, pedagogy, and student life. </w:t>
      </w:r>
      <w:proofErr w:type="spellStart"/>
      <w:r w:rsidRPr="001B21FB">
        <w:rPr>
          <w:rFonts w:ascii="Calibri" w:eastAsia="Calibri" w:hAnsi="Calibri" w:cs="Calibri"/>
          <w:color w:val="000000" w:themeColor="text1"/>
        </w:rPr>
        <w:t>Chikoko</w:t>
      </w:r>
      <w:proofErr w:type="spellEnd"/>
      <w:r w:rsidRPr="001B21FB">
        <w:rPr>
          <w:rFonts w:ascii="Calibri" w:eastAsia="Calibri" w:hAnsi="Calibri" w:cs="Calibri"/>
          <w:color w:val="000000" w:themeColor="text1"/>
        </w:rPr>
        <w:t xml:space="preserve"> (2021) argues that universities cannot fully decolonise in isolation from the broader colonial context of society, and therefore must simultaneously act as agents of societal decolonisation.  Thus, while progress has been made towards decolonising South African higher education, meaningful transformation requires a more holistic approach that extends beyond curricular changes to challenge the underlying colonial structures of the institution and society. This could be said for many aspects of education.</w:t>
      </w:r>
    </w:p>
    <w:p w14:paraId="1A7E4B91" w14:textId="77777777" w:rsidR="004919DB" w:rsidRPr="001B21FB" w:rsidRDefault="004919DB" w:rsidP="004919DB">
      <w:pPr>
        <w:spacing w:line="360" w:lineRule="auto"/>
        <w:ind w:firstLine="720"/>
        <w:rPr>
          <w:rFonts w:ascii="Calibri" w:eastAsia="Calibri" w:hAnsi="Calibri" w:cs="Calibri"/>
          <w:color w:val="000000" w:themeColor="text1"/>
        </w:rPr>
      </w:pPr>
      <w:r w:rsidRPr="001B21FB">
        <w:rPr>
          <w:rFonts w:ascii="Calibri" w:eastAsia="Calibri" w:hAnsi="Calibri" w:cs="Calibri"/>
          <w:color w:val="000000" w:themeColor="text1"/>
        </w:rPr>
        <w:t xml:space="preserve">Pierre du Plessis (2021) discussed leadership in post-colonial educational contexts, particularly in South Africa, by examining the challenges university heads face in leading within a decolonised education framework. The research aligns with findings by Moncrieffe, Race, and Harris (2020), who also underscore the need for educational leadership to critically engage with the legacy of colonialism and work toward social justice in curriculum design.  Du Plessis (2021) highlights how educational leaders in South Africa must develop contextually relevant leadership practices that are responsive to the unique socio-political and historical challenges of the region. Like the findings in Moncrieffe, Race, and Harris (2020), Du Plessis identifies tensions in practice between the ideals of decolonised leadership and the realities of social issues within universities.  Similarly, </w:t>
      </w:r>
      <w:proofErr w:type="spellStart"/>
      <w:r w:rsidRPr="001B21FB">
        <w:rPr>
          <w:rFonts w:ascii="Calibri" w:eastAsia="Calibri" w:hAnsi="Calibri" w:cs="Calibri"/>
          <w:color w:val="000000" w:themeColor="text1"/>
        </w:rPr>
        <w:t>Manathunga</w:t>
      </w:r>
      <w:proofErr w:type="spellEnd"/>
      <w:r w:rsidRPr="001B21FB">
        <w:rPr>
          <w:rFonts w:ascii="Calibri" w:eastAsia="Calibri" w:hAnsi="Calibri" w:cs="Calibri"/>
          <w:color w:val="000000" w:themeColor="text1"/>
        </w:rPr>
        <w:t xml:space="preserve"> (2020) addresses the importance of recognising diverse knowledge systems and the psychological impact of epistemic dominance </w:t>
      </w:r>
      <w:r w:rsidRPr="001B21FB">
        <w:rPr>
          <w:rFonts w:ascii="Calibri" w:eastAsia="Calibri" w:hAnsi="Calibri" w:cs="Calibri"/>
          <w:color w:val="000000" w:themeColor="text1"/>
        </w:rPr>
        <w:lastRenderedPageBreak/>
        <w:t xml:space="preserve">on learners. In Psychology of Education, understanding how students’ cognitive and social development is influenced by the cultural relevance of the curriculum is critically important. The continued dominance of Northern knowledge systems within higher education can contribute to a sense of alienation and marginalisation for students from Southern, Indigenous, and other non-Western backgrounds. This reflects broader psychological issues related to identity formation, self-efficacy, and motivation, as learners may struggle to see their cultural and epistemological perspectives reflected in what they are taught.  By advocating for the inclusion of Southern knowledge systems, </w:t>
      </w:r>
      <w:proofErr w:type="spellStart"/>
      <w:r w:rsidRPr="001B21FB">
        <w:rPr>
          <w:rFonts w:ascii="Calibri" w:eastAsia="Calibri" w:hAnsi="Calibri" w:cs="Calibri"/>
          <w:color w:val="000000" w:themeColor="text1"/>
        </w:rPr>
        <w:t>Manathunga</w:t>
      </w:r>
      <w:proofErr w:type="spellEnd"/>
      <w:r w:rsidRPr="001B21FB">
        <w:rPr>
          <w:rFonts w:ascii="Calibri" w:eastAsia="Calibri" w:hAnsi="Calibri" w:cs="Calibri"/>
          <w:color w:val="000000" w:themeColor="text1"/>
        </w:rPr>
        <w:t xml:space="preserve"> (2020) highlights the need for educational environments to support the cognitive and emotional well-being of students from diverse backgrounds. Decolonising education, therefore, aligns with key principles in the psychology of education that stress the importance of culturally responsive teaching, which fosters a sense of belonging and engagement. Such approaches can contribute to more effective learning outcomes by validating students’ identities and experiences, enhancing their intrinsic motivation, and promoting psychological well-being. This shift also encourages more inclusive, democratic ways of learning that recognise and accommodate diverse ways of knowing, thinking, and being in the world.</w:t>
      </w:r>
    </w:p>
    <w:p w14:paraId="7A25CB45" w14:textId="77777777" w:rsidR="004919DB" w:rsidRPr="001B21FB" w:rsidRDefault="004919DB" w:rsidP="004919DB">
      <w:pPr>
        <w:spacing w:line="360" w:lineRule="auto"/>
        <w:rPr>
          <w:rFonts w:ascii="Calibri" w:eastAsia="Calibri" w:hAnsi="Calibri" w:cs="Calibri"/>
          <w:color w:val="000000" w:themeColor="text1"/>
        </w:rPr>
      </w:pPr>
    </w:p>
    <w:p w14:paraId="16F40EDB" w14:textId="77777777" w:rsidR="004919DB" w:rsidRPr="00BA01E7" w:rsidRDefault="004919DB" w:rsidP="004919DB">
      <w:pPr>
        <w:spacing w:line="360" w:lineRule="auto"/>
        <w:rPr>
          <w:rFonts w:ascii="Calibri" w:eastAsia="Calibri" w:hAnsi="Calibri" w:cs="Calibri"/>
          <w:b/>
          <w:color w:val="000000" w:themeColor="text1"/>
          <w:lang w:val="fr-FR"/>
        </w:rPr>
      </w:pPr>
      <w:proofErr w:type="spellStart"/>
      <w:r w:rsidRPr="00BA01E7">
        <w:rPr>
          <w:rFonts w:ascii="Calibri" w:eastAsia="Calibri" w:hAnsi="Calibri" w:cs="Calibri"/>
          <w:b/>
          <w:color w:val="000000" w:themeColor="text1"/>
          <w:lang w:val="fr-FR"/>
        </w:rPr>
        <w:t>Grassroots</w:t>
      </w:r>
      <w:proofErr w:type="spellEnd"/>
      <w:r w:rsidRPr="00BA01E7">
        <w:rPr>
          <w:rFonts w:ascii="Calibri" w:eastAsia="Calibri" w:hAnsi="Calibri" w:cs="Calibri"/>
          <w:b/>
          <w:color w:val="000000" w:themeColor="text1"/>
          <w:lang w:val="fr-FR"/>
        </w:rPr>
        <w:t xml:space="preserve"> </w:t>
      </w:r>
      <w:proofErr w:type="spellStart"/>
      <w:r w:rsidRPr="00BA01E7">
        <w:rPr>
          <w:rFonts w:ascii="Calibri" w:eastAsia="Calibri" w:hAnsi="Calibri" w:cs="Calibri"/>
          <w:b/>
          <w:color w:val="000000" w:themeColor="text1"/>
          <w:lang w:val="fr-FR"/>
        </w:rPr>
        <w:t>Decolonisation</w:t>
      </w:r>
      <w:proofErr w:type="spellEnd"/>
      <w:r w:rsidRPr="00BA01E7">
        <w:rPr>
          <w:rFonts w:ascii="Calibri" w:eastAsia="Calibri" w:hAnsi="Calibri" w:cs="Calibri"/>
          <w:b/>
          <w:color w:val="000000" w:themeColor="text1"/>
          <w:lang w:val="fr-FR"/>
        </w:rPr>
        <w:t xml:space="preserve"> Initiatives</w:t>
      </w:r>
    </w:p>
    <w:p w14:paraId="2BEA938B" w14:textId="77777777" w:rsidR="004919DB" w:rsidRPr="001B21FB" w:rsidRDefault="004919DB" w:rsidP="004919DB">
      <w:pPr>
        <w:spacing w:line="360" w:lineRule="auto"/>
        <w:rPr>
          <w:rFonts w:ascii="Calibri" w:eastAsia="Calibri" w:hAnsi="Calibri" w:cs="Calibri"/>
          <w:color w:val="000000" w:themeColor="text1"/>
        </w:rPr>
      </w:pPr>
      <w:proofErr w:type="spellStart"/>
      <w:r w:rsidRPr="00BA01E7">
        <w:rPr>
          <w:rFonts w:ascii="Calibri" w:eastAsia="Calibri" w:hAnsi="Calibri" w:cs="Calibri"/>
          <w:color w:val="000000" w:themeColor="text1"/>
          <w:lang w:val="fr-FR"/>
        </w:rPr>
        <w:t>Shain</w:t>
      </w:r>
      <w:proofErr w:type="spellEnd"/>
      <w:r w:rsidRPr="00BA01E7">
        <w:rPr>
          <w:rFonts w:ascii="Calibri" w:eastAsia="Calibri" w:hAnsi="Calibri" w:cs="Calibri"/>
          <w:color w:val="000000" w:themeColor="text1"/>
          <w:lang w:val="fr-FR"/>
        </w:rPr>
        <w:t xml:space="preserve"> et al. </w:t>
      </w:r>
      <w:r w:rsidRPr="001B21FB">
        <w:rPr>
          <w:rFonts w:ascii="Calibri" w:eastAsia="Calibri" w:hAnsi="Calibri" w:cs="Calibri"/>
          <w:color w:val="000000" w:themeColor="text1"/>
        </w:rPr>
        <w:t xml:space="preserve">(2021) explored the evolution of decolonisation within UK higher education (from 2014 to 2021), with a particular focus on its shifting discourse and institutional responses. The study identifies three overlapping phases of decolonisation efforts. The first phase, initiated in 2014, was predominantly student-led, driven by campaigns such as “Why Is My Curriculum White?” and “Liberate My Degree”, which sought to challenge the Eurocentric dominance of university curricula and advocate for greater inclusivity (Shain et al., 2021). These movements highlighted the grassroots origins of the decolonisation agenda, as students and student officers spearheaded initiatives to raise awareness of structural inequalities within higher education.  In response to student-led campaigns, several educational institutions have adopted decolonisation agendas, raising critical questions such as, “Why isn't my Professor Black?” and “Why is my Curriculum White?” (Peters, 2015).  Shain et al. (2021) note how in </w:t>
      </w:r>
      <w:r w:rsidRPr="001B21FB">
        <w:rPr>
          <w:rFonts w:ascii="Calibri" w:eastAsia="Calibri" w:hAnsi="Calibri" w:cs="Calibri"/>
          <w:color w:val="000000" w:themeColor="text1"/>
        </w:rPr>
        <w:lastRenderedPageBreak/>
        <w:t>2018, industrial action led by the University College Union (UCU) over pension reforms witnessed a broader critique of the neoliberal policies shaping UK universities, where the slogan “We are the university” became a rallying cry for those resisting market-driven models of higher education (Shain et al., 2021). Decolonisation was increasingly incorporated into these critiques, reflecting growing discontent with the commodification of education and the marginalisation of diverse epistemologies. The third and final phase in 2020, following the Black Lives Matter (BLM) protests, marked a shift towards institutional-led decolonisation. Universities began to adopt top-down approaches, publicly committing to decolonising curricula in response to external pressures, such as heightened scrutiny on racial justice and the need to appear progressive in the face of global movements (Shain et al., 2021). However, participants in the Shain et al. (2021) study expressed concerns about the superficiality of these efforts, which were often perceived as performative and motivated by reputational gains rather than a genuine commitment to anti-racism. The mainstreaming of decolonisation therefore saw little impact on the deeper structures of inequality within higher education (Shain et al., 2021).  This highlights the tensions between grassroots decolonisation initiatives and institutional progress. While universities have increasingly engaged with decolonisation discourse, the risk of “tokenism” or “superficial” reform remains. Thus, a more critical and sustained engagement with decolonisation that resists its commodification and ensures that it leads to meaningful structural change is needed (Shain et al., 2021).</w:t>
      </w:r>
    </w:p>
    <w:p w14:paraId="612B06DF" w14:textId="77777777" w:rsidR="004919DB" w:rsidRPr="001B21FB" w:rsidRDefault="004919DB" w:rsidP="004919DB">
      <w:pPr>
        <w:spacing w:line="360" w:lineRule="auto"/>
        <w:ind w:firstLine="720"/>
        <w:rPr>
          <w:rFonts w:ascii="Calibri" w:eastAsia="Calibri" w:hAnsi="Calibri" w:cs="Calibri"/>
          <w:color w:val="000000" w:themeColor="text1"/>
        </w:rPr>
      </w:pPr>
      <w:r w:rsidRPr="001B21FB">
        <w:rPr>
          <w:rFonts w:ascii="Calibri" w:eastAsia="Calibri" w:hAnsi="Calibri" w:cs="Calibri"/>
          <w:color w:val="000000" w:themeColor="text1"/>
        </w:rPr>
        <w:t xml:space="preserve">In Ireland, Trinity College Dublin (TCD) renamed its main library, previously called the Berkeley Library, in honour of renowned Irish poet and Trinity alumna Eavan Boland, making the Eavan Boland Library the first building on TCD’s campus named after a woman (Sloane, 2024). The renaming follows TCD’s removal of George Berkeley’s name due to his associations with slavery, which the university deemed inconsistent with its values of inclusivity and equality (Sloane, 2024). The decision, endorsed by the University Board, follows research, public consultation, and analysis led by the Trinity Legacies Review Working Group who are working toward decolonising higher education.  The gender imbalance can be seen historically, but continues to permeate present day in different and often invisible guises. Churchland and </w:t>
      </w:r>
      <w:proofErr w:type="spellStart"/>
      <w:r w:rsidRPr="001B21FB">
        <w:rPr>
          <w:rFonts w:ascii="Calibri" w:eastAsia="Calibri" w:hAnsi="Calibri" w:cs="Calibri"/>
          <w:color w:val="000000" w:themeColor="text1"/>
        </w:rPr>
        <w:t>Davatolhagh</w:t>
      </w:r>
      <w:proofErr w:type="spellEnd"/>
      <w:r w:rsidRPr="001B21FB">
        <w:rPr>
          <w:rFonts w:ascii="Calibri" w:eastAsia="Calibri" w:hAnsi="Calibri" w:cs="Calibri"/>
          <w:color w:val="000000" w:themeColor="text1"/>
        </w:rPr>
        <w:t xml:space="preserve"> (2024) highlighted the ongoing issue of gender citation bias in neuroscience, </w:t>
      </w:r>
      <w:r w:rsidRPr="001B21FB">
        <w:rPr>
          <w:rFonts w:ascii="Calibri" w:eastAsia="Calibri" w:hAnsi="Calibri" w:cs="Calibri"/>
          <w:color w:val="000000" w:themeColor="text1"/>
        </w:rPr>
        <w:lastRenderedPageBreak/>
        <w:t xml:space="preserve">where women are consistently under-cited compared to men in academic papers, even as the number of female researchers rises. Male authors tend to over-cite other men, perpetuating gender imbalances that affect academic recognition and career advancement. Tools like </w:t>
      </w:r>
      <w:proofErr w:type="spellStart"/>
      <w:r w:rsidRPr="001B21FB">
        <w:rPr>
          <w:rFonts w:ascii="Calibri" w:eastAsia="Calibri" w:hAnsi="Calibri" w:cs="Calibri"/>
          <w:i/>
          <w:color w:val="000000" w:themeColor="text1"/>
        </w:rPr>
        <w:t>cleanBib</w:t>
      </w:r>
      <w:proofErr w:type="spellEnd"/>
      <w:r w:rsidRPr="001B21FB">
        <w:rPr>
          <w:rFonts w:ascii="Calibri" w:eastAsia="Calibri" w:hAnsi="Calibri" w:cs="Calibri"/>
          <w:color w:val="000000" w:themeColor="text1"/>
        </w:rPr>
        <w:t xml:space="preserve"> and </w:t>
      </w:r>
      <w:proofErr w:type="spellStart"/>
      <w:r w:rsidRPr="001B21FB">
        <w:rPr>
          <w:rFonts w:ascii="Calibri" w:eastAsia="Calibri" w:hAnsi="Calibri" w:cs="Calibri"/>
          <w:i/>
          <w:color w:val="000000" w:themeColor="text1"/>
        </w:rPr>
        <w:t>anneslist</w:t>
      </w:r>
      <w:proofErr w:type="spellEnd"/>
      <w:r w:rsidRPr="001B21FB">
        <w:rPr>
          <w:rFonts w:ascii="Calibri" w:eastAsia="Calibri" w:hAnsi="Calibri" w:cs="Calibri"/>
          <w:color w:val="000000" w:themeColor="text1"/>
        </w:rPr>
        <w:t xml:space="preserve"> help analyse reference lists for citation diversity, encouraging researchers to cite more equitably across gender and race. Their findings highlight the need to address not only racial and cultural biases but also gender and demographic imbalances. Utilising tools like </w:t>
      </w:r>
      <w:proofErr w:type="spellStart"/>
      <w:r w:rsidRPr="001B21FB">
        <w:rPr>
          <w:rFonts w:ascii="Calibri" w:eastAsia="Calibri" w:hAnsi="Calibri" w:cs="Calibri"/>
          <w:i/>
          <w:color w:val="000000" w:themeColor="text1"/>
        </w:rPr>
        <w:t>cleanBib</w:t>
      </w:r>
      <w:proofErr w:type="spellEnd"/>
      <w:r w:rsidRPr="001B21FB">
        <w:rPr>
          <w:rFonts w:ascii="Calibri" w:eastAsia="Calibri" w:hAnsi="Calibri" w:cs="Calibri"/>
          <w:color w:val="000000" w:themeColor="text1"/>
        </w:rPr>
        <w:t xml:space="preserve"> could ensure that reading lists and course materials reflect a diverse range of voices, actively promoting inclusivity and representation in academia, which is central to the decolonisation effort (Churchland &amp; </w:t>
      </w:r>
      <w:proofErr w:type="spellStart"/>
      <w:r w:rsidRPr="001B21FB">
        <w:rPr>
          <w:rFonts w:ascii="Calibri" w:eastAsia="Calibri" w:hAnsi="Calibri" w:cs="Calibri"/>
          <w:color w:val="000000" w:themeColor="text1"/>
        </w:rPr>
        <w:t>Davatolhagh</w:t>
      </w:r>
      <w:proofErr w:type="spellEnd"/>
      <w:r w:rsidRPr="001B21FB">
        <w:rPr>
          <w:rFonts w:ascii="Calibri" w:eastAsia="Calibri" w:hAnsi="Calibri" w:cs="Calibri"/>
          <w:color w:val="000000" w:themeColor="text1"/>
        </w:rPr>
        <w:t>, 2024).</w:t>
      </w:r>
    </w:p>
    <w:p w14:paraId="4AB38EE0" w14:textId="77777777" w:rsidR="004919DB" w:rsidRPr="001B21FB" w:rsidRDefault="004919DB" w:rsidP="004919DB">
      <w:pPr>
        <w:spacing w:line="360" w:lineRule="auto"/>
        <w:rPr>
          <w:rFonts w:ascii="Calibri" w:eastAsia="Calibri" w:hAnsi="Calibri" w:cs="Calibri"/>
          <w:color w:val="000000" w:themeColor="text1"/>
        </w:rPr>
      </w:pPr>
    </w:p>
    <w:p w14:paraId="657CF67F" w14:textId="77777777" w:rsidR="004919DB" w:rsidRPr="001B21FB" w:rsidRDefault="004919DB" w:rsidP="004919DB">
      <w:pPr>
        <w:spacing w:line="360" w:lineRule="auto"/>
        <w:rPr>
          <w:rFonts w:ascii="Calibri" w:eastAsia="Calibri" w:hAnsi="Calibri" w:cs="Calibri"/>
          <w:b/>
          <w:color w:val="000000" w:themeColor="text1"/>
        </w:rPr>
      </w:pPr>
      <w:r w:rsidRPr="001B21FB">
        <w:rPr>
          <w:rFonts w:ascii="Calibri" w:eastAsia="Calibri" w:hAnsi="Calibri" w:cs="Calibri"/>
          <w:b/>
          <w:color w:val="000000" w:themeColor="text1"/>
        </w:rPr>
        <w:t>The Challenge of Decolonisation</w:t>
      </w:r>
    </w:p>
    <w:p w14:paraId="06095F26"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A major challenge in decolonising the Psychology of Education curriculum is the pervasive influence of whiteness and Western-centrism.</w:t>
      </w:r>
      <w:r w:rsidRPr="001B21FB">
        <w:rPr>
          <w:rFonts w:ascii="Calibri" w:hAnsi="Calibri" w:cs="Calibri"/>
          <w:color w:val="000000" w:themeColor="text1"/>
        </w:rPr>
        <w:t xml:space="preserve"> </w:t>
      </w:r>
      <w:r w:rsidRPr="001B21FB">
        <w:rPr>
          <w:rFonts w:ascii="Calibri" w:eastAsia="Calibri" w:hAnsi="Calibri" w:cs="Calibri"/>
          <w:color w:val="000000" w:themeColor="text1"/>
        </w:rPr>
        <w:t xml:space="preserve">Whiteness refers to the racialised power structures that privilege white perspectives and experiences, while Western-centrism elevates Western knowledge systems as the universal standard, marginalising or dismissing non-Western forms of knowledge. This creates a narrow and exclusionary framework within the curriculum, as ideas and perspectives that originate from Western, typically white scholars are deemed authoritative, while contributions from non-Western, Indigenous, or historically marginalised communities are overlooked or undervalued.  These biases not only limit the diversity of perspectives taught but also maintain existing hierarchies of power, reinforcing a colonial legacy that continues to shape the educational landscape (O’Neill, 2024). O’Neill (2024) highlights the ways in which curricula are shaped by both whiteness, which refers to racialised power structures, and Western-centrism, which privileges Western knowledge systems as the standard against which all other perspectives are measured. These biases not only narrow the scope of what is considered legitimate knowledge but also reinforce existing power imbalances, marginalising non-Western voices and perspectives (O’Neill, 2024).  </w:t>
      </w:r>
    </w:p>
    <w:p w14:paraId="3093F5B2" w14:textId="77777777" w:rsidR="004919DB" w:rsidRPr="001B21FB" w:rsidRDefault="004919DB" w:rsidP="004919DB">
      <w:pPr>
        <w:spacing w:line="360" w:lineRule="auto"/>
        <w:ind w:firstLine="720"/>
        <w:rPr>
          <w:rFonts w:ascii="Calibri" w:eastAsia="Calibri" w:hAnsi="Calibri" w:cs="Calibri"/>
          <w:color w:val="000000" w:themeColor="text1"/>
        </w:rPr>
      </w:pPr>
      <w:r w:rsidRPr="001B21FB">
        <w:rPr>
          <w:rFonts w:ascii="Calibri" w:eastAsia="Calibri" w:hAnsi="Calibri" w:cs="Calibri"/>
          <w:color w:val="000000" w:themeColor="text1"/>
        </w:rPr>
        <w:t xml:space="preserve">In many educational settings, particularly in psychology, Enlightenment thinkers such as John Locke, Immanuel Kant, and René Descartes are often central to the curriculum. While these figures have undoubtedly contributed significantly to modern psychology, their work is </w:t>
      </w:r>
      <w:r w:rsidRPr="001B21FB">
        <w:rPr>
          <w:rFonts w:ascii="Calibri" w:eastAsia="Calibri" w:hAnsi="Calibri" w:cs="Calibri"/>
          <w:color w:val="000000" w:themeColor="text1"/>
        </w:rPr>
        <w:lastRenderedPageBreak/>
        <w:t xml:space="preserve">intertwined with colonialist and racial ideologies that must be critically examined. For example, many Enlightenment thinkers upheld ideas of racial superiority and Eurocentrism, which have long influenced the way psychological theories are framed. O’Neill (2024) stresses that decolonising the curriculum is not about discarding these thinkers entirely but about situating their ideas within the broader context of colonialism and race. By doing so, educators can challenge the implicit assumptions of superiority tied to these figures and encourage students to engage with psychological knowledge in a more critical and inclusive manner. This approach seeks to broaden the scope of what is considered legitimate knowledge, ensuring that the contributions of non-Western scholars and perspectives are given equal weight and that students are exposed to an international understanding of psychology.  </w:t>
      </w:r>
    </w:p>
    <w:p w14:paraId="37456CAE" w14:textId="77777777" w:rsidR="004919DB" w:rsidRPr="001B21FB" w:rsidRDefault="004919DB" w:rsidP="004919DB">
      <w:pPr>
        <w:spacing w:line="360" w:lineRule="auto"/>
        <w:rPr>
          <w:rFonts w:ascii="Calibri" w:eastAsia="Calibri" w:hAnsi="Calibri" w:cs="Calibri"/>
          <w:color w:val="000000" w:themeColor="text1"/>
        </w:rPr>
      </w:pPr>
    </w:p>
    <w:p w14:paraId="7D671FD5" w14:textId="77777777" w:rsidR="004919DB" w:rsidRPr="001B21FB" w:rsidRDefault="004919DB" w:rsidP="004919DB">
      <w:pPr>
        <w:spacing w:line="360" w:lineRule="auto"/>
        <w:rPr>
          <w:rFonts w:ascii="Calibri" w:eastAsia="Calibri" w:hAnsi="Calibri" w:cs="Calibri"/>
          <w:b/>
          <w:color w:val="000000" w:themeColor="text1"/>
        </w:rPr>
      </w:pPr>
      <w:r w:rsidRPr="001B21FB">
        <w:rPr>
          <w:rFonts w:ascii="Calibri" w:eastAsia="Calibri" w:hAnsi="Calibri" w:cs="Calibri"/>
          <w:b/>
          <w:color w:val="000000" w:themeColor="text1"/>
        </w:rPr>
        <w:t>Decolonising Teacher Education: International Implications</w:t>
      </w:r>
    </w:p>
    <w:p w14:paraId="783D194C"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The process of decolonising Psychology of Education must begin with teacher training. As Phiri et al. (2023) argue, change should start early in the education system, with teacher training programmes playing a critical role in shaping future generations of educators. Drawing on examples from Bolivia’s teacher training reforms (Lopes Cardozo, 2012), this section explores how decolonisation efforts in other contexts can inform global strategies for transforming Psychology of Education.  Bolivia’s reforms, which sought to address the denial of indigenous culture and knowledge within education, serve as a powerful example of how teacher training can act as a foundation for broader decolonisation efforts. These reforms were not simply about adding indigenous perspectives to the curriculum but about fundamentally restructuring the frameworks that govern education. For Psychology of Education, this means rethinking how psychological knowledge is taught, ensuring that diverse perspectives are integrated into the curriculum from the beginning of a teacher’s training.</w:t>
      </w:r>
    </w:p>
    <w:p w14:paraId="5B00809A" w14:textId="77777777" w:rsidR="004919DB" w:rsidRPr="001B21FB" w:rsidRDefault="004919DB" w:rsidP="004919DB">
      <w:pPr>
        <w:spacing w:line="360" w:lineRule="auto"/>
        <w:ind w:firstLine="720"/>
        <w:rPr>
          <w:rFonts w:ascii="Calibri" w:eastAsia="Calibri" w:hAnsi="Calibri" w:cs="Calibri"/>
          <w:color w:val="000000" w:themeColor="text1"/>
        </w:rPr>
      </w:pPr>
      <w:r w:rsidRPr="001B21FB">
        <w:rPr>
          <w:rFonts w:ascii="Calibri" w:eastAsia="Calibri" w:hAnsi="Calibri" w:cs="Calibri"/>
          <w:color w:val="000000" w:themeColor="text1"/>
        </w:rPr>
        <w:t xml:space="preserve">Moncrieffe et al. (2020) discuss the efforts to challenge the Eurocentric nature of educational curricula and the barriers this movement has faced. The decolonisation of the curriculum, which seeks to integrate the experiences and histories of Black and minority ethnic (BME) communities, is part of a broader epistemological struggle to dismantle dominant discourses that have historically excluded non-Western perspectives. While this movement has </w:t>
      </w:r>
      <w:r w:rsidRPr="001B21FB">
        <w:rPr>
          <w:rFonts w:ascii="Calibri" w:eastAsia="Calibri" w:hAnsi="Calibri" w:cs="Calibri"/>
          <w:color w:val="000000" w:themeColor="text1"/>
        </w:rPr>
        <w:lastRenderedPageBreak/>
        <w:t xml:space="preserve">long-standing roots, dating back to the 1960s and 1970s when Black parents in the UK established supplementary schools to teach African-Caribbean histories, recent campaigns have brought renewed attention to the issue.  Moncrieffe et al. (2020) argue that decolonising the curriculum goes beyond mere inclusion of diverse voices. It involves rethinking how knowledge is constructed and disseminated in schools and universities. Rather than “tokenistic” approaches (e.g., isolated celebration of Black History Month) decolonisation calls for a fundamental change in the content and pedagogical methods being used. This process encourages educators to question and reshape the monocultural, often Anglocentric or Eurocentric narratives that dominate curricula and to introduce a more inclusive worldview that represents marginalised groups.  A significant challenge, highlighted by Moncrieffe et al. (2020), is that of </w:t>
      </w:r>
      <w:r w:rsidRPr="001B21FB">
        <w:rPr>
          <w:rFonts w:ascii="Calibri" w:eastAsia="Calibri" w:hAnsi="Calibri" w:cs="Calibri"/>
          <w:i/>
          <w:color w:val="000000" w:themeColor="text1"/>
        </w:rPr>
        <w:t xml:space="preserve">"white fragility" </w:t>
      </w:r>
      <w:r w:rsidRPr="001B21FB">
        <w:rPr>
          <w:rFonts w:ascii="Calibri" w:eastAsia="Calibri" w:hAnsi="Calibri" w:cs="Calibri"/>
          <w:color w:val="000000" w:themeColor="text1"/>
        </w:rPr>
        <w:t>which is the defensive reactions by those in positions of privilege when confronted with the realities of racial inequality and colonial legacies. This fragility can result in, for example, discomfort, resistance, and even the reluctance to engage with the necessary but often difficult conversations surrounding race, privilege, and historical power imbalances. However, Moncrieffe et al. (2020) assert that it is critical to push through this discomfort if we want to dismantle systemic racism in educational practices.  Moncrieffe et al. (2020) emphasise that the decolonisation of the curriculum is not just about what is taught, but how it is taught. It requires educators to adopt critical approaches that validate the lived experiences of all students, create space for collaborative learning, and ensure that diverse perspectives are not marginalised. This, in turn, fosters greater engagement, a sense of belonging, and critical thinking skills in learners from all backgrounds, contributing to a more equitable and inclusive educational environment, which is what we will discuss in the next section.</w:t>
      </w:r>
    </w:p>
    <w:p w14:paraId="3D5287DC" w14:textId="77777777" w:rsidR="004919DB" w:rsidRPr="001B21FB" w:rsidRDefault="004919DB" w:rsidP="004919DB">
      <w:pPr>
        <w:spacing w:line="360" w:lineRule="auto"/>
        <w:rPr>
          <w:rFonts w:ascii="Calibri" w:eastAsia="Calibri" w:hAnsi="Calibri" w:cs="Calibri"/>
          <w:color w:val="000000" w:themeColor="text1"/>
        </w:rPr>
      </w:pPr>
    </w:p>
    <w:p w14:paraId="2232DCB0" w14:textId="77777777" w:rsidR="004919DB" w:rsidRPr="001B21FB" w:rsidRDefault="004919DB" w:rsidP="004919DB">
      <w:pPr>
        <w:spacing w:line="360" w:lineRule="auto"/>
        <w:rPr>
          <w:rFonts w:ascii="Calibri" w:eastAsia="Calibri" w:hAnsi="Calibri" w:cs="Calibri"/>
          <w:b/>
          <w:color w:val="000000" w:themeColor="text1"/>
        </w:rPr>
      </w:pPr>
      <w:r w:rsidRPr="001B21FB">
        <w:rPr>
          <w:rFonts w:ascii="Calibri" w:eastAsia="Calibri" w:hAnsi="Calibri" w:cs="Calibri"/>
          <w:b/>
          <w:color w:val="000000" w:themeColor="text1"/>
        </w:rPr>
        <w:t>The Role of Universal Design for Learning (UDL) in Decolonising Psychology of Education</w:t>
      </w:r>
    </w:p>
    <w:p w14:paraId="144916A5" w14:textId="77777777"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 xml:space="preserve">Universal Design for Learning (UDL) offers a progressive framework that supports decolonisation efforts within psychology of education by prioritising inclusivity and accessibility. UDL’s foundational goal of creating curricula that cater to all learners aligns with decolonial approaches, as it seeks to dismantle entrenched biases in educational content and practice. As </w:t>
      </w:r>
      <w:r w:rsidRPr="001B21FB">
        <w:rPr>
          <w:rFonts w:ascii="Calibri" w:eastAsia="Calibri" w:hAnsi="Calibri" w:cs="Calibri"/>
          <w:color w:val="000000" w:themeColor="text1"/>
        </w:rPr>
        <w:lastRenderedPageBreak/>
        <w:t>highlighted by Quirke, McGuckin, and McCarthy (2022, 2023), UDL promotes the design of curricula that are inclusive “from the get-go,” ensuring that learners of all backgrounds have equitable opportunities to engage with educational material. This reflexive approach enables educators to critique their teaching practices, exposing and mitigating colonial influences embedded in the curriculum. UDL’s flexibility and focus on accessibility thus provide a means of integrating diverse, culturally responsive perspectives in psychology of education, creating an environment where students feel represented and valued.</w:t>
      </w:r>
    </w:p>
    <w:p w14:paraId="52F66F16" w14:textId="77777777" w:rsidR="004919DB" w:rsidRPr="001B21FB" w:rsidRDefault="004919DB" w:rsidP="004919DB">
      <w:pPr>
        <w:spacing w:line="360" w:lineRule="auto"/>
        <w:ind w:firstLine="720"/>
        <w:rPr>
          <w:rFonts w:ascii="Calibri" w:eastAsia="Calibri" w:hAnsi="Calibri" w:cs="Calibri"/>
          <w:color w:val="000000" w:themeColor="text1"/>
        </w:rPr>
      </w:pPr>
      <w:r w:rsidRPr="001B21FB">
        <w:rPr>
          <w:rFonts w:ascii="Calibri" w:eastAsia="Calibri" w:hAnsi="Calibri" w:cs="Calibri"/>
          <w:color w:val="000000" w:themeColor="text1"/>
        </w:rPr>
        <w:t>However, critiques of inclusive education, particularly from a Global South perspective, suggest a need for caution when applying Western-centric models such as UDL. Walton (2018) analyses the use of inclusive education in post-colonial contexts like South Africa and argues that if such frameworks are applied uncritically, they risk perpetuating neo-colonialism. Walton (2018) identifies three key dimensions of this coloniality; the coloniality of knowledge, power, and being. Eurocentric models often dominate inclusive education, marginalising local knowledge systems and presenting Western pedagogical frameworks as universal (Walton, 2018). Furthermore, external pressures from international agencies may compel countries like South Africa to adopt resource-intensive policies, often misaligned with local needs. Walton (2018) critiques the value of integrating learners into educational systems that continue to perpetuate colonial hierarchies, even under the guise of inclusivity. However, Walton (2018) suggests that inclusive education, if adapted to local contexts, could play a transformative role in supporting decolonial efforts.</w:t>
      </w:r>
    </w:p>
    <w:p w14:paraId="53109335" w14:textId="77777777" w:rsidR="004919DB" w:rsidRPr="001B21FB" w:rsidRDefault="004919DB" w:rsidP="004919DB">
      <w:pPr>
        <w:spacing w:line="360" w:lineRule="auto"/>
        <w:ind w:firstLine="720"/>
        <w:rPr>
          <w:rFonts w:ascii="Calibri" w:eastAsia="Calibri" w:hAnsi="Calibri" w:cs="Calibri"/>
          <w:color w:val="000000" w:themeColor="text1"/>
        </w:rPr>
      </w:pPr>
      <w:proofErr w:type="spellStart"/>
      <w:r w:rsidRPr="001B21FB">
        <w:rPr>
          <w:rFonts w:ascii="Calibri" w:eastAsia="Calibri" w:hAnsi="Calibri" w:cs="Calibri"/>
          <w:color w:val="000000" w:themeColor="text1"/>
        </w:rPr>
        <w:t>Kamenopoulou’s</w:t>
      </w:r>
      <w:proofErr w:type="spellEnd"/>
      <w:r w:rsidRPr="001B21FB">
        <w:rPr>
          <w:rFonts w:ascii="Calibri" w:eastAsia="Calibri" w:hAnsi="Calibri" w:cs="Calibri"/>
          <w:color w:val="000000" w:themeColor="text1"/>
        </w:rPr>
        <w:t xml:space="preserve"> (2020) findings revealed similar critiques regarding the “transplanting” of Northern educational models to the Global South, but emphasised different aspects of this issue.  Walton (2018) and </w:t>
      </w:r>
      <w:proofErr w:type="spellStart"/>
      <w:r w:rsidRPr="001B21FB">
        <w:rPr>
          <w:rFonts w:ascii="Calibri" w:eastAsia="Calibri" w:hAnsi="Calibri" w:cs="Calibri"/>
          <w:color w:val="000000" w:themeColor="text1"/>
        </w:rPr>
        <w:t>Kamenopoulou</w:t>
      </w:r>
      <w:proofErr w:type="spellEnd"/>
      <w:r w:rsidRPr="001B21FB">
        <w:rPr>
          <w:rFonts w:ascii="Calibri" w:eastAsia="Calibri" w:hAnsi="Calibri" w:cs="Calibri"/>
          <w:color w:val="000000" w:themeColor="text1"/>
        </w:rPr>
        <w:t xml:space="preserve"> (2020) highlight the risks of perpetuating neo-colonialism through the uncritical adoption of Western models, but </w:t>
      </w:r>
      <w:proofErr w:type="spellStart"/>
      <w:r w:rsidRPr="001B21FB">
        <w:rPr>
          <w:rFonts w:ascii="Calibri" w:eastAsia="Calibri" w:hAnsi="Calibri" w:cs="Calibri"/>
          <w:color w:val="000000" w:themeColor="text1"/>
        </w:rPr>
        <w:t>Kamenopoulou</w:t>
      </w:r>
      <w:proofErr w:type="spellEnd"/>
      <w:r w:rsidRPr="001B21FB">
        <w:rPr>
          <w:rFonts w:ascii="Calibri" w:eastAsia="Calibri" w:hAnsi="Calibri" w:cs="Calibri"/>
          <w:color w:val="000000" w:themeColor="text1"/>
        </w:rPr>
        <w:t xml:space="preserve"> (2020) focuses on the socio-cultural and economic conditions of Colombia, illustrating how the intersection of poverty, displacement, and cultural diversity complicates inclusive education efforts. </w:t>
      </w:r>
      <w:proofErr w:type="spellStart"/>
      <w:r w:rsidRPr="001B21FB">
        <w:rPr>
          <w:rFonts w:ascii="Calibri" w:eastAsia="Calibri" w:hAnsi="Calibri" w:cs="Calibri"/>
          <w:color w:val="000000" w:themeColor="text1"/>
        </w:rPr>
        <w:t>Kamenopoulou</w:t>
      </w:r>
      <w:proofErr w:type="spellEnd"/>
      <w:r w:rsidRPr="001B21FB">
        <w:rPr>
          <w:rFonts w:ascii="Calibri" w:eastAsia="Calibri" w:hAnsi="Calibri" w:cs="Calibri"/>
          <w:color w:val="000000" w:themeColor="text1"/>
        </w:rPr>
        <w:t xml:space="preserve"> (2020) further explores the marginalisation of special education in favour of mainstream inclusion, despite the vital role it plays in practice.  Walton (2018) argues that decolonising inclusive education requires challenging the epistemological foundations of </w:t>
      </w:r>
      <w:r w:rsidRPr="001B21FB">
        <w:rPr>
          <w:rFonts w:ascii="Calibri" w:eastAsia="Calibri" w:hAnsi="Calibri" w:cs="Calibri"/>
          <w:color w:val="000000" w:themeColor="text1"/>
        </w:rPr>
        <w:lastRenderedPageBreak/>
        <w:t>Western psychology that underpin much of the educational framework. Thus, we should reconsider psychological approaches to education in postcolonial contexts to foster more culturally relevant and equitable practices.</w:t>
      </w:r>
    </w:p>
    <w:p w14:paraId="3DEC2787" w14:textId="77777777" w:rsidR="004919DB" w:rsidRPr="001B21FB" w:rsidRDefault="004919DB" w:rsidP="004919DB">
      <w:pPr>
        <w:spacing w:line="360" w:lineRule="auto"/>
        <w:ind w:firstLine="720"/>
        <w:rPr>
          <w:rFonts w:ascii="Calibri" w:eastAsia="Calibri" w:hAnsi="Calibri" w:cs="Calibri"/>
          <w:color w:val="000000" w:themeColor="text1"/>
        </w:rPr>
      </w:pPr>
      <w:r w:rsidRPr="001B21FB">
        <w:rPr>
          <w:rFonts w:ascii="Calibri" w:eastAsia="Calibri" w:hAnsi="Calibri" w:cs="Calibri"/>
          <w:color w:val="000000" w:themeColor="text1"/>
        </w:rPr>
        <w:t xml:space="preserve">Castillo-Montoya and Madriaga (2024) explored the decolonisation of assessment in higher education which links to a UDL approach. Drawing on Shahjahan et al.’s (2022) work on decolonising curricula and pedagogy, they argue that traditional assessment practices, rooted in colonial and Eurocentric frameworks, perpetuate epistemic violence by marginalising non-Western ways of knowing. They highlight that decolonising assessments involves challenging the dominance of standardised exams and other forms of summative evaluation, but often fail to recognise the diverse knowledge systems and experiences of racially and minority ethnic students.  Castillo-Montoya and Madriaga (2024) suggest disrupting the colonial legacies embedded in assessment by creating more inclusive and humanising approach which would allow students to draw on their own lived experiences and prior knowledge. The article further critiques deficit-oriented, individualised assessment methods that </w:t>
      </w:r>
      <w:proofErr w:type="spellStart"/>
      <w:r w:rsidRPr="001B21FB">
        <w:rPr>
          <w:rFonts w:ascii="Calibri" w:eastAsia="Calibri" w:hAnsi="Calibri" w:cs="Calibri"/>
          <w:color w:val="000000" w:themeColor="text1"/>
        </w:rPr>
        <w:t>pathologise</w:t>
      </w:r>
      <w:proofErr w:type="spellEnd"/>
      <w:r w:rsidRPr="001B21FB">
        <w:rPr>
          <w:rFonts w:ascii="Calibri" w:eastAsia="Calibri" w:hAnsi="Calibri" w:cs="Calibri"/>
          <w:color w:val="000000" w:themeColor="text1"/>
        </w:rPr>
        <w:t xml:space="preserve"> students who deviate from normative standards, such as disabled students, and calls for broader, universal design principles that minimise the need for accommodations while promoting equity (Castillo-Montoya &amp; Madriaga, 2024).  In addition to addressing the inclusivity of assessments, Castillo-Montoya and Madriaga (2024) emphasise the importance of relational teaching and learning, advocating for an ethic of care in classroom environments that centres students’ emotional and intellectual well-being. They argue that decolonising assessment requires recognising and valuing community knowledge, and suggest that universities must engage with local communities as co-creators of knowledge, ensuring that their perspectives are integrated into the learning and assessment process (Castillo-Montoya &amp; Madriaga, 2024).  We should try to move towards culturally sensitive and contextually grounded approaches in psychology of education. While UDL offers a promising framework for inclusivity, its success in decolonising education depends on its adaptation to local contexts, addressing not only academic achievement but also the emotional, cognitive, and social development of learners. </w:t>
      </w:r>
    </w:p>
    <w:p w14:paraId="27B546A1" w14:textId="77777777" w:rsidR="004919DB" w:rsidRPr="001B21FB" w:rsidRDefault="004919DB" w:rsidP="004919DB">
      <w:pPr>
        <w:spacing w:line="360" w:lineRule="auto"/>
        <w:rPr>
          <w:rFonts w:ascii="Calibri" w:eastAsia="Calibri" w:hAnsi="Calibri" w:cs="Calibri"/>
          <w:color w:val="000000" w:themeColor="text1"/>
        </w:rPr>
      </w:pPr>
    </w:p>
    <w:p w14:paraId="25BCAA91" w14:textId="77777777" w:rsidR="00606E7D" w:rsidRPr="001B21FB" w:rsidRDefault="00606E7D" w:rsidP="004919DB">
      <w:pPr>
        <w:spacing w:line="360" w:lineRule="auto"/>
        <w:rPr>
          <w:rFonts w:ascii="Calibri" w:eastAsia="Calibri" w:hAnsi="Calibri" w:cs="Calibri"/>
          <w:color w:val="000000" w:themeColor="text1"/>
        </w:rPr>
      </w:pPr>
    </w:p>
    <w:p w14:paraId="70634722" w14:textId="77777777" w:rsidR="004919DB" w:rsidRPr="001B21FB" w:rsidRDefault="004919DB" w:rsidP="004919DB">
      <w:pPr>
        <w:spacing w:line="360" w:lineRule="auto"/>
        <w:rPr>
          <w:rFonts w:ascii="Calibri" w:eastAsia="Calibri" w:hAnsi="Calibri" w:cs="Calibri"/>
          <w:b/>
          <w:color w:val="000000" w:themeColor="text1"/>
        </w:rPr>
      </w:pPr>
      <w:r w:rsidRPr="001B21FB">
        <w:rPr>
          <w:rFonts w:ascii="Calibri" w:eastAsia="Calibri" w:hAnsi="Calibri" w:cs="Calibri"/>
          <w:b/>
          <w:color w:val="000000" w:themeColor="text1"/>
        </w:rPr>
        <w:lastRenderedPageBreak/>
        <w:t>Conclusion</w:t>
      </w:r>
    </w:p>
    <w:p w14:paraId="2BACC97B" w14:textId="0F5E10DF" w:rsidR="004919DB" w:rsidRPr="001B21FB" w:rsidRDefault="004919DB" w:rsidP="004919DB">
      <w:pPr>
        <w:spacing w:line="360" w:lineRule="auto"/>
        <w:rPr>
          <w:rFonts w:ascii="Calibri" w:eastAsia="Calibri" w:hAnsi="Calibri" w:cs="Calibri"/>
          <w:color w:val="000000" w:themeColor="text1"/>
        </w:rPr>
      </w:pPr>
      <w:r w:rsidRPr="001B21FB">
        <w:rPr>
          <w:rFonts w:ascii="Calibri" w:eastAsia="Calibri" w:hAnsi="Calibri" w:cs="Calibri"/>
          <w:color w:val="000000" w:themeColor="text1"/>
        </w:rPr>
        <w:t>Decolonising the Psychology of Education curriculum, and education more broadly, requires an approach that addresses both structural and epistemological legacies of colonialism. As discussed in this chapter, critical reflexivity and unlearning is essential for educators, enabling them to examine their own positionality and biases, while dismantling the dominance of whiteness and Western-centrism narratives. Curriculum reform must move beyond tokenistic inclusion of non-Western perspectives, demanding a fundamental restructuring of how knowledge is produced, with an emphasis on integrating diverse epistemologies, particularly from the Global South and Indigenous cultures. Taking a collaborative approach to learning and knowledge production, which values the lived experiences of marginalised communities, should be central to this process. We can see from the grassroots movements discussed in this chapter that institutional commitment is crucial for enacting meaningful change, including reforms in hiring, leadership, and policy to support diversity and inclusion. To begin, we need to start with teacher training programmes to embed culturally responsive pedagogies to ensure future educators are prepared to challenge colonial legacies in the classroom and critical thinking amongst students to advocate for change. Inclusive frameworks such as Universal Design for Learning (UDL) must be adapted to local contexts to avoid perpetuating Western-centric models. Ultimately, decolonising Psychology of Education requires a sustained and transformative approach that reshapes knowledge and fosters equitable and culturally responsive education. Decolonisation is a complex process with no 'quick-fix' solution. It demands time, patience, and ongoing reflexivity, with deliberate, thoughtful steps toward meaningful progress.</w:t>
      </w:r>
    </w:p>
    <w:p w14:paraId="456C69AD" w14:textId="77777777" w:rsidR="004919DB" w:rsidRPr="001B21FB" w:rsidRDefault="004919DB" w:rsidP="004919DB">
      <w:pPr>
        <w:spacing w:line="360" w:lineRule="auto"/>
        <w:rPr>
          <w:rFonts w:ascii="Calibri" w:eastAsia="Calibri" w:hAnsi="Calibri" w:cs="Calibri"/>
          <w:color w:val="000000" w:themeColor="text1"/>
        </w:rPr>
      </w:pPr>
    </w:p>
    <w:p w14:paraId="1EF391B4" w14:textId="23D380CE" w:rsidR="004919DB" w:rsidRPr="001B21FB" w:rsidRDefault="004919DB" w:rsidP="00606E7D">
      <w:pPr>
        <w:rPr>
          <w:rFonts w:ascii="Calibri" w:eastAsia="Calibri" w:hAnsi="Calibri" w:cs="Calibri"/>
          <w:b/>
          <w:bCs/>
          <w:color w:val="000000" w:themeColor="text1"/>
        </w:rPr>
      </w:pPr>
      <w:r w:rsidRPr="001B21FB">
        <w:rPr>
          <w:rFonts w:ascii="Calibri" w:eastAsia="Calibri" w:hAnsi="Calibri" w:cs="Calibri"/>
          <w:b/>
          <w:bCs/>
          <w:color w:val="000000" w:themeColor="text1"/>
        </w:rPr>
        <w:t>Discussion Questions</w:t>
      </w:r>
    </w:p>
    <w:p w14:paraId="17B29559" w14:textId="4F984A7F" w:rsidR="004919DB" w:rsidRPr="001B21FB" w:rsidRDefault="004919DB" w:rsidP="00606E7D">
      <w:pPr>
        <w:numPr>
          <w:ilvl w:val="0"/>
          <w:numId w:val="7"/>
        </w:numPr>
        <w:rPr>
          <w:rFonts w:ascii="Calibri" w:eastAsia="Calibri" w:hAnsi="Calibri" w:cs="Calibri"/>
          <w:color w:val="000000" w:themeColor="text1"/>
          <w:lang w:val="en-GB"/>
        </w:rPr>
      </w:pPr>
      <w:r w:rsidRPr="001B21FB">
        <w:rPr>
          <w:rFonts w:ascii="Calibri" w:eastAsia="Calibri" w:hAnsi="Calibri" w:cs="Calibri"/>
          <w:color w:val="000000" w:themeColor="text1"/>
          <w:lang w:val="en-GB"/>
        </w:rPr>
        <w:t>Why is self-reflection and an awareness of one’s positionality crucial for both educators and students in challenging colonial legacies within the Psychology of Education?</w:t>
      </w:r>
    </w:p>
    <w:p w14:paraId="7100C3EB" w14:textId="0C9E6BA4" w:rsidR="004919DB" w:rsidRPr="001B21FB" w:rsidRDefault="004919DB" w:rsidP="00606E7D">
      <w:pPr>
        <w:numPr>
          <w:ilvl w:val="0"/>
          <w:numId w:val="7"/>
        </w:numPr>
        <w:rPr>
          <w:rFonts w:ascii="Calibri" w:eastAsia="Calibri" w:hAnsi="Calibri" w:cs="Calibri"/>
          <w:color w:val="000000" w:themeColor="text1"/>
          <w:lang w:val="en-GB"/>
        </w:rPr>
      </w:pPr>
      <w:r w:rsidRPr="001B21FB">
        <w:rPr>
          <w:rFonts w:ascii="Calibri" w:eastAsia="Calibri" w:hAnsi="Calibri" w:cs="Calibri"/>
          <w:color w:val="000000" w:themeColor="text1"/>
          <w:lang w:val="en-GB"/>
        </w:rPr>
        <w:t>How might well-intentioned efforts to support marginalised students (e.g., White Saviourism) inadvertently reinforce inequalities? What alternative approaches could promote genuine empowerment?</w:t>
      </w:r>
    </w:p>
    <w:p w14:paraId="67FF8A90" w14:textId="77777777" w:rsidR="004919DB" w:rsidRPr="001B21FB" w:rsidRDefault="004919DB" w:rsidP="00606E7D">
      <w:pPr>
        <w:numPr>
          <w:ilvl w:val="0"/>
          <w:numId w:val="7"/>
        </w:numPr>
        <w:rPr>
          <w:rFonts w:ascii="Calibri" w:eastAsia="Calibri" w:hAnsi="Calibri" w:cs="Calibri"/>
          <w:color w:val="000000" w:themeColor="text1"/>
          <w:lang w:val="en-GB"/>
        </w:rPr>
      </w:pPr>
      <w:r w:rsidRPr="001B21FB">
        <w:rPr>
          <w:rFonts w:ascii="Calibri" w:eastAsia="Calibri" w:hAnsi="Calibri" w:cs="Calibri"/>
          <w:color w:val="000000" w:themeColor="text1"/>
          <w:lang w:val="en-GB"/>
        </w:rPr>
        <w:t>How does a lack of diverse epistemologies perpetuate colonial biases, and what specific changes could make the curriculum more inclusive?</w:t>
      </w:r>
    </w:p>
    <w:p w14:paraId="5EDA5B60" w14:textId="63FFE14C" w:rsidR="004919DB" w:rsidRPr="001B21FB" w:rsidRDefault="004919DB" w:rsidP="00606E7D">
      <w:pPr>
        <w:numPr>
          <w:ilvl w:val="0"/>
          <w:numId w:val="7"/>
        </w:numPr>
        <w:rPr>
          <w:rFonts w:ascii="Calibri" w:eastAsia="Calibri" w:hAnsi="Calibri" w:cs="Calibri"/>
          <w:color w:val="000000" w:themeColor="text1"/>
          <w:lang w:val="en-GB"/>
        </w:rPr>
      </w:pPr>
      <w:r w:rsidRPr="001B21FB">
        <w:rPr>
          <w:rFonts w:ascii="Calibri" w:eastAsia="Calibri" w:hAnsi="Calibri" w:cs="Calibri"/>
          <w:color w:val="000000" w:themeColor="text1"/>
          <w:lang w:val="en-GB"/>
        </w:rPr>
        <w:lastRenderedPageBreak/>
        <w:t>In what ways have student-led initiatives (e.g., grassroots movements) successfully challenged colonial legacies within higher education, and what challenges do these movements encounter with institutionalised approaches?</w:t>
      </w:r>
    </w:p>
    <w:p w14:paraId="3B64337D" w14:textId="6B129D94" w:rsidR="004919DB" w:rsidRPr="001B21FB" w:rsidRDefault="004919DB" w:rsidP="00606E7D">
      <w:pPr>
        <w:numPr>
          <w:ilvl w:val="0"/>
          <w:numId w:val="7"/>
        </w:numPr>
        <w:rPr>
          <w:rFonts w:ascii="Calibri" w:eastAsia="Calibri" w:hAnsi="Calibri" w:cs="Calibri"/>
          <w:color w:val="000000" w:themeColor="text1"/>
          <w:lang w:val="en-GB"/>
        </w:rPr>
      </w:pPr>
      <w:r w:rsidRPr="001B21FB">
        <w:rPr>
          <w:rFonts w:ascii="Calibri" w:eastAsia="Calibri" w:hAnsi="Calibri" w:cs="Calibri"/>
          <w:color w:val="000000" w:themeColor="text1"/>
          <w:lang w:val="en-GB"/>
        </w:rPr>
        <w:t>How might UDL principles help to create more inclusive and accessible curricula, and what limitations arise when applying UDL in a global context, especially outside the Western framework?</w:t>
      </w:r>
    </w:p>
    <w:p w14:paraId="1EBA3D57" w14:textId="77777777" w:rsidR="004919DB" w:rsidRPr="001B21FB" w:rsidRDefault="004919DB" w:rsidP="004919DB">
      <w:pPr>
        <w:spacing w:line="360" w:lineRule="auto"/>
        <w:rPr>
          <w:rFonts w:ascii="Calibri" w:eastAsia="Calibri" w:hAnsi="Calibri" w:cs="Calibri"/>
          <w:color w:val="000000" w:themeColor="text1"/>
        </w:rPr>
      </w:pPr>
    </w:p>
    <w:p w14:paraId="69CFFB49" w14:textId="77777777" w:rsidR="004919DB" w:rsidRPr="001B21FB" w:rsidRDefault="004919DB" w:rsidP="0029603D">
      <w:pPr>
        <w:rPr>
          <w:rFonts w:ascii="Calibri" w:eastAsia="Calibri" w:hAnsi="Calibri" w:cs="Calibri"/>
          <w:b/>
          <w:color w:val="000000" w:themeColor="text1"/>
          <w:sz w:val="20"/>
          <w:szCs w:val="20"/>
        </w:rPr>
      </w:pPr>
      <w:r w:rsidRPr="001B21FB">
        <w:rPr>
          <w:rFonts w:ascii="Calibri" w:eastAsia="Calibri" w:hAnsi="Calibri" w:cs="Calibri"/>
          <w:b/>
          <w:color w:val="000000" w:themeColor="text1"/>
          <w:sz w:val="20"/>
          <w:szCs w:val="20"/>
        </w:rPr>
        <w:t>References</w:t>
      </w:r>
    </w:p>
    <w:p w14:paraId="6AE800B3"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Aronson, B.A., (2017) ‘The White Savior Industrial Complex: A Cultural Studies Analysis of a </w:t>
      </w:r>
    </w:p>
    <w:p w14:paraId="616FC36B" w14:textId="77777777" w:rsidR="004919DB" w:rsidRPr="001B21FB" w:rsidRDefault="004919DB" w:rsidP="0029603D">
      <w:pPr>
        <w:ind w:left="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Teacher Educator, Savior Film, and Future Teachers’, </w:t>
      </w:r>
      <w:r w:rsidRPr="001B21FB">
        <w:rPr>
          <w:rFonts w:ascii="Calibri" w:eastAsia="Calibri" w:hAnsi="Calibri" w:cs="Calibri"/>
          <w:i/>
          <w:color w:val="000000" w:themeColor="text1"/>
          <w:sz w:val="20"/>
          <w:szCs w:val="20"/>
          <w:shd w:val="clear" w:color="auto" w:fill="FEFEFE"/>
        </w:rPr>
        <w:t>Journal of Critical Thought and Praxis,</w:t>
      </w:r>
      <w:r w:rsidRPr="001B21FB">
        <w:rPr>
          <w:rFonts w:ascii="Calibri" w:eastAsia="Calibri" w:hAnsi="Calibri" w:cs="Calibri"/>
          <w:color w:val="000000" w:themeColor="text1"/>
          <w:sz w:val="20"/>
          <w:szCs w:val="20"/>
          <w:shd w:val="clear" w:color="auto" w:fill="FEFEFE"/>
        </w:rPr>
        <w:t xml:space="preserve"> 6(3).</w:t>
      </w:r>
    </w:p>
    <w:p w14:paraId="17A8CB65"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Burgstahler, S. (2007) ‘Who needs an accessible classroom?’, </w:t>
      </w:r>
      <w:r w:rsidRPr="001B21FB">
        <w:rPr>
          <w:rFonts w:ascii="Calibri" w:eastAsia="Calibri" w:hAnsi="Calibri" w:cs="Calibri"/>
          <w:i/>
          <w:color w:val="000000" w:themeColor="text1"/>
          <w:sz w:val="20"/>
          <w:szCs w:val="20"/>
          <w:shd w:val="clear" w:color="auto" w:fill="FEFEFE"/>
        </w:rPr>
        <w:t>Academe</w:t>
      </w:r>
      <w:r w:rsidRPr="001B21FB">
        <w:rPr>
          <w:rFonts w:ascii="Calibri" w:eastAsia="Calibri" w:hAnsi="Calibri" w:cs="Calibri"/>
          <w:color w:val="000000" w:themeColor="text1"/>
          <w:sz w:val="20"/>
          <w:szCs w:val="20"/>
          <w:shd w:val="clear" w:color="auto" w:fill="FEFEFE"/>
        </w:rPr>
        <w:t xml:space="preserve">, 93(3), pp. 37-39. </w:t>
      </w:r>
    </w:p>
    <w:p w14:paraId="418FAE45" w14:textId="77777777" w:rsidR="004919DB" w:rsidRPr="001B21FB" w:rsidRDefault="004919DB" w:rsidP="0029603D">
      <w:pPr>
        <w:ind w:firstLine="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Available at: http://www.jstor.org/stable/40253051 (Accessed: 24 September 2024).</w:t>
      </w:r>
    </w:p>
    <w:p w14:paraId="401D58F8" w14:textId="77777777" w:rsidR="004919DB" w:rsidRPr="001B21FB" w:rsidRDefault="004919DB" w:rsidP="0029603D">
      <w:pPr>
        <w:jc w:val="both"/>
        <w:rPr>
          <w:rFonts w:ascii="Calibri" w:eastAsia="Calibri" w:hAnsi="Calibri" w:cs="Calibri"/>
          <w:color w:val="000000" w:themeColor="text1"/>
          <w:sz w:val="20"/>
          <w:szCs w:val="20"/>
        </w:rPr>
      </w:pPr>
      <w:r w:rsidRPr="001B21FB">
        <w:rPr>
          <w:rFonts w:ascii="Calibri" w:eastAsia="Calibri" w:hAnsi="Calibri" w:cs="Calibri"/>
          <w:color w:val="000000" w:themeColor="text1"/>
          <w:sz w:val="20"/>
          <w:szCs w:val="20"/>
        </w:rPr>
        <w:t xml:space="preserve">Brown, A. (2013). Waiting for Superwoman: White female teachers and the construction of </w:t>
      </w:r>
    </w:p>
    <w:p w14:paraId="40EAFC02" w14:textId="77777777" w:rsidR="004919DB" w:rsidRPr="001B21FB" w:rsidRDefault="004919DB" w:rsidP="0029603D">
      <w:pPr>
        <w:ind w:left="720"/>
        <w:jc w:val="both"/>
        <w:rPr>
          <w:rFonts w:ascii="Calibri" w:eastAsia="Calibri" w:hAnsi="Calibri" w:cs="Calibri"/>
          <w:color w:val="000000" w:themeColor="text1"/>
          <w:sz w:val="20"/>
          <w:szCs w:val="20"/>
        </w:rPr>
      </w:pPr>
      <w:r w:rsidRPr="001B21FB">
        <w:rPr>
          <w:rFonts w:ascii="Calibri" w:eastAsia="Calibri" w:hAnsi="Calibri" w:cs="Calibri"/>
          <w:color w:val="000000" w:themeColor="text1"/>
          <w:sz w:val="20"/>
          <w:szCs w:val="20"/>
        </w:rPr>
        <w:t xml:space="preserve">the" neoliberal </w:t>
      </w:r>
      <w:proofErr w:type="spellStart"/>
      <w:r w:rsidRPr="001B21FB">
        <w:rPr>
          <w:rFonts w:ascii="Calibri" w:eastAsia="Calibri" w:hAnsi="Calibri" w:cs="Calibri"/>
          <w:color w:val="000000" w:themeColor="text1"/>
          <w:sz w:val="20"/>
          <w:szCs w:val="20"/>
        </w:rPr>
        <w:t>savior</w:t>
      </w:r>
      <w:proofErr w:type="spellEnd"/>
      <w:r w:rsidRPr="001B21FB">
        <w:rPr>
          <w:rFonts w:ascii="Calibri" w:eastAsia="Calibri" w:hAnsi="Calibri" w:cs="Calibri"/>
          <w:color w:val="000000" w:themeColor="text1"/>
          <w:sz w:val="20"/>
          <w:szCs w:val="20"/>
        </w:rPr>
        <w:t xml:space="preserve">"" in a New York City public school. </w:t>
      </w:r>
      <w:r w:rsidRPr="001B21FB">
        <w:rPr>
          <w:rFonts w:ascii="Calibri" w:eastAsia="Calibri" w:hAnsi="Calibri" w:cs="Calibri"/>
          <w:i/>
          <w:color w:val="000000" w:themeColor="text1"/>
          <w:sz w:val="20"/>
          <w:szCs w:val="20"/>
        </w:rPr>
        <w:t>Journal for Critical Education Policy Studies (JCEPS)</w:t>
      </w:r>
      <w:r w:rsidRPr="001B21FB">
        <w:rPr>
          <w:rFonts w:ascii="Calibri" w:eastAsia="Calibri" w:hAnsi="Calibri" w:cs="Calibri"/>
          <w:color w:val="000000" w:themeColor="text1"/>
          <w:sz w:val="20"/>
          <w:szCs w:val="20"/>
        </w:rPr>
        <w:t xml:space="preserve">, </w:t>
      </w:r>
      <w:r w:rsidRPr="001B21FB">
        <w:rPr>
          <w:rFonts w:ascii="Calibri" w:eastAsia="Calibri" w:hAnsi="Calibri" w:cs="Calibri"/>
          <w:i/>
          <w:color w:val="000000" w:themeColor="text1"/>
          <w:sz w:val="20"/>
          <w:szCs w:val="20"/>
        </w:rPr>
        <w:t>11</w:t>
      </w:r>
      <w:r w:rsidRPr="001B21FB">
        <w:rPr>
          <w:rFonts w:ascii="Calibri" w:eastAsia="Calibri" w:hAnsi="Calibri" w:cs="Calibri"/>
          <w:color w:val="000000" w:themeColor="text1"/>
          <w:sz w:val="20"/>
          <w:szCs w:val="20"/>
        </w:rPr>
        <w:t>(2).</w:t>
      </w:r>
    </w:p>
    <w:p w14:paraId="11D2B15F" w14:textId="77777777" w:rsidR="004919DB" w:rsidRPr="001B21FB" w:rsidRDefault="004919DB" w:rsidP="0029603D">
      <w:pPr>
        <w:rPr>
          <w:rFonts w:ascii="Calibri" w:eastAsia="Calibri" w:hAnsi="Calibri" w:cs="Calibri"/>
          <w:color w:val="000000" w:themeColor="text1"/>
          <w:sz w:val="20"/>
          <w:szCs w:val="20"/>
        </w:rPr>
      </w:pPr>
      <w:proofErr w:type="spellStart"/>
      <w:r w:rsidRPr="001B21FB">
        <w:rPr>
          <w:rFonts w:ascii="Calibri" w:eastAsia="Calibri" w:hAnsi="Calibri" w:cs="Calibri"/>
          <w:color w:val="000000" w:themeColor="text1"/>
          <w:sz w:val="20"/>
          <w:szCs w:val="20"/>
        </w:rPr>
        <w:t>Chikoko</w:t>
      </w:r>
      <w:proofErr w:type="spellEnd"/>
      <w:r w:rsidRPr="001B21FB">
        <w:rPr>
          <w:rFonts w:ascii="Calibri" w:eastAsia="Calibri" w:hAnsi="Calibri" w:cs="Calibri"/>
          <w:color w:val="000000" w:themeColor="text1"/>
          <w:sz w:val="20"/>
          <w:szCs w:val="20"/>
        </w:rPr>
        <w:t xml:space="preserve">, V. (2021). Re-visiting the decolonising of South African higher education question: </w:t>
      </w:r>
    </w:p>
    <w:p w14:paraId="5AEB386A" w14:textId="77777777" w:rsidR="004919DB" w:rsidRPr="001B21FB" w:rsidRDefault="004919DB" w:rsidP="0029603D">
      <w:pPr>
        <w:ind w:left="720"/>
        <w:rPr>
          <w:rFonts w:ascii="Calibri" w:eastAsia="Calibri" w:hAnsi="Calibri" w:cs="Calibri"/>
          <w:color w:val="000000" w:themeColor="text1"/>
          <w:sz w:val="20"/>
          <w:szCs w:val="20"/>
        </w:rPr>
      </w:pPr>
      <w:r w:rsidRPr="001B21FB">
        <w:rPr>
          <w:rFonts w:ascii="Calibri" w:eastAsia="Calibri" w:hAnsi="Calibri" w:cs="Calibri"/>
          <w:color w:val="000000" w:themeColor="text1"/>
          <w:sz w:val="20"/>
          <w:szCs w:val="20"/>
        </w:rPr>
        <w:t>A systematic literature review. </w:t>
      </w:r>
      <w:r w:rsidRPr="001B21FB">
        <w:rPr>
          <w:rFonts w:ascii="Calibri" w:eastAsia="Calibri" w:hAnsi="Calibri" w:cs="Calibri"/>
          <w:i/>
          <w:color w:val="000000" w:themeColor="text1"/>
          <w:sz w:val="20"/>
          <w:szCs w:val="20"/>
        </w:rPr>
        <w:t>South African Journal of Higher Education</w:t>
      </w:r>
      <w:r w:rsidRPr="001B21FB">
        <w:rPr>
          <w:rFonts w:ascii="Calibri" w:eastAsia="Calibri" w:hAnsi="Calibri" w:cs="Calibri"/>
          <w:color w:val="000000" w:themeColor="text1"/>
          <w:sz w:val="20"/>
          <w:szCs w:val="20"/>
        </w:rPr>
        <w:t>, </w:t>
      </w:r>
      <w:r w:rsidRPr="001B21FB">
        <w:rPr>
          <w:rFonts w:ascii="Calibri" w:eastAsia="Calibri" w:hAnsi="Calibri" w:cs="Calibri"/>
          <w:i/>
          <w:color w:val="000000" w:themeColor="text1"/>
          <w:sz w:val="20"/>
          <w:szCs w:val="20"/>
        </w:rPr>
        <w:t>35</w:t>
      </w:r>
      <w:r w:rsidRPr="001B21FB">
        <w:rPr>
          <w:rFonts w:ascii="Calibri" w:eastAsia="Calibri" w:hAnsi="Calibri" w:cs="Calibri"/>
          <w:color w:val="000000" w:themeColor="text1"/>
          <w:sz w:val="20"/>
          <w:szCs w:val="20"/>
        </w:rPr>
        <w:t>(1), 21-36.</w:t>
      </w:r>
    </w:p>
    <w:p w14:paraId="0CE02F79"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rPr>
        <w:t xml:space="preserve">Churchland, A. &amp; </w:t>
      </w:r>
      <w:proofErr w:type="spellStart"/>
      <w:r w:rsidRPr="001B21FB">
        <w:rPr>
          <w:rFonts w:ascii="Calibri" w:eastAsia="Calibri" w:hAnsi="Calibri" w:cs="Calibri"/>
          <w:color w:val="000000" w:themeColor="text1"/>
          <w:sz w:val="20"/>
          <w:szCs w:val="20"/>
        </w:rPr>
        <w:t>Savatolhagh</w:t>
      </w:r>
      <w:proofErr w:type="spellEnd"/>
      <w:r w:rsidRPr="001B21FB">
        <w:rPr>
          <w:rFonts w:ascii="Calibri" w:eastAsia="Calibri" w:hAnsi="Calibri" w:cs="Calibri"/>
          <w:color w:val="000000" w:themeColor="text1"/>
          <w:sz w:val="20"/>
          <w:szCs w:val="20"/>
        </w:rPr>
        <w:t xml:space="preserve">, F. (2024). Women are systematically under-cited in </w:t>
      </w:r>
    </w:p>
    <w:p w14:paraId="0F89FD31" w14:textId="77777777" w:rsidR="004919DB" w:rsidRPr="001B21FB" w:rsidRDefault="004919DB" w:rsidP="0029603D">
      <w:pPr>
        <w:ind w:left="720"/>
        <w:rPr>
          <w:rFonts w:ascii="Calibri" w:eastAsia="Calibri" w:hAnsi="Calibri" w:cs="Calibri"/>
          <w:color w:val="000000" w:themeColor="text1"/>
          <w:sz w:val="20"/>
          <w:szCs w:val="20"/>
        </w:rPr>
      </w:pPr>
      <w:r w:rsidRPr="001B21FB">
        <w:rPr>
          <w:rFonts w:ascii="Calibri" w:eastAsia="Calibri" w:hAnsi="Calibri" w:cs="Calibri"/>
          <w:color w:val="000000" w:themeColor="text1"/>
          <w:sz w:val="20"/>
          <w:szCs w:val="20"/>
        </w:rPr>
        <w:t>neuroscience. New tools can change that. https://www.thetransmitter.org/publishing/women-are-systematically-under-cited-in-neuroscience-new-tools-can-change-that/</w:t>
      </w:r>
    </w:p>
    <w:p w14:paraId="3BC2F82C"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Cole, T. (2012) ‘The white </w:t>
      </w:r>
      <w:proofErr w:type="spellStart"/>
      <w:r w:rsidRPr="001B21FB">
        <w:rPr>
          <w:rFonts w:ascii="Calibri" w:eastAsia="Calibri" w:hAnsi="Calibri" w:cs="Calibri"/>
          <w:color w:val="000000" w:themeColor="text1"/>
          <w:sz w:val="20"/>
          <w:szCs w:val="20"/>
          <w:shd w:val="clear" w:color="auto" w:fill="FEFEFE"/>
        </w:rPr>
        <w:t>savior</w:t>
      </w:r>
      <w:proofErr w:type="spellEnd"/>
      <w:r w:rsidRPr="001B21FB">
        <w:rPr>
          <w:rFonts w:ascii="Calibri" w:eastAsia="Calibri" w:hAnsi="Calibri" w:cs="Calibri"/>
          <w:color w:val="000000" w:themeColor="text1"/>
          <w:sz w:val="20"/>
          <w:szCs w:val="20"/>
          <w:shd w:val="clear" w:color="auto" w:fill="FEFEFE"/>
        </w:rPr>
        <w:t xml:space="preserve"> industrial complex’, </w:t>
      </w:r>
      <w:r w:rsidRPr="001B21FB">
        <w:rPr>
          <w:rFonts w:ascii="Calibri" w:eastAsia="Calibri" w:hAnsi="Calibri" w:cs="Calibri"/>
          <w:i/>
          <w:color w:val="000000" w:themeColor="text1"/>
          <w:sz w:val="20"/>
          <w:szCs w:val="20"/>
          <w:shd w:val="clear" w:color="auto" w:fill="FEFEFE"/>
        </w:rPr>
        <w:t>The Atlantic</w:t>
      </w:r>
      <w:r w:rsidRPr="001B21FB">
        <w:rPr>
          <w:rFonts w:ascii="Calibri" w:eastAsia="Calibri" w:hAnsi="Calibri" w:cs="Calibri"/>
          <w:color w:val="000000" w:themeColor="text1"/>
          <w:sz w:val="20"/>
          <w:szCs w:val="20"/>
          <w:shd w:val="clear" w:color="auto" w:fill="FEFEFE"/>
        </w:rPr>
        <w:t xml:space="preserve">, 21 March. Available at: </w:t>
      </w:r>
    </w:p>
    <w:p w14:paraId="41B792BD" w14:textId="77777777" w:rsidR="004919DB" w:rsidRPr="001B21FB" w:rsidRDefault="004919DB" w:rsidP="0029603D">
      <w:pPr>
        <w:ind w:left="720"/>
        <w:rPr>
          <w:rFonts w:ascii="Calibri" w:eastAsia="Calibri" w:hAnsi="Calibri" w:cs="Calibri"/>
          <w:color w:val="000000" w:themeColor="text1"/>
          <w:sz w:val="20"/>
          <w:szCs w:val="20"/>
          <w:shd w:val="clear" w:color="auto" w:fill="FEFEFE"/>
        </w:rPr>
      </w:pPr>
      <w:hyperlink r:id="rId8">
        <w:r w:rsidRPr="001B21FB">
          <w:rPr>
            <w:rFonts w:ascii="Calibri" w:eastAsia="Calibri" w:hAnsi="Calibri" w:cs="Calibri"/>
            <w:color w:val="000000" w:themeColor="text1"/>
            <w:sz w:val="20"/>
            <w:szCs w:val="20"/>
            <w:shd w:val="clear" w:color="auto" w:fill="FEFEFE"/>
          </w:rPr>
          <w:t>http://www.theatlantic.com/international/archive/2012/03/the-white-savior-</w:t>
        </w:r>
      </w:hyperlink>
    </w:p>
    <w:p w14:paraId="3A8545EF" w14:textId="77777777" w:rsidR="004919DB" w:rsidRPr="001B21FB" w:rsidRDefault="00000000" w:rsidP="0029603D">
      <w:pPr>
        <w:ind w:left="720" w:hanging="720"/>
        <w:rPr>
          <w:rFonts w:ascii="Calibri" w:eastAsia="Calibri" w:hAnsi="Calibri" w:cs="Calibri"/>
          <w:color w:val="000000" w:themeColor="text1"/>
          <w:sz w:val="20"/>
          <w:szCs w:val="20"/>
          <w:shd w:val="clear" w:color="auto" w:fill="FEFEFE"/>
        </w:rPr>
      </w:pPr>
      <w:sdt>
        <w:sdtPr>
          <w:rPr>
            <w:rFonts w:ascii="Calibri" w:hAnsi="Calibri" w:cs="Calibri"/>
            <w:color w:val="000000" w:themeColor="text1"/>
            <w:sz w:val="20"/>
            <w:szCs w:val="20"/>
          </w:rPr>
          <w:tag w:val="goog_rdk_48"/>
          <w:id w:val="-221367480"/>
        </w:sdtPr>
        <w:sdtContent>
          <w:sdt>
            <w:sdtPr>
              <w:rPr>
                <w:rFonts w:ascii="Calibri" w:hAnsi="Calibri" w:cs="Calibri"/>
                <w:color w:val="000000" w:themeColor="text1"/>
                <w:sz w:val="20"/>
                <w:szCs w:val="20"/>
              </w:rPr>
              <w:tag w:val="goog_rdk_47"/>
              <w:id w:val="-1227136285"/>
            </w:sdtPr>
            <w:sdtContent>
              <w:r w:rsidR="004919DB" w:rsidRPr="001B21FB">
                <w:rPr>
                  <w:rFonts w:ascii="Calibri" w:eastAsia="Calibri" w:hAnsi="Calibri" w:cs="Calibri"/>
                  <w:color w:val="000000" w:themeColor="text1"/>
                  <w:sz w:val="20"/>
                  <w:szCs w:val="20"/>
                  <w:shd w:val="clear" w:color="auto" w:fill="FEFEFE"/>
                </w:rPr>
                <w:t>Lemalu-</w:t>
              </w:r>
              <w:proofErr w:type="spellStart"/>
              <w:r w:rsidR="004919DB" w:rsidRPr="001B21FB">
                <w:rPr>
                  <w:rFonts w:ascii="Calibri" w:eastAsia="Calibri" w:hAnsi="Calibri" w:cs="Calibri"/>
                  <w:color w:val="000000" w:themeColor="text1"/>
                  <w:sz w:val="20"/>
                  <w:szCs w:val="20"/>
                  <w:shd w:val="clear" w:color="auto" w:fill="FEFEFE"/>
                </w:rPr>
                <w:t>Sankale</w:t>
              </w:r>
              <w:proofErr w:type="spellEnd"/>
              <w:r w:rsidR="004919DB" w:rsidRPr="001B21FB">
                <w:rPr>
                  <w:rFonts w:ascii="Calibri" w:eastAsia="Calibri" w:hAnsi="Calibri" w:cs="Calibri"/>
                  <w:color w:val="000000" w:themeColor="text1"/>
                  <w:sz w:val="20"/>
                  <w:szCs w:val="20"/>
                  <w:shd w:val="clear" w:color="auto" w:fill="FEFEFE"/>
                </w:rPr>
                <w:t xml:space="preserve">, N. (2023, November 21). </w:t>
              </w:r>
              <w:r w:rsidR="004919DB" w:rsidRPr="001B21FB">
                <w:rPr>
                  <w:rFonts w:ascii="Calibri" w:eastAsia="Calibri" w:hAnsi="Calibri" w:cs="Calibri"/>
                  <w:i/>
                  <w:color w:val="000000" w:themeColor="text1"/>
                  <w:sz w:val="20"/>
                  <w:szCs w:val="20"/>
                  <w:shd w:val="clear" w:color="auto" w:fill="FEFEFE"/>
                </w:rPr>
                <w:t>Beyond the ‘White Saviour’: A grateful African’s view on Mr. Beast’s wells.</w:t>
              </w:r>
              <w:r w:rsidR="004919DB" w:rsidRPr="001B21FB">
                <w:rPr>
                  <w:rFonts w:ascii="Calibri" w:eastAsia="Calibri" w:hAnsi="Calibri" w:cs="Calibri"/>
                  <w:color w:val="000000" w:themeColor="text1"/>
                  <w:sz w:val="20"/>
                  <w:szCs w:val="20"/>
                  <w:shd w:val="clear" w:color="auto" w:fill="FEFEFE"/>
                </w:rPr>
                <w:t xml:space="preserve"> Medium. https://medium.com/@gratefulafrican/beyond-the-white-savior-a-grateful-african-s-view-on-mr-beast-s-wells-19935aa7e648 </w:t>
              </w:r>
            </w:sdtContent>
          </w:sdt>
        </w:sdtContent>
      </w:sdt>
    </w:p>
    <w:p w14:paraId="25D8C388"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Lopes Cardozo, M.T. (2012) ‘Transforming pre-service teacher education in Bolivia: From </w:t>
      </w:r>
    </w:p>
    <w:p w14:paraId="07D20CDB" w14:textId="77777777" w:rsidR="004919DB" w:rsidRPr="001B21FB" w:rsidRDefault="004919DB" w:rsidP="0029603D">
      <w:pPr>
        <w:ind w:left="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indigenous denial to decolonisation?’, </w:t>
      </w:r>
      <w:r w:rsidRPr="001B21FB">
        <w:rPr>
          <w:rFonts w:ascii="Calibri" w:eastAsia="Calibri" w:hAnsi="Calibri" w:cs="Calibri"/>
          <w:i/>
          <w:color w:val="000000" w:themeColor="text1"/>
          <w:sz w:val="20"/>
          <w:szCs w:val="20"/>
          <w:shd w:val="clear" w:color="auto" w:fill="FEFEFE"/>
        </w:rPr>
        <w:t>Compare: A journal of comparative and international education, 42</w:t>
      </w:r>
      <w:r w:rsidRPr="001B21FB">
        <w:rPr>
          <w:rFonts w:ascii="Calibri" w:eastAsia="Calibri" w:hAnsi="Calibri" w:cs="Calibri"/>
          <w:color w:val="000000" w:themeColor="text1"/>
          <w:sz w:val="20"/>
          <w:szCs w:val="20"/>
          <w:shd w:val="clear" w:color="auto" w:fill="FEFEFE"/>
        </w:rPr>
        <w:t>(5), 751-772.</w:t>
      </w:r>
    </w:p>
    <w:p w14:paraId="2043D5DF"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MacDonald, K. (2006) ‘Psychology and white ethnocentrism’, </w:t>
      </w:r>
      <w:r w:rsidRPr="001B21FB">
        <w:rPr>
          <w:rFonts w:ascii="Calibri" w:eastAsia="Calibri" w:hAnsi="Calibri" w:cs="Calibri"/>
          <w:i/>
          <w:color w:val="000000" w:themeColor="text1"/>
          <w:sz w:val="20"/>
          <w:szCs w:val="20"/>
          <w:shd w:val="clear" w:color="auto" w:fill="FEFEFE"/>
        </w:rPr>
        <w:t>The Occidental Quarterly</w:t>
      </w:r>
      <w:r w:rsidRPr="001B21FB">
        <w:rPr>
          <w:rFonts w:ascii="Calibri" w:eastAsia="Calibri" w:hAnsi="Calibri" w:cs="Calibri"/>
          <w:color w:val="000000" w:themeColor="text1"/>
          <w:sz w:val="20"/>
          <w:szCs w:val="20"/>
          <w:shd w:val="clear" w:color="auto" w:fill="FEFEFE"/>
        </w:rPr>
        <w:t xml:space="preserve">, 6(4), </w:t>
      </w:r>
    </w:p>
    <w:p w14:paraId="65709B35" w14:textId="77777777" w:rsidR="004919DB" w:rsidRPr="001B21FB" w:rsidRDefault="004919DB" w:rsidP="0029603D">
      <w:pPr>
        <w:ind w:firstLine="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pp. 2007.</w:t>
      </w:r>
    </w:p>
    <w:p w14:paraId="2BFF403C" w14:textId="77777777" w:rsidR="004919DB" w:rsidRPr="001B21FB" w:rsidRDefault="004919DB" w:rsidP="0029603D">
      <w:pPr>
        <w:rPr>
          <w:rFonts w:ascii="Calibri" w:eastAsia="Calibri" w:hAnsi="Calibri" w:cs="Calibri"/>
          <w:color w:val="000000" w:themeColor="text1"/>
          <w:sz w:val="20"/>
          <w:szCs w:val="20"/>
          <w:shd w:val="clear" w:color="auto" w:fill="FEFEFE"/>
        </w:rPr>
      </w:pPr>
      <w:proofErr w:type="spellStart"/>
      <w:r w:rsidRPr="001B21FB">
        <w:rPr>
          <w:rFonts w:ascii="Calibri" w:eastAsia="Calibri" w:hAnsi="Calibri" w:cs="Calibri"/>
          <w:color w:val="000000" w:themeColor="text1"/>
          <w:sz w:val="20"/>
          <w:szCs w:val="20"/>
          <w:shd w:val="clear" w:color="auto" w:fill="FEFEFE"/>
        </w:rPr>
        <w:t>Manathunga</w:t>
      </w:r>
      <w:proofErr w:type="spellEnd"/>
      <w:r w:rsidRPr="001B21FB">
        <w:rPr>
          <w:rFonts w:ascii="Calibri" w:eastAsia="Calibri" w:hAnsi="Calibri" w:cs="Calibri"/>
          <w:color w:val="000000" w:themeColor="text1"/>
          <w:sz w:val="20"/>
          <w:szCs w:val="20"/>
          <w:shd w:val="clear" w:color="auto" w:fill="FEFEFE"/>
        </w:rPr>
        <w:t xml:space="preserve">, C. (2020). Decolonising higher education: Creating space for Southern </w:t>
      </w:r>
    </w:p>
    <w:p w14:paraId="7A4FFA8F" w14:textId="77777777" w:rsidR="004919DB" w:rsidRPr="001B21FB" w:rsidRDefault="004919DB" w:rsidP="0029603D">
      <w:pPr>
        <w:ind w:firstLine="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knowledge systems. </w:t>
      </w:r>
      <w:r w:rsidRPr="001B21FB">
        <w:rPr>
          <w:rFonts w:ascii="Calibri" w:eastAsia="Calibri" w:hAnsi="Calibri" w:cs="Calibri"/>
          <w:i/>
          <w:color w:val="000000" w:themeColor="text1"/>
          <w:sz w:val="20"/>
          <w:szCs w:val="20"/>
          <w:shd w:val="clear" w:color="auto" w:fill="FEFEFE"/>
        </w:rPr>
        <w:t>Scholarship of Teaching and Learning in the South</w:t>
      </w:r>
      <w:r w:rsidRPr="001B21FB">
        <w:rPr>
          <w:rFonts w:ascii="Calibri" w:eastAsia="Calibri" w:hAnsi="Calibri" w:cs="Calibri"/>
          <w:color w:val="000000" w:themeColor="text1"/>
          <w:sz w:val="20"/>
          <w:szCs w:val="20"/>
          <w:shd w:val="clear" w:color="auto" w:fill="FEFEFE"/>
        </w:rPr>
        <w:t>, </w:t>
      </w:r>
      <w:r w:rsidRPr="001B21FB">
        <w:rPr>
          <w:rFonts w:ascii="Calibri" w:eastAsia="Calibri" w:hAnsi="Calibri" w:cs="Calibri"/>
          <w:i/>
          <w:color w:val="000000" w:themeColor="text1"/>
          <w:sz w:val="20"/>
          <w:szCs w:val="20"/>
          <w:shd w:val="clear" w:color="auto" w:fill="FEFEFE"/>
        </w:rPr>
        <w:t>4</w:t>
      </w:r>
      <w:r w:rsidRPr="001B21FB">
        <w:rPr>
          <w:rFonts w:ascii="Calibri" w:eastAsia="Calibri" w:hAnsi="Calibri" w:cs="Calibri"/>
          <w:color w:val="000000" w:themeColor="text1"/>
          <w:sz w:val="20"/>
          <w:szCs w:val="20"/>
          <w:shd w:val="clear" w:color="auto" w:fill="FEFEFE"/>
        </w:rPr>
        <w:t>(1), 4-25.</w:t>
      </w:r>
    </w:p>
    <w:p w14:paraId="694C4C10"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Meyer, A. &amp; Rose, D. (1998) ‘Learning to read in the computer age’, in Chall, J. (Series Ed.), </w:t>
      </w:r>
    </w:p>
    <w:sdt>
      <w:sdtPr>
        <w:rPr>
          <w:rFonts w:ascii="Calibri" w:hAnsi="Calibri" w:cs="Calibri"/>
          <w:color w:val="000000" w:themeColor="text1"/>
          <w:sz w:val="20"/>
          <w:szCs w:val="20"/>
        </w:rPr>
        <w:tag w:val="goog_rdk_52"/>
        <w:id w:val="-1180032277"/>
      </w:sdtPr>
      <w:sdtContent>
        <w:p w14:paraId="2F0EF56E" w14:textId="77777777" w:rsidR="004919DB" w:rsidRPr="001B21FB" w:rsidRDefault="004919DB" w:rsidP="0029603D">
          <w:pPr>
            <w:ind w:left="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and Onofrey, J. (Ed.), </w:t>
          </w:r>
          <w:r w:rsidRPr="001B21FB">
            <w:rPr>
              <w:rFonts w:ascii="Calibri" w:eastAsia="Calibri" w:hAnsi="Calibri" w:cs="Calibri"/>
              <w:i/>
              <w:color w:val="000000" w:themeColor="text1"/>
              <w:sz w:val="20"/>
              <w:szCs w:val="20"/>
              <w:shd w:val="clear" w:color="auto" w:fill="FEFEFE"/>
            </w:rPr>
            <w:t>From reading research to practice</w:t>
          </w:r>
          <w:r w:rsidRPr="001B21FB">
            <w:rPr>
              <w:rFonts w:ascii="Calibri" w:eastAsia="Calibri" w:hAnsi="Calibri" w:cs="Calibri"/>
              <w:color w:val="000000" w:themeColor="text1"/>
              <w:sz w:val="20"/>
              <w:szCs w:val="20"/>
              <w:shd w:val="clear" w:color="auto" w:fill="FEFEFE"/>
            </w:rPr>
            <w:t>. Cambridge, MA: Brookline Books.</w:t>
          </w:r>
          <w:sdt>
            <w:sdtPr>
              <w:rPr>
                <w:rFonts w:ascii="Calibri" w:hAnsi="Calibri" w:cs="Calibri"/>
                <w:color w:val="000000" w:themeColor="text1"/>
                <w:sz w:val="20"/>
                <w:szCs w:val="20"/>
              </w:rPr>
              <w:tag w:val="goog_rdk_51"/>
              <w:id w:val="822629729"/>
              <w:showingPlcHdr/>
            </w:sdtPr>
            <w:sdtContent>
              <w:r w:rsidRPr="001B21FB">
                <w:rPr>
                  <w:rFonts w:ascii="Calibri" w:hAnsi="Calibri" w:cs="Calibri"/>
                  <w:color w:val="000000" w:themeColor="text1"/>
                  <w:sz w:val="20"/>
                  <w:szCs w:val="20"/>
                </w:rPr>
                <w:t xml:space="preserve">     </w:t>
              </w:r>
            </w:sdtContent>
          </w:sdt>
        </w:p>
      </w:sdtContent>
    </w:sdt>
    <w:sdt>
      <w:sdtPr>
        <w:rPr>
          <w:rFonts w:ascii="Calibri" w:hAnsi="Calibri" w:cs="Calibri"/>
          <w:color w:val="000000" w:themeColor="text1"/>
          <w:sz w:val="20"/>
          <w:szCs w:val="20"/>
        </w:rPr>
        <w:tag w:val="goog_rdk_55"/>
        <w:id w:val="597213267"/>
      </w:sdtPr>
      <w:sdtContent>
        <w:p w14:paraId="6BEA3AD9" w14:textId="77777777" w:rsidR="004919DB" w:rsidRPr="001B21FB" w:rsidRDefault="00000000" w:rsidP="0029603D">
          <w:pPr>
            <w:ind w:left="720" w:hanging="720"/>
            <w:rPr>
              <w:rFonts w:ascii="Calibri" w:eastAsia="Calibri" w:hAnsi="Calibri" w:cs="Calibri"/>
              <w:color w:val="000000" w:themeColor="text1"/>
              <w:sz w:val="20"/>
              <w:szCs w:val="20"/>
              <w:shd w:val="clear" w:color="auto" w:fill="FEFEFE"/>
            </w:rPr>
          </w:pPr>
          <w:sdt>
            <w:sdtPr>
              <w:rPr>
                <w:rFonts w:ascii="Calibri" w:hAnsi="Calibri" w:cs="Calibri"/>
                <w:color w:val="000000" w:themeColor="text1"/>
                <w:sz w:val="20"/>
                <w:szCs w:val="20"/>
              </w:rPr>
              <w:tag w:val="goog_rdk_53"/>
              <w:id w:val="-268785950"/>
            </w:sdtPr>
            <w:sdtContent>
              <w:r w:rsidR="004919DB" w:rsidRPr="001B21FB">
                <w:rPr>
                  <w:rFonts w:ascii="Calibri" w:eastAsia="Calibri" w:hAnsi="Calibri" w:cs="Calibri"/>
                  <w:color w:val="000000" w:themeColor="text1"/>
                  <w:sz w:val="20"/>
                  <w:szCs w:val="20"/>
                  <w:shd w:val="clear" w:color="auto" w:fill="FEFEFE"/>
                </w:rPr>
                <w:t xml:space="preserve">Miltimore, J. (2023, November 15). </w:t>
              </w:r>
              <w:r w:rsidR="004919DB" w:rsidRPr="001B21FB">
                <w:rPr>
                  <w:rFonts w:ascii="Calibri" w:eastAsia="Calibri" w:hAnsi="Calibri" w:cs="Calibri"/>
                  <w:i/>
                  <w:color w:val="000000" w:themeColor="text1"/>
                  <w:sz w:val="20"/>
                  <w:szCs w:val="20"/>
                  <w:shd w:val="clear" w:color="auto" w:fill="FEFEFE"/>
                </w:rPr>
                <w:t>Why Mr. Beast is under fire for bringing clean water to 500,000 Africans</w:t>
              </w:r>
              <w:r w:rsidR="004919DB" w:rsidRPr="001B21FB">
                <w:rPr>
                  <w:rFonts w:ascii="Calibri" w:eastAsia="Calibri" w:hAnsi="Calibri" w:cs="Calibri"/>
                  <w:color w:val="000000" w:themeColor="text1"/>
                  <w:sz w:val="20"/>
                  <w:szCs w:val="20"/>
                  <w:shd w:val="clear" w:color="auto" w:fill="FEFEFE"/>
                </w:rPr>
                <w:t>. American Institute for Economic Research. https://aier.org/article/why-mr-beast-is-under-fire-for-bringing-clean-water-to-500000-africans/</w:t>
              </w:r>
            </w:sdtContent>
          </w:sdt>
          <w:sdt>
            <w:sdtPr>
              <w:rPr>
                <w:rFonts w:ascii="Calibri" w:hAnsi="Calibri" w:cs="Calibri"/>
                <w:color w:val="000000" w:themeColor="text1"/>
                <w:sz w:val="20"/>
                <w:szCs w:val="20"/>
              </w:rPr>
              <w:tag w:val="goog_rdk_54"/>
              <w:id w:val="-1760983044"/>
              <w:showingPlcHdr/>
            </w:sdtPr>
            <w:sdtContent>
              <w:r w:rsidR="004919DB" w:rsidRPr="001B21FB">
                <w:rPr>
                  <w:rFonts w:ascii="Calibri" w:hAnsi="Calibri" w:cs="Calibri"/>
                  <w:color w:val="000000" w:themeColor="text1"/>
                  <w:sz w:val="20"/>
                  <w:szCs w:val="20"/>
                </w:rPr>
                <w:t xml:space="preserve">     </w:t>
              </w:r>
            </w:sdtContent>
          </w:sdt>
        </w:p>
      </w:sdtContent>
    </w:sdt>
    <w:p w14:paraId="13E09863"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Moncrieffe, M., Race, R., Harris, R., Chetty, D., Riaz, N., Ayling, P., ... &amp; Steinburg, S. (2020). </w:t>
      </w:r>
    </w:p>
    <w:p w14:paraId="2A42C3B1" w14:textId="77777777" w:rsidR="004919DB" w:rsidRPr="001B21FB" w:rsidRDefault="004919DB" w:rsidP="0029603D">
      <w:pPr>
        <w:ind w:left="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Decolonising the curriculum. </w:t>
      </w:r>
      <w:r w:rsidRPr="001B21FB">
        <w:rPr>
          <w:rFonts w:ascii="Calibri" w:eastAsia="Calibri" w:hAnsi="Calibri" w:cs="Calibri"/>
          <w:i/>
          <w:color w:val="000000" w:themeColor="text1"/>
          <w:sz w:val="20"/>
          <w:szCs w:val="20"/>
          <w:shd w:val="clear" w:color="auto" w:fill="FEFEFE"/>
        </w:rPr>
        <w:t>Research Intelligence</w:t>
      </w:r>
      <w:r w:rsidRPr="001B21FB">
        <w:rPr>
          <w:rFonts w:ascii="Calibri" w:eastAsia="Calibri" w:hAnsi="Calibri" w:cs="Calibri"/>
          <w:color w:val="000000" w:themeColor="text1"/>
          <w:sz w:val="20"/>
          <w:szCs w:val="20"/>
          <w:shd w:val="clear" w:color="auto" w:fill="FEFEFE"/>
        </w:rPr>
        <w:t>, </w:t>
      </w:r>
      <w:r w:rsidRPr="001B21FB">
        <w:rPr>
          <w:rFonts w:ascii="Calibri" w:eastAsia="Calibri" w:hAnsi="Calibri" w:cs="Calibri"/>
          <w:i/>
          <w:color w:val="000000" w:themeColor="text1"/>
          <w:sz w:val="20"/>
          <w:szCs w:val="20"/>
          <w:shd w:val="clear" w:color="auto" w:fill="FEFEFE"/>
        </w:rPr>
        <w:t>142</w:t>
      </w:r>
      <w:r w:rsidRPr="001B21FB">
        <w:rPr>
          <w:rFonts w:ascii="Calibri" w:eastAsia="Calibri" w:hAnsi="Calibri" w:cs="Calibri"/>
          <w:color w:val="000000" w:themeColor="text1"/>
          <w:sz w:val="20"/>
          <w:szCs w:val="20"/>
          <w:shd w:val="clear" w:color="auto" w:fill="FEFEFE"/>
        </w:rPr>
        <w:t>(9).</w:t>
      </w:r>
    </w:p>
    <w:p w14:paraId="5E5A19D7" w14:textId="77777777" w:rsidR="004919DB" w:rsidRPr="001B21FB" w:rsidRDefault="004919DB" w:rsidP="0029603D">
      <w:pPr>
        <w:rPr>
          <w:rFonts w:ascii="Calibri" w:eastAsia="Calibri" w:hAnsi="Calibri" w:cs="Calibri"/>
          <w:color w:val="000000" w:themeColor="text1"/>
          <w:sz w:val="20"/>
          <w:szCs w:val="20"/>
        </w:rPr>
      </w:pPr>
      <w:r w:rsidRPr="001B21FB">
        <w:rPr>
          <w:rFonts w:ascii="Calibri" w:eastAsia="Calibri" w:hAnsi="Calibri" w:cs="Calibri"/>
          <w:color w:val="000000" w:themeColor="text1"/>
          <w:sz w:val="20"/>
          <w:szCs w:val="20"/>
        </w:rPr>
        <w:t xml:space="preserve">Neville, C. (2023). Developing critical decolonial awareness and reflection in language </w:t>
      </w:r>
    </w:p>
    <w:p w14:paraId="419E4451" w14:textId="77777777" w:rsidR="004919DB" w:rsidRPr="001B21FB" w:rsidRDefault="004919DB" w:rsidP="0029603D">
      <w:pPr>
        <w:ind w:left="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rPr>
        <w:t>teachers at post-primary level: empowering student language teachers as agents of change. </w:t>
      </w:r>
      <w:r w:rsidRPr="001B21FB">
        <w:rPr>
          <w:rFonts w:ascii="Calibri" w:eastAsia="Calibri" w:hAnsi="Calibri" w:cs="Calibri"/>
          <w:i/>
          <w:color w:val="000000" w:themeColor="text1"/>
          <w:sz w:val="20"/>
          <w:szCs w:val="20"/>
        </w:rPr>
        <w:t>Irish Educational Studies</w:t>
      </w:r>
      <w:r w:rsidRPr="001B21FB">
        <w:rPr>
          <w:rFonts w:ascii="Calibri" w:eastAsia="Calibri" w:hAnsi="Calibri" w:cs="Calibri"/>
          <w:color w:val="000000" w:themeColor="text1"/>
          <w:sz w:val="20"/>
          <w:szCs w:val="20"/>
        </w:rPr>
        <w:t>, 1-21.</w:t>
      </w:r>
    </w:p>
    <w:p w14:paraId="6FAFB0E3"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O’Neill, S. (2024) ‘Decolonising politics curricula: Exploring the experiences and views of </w:t>
      </w:r>
    </w:p>
    <w:p w14:paraId="4221F006" w14:textId="77777777" w:rsidR="004919DB" w:rsidRPr="001B21FB" w:rsidRDefault="004919DB" w:rsidP="0029603D">
      <w:pPr>
        <w:ind w:left="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racially minoritised students’, </w:t>
      </w:r>
      <w:r w:rsidRPr="001B21FB">
        <w:rPr>
          <w:rFonts w:ascii="Calibri" w:eastAsia="Calibri" w:hAnsi="Calibri" w:cs="Calibri"/>
          <w:i/>
          <w:color w:val="000000" w:themeColor="text1"/>
          <w:sz w:val="20"/>
          <w:szCs w:val="20"/>
          <w:shd w:val="clear" w:color="auto" w:fill="FEFEFE"/>
        </w:rPr>
        <w:t>Learning and Teaching in Politics and International Studies,</w:t>
      </w:r>
      <w:r w:rsidRPr="001B21FB">
        <w:rPr>
          <w:rFonts w:ascii="Calibri" w:eastAsia="Calibri" w:hAnsi="Calibri" w:cs="Calibri"/>
          <w:color w:val="000000" w:themeColor="text1"/>
          <w:sz w:val="20"/>
          <w:szCs w:val="20"/>
          <w:shd w:val="clear" w:color="auto" w:fill="FEFEFE"/>
        </w:rPr>
        <w:t xml:space="preserve"> pp. 1-19. DOI: </w:t>
      </w:r>
      <w:hyperlink r:id="rId9">
        <w:r w:rsidRPr="001B21FB">
          <w:rPr>
            <w:rFonts w:ascii="Calibri" w:eastAsia="Calibri" w:hAnsi="Calibri" w:cs="Calibri"/>
            <w:color w:val="000000" w:themeColor="text1"/>
            <w:sz w:val="20"/>
            <w:szCs w:val="20"/>
            <w:shd w:val="clear" w:color="auto" w:fill="FEFEFE"/>
          </w:rPr>
          <w:t>https://doi.org/10.1177/02633957241276065</w:t>
        </w:r>
      </w:hyperlink>
      <w:r w:rsidRPr="001B21FB">
        <w:rPr>
          <w:rFonts w:ascii="Calibri" w:eastAsia="Calibri" w:hAnsi="Calibri" w:cs="Calibri"/>
          <w:color w:val="000000" w:themeColor="text1"/>
          <w:sz w:val="20"/>
          <w:szCs w:val="20"/>
          <w:shd w:val="clear" w:color="auto" w:fill="FEFEFE"/>
        </w:rPr>
        <w:t>.</w:t>
      </w:r>
    </w:p>
    <w:p w14:paraId="2B01DDE3" w14:textId="77777777" w:rsidR="004919DB" w:rsidRPr="001B21FB" w:rsidRDefault="004919DB" w:rsidP="0029603D">
      <w:pPr>
        <w:rPr>
          <w:rFonts w:ascii="Calibri" w:eastAsia="Calibri" w:hAnsi="Calibri" w:cs="Calibri"/>
          <w:i/>
          <w:color w:val="000000" w:themeColor="text1"/>
          <w:sz w:val="20"/>
          <w:szCs w:val="20"/>
        </w:rPr>
      </w:pPr>
      <w:r w:rsidRPr="001B21FB">
        <w:rPr>
          <w:rFonts w:ascii="Calibri" w:eastAsia="Calibri" w:hAnsi="Calibri" w:cs="Calibri"/>
          <w:color w:val="000000" w:themeColor="text1"/>
          <w:sz w:val="20"/>
          <w:szCs w:val="20"/>
        </w:rPr>
        <w:t>Peters, M. A. (2015). Why is my curriculum white?. </w:t>
      </w:r>
      <w:r w:rsidRPr="001B21FB">
        <w:rPr>
          <w:rFonts w:ascii="Calibri" w:eastAsia="Calibri" w:hAnsi="Calibri" w:cs="Calibri"/>
          <w:i/>
          <w:color w:val="000000" w:themeColor="text1"/>
          <w:sz w:val="20"/>
          <w:szCs w:val="20"/>
        </w:rPr>
        <w:t xml:space="preserve">Educational Philosophy and </w:t>
      </w:r>
    </w:p>
    <w:p w14:paraId="01AA20CA" w14:textId="77777777" w:rsidR="004919DB" w:rsidRPr="001B21FB" w:rsidRDefault="004919DB" w:rsidP="0029603D">
      <w:pPr>
        <w:ind w:firstLine="720"/>
        <w:rPr>
          <w:rFonts w:ascii="Calibri" w:eastAsia="Calibri" w:hAnsi="Calibri" w:cs="Calibri"/>
          <w:color w:val="000000" w:themeColor="text1"/>
          <w:sz w:val="20"/>
          <w:szCs w:val="20"/>
        </w:rPr>
      </w:pPr>
      <w:r w:rsidRPr="001B21FB">
        <w:rPr>
          <w:rFonts w:ascii="Calibri" w:eastAsia="Calibri" w:hAnsi="Calibri" w:cs="Calibri"/>
          <w:i/>
          <w:color w:val="000000" w:themeColor="text1"/>
          <w:sz w:val="20"/>
          <w:szCs w:val="20"/>
        </w:rPr>
        <w:t>Theory</w:t>
      </w:r>
      <w:r w:rsidRPr="001B21FB">
        <w:rPr>
          <w:rFonts w:ascii="Calibri" w:eastAsia="Calibri" w:hAnsi="Calibri" w:cs="Calibri"/>
          <w:color w:val="000000" w:themeColor="text1"/>
          <w:sz w:val="20"/>
          <w:szCs w:val="20"/>
        </w:rPr>
        <w:t>, </w:t>
      </w:r>
      <w:r w:rsidRPr="001B21FB">
        <w:rPr>
          <w:rFonts w:ascii="Calibri" w:eastAsia="Calibri" w:hAnsi="Calibri" w:cs="Calibri"/>
          <w:i/>
          <w:color w:val="000000" w:themeColor="text1"/>
          <w:sz w:val="20"/>
          <w:szCs w:val="20"/>
        </w:rPr>
        <w:t>47</w:t>
      </w:r>
      <w:r w:rsidRPr="001B21FB">
        <w:rPr>
          <w:rFonts w:ascii="Calibri" w:eastAsia="Calibri" w:hAnsi="Calibri" w:cs="Calibri"/>
          <w:color w:val="000000" w:themeColor="text1"/>
          <w:sz w:val="20"/>
          <w:szCs w:val="20"/>
        </w:rPr>
        <w:t>(7), 641-646.</w:t>
      </w:r>
    </w:p>
    <w:p w14:paraId="76B89842"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Phiri, P., Sajid, S. and </w:t>
      </w:r>
      <w:proofErr w:type="spellStart"/>
      <w:r w:rsidRPr="001B21FB">
        <w:rPr>
          <w:rFonts w:ascii="Calibri" w:eastAsia="Calibri" w:hAnsi="Calibri" w:cs="Calibri"/>
          <w:color w:val="000000" w:themeColor="text1"/>
          <w:sz w:val="20"/>
          <w:szCs w:val="20"/>
          <w:shd w:val="clear" w:color="auto" w:fill="FEFEFE"/>
        </w:rPr>
        <w:t>Delanerolle</w:t>
      </w:r>
      <w:proofErr w:type="spellEnd"/>
      <w:r w:rsidRPr="001B21FB">
        <w:rPr>
          <w:rFonts w:ascii="Calibri" w:eastAsia="Calibri" w:hAnsi="Calibri" w:cs="Calibri"/>
          <w:color w:val="000000" w:themeColor="text1"/>
          <w:sz w:val="20"/>
          <w:szCs w:val="20"/>
          <w:shd w:val="clear" w:color="auto" w:fill="FEFEFE"/>
        </w:rPr>
        <w:t xml:space="preserve">, G. (2023) ‘Decolonising the psychology curriculum: a </w:t>
      </w:r>
    </w:p>
    <w:p w14:paraId="22B602A2" w14:textId="77777777" w:rsidR="004919DB" w:rsidRPr="00BA01E7" w:rsidRDefault="004919DB" w:rsidP="0029603D">
      <w:pPr>
        <w:ind w:left="720"/>
        <w:rPr>
          <w:rFonts w:ascii="Calibri" w:eastAsia="Calibri" w:hAnsi="Calibri" w:cs="Calibri"/>
          <w:color w:val="000000" w:themeColor="text1"/>
          <w:sz w:val="20"/>
          <w:szCs w:val="20"/>
          <w:shd w:val="clear" w:color="auto" w:fill="FEFEFE"/>
          <w:lang w:val="fr-FR"/>
        </w:rPr>
      </w:pPr>
      <w:r w:rsidRPr="00BA01E7">
        <w:rPr>
          <w:rFonts w:ascii="Calibri" w:eastAsia="Calibri" w:hAnsi="Calibri" w:cs="Calibri"/>
          <w:color w:val="000000" w:themeColor="text1"/>
          <w:sz w:val="20"/>
          <w:szCs w:val="20"/>
          <w:shd w:val="clear" w:color="auto" w:fill="FEFEFE"/>
          <w:lang w:val="fr-FR"/>
        </w:rPr>
        <w:t xml:space="preserve">perspective’, </w:t>
      </w:r>
      <w:proofErr w:type="spellStart"/>
      <w:r w:rsidRPr="00BA01E7">
        <w:rPr>
          <w:rFonts w:ascii="Calibri" w:eastAsia="Calibri" w:hAnsi="Calibri" w:cs="Calibri"/>
          <w:i/>
          <w:color w:val="000000" w:themeColor="text1"/>
          <w:sz w:val="20"/>
          <w:szCs w:val="20"/>
          <w:shd w:val="clear" w:color="auto" w:fill="FEFEFE"/>
          <w:lang w:val="fr-FR"/>
        </w:rPr>
        <w:t>Frontiers</w:t>
      </w:r>
      <w:proofErr w:type="spellEnd"/>
      <w:r w:rsidRPr="00BA01E7">
        <w:rPr>
          <w:rFonts w:ascii="Calibri" w:eastAsia="Calibri" w:hAnsi="Calibri" w:cs="Calibri"/>
          <w:i/>
          <w:color w:val="000000" w:themeColor="text1"/>
          <w:sz w:val="20"/>
          <w:szCs w:val="20"/>
          <w:shd w:val="clear" w:color="auto" w:fill="FEFEFE"/>
          <w:lang w:val="fr-FR"/>
        </w:rPr>
        <w:t xml:space="preserve"> in Psychology,</w:t>
      </w:r>
      <w:r w:rsidRPr="00BA01E7">
        <w:rPr>
          <w:rFonts w:ascii="Calibri" w:eastAsia="Calibri" w:hAnsi="Calibri" w:cs="Calibri"/>
          <w:color w:val="000000" w:themeColor="text1"/>
          <w:sz w:val="20"/>
          <w:szCs w:val="20"/>
          <w:shd w:val="clear" w:color="auto" w:fill="FEFEFE"/>
          <w:lang w:val="fr-FR"/>
        </w:rPr>
        <w:t xml:space="preserve"> 14, pp. 1-6. DOI: https://doi.org/10.3389/fpsyg.2023.1193241.</w:t>
      </w:r>
    </w:p>
    <w:p w14:paraId="3B8FBA06"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Pinar, W.F. (1975) </w:t>
      </w:r>
      <w:r w:rsidRPr="001B21FB">
        <w:rPr>
          <w:rFonts w:ascii="Calibri" w:eastAsia="Calibri" w:hAnsi="Calibri" w:cs="Calibri"/>
          <w:i/>
          <w:color w:val="000000" w:themeColor="text1"/>
          <w:sz w:val="20"/>
          <w:szCs w:val="20"/>
          <w:shd w:val="clear" w:color="auto" w:fill="FEFEFE"/>
        </w:rPr>
        <w:t xml:space="preserve">The method of </w:t>
      </w:r>
      <w:proofErr w:type="spellStart"/>
      <w:r w:rsidRPr="001B21FB">
        <w:rPr>
          <w:rFonts w:ascii="Calibri" w:eastAsia="Calibri" w:hAnsi="Calibri" w:cs="Calibri"/>
          <w:i/>
          <w:color w:val="000000" w:themeColor="text1"/>
          <w:sz w:val="20"/>
          <w:szCs w:val="20"/>
          <w:shd w:val="clear" w:color="auto" w:fill="FEFEFE"/>
        </w:rPr>
        <w:t>currere</w:t>
      </w:r>
      <w:proofErr w:type="spellEnd"/>
      <w:r w:rsidRPr="001B21FB">
        <w:rPr>
          <w:rFonts w:ascii="Calibri" w:eastAsia="Calibri" w:hAnsi="Calibri" w:cs="Calibri"/>
          <w:color w:val="000000" w:themeColor="text1"/>
          <w:sz w:val="20"/>
          <w:szCs w:val="20"/>
          <w:shd w:val="clear" w:color="auto" w:fill="FEFEFE"/>
        </w:rPr>
        <w:t xml:space="preserve">. Paper presented at the annual meeting of the </w:t>
      </w:r>
    </w:p>
    <w:p w14:paraId="13E0425D" w14:textId="77777777" w:rsidR="004919DB" w:rsidRPr="001B21FB" w:rsidRDefault="004919DB" w:rsidP="0029603D">
      <w:pPr>
        <w:ind w:firstLine="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American Educational Research Association, Washington, DC.</w:t>
      </w:r>
    </w:p>
    <w:p w14:paraId="1D5E9685" w14:textId="77777777" w:rsidR="004919DB" w:rsidRPr="001B21FB" w:rsidRDefault="004919DB" w:rsidP="0029603D">
      <w:pPr>
        <w:rPr>
          <w:rFonts w:ascii="Calibri" w:eastAsia="Calibri" w:hAnsi="Calibri" w:cs="Calibri"/>
          <w: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lastRenderedPageBreak/>
        <w:t xml:space="preserve">Pinar, W.F. (2011) </w:t>
      </w:r>
      <w:r w:rsidRPr="001B21FB">
        <w:rPr>
          <w:rFonts w:ascii="Calibri" w:eastAsia="Calibri" w:hAnsi="Calibri" w:cs="Calibri"/>
          <w:i/>
          <w:color w:val="000000" w:themeColor="text1"/>
          <w:sz w:val="20"/>
          <w:szCs w:val="20"/>
          <w:shd w:val="clear" w:color="auto" w:fill="FEFEFE"/>
        </w:rPr>
        <w:t xml:space="preserve">The Character of Curriculum Studies: Bildung, </w:t>
      </w:r>
      <w:proofErr w:type="spellStart"/>
      <w:r w:rsidRPr="001B21FB">
        <w:rPr>
          <w:rFonts w:ascii="Calibri" w:eastAsia="Calibri" w:hAnsi="Calibri" w:cs="Calibri"/>
          <w:i/>
          <w:color w:val="000000" w:themeColor="text1"/>
          <w:sz w:val="20"/>
          <w:szCs w:val="20"/>
          <w:shd w:val="clear" w:color="auto" w:fill="FEFEFE"/>
        </w:rPr>
        <w:t>Currere</w:t>
      </w:r>
      <w:proofErr w:type="spellEnd"/>
      <w:r w:rsidRPr="001B21FB">
        <w:rPr>
          <w:rFonts w:ascii="Calibri" w:eastAsia="Calibri" w:hAnsi="Calibri" w:cs="Calibri"/>
          <w:i/>
          <w:color w:val="000000" w:themeColor="text1"/>
          <w:sz w:val="20"/>
          <w:szCs w:val="20"/>
          <w:shd w:val="clear" w:color="auto" w:fill="FEFEFE"/>
        </w:rPr>
        <w:t xml:space="preserve">, and the Recurring </w:t>
      </w:r>
    </w:p>
    <w:p w14:paraId="50C130A6" w14:textId="77777777" w:rsidR="004919DB" w:rsidRPr="001B21FB" w:rsidRDefault="004919DB" w:rsidP="0029603D">
      <w:pPr>
        <w:ind w:firstLine="720"/>
        <w:rPr>
          <w:rFonts w:ascii="Calibri" w:eastAsia="Calibri" w:hAnsi="Calibri" w:cs="Calibri"/>
          <w:color w:val="000000" w:themeColor="text1"/>
          <w:sz w:val="20"/>
          <w:szCs w:val="20"/>
          <w:shd w:val="clear" w:color="auto" w:fill="FEFEFE"/>
        </w:rPr>
      </w:pPr>
      <w:r w:rsidRPr="001B21FB">
        <w:rPr>
          <w:rFonts w:ascii="Calibri" w:eastAsia="Calibri" w:hAnsi="Calibri" w:cs="Calibri"/>
          <w:i/>
          <w:color w:val="000000" w:themeColor="text1"/>
          <w:sz w:val="20"/>
          <w:szCs w:val="20"/>
          <w:shd w:val="clear" w:color="auto" w:fill="FEFEFE"/>
        </w:rPr>
        <w:t>Question of the Subject.</w:t>
      </w:r>
      <w:r w:rsidRPr="001B21FB">
        <w:rPr>
          <w:rFonts w:ascii="Calibri" w:eastAsia="Calibri" w:hAnsi="Calibri" w:cs="Calibri"/>
          <w:color w:val="000000" w:themeColor="text1"/>
          <w:sz w:val="20"/>
          <w:szCs w:val="20"/>
          <w:shd w:val="clear" w:color="auto" w:fill="FEFEFE"/>
        </w:rPr>
        <w:t xml:space="preserve"> New York: Palgrave Macmillan.</w:t>
      </w:r>
    </w:p>
    <w:p w14:paraId="1E744352" w14:textId="77777777" w:rsidR="004919DB" w:rsidRPr="001B21FB" w:rsidRDefault="004919DB" w:rsidP="0029603D">
      <w:pPr>
        <w:rPr>
          <w:rFonts w:ascii="Calibri" w:eastAsia="Calibri" w:hAnsi="Calibri" w:cs="Calibri"/>
          <w: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Quirke, M., Mc Guckin, C. and Mc Carthy, P. (2023) </w:t>
      </w:r>
      <w:r w:rsidRPr="001B21FB">
        <w:rPr>
          <w:rFonts w:ascii="Calibri" w:eastAsia="Calibri" w:hAnsi="Calibri" w:cs="Calibri"/>
          <w:i/>
          <w:color w:val="000000" w:themeColor="text1"/>
          <w:sz w:val="20"/>
          <w:szCs w:val="20"/>
          <w:shd w:val="clear" w:color="auto" w:fill="FEFEFE"/>
        </w:rPr>
        <w:t xml:space="preserve">Adopting a UDL attitude within </w:t>
      </w:r>
    </w:p>
    <w:p w14:paraId="6D4773A8" w14:textId="77777777" w:rsidR="004919DB" w:rsidRPr="001B21FB" w:rsidRDefault="004919DB" w:rsidP="0029603D">
      <w:pPr>
        <w:ind w:left="720"/>
        <w:rPr>
          <w:rFonts w:ascii="Calibri" w:eastAsia="Calibri" w:hAnsi="Calibri" w:cs="Calibri"/>
          <w:i/>
          <w:color w:val="000000" w:themeColor="text1"/>
          <w:sz w:val="20"/>
          <w:szCs w:val="20"/>
          <w:shd w:val="clear" w:color="auto" w:fill="FEFEFE"/>
        </w:rPr>
      </w:pPr>
      <w:r w:rsidRPr="001B21FB">
        <w:rPr>
          <w:rFonts w:ascii="Calibri" w:eastAsia="Calibri" w:hAnsi="Calibri" w:cs="Calibri"/>
          <w:i/>
          <w:color w:val="000000" w:themeColor="text1"/>
          <w:sz w:val="20"/>
          <w:szCs w:val="20"/>
          <w:shd w:val="clear" w:color="auto" w:fill="FEFEFE"/>
        </w:rPr>
        <w:t>academia: Understanding and practicing inclusion across higher education.</w:t>
      </w:r>
      <w:r w:rsidRPr="001B21FB">
        <w:rPr>
          <w:rFonts w:ascii="Calibri" w:eastAsia="Calibri" w:hAnsi="Calibri" w:cs="Calibri"/>
          <w:color w:val="000000" w:themeColor="text1"/>
          <w:sz w:val="20"/>
          <w:szCs w:val="20"/>
          <w:shd w:val="clear" w:color="auto" w:fill="FEFEFE"/>
        </w:rPr>
        <w:t xml:space="preserve"> London: Routledge.</w:t>
      </w:r>
    </w:p>
    <w:p w14:paraId="692CF02F"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Quirke, M., Mc Guckin, C. and McCarthy, P. (2022) ‘How to adopt an “inclusion as process” </w:t>
      </w:r>
    </w:p>
    <w:p w14:paraId="7C073A86" w14:textId="77777777" w:rsidR="004919DB" w:rsidRPr="001B21FB" w:rsidRDefault="004919DB" w:rsidP="0029603D">
      <w:pPr>
        <w:ind w:left="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approach and navigate ethical challenges in research’, in</w:t>
      </w:r>
      <w:r w:rsidRPr="001B21FB">
        <w:rPr>
          <w:rFonts w:ascii="Calibri" w:eastAsia="Calibri" w:hAnsi="Calibri" w:cs="Calibri"/>
          <w:i/>
          <w:color w:val="000000" w:themeColor="text1"/>
          <w:sz w:val="20"/>
          <w:szCs w:val="20"/>
          <w:shd w:val="clear" w:color="auto" w:fill="FEFEFE"/>
        </w:rPr>
        <w:t xml:space="preserve"> SAGE Research Methods Cases</w:t>
      </w:r>
      <w:r w:rsidRPr="001B21FB">
        <w:rPr>
          <w:rFonts w:ascii="Calibri" w:eastAsia="Calibri" w:hAnsi="Calibri" w:cs="Calibri"/>
          <w:color w:val="000000" w:themeColor="text1"/>
          <w:sz w:val="20"/>
          <w:szCs w:val="20"/>
          <w:shd w:val="clear" w:color="auto" w:fill="FEFEFE"/>
        </w:rPr>
        <w:t>. London: SAGE Publications, Ltd. DOI: https://dx.doi.org/10.4135/9781529605341. Available at: http://hdl.handle.net/2262/100275 (Accessed: 24 September 2024).</w:t>
      </w:r>
    </w:p>
    <w:p w14:paraId="3C5D25C2" w14:textId="77777777" w:rsidR="004919DB" w:rsidRPr="001B21FB" w:rsidRDefault="004919DB" w:rsidP="0029603D">
      <w:pPr>
        <w:rPr>
          <w:rFonts w:ascii="Calibri" w:eastAsia="Calibri" w:hAnsi="Calibri" w:cs="Calibri"/>
          <w:color w:val="000000" w:themeColor="text1"/>
          <w:sz w:val="20"/>
          <w:szCs w:val="20"/>
        </w:rPr>
      </w:pPr>
      <w:r w:rsidRPr="001B21FB">
        <w:rPr>
          <w:rFonts w:ascii="Calibri" w:eastAsia="Calibri" w:hAnsi="Calibri" w:cs="Calibri"/>
          <w:color w:val="000000" w:themeColor="text1"/>
          <w:sz w:val="20"/>
          <w:szCs w:val="20"/>
        </w:rPr>
        <w:t xml:space="preserve">Shain, F., Yıldız, Ü. K., Poku, V., &amp; </w:t>
      </w:r>
      <w:proofErr w:type="spellStart"/>
      <w:r w:rsidRPr="001B21FB">
        <w:rPr>
          <w:rFonts w:ascii="Calibri" w:eastAsia="Calibri" w:hAnsi="Calibri" w:cs="Calibri"/>
          <w:color w:val="000000" w:themeColor="text1"/>
          <w:sz w:val="20"/>
          <w:szCs w:val="20"/>
        </w:rPr>
        <w:t>Gokay</w:t>
      </w:r>
      <w:proofErr w:type="spellEnd"/>
      <w:r w:rsidRPr="001B21FB">
        <w:rPr>
          <w:rFonts w:ascii="Calibri" w:eastAsia="Calibri" w:hAnsi="Calibri" w:cs="Calibri"/>
          <w:color w:val="000000" w:themeColor="text1"/>
          <w:sz w:val="20"/>
          <w:szCs w:val="20"/>
        </w:rPr>
        <w:t xml:space="preserve">, B. (2021). From silence to ‘strategic advancement’: </w:t>
      </w:r>
    </w:p>
    <w:p w14:paraId="5C7E5FB6" w14:textId="77777777" w:rsidR="004919DB" w:rsidRPr="001B21FB" w:rsidRDefault="004919DB" w:rsidP="0029603D">
      <w:pPr>
        <w:ind w:left="720"/>
        <w:rPr>
          <w:rFonts w:ascii="Calibri" w:eastAsia="Calibri" w:hAnsi="Calibri" w:cs="Calibri"/>
          <w:color w:val="000000" w:themeColor="text1"/>
          <w:sz w:val="20"/>
          <w:szCs w:val="20"/>
        </w:rPr>
      </w:pPr>
      <w:r w:rsidRPr="001B21FB">
        <w:rPr>
          <w:rFonts w:ascii="Calibri" w:eastAsia="Calibri" w:hAnsi="Calibri" w:cs="Calibri"/>
          <w:color w:val="000000" w:themeColor="text1"/>
          <w:sz w:val="20"/>
          <w:szCs w:val="20"/>
        </w:rPr>
        <w:t>institutional responses to ‘decolonising’ in higher education in England. </w:t>
      </w:r>
      <w:r w:rsidRPr="001B21FB">
        <w:rPr>
          <w:rFonts w:ascii="Calibri" w:eastAsia="Calibri" w:hAnsi="Calibri" w:cs="Calibri"/>
          <w:i/>
          <w:color w:val="000000" w:themeColor="text1"/>
          <w:sz w:val="20"/>
          <w:szCs w:val="20"/>
        </w:rPr>
        <w:t>Teaching in Higher Education</w:t>
      </w:r>
      <w:r w:rsidRPr="001B21FB">
        <w:rPr>
          <w:rFonts w:ascii="Calibri" w:eastAsia="Calibri" w:hAnsi="Calibri" w:cs="Calibri"/>
          <w:color w:val="000000" w:themeColor="text1"/>
          <w:sz w:val="20"/>
          <w:szCs w:val="20"/>
        </w:rPr>
        <w:t>, </w:t>
      </w:r>
      <w:r w:rsidRPr="001B21FB">
        <w:rPr>
          <w:rFonts w:ascii="Calibri" w:eastAsia="Calibri" w:hAnsi="Calibri" w:cs="Calibri"/>
          <w:i/>
          <w:color w:val="000000" w:themeColor="text1"/>
          <w:sz w:val="20"/>
          <w:szCs w:val="20"/>
        </w:rPr>
        <w:t>26</w:t>
      </w:r>
      <w:r w:rsidRPr="001B21FB">
        <w:rPr>
          <w:rFonts w:ascii="Calibri" w:eastAsia="Calibri" w:hAnsi="Calibri" w:cs="Calibri"/>
          <w:color w:val="000000" w:themeColor="text1"/>
          <w:sz w:val="20"/>
          <w:szCs w:val="20"/>
        </w:rPr>
        <w:t>(7–8), 920–936. https://doi-org.elib.tcd.ie/10.1080/13562517.2021.1976749</w:t>
      </w:r>
    </w:p>
    <w:p w14:paraId="772AB9F5"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Shahjahan, R. A., Estera, A. L., Surla, K. L., &amp; Edwards, K. T. (2022). “Decolonizing” curriculum </w:t>
      </w:r>
    </w:p>
    <w:p w14:paraId="3D2CDAF9" w14:textId="77777777" w:rsidR="004919DB" w:rsidRPr="001B21FB" w:rsidRDefault="004919DB" w:rsidP="0029603D">
      <w:pPr>
        <w:ind w:left="720"/>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and pedagogy: A comparative review across disciplines and global higher education contexts. </w:t>
      </w:r>
      <w:r w:rsidRPr="001B21FB">
        <w:rPr>
          <w:rFonts w:ascii="Calibri" w:eastAsia="Calibri" w:hAnsi="Calibri" w:cs="Calibri"/>
          <w:i/>
          <w:color w:val="000000" w:themeColor="text1"/>
          <w:sz w:val="20"/>
          <w:szCs w:val="20"/>
          <w:shd w:val="clear" w:color="auto" w:fill="FEFEFE"/>
        </w:rPr>
        <w:t>Review of Educational Research</w:t>
      </w:r>
      <w:r w:rsidRPr="001B21FB">
        <w:rPr>
          <w:rFonts w:ascii="Calibri" w:eastAsia="Calibri" w:hAnsi="Calibri" w:cs="Calibri"/>
          <w:color w:val="000000" w:themeColor="text1"/>
          <w:sz w:val="20"/>
          <w:szCs w:val="20"/>
          <w:shd w:val="clear" w:color="auto" w:fill="FEFEFE"/>
        </w:rPr>
        <w:t>, </w:t>
      </w:r>
      <w:r w:rsidRPr="001B21FB">
        <w:rPr>
          <w:rFonts w:ascii="Calibri" w:eastAsia="Calibri" w:hAnsi="Calibri" w:cs="Calibri"/>
          <w:i/>
          <w:color w:val="000000" w:themeColor="text1"/>
          <w:sz w:val="20"/>
          <w:szCs w:val="20"/>
          <w:shd w:val="clear" w:color="auto" w:fill="FEFEFE"/>
        </w:rPr>
        <w:t>92</w:t>
      </w:r>
      <w:r w:rsidRPr="001B21FB">
        <w:rPr>
          <w:rFonts w:ascii="Calibri" w:eastAsia="Calibri" w:hAnsi="Calibri" w:cs="Calibri"/>
          <w:color w:val="000000" w:themeColor="text1"/>
          <w:sz w:val="20"/>
          <w:szCs w:val="20"/>
          <w:shd w:val="clear" w:color="auto" w:fill="FEFEFE"/>
        </w:rPr>
        <w:t>(1), 73-113.</w:t>
      </w:r>
    </w:p>
    <w:p w14:paraId="7CD95CBE" w14:textId="77777777" w:rsidR="004919DB" w:rsidRPr="001B21FB" w:rsidRDefault="004919DB" w:rsidP="0029603D">
      <w:pPr>
        <w:rPr>
          <w:rFonts w:ascii="Calibri" w:eastAsia="Calibri" w:hAnsi="Calibri" w:cs="Calibr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Sloane, E. (2024). Trinity College Dublin renames former Berkeley Library after poet Eavan </w:t>
      </w:r>
    </w:p>
    <w:p w14:paraId="39C7E082" w14:textId="77777777" w:rsidR="004919DB" w:rsidRPr="00BA01E7" w:rsidRDefault="004919DB" w:rsidP="0029603D">
      <w:pPr>
        <w:ind w:left="720"/>
        <w:rPr>
          <w:rFonts w:ascii="Calibri" w:eastAsia="Calibri" w:hAnsi="Calibri" w:cs="Calibri"/>
          <w:color w:val="000000" w:themeColor="text1"/>
          <w:sz w:val="20"/>
          <w:szCs w:val="20"/>
          <w:shd w:val="clear" w:color="auto" w:fill="FEFEFE"/>
          <w:lang w:val="it-IT"/>
        </w:rPr>
      </w:pPr>
      <w:proofErr w:type="spellStart"/>
      <w:r w:rsidRPr="00BA01E7">
        <w:rPr>
          <w:rFonts w:ascii="Calibri" w:eastAsia="Calibri" w:hAnsi="Calibri" w:cs="Calibri"/>
          <w:color w:val="000000" w:themeColor="text1"/>
          <w:sz w:val="20"/>
          <w:szCs w:val="20"/>
          <w:shd w:val="clear" w:color="auto" w:fill="FEFEFE"/>
          <w:lang w:val="it-IT"/>
        </w:rPr>
        <w:t>Boland</w:t>
      </w:r>
      <w:proofErr w:type="spellEnd"/>
      <w:r w:rsidRPr="00BA01E7">
        <w:rPr>
          <w:rFonts w:ascii="Calibri" w:eastAsia="Calibri" w:hAnsi="Calibri" w:cs="Calibri"/>
          <w:color w:val="000000" w:themeColor="text1"/>
          <w:sz w:val="20"/>
          <w:szCs w:val="20"/>
          <w:shd w:val="clear" w:color="auto" w:fill="FEFEFE"/>
          <w:lang w:val="it-IT"/>
        </w:rPr>
        <w:t xml:space="preserve">. </w:t>
      </w:r>
      <w:hyperlink r:id="rId10">
        <w:r w:rsidRPr="00BA01E7">
          <w:rPr>
            <w:rFonts w:ascii="Calibri" w:eastAsia="Calibri" w:hAnsi="Calibri" w:cs="Calibri"/>
            <w:color w:val="000000" w:themeColor="text1"/>
            <w:sz w:val="20"/>
            <w:szCs w:val="20"/>
            <w:shd w:val="clear" w:color="auto" w:fill="FEFEFE"/>
            <w:lang w:val="it-IT"/>
          </w:rPr>
          <w:t>https://www.irishtimes.com/ireland/education/2024/10/09/trinity-college-dublin-renames-former-berkeley-library-after-poet-eavan-boland/</w:t>
        </w:r>
      </w:hyperlink>
    </w:p>
    <w:p w14:paraId="43FC9BE4" w14:textId="77777777" w:rsidR="004919DB" w:rsidRPr="001B21FB" w:rsidRDefault="004919DB" w:rsidP="0029603D">
      <w:pPr>
        <w:rPr>
          <w:rFonts w:ascii="Calibri" w:eastAsia="Calibri" w:hAnsi="Calibri" w:cs="Calibri"/>
          <w:i/>
          <w:color w:val="000000" w:themeColor="text1"/>
          <w:sz w:val="20"/>
          <w:szCs w:val="20"/>
          <w:shd w:val="clear" w:color="auto" w:fill="FEFEFE"/>
        </w:rPr>
      </w:pPr>
      <w:r w:rsidRPr="001B21FB">
        <w:rPr>
          <w:rFonts w:ascii="Calibri" w:eastAsia="Calibri" w:hAnsi="Calibri" w:cs="Calibri"/>
          <w:color w:val="000000" w:themeColor="text1"/>
          <w:sz w:val="20"/>
          <w:szCs w:val="20"/>
          <w:shd w:val="clear" w:color="auto" w:fill="FEFEFE"/>
        </w:rPr>
        <w:t xml:space="preserve">Story, M.F., Mueller, J.L. and Mace, R.L. (1998) </w:t>
      </w:r>
      <w:r w:rsidRPr="001B21FB">
        <w:rPr>
          <w:rFonts w:ascii="Calibri" w:eastAsia="Calibri" w:hAnsi="Calibri" w:cs="Calibri"/>
          <w:i/>
          <w:color w:val="000000" w:themeColor="text1"/>
          <w:sz w:val="20"/>
          <w:szCs w:val="20"/>
          <w:shd w:val="clear" w:color="auto" w:fill="FEFEFE"/>
        </w:rPr>
        <w:t xml:space="preserve">The universal design file: Designing for people </w:t>
      </w:r>
    </w:p>
    <w:p w14:paraId="4CF54A4D" w14:textId="77777777" w:rsidR="004919DB" w:rsidRPr="001B21FB" w:rsidRDefault="004919DB" w:rsidP="0029603D">
      <w:pPr>
        <w:ind w:left="720"/>
        <w:rPr>
          <w:rFonts w:ascii="Calibri" w:eastAsia="Calibri" w:hAnsi="Calibri" w:cs="Calibri"/>
          <w:color w:val="000000" w:themeColor="text1"/>
          <w:sz w:val="20"/>
          <w:szCs w:val="20"/>
          <w:shd w:val="clear" w:color="auto" w:fill="FEFEFE"/>
        </w:rPr>
      </w:pPr>
      <w:r w:rsidRPr="001B21FB">
        <w:rPr>
          <w:rFonts w:ascii="Calibri" w:eastAsia="Calibri" w:hAnsi="Calibri" w:cs="Calibri"/>
          <w:i/>
          <w:color w:val="000000" w:themeColor="text1"/>
          <w:sz w:val="20"/>
          <w:szCs w:val="20"/>
          <w:shd w:val="clear" w:color="auto" w:fill="FEFEFE"/>
        </w:rPr>
        <w:t>of all ages and abilities</w:t>
      </w:r>
      <w:r w:rsidRPr="001B21FB">
        <w:rPr>
          <w:rFonts w:ascii="Calibri" w:eastAsia="Calibri" w:hAnsi="Calibri" w:cs="Calibri"/>
          <w:color w:val="000000" w:themeColor="text1"/>
          <w:sz w:val="20"/>
          <w:szCs w:val="20"/>
          <w:shd w:val="clear" w:color="auto" w:fill="FEFEFE"/>
        </w:rPr>
        <w:t>. Revised Edition. Available at: https://files.eric.ed.gov/fulltext/ED460554.pdf (Accessed: 24 September 2024).</w:t>
      </w:r>
    </w:p>
    <w:p w14:paraId="793048F5" w14:textId="77777777" w:rsidR="004919DB" w:rsidRPr="001B21FB" w:rsidRDefault="004919DB" w:rsidP="0029603D">
      <w:pPr>
        <w:rPr>
          <w:rFonts w:ascii="Calibri" w:eastAsia="Calibri" w:hAnsi="Calibri" w:cs="Calibri"/>
          <w:color w:val="000000" w:themeColor="text1"/>
          <w:sz w:val="20"/>
          <w:szCs w:val="20"/>
        </w:rPr>
      </w:pPr>
      <w:r w:rsidRPr="001B21FB">
        <w:rPr>
          <w:rFonts w:ascii="Calibri" w:eastAsia="Calibri" w:hAnsi="Calibri" w:cs="Calibri"/>
          <w:color w:val="000000" w:themeColor="text1"/>
          <w:sz w:val="20"/>
          <w:szCs w:val="20"/>
        </w:rPr>
        <w:t xml:space="preserve">Tembo, S., &amp; Bateson, S. (2024). Before race: A literature review on de/colonial habits in </w:t>
      </w:r>
    </w:p>
    <w:p w14:paraId="4C6BC8CD" w14:textId="77777777" w:rsidR="004919DB" w:rsidRPr="001B21FB" w:rsidRDefault="004919DB" w:rsidP="0029603D">
      <w:pPr>
        <w:ind w:left="720"/>
        <w:rPr>
          <w:rFonts w:ascii="Calibri" w:eastAsia="Calibri" w:hAnsi="Calibri" w:cs="Calibri"/>
          <w:color w:val="000000" w:themeColor="text1"/>
          <w:sz w:val="20"/>
          <w:szCs w:val="20"/>
        </w:rPr>
      </w:pPr>
      <w:r w:rsidRPr="001B21FB">
        <w:rPr>
          <w:rFonts w:ascii="Calibri" w:eastAsia="Calibri" w:hAnsi="Calibri" w:cs="Calibri"/>
          <w:color w:val="000000" w:themeColor="text1"/>
          <w:sz w:val="20"/>
          <w:szCs w:val="20"/>
        </w:rPr>
        <w:t xml:space="preserve">play within early childhood. Journal of Early Childhood Research, 0(0). </w:t>
      </w:r>
      <w:hyperlink r:id="rId11">
        <w:r w:rsidRPr="001B21FB">
          <w:rPr>
            <w:rFonts w:ascii="Calibri" w:eastAsia="Calibri" w:hAnsi="Calibri" w:cs="Calibri"/>
            <w:color w:val="000000" w:themeColor="text1"/>
            <w:sz w:val="20"/>
            <w:szCs w:val="20"/>
          </w:rPr>
          <w:t>https://doi.org/10.1177/1476718X241241142</w:t>
        </w:r>
      </w:hyperlink>
    </w:p>
    <w:p w14:paraId="5E034C98" w14:textId="77777777" w:rsidR="004919DB" w:rsidRPr="001B21FB" w:rsidRDefault="004919DB" w:rsidP="0029603D">
      <w:pPr>
        <w:rPr>
          <w:rFonts w:ascii="Calibri" w:eastAsia="Calibri" w:hAnsi="Calibri" w:cs="Calibri"/>
          <w:color w:val="000000" w:themeColor="text1"/>
          <w:sz w:val="20"/>
          <w:szCs w:val="20"/>
        </w:rPr>
      </w:pPr>
      <w:r w:rsidRPr="001B21FB">
        <w:rPr>
          <w:rFonts w:ascii="Calibri" w:eastAsia="Calibri" w:hAnsi="Calibri" w:cs="Calibri"/>
          <w:color w:val="000000" w:themeColor="text1"/>
          <w:sz w:val="20"/>
          <w:szCs w:val="20"/>
        </w:rPr>
        <w:t>Walton, E. (2018). Decolonising (Through) Inclusive Education? Educational Research for </w:t>
      </w:r>
    </w:p>
    <w:p w14:paraId="3F9E412E" w14:textId="77777777" w:rsidR="004919DB" w:rsidRPr="001B21FB" w:rsidRDefault="004919DB" w:rsidP="0029603D">
      <w:pPr>
        <w:ind w:firstLine="720"/>
        <w:rPr>
          <w:rFonts w:ascii="Calibri" w:eastAsia="Calibri" w:hAnsi="Calibri" w:cs="Calibri"/>
          <w:color w:val="000000" w:themeColor="text1"/>
          <w:sz w:val="20"/>
          <w:szCs w:val="20"/>
        </w:rPr>
      </w:pPr>
      <w:r w:rsidRPr="001B21FB">
        <w:rPr>
          <w:rFonts w:ascii="Calibri" w:eastAsia="Calibri" w:hAnsi="Calibri" w:cs="Calibri"/>
          <w:color w:val="000000" w:themeColor="text1"/>
          <w:sz w:val="20"/>
          <w:szCs w:val="20"/>
        </w:rPr>
        <w:t>Social Change, 7(0), 31‐45. http://dx.doi.org/10.17159/2221‐4070/2018/v7i0a3  </w:t>
      </w:r>
    </w:p>
    <w:p w14:paraId="35375302" w14:textId="127F730B" w:rsidR="004919DB" w:rsidRPr="001B21FB" w:rsidRDefault="00000000" w:rsidP="0029603D">
      <w:pPr>
        <w:ind w:left="720" w:hanging="720"/>
        <w:rPr>
          <w:rFonts w:ascii="Calibri" w:eastAsia="Calibri" w:hAnsi="Calibri" w:cs="Calibri"/>
          <w:color w:val="000000" w:themeColor="text1"/>
          <w:sz w:val="20"/>
          <w:szCs w:val="20"/>
        </w:rPr>
      </w:pPr>
      <w:sdt>
        <w:sdtPr>
          <w:rPr>
            <w:rFonts w:ascii="Calibri" w:hAnsi="Calibri" w:cs="Calibri"/>
            <w:color w:val="000000" w:themeColor="text1"/>
            <w:sz w:val="20"/>
            <w:szCs w:val="20"/>
          </w:rPr>
          <w:tag w:val="goog_rdk_57"/>
          <w:id w:val="1813436344"/>
        </w:sdtPr>
        <w:sdtContent>
          <w:proofErr w:type="spellStart"/>
          <w:r w:rsidR="004919DB" w:rsidRPr="001B21FB">
            <w:rPr>
              <w:rFonts w:ascii="Calibri" w:eastAsia="Calibri" w:hAnsi="Calibri" w:cs="Calibri"/>
              <w:color w:val="000000" w:themeColor="text1"/>
              <w:sz w:val="20"/>
              <w:szCs w:val="20"/>
            </w:rPr>
            <w:t>Zembylas</w:t>
          </w:r>
          <w:proofErr w:type="spellEnd"/>
          <w:r w:rsidR="004919DB" w:rsidRPr="001B21FB">
            <w:rPr>
              <w:rFonts w:ascii="Calibri" w:eastAsia="Calibri" w:hAnsi="Calibri" w:cs="Calibri"/>
              <w:color w:val="000000" w:themeColor="text1"/>
              <w:sz w:val="20"/>
              <w:szCs w:val="20"/>
            </w:rPr>
            <w:t>, M. (2018). Reinventing critical pedagogy as decolonizing pedagogy: The education</w:t>
          </w:r>
        </w:sdtContent>
      </w:sdt>
      <w:sdt>
        <w:sdtPr>
          <w:rPr>
            <w:rFonts w:ascii="Calibri" w:hAnsi="Calibri" w:cs="Calibri"/>
            <w:color w:val="000000" w:themeColor="text1"/>
            <w:sz w:val="20"/>
            <w:szCs w:val="20"/>
          </w:rPr>
          <w:tag w:val="goog_rdk_58"/>
          <w:id w:val="569004998"/>
        </w:sdtPr>
        <w:sdtContent>
          <w:r w:rsidR="004919DB" w:rsidRPr="001B21FB">
            <w:rPr>
              <w:rFonts w:ascii="Calibri" w:hAnsi="Calibri" w:cs="Calibri"/>
              <w:color w:val="000000" w:themeColor="text1"/>
              <w:sz w:val="20"/>
              <w:szCs w:val="20"/>
            </w:rPr>
            <w:t xml:space="preserve"> </w:t>
          </w:r>
          <w:r w:rsidR="004919DB" w:rsidRPr="001B21FB">
            <w:rPr>
              <w:rFonts w:ascii="Calibri" w:eastAsia="Calibri" w:hAnsi="Calibri" w:cs="Calibri"/>
              <w:color w:val="000000" w:themeColor="text1"/>
              <w:sz w:val="20"/>
              <w:szCs w:val="20"/>
            </w:rPr>
            <w:t>of empathy. </w:t>
          </w:r>
          <w:r w:rsidR="004919DB" w:rsidRPr="001B21FB">
            <w:rPr>
              <w:rFonts w:ascii="Calibri" w:eastAsia="Calibri" w:hAnsi="Calibri" w:cs="Calibri"/>
              <w:i/>
              <w:color w:val="000000" w:themeColor="text1"/>
              <w:sz w:val="20"/>
              <w:szCs w:val="20"/>
            </w:rPr>
            <w:t>Review of Education, Pedagogy, and Cultural Studies</w:t>
          </w:r>
          <w:r w:rsidR="004919DB" w:rsidRPr="001B21FB">
            <w:rPr>
              <w:rFonts w:ascii="Calibri" w:eastAsia="Calibri" w:hAnsi="Calibri" w:cs="Calibri"/>
              <w:color w:val="000000" w:themeColor="text1"/>
              <w:sz w:val="20"/>
              <w:szCs w:val="20"/>
            </w:rPr>
            <w:t>, </w:t>
          </w:r>
          <w:r w:rsidR="004919DB" w:rsidRPr="001B21FB">
            <w:rPr>
              <w:rFonts w:ascii="Calibri" w:eastAsia="Calibri" w:hAnsi="Calibri" w:cs="Calibri"/>
              <w:i/>
              <w:color w:val="000000" w:themeColor="text1"/>
              <w:sz w:val="20"/>
              <w:szCs w:val="20"/>
            </w:rPr>
            <w:t>40</w:t>
          </w:r>
          <w:r w:rsidR="004919DB" w:rsidRPr="001B21FB">
            <w:rPr>
              <w:rFonts w:ascii="Calibri" w:eastAsia="Calibri" w:hAnsi="Calibri" w:cs="Calibri"/>
              <w:color w:val="000000" w:themeColor="text1"/>
              <w:sz w:val="20"/>
              <w:szCs w:val="20"/>
            </w:rPr>
            <w:t>(5), 404-421.</w:t>
          </w:r>
        </w:sdtContent>
      </w:sdt>
    </w:p>
    <w:p w14:paraId="267850A4" w14:textId="77777777" w:rsidR="004919DB" w:rsidRPr="001B21FB" w:rsidRDefault="004919DB" w:rsidP="004919DB">
      <w:pPr>
        <w:spacing w:line="360" w:lineRule="auto"/>
        <w:rPr>
          <w:rFonts w:ascii="Calibri" w:eastAsia="Calibri" w:hAnsi="Calibri" w:cs="Calibri"/>
          <w:color w:val="000000" w:themeColor="text1"/>
          <w:sz w:val="20"/>
          <w:szCs w:val="20"/>
        </w:rPr>
      </w:pPr>
    </w:p>
    <w:p w14:paraId="70BA600B" w14:textId="77777777" w:rsidR="004919DB" w:rsidRPr="001B21FB" w:rsidRDefault="004919DB" w:rsidP="004919DB">
      <w:pPr>
        <w:spacing w:line="360" w:lineRule="auto"/>
        <w:ind w:firstLine="720"/>
        <w:rPr>
          <w:rFonts w:ascii="Calibri" w:eastAsia="Calibri" w:hAnsi="Calibri" w:cs="Calibri"/>
          <w:color w:val="000000" w:themeColor="text1"/>
          <w:sz w:val="20"/>
          <w:szCs w:val="20"/>
        </w:rPr>
      </w:pPr>
    </w:p>
    <w:p w14:paraId="3903763D" w14:textId="77777777" w:rsidR="004919DB" w:rsidRPr="001B21FB" w:rsidRDefault="004919DB" w:rsidP="004919DB">
      <w:pPr>
        <w:spacing w:line="360" w:lineRule="auto"/>
        <w:ind w:firstLine="720"/>
        <w:rPr>
          <w:rFonts w:ascii="Calibri" w:eastAsia="Calibri" w:hAnsi="Calibri" w:cs="Calibri"/>
          <w:color w:val="000000" w:themeColor="text1"/>
          <w:sz w:val="20"/>
          <w:szCs w:val="20"/>
        </w:rPr>
      </w:pPr>
    </w:p>
    <w:p w14:paraId="54DBDFE5" w14:textId="77777777" w:rsidR="004919DB" w:rsidRPr="001B21FB" w:rsidRDefault="004919DB" w:rsidP="004919DB">
      <w:pPr>
        <w:spacing w:line="360" w:lineRule="auto"/>
        <w:ind w:left="720"/>
        <w:rPr>
          <w:rFonts w:ascii="Calibri" w:eastAsia="Calibri" w:hAnsi="Calibri" w:cs="Calibri"/>
          <w:color w:val="000000" w:themeColor="text1"/>
        </w:rPr>
      </w:pPr>
    </w:p>
    <w:p w14:paraId="3331151F" w14:textId="77777777" w:rsidR="00851073" w:rsidRPr="001B21FB" w:rsidRDefault="00851073" w:rsidP="00851073">
      <w:pPr>
        <w:spacing w:line="360" w:lineRule="auto"/>
        <w:contextualSpacing/>
        <w:rPr>
          <w:rFonts w:ascii="Calibri" w:hAnsi="Calibri" w:cs="Calibri"/>
          <w:b/>
          <w:color w:val="000000" w:themeColor="text1"/>
        </w:rPr>
      </w:pPr>
    </w:p>
    <w:p w14:paraId="48AB4BEE" w14:textId="77777777" w:rsidR="0029354F" w:rsidRPr="001B21FB" w:rsidRDefault="0029354F" w:rsidP="00E579E8">
      <w:pPr>
        <w:spacing w:line="360" w:lineRule="auto"/>
        <w:contextualSpacing/>
        <w:jc w:val="center"/>
        <w:rPr>
          <w:rFonts w:ascii="Calibri" w:hAnsi="Calibri" w:cs="Calibri"/>
          <w:b/>
          <w:color w:val="000000" w:themeColor="text1"/>
        </w:rPr>
      </w:pPr>
    </w:p>
    <w:p w14:paraId="27168AB3" w14:textId="77777777" w:rsidR="0029354F" w:rsidRPr="001B21FB" w:rsidRDefault="0029354F" w:rsidP="00E579E8">
      <w:pPr>
        <w:spacing w:line="360" w:lineRule="auto"/>
        <w:contextualSpacing/>
        <w:jc w:val="center"/>
        <w:rPr>
          <w:rFonts w:ascii="Calibri" w:hAnsi="Calibri" w:cs="Calibri"/>
          <w:b/>
          <w:color w:val="000000" w:themeColor="text1"/>
        </w:rPr>
      </w:pPr>
    </w:p>
    <w:p w14:paraId="2685EE64" w14:textId="77777777" w:rsidR="0029354F" w:rsidRPr="001B21FB" w:rsidRDefault="0029354F" w:rsidP="00E579E8">
      <w:pPr>
        <w:spacing w:line="360" w:lineRule="auto"/>
        <w:contextualSpacing/>
        <w:jc w:val="center"/>
        <w:rPr>
          <w:rFonts w:ascii="Calibri" w:hAnsi="Calibri" w:cs="Calibri"/>
          <w:b/>
          <w:color w:val="000000" w:themeColor="text1"/>
        </w:rPr>
      </w:pPr>
    </w:p>
    <w:p w14:paraId="4F9C4FED" w14:textId="7A23E37C" w:rsidR="00E5331D" w:rsidRPr="00754944" w:rsidRDefault="0029354F" w:rsidP="00BA01E7">
      <w:pPr>
        <w:spacing w:line="360" w:lineRule="auto"/>
        <w:contextualSpacing/>
        <w:jc w:val="center"/>
        <w:rPr>
          <w:rFonts w:ascii="Calibri" w:hAnsi="Calibri" w:cs="Calibri"/>
          <w:color w:val="000000" w:themeColor="text1"/>
        </w:rPr>
      </w:pPr>
      <w:r w:rsidRPr="001B21FB">
        <w:rPr>
          <w:rFonts w:ascii="Calibri" w:hAnsi="Calibri" w:cs="Calibri"/>
          <w:b/>
          <w:color w:val="000000" w:themeColor="text1"/>
        </w:rPr>
        <w:br/>
      </w:r>
    </w:p>
    <w:p w14:paraId="2637976C" w14:textId="77777777" w:rsidR="009600EA" w:rsidRPr="00754944" w:rsidRDefault="009600EA" w:rsidP="009600EA">
      <w:pPr>
        <w:spacing w:line="360" w:lineRule="auto"/>
        <w:rPr>
          <w:rFonts w:ascii="Calibri" w:hAnsi="Calibri" w:cs="Calibri"/>
          <w:color w:val="000000" w:themeColor="text1"/>
        </w:rPr>
      </w:pPr>
    </w:p>
    <w:sectPr w:rsidR="009600EA" w:rsidRPr="00754944" w:rsidSect="007846F1">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81386B" w14:textId="77777777" w:rsidR="005A190D" w:rsidRDefault="005A190D" w:rsidP="007846F1">
      <w:r>
        <w:separator/>
      </w:r>
    </w:p>
  </w:endnote>
  <w:endnote w:type="continuationSeparator" w:id="0">
    <w:p w14:paraId="23EB8D3A" w14:textId="77777777" w:rsidR="005A190D" w:rsidRDefault="005A190D" w:rsidP="007846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Roboto">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3FC5AE" w14:textId="77777777" w:rsidR="005A190D" w:rsidRDefault="005A190D" w:rsidP="007846F1">
      <w:r>
        <w:separator/>
      </w:r>
    </w:p>
  </w:footnote>
  <w:footnote w:type="continuationSeparator" w:id="0">
    <w:p w14:paraId="419876BD" w14:textId="77777777" w:rsidR="005A190D" w:rsidRDefault="005A190D" w:rsidP="007846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8E9FC6" w14:textId="77777777" w:rsidR="00E8384B" w:rsidRDefault="00FA1667">
    <w:r>
      <w:c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17A59"/>
    <w:multiLevelType w:val="hybridMultilevel"/>
    <w:tmpl w:val="B97080A0"/>
    <w:lvl w:ilvl="0" w:tplc="0809000F">
      <w:start w:val="1"/>
      <w:numFmt w:val="decimal"/>
      <w:lvlText w:val="%1."/>
      <w:lvlJc w:val="left"/>
      <w:pPr>
        <w:ind w:left="720" w:hanging="360"/>
      </w:pPr>
      <w:rPr>
        <w:rFonts w:hint="default"/>
      </w:rPr>
    </w:lvl>
    <w:lvl w:ilvl="1" w:tplc="1D5E0E4E">
      <w:numFmt w:val="bullet"/>
      <w:lvlText w:val=""/>
      <w:lvlJc w:val="left"/>
      <w:pPr>
        <w:ind w:left="1440" w:hanging="360"/>
      </w:pPr>
      <w:rPr>
        <w:rFonts w:ascii="Times New Roman" w:eastAsia="Times New Roman" w:hAnsi="Times New Roman" w:cs="Times New Roman"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2C67D1"/>
    <w:multiLevelType w:val="hybridMultilevel"/>
    <w:tmpl w:val="AD0E82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466812"/>
    <w:multiLevelType w:val="hybridMultilevel"/>
    <w:tmpl w:val="41EE9D36"/>
    <w:lvl w:ilvl="0" w:tplc="0809000F">
      <w:start w:val="1"/>
      <w:numFmt w:val="decimal"/>
      <w:lvlText w:val="%1."/>
      <w:lvlJc w:val="left"/>
      <w:pPr>
        <w:ind w:left="720" w:hanging="360"/>
      </w:pPr>
      <w:rPr>
        <w:rFonts w:hint="default"/>
      </w:rPr>
    </w:lvl>
    <w:lvl w:ilvl="1" w:tplc="9B0A56BC">
      <w:numFmt w:val="bullet"/>
      <w:lvlText w:val=""/>
      <w:lvlJc w:val="left"/>
      <w:pPr>
        <w:ind w:left="1440" w:hanging="360"/>
      </w:pPr>
      <w:rPr>
        <w:rFonts w:ascii="Calibri" w:eastAsia="Times New Roman" w:hAnsi="Calibri" w:cs="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DCF61D3"/>
    <w:multiLevelType w:val="hybridMultilevel"/>
    <w:tmpl w:val="49444A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9F49A1"/>
    <w:multiLevelType w:val="multilevel"/>
    <w:tmpl w:val="AE6AB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E7090A"/>
    <w:multiLevelType w:val="hybridMultilevel"/>
    <w:tmpl w:val="032C1F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BC7F98"/>
    <w:multiLevelType w:val="hybridMultilevel"/>
    <w:tmpl w:val="7A3CE1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C7C7FF8"/>
    <w:multiLevelType w:val="hybridMultilevel"/>
    <w:tmpl w:val="42D43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0C13BA"/>
    <w:multiLevelType w:val="hybridMultilevel"/>
    <w:tmpl w:val="07082E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284681E"/>
    <w:multiLevelType w:val="hybridMultilevel"/>
    <w:tmpl w:val="9570880C"/>
    <w:lvl w:ilvl="0" w:tplc="FFFFFFFF">
      <w:start w:val="1"/>
      <w:numFmt w:val="decimal"/>
      <w:lvlText w:val="%1."/>
      <w:lvlJc w:val="left"/>
      <w:pPr>
        <w:ind w:left="720" w:hanging="360"/>
      </w:pPr>
    </w:lvl>
    <w:lvl w:ilvl="1" w:tplc="0809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3441EED"/>
    <w:multiLevelType w:val="hybridMultilevel"/>
    <w:tmpl w:val="5E86C4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0872BC"/>
    <w:multiLevelType w:val="multilevel"/>
    <w:tmpl w:val="D938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7A05D1"/>
    <w:multiLevelType w:val="hybridMultilevel"/>
    <w:tmpl w:val="19180E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162E35"/>
    <w:multiLevelType w:val="hybridMultilevel"/>
    <w:tmpl w:val="E1BA507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93433F3"/>
    <w:multiLevelType w:val="multilevel"/>
    <w:tmpl w:val="3F702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FD5B49"/>
    <w:multiLevelType w:val="hybridMultilevel"/>
    <w:tmpl w:val="7362F53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A5218AA"/>
    <w:multiLevelType w:val="multilevel"/>
    <w:tmpl w:val="E7BEE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D12B2C"/>
    <w:multiLevelType w:val="multilevel"/>
    <w:tmpl w:val="C43A7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3448ED"/>
    <w:multiLevelType w:val="hybridMultilevel"/>
    <w:tmpl w:val="6FB85314"/>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31C4E5C"/>
    <w:multiLevelType w:val="hybridMultilevel"/>
    <w:tmpl w:val="C8D4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D9F1941"/>
    <w:multiLevelType w:val="hybridMultilevel"/>
    <w:tmpl w:val="0A54959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DA4A8A"/>
    <w:multiLevelType w:val="hybridMultilevel"/>
    <w:tmpl w:val="AEDA64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65A756E"/>
    <w:multiLevelType w:val="hybridMultilevel"/>
    <w:tmpl w:val="B1E2972C"/>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7036371"/>
    <w:multiLevelType w:val="multilevel"/>
    <w:tmpl w:val="79ECE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75E7414"/>
    <w:multiLevelType w:val="hybridMultilevel"/>
    <w:tmpl w:val="C7940E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DF2638A"/>
    <w:multiLevelType w:val="hybridMultilevel"/>
    <w:tmpl w:val="D4F2F558"/>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6" w15:restartNumberingAfterBreak="0">
    <w:nsid w:val="5FF513C7"/>
    <w:multiLevelType w:val="hybridMultilevel"/>
    <w:tmpl w:val="C3F645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61050B2"/>
    <w:multiLevelType w:val="hybridMultilevel"/>
    <w:tmpl w:val="06FC5C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C7811A0"/>
    <w:multiLevelType w:val="hybridMultilevel"/>
    <w:tmpl w:val="DB8C2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DA6596B"/>
    <w:multiLevelType w:val="multilevel"/>
    <w:tmpl w:val="3064E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0454AFD"/>
    <w:multiLevelType w:val="hybridMultilevel"/>
    <w:tmpl w:val="455EB0A6"/>
    <w:lvl w:ilvl="0" w:tplc="0809000F">
      <w:start w:val="1"/>
      <w:numFmt w:val="decimal"/>
      <w:lvlText w:val="%1."/>
      <w:lvlJc w:val="left"/>
      <w:pPr>
        <w:ind w:left="502" w:hanging="360"/>
      </w:pPr>
    </w:lvl>
    <w:lvl w:ilvl="1" w:tplc="08090019">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1" w15:restartNumberingAfterBreak="0">
    <w:nsid w:val="73E559F6"/>
    <w:multiLevelType w:val="multilevel"/>
    <w:tmpl w:val="DEF61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40368CC"/>
    <w:multiLevelType w:val="hybridMultilevel"/>
    <w:tmpl w:val="51D4CA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A2121D3"/>
    <w:multiLevelType w:val="hybridMultilevel"/>
    <w:tmpl w:val="E0F4A384"/>
    <w:lvl w:ilvl="0" w:tplc="FFFFFFFF">
      <w:start w:val="1"/>
      <w:numFmt w:val="decimal"/>
      <w:lvlText w:val="%1."/>
      <w:lvlJc w:val="left"/>
      <w:pPr>
        <w:ind w:left="720" w:hanging="360"/>
      </w:pPr>
    </w:lvl>
    <w:lvl w:ilvl="1" w:tplc="0809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A3068A7"/>
    <w:multiLevelType w:val="hybridMultilevel"/>
    <w:tmpl w:val="382AFDC8"/>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5" w15:restartNumberingAfterBreak="0">
    <w:nsid w:val="7E182BF6"/>
    <w:multiLevelType w:val="hybridMultilevel"/>
    <w:tmpl w:val="1FD0D5A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EF254CC"/>
    <w:multiLevelType w:val="hybridMultilevel"/>
    <w:tmpl w:val="B82C0F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87862293">
    <w:abstractNumId w:val="12"/>
  </w:num>
  <w:num w:numId="2" w16cid:durableId="2029522941">
    <w:abstractNumId w:val="8"/>
  </w:num>
  <w:num w:numId="3" w16cid:durableId="1067845584">
    <w:abstractNumId w:val="0"/>
  </w:num>
  <w:num w:numId="4" w16cid:durableId="618537117">
    <w:abstractNumId w:val="36"/>
  </w:num>
  <w:num w:numId="5" w16cid:durableId="924268301">
    <w:abstractNumId w:val="19"/>
  </w:num>
  <w:num w:numId="6" w16cid:durableId="1773667839">
    <w:abstractNumId w:val="32"/>
  </w:num>
  <w:num w:numId="7" w16cid:durableId="1123503289">
    <w:abstractNumId w:val="3"/>
  </w:num>
  <w:num w:numId="8" w16cid:durableId="1293368417">
    <w:abstractNumId w:val="2"/>
  </w:num>
  <w:num w:numId="9" w16cid:durableId="1428186346">
    <w:abstractNumId w:val="15"/>
  </w:num>
  <w:num w:numId="10" w16cid:durableId="1539929297">
    <w:abstractNumId w:val="22"/>
  </w:num>
  <w:num w:numId="11" w16cid:durableId="1064183076">
    <w:abstractNumId w:val="35"/>
  </w:num>
  <w:num w:numId="12" w16cid:durableId="1333295981">
    <w:abstractNumId w:val="26"/>
  </w:num>
  <w:num w:numId="13" w16cid:durableId="115296196">
    <w:abstractNumId w:val="27"/>
  </w:num>
  <w:num w:numId="14" w16cid:durableId="1810592787">
    <w:abstractNumId w:val="21"/>
  </w:num>
  <w:num w:numId="15" w16cid:durableId="1475610087">
    <w:abstractNumId w:val="5"/>
  </w:num>
  <w:num w:numId="16" w16cid:durableId="1098598938">
    <w:abstractNumId w:val="33"/>
  </w:num>
  <w:num w:numId="17" w16cid:durableId="227770282">
    <w:abstractNumId w:val="28"/>
  </w:num>
  <w:num w:numId="18" w16cid:durableId="1771970439">
    <w:abstractNumId w:val="18"/>
  </w:num>
  <w:num w:numId="19" w16cid:durableId="1909077181">
    <w:abstractNumId w:val="30"/>
  </w:num>
  <w:num w:numId="20" w16cid:durableId="1615945068">
    <w:abstractNumId w:val="13"/>
  </w:num>
  <w:num w:numId="21" w16cid:durableId="970404902">
    <w:abstractNumId w:val="4"/>
  </w:num>
  <w:num w:numId="22" w16cid:durableId="1621036860">
    <w:abstractNumId w:val="29"/>
  </w:num>
  <w:num w:numId="23" w16cid:durableId="677384948">
    <w:abstractNumId w:val="25"/>
  </w:num>
  <w:num w:numId="24" w16cid:durableId="1115053950">
    <w:abstractNumId w:val="34"/>
  </w:num>
  <w:num w:numId="25" w16cid:durableId="826868586">
    <w:abstractNumId w:val="10"/>
  </w:num>
  <w:num w:numId="26" w16cid:durableId="704789836">
    <w:abstractNumId w:val="1"/>
  </w:num>
  <w:num w:numId="27" w16cid:durableId="1393385325">
    <w:abstractNumId w:val="6"/>
  </w:num>
  <w:num w:numId="28" w16cid:durableId="573315965">
    <w:abstractNumId w:val="24"/>
  </w:num>
  <w:num w:numId="29" w16cid:durableId="1261261131">
    <w:abstractNumId w:val="11"/>
  </w:num>
  <w:num w:numId="30" w16cid:durableId="1769618601">
    <w:abstractNumId w:val="23"/>
  </w:num>
  <w:num w:numId="31" w16cid:durableId="1763454774">
    <w:abstractNumId w:val="16"/>
  </w:num>
  <w:num w:numId="32" w16cid:durableId="1814827560">
    <w:abstractNumId w:val="31"/>
  </w:num>
  <w:num w:numId="33" w16cid:durableId="932785017">
    <w:abstractNumId w:val="14"/>
  </w:num>
  <w:num w:numId="34" w16cid:durableId="85000307">
    <w:abstractNumId w:val="17"/>
  </w:num>
  <w:num w:numId="35" w16cid:durableId="1537885806">
    <w:abstractNumId w:val="7"/>
  </w:num>
  <w:num w:numId="36" w16cid:durableId="1627002502">
    <w:abstractNumId w:val="20"/>
  </w:num>
  <w:num w:numId="37" w16cid:durableId="229117433">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46F1"/>
    <w:rsid w:val="000378C4"/>
    <w:rsid w:val="00054951"/>
    <w:rsid w:val="000601F3"/>
    <w:rsid w:val="0008158A"/>
    <w:rsid w:val="00082D24"/>
    <w:rsid w:val="0008416F"/>
    <w:rsid w:val="00086185"/>
    <w:rsid w:val="00086FCD"/>
    <w:rsid w:val="000A1CFF"/>
    <w:rsid w:val="000A6B0B"/>
    <w:rsid w:val="000B355D"/>
    <w:rsid w:val="000F6B68"/>
    <w:rsid w:val="00114BF7"/>
    <w:rsid w:val="00114FCE"/>
    <w:rsid w:val="0012443E"/>
    <w:rsid w:val="00125170"/>
    <w:rsid w:val="00141EAE"/>
    <w:rsid w:val="0018397F"/>
    <w:rsid w:val="001B21FB"/>
    <w:rsid w:val="001E78CB"/>
    <w:rsid w:val="001F0570"/>
    <w:rsid w:val="002203B5"/>
    <w:rsid w:val="00225AAB"/>
    <w:rsid w:val="00240867"/>
    <w:rsid w:val="00253D60"/>
    <w:rsid w:val="00291B1E"/>
    <w:rsid w:val="0029354F"/>
    <w:rsid w:val="0029603D"/>
    <w:rsid w:val="0029632D"/>
    <w:rsid w:val="0029642E"/>
    <w:rsid w:val="002978A1"/>
    <w:rsid w:val="002D5509"/>
    <w:rsid w:val="002D6EDB"/>
    <w:rsid w:val="002E0103"/>
    <w:rsid w:val="002E7209"/>
    <w:rsid w:val="002E79A6"/>
    <w:rsid w:val="002F3C88"/>
    <w:rsid w:val="002F61D0"/>
    <w:rsid w:val="0031066B"/>
    <w:rsid w:val="00313787"/>
    <w:rsid w:val="0032319B"/>
    <w:rsid w:val="003267A1"/>
    <w:rsid w:val="00354429"/>
    <w:rsid w:val="003554F1"/>
    <w:rsid w:val="00355600"/>
    <w:rsid w:val="00374DA6"/>
    <w:rsid w:val="0037506E"/>
    <w:rsid w:val="00382EE9"/>
    <w:rsid w:val="00396CAA"/>
    <w:rsid w:val="003A44DB"/>
    <w:rsid w:val="003C78BD"/>
    <w:rsid w:val="003D1941"/>
    <w:rsid w:val="003E722D"/>
    <w:rsid w:val="00402A76"/>
    <w:rsid w:val="00426F41"/>
    <w:rsid w:val="004727ED"/>
    <w:rsid w:val="004919DB"/>
    <w:rsid w:val="00496493"/>
    <w:rsid w:val="004A68B6"/>
    <w:rsid w:val="004B2801"/>
    <w:rsid w:val="004C4172"/>
    <w:rsid w:val="004D6D59"/>
    <w:rsid w:val="00502416"/>
    <w:rsid w:val="005025AE"/>
    <w:rsid w:val="00517484"/>
    <w:rsid w:val="00520039"/>
    <w:rsid w:val="00533B03"/>
    <w:rsid w:val="005503A9"/>
    <w:rsid w:val="005531F7"/>
    <w:rsid w:val="005566B2"/>
    <w:rsid w:val="00564E1C"/>
    <w:rsid w:val="005867F7"/>
    <w:rsid w:val="005A190D"/>
    <w:rsid w:val="005D06EE"/>
    <w:rsid w:val="005D767F"/>
    <w:rsid w:val="005F0AF9"/>
    <w:rsid w:val="006034CD"/>
    <w:rsid w:val="00606E7D"/>
    <w:rsid w:val="006109D9"/>
    <w:rsid w:val="00650A9C"/>
    <w:rsid w:val="00687D1D"/>
    <w:rsid w:val="006A06D1"/>
    <w:rsid w:val="006A0D66"/>
    <w:rsid w:val="006A3853"/>
    <w:rsid w:val="006B6BB8"/>
    <w:rsid w:val="006F4AA0"/>
    <w:rsid w:val="0070790B"/>
    <w:rsid w:val="00711EE8"/>
    <w:rsid w:val="0071591C"/>
    <w:rsid w:val="0074395A"/>
    <w:rsid w:val="00754944"/>
    <w:rsid w:val="00770555"/>
    <w:rsid w:val="007846F1"/>
    <w:rsid w:val="00784862"/>
    <w:rsid w:val="007D3EF5"/>
    <w:rsid w:val="007D6548"/>
    <w:rsid w:val="007E545A"/>
    <w:rsid w:val="007E5FD0"/>
    <w:rsid w:val="00821E10"/>
    <w:rsid w:val="00840B54"/>
    <w:rsid w:val="008432F9"/>
    <w:rsid w:val="0084790E"/>
    <w:rsid w:val="00851073"/>
    <w:rsid w:val="00866620"/>
    <w:rsid w:val="00897AE2"/>
    <w:rsid w:val="008B5A66"/>
    <w:rsid w:val="008C23BB"/>
    <w:rsid w:val="008D38B8"/>
    <w:rsid w:val="008F055A"/>
    <w:rsid w:val="008F2563"/>
    <w:rsid w:val="00900F09"/>
    <w:rsid w:val="00923549"/>
    <w:rsid w:val="009600EA"/>
    <w:rsid w:val="00974278"/>
    <w:rsid w:val="00981007"/>
    <w:rsid w:val="00995A98"/>
    <w:rsid w:val="00997E11"/>
    <w:rsid w:val="009C07E0"/>
    <w:rsid w:val="009C635A"/>
    <w:rsid w:val="009D7299"/>
    <w:rsid w:val="009E1339"/>
    <w:rsid w:val="009E25A8"/>
    <w:rsid w:val="00A2721C"/>
    <w:rsid w:val="00A31242"/>
    <w:rsid w:val="00A45EBB"/>
    <w:rsid w:val="00A850F3"/>
    <w:rsid w:val="00AB34DF"/>
    <w:rsid w:val="00AD3ACC"/>
    <w:rsid w:val="00AE41DF"/>
    <w:rsid w:val="00B01CEC"/>
    <w:rsid w:val="00B06173"/>
    <w:rsid w:val="00B06BB0"/>
    <w:rsid w:val="00B23FC4"/>
    <w:rsid w:val="00B66098"/>
    <w:rsid w:val="00B72309"/>
    <w:rsid w:val="00B769F2"/>
    <w:rsid w:val="00B912B5"/>
    <w:rsid w:val="00BA01E7"/>
    <w:rsid w:val="00BB2289"/>
    <w:rsid w:val="00BF142F"/>
    <w:rsid w:val="00BF78D5"/>
    <w:rsid w:val="00C1376A"/>
    <w:rsid w:val="00C24CC1"/>
    <w:rsid w:val="00C415B0"/>
    <w:rsid w:val="00C42604"/>
    <w:rsid w:val="00C725B6"/>
    <w:rsid w:val="00C773A5"/>
    <w:rsid w:val="00C90A8F"/>
    <w:rsid w:val="00CA0106"/>
    <w:rsid w:val="00CB2222"/>
    <w:rsid w:val="00CE19AB"/>
    <w:rsid w:val="00CF26FF"/>
    <w:rsid w:val="00CF3064"/>
    <w:rsid w:val="00D54E23"/>
    <w:rsid w:val="00D6367A"/>
    <w:rsid w:val="00D64A45"/>
    <w:rsid w:val="00D73224"/>
    <w:rsid w:val="00D768B6"/>
    <w:rsid w:val="00D77884"/>
    <w:rsid w:val="00D83DD4"/>
    <w:rsid w:val="00D90F2C"/>
    <w:rsid w:val="00DA1911"/>
    <w:rsid w:val="00DA5C9B"/>
    <w:rsid w:val="00DB1E56"/>
    <w:rsid w:val="00DD3D23"/>
    <w:rsid w:val="00DE5362"/>
    <w:rsid w:val="00E0096A"/>
    <w:rsid w:val="00E05455"/>
    <w:rsid w:val="00E117B9"/>
    <w:rsid w:val="00E25168"/>
    <w:rsid w:val="00E5331D"/>
    <w:rsid w:val="00E5643B"/>
    <w:rsid w:val="00E579E8"/>
    <w:rsid w:val="00E82488"/>
    <w:rsid w:val="00E8384B"/>
    <w:rsid w:val="00ED09B1"/>
    <w:rsid w:val="00EE5A84"/>
    <w:rsid w:val="00EF2F2D"/>
    <w:rsid w:val="00F07AAE"/>
    <w:rsid w:val="00F421F5"/>
    <w:rsid w:val="00F4521B"/>
    <w:rsid w:val="00F67277"/>
    <w:rsid w:val="00F729C8"/>
    <w:rsid w:val="00F83EDF"/>
    <w:rsid w:val="00F8674B"/>
    <w:rsid w:val="00F87CAC"/>
    <w:rsid w:val="00F956A5"/>
    <w:rsid w:val="00F95823"/>
    <w:rsid w:val="00FA1667"/>
    <w:rsid w:val="00FB1200"/>
    <w:rsid w:val="00FB4C4F"/>
    <w:rsid w:val="00FB5F1C"/>
    <w:rsid w:val="00FC2979"/>
    <w:rsid w:val="00FF3710"/>
  </w:rsids>
  <m:mathPr>
    <m:mathFont m:val="Cambria Math"/>
    <m:brkBin m:val="before"/>
    <m:brkBinSub m:val="--"/>
    <m:smallFrac m:val="0"/>
    <m:dispDef/>
    <m:lMargin m:val="0"/>
    <m:rMargin m:val="0"/>
    <m:defJc m:val="centerGroup"/>
    <m:wrapIndent m:val="1440"/>
    <m:intLim m:val="subSup"/>
    <m:naryLim m:val="undOvr"/>
  </m:mathPr>
  <w:themeFontLang w:val="en-I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3E8D69"/>
  <w15:chartTrackingRefBased/>
  <w15:docId w15:val="{B529E763-2D6A-684A-850C-907E37450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5F1C"/>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7846F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7846F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7846F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7846F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846F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846F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846F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846F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846F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46F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7846F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7846F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7846F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846F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846F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846F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846F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846F1"/>
    <w:rPr>
      <w:rFonts w:eastAsiaTheme="majorEastAsia" w:cstheme="majorBidi"/>
      <w:color w:val="272727" w:themeColor="text1" w:themeTint="D8"/>
    </w:rPr>
  </w:style>
  <w:style w:type="paragraph" w:styleId="Title">
    <w:name w:val="Title"/>
    <w:basedOn w:val="Normal"/>
    <w:next w:val="Normal"/>
    <w:link w:val="TitleChar"/>
    <w:uiPriority w:val="10"/>
    <w:qFormat/>
    <w:rsid w:val="007846F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846F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846F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846F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846F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846F1"/>
    <w:rPr>
      <w:i/>
      <w:iCs/>
      <w:color w:val="404040" w:themeColor="text1" w:themeTint="BF"/>
    </w:rPr>
  </w:style>
  <w:style w:type="paragraph" w:styleId="ListParagraph">
    <w:name w:val="List Paragraph"/>
    <w:basedOn w:val="Normal"/>
    <w:uiPriority w:val="34"/>
    <w:qFormat/>
    <w:rsid w:val="007846F1"/>
    <w:pPr>
      <w:ind w:left="720"/>
      <w:contextualSpacing/>
    </w:pPr>
  </w:style>
  <w:style w:type="character" w:styleId="IntenseEmphasis">
    <w:name w:val="Intense Emphasis"/>
    <w:basedOn w:val="DefaultParagraphFont"/>
    <w:uiPriority w:val="21"/>
    <w:qFormat/>
    <w:rsid w:val="007846F1"/>
    <w:rPr>
      <w:i/>
      <w:iCs/>
      <w:color w:val="0F4761" w:themeColor="accent1" w:themeShade="BF"/>
    </w:rPr>
  </w:style>
  <w:style w:type="paragraph" w:styleId="IntenseQuote">
    <w:name w:val="Intense Quote"/>
    <w:basedOn w:val="Normal"/>
    <w:next w:val="Normal"/>
    <w:link w:val="IntenseQuoteChar"/>
    <w:uiPriority w:val="30"/>
    <w:qFormat/>
    <w:rsid w:val="007846F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846F1"/>
    <w:rPr>
      <w:i/>
      <w:iCs/>
      <w:color w:val="0F4761" w:themeColor="accent1" w:themeShade="BF"/>
    </w:rPr>
  </w:style>
  <w:style w:type="character" w:styleId="IntenseReference">
    <w:name w:val="Intense Reference"/>
    <w:basedOn w:val="DefaultParagraphFont"/>
    <w:uiPriority w:val="32"/>
    <w:qFormat/>
    <w:rsid w:val="007846F1"/>
    <w:rPr>
      <w:b/>
      <w:bCs/>
      <w:smallCaps/>
      <w:color w:val="0F4761" w:themeColor="accent1" w:themeShade="BF"/>
      <w:spacing w:val="5"/>
    </w:rPr>
  </w:style>
  <w:style w:type="character" w:styleId="CommentReference">
    <w:name w:val="annotation reference"/>
    <w:basedOn w:val="DefaultParagraphFont"/>
    <w:uiPriority w:val="99"/>
    <w:semiHidden/>
    <w:unhideWhenUsed/>
    <w:rsid w:val="007846F1"/>
    <w:rPr>
      <w:sz w:val="16"/>
      <w:szCs w:val="16"/>
    </w:rPr>
  </w:style>
  <w:style w:type="paragraph" w:styleId="CommentText">
    <w:name w:val="annotation text"/>
    <w:basedOn w:val="Normal"/>
    <w:link w:val="CommentTextChar"/>
    <w:uiPriority w:val="99"/>
    <w:unhideWhenUsed/>
    <w:rsid w:val="007846F1"/>
    <w:rPr>
      <w:sz w:val="20"/>
      <w:szCs w:val="20"/>
    </w:rPr>
  </w:style>
  <w:style w:type="character" w:customStyle="1" w:styleId="CommentTextChar">
    <w:name w:val="Comment Text Char"/>
    <w:basedOn w:val="DefaultParagraphFont"/>
    <w:link w:val="CommentText"/>
    <w:uiPriority w:val="99"/>
    <w:rsid w:val="007846F1"/>
    <w:rPr>
      <w:kern w:val="0"/>
      <w:sz w:val="20"/>
      <w:szCs w:val="20"/>
      <w:lang w:val="en-US"/>
      <w14:ligatures w14:val="none"/>
    </w:rPr>
  </w:style>
  <w:style w:type="character" w:styleId="Hyperlink">
    <w:name w:val="Hyperlink"/>
    <w:basedOn w:val="DefaultParagraphFont"/>
    <w:uiPriority w:val="99"/>
    <w:unhideWhenUsed/>
    <w:rsid w:val="007846F1"/>
    <w:rPr>
      <w:color w:val="467886" w:themeColor="hyperlink"/>
      <w:u w:val="single"/>
    </w:rPr>
  </w:style>
  <w:style w:type="paragraph" w:styleId="Header">
    <w:name w:val="header"/>
    <w:basedOn w:val="Normal"/>
    <w:link w:val="HeaderChar"/>
    <w:uiPriority w:val="99"/>
    <w:unhideWhenUsed/>
    <w:rsid w:val="007846F1"/>
    <w:pPr>
      <w:tabs>
        <w:tab w:val="center" w:pos="4680"/>
        <w:tab w:val="right" w:pos="9360"/>
      </w:tabs>
    </w:pPr>
  </w:style>
  <w:style w:type="character" w:customStyle="1" w:styleId="HeaderChar">
    <w:name w:val="Header Char"/>
    <w:basedOn w:val="DefaultParagraphFont"/>
    <w:link w:val="Header"/>
    <w:uiPriority w:val="99"/>
    <w:rsid w:val="007846F1"/>
    <w:rPr>
      <w:kern w:val="0"/>
      <w:sz w:val="22"/>
      <w:szCs w:val="22"/>
      <w:lang w:val="en-US"/>
      <w14:ligatures w14:val="none"/>
    </w:rPr>
  </w:style>
  <w:style w:type="paragraph" w:styleId="NormalWeb">
    <w:name w:val="Normal (Web)"/>
    <w:basedOn w:val="Normal"/>
    <w:uiPriority w:val="99"/>
    <w:unhideWhenUsed/>
    <w:rsid w:val="007846F1"/>
    <w:pPr>
      <w:spacing w:before="100" w:beforeAutospacing="1" w:after="100" w:afterAutospacing="1"/>
    </w:pPr>
  </w:style>
  <w:style w:type="paragraph" w:styleId="Footer">
    <w:name w:val="footer"/>
    <w:basedOn w:val="Normal"/>
    <w:link w:val="FooterChar"/>
    <w:uiPriority w:val="99"/>
    <w:unhideWhenUsed/>
    <w:rsid w:val="007846F1"/>
    <w:pPr>
      <w:tabs>
        <w:tab w:val="center" w:pos="4513"/>
        <w:tab w:val="right" w:pos="9026"/>
      </w:tabs>
    </w:pPr>
  </w:style>
  <w:style w:type="character" w:customStyle="1" w:styleId="FooterChar">
    <w:name w:val="Footer Char"/>
    <w:basedOn w:val="DefaultParagraphFont"/>
    <w:link w:val="Footer"/>
    <w:uiPriority w:val="99"/>
    <w:rsid w:val="007846F1"/>
    <w:rPr>
      <w:kern w:val="0"/>
      <w:sz w:val="22"/>
      <w:szCs w:val="22"/>
      <w:lang w:val="en-US"/>
      <w14:ligatures w14:val="none"/>
    </w:rPr>
  </w:style>
  <w:style w:type="character" w:styleId="Emphasis">
    <w:name w:val="Emphasis"/>
    <w:basedOn w:val="DefaultParagraphFont"/>
    <w:uiPriority w:val="20"/>
    <w:qFormat/>
    <w:rsid w:val="00E579E8"/>
    <w:rPr>
      <w:i/>
      <w:iCs/>
    </w:rPr>
  </w:style>
  <w:style w:type="paragraph" w:styleId="TOCHeading">
    <w:name w:val="TOC Heading"/>
    <w:basedOn w:val="Heading1"/>
    <w:next w:val="Normal"/>
    <w:uiPriority w:val="39"/>
    <w:unhideWhenUsed/>
    <w:qFormat/>
    <w:rsid w:val="00E579E8"/>
    <w:pPr>
      <w:spacing w:before="240" w:after="0"/>
      <w:outlineLvl w:val="9"/>
    </w:pPr>
    <w:rPr>
      <w:sz w:val="32"/>
      <w:szCs w:val="32"/>
    </w:rPr>
  </w:style>
  <w:style w:type="paragraph" w:styleId="TOC1">
    <w:name w:val="toc 1"/>
    <w:basedOn w:val="Normal"/>
    <w:next w:val="Normal"/>
    <w:autoRedefine/>
    <w:uiPriority w:val="39"/>
    <w:unhideWhenUsed/>
    <w:rsid w:val="00E579E8"/>
    <w:pPr>
      <w:spacing w:before="120" w:after="120"/>
    </w:pPr>
    <w:rPr>
      <w:rFonts w:asciiTheme="minorHAnsi" w:hAnsiTheme="minorHAnsi"/>
      <w:b/>
      <w:bCs/>
      <w:caps/>
      <w:sz w:val="20"/>
      <w:szCs w:val="20"/>
    </w:rPr>
  </w:style>
  <w:style w:type="paragraph" w:styleId="TOC2">
    <w:name w:val="toc 2"/>
    <w:basedOn w:val="Normal"/>
    <w:next w:val="Normal"/>
    <w:autoRedefine/>
    <w:uiPriority w:val="39"/>
    <w:unhideWhenUsed/>
    <w:rsid w:val="00E579E8"/>
    <w:pPr>
      <w:ind w:left="240"/>
    </w:pPr>
    <w:rPr>
      <w:rFonts w:asciiTheme="minorHAnsi" w:hAnsiTheme="minorHAnsi"/>
      <w:smallCaps/>
      <w:sz w:val="20"/>
      <w:szCs w:val="20"/>
    </w:rPr>
  </w:style>
  <w:style w:type="paragraph" w:styleId="TOC3">
    <w:name w:val="toc 3"/>
    <w:basedOn w:val="Normal"/>
    <w:next w:val="Normal"/>
    <w:autoRedefine/>
    <w:uiPriority w:val="39"/>
    <w:unhideWhenUsed/>
    <w:rsid w:val="00E579E8"/>
    <w:pPr>
      <w:ind w:left="480"/>
    </w:pPr>
    <w:rPr>
      <w:rFonts w:asciiTheme="minorHAnsi" w:hAnsiTheme="minorHAnsi"/>
      <w:i/>
      <w:iCs/>
      <w:sz w:val="20"/>
      <w:szCs w:val="20"/>
    </w:rPr>
  </w:style>
  <w:style w:type="character" w:customStyle="1" w:styleId="ref-journal">
    <w:name w:val="ref-journal"/>
    <w:basedOn w:val="DefaultParagraphFont"/>
    <w:rsid w:val="00E579E8"/>
  </w:style>
  <w:style w:type="character" w:styleId="UnresolvedMention">
    <w:name w:val="Unresolved Mention"/>
    <w:basedOn w:val="DefaultParagraphFont"/>
    <w:uiPriority w:val="99"/>
    <w:unhideWhenUsed/>
    <w:rsid w:val="00E579E8"/>
    <w:rPr>
      <w:color w:val="605E5C"/>
      <w:shd w:val="clear" w:color="auto" w:fill="E1DFDD"/>
    </w:rPr>
  </w:style>
  <w:style w:type="paragraph" w:styleId="Revision">
    <w:name w:val="Revision"/>
    <w:hidden/>
    <w:uiPriority w:val="99"/>
    <w:semiHidden/>
    <w:rsid w:val="00E579E8"/>
    <w:rPr>
      <w:sz w:val="22"/>
      <w:szCs w:val="22"/>
    </w:rPr>
  </w:style>
  <w:style w:type="character" w:customStyle="1" w:styleId="apple-converted-space">
    <w:name w:val="apple-converted-space"/>
    <w:basedOn w:val="DefaultParagraphFont"/>
    <w:rsid w:val="00E579E8"/>
  </w:style>
  <w:style w:type="table" w:styleId="TableGrid">
    <w:name w:val="Table Grid"/>
    <w:basedOn w:val="TableNormal"/>
    <w:uiPriority w:val="39"/>
    <w:rsid w:val="009D72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xxxxcontentpasted5">
    <w:name w:val="x_xxxcontentpasted5"/>
    <w:basedOn w:val="DefaultParagraphFont"/>
    <w:rsid w:val="009600EA"/>
  </w:style>
  <w:style w:type="paragraph" w:customStyle="1" w:styleId="xxxxmsonormal">
    <w:name w:val="x_xxxmsonormal"/>
    <w:basedOn w:val="Normal"/>
    <w:rsid w:val="009600EA"/>
    <w:pPr>
      <w:spacing w:before="100" w:beforeAutospacing="1" w:after="100" w:afterAutospacing="1"/>
    </w:pPr>
    <w:rPr>
      <w:lang w:val="en-GB"/>
    </w:rPr>
  </w:style>
  <w:style w:type="character" w:styleId="FollowedHyperlink">
    <w:name w:val="FollowedHyperlink"/>
    <w:basedOn w:val="DefaultParagraphFont"/>
    <w:uiPriority w:val="99"/>
    <w:semiHidden/>
    <w:unhideWhenUsed/>
    <w:rsid w:val="009600EA"/>
    <w:rPr>
      <w:color w:val="96607D" w:themeColor="followedHyperlink"/>
      <w:u w:val="single"/>
    </w:rPr>
  </w:style>
  <w:style w:type="paragraph" w:styleId="CommentSubject">
    <w:name w:val="annotation subject"/>
    <w:basedOn w:val="CommentText"/>
    <w:next w:val="CommentText"/>
    <w:link w:val="CommentSubjectChar"/>
    <w:uiPriority w:val="99"/>
    <w:semiHidden/>
    <w:unhideWhenUsed/>
    <w:rsid w:val="009600EA"/>
    <w:rPr>
      <w:b/>
      <w:bCs/>
      <w:kern w:val="2"/>
      <w:lang w:val="en-GB"/>
      <w14:ligatures w14:val="standardContextual"/>
    </w:rPr>
  </w:style>
  <w:style w:type="character" w:customStyle="1" w:styleId="CommentSubjectChar">
    <w:name w:val="Comment Subject Char"/>
    <w:basedOn w:val="CommentTextChar"/>
    <w:link w:val="CommentSubject"/>
    <w:uiPriority w:val="99"/>
    <w:semiHidden/>
    <w:rsid w:val="009600EA"/>
    <w:rPr>
      <w:b/>
      <w:bCs/>
      <w:kern w:val="0"/>
      <w:sz w:val="20"/>
      <w:szCs w:val="20"/>
      <w:lang w:val="en-GB"/>
      <w14:ligatures w14:val="none"/>
    </w:rPr>
  </w:style>
  <w:style w:type="paragraph" w:customStyle="1" w:styleId="Default">
    <w:name w:val="Default"/>
    <w:rsid w:val="0018397F"/>
    <w:pPr>
      <w:autoSpaceDE w:val="0"/>
      <w:autoSpaceDN w:val="0"/>
      <w:adjustRightInd w:val="0"/>
    </w:pPr>
    <w:rPr>
      <w:rFonts w:ascii="Roboto" w:eastAsia="Times New Roman" w:hAnsi="Roboto" w:cs="Roboto"/>
      <w:color w:val="000000"/>
      <w:kern w:val="0"/>
      <w:lang w:val="en-GB" w:eastAsia="en-GB"/>
      <w14:ligatures w14:val="none"/>
    </w:rPr>
  </w:style>
  <w:style w:type="character" w:customStyle="1" w:styleId="authorname">
    <w:name w:val="authorname"/>
    <w:basedOn w:val="DefaultParagraphFont"/>
    <w:rsid w:val="0018397F"/>
    <w:rPr>
      <w:rFonts w:cs="Times New Roman"/>
    </w:rPr>
  </w:style>
  <w:style w:type="character" w:customStyle="1" w:styleId="arttitle">
    <w:name w:val="art_title"/>
    <w:basedOn w:val="DefaultParagraphFont"/>
    <w:rsid w:val="0018397F"/>
    <w:rPr>
      <w:rFonts w:cs="Times New Roman"/>
    </w:rPr>
  </w:style>
  <w:style w:type="character" w:customStyle="1" w:styleId="serialtitle">
    <w:name w:val="serial_title"/>
    <w:basedOn w:val="DefaultParagraphFont"/>
    <w:rsid w:val="0018397F"/>
    <w:rPr>
      <w:rFonts w:cs="Times New Roman"/>
    </w:rPr>
  </w:style>
  <w:style w:type="character" w:customStyle="1" w:styleId="doilink">
    <w:name w:val="doi_link"/>
    <w:basedOn w:val="DefaultParagraphFont"/>
    <w:rsid w:val="0018397F"/>
    <w:rPr>
      <w:rFonts w:cs="Times New Roman"/>
    </w:rPr>
  </w:style>
  <w:style w:type="character" w:customStyle="1" w:styleId="author">
    <w:name w:val="author"/>
    <w:basedOn w:val="DefaultParagraphFont"/>
    <w:rsid w:val="0018397F"/>
  </w:style>
  <w:style w:type="character" w:customStyle="1" w:styleId="pubyear">
    <w:name w:val="pubyear"/>
    <w:basedOn w:val="DefaultParagraphFont"/>
    <w:rsid w:val="0018397F"/>
  </w:style>
  <w:style w:type="character" w:customStyle="1" w:styleId="articletitle">
    <w:name w:val="articletitle"/>
    <w:basedOn w:val="DefaultParagraphFont"/>
    <w:rsid w:val="0018397F"/>
  </w:style>
  <w:style w:type="character" w:customStyle="1" w:styleId="vol">
    <w:name w:val="vol"/>
    <w:basedOn w:val="DefaultParagraphFont"/>
    <w:rsid w:val="0018397F"/>
  </w:style>
  <w:style w:type="character" w:customStyle="1" w:styleId="citedissue">
    <w:name w:val="citedissue"/>
    <w:basedOn w:val="DefaultParagraphFont"/>
    <w:rsid w:val="0018397F"/>
  </w:style>
  <w:style w:type="character" w:customStyle="1" w:styleId="pagefirst">
    <w:name w:val="pagefirst"/>
    <w:basedOn w:val="DefaultParagraphFont"/>
    <w:rsid w:val="0018397F"/>
  </w:style>
  <w:style w:type="character" w:customStyle="1" w:styleId="pagelast">
    <w:name w:val="pagelast"/>
    <w:basedOn w:val="DefaultParagraphFont"/>
    <w:rsid w:val="0018397F"/>
  </w:style>
  <w:style w:type="character" w:customStyle="1" w:styleId="reflink-main">
    <w:name w:val="reflink-main"/>
    <w:basedOn w:val="DefaultParagraphFont"/>
    <w:rsid w:val="0018397F"/>
  </w:style>
  <w:style w:type="character" w:customStyle="1" w:styleId="authors">
    <w:name w:val="authors"/>
    <w:basedOn w:val="DefaultParagraphFont"/>
    <w:rsid w:val="0018397F"/>
  </w:style>
  <w:style w:type="character" w:customStyle="1" w:styleId="reflink-author">
    <w:name w:val="reflink-author"/>
    <w:basedOn w:val="DefaultParagraphFont"/>
    <w:rsid w:val="0018397F"/>
  </w:style>
  <w:style w:type="character" w:customStyle="1" w:styleId="elife-reflink-title">
    <w:name w:val="elife-reflink-title"/>
    <w:basedOn w:val="DefaultParagraphFont"/>
    <w:rsid w:val="0018397F"/>
  </w:style>
  <w:style w:type="character" w:customStyle="1" w:styleId="nlm-source">
    <w:name w:val="nlm-source"/>
    <w:basedOn w:val="DefaultParagraphFont"/>
    <w:rsid w:val="0018397F"/>
  </w:style>
  <w:style w:type="character" w:customStyle="1" w:styleId="reflink-details-pub-loc">
    <w:name w:val="reflink-details-pub-loc"/>
    <w:basedOn w:val="DefaultParagraphFont"/>
    <w:rsid w:val="0018397F"/>
  </w:style>
  <w:style w:type="character" w:customStyle="1" w:styleId="nlm-publisher-loc">
    <w:name w:val="nlm-publisher-loc"/>
    <w:basedOn w:val="DefaultParagraphFont"/>
    <w:rsid w:val="0018397F"/>
  </w:style>
  <w:style w:type="character" w:customStyle="1" w:styleId="reflink-details-pub-name">
    <w:name w:val="reflink-details-pub-name"/>
    <w:basedOn w:val="DefaultParagraphFont"/>
    <w:rsid w:val="0018397F"/>
  </w:style>
  <w:style w:type="character" w:customStyle="1" w:styleId="nlm-publisher-name">
    <w:name w:val="nlm-publisher-name"/>
    <w:basedOn w:val="DefaultParagraphFont"/>
    <w:rsid w:val="0018397F"/>
  </w:style>
  <w:style w:type="character" w:customStyle="1" w:styleId="reflink-details-year">
    <w:name w:val="reflink-details-year"/>
    <w:basedOn w:val="DefaultParagraphFont"/>
    <w:rsid w:val="0018397F"/>
  </w:style>
  <w:style w:type="character" w:customStyle="1" w:styleId="reflink-details-doi">
    <w:name w:val="reflink-details-doi"/>
    <w:basedOn w:val="DefaultParagraphFont"/>
    <w:rsid w:val="0018397F"/>
  </w:style>
  <w:style w:type="paragraph" w:customStyle="1" w:styleId="dx-doi">
    <w:name w:val="dx-doi"/>
    <w:basedOn w:val="Normal"/>
    <w:rsid w:val="0018397F"/>
    <w:pPr>
      <w:spacing w:before="100" w:beforeAutospacing="1" w:after="100" w:afterAutospacing="1"/>
    </w:pPr>
    <w:rPr>
      <w:lang w:val="en-GB"/>
    </w:rPr>
  </w:style>
  <w:style w:type="paragraph" w:customStyle="1" w:styleId="xmsonormal">
    <w:name w:val="x_msonormal"/>
    <w:basedOn w:val="Normal"/>
    <w:rsid w:val="00D64A45"/>
    <w:rPr>
      <w:rFonts w:ascii="Calibri" w:eastAsiaTheme="minorHAnsi" w:hAnsi="Calibri" w:cs="Calibri"/>
      <w:sz w:val="22"/>
      <w:szCs w:val="22"/>
    </w:rPr>
  </w:style>
  <w:style w:type="paragraph" w:styleId="FootnoteText">
    <w:name w:val="footnote text"/>
    <w:basedOn w:val="Normal"/>
    <w:link w:val="FootnoteTextChar"/>
    <w:uiPriority w:val="99"/>
    <w:semiHidden/>
    <w:unhideWhenUsed/>
    <w:rsid w:val="00D64A45"/>
    <w:rPr>
      <w:rFonts w:asciiTheme="minorHAnsi" w:eastAsiaTheme="minorHAnsi" w:hAnsiTheme="minorHAnsi" w:cstheme="minorBidi"/>
      <w:kern w:val="2"/>
      <w:sz w:val="20"/>
      <w:szCs w:val="20"/>
      <w:lang w:eastAsia="en-US"/>
      <w14:ligatures w14:val="standardContextual"/>
    </w:rPr>
  </w:style>
  <w:style w:type="character" w:customStyle="1" w:styleId="FootnoteTextChar">
    <w:name w:val="Footnote Text Char"/>
    <w:basedOn w:val="DefaultParagraphFont"/>
    <w:link w:val="FootnoteText"/>
    <w:uiPriority w:val="99"/>
    <w:semiHidden/>
    <w:rsid w:val="00D64A45"/>
    <w:rPr>
      <w:sz w:val="20"/>
      <w:szCs w:val="20"/>
    </w:rPr>
  </w:style>
  <w:style w:type="character" w:styleId="FootnoteReference">
    <w:name w:val="footnote reference"/>
    <w:basedOn w:val="DefaultParagraphFont"/>
    <w:uiPriority w:val="99"/>
    <w:semiHidden/>
    <w:unhideWhenUsed/>
    <w:rsid w:val="00D64A45"/>
    <w:rPr>
      <w:vertAlign w:val="superscript"/>
    </w:rPr>
  </w:style>
  <w:style w:type="character" w:customStyle="1" w:styleId="hgkelc">
    <w:name w:val="hgkelc"/>
    <w:basedOn w:val="DefaultParagraphFont"/>
    <w:rsid w:val="00D64A45"/>
  </w:style>
  <w:style w:type="character" w:customStyle="1" w:styleId="BodyTextRSChar">
    <w:name w:val="Body Text RS Char"/>
    <w:link w:val="BodyTextRS"/>
    <w:locked/>
    <w:rsid w:val="003267A1"/>
    <w:rPr>
      <w:rFonts w:ascii="Calibri" w:hAnsi="Calibri" w:cs="Calibri"/>
      <w:lang w:val="en-GB" w:eastAsia="de-DE"/>
    </w:rPr>
  </w:style>
  <w:style w:type="paragraph" w:customStyle="1" w:styleId="BodyTextRS">
    <w:name w:val="Body Text RS"/>
    <w:basedOn w:val="Normal"/>
    <w:link w:val="BodyTextRSChar"/>
    <w:qFormat/>
    <w:rsid w:val="003267A1"/>
    <w:pPr>
      <w:widowControl w:val="0"/>
      <w:autoSpaceDE w:val="0"/>
      <w:autoSpaceDN w:val="0"/>
      <w:adjustRightInd w:val="0"/>
      <w:spacing w:after="360" w:line="288" w:lineRule="auto"/>
      <w:ind w:left="851" w:right="851"/>
      <w:jc w:val="both"/>
    </w:pPr>
    <w:rPr>
      <w:rFonts w:ascii="Calibri" w:eastAsiaTheme="minorHAnsi" w:hAnsi="Calibri" w:cs="Calibri"/>
      <w:kern w:val="2"/>
      <w:lang w:val="en-GB" w:eastAsia="de-DE"/>
      <w14:ligatures w14:val="standardContextual"/>
    </w:rPr>
  </w:style>
  <w:style w:type="character" w:customStyle="1" w:styleId="FiguretitleChar">
    <w:name w:val="Figure title Char"/>
    <w:basedOn w:val="DefaultParagraphFont"/>
    <w:link w:val="Figuretitle"/>
    <w:locked/>
    <w:rsid w:val="003267A1"/>
    <w:rPr>
      <w:rFonts w:ascii="Calibri" w:eastAsia="Times New Roman" w:hAnsi="Calibri" w:cs="Times New Roman"/>
      <w:b/>
      <w:caps/>
      <w:color w:val="1F355E"/>
      <w:sz w:val="20"/>
      <w:szCs w:val="18"/>
      <w:lang w:val="en-GB"/>
    </w:rPr>
  </w:style>
  <w:style w:type="paragraph" w:customStyle="1" w:styleId="Figuretitle">
    <w:name w:val="Figure title"/>
    <w:basedOn w:val="Caption"/>
    <w:link w:val="FiguretitleChar"/>
    <w:qFormat/>
    <w:rsid w:val="003267A1"/>
    <w:pPr>
      <w:keepNext/>
      <w:pBdr>
        <w:bottom w:val="single" w:sz="12" w:space="1" w:color="0F4761" w:themeColor="accent1" w:themeShade="BF"/>
      </w:pBdr>
      <w:autoSpaceDE w:val="0"/>
      <w:autoSpaceDN w:val="0"/>
      <w:adjustRightInd w:val="0"/>
      <w:spacing w:before="180" w:after="120"/>
      <w:ind w:left="1134" w:hanging="1134"/>
      <w:jc w:val="both"/>
    </w:pPr>
    <w:rPr>
      <w:rFonts w:ascii="Calibri" w:hAnsi="Calibri"/>
      <w:b/>
      <w:i w:val="0"/>
      <w:iCs w:val="0"/>
      <w:caps/>
      <w:color w:val="1F355E"/>
      <w:kern w:val="2"/>
      <w:sz w:val="20"/>
      <w:lang w:val="en-GB" w:eastAsia="en-US"/>
      <w14:ligatures w14:val="standardContextual"/>
    </w:rPr>
  </w:style>
  <w:style w:type="character" w:customStyle="1" w:styleId="ESRIQuoteChar">
    <w:name w:val="ESRIQuote Char"/>
    <w:basedOn w:val="DefaultParagraphFont"/>
    <w:link w:val="ESRIQuote"/>
    <w:locked/>
    <w:rsid w:val="003267A1"/>
    <w:rPr>
      <w:rFonts w:ascii="Calibri" w:eastAsia="Times New Roman" w:hAnsi="Calibri" w:cs="Times New Roman"/>
      <w:i/>
      <w:szCs w:val="20"/>
      <w:lang w:val="en-GB"/>
    </w:rPr>
  </w:style>
  <w:style w:type="paragraph" w:customStyle="1" w:styleId="ESRIQuote">
    <w:name w:val="ESRIQuote"/>
    <w:basedOn w:val="Normal"/>
    <w:link w:val="ESRIQuoteChar"/>
    <w:qFormat/>
    <w:rsid w:val="003267A1"/>
    <w:pPr>
      <w:autoSpaceDE w:val="0"/>
      <w:autoSpaceDN w:val="0"/>
      <w:adjustRightInd w:val="0"/>
      <w:spacing w:after="120" w:line="288" w:lineRule="auto"/>
      <w:ind w:left="1418" w:right="1418"/>
      <w:jc w:val="both"/>
    </w:pPr>
    <w:rPr>
      <w:rFonts w:ascii="Calibri" w:hAnsi="Calibri"/>
      <w:i/>
      <w:kern w:val="2"/>
      <w:szCs w:val="20"/>
      <w:lang w:val="en-GB" w:eastAsia="en-US"/>
      <w14:ligatures w14:val="standardContextual"/>
    </w:rPr>
  </w:style>
  <w:style w:type="paragraph" w:styleId="Caption">
    <w:name w:val="caption"/>
    <w:basedOn w:val="Normal"/>
    <w:next w:val="Normal"/>
    <w:uiPriority w:val="35"/>
    <w:semiHidden/>
    <w:unhideWhenUsed/>
    <w:qFormat/>
    <w:rsid w:val="003267A1"/>
    <w:pPr>
      <w:spacing w:after="200"/>
    </w:pPr>
    <w:rPr>
      <w:i/>
      <w:iCs/>
      <w:color w:val="0E2841" w:themeColor="text2"/>
      <w:sz w:val="18"/>
      <w:szCs w:val="18"/>
    </w:rPr>
  </w:style>
  <w:style w:type="paragraph" w:styleId="TOC4">
    <w:name w:val="toc 4"/>
    <w:basedOn w:val="Normal"/>
    <w:next w:val="Normal"/>
    <w:autoRedefine/>
    <w:uiPriority w:val="39"/>
    <w:semiHidden/>
    <w:unhideWhenUsed/>
    <w:rsid w:val="00D90F2C"/>
    <w:pPr>
      <w:ind w:left="720"/>
    </w:pPr>
    <w:rPr>
      <w:rFonts w:asciiTheme="minorHAnsi" w:hAnsiTheme="minorHAnsi"/>
      <w:sz w:val="18"/>
      <w:szCs w:val="18"/>
    </w:rPr>
  </w:style>
  <w:style w:type="paragraph" w:styleId="TOC5">
    <w:name w:val="toc 5"/>
    <w:basedOn w:val="Normal"/>
    <w:next w:val="Normal"/>
    <w:autoRedefine/>
    <w:uiPriority w:val="39"/>
    <w:semiHidden/>
    <w:unhideWhenUsed/>
    <w:rsid w:val="00D90F2C"/>
    <w:pPr>
      <w:ind w:left="960"/>
    </w:pPr>
    <w:rPr>
      <w:rFonts w:asciiTheme="minorHAnsi" w:hAnsiTheme="minorHAnsi"/>
      <w:sz w:val="18"/>
      <w:szCs w:val="18"/>
    </w:rPr>
  </w:style>
  <w:style w:type="paragraph" w:styleId="TOC6">
    <w:name w:val="toc 6"/>
    <w:basedOn w:val="Normal"/>
    <w:next w:val="Normal"/>
    <w:autoRedefine/>
    <w:uiPriority w:val="39"/>
    <w:semiHidden/>
    <w:unhideWhenUsed/>
    <w:rsid w:val="00D90F2C"/>
    <w:pPr>
      <w:ind w:left="1200"/>
    </w:pPr>
    <w:rPr>
      <w:rFonts w:asciiTheme="minorHAnsi" w:hAnsiTheme="minorHAnsi"/>
      <w:sz w:val="18"/>
      <w:szCs w:val="18"/>
    </w:rPr>
  </w:style>
  <w:style w:type="paragraph" w:styleId="TOC7">
    <w:name w:val="toc 7"/>
    <w:basedOn w:val="Normal"/>
    <w:next w:val="Normal"/>
    <w:autoRedefine/>
    <w:uiPriority w:val="39"/>
    <w:semiHidden/>
    <w:unhideWhenUsed/>
    <w:rsid w:val="00D90F2C"/>
    <w:pPr>
      <w:ind w:left="1440"/>
    </w:pPr>
    <w:rPr>
      <w:rFonts w:asciiTheme="minorHAnsi" w:hAnsiTheme="minorHAnsi"/>
      <w:sz w:val="18"/>
      <w:szCs w:val="18"/>
    </w:rPr>
  </w:style>
  <w:style w:type="paragraph" w:styleId="TOC8">
    <w:name w:val="toc 8"/>
    <w:basedOn w:val="Normal"/>
    <w:next w:val="Normal"/>
    <w:autoRedefine/>
    <w:uiPriority w:val="39"/>
    <w:semiHidden/>
    <w:unhideWhenUsed/>
    <w:rsid w:val="00D90F2C"/>
    <w:pPr>
      <w:ind w:left="1680"/>
    </w:pPr>
    <w:rPr>
      <w:rFonts w:asciiTheme="minorHAnsi" w:hAnsiTheme="minorHAnsi"/>
      <w:sz w:val="18"/>
      <w:szCs w:val="18"/>
    </w:rPr>
  </w:style>
  <w:style w:type="paragraph" w:styleId="TOC9">
    <w:name w:val="toc 9"/>
    <w:basedOn w:val="Normal"/>
    <w:next w:val="Normal"/>
    <w:autoRedefine/>
    <w:uiPriority w:val="39"/>
    <w:semiHidden/>
    <w:unhideWhenUsed/>
    <w:rsid w:val="00D90F2C"/>
    <w:pPr>
      <w:ind w:left="1920"/>
    </w:pPr>
    <w:rPr>
      <w:rFonts w:asciiTheme="minorHAnsi" w:hAnsiTheme="minorHAnsi"/>
      <w:sz w:val="18"/>
      <w:szCs w:val="18"/>
    </w:rPr>
  </w:style>
  <w:style w:type="paragraph" w:customStyle="1" w:styleId="EndNoteBibliography">
    <w:name w:val="EndNote Bibliography"/>
    <w:basedOn w:val="Normal"/>
    <w:link w:val="EndNoteBibliographyChar"/>
    <w:rsid w:val="00AE41DF"/>
    <w:pPr>
      <w:spacing w:after="200" w:line="360" w:lineRule="auto"/>
      <w:ind w:firstLine="720"/>
    </w:pPr>
    <w:rPr>
      <w:rFonts w:ascii="Calibri" w:hAnsi="Calibri"/>
      <w:noProof/>
      <w:sz w:val="22"/>
      <w:szCs w:val="22"/>
      <w:lang w:val="en-US" w:eastAsia="en-US"/>
    </w:rPr>
  </w:style>
  <w:style w:type="character" w:customStyle="1" w:styleId="EndNoteBibliographyChar">
    <w:name w:val="EndNote Bibliography Char"/>
    <w:link w:val="EndNoteBibliography"/>
    <w:locked/>
    <w:rsid w:val="00AE41DF"/>
    <w:rPr>
      <w:rFonts w:ascii="Calibri" w:eastAsia="Times New Roman" w:hAnsi="Calibri" w:cs="Times New Roman"/>
      <w:noProof/>
      <w:kern w:val="0"/>
      <w:sz w:val="22"/>
      <w:szCs w:val="22"/>
      <w:lang w:val="en-US"/>
      <w14:ligatures w14:val="none"/>
    </w:rPr>
  </w:style>
  <w:style w:type="paragraph" w:styleId="NoSpacing">
    <w:name w:val="No Spacing"/>
    <w:uiPriority w:val="1"/>
    <w:qFormat/>
    <w:rsid w:val="006A06D1"/>
  </w:style>
  <w:style w:type="paragraph" w:styleId="Bibliography">
    <w:name w:val="Bibliography"/>
    <w:basedOn w:val="Normal"/>
    <w:next w:val="Normal"/>
    <w:uiPriority w:val="37"/>
    <w:unhideWhenUsed/>
    <w:rsid w:val="006A06D1"/>
    <w:rPr>
      <w:rFonts w:asciiTheme="minorHAnsi" w:eastAsiaTheme="minorHAnsi" w:hAnsiTheme="minorHAnsi" w:cstheme="minorBidi"/>
      <w:kern w:val="2"/>
      <w:lang w:eastAsia="en-US"/>
      <w14:ligatures w14:val="standardContextual"/>
    </w:rPr>
  </w:style>
  <w:style w:type="character" w:styleId="Strong">
    <w:name w:val="Strong"/>
    <w:basedOn w:val="DefaultParagraphFont"/>
    <w:uiPriority w:val="22"/>
    <w:qFormat/>
    <w:rsid w:val="006A06D1"/>
    <w:rPr>
      <w:b/>
      <w:bCs/>
    </w:rPr>
  </w:style>
  <w:style w:type="character" w:customStyle="1" w:styleId="eop">
    <w:name w:val="eop"/>
    <w:basedOn w:val="DefaultParagraphFont"/>
    <w:uiPriority w:val="1"/>
    <w:rsid w:val="002978A1"/>
    <w:rPr>
      <w:rFonts w:asciiTheme="minorHAnsi" w:eastAsiaTheme="minorEastAsia" w:hAnsiTheme="minorHAnsi" w:cs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957946">
      <w:bodyDiv w:val="1"/>
      <w:marLeft w:val="0"/>
      <w:marRight w:val="0"/>
      <w:marTop w:val="0"/>
      <w:marBottom w:val="0"/>
      <w:divBdr>
        <w:top w:val="none" w:sz="0" w:space="0" w:color="auto"/>
        <w:left w:val="none" w:sz="0" w:space="0" w:color="auto"/>
        <w:bottom w:val="none" w:sz="0" w:space="0" w:color="auto"/>
        <w:right w:val="none" w:sz="0" w:space="0" w:color="auto"/>
      </w:divBdr>
    </w:div>
    <w:div w:id="112679622">
      <w:bodyDiv w:val="1"/>
      <w:marLeft w:val="0"/>
      <w:marRight w:val="0"/>
      <w:marTop w:val="0"/>
      <w:marBottom w:val="0"/>
      <w:divBdr>
        <w:top w:val="none" w:sz="0" w:space="0" w:color="auto"/>
        <w:left w:val="none" w:sz="0" w:space="0" w:color="auto"/>
        <w:bottom w:val="none" w:sz="0" w:space="0" w:color="auto"/>
        <w:right w:val="none" w:sz="0" w:space="0" w:color="auto"/>
      </w:divBdr>
    </w:div>
    <w:div w:id="145558889">
      <w:bodyDiv w:val="1"/>
      <w:marLeft w:val="0"/>
      <w:marRight w:val="0"/>
      <w:marTop w:val="0"/>
      <w:marBottom w:val="0"/>
      <w:divBdr>
        <w:top w:val="none" w:sz="0" w:space="0" w:color="auto"/>
        <w:left w:val="none" w:sz="0" w:space="0" w:color="auto"/>
        <w:bottom w:val="none" w:sz="0" w:space="0" w:color="auto"/>
        <w:right w:val="none" w:sz="0" w:space="0" w:color="auto"/>
      </w:divBdr>
      <w:divsChild>
        <w:div w:id="496768702">
          <w:marLeft w:val="0"/>
          <w:marRight w:val="0"/>
          <w:marTop w:val="0"/>
          <w:marBottom w:val="0"/>
          <w:divBdr>
            <w:top w:val="none" w:sz="0" w:space="0" w:color="auto"/>
            <w:left w:val="none" w:sz="0" w:space="0" w:color="auto"/>
            <w:bottom w:val="none" w:sz="0" w:space="0" w:color="auto"/>
            <w:right w:val="none" w:sz="0" w:space="0" w:color="auto"/>
          </w:divBdr>
          <w:divsChild>
            <w:div w:id="43215640">
              <w:marLeft w:val="0"/>
              <w:marRight w:val="0"/>
              <w:marTop w:val="0"/>
              <w:marBottom w:val="0"/>
              <w:divBdr>
                <w:top w:val="none" w:sz="0" w:space="0" w:color="auto"/>
                <w:left w:val="none" w:sz="0" w:space="0" w:color="auto"/>
                <w:bottom w:val="none" w:sz="0" w:space="0" w:color="auto"/>
                <w:right w:val="none" w:sz="0" w:space="0" w:color="auto"/>
              </w:divBdr>
              <w:divsChild>
                <w:div w:id="2018386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20321">
      <w:bodyDiv w:val="1"/>
      <w:marLeft w:val="0"/>
      <w:marRight w:val="0"/>
      <w:marTop w:val="0"/>
      <w:marBottom w:val="0"/>
      <w:divBdr>
        <w:top w:val="none" w:sz="0" w:space="0" w:color="auto"/>
        <w:left w:val="none" w:sz="0" w:space="0" w:color="auto"/>
        <w:bottom w:val="none" w:sz="0" w:space="0" w:color="auto"/>
        <w:right w:val="none" w:sz="0" w:space="0" w:color="auto"/>
      </w:divBdr>
    </w:div>
    <w:div w:id="289559527">
      <w:bodyDiv w:val="1"/>
      <w:marLeft w:val="0"/>
      <w:marRight w:val="0"/>
      <w:marTop w:val="0"/>
      <w:marBottom w:val="0"/>
      <w:divBdr>
        <w:top w:val="none" w:sz="0" w:space="0" w:color="auto"/>
        <w:left w:val="none" w:sz="0" w:space="0" w:color="auto"/>
        <w:bottom w:val="none" w:sz="0" w:space="0" w:color="auto"/>
        <w:right w:val="none" w:sz="0" w:space="0" w:color="auto"/>
      </w:divBdr>
    </w:div>
    <w:div w:id="289669378">
      <w:bodyDiv w:val="1"/>
      <w:marLeft w:val="0"/>
      <w:marRight w:val="0"/>
      <w:marTop w:val="0"/>
      <w:marBottom w:val="0"/>
      <w:divBdr>
        <w:top w:val="none" w:sz="0" w:space="0" w:color="auto"/>
        <w:left w:val="none" w:sz="0" w:space="0" w:color="auto"/>
        <w:bottom w:val="none" w:sz="0" w:space="0" w:color="auto"/>
        <w:right w:val="none" w:sz="0" w:space="0" w:color="auto"/>
      </w:divBdr>
      <w:divsChild>
        <w:div w:id="752626938">
          <w:marLeft w:val="0"/>
          <w:marRight w:val="0"/>
          <w:marTop w:val="0"/>
          <w:marBottom w:val="0"/>
          <w:divBdr>
            <w:top w:val="none" w:sz="0" w:space="0" w:color="auto"/>
            <w:left w:val="none" w:sz="0" w:space="0" w:color="auto"/>
            <w:bottom w:val="none" w:sz="0" w:space="0" w:color="auto"/>
            <w:right w:val="none" w:sz="0" w:space="0" w:color="auto"/>
          </w:divBdr>
          <w:divsChild>
            <w:div w:id="1832868581">
              <w:marLeft w:val="0"/>
              <w:marRight w:val="0"/>
              <w:marTop w:val="0"/>
              <w:marBottom w:val="0"/>
              <w:divBdr>
                <w:top w:val="none" w:sz="0" w:space="0" w:color="auto"/>
                <w:left w:val="none" w:sz="0" w:space="0" w:color="auto"/>
                <w:bottom w:val="none" w:sz="0" w:space="0" w:color="auto"/>
                <w:right w:val="none" w:sz="0" w:space="0" w:color="auto"/>
              </w:divBdr>
              <w:divsChild>
                <w:div w:id="702051756">
                  <w:marLeft w:val="0"/>
                  <w:marRight w:val="0"/>
                  <w:marTop w:val="0"/>
                  <w:marBottom w:val="0"/>
                  <w:divBdr>
                    <w:top w:val="none" w:sz="0" w:space="0" w:color="auto"/>
                    <w:left w:val="none" w:sz="0" w:space="0" w:color="auto"/>
                    <w:bottom w:val="none" w:sz="0" w:space="0" w:color="auto"/>
                    <w:right w:val="none" w:sz="0" w:space="0" w:color="auto"/>
                  </w:divBdr>
                  <w:divsChild>
                    <w:div w:id="428548469">
                      <w:marLeft w:val="0"/>
                      <w:marRight w:val="0"/>
                      <w:marTop w:val="0"/>
                      <w:marBottom w:val="0"/>
                      <w:divBdr>
                        <w:top w:val="none" w:sz="0" w:space="0" w:color="auto"/>
                        <w:left w:val="none" w:sz="0" w:space="0" w:color="auto"/>
                        <w:bottom w:val="none" w:sz="0" w:space="0" w:color="auto"/>
                        <w:right w:val="none" w:sz="0" w:space="0" w:color="auto"/>
                      </w:divBdr>
                      <w:divsChild>
                        <w:div w:id="1977907479">
                          <w:marLeft w:val="0"/>
                          <w:marRight w:val="0"/>
                          <w:marTop w:val="0"/>
                          <w:marBottom w:val="0"/>
                          <w:divBdr>
                            <w:top w:val="none" w:sz="0" w:space="0" w:color="auto"/>
                            <w:left w:val="none" w:sz="0" w:space="0" w:color="auto"/>
                            <w:bottom w:val="none" w:sz="0" w:space="0" w:color="auto"/>
                            <w:right w:val="none" w:sz="0" w:space="0" w:color="auto"/>
                          </w:divBdr>
                          <w:divsChild>
                            <w:div w:id="188667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5720424">
      <w:bodyDiv w:val="1"/>
      <w:marLeft w:val="0"/>
      <w:marRight w:val="0"/>
      <w:marTop w:val="0"/>
      <w:marBottom w:val="0"/>
      <w:divBdr>
        <w:top w:val="none" w:sz="0" w:space="0" w:color="auto"/>
        <w:left w:val="none" w:sz="0" w:space="0" w:color="auto"/>
        <w:bottom w:val="none" w:sz="0" w:space="0" w:color="auto"/>
        <w:right w:val="none" w:sz="0" w:space="0" w:color="auto"/>
      </w:divBdr>
    </w:div>
    <w:div w:id="310444731">
      <w:bodyDiv w:val="1"/>
      <w:marLeft w:val="0"/>
      <w:marRight w:val="0"/>
      <w:marTop w:val="0"/>
      <w:marBottom w:val="0"/>
      <w:divBdr>
        <w:top w:val="none" w:sz="0" w:space="0" w:color="auto"/>
        <w:left w:val="none" w:sz="0" w:space="0" w:color="auto"/>
        <w:bottom w:val="none" w:sz="0" w:space="0" w:color="auto"/>
        <w:right w:val="none" w:sz="0" w:space="0" w:color="auto"/>
      </w:divBdr>
    </w:div>
    <w:div w:id="328337130">
      <w:bodyDiv w:val="1"/>
      <w:marLeft w:val="0"/>
      <w:marRight w:val="0"/>
      <w:marTop w:val="0"/>
      <w:marBottom w:val="0"/>
      <w:divBdr>
        <w:top w:val="none" w:sz="0" w:space="0" w:color="auto"/>
        <w:left w:val="none" w:sz="0" w:space="0" w:color="auto"/>
        <w:bottom w:val="none" w:sz="0" w:space="0" w:color="auto"/>
        <w:right w:val="none" w:sz="0" w:space="0" w:color="auto"/>
      </w:divBdr>
    </w:div>
    <w:div w:id="343828833">
      <w:bodyDiv w:val="1"/>
      <w:marLeft w:val="0"/>
      <w:marRight w:val="0"/>
      <w:marTop w:val="0"/>
      <w:marBottom w:val="0"/>
      <w:divBdr>
        <w:top w:val="none" w:sz="0" w:space="0" w:color="auto"/>
        <w:left w:val="none" w:sz="0" w:space="0" w:color="auto"/>
        <w:bottom w:val="none" w:sz="0" w:space="0" w:color="auto"/>
        <w:right w:val="none" w:sz="0" w:space="0" w:color="auto"/>
      </w:divBdr>
    </w:div>
    <w:div w:id="456222519">
      <w:bodyDiv w:val="1"/>
      <w:marLeft w:val="0"/>
      <w:marRight w:val="0"/>
      <w:marTop w:val="0"/>
      <w:marBottom w:val="0"/>
      <w:divBdr>
        <w:top w:val="none" w:sz="0" w:space="0" w:color="auto"/>
        <w:left w:val="none" w:sz="0" w:space="0" w:color="auto"/>
        <w:bottom w:val="none" w:sz="0" w:space="0" w:color="auto"/>
        <w:right w:val="none" w:sz="0" w:space="0" w:color="auto"/>
      </w:divBdr>
    </w:div>
    <w:div w:id="472525318">
      <w:bodyDiv w:val="1"/>
      <w:marLeft w:val="0"/>
      <w:marRight w:val="0"/>
      <w:marTop w:val="0"/>
      <w:marBottom w:val="0"/>
      <w:divBdr>
        <w:top w:val="none" w:sz="0" w:space="0" w:color="auto"/>
        <w:left w:val="none" w:sz="0" w:space="0" w:color="auto"/>
        <w:bottom w:val="none" w:sz="0" w:space="0" w:color="auto"/>
        <w:right w:val="none" w:sz="0" w:space="0" w:color="auto"/>
      </w:divBdr>
    </w:div>
    <w:div w:id="478227259">
      <w:bodyDiv w:val="1"/>
      <w:marLeft w:val="0"/>
      <w:marRight w:val="0"/>
      <w:marTop w:val="0"/>
      <w:marBottom w:val="0"/>
      <w:divBdr>
        <w:top w:val="none" w:sz="0" w:space="0" w:color="auto"/>
        <w:left w:val="none" w:sz="0" w:space="0" w:color="auto"/>
        <w:bottom w:val="none" w:sz="0" w:space="0" w:color="auto"/>
        <w:right w:val="none" w:sz="0" w:space="0" w:color="auto"/>
      </w:divBdr>
    </w:div>
    <w:div w:id="508177515">
      <w:bodyDiv w:val="1"/>
      <w:marLeft w:val="0"/>
      <w:marRight w:val="0"/>
      <w:marTop w:val="0"/>
      <w:marBottom w:val="0"/>
      <w:divBdr>
        <w:top w:val="none" w:sz="0" w:space="0" w:color="auto"/>
        <w:left w:val="none" w:sz="0" w:space="0" w:color="auto"/>
        <w:bottom w:val="none" w:sz="0" w:space="0" w:color="auto"/>
        <w:right w:val="none" w:sz="0" w:space="0" w:color="auto"/>
      </w:divBdr>
      <w:divsChild>
        <w:div w:id="1278832028">
          <w:marLeft w:val="0"/>
          <w:marRight w:val="0"/>
          <w:marTop w:val="0"/>
          <w:marBottom w:val="0"/>
          <w:divBdr>
            <w:top w:val="none" w:sz="0" w:space="0" w:color="auto"/>
            <w:left w:val="none" w:sz="0" w:space="0" w:color="auto"/>
            <w:bottom w:val="none" w:sz="0" w:space="0" w:color="auto"/>
            <w:right w:val="none" w:sz="0" w:space="0" w:color="auto"/>
          </w:divBdr>
          <w:divsChild>
            <w:div w:id="1272326042">
              <w:marLeft w:val="0"/>
              <w:marRight w:val="0"/>
              <w:marTop w:val="0"/>
              <w:marBottom w:val="0"/>
              <w:divBdr>
                <w:top w:val="none" w:sz="0" w:space="0" w:color="auto"/>
                <w:left w:val="none" w:sz="0" w:space="0" w:color="auto"/>
                <w:bottom w:val="none" w:sz="0" w:space="0" w:color="auto"/>
                <w:right w:val="none" w:sz="0" w:space="0" w:color="auto"/>
              </w:divBdr>
              <w:divsChild>
                <w:div w:id="539245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851166">
      <w:bodyDiv w:val="1"/>
      <w:marLeft w:val="0"/>
      <w:marRight w:val="0"/>
      <w:marTop w:val="0"/>
      <w:marBottom w:val="0"/>
      <w:divBdr>
        <w:top w:val="none" w:sz="0" w:space="0" w:color="auto"/>
        <w:left w:val="none" w:sz="0" w:space="0" w:color="auto"/>
        <w:bottom w:val="none" w:sz="0" w:space="0" w:color="auto"/>
        <w:right w:val="none" w:sz="0" w:space="0" w:color="auto"/>
      </w:divBdr>
      <w:divsChild>
        <w:div w:id="1679692195">
          <w:marLeft w:val="0"/>
          <w:marRight w:val="0"/>
          <w:marTop w:val="0"/>
          <w:marBottom w:val="0"/>
          <w:divBdr>
            <w:top w:val="none" w:sz="0" w:space="0" w:color="auto"/>
            <w:left w:val="none" w:sz="0" w:space="0" w:color="auto"/>
            <w:bottom w:val="none" w:sz="0" w:space="0" w:color="auto"/>
            <w:right w:val="none" w:sz="0" w:space="0" w:color="auto"/>
          </w:divBdr>
          <w:divsChild>
            <w:div w:id="354307427">
              <w:marLeft w:val="0"/>
              <w:marRight w:val="0"/>
              <w:marTop w:val="0"/>
              <w:marBottom w:val="0"/>
              <w:divBdr>
                <w:top w:val="none" w:sz="0" w:space="0" w:color="auto"/>
                <w:left w:val="none" w:sz="0" w:space="0" w:color="auto"/>
                <w:bottom w:val="none" w:sz="0" w:space="0" w:color="auto"/>
                <w:right w:val="none" w:sz="0" w:space="0" w:color="auto"/>
              </w:divBdr>
              <w:divsChild>
                <w:div w:id="1676613681">
                  <w:marLeft w:val="0"/>
                  <w:marRight w:val="0"/>
                  <w:marTop w:val="0"/>
                  <w:marBottom w:val="0"/>
                  <w:divBdr>
                    <w:top w:val="none" w:sz="0" w:space="0" w:color="auto"/>
                    <w:left w:val="none" w:sz="0" w:space="0" w:color="auto"/>
                    <w:bottom w:val="none" w:sz="0" w:space="0" w:color="auto"/>
                    <w:right w:val="none" w:sz="0" w:space="0" w:color="auto"/>
                  </w:divBdr>
                  <w:divsChild>
                    <w:div w:id="1942714225">
                      <w:marLeft w:val="0"/>
                      <w:marRight w:val="0"/>
                      <w:marTop w:val="0"/>
                      <w:marBottom w:val="0"/>
                      <w:divBdr>
                        <w:top w:val="none" w:sz="0" w:space="0" w:color="auto"/>
                        <w:left w:val="none" w:sz="0" w:space="0" w:color="auto"/>
                        <w:bottom w:val="none" w:sz="0" w:space="0" w:color="auto"/>
                        <w:right w:val="none" w:sz="0" w:space="0" w:color="auto"/>
                      </w:divBdr>
                      <w:divsChild>
                        <w:div w:id="668292252">
                          <w:marLeft w:val="0"/>
                          <w:marRight w:val="0"/>
                          <w:marTop w:val="0"/>
                          <w:marBottom w:val="0"/>
                          <w:divBdr>
                            <w:top w:val="none" w:sz="0" w:space="0" w:color="auto"/>
                            <w:left w:val="none" w:sz="0" w:space="0" w:color="auto"/>
                            <w:bottom w:val="none" w:sz="0" w:space="0" w:color="auto"/>
                            <w:right w:val="none" w:sz="0" w:space="0" w:color="auto"/>
                          </w:divBdr>
                          <w:divsChild>
                            <w:div w:id="132889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2116308">
      <w:bodyDiv w:val="1"/>
      <w:marLeft w:val="0"/>
      <w:marRight w:val="0"/>
      <w:marTop w:val="0"/>
      <w:marBottom w:val="0"/>
      <w:divBdr>
        <w:top w:val="none" w:sz="0" w:space="0" w:color="auto"/>
        <w:left w:val="none" w:sz="0" w:space="0" w:color="auto"/>
        <w:bottom w:val="none" w:sz="0" w:space="0" w:color="auto"/>
        <w:right w:val="none" w:sz="0" w:space="0" w:color="auto"/>
      </w:divBdr>
    </w:div>
    <w:div w:id="879123639">
      <w:bodyDiv w:val="1"/>
      <w:marLeft w:val="0"/>
      <w:marRight w:val="0"/>
      <w:marTop w:val="0"/>
      <w:marBottom w:val="0"/>
      <w:divBdr>
        <w:top w:val="none" w:sz="0" w:space="0" w:color="auto"/>
        <w:left w:val="none" w:sz="0" w:space="0" w:color="auto"/>
        <w:bottom w:val="none" w:sz="0" w:space="0" w:color="auto"/>
        <w:right w:val="none" w:sz="0" w:space="0" w:color="auto"/>
      </w:divBdr>
      <w:divsChild>
        <w:div w:id="1264337602">
          <w:marLeft w:val="0"/>
          <w:marRight w:val="0"/>
          <w:marTop w:val="0"/>
          <w:marBottom w:val="0"/>
          <w:divBdr>
            <w:top w:val="none" w:sz="0" w:space="0" w:color="auto"/>
            <w:left w:val="none" w:sz="0" w:space="0" w:color="auto"/>
            <w:bottom w:val="none" w:sz="0" w:space="0" w:color="auto"/>
            <w:right w:val="none" w:sz="0" w:space="0" w:color="auto"/>
          </w:divBdr>
          <w:divsChild>
            <w:div w:id="746804956">
              <w:marLeft w:val="0"/>
              <w:marRight w:val="0"/>
              <w:marTop w:val="0"/>
              <w:marBottom w:val="0"/>
              <w:divBdr>
                <w:top w:val="none" w:sz="0" w:space="0" w:color="auto"/>
                <w:left w:val="none" w:sz="0" w:space="0" w:color="auto"/>
                <w:bottom w:val="none" w:sz="0" w:space="0" w:color="auto"/>
                <w:right w:val="none" w:sz="0" w:space="0" w:color="auto"/>
              </w:divBdr>
              <w:divsChild>
                <w:div w:id="103284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386705">
      <w:bodyDiv w:val="1"/>
      <w:marLeft w:val="0"/>
      <w:marRight w:val="0"/>
      <w:marTop w:val="0"/>
      <w:marBottom w:val="0"/>
      <w:divBdr>
        <w:top w:val="none" w:sz="0" w:space="0" w:color="auto"/>
        <w:left w:val="none" w:sz="0" w:space="0" w:color="auto"/>
        <w:bottom w:val="none" w:sz="0" w:space="0" w:color="auto"/>
        <w:right w:val="none" w:sz="0" w:space="0" w:color="auto"/>
      </w:divBdr>
      <w:divsChild>
        <w:div w:id="1534802696">
          <w:marLeft w:val="0"/>
          <w:marRight w:val="0"/>
          <w:marTop w:val="0"/>
          <w:marBottom w:val="0"/>
          <w:divBdr>
            <w:top w:val="none" w:sz="0" w:space="0" w:color="auto"/>
            <w:left w:val="none" w:sz="0" w:space="0" w:color="auto"/>
            <w:bottom w:val="none" w:sz="0" w:space="0" w:color="auto"/>
            <w:right w:val="none" w:sz="0" w:space="0" w:color="auto"/>
          </w:divBdr>
        </w:div>
      </w:divsChild>
    </w:div>
    <w:div w:id="1096242752">
      <w:bodyDiv w:val="1"/>
      <w:marLeft w:val="0"/>
      <w:marRight w:val="0"/>
      <w:marTop w:val="0"/>
      <w:marBottom w:val="0"/>
      <w:divBdr>
        <w:top w:val="none" w:sz="0" w:space="0" w:color="auto"/>
        <w:left w:val="none" w:sz="0" w:space="0" w:color="auto"/>
        <w:bottom w:val="none" w:sz="0" w:space="0" w:color="auto"/>
        <w:right w:val="none" w:sz="0" w:space="0" w:color="auto"/>
      </w:divBdr>
    </w:div>
    <w:div w:id="1157383704">
      <w:bodyDiv w:val="1"/>
      <w:marLeft w:val="0"/>
      <w:marRight w:val="0"/>
      <w:marTop w:val="0"/>
      <w:marBottom w:val="0"/>
      <w:divBdr>
        <w:top w:val="none" w:sz="0" w:space="0" w:color="auto"/>
        <w:left w:val="none" w:sz="0" w:space="0" w:color="auto"/>
        <w:bottom w:val="none" w:sz="0" w:space="0" w:color="auto"/>
        <w:right w:val="none" w:sz="0" w:space="0" w:color="auto"/>
      </w:divBdr>
      <w:divsChild>
        <w:div w:id="805315481">
          <w:marLeft w:val="0"/>
          <w:marRight w:val="0"/>
          <w:marTop w:val="0"/>
          <w:marBottom w:val="0"/>
          <w:divBdr>
            <w:top w:val="none" w:sz="0" w:space="0" w:color="auto"/>
            <w:left w:val="none" w:sz="0" w:space="0" w:color="auto"/>
            <w:bottom w:val="none" w:sz="0" w:space="0" w:color="auto"/>
            <w:right w:val="none" w:sz="0" w:space="0" w:color="auto"/>
          </w:divBdr>
          <w:divsChild>
            <w:div w:id="347146619">
              <w:marLeft w:val="0"/>
              <w:marRight w:val="0"/>
              <w:marTop w:val="0"/>
              <w:marBottom w:val="0"/>
              <w:divBdr>
                <w:top w:val="none" w:sz="0" w:space="0" w:color="auto"/>
                <w:left w:val="none" w:sz="0" w:space="0" w:color="auto"/>
                <w:bottom w:val="none" w:sz="0" w:space="0" w:color="auto"/>
                <w:right w:val="none" w:sz="0" w:space="0" w:color="auto"/>
              </w:divBdr>
              <w:divsChild>
                <w:div w:id="452479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867957">
      <w:bodyDiv w:val="1"/>
      <w:marLeft w:val="0"/>
      <w:marRight w:val="0"/>
      <w:marTop w:val="0"/>
      <w:marBottom w:val="0"/>
      <w:divBdr>
        <w:top w:val="none" w:sz="0" w:space="0" w:color="auto"/>
        <w:left w:val="none" w:sz="0" w:space="0" w:color="auto"/>
        <w:bottom w:val="none" w:sz="0" w:space="0" w:color="auto"/>
        <w:right w:val="none" w:sz="0" w:space="0" w:color="auto"/>
      </w:divBdr>
    </w:div>
    <w:div w:id="1278025223">
      <w:bodyDiv w:val="1"/>
      <w:marLeft w:val="0"/>
      <w:marRight w:val="0"/>
      <w:marTop w:val="0"/>
      <w:marBottom w:val="0"/>
      <w:divBdr>
        <w:top w:val="none" w:sz="0" w:space="0" w:color="auto"/>
        <w:left w:val="none" w:sz="0" w:space="0" w:color="auto"/>
        <w:bottom w:val="none" w:sz="0" w:space="0" w:color="auto"/>
        <w:right w:val="none" w:sz="0" w:space="0" w:color="auto"/>
      </w:divBdr>
    </w:div>
    <w:div w:id="1559977153">
      <w:bodyDiv w:val="1"/>
      <w:marLeft w:val="0"/>
      <w:marRight w:val="0"/>
      <w:marTop w:val="0"/>
      <w:marBottom w:val="0"/>
      <w:divBdr>
        <w:top w:val="none" w:sz="0" w:space="0" w:color="auto"/>
        <w:left w:val="none" w:sz="0" w:space="0" w:color="auto"/>
        <w:bottom w:val="none" w:sz="0" w:space="0" w:color="auto"/>
        <w:right w:val="none" w:sz="0" w:space="0" w:color="auto"/>
      </w:divBdr>
    </w:div>
    <w:div w:id="1593661117">
      <w:bodyDiv w:val="1"/>
      <w:marLeft w:val="0"/>
      <w:marRight w:val="0"/>
      <w:marTop w:val="0"/>
      <w:marBottom w:val="0"/>
      <w:divBdr>
        <w:top w:val="none" w:sz="0" w:space="0" w:color="auto"/>
        <w:left w:val="none" w:sz="0" w:space="0" w:color="auto"/>
        <w:bottom w:val="none" w:sz="0" w:space="0" w:color="auto"/>
        <w:right w:val="none" w:sz="0" w:space="0" w:color="auto"/>
      </w:divBdr>
      <w:divsChild>
        <w:div w:id="1423800698">
          <w:marLeft w:val="0"/>
          <w:marRight w:val="0"/>
          <w:marTop w:val="0"/>
          <w:marBottom w:val="0"/>
          <w:divBdr>
            <w:top w:val="none" w:sz="0" w:space="0" w:color="auto"/>
            <w:left w:val="none" w:sz="0" w:space="0" w:color="auto"/>
            <w:bottom w:val="none" w:sz="0" w:space="0" w:color="auto"/>
            <w:right w:val="none" w:sz="0" w:space="0" w:color="auto"/>
          </w:divBdr>
          <w:divsChild>
            <w:div w:id="149248068">
              <w:marLeft w:val="0"/>
              <w:marRight w:val="0"/>
              <w:marTop w:val="0"/>
              <w:marBottom w:val="0"/>
              <w:divBdr>
                <w:top w:val="none" w:sz="0" w:space="0" w:color="auto"/>
                <w:left w:val="none" w:sz="0" w:space="0" w:color="auto"/>
                <w:bottom w:val="none" w:sz="0" w:space="0" w:color="auto"/>
                <w:right w:val="none" w:sz="0" w:space="0" w:color="auto"/>
              </w:divBdr>
              <w:divsChild>
                <w:div w:id="179320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329649">
      <w:bodyDiv w:val="1"/>
      <w:marLeft w:val="0"/>
      <w:marRight w:val="0"/>
      <w:marTop w:val="0"/>
      <w:marBottom w:val="0"/>
      <w:divBdr>
        <w:top w:val="none" w:sz="0" w:space="0" w:color="auto"/>
        <w:left w:val="none" w:sz="0" w:space="0" w:color="auto"/>
        <w:bottom w:val="none" w:sz="0" w:space="0" w:color="auto"/>
        <w:right w:val="none" w:sz="0" w:space="0" w:color="auto"/>
      </w:divBdr>
    </w:div>
    <w:div w:id="1645159606">
      <w:bodyDiv w:val="1"/>
      <w:marLeft w:val="0"/>
      <w:marRight w:val="0"/>
      <w:marTop w:val="0"/>
      <w:marBottom w:val="0"/>
      <w:divBdr>
        <w:top w:val="none" w:sz="0" w:space="0" w:color="auto"/>
        <w:left w:val="none" w:sz="0" w:space="0" w:color="auto"/>
        <w:bottom w:val="none" w:sz="0" w:space="0" w:color="auto"/>
        <w:right w:val="none" w:sz="0" w:space="0" w:color="auto"/>
      </w:divBdr>
    </w:div>
    <w:div w:id="1658604530">
      <w:bodyDiv w:val="1"/>
      <w:marLeft w:val="0"/>
      <w:marRight w:val="0"/>
      <w:marTop w:val="0"/>
      <w:marBottom w:val="0"/>
      <w:divBdr>
        <w:top w:val="none" w:sz="0" w:space="0" w:color="auto"/>
        <w:left w:val="none" w:sz="0" w:space="0" w:color="auto"/>
        <w:bottom w:val="none" w:sz="0" w:space="0" w:color="auto"/>
        <w:right w:val="none" w:sz="0" w:space="0" w:color="auto"/>
      </w:divBdr>
    </w:div>
    <w:div w:id="1671709937">
      <w:bodyDiv w:val="1"/>
      <w:marLeft w:val="0"/>
      <w:marRight w:val="0"/>
      <w:marTop w:val="0"/>
      <w:marBottom w:val="0"/>
      <w:divBdr>
        <w:top w:val="none" w:sz="0" w:space="0" w:color="auto"/>
        <w:left w:val="none" w:sz="0" w:space="0" w:color="auto"/>
        <w:bottom w:val="none" w:sz="0" w:space="0" w:color="auto"/>
        <w:right w:val="none" w:sz="0" w:space="0" w:color="auto"/>
      </w:divBdr>
    </w:div>
    <w:div w:id="1681003867">
      <w:bodyDiv w:val="1"/>
      <w:marLeft w:val="0"/>
      <w:marRight w:val="0"/>
      <w:marTop w:val="0"/>
      <w:marBottom w:val="0"/>
      <w:divBdr>
        <w:top w:val="none" w:sz="0" w:space="0" w:color="auto"/>
        <w:left w:val="none" w:sz="0" w:space="0" w:color="auto"/>
        <w:bottom w:val="none" w:sz="0" w:space="0" w:color="auto"/>
        <w:right w:val="none" w:sz="0" w:space="0" w:color="auto"/>
      </w:divBdr>
    </w:div>
    <w:div w:id="1788885170">
      <w:bodyDiv w:val="1"/>
      <w:marLeft w:val="0"/>
      <w:marRight w:val="0"/>
      <w:marTop w:val="0"/>
      <w:marBottom w:val="0"/>
      <w:divBdr>
        <w:top w:val="none" w:sz="0" w:space="0" w:color="auto"/>
        <w:left w:val="none" w:sz="0" w:space="0" w:color="auto"/>
        <w:bottom w:val="none" w:sz="0" w:space="0" w:color="auto"/>
        <w:right w:val="none" w:sz="0" w:space="0" w:color="auto"/>
      </w:divBdr>
    </w:div>
    <w:div w:id="1955400886">
      <w:bodyDiv w:val="1"/>
      <w:marLeft w:val="0"/>
      <w:marRight w:val="0"/>
      <w:marTop w:val="0"/>
      <w:marBottom w:val="0"/>
      <w:divBdr>
        <w:top w:val="none" w:sz="0" w:space="0" w:color="auto"/>
        <w:left w:val="none" w:sz="0" w:space="0" w:color="auto"/>
        <w:bottom w:val="none" w:sz="0" w:space="0" w:color="auto"/>
        <w:right w:val="none" w:sz="0" w:space="0" w:color="auto"/>
      </w:divBdr>
      <w:divsChild>
        <w:div w:id="302008982">
          <w:marLeft w:val="0"/>
          <w:marRight w:val="0"/>
          <w:marTop w:val="0"/>
          <w:marBottom w:val="0"/>
          <w:divBdr>
            <w:top w:val="none" w:sz="0" w:space="0" w:color="auto"/>
            <w:left w:val="none" w:sz="0" w:space="0" w:color="auto"/>
            <w:bottom w:val="none" w:sz="0" w:space="0" w:color="auto"/>
            <w:right w:val="none" w:sz="0" w:space="0" w:color="auto"/>
          </w:divBdr>
        </w:div>
      </w:divsChild>
    </w:div>
    <w:div w:id="1982880801">
      <w:bodyDiv w:val="1"/>
      <w:marLeft w:val="0"/>
      <w:marRight w:val="0"/>
      <w:marTop w:val="0"/>
      <w:marBottom w:val="0"/>
      <w:divBdr>
        <w:top w:val="none" w:sz="0" w:space="0" w:color="auto"/>
        <w:left w:val="none" w:sz="0" w:space="0" w:color="auto"/>
        <w:bottom w:val="none" w:sz="0" w:space="0" w:color="auto"/>
        <w:right w:val="none" w:sz="0" w:space="0" w:color="auto"/>
      </w:divBdr>
      <w:divsChild>
        <w:div w:id="580070109">
          <w:marLeft w:val="0"/>
          <w:marRight w:val="0"/>
          <w:marTop w:val="0"/>
          <w:marBottom w:val="0"/>
          <w:divBdr>
            <w:top w:val="none" w:sz="0" w:space="0" w:color="auto"/>
            <w:left w:val="none" w:sz="0" w:space="0" w:color="auto"/>
            <w:bottom w:val="none" w:sz="0" w:space="0" w:color="auto"/>
            <w:right w:val="none" w:sz="0" w:space="0" w:color="auto"/>
          </w:divBdr>
          <w:divsChild>
            <w:div w:id="1357737132">
              <w:marLeft w:val="0"/>
              <w:marRight w:val="0"/>
              <w:marTop w:val="0"/>
              <w:marBottom w:val="0"/>
              <w:divBdr>
                <w:top w:val="none" w:sz="0" w:space="0" w:color="auto"/>
                <w:left w:val="none" w:sz="0" w:space="0" w:color="auto"/>
                <w:bottom w:val="none" w:sz="0" w:space="0" w:color="auto"/>
                <w:right w:val="none" w:sz="0" w:space="0" w:color="auto"/>
              </w:divBdr>
              <w:divsChild>
                <w:div w:id="935476287">
                  <w:marLeft w:val="0"/>
                  <w:marRight w:val="0"/>
                  <w:marTop w:val="0"/>
                  <w:marBottom w:val="0"/>
                  <w:divBdr>
                    <w:top w:val="none" w:sz="0" w:space="0" w:color="auto"/>
                    <w:left w:val="none" w:sz="0" w:space="0" w:color="auto"/>
                    <w:bottom w:val="none" w:sz="0" w:space="0" w:color="auto"/>
                    <w:right w:val="none" w:sz="0" w:space="0" w:color="auto"/>
                  </w:divBdr>
                  <w:divsChild>
                    <w:div w:id="1872720882">
                      <w:marLeft w:val="0"/>
                      <w:marRight w:val="0"/>
                      <w:marTop w:val="0"/>
                      <w:marBottom w:val="0"/>
                      <w:divBdr>
                        <w:top w:val="none" w:sz="0" w:space="0" w:color="auto"/>
                        <w:left w:val="none" w:sz="0" w:space="0" w:color="auto"/>
                        <w:bottom w:val="none" w:sz="0" w:space="0" w:color="auto"/>
                        <w:right w:val="none" w:sz="0" w:space="0" w:color="auto"/>
                      </w:divBdr>
                      <w:divsChild>
                        <w:div w:id="1582064410">
                          <w:marLeft w:val="0"/>
                          <w:marRight w:val="0"/>
                          <w:marTop w:val="0"/>
                          <w:marBottom w:val="0"/>
                          <w:divBdr>
                            <w:top w:val="none" w:sz="0" w:space="0" w:color="auto"/>
                            <w:left w:val="none" w:sz="0" w:space="0" w:color="auto"/>
                            <w:bottom w:val="none" w:sz="0" w:space="0" w:color="auto"/>
                            <w:right w:val="none" w:sz="0" w:space="0" w:color="auto"/>
                          </w:divBdr>
                          <w:divsChild>
                            <w:div w:id="745146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3895429">
      <w:bodyDiv w:val="1"/>
      <w:marLeft w:val="0"/>
      <w:marRight w:val="0"/>
      <w:marTop w:val="0"/>
      <w:marBottom w:val="0"/>
      <w:divBdr>
        <w:top w:val="none" w:sz="0" w:space="0" w:color="auto"/>
        <w:left w:val="none" w:sz="0" w:space="0" w:color="auto"/>
        <w:bottom w:val="none" w:sz="0" w:space="0" w:color="auto"/>
        <w:right w:val="none" w:sz="0" w:space="0" w:color="auto"/>
      </w:divBdr>
    </w:div>
    <w:div w:id="2103141172">
      <w:bodyDiv w:val="1"/>
      <w:marLeft w:val="0"/>
      <w:marRight w:val="0"/>
      <w:marTop w:val="0"/>
      <w:marBottom w:val="0"/>
      <w:divBdr>
        <w:top w:val="none" w:sz="0" w:space="0" w:color="auto"/>
        <w:left w:val="none" w:sz="0" w:space="0" w:color="auto"/>
        <w:bottom w:val="none" w:sz="0" w:space="0" w:color="auto"/>
        <w:right w:val="none" w:sz="0" w:space="0" w:color="auto"/>
      </w:divBdr>
    </w:div>
    <w:div w:id="2118064395">
      <w:bodyDiv w:val="1"/>
      <w:marLeft w:val="0"/>
      <w:marRight w:val="0"/>
      <w:marTop w:val="0"/>
      <w:marBottom w:val="0"/>
      <w:divBdr>
        <w:top w:val="none" w:sz="0" w:space="0" w:color="auto"/>
        <w:left w:val="none" w:sz="0" w:space="0" w:color="auto"/>
        <w:bottom w:val="none" w:sz="0" w:space="0" w:color="auto"/>
        <w:right w:val="none" w:sz="0" w:space="0" w:color="auto"/>
      </w:divBdr>
      <w:divsChild>
        <w:div w:id="128208044">
          <w:marLeft w:val="0"/>
          <w:marRight w:val="0"/>
          <w:marTop w:val="0"/>
          <w:marBottom w:val="0"/>
          <w:divBdr>
            <w:top w:val="none" w:sz="0" w:space="0" w:color="auto"/>
            <w:left w:val="none" w:sz="0" w:space="0" w:color="auto"/>
            <w:bottom w:val="none" w:sz="0" w:space="0" w:color="auto"/>
            <w:right w:val="none" w:sz="0" w:space="0" w:color="auto"/>
          </w:divBdr>
          <w:divsChild>
            <w:div w:id="1685354988">
              <w:marLeft w:val="0"/>
              <w:marRight w:val="0"/>
              <w:marTop w:val="0"/>
              <w:marBottom w:val="0"/>
              <w:divBdr>
                <w:top w:val="none" w:sz="0" w:space="0" w:color="auto"/>
                <w:left w:val="none" w:sz="0" w:space="0" w:color="auto"/>
                <w:bottom w:val="none" w:sz="0" w:space="0" w:color="auto"/>
                <w:right w:val="none" w:sz="0" w:space="0" w:color="auto"/>
              </w:divBdr>
              <w:divsChild>
                <w:div w:id="137373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194996">
      <w:bodyDiv w:val="1"/>
      <w:marLeft w:val="0"/>
      <w:marRight w:val="0"/>
      <w:marTop w:val="0"/>
      <w:marBottom w:val="0"/>
      <w:divBdr>
        <w:top w:val="none" w:sz="0" w:space="0" w:color="auto"/>
        <w:left w:val="none" w:sz="0" w:space="0" w:color="auto"/>
        <w:bottom w:val="none" w:sz="0" w:space="0" w:color="auto"/>
        <w:right w:val="none" w:sz="0" w:space="0" w:color="auto"/>
      </w:divBdr>
      <w:divsChild>
        <w:div w:id="1209565136">
          <w:marLeft w:val="0"/>
          <w:marRight w:val="0"/>
          <w:marTop w:val="0"/>
          <w:marBottom w:val="0"/>
          <w:divBdr>
            <w:top w:val="none" w:sz="0" w:space="0" w:color="auto"/>
            <w:left w:val="none" w:sz="0" w:space="0" w:color="auto"/>
            <w:bottom w:val="none" w:sz="0" w:space="0" w:color="auto"/>
            <w:right w:val="none" w:sz="0" w:space="0" w:color="auto"/>
          </w:divBdr>
          <w:divsChild>
            <w:div w:id="1756433344">
              <w:marLeft w:val="0"/>
              <w:marRight w:val="0"/>
              <w:marTop w:val="0"/>
              <w:marBottom w:val="0"/>
              <w:divBdr>
                <w:top w:val="none" w:sz="0" w:space="0" w:color="auto"/>
                <w:left w:val="none" w:sz="0" w:space="0" w:color="auto"/>
                <w:bottom w:val="none" w:sz="0" w:space="0" w:color="auto"/>
                <w:right w:val="none" w:sz="0" w:space="0" w:color="auto"/>
              </w:divBdr>
              <w:divsChild>
                <w:div w:id="396514483">
                  <w:marLeft w:val="0"/>
                  <w:marRight w:val="0"/>
                  <w:marTop w:val="0"/>
                  <w:marBottom w:val="0"/>
                  <w:divBdr>
                    <w:top w:val="none" w:sz="0" w:space="0" w:color="auto"/>
                    <w:left w:val="none" w:sz="0" w:space="0" w:color="auto"/>
                    <w:bottom w:val="none" w:sz="0" w:space="0" w:color="auto"/>
                    <w:right w:val="none" w:sz="0" w:space="0" w:color="auto"/>
                  </w:divBdr>
                  <w:divsChild>
                    <w:div w:id="1812868697">
                      <w:marLeft w:val="0"/>
                      <w:marRight w:val="0"/>
                      <w:marTop w:val="0"/>
                      <w:marBottom w:val="0"/>
                      <w:divBdr>
                        <w:top w:val="none" w:sz="0" w:space="0" w:color="auto"/>
                        <w:left w:val="none" w:sz="0" w:space="0" w:color="auto"/>
                        <w:bottom w:val="none" w:sz="0" w:space="0" w:color="auto"/>
                        <w:right w:val="none" w:sz="0" w:space="0" w:color="auto"/>
                      </w:divBdr>
                      <w:divsChild>
                        <w:div w:id="1721704079">
                          <w:marLeft w:val="0"/>
                          <w:marRight w:val="0"/>
                          <w:marTop w:val="0"/>
                          <w:marBottom w:val="0"/>
                          <w:divBdr>
                            <w:top w:val="none" w:sz="0" w:space="0" w:color="auto"/>
                            <w:left w:val="none" w:sz="0" w:space="0" w:color="auto"/>
                            <w:bottom w:val="none" w:sz="0" w:space="0" w:color="auto"/>
                            <w:right w:val="none" w:sz="0" w:space="0" w:color="auto"/>
                          </w:divBdr>
                          <w:divsChild>
                            <w:div w:id="13701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8253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eatlantic.com/international/archive/2012/03/the-white-savior-"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77/1476718X241241142" TargetMode="External"/><Relationship Id="rId5" Type="http://schemas.openxmlformats.org/officeDocument/2006/relationships/webSettings" Target="webSettings.xml"/><Relationship Id="rId10" Type="http://schemas.openxmlformats.org/officeDocument/2006/relationships/hyperlink" Target="https://www.irishtimes.com/ireland/education/2024/10/09/trinity-college-dublin-renames-former-berkeley-library-after-poet-eavan-boland/" TargetMode="External"/><Relationship Id="rId4" Type="http://schemas.openxmlformats.org/officeDocument/2006/relationships/settings" Target="settings.xml"/><Relationship Id="rId9" Type="http://schemas.openxmlformats.org/officeDocument/2006/relationships/hyperlink" Target="https://doi.org/10.1177/02633957241276065"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Sha06</b:Tag>
    <b:SourceType>JournalArticle</b:SourceType>
    <b:Guid>{5FEA80C3-7760-1A4F-82E8-243132F30F61}</b:Guid>
    <b:Title>Fitting back in: Adolescents returning to school after severe acquired brain injury</b:Title>
    <b:JournalName>Disability and Rehabilitation</b:JournalName>
    <b:Year>2006</b:Year>
    <b:Pages>767-778</b:Pages>
    <b:Author>
      <b:Author>
        <b:NameList>
          <b:Person>
            <b:Last>Sharp</b:Last>
            <b:Middle>L.</b:Middle>
            <b:First>N.</b:First>
          </b:Person>
          <b:Person>
            <b:Last>Bye</b:Last>
            <b:First>R.A.</b:First>
          </b:Person>
          <b:Person>
            <b:Last>Llewellyn</b:Last>
            <b:First>G.M.</b:First>
          </b:Person>
          <b:Person>
            <b:Last>Cusick</b:Last>
            <b:First>A.</b:First>
          </b:Person>
        </b:NameList>
      </b:Author>
    </b:Author>
    <b:Volume>28</b:Volume>
    <b:Issue>12</b:Issue>
    <b:RefOrder>13</b:RefOrder>
  </b:Source>
  <b:Source>
    <b:Tag>And211</b:Tag>
    <b:SourceType>JournalArticle</b:SourceType>
    <b:Guid>{48B4FF4C-615E-AA4B-9DD5-2D6CBD21B6F7}</b:Guid>
    <b:Title>Management of return to school following brain injury: An evaluation model</b:Title>
    <b:JournalName>International Journal of Educational Research</b:JournalName>
    <b:Year>2021</b:Year>
    <b:Author>
      <b:Author>
        <b:NameList>
          <b:Person>
            <b:Last>Anderson</b:Last>
            <b:First>D.</b:First>
          </b:Person>
          <b:Person>
            <b:Last>Gau</b:Last>
            <b:First>J.M.</b:First>
          </b:Person>
          <b:Person>
            <b:Last>Beck</b:Last>
            <b:First>L.</b:First>
          </b:Person>
          <b:Person>
            <b:Last>Unruh</b:Last>
            <b:First>D.</b:First>
          </b:Person>
          <b:Person>
            <b:Last>Gioia</b:Last>
            <b:First>G.</b:First>
          </b:Person>
          <b:Person>
            <b:Last>McCart</b:Last>
            <b:First>M.</b:First>
          </b:Person>
          <b:Person>
            <b:Last>Davies</b:Last>
            <b:First>S.C.</b:First>
          </b:Person>
          <b:Person>
            <b:Last>Slocumb</b:Last>
            <b:First>J.</b:First>
          </b:Person>
          <b:Person>
            <b:Last>Gomez</b:Last>
            <b:First>D.</b:First>
          </b:Person>
          <b:Person>
            <b:Last>Glang</b:Last>
            <b:First>A.E.</b:First>
          </b:Person>
        </b:NameList>
      </b:Author>
    </b:Author>
    <b:Volume>108</b:Volume>
    <b:RefOrder>24</b:RefOrder>
  </b:Source>
  <b:Source>
    <b:Tag>Sta24</b:Tag>
    <b:SourceType>InternetSite</b:SourceType>
    <b:Guid>{FBD7CBBE-A6A3-3D4E-957B-1FA8ADE55FD8}</b:Guid>
    <b:Title>Facebook</b:Title>
    <b:Year>2024</b:Year>
    <b:Month>May</b:Month>
    <b:Day>22</b:Day>
    <b:Author>
      <b:Author>
        <b:Corporate>Statbi Lab</b:Corporate>
      </b:Author>
    </b:Author>
    <b:URL>https://www.facebook.com/labstatbi</b:URL>
    <b:RefOrder>27</b:RefOrder>
  </b:Source>
  <b:Source>
    <b:Tag>McC24</b:Tag>
    <b:SourceType>JournalArticle</b:SourceType>
    <b:Guid>{812F52EB-4DDD-5F44-808F-AE27308E436C}</b:Guid>
    <b:Title>Educating the educators: Education for schools and teachers</b:Title>
    <b:Year>2024</b:Year>
    <b:JournalName>Brain Injury</b:JournalName>
    <b:Pages>20-22</b:Pages>
    <b:Author>
      <b:Author>
        <b:NameList>
          <b:Person>
            <b:Last>McCart</b:Last>
            <b:First>M.</b:First>
          </b:Person>
          <b:Person>
            <b:Last>DaSalvo</b:Last>
            <b:First>G.P.</b:First>
          </b:Person>
        </b:NameList>
      </b:Author>
    </b:Author>
    <b:Volume>21</b:Volume>
    <b:Issue>1</b:Issue>
    <b:RefOrder>30</b:RefOrder>
  </b:Source>
  <b:Source>
    <b:Tag>Bra2</b:Tag>
    <b:SourceType>InternetSite</b:SourceType>
    <b:Guid>{7146E309-FC80-B94F-B760-6178C45BFAFD}</b:Guid>
    <b:Author>
      <b:Author>
        <b:Corporate>Brain Injury Association of America</b:Corporate>
      </b:Author>
    </b:Author>
    <b:Title>What is the difference between an acquired brain injury and a traumatic brain injury?</b:Title>
    <b:URL>https://www.biausa.org/brain-injury/about-brain-injury/nbiic/what-is-the-difference-between-an-acquired-brain-injury-and-a-traumatic-brain-injury</b:URL>
    <b:RefOrder>5</b:RefOrder>
  </b:Source>
  <b:Source>
    <b:Tag>May</b:Tag>
    <b:SourceType>InternetSite</b:SourceType>
    <b:Guid>{E6799A8C-0188-1E47-8153-E8CA1D2AA1D3}</b:Guid>
    <b:Author>
      <b:Author>
        <b:Corporate>Mayo Clinic</b:Corporate>
      </b:Author>
    </b:Author>
    <b:Title>Traumatic brain injry</b:Title>
    <b:URL>https://www.mayoclinic.org/diseases-conditions/traumatic-brain-injury/symptoms-causes/syc-20378557</b:URL>
    <b:RefOrder>42</b:RefOrder>
  </b:Source>
  <b:Source>
    <b:Tag>The3</b:Tag>
    <b:SourceType>InternetSite</b:SourceType>
    <b:Guid>{E2BECDF8-E086-D240-9038-ACB9DCFDA56A}</b:Guid>
    <b:Author>
      <b:Author>
        <b:Corporate>The Children's Trust</b:Corporate>
      </b:Author>
    </b:Author>
    <b:Title>The effects of acquired brain injury: An introduction</b:Title>
    <b:URL>https://www.thechildrenstrust.org.uk/brain-injury-information/info-and-advice/living-with-abi/the-effects-of-abi</b:URL>
    <b:RefOrder>43</b:RefOrder>
  </b:Source>
  <b:Source>
    <b:Tag>Pal211</b:Tag>
    <b:SourceType>JournalArticle</b:SourceType>
    <b:Guid>{BC8410CD-9881-0D41-8D9D-8C011ECC7C5D}</b:Guid>
    <b:Title>Acquired brain injury in children, and their rehabilitation: where we are now?</b:Title>
    <b:Publisher>Elsevier</b:Publisher>
    <b:Year>2021</b:Year>
    <b:JournalName>Paediatrics and Child Health</b:JournalName>
    <b:Pages>176-180</b:Pages>
    <b:Author>
      <b:Author>
        <b:NameList>
          <b:Person>
            <b:Last>Palanivel</b:Last>
            <b:First>V.</b:First>
          </b:Person>
          <b:Person>
            <b:Last>Burrough</b:Last>
            <b:First>M.</b:First>
          </b:Person>
        </b:NameList>
      </b:Author>
    </b:Author>
    <b:Volume>31</b:Volume>
    <b:Issue>5</b:Issue>
    <b:RefOrder>6</b:RefOrder>
  </b:Source>
  <b:Source>
    <b:Tag>Lin13</b:Tag>
    <b:SourceType>JournalArticle</b:SourceType>
    <b:Guid>{5F43FAA5-4BF7-194F-A6FE-33009DB42395}</b:Guid>
    <b:Title>Educational professionals’ understanding of childhood traumatic brain injury.</b:Title>
    <b:JournalName>Brain Injury</b:JournalName>
    <b:Year>2013</b:Year>
    <b:Pages>92-102</b:Pages>
    <b:Author>
      <b:Author>
        <b:NameList>
          <b:Person>
            <b:Last>Linden</b:Last>
            <b:First>M.A.</b:First>
          </b:Person>
          <b:Person>
            <b:Last>Braiden</b:Last>
            <b:First>H.J.</b:First>
          </b:Person>
          <b:Person>
            <b:Last>Miller</b:Last>
            <b:First>S.</b:First>
          </b:Person>
        </b:NameList>
      </b:Author>
    </b:Author>
    <b:Volume>27</b:Volume>
    <b:Issue>1</b:Issue>
    <b:RefOrder>44</b:RefOrder>
  </b:Source>
  <b:Source>
    <b:Tag>Har15</b:Tag>
    <b:SourceType>JournalArticle</b:SourceType>
    <b:Guid>{EE91B2EE-FA58-574D-9320-BF12E100580D}</b:Guid>
    <b:Title>Clinician and educator experiences of facilitating students’ transition back to school following acquired brain injury: A qualitative systematic review</b:Title>
    <b:JournalName>Brain Injury</b:JournalName>
    <b:Year>2015</b:Year>
    <b:Pages>1387-1399</b:Pages>
    <b:Author>
      <b:Author>
        <b:NameList>
          <b:Person>
            <b:Last>Hartman</b:Last>
            <b:First>L.R.</b:First>
          </b:Person>
          <b:Person>
            <b:Last>Duncanson</b:Last>
            <b:First>M.</b:First>
          </b:Person>
          <b:Person>
            <b:Last>Farahat</b:Last>
            <b:First>S.M.</b:First>
          </b:Person>
          <b:Person>
            <b:Last>Lindsay</b:Last>
            <b:First>S.</b:First>
          </b:Person>
        </b:NameList>
      </b:Author>
    </b:Author>
    <b:Volume>29</b:Volume>
    <b:Issue>12</b:Issue>
    <b:RefOrder>15</b:RefOrder>
  </b:Source>
  <b:Source>
    <b:Tag>Bat21</b:Tag>
    <b:SourceType>JournalArticle</b:SourceType>
    <b:Guid>{3A7B8A0E-6116-9D4D-855B-77C2C38A0F4C}</b:Guid>
    <b:Title>Return to school after acquired brain injury in the UK: The educators’ perspectives.</b:Title>
    <b:JournalName>Journal of Research in Special Educational Needs</b:JournalName>
    <b:Year>2021</b:Year>
    <b:Pages>242-253</b:Pages>
    <b:Author>
      <b:Author>
        <b:NameList>
          <b:Person>
            <b:Last>Bate</b:Last>
            <b:First>C.</b:First>
          </b:Person>
          <b:Person>
            <b:Last>Turner</b:Last>
            <b:First>K.</b:First>
          </b:Person>
          <b:Person>
            <b:Last>Fricke</b:Last>
            <b:First>S.</b:First>
          </b:Person>
        </b:NameList>
      </b:Author>
    </b:Author>
    <b:Volume>21</b:Volume>
    <b:Issue>3</b:Issue>
    <b:RefOrder>18</b:RefOrder>
  </b:Source>
  <b:Source>
    <b:Tag>And16</b:Tag>
    <b:SourceType>JournalArticle</b:SourceType>
    <b:Guid>{1091A96B-8D74-B54B-8273-CA317F00CEDB}</b:Guid>
    <b:Author>
      <b:Author>
        <b:NameList>
          <b:Person>
            <b:Last>Andersson</b:Last>
            <b:First>K.</b:First>
          </b:Person>
          <b:Person>
            <b:Last>Bellon</b:Last>
            <b:First>M.</b:First>
          </b:Person>
          <b:Person>
            <b:Last>Walker</b:Last>
            <b:First>R.</b:First>
          </b:Person>
        </b:NameList>
      </b:Author>
    </b:Author>
    <b:Title>Parents’ experiences of their child’s return to school following acquired brain injury (ABI): A systematic review of qualitative studies.</b:Title>
    <b:JournalName>Brain Injury</b:JournalName>
    <b:Year>2016</b:Year>
    <b:Pages>829-838</b:Pages>
    <b:Volume>30</b:Volume>
    <b:Issue>7</b:Issue>
    <b:RefOrder>19</b:RefOrder>
  </b:Source>
  <b:Source>
    <b:Tag>Ste21</b:Tag>
    <b:SourceType>JournalArticle</b:SourceType>
    <b:Guid>{058F425F-8654-FD45-882E-2E39370C7114}</b:Guid>
    <b:Title>Understanding the Needs of Ontario Educators in Supporting Students With Acquired Brain Injury in the Classroom</b:Title>
    <b:JournalName>Journal of School Health</b:JournalName>
    <b:Year>2021</b:Year>
    <b:Pages>285-290</b:Pages>
    <b:Author>
      <b:Author>
        <b:NameList>
          <b:Person>
            <b:Last>Stevens</b:Last>
            <b:First>S.A.</b:First>
          </b:Person>
          <b:Person>
            <b:Last>Provvidenza</b:Last>
            <b:First>C.</b:First>
          </b:Person>
          <b:Person>
            <b:Last>Zheng</b:Last>
            <b:First>S.</b:First>
          </b:Person>
          <b:Person>
            <b:Last>Agnihotri</b:Last>
            <b:First>S.</b:First>
          </b:Person>
          <b:Person>
            <b:Last>Hunt</b:Last>
            <b:First>A.</b:First>
          </b:Person>
          <b:Person>
            <b:Last>Scratch</b:Last>
            <b:First>S.E.</b:First>
          </b:Person>
        </b:NameList>
      </b:Author>
    </b:Author>
    <b:Volume>91</b:Volume>
    <b:Issue>4</b:Issue>
    <b:RefOrder>35</b:RefOrder>
  </b:Source>
  <b:Source>
    <b:Tag>Nor201</b:Tag>
    <b:SourceType>JournalArticle</b:SourceType>
    <b:Guid>{B08C1817-05C1-A440-ADDD-85BDDC5CBDF5}</b:Guid>
    <b:Title>Accepting what we do not know: A need to improve professional understanding of brain Injury in the UK</b:Title>
    <b:JournalName>Health and Social Care in the Community</b:JournalName>
    <b:Year>2020</b:Year>
    <b:Pages>2027-2049</b:Pages>
    <b:Author>
      <b:Author>
        <b:NameList>
          <b:Person>
            <b:Last>Norman</b:Last>
            <b:First>A.</b:First>
          </b:Person>
          <b:Person>
            <b:Last>Holloway</b:Last>
            <b:First>M.</b:First>
          </b:Person>
          <b:Person>
            <b:Last>Odumuyiwa</b:Last>
            <b:First>T.</b:First>
          </b:Person>
          <b:Person>
            <b:Last>Kennedy</b:Last>
            <b:First>M.</b:First>
          </b:Person>
          <b:Person>
            <b:Last>Forrest</b:Last>
            <b:First>H.</b:First>
          </b:Person>
          <b:Person>
            <b:Last>Suffield</b:Last>
            <b:First>F.</b:First>
          </b:Person>
          <b:Person>
            <b:Last>Dicks</b:Last>
            <b:First>H.</b:First>
          </b:Person>
        </b:NameList>
      </b:Author>
    </b:Author>
    <b:Volume>28</b:Volume>
    <b:RefOrder>45</b:RefOrder>
  </b:Source>
  <b:Source>
    <b:Tag>Hea20</b:Tag>
    <b:SourceType>Report</b:SourceType>
    <b:Guid>{1F5B155C-49F5-434A-91E2-3BB46DD4A739}</b:Guid>
    <b:Title>Submission to the Department of Education, Skills &amp; Employment Disability Standards for Education Review 2020</b:Title>
    <b:Year>2020</b:Year>
    <b:Author>
      <b:Author>
        <b:Corporate>Heads Together for ABI</b:Corporate>
      </b:Author>
    </b:Author>
    <b:Publisher>Heads Together for ABI Limited</b:Publisher>
    <b:City>Footscray, Australia</b:City>
    <b:RefOrder>46</b:RefOrder>
  </b:Source>
  <b:Source>
    <b:Tag>Chi</b:Tag>
    <b:SourceType>DocumentFromInternetSite</b:SourceType>
    <b:Guid>{DE3C77BE-B511-EE4A-9A8C-C42FE19DD8BA}</b:Guid>
    <b:Author>
      <b:Author>
        <b:Corporate>Children’s Safety Network</b:Corporate>
      </b:Author>
    </b:Author>
    <b:Title>Non-fatal traumatic brain injury-related visits to the emergency department, U.S. infants, children, and adolescents ages through 19</b:Title>
    <b:Year>2023</b:Year>
    <b:URL>https://www.childrenssafetynetwork.org/sites/default/files/TBI_Factsheet_2023_0.pdf</b:URL>
    <b:Month>February</b:Month>
    <b:RefOrder>2</b:RefOrder>
  </b:Source>
  <b:Source>
    <b:Tag>The24</b:Tag>
    <b:SourceType>InternetSite</b:SourceType>
    <b:Guid>{ECD0D455-EC59-E545-9F4A-042906F7BB75}</b:Guid>
    <b:URL>https://www.thechildrenstrust.org.uk/about</b:URL>
    <b:Year>2024</b:Year>
    <b:Author>
      <b:Author>
        <b:Corporate>The Children's Trust</b:Corporate>
      </b:Author>
    </b:Author>
    <b:YearAccessed>2024</b:YearAccessed>
    <b:MonthAccessed>October</b:MonthAccessed>
    <b:RefOrder>1</b:RefOrder>
  </b:Source>
  <b:Source>
    <b:Tag>Mor23</b:Tag>
    <b:SourceType>JournalArticle</b:SourceType>
    <b:Guid>{BE7308C0-448D-D045-8A99-B9DBA1CDD186}</b:Guid>
    <b:Author>
      <b:Author>
        <b:Corporate>Centers for Disease Control and Prevention</b:Corporate>
      </b:Author>
    </b:Author>
    <b:Title>QuickStats: Percentage of Children and Adolescents Aged ≤17 Years Who Had Ever Received a Diagnosis of Concussion or Brain Injury, by Sex and Age Group — National Health Interview Survey, United States, 2022</b:Title>
    <b:Year>2023</b:Year>
    <b:URL>https://www.cdc.gov/mmwr/volumes/72/wr/pdfs/mm7233-H.pdf</b:URL>
    <b:JournalName>Morbidity and Mortality Weekly Report</b:JournalName>
    <b:Volume>72</b:Volume>
    <b:Issue>33</b:Issue>
    <b:Pages>899-899</b:Pages>
    <b:RefOrder>3</b:RefOrder>
  </b:Source>
  <b:Source>
    <b:Tag>Mye17</b:Tag>
    <b:SourceType>JournalArticle</b:SourceType>
    <b:Guid>{F23C22E0-B41E-E043-8E0B-BC4A3A1B69DA}</b:Guid>
    <b:Title>Examining a Statewide Educational Consulting Program for Pediatric Brain Injury</b:Title>
    <b:JournalName>Clinical Pediatrics</b:JournalName>
    <b:Year>2017</b:Year>
    <b:Pages>645-655</b:Pages>
    <b:Author>
      <b:Author>
        <b:NameList>
          <b:Person>
            <b:Last>Myers</b:Last>
            <b:First>R.K.</b:First>
          </b:Person>
          <b:Person>
            <b:Last>Egan-Brown</b:Last>
            <b:First>B.L.</b:First>
          </b:Person>
          <b:Person>
            <b:Last>Conway</b:Last>
            <b:First>A.T.</b:First>
          </b:Person>
          <b:Person>
            <b:Last>Nagele</b:Last>
            <b:First>D.A.</b:First>
          </b:Person>
          <b:Person>
            <b:Last>Vaccaro</b:Last>
            <b:First>M.J.</b:First>
          </b:Person>
          <b:Person>
            <b:Last>Kendi</b:Last>
            <b:First>S.</b:First>
          </b:Person>
          <b:Person>
            <b:Last>Zonfrillo</b:Last>
            <b:First>M.R.</b:First>
          </b:Person>
        </b:NameList>
      </b:Author>
    </b:Author>
    <b:Volume>57</b:Volume>
    <b:Issue>6</b:Issue>
    <b:RefOrder>4</b:RefOrder>
  </b:Source>
  <b:Source>
    <b:Tag>Bro14</b:Tag>
    <b:SourceType>Book</b:SourceType>
    <b:Guid>{B3E6A1D7-BDD4-9D4D-AAF0-BDC97EC05B18}</b:Guid>
    <b:Author>
      <b:Author>
        <b:Corporate>Brock University and Ontario Brain Injury Association</b:Corporate>
      </b:Author>
    </b:Author>
    <b:Title>Educating Educators about ABI, 5th ed.</b:Title>
    <b:Year>2014</b:Year>
    <b:Publisher>Brock University and Ontario Brain Injury Association</b:Publisher>
    <b:RefOrder>33</b:RefOrder>
  </b:Source>
  <b:Source>
    <b:Tag>The4</b:Tag>
    <b:SourceType>InternetSite</b:SourceType>
    <b:Guid>{67D65495-6882-934B-B2BF-F076B7F3009C}</b:Guid>
    <b:Author>
      <b:Author>
        <b:Corporate>The Children's Trust</b:Corporate>
      </b:Author>
    </b:Author>
    <b:Title>Brain Injury Hub: Teacher's Strategies for the Classroom</b:Title>
    <b:InternetSiteTitle>The Children's Trust</b:InternetSiteTitle>
    <b:URL>https://www.thechildrenstrust.org.uk/brain-injury-information/info-and-advice/return-to-education/teachers-strategies-for-the-classroom</b:URL>
    <b:RefOrder>47</b:RefOrder>
  </b:Source>
  <b:Source>
    <b:Tag>Gla18</b:Tag>
    <b:SourceType>JournalArticle</b:SourceType>
    <b:Guid>{8F1BE9E7-D327-6A43-889F-9BDB2750199A}</b:Guid>
    <b:Title>Preliminary Efficacy of Online Traumatic Brain Injury Professional Development for Educators: An Exploratory Randomized Clinical Trial</b:Title>
    <b:Year>2018</b:Year>
    <b:Author>
      <b:Author>
        <b:NameList>
          <b:Person>
            <b:Last>Glang</b:Last>
            <b:First>A.E.</b:First>
          </b:Person>
          <b:Person>
            <b:Last>McCart</b:Last>
            <b:First>M.</b:First>
          </b:Person>
          <b:Person>
            <b:Last>Slocumb</b:Last>
            <b:First>J.</b:First>
          </b:Person>
          <b:Person>
            <b:Last>Gau</b:Last>
            <b:First>J.M.</b:First>
          </b:Person>
          <b:Person>
            <b:Last>Davies</b:Last>
            <b:First>S.C.</b:First>
          </b:Person>
          <b:Person>
            <b:Last>Gomez</b:Last>
            <b:First>D.</b:First>
          </b:Person>
          <b:Person>
            <b:Last>Beck</b:Last>
            <b:First>L.</b:First>
          </b:Person>
        </b:NameList>
      </b:Author>
    </b:Author>
    <b:JournalName>Journal of Heaad Trauma Rehabilitation</b:JournalName>
    <b:Pages>77-86</b:Pages>
    <b:Volume>34</b:Volume>
    <b:Issue>2</b:Issue>
    <b:RefOrder>17</b:RefOrder>
  </b:Source>
  <b:Source>
    <b:Tag>Cen</b:Tag>
    <b:SourceType>InternetSite</b:SourceType>
    <b:Guid>{E3793CF3-998B-1049-A0A2-958E16C50CE3}</b:Guid>
    <b:Title>About us</b:Title>
    <b:Author>
      <b:Author>
        <b:Corporate>Center on Brain Injury Research and Training</b:Corporate>
      </b:Author>
    </b:Author>
    <b:URL>https://cbirt.org/about-us</b:URL>
    <b:RefOrder>20</b:RefOrder>
  </b:Source>
  <b:Source>
    <b:Tag>Int</b:Tag>
    <b:SourceType>InternetSite</b:SourceType>
    <b:Guid>{0AC5E13C-30E2-D640-BA37-5A89800FFBBF}</b:Guid>
    <b:Title>In the Classroom: Supporting Students with TBI</b:Title>
    <b:InternetSiteTitle>Centre on Brain Injury Research and Training</b:InternetSiteTitle>
    <b:URL>https://cbirt.org/research/completed-projects/classroom-supporting-students-tbi</b:URL>
    <b:Author>
      <b:Author>
        <b:Corporate>Centre on Brain Injury Research and Training</b:Corporate>
      </b:Author>
    </b:Author>
    <b:RefOrder>21</b:RefOrder>
  </b:Source>
  <b:Source>
    <b:Tag>Cul22</b:Tag>
    <b:SourceType>JournalArticle</b:SourceType>
    <b:Guid>{E09EA2C9-1BA4-2B4E-96FE-88762E44700C}</b:Guid>
    <b:Title>Key stakeholders’ views, experiences and expectations of patient and public involvement in healthcare professions’ education: a qualitative study</b:Title>
    <b:Year>2022</b:Year>
    <b:Author>
      <b:Author>
        <b:NameList>
          <b:Person>
            <b:Last>Cullen</b:Last>
            <b:First>M.</b:First>
          </b:Person>
          <b:Person>
            <b:Last>Cadogan</b:Last>
            <b:First>C.</b:First>
          </b:Person>
          <b:Person>
            <b:Last>George</b:Last>
            <b:First>S.</b:First>
          </b:Person>
          <b:Person>
            <b:Last>Murphy</b:Last>
            <b:First>S.</b:First>
          </b:Person>
          <b:Person>
            <b:Last>Freeney</b:Last>
            <b:First>S.</b:First>
          </b:Person>
          <b:Person>
            <b:Last>Fitzpatrick</b:Last>
            <b:First>R.</b:First>
          </b:Person>
          <b:Person>
            <b:Last>Strawbridge</b:Last>
            <b:First>J.</b:First>
          </b:Person>
        </b:NameList>
      </b:Author>
    </b:Author>
    <b:JournalName>BMC Medical Education</b:JournalName>
    <b:RefOrder>48</b:RefOrder>
  </b:Source>
  <b:Source>
    <b:Tag>Gor20</b:Tag>
    <b:SourceType>JournalArticle</b:SourceType>
    <b:Guid>{4F9815AF-4084-7446-B0BA-643FBE0A6120}</b:Guid>
    <b:Title>Patient/service user involvement in medical education: a best evidence medical education (BEME) systematic review: BEME Guide No. 58.</b:Title>
    <b:JournalName>Med Teach</b:JournalName>
    <b:Year>2020</b:Year>
    <b:Pages>4-16</b:Pages>
    <b:Author>
      <b:Author>
        <b:NameList>
          <b:Person>
            <b:Last>Gordon</b:Last>
            <b:First>M.</b:First>
          </b:Person>
          <b:Person>
            <b:Last>Gupta</b:Last>
            <b:First>S.</b:First>
          </b:Person>
          <b:Person>
            <b:Last>Thornton</b:Last>
            <b:First>D.</b:First>
          </b:Person>
          <b:Person>
            <b:Last>Reid</b:Last>
            <b:First>M.</b:First>
          </b:Person>
          <b:Person>
            <b:Last>Mallen</b:Last>
            <b:First>E.</b:First>
          </b:Person>
          <b:Person>
            <b:Last>Melling</b:Last>
            <b:First>A.</b:First>
          </b:Person>
        </b:NameList>
      </b:Author>
    </b:Author>
    <b:Volume>42</b:Volume>
    <b:Issue>1</b:Issue>
    <b:RefOrder>49</b:RefOrder>
  </b:Source>
  <b:Source>
    <b:Tag>Reg16</b:Tag>
    <b:SourceType>JournalArticle</b:SourceType>
    <b:Guid>{423EB57B-F911-2340-B6B3-7C24B146E1F9}</b:Guid>
    <b:Title>Towards a pedagogy for patient and public involvement in medical education.</b:Title>
    <b:JournalName>Medical Education</b:JournalName>
    <b:Year>2016</b:Year>
    <b:Pages>79-92</b:Pages>
    <b:Author>
      <b:Author>
        <b:NameList>
          <b:Person>
            <b:Last>Regan de Bere</b:Last>
            <b:First>S.</b:First>
          </b:Person>
          <b:Person>
            <b:Last>Nunn</b:Last>
            <b:First>S.</b:First>
          </b:Person>
        </b:NameList>
      </b:Author>
    </b:Author>
    <b:Volume>50</b:Volume>
    <b:Issue>1</b:Issue>
    <b:RefOrder>50</b:RefOrder>
  </b:Source>
  <b:Source>
    <b:Tag>Bau21</b:Tag>
    <b:SourceType>JournalArticle</b:SourceType>
    <b:Guid>{54CE463B-1BF0-3345-8EDB-15E49752C17B}</b:Guid>
    <b:Title>Public and patient involvement (PPI) in health policy decisionmaking on the health system-level: protocol for a systematic scoping review</b:Title>
    <b:JournalName>BMJ Open</b:JournalName>
    <b:Year>2021</b:Year>
    <b:Author>
      <b:Author>
        <b:NameList>
          <b:Person>
            <b:Last>Baumann</b:Last>
            <b:First>L.A.</b:First>
          </b:Person>
          <b:Person>
            <b:Last>Brütt</b:Last>
            <b:First>A.</b:First>
          </b:Person>
        </b:NameList>
      </b:Author>
    </b:Author>
    <b:Volume>11</b:Volume>
    <b:Issue>5</b:Issue>
    <b:RefOrder>22</b:RefOrder>
  </b:Source>
  <b:Source>
    <b:Tag>McC20</b:Tag>
    <b:SourceType>JournalArticle</b:SourceType>
    <b:Guid>{6BAEC038-849D-0B4B-95D3-D7615346AFC1}</b:Guid>
    <b:Title>A quasi-experimental study examining the effects of online traumatic brain injury professional development on educator knowledge, application, and efficacy in a practitioner setting.</b:Title>
    <b:JournalName>Disability and Rehabilitation</b:JournalName>
    <b:Year>2020</b:Year>
    <b:Pages>2430-2436</b:Pages>
    <b:Author>
      <b:Author>
        <b:NameList>
          <b:Person>
            <b:Last>McCart</b:Last>
            <b:First>M.</b:First>
          </b:Person>
          <b:Person>
            <b:Last>Glang</b:Last>
            <b:First>A.E.</b:First>
          </b:Person>
          <b:Person>
            <b:Last>Slocumb</b:Last>
            <b:First>J.</b:First>
          </b:Person>
          <b:Person>
            <b:Last>Gau</b:Last>
            <b:First>J.</b:First>
          </b:Person>
          <b:Person>
            <b:Last>Becker</b:Last>
            <b:First>L.</b:First>
          </b:Person>
          <b:Person>
            <b:Last>Gomez</b:Last>
            <b:First>D.</b:First>
          </b:Person>
        </b:NameList>
      </b:Author>
    </b:Author>
    <b:Volume>42</b:Volume>
    <b:Issue>17</b:Issue>
    <b:RefOrder>51</b:RefOrder>
  </b:Source>
  <b:Source>
    <b:Tag>Bra212</b:Tag>
    <b:SourceType>JournalArticle</b:SourceType>
    <b:Guid>{647CF08A-2B1F-A048-B31A-7692FB204DDD}</b:Guid>
    <b:Title>Successful design and delivery of online professional development for teachers: A systematic review of the literature</b:Title>
    <b:JournalName>Computers and Education</b:JournalName>
    <b:Year>2021</b:Year>
    <b:Volume>166</b:Volume>
    <b:Issue>6</b:Issue>
    <b:Author>
      <b:Author>
        <b:NameList>
          <b:Person>
            <b:Last>Bragg</b:Last>
            <b:First>L.</b:First>
          </b:Person>
          <b:Person>
            <b:Last>Walsh</b:Last>
            <b:First>C.</b:First>
          </b:Person>
          <b:Person>
            <b:Last>Heyeres</b:Last>
            <b:First>M.</b:First>
          </b:Person>
        </b:NameList>
      </b:Author>
    </b:Author>
    <b:RefOrder>23</b:RefOrder>
  </b:Source>
  <b:Source>
    <b:Tag>Cas21</b:Tag>
    <b:SourceType>Misc</b:SourceType>
    <b:Guid>{14A57641-1A67-1846-ABB7-5AC47E843551}</b:Guid>
    <b:Author>
      <b:Author>
        <b:Corporate>Case Western University</b:Corporate>
      </b:Author>
    </b:Author>
    <b:Title>STATBI Introvideo Titles</b:Title>
    <b:Year>2021</b:Year>
    <b:Month>June</b:Month>
    <b:Day>14</b:Day>
    <b:Medium>https://www.youtube.com/watch?v=Lp6Rr8umtko</b:Medium>
    <b:RefOrder>26</b:RefOrder>
  </b:Source>
  <b:Source>
    <b:Tag>Mye171</b:Tag>
    <b:SourceType>JournalArticle</b:SourceType>
    <b:Guid>{441D1C6E-91B3-8246-8042-C3C00CEB5CCA}</b:Guid>
    <b:Title>Examining a statewide educational consulting program for pediatric brain injury</b:Title>
    <b:JournalName>Clinical Pediatrics</b:JournalName>
    <b:Year>2017</b:Year>
    <b:Author>
      <b:Author>
        <b:NameList>
          <b:Person>
            <b:Last>Myers</b:Last>
            <b:Middle>K.</b:Middle>
            <b:First>R.</b:First>
          </b:Person>
          <b:Person>
            <b:Last>Eagan-Brown</b:Last>
            <b:First>B.L.</b:First>
          </b:Person>
          <b:Person>
            <b:Last>Conway</b:Last>
            <b:First>A.T.</b:First>
          </b:Person>
          <b:Person>
            <b:Last>Naegele</b:Last>
            <b:First>D.A.</b:First>
          </b:Person>
          <b:Person>
            <b:Last>Vaccaro</b:Last>
            <b:First>M.J.</b:First>
          </b:Person>
          <b:Person>
            <b:Last>Kendi</b:Last>
            <b:First>S.</b:First>
          </b:Person>
          <b:Person>
            <b:Last>Zonfrillo</b:Last>
            <b:First>M.R.</b:First>
          </b:Person>
        </b:NameList>
      </b:Author>
    </b:Author>
    <b:Publisher>Sage</b:Publisher>
    <b:RefOrder>25</b:RefOrder>
  </b:Source>
  <b:Source>
    <b:Tag>Sal23</b:Tag>
    <b:SourceType>JournalArticle</b:SourceType>
    <b:Guid>{E81F7E78-37F6-DA40-A71E-9930DA60719E}</b:Guid>
    <b:Title>The Teach-ABI Professional Development Module for Educators About Pediatric Acquired Brain Injury: Mixed Method Usability Study</b:Title>
    <b:JournalName>Human Factors</b:JournalName>
    <b:Year>2023</b:Year>
    <b:Author>
      <b:Author>
        <b:NameList>
          <b:Person>
            <b:Last>Saly</b:Last>
            <b:First>L.</b:First>
          </b:Person>
          <b:Person>
            <b:Last>Provvidenza</b:Last>
            <b:First>C.</b:First>
          </b:Person>
          <b:Person>
            <b:Last>Al-Hakeem</b:Last>
            <b:First>H.</b:First>
          </b:Person>
          <b:Person>
            <b:Last>Hickling</b:Last>
            <b:First>A.</b:First>
          </b:Person>
          <b:Person>
            <b:Last>Stevens</b:Last>
            <b:First>S.</b:First>
          </b:Person>
          <b:Person>
            <b:Last>Kakonge</b:Last>
            <b:First>L.</b:First>
          </b:Person>
          <b:Person>
            <b:Last>Hunt</b:Last>
            <b:First>A.W.</b:First>
          </b:Person>
          <b:Person>
            <b:Last>Bennett</b:Last>
            <b:First>S.</b:First>
          </b:Person>
          <b:Person>
            <b:Last>Martinussen</b:Last>
            <b:First>R.</b:First>
          </b:Person>
          <b:Person>
            <b:Last>Scratch</b:Last>
            <b:First>S.E.</b:First>
          </b:Person>
        </b:NameList>
      </b:Author>
    </b:Author>
    <b:Volume>10</b:Volume>
    <b:RefOrder>28</b:RefOrder>
  </b:Source>
  <b:Source>
    <b:Tag>Ste211</b:Tag>
    <b:SourceType>JournalArticle</b:SourceType>
    <b:Guid>{4732C5F7-884B-0748-B912-3F6B955FD7E7}</b:Guid>
    <b:Title>Understanding the Needs of Ontario Educators in Supporting Students With Acquired Brain Injury in the Classroom</b:Title>
    <b:JournalName>Journal of School Health</b:JournalName>
    <b:Year>2021</b:Year>
    <b:Pages>285-290</b:Pages>
    <b:Author>
      <b:Author>
        <b:NameList>
          <b:Person>
            <b:Last>Stevens</b:Last>
            <b:First>S.A.</b:First>
          </b:Person>
          <b:Person>
            <b:Last>Provvidenza</b:Last>
            <b:First>C.</b:First>
          </b:Person>
          <b:Person>
            <b:Last>Zheng</b:Last>
            <b:First>S.</b:First>
          </b:Person>
          <b:Person>
            <b:Last>Agnihotri</b:Last>
            <b:First>S.</b:First>
          </b:Person>
          <b:Person>
            <b:Last>Hunt</b:Last>
            <b:First>A.</b:First>
          </b:Person>
          <b:Person>
            <b:Last>Scratch</b:Last>
            <b:First>S.E.</b:First>
          </b:Person>
        </b:NameList>
      </b:Author>
    </b:Author>
    <b:Volume>91</b:Volume>
    <b:Issue>4</b:Issue>
    <b:RefOrder>29</b:RefOrder>
  </b:Source>
  <b:Source>
    <b:Tag>Wlo12</b:Tag>
    <b:SourceType>DocumentFromInternetSite</b:SourceType>
    <b:Guid>{B9DCA7AF-FCF1-1749-BE10-FFD623636763}</b:Guid>
    <b:Title>Educator evaluation of academic and social competence in students with acquired brain injury (ABI) relative to assessed performance and sense of belonging</b:Title>
    <b:Year>2012</b:Year>
    <b:Author>
      <b:Author>
        <b:NameList>
          <b:Person>
            <b:Last>Wlodarczyk</b:Last>
            <b:First>K.</b:First>
          </b:Person>
        </b:NameList>
      </b:Author>
      <b:ProducerName>
        <b:NameList>
          <b:Person>
            <b:Last>Department of Graduate and Undergraduate Studies in Education</b:Last>
            <b:First>Faculty</b:First>
            <b:Middle>of Education, Brock University St. Catharines, Ontario</b:Middle>
          </b:Person>
        </b:NameList>
      </b:ProducerName>
    </b:Author>
    <b:StateProvince>Ontario</b:StateProvince>
    <b:Publisher>Department of Graduate and Undergraduate Studies in Education, Faculty of Education, Brock University St. Catharines</b:Publisher>
    <b:Volume>https://dr.library.brocku.ca/bitstream/handle/10464/ 4100/Brock_Wlodarczyk_Kathy_2012.pdf?sequence=1&amp;isAllowed=y</b:Volume>
    <b:URL>https://dr.library.brocku.ca/bitstream/handle/10464/ 4100/Brock_Wlodarczyk_Kathy_2012.pdf?sequence=1&amp;isAllowed=y</b:URL>
    <b:RefOrder>16</b:RefOrder>
  </b:Source>
  <b:Source>
    <b:Tag>Ben23</b:Tag>
    <b:SourceType>JournalArticle</b:SourceType>
    <b:Guid>{CB0412E4-5452-2C49-A582-2767B38B0E21}</b:Guid>
    <b:Title>Returning to education after childhood acquired brain injury: Learning from lived parental experience</b:Title>
    <b:Year>2023</b:Year>
    <b:Author>
      <b:Author>
        <b:NameList>
          <b:Person>
            <b:Last>Bennett</b:Last>
            <b:First>E.</b:First>
          </b:Person>
          <b:Person>
            <b:Last>Fletcher</b:Last>
            <b:First>A.</b:First>
          </b:Person>
          <b:Person>
            <b:Last>Talbot</b:Last>
            <b:First>E.</b:First>
          </b:Person>
          <b:Person>
            <b:Last>Robinson</b:Last>
            <b:First>L.</b:First>
          </b:Person>
        </b:NameList>
      </b:Author>
    </b:Author>
    <b:JournalName>NeuroRehabilitation</b:JournalName>
    <b:Pages>625-640</b:Pages>
    <b:Volume>52</b:Volume>
    <b:RefOrder>8</b:RefOrder>
  </b:Source>
  <b:Source>
    <b:Tag>Hay17</b:Tag>
    <b:SourceType>JournalArticle</b:SourceType>
    <b:Guid>{088D5069-517E-974E-BD17-E5C26D9C0FD3}</b:Guid>
    <b:Title>Requirements for and current provision of rehabilitation services for children after severe acquired brain injury in the UK: a population-based study</b:Title>
    <b:JournalName>Archives of Disease in Childhood</b:JournalName>
    <b:Year>2017</b:Year>
    <b:Pages>813-820</b:Pages>
    <b:Author>
      <b:Author>
        <b:NameList>
          <b:Person>
            <b:Last>Hayes</b:Last>
            <b:First>L.</b:First>
          </b:Person>
          <b:Person>
            <b:Last>Shaw</b:Last>
            <b:First>S.</b:First>
          </b:Person>
          <b:Person>
            <b:Last>Pearce</b:Last>
            <b:First>M.S.</b:First>
          </b:Person>
          <b:Person>
            <b:Last>Forsyth</b:Last>
            <b:First>R.J.</b:First>
          </b:Person>
        </b:NameList>
      </b:Author>
    </b:Author>
    <b:Volume>102</b:Volume>
    <b:Issue>9</b:Issue>
    <b:RefOrder>9</b:RefOrder>
  </b:Source>
  <b:Source>
    <b:Tag>Har151</b:Tag>
    <b:SourceType>JournalArticle</b:SourceType>
    <b:Guid>{81F3685D-311A-2741-B871-DB7AF0C22F6D}</b:Guid>
    <b:Title>A qualitative synthesis of families’ and students’ hospital-to- school transition experiences following acquired brain injury</b:Title>
    <b:JournalName>Global Qualtative Nursing Research</b:JournalName>
    <b:Year>2015</b:Year>
    <b:Author>
      <b:Author>
        <b:NameList>
          <b:Person>
            <b:Last>Hartman</b:Last>
            <b:First>L.R.</b:First>
          </b:Person>
          <b:Person>
            <b:Last>Tibbles</b:Last>
            <b:First>A.</b:First>
          </b:Person>
          <b:Person>
            <b:Last>Paniccia</b:Last>
            <b:First>A.</b:First>
          </b:Person>
          <b:Person>
            <b:Last>Lindsay</b:Last>
            <b:First>S.</b:First>
          </b:Person>
        </b:NameList>
      </b:Author>
    </b:Author>
    <b:RefOrder>52</b:RefOrder>
  </b:Source>
  <b:Source>
    <b:Tag>Kah18</b:Tag>
    <b:SourceType>JournalArticle</b:SourceType>
    <b:Guid>{35E2DE9B-46C9-0346-A1BF-97BB0C88FF35}</b:Guid>
    <b:Title>An international perspective on educators’ perceptions of children with Traumatic Brain Injury</b:Title>
    <b:JournalName>NeuroRehabilitation</b:JournalName>
    <b:Year>2018</b:Year>
    <b:Pages>229-309</b:Pages>
    <b:Author>
      <b:Author>
        <b:NameList>
          <b:Person>
            <b:Last>Kahn</b:Last>
            <b:First>L.G.</b:First>
          </b:Person>
          <b:Person>
            <b:Last>Linden</b:Last>
            <b:First>M.A.</b:First>
          </b:Person>
          <b:Person>
            <b:Last>McKinlay</b:Last>
            <b:First>A.</b:First>
          </b:Person>
          <b:Person>
            <b:Last>Gomez</b:Last>
            <b:First>D.</b:First>
          </b:Person>
          <b:Person>
            <b:Last>Glang </b:Last>
            <b:First>A.</b:First>
          </b:Person>
        </b:NameList>
      </b:Author>
    </b:Author>
    <b:Volume>42</b:Volume>
    <b:Issue>3</b:Issue>
    <b:RefOrder>14</b:RefOrder>
  </b:Source>
  <b:Source>
    <b:Tag>Tod18</b:Tag>
    <b:SourceType>JournalArticle</b:SourceType>
    <b:Guid>{22E5C5E0-F12E-294A-9938-506592A57F3D}</b:Guid>
    <b:Title>Hospital to school transition following traumatic brain injury: a qualitative longitudinal study</b:Title>
    <b:JournalName>NeuroRehabilitation</b:JournalName>
    <b:Year>2018</b:Year>
    <b:Pages>269-276</b:Pages>
    <b:Author>
      <b:Author>
        <b:NameList>
          <b:Person>
            <b:Last>Todis</b:Last>
            <b:First>B.</b:First>
          </b:Person>
          <b:Person>
            <b:Last>McCart</b:Last>
            <b:First>M.</b:First>
          </b:Person>
          <b:Person>
            <b:Last>Glang</b:Last>
            <b:First>A.</b:First>
          </b:Person>
        </b:NameList>
      </b:Author>
    </b:Author>
    <b:Volume>42</b:Volume>
    <b:Issue>3</b:Issue>
    <b:RefOrder>53</b:RefOrder>
  </b:Source>
  <b:Source>
    <b:Tag>Ham19</b:Tag>
    <b:SourceType>Report</b:SourceType>
    <b:Guid>{3CCBD873-1A2B-F940-BCDE-493DC73896CE}</b:Guid>
    <b:Title>Making a successful return to education for children and young people with Acquired Brain Injuries, 2nd. ed.</b:Title>
    <b:Year>2019</b:Year>
    <b:Author>
      <b:Author>
        <b:NameList>
          <b:Person>
            <b:Last>Hammill</b:Last>
            <b:First>Dr.N.</b:First>
          </b:Person>
          <b:Person>
            <b:Last>Bennett</b:Last>
            <b:First>Dr.</b:First>
            <b:Middle>E.</b:Middle>
          </b:Person>
          <b:Person>
            <b:Last>White</b:Last>
            <b:First>P.</b:First>
          </b:Person>
        </b:NameList>
      </b:Author>
    </b:Author>
    <b:City>Nottinghanshire</b:City>
    <b:RefOrder>12</b:RefOrder>
  </b:Source>
  <b:Source>
    <b:Tag>NAB21</b:Tag>
    <b:SourceType>DocumentFromInternetSite</b:SourceType>
    <b:Guid>{AFB92AD5-3461-194D-B603-3468C35D30F6}</b:Guid>
    <b:Title>ABI Return – Children and Young People with Acquired Brain Injury - guiding their return to education</b:Title>
    <b:Year>2021</b:Year>
    <b:Author>
      <b:Author>
        <b:Corporate>N-ABLES</b:Corporate>
      </b:Author>
    </b:Author>
    <b:URL>https://cdn.ymaws.com/ukabif.org.uk/resource/resmgr/return_to_education/return_to_education12_05_2021/abi_return_booklet.pdf</b:URL>
    <b:RefOrder>10</b:RefOrder>
  </b:Source>
  <b:Source>
    <b:Tag>Bat211</b:Tag>
    <b:SourceType>JournalArticle</b:SourceType>
    <b:Guid>{BB2AF9DF-55BE-E14E-9548-004358A811E1}</b:Guid>
    <b:Title>Return to school after acquired brain injury in the UK – the educators’ perspectives</b:Title>
    <b:Year>2021</b:Year>
    <b:JournalName>Journal of research in Special Education</b:JournalName>
    <b:Author>
      <b:Author>
        <b:NameList>
          <b:Person>
            <b:Last>Bate</b:Last>
            <b:First>C.</b:First>
          </b:Person>
          <b:Person>
            <b:Last>Turner</b:Last>
            <b:First>K.</b:First>
          </b:Person>
          <b:Person>
            <b:Last>Fricke</b:Last>
            <b:First>S.</b:First>
          </b:Person>
        </b:NameList>
      </b:Author>
    </b:Author>
    <b:RefOrder>54</b:RefOrder>
  </b:Source>
  <b:Source>
    <b:Tag>Bat212</b:Tag>
    <b:SourceType>JournalArticle</b:SourceType>
    <b:Guid>{DFEF506C-A368-5945-A206-567DB9D0CA6A}</b:Guid>
    <b:Title>Return to school after acquired brain inury in the UK - the educator's perspectives</b:Title>
    <b:JournalName>Journal of Research in Special Education</b:JournalName>
    <b:Year>2021</b:Year>
    <b:Author>
      <b:Author>
        <b:NameList>
          <b:Person>
            <b:Last>Bate</b:Last>
            <b:First>C.</b:First>
          </b:Person>
          <b:Person>
            <b:Last>Turner</b:Last>
            <b:First>K.</b:First>
          </b:Person>
          <b:Person>
            <b:Last>Fricke</b:Last>
            <b:First>S.</b:First>
          </b:Person>
        </b:NameList>
      </b:Author>
    </b:Author>
    <b:RefOrder>11</b:RefOrder>
  </b:Source>
  <b:Source>
    <b:Tag>Tye17</b:Tag>
    <b:SourceType>JournalArticle</b:SourceType>
    <b:Guid>{56FF6A38-1124-A14E-9A27-A4146B0D0256}</b:Guid>
    <b:Title>The experiences of parenting a child with an acquired brain injury: A metasynthesis of the qualitative literature</b:Title>
    <b:JournalName>Brain Injury</b:JournalName>
    <b:Year>2017</b:Year>
    <b:Pages>1553-1563</b:Pages>
    <b:Author>
      <b:Author>
        <b:NameList>
          <b:Person>
            <b:Last>Tyerman</b:Last>
            <b:First>E.</b:First>
          </b:Person>
          <b:Person>
            <b:Last>Eccles</b:Last>
            <b:First>F.J.</b:First>
          </b:Person>
          <b:Person>
            <b:Last>Gray</b:Last>
            <b:First>V.</b:First>
          </b:Person>
        </b:NameList>
      </b:Author>
    </b:Author>
    <b:Volume>31</b:Volume>
    <b:Issue>12</b:Issue>
    <b:RefOrder>31</b:RefOrder>
  </b:Source>
  <b:Source>
    <b:Tag>Sed22</b:Tag>
    <b:SourceType>JournalArticle</b:SourceType>
    <b:Guid>{B4516B84-1CC4-1746-A8A3-60DDA4C7E3D1}</b:Guid>
    <b:Title>Traumatic Brain injury Identified on the basis of the lived experience of his mother </b:Title>
    <b:JournalName>Education research international</b:JournalName>
    <b:Year>2022</b:Year>
    <b:Author>
      <b:Author>
        <b:NameList>
          <b:Person>
            <b:Last>Sedlacǩova</b:Last>
            <b:First>D.</b:First>
          </b:Person>
          <b:Person>
            <b:Last>Kantor</b:Last>
            <b:First>J.</b:First>
          </b:Person>
        </b:NameList>
      </b:Author>
    </b:Author>
    <b:RefOrder>41</b:RefOrder>
  </b:Source>
  <b:Source>
    <b:Tag>McC23</b:Tag>
    <b:SourceType>JournalArticle</b:SourceType>
    <b:Guid>{A53C3FF9-547A-224C-A8D4-23F9B47DE6D8}</b:Guid>
    <b:Title>School experiences following traumatic brain injury: A longitudinal qualitative study</b:Title>
    <b:JournalName>Neurorehabilitation</b:JournalName>
    <b:Year>2023</b:Year>
    <b:Pages>529-537</b:Pages>
    <b:Author>
      <b:Author>
        <b:NameList>
          <b:Person>
            <b:Last>McCart</b:Last>
            <b:First>M.</b:First>
          </b:Person>
          <b:Person>
            <b:Last>Todis</b:Last>
            <b:First>B.</b:First>
          </b:Person>
          <b:Person>
            <b:Last>Gomez</b:Last>
            <b:First>D.</b:First>
          </b:Person>
          <b:Person>
            <b:Last>Glang</b:Last>
            <b:First>A.</b:First>
          </b:Person>
        </b:NameList>
      </b:Author>
    </b:Author>
    <b:Volume>52</b:Volume>
    <b:RefOrder>32</b:RefOrder>
  </b:Source>
  <b:Source>
    <b:Tag>Bal</b:Tag>
    <b:SourceType>JournalArticle</b:SourceType>
    <b:Guid>{B51CA044-9B22-2B48-8A74-5A28CF0BEFC4}</b:Guid>
    <b:Author>
      <b:Author>
        <b:NameList>
          <b:Person>
            <b:Last>Ball</b:Last>
            <b:First>H.</b:First>
          </b:Person>
          <b:Person>
            <b:Last>Howe</b:Last>
            <b:First>J.</b:First>
          </b:Person>
        </b:NameList>
      </b:Author>
    </b:Author>
    <b:Title>How can educational psychologists support the reintegration of children with an acquired brain injury upon their return to school?</b:Title>
    <b:JournalName>Educational Psychology in Practice</b:JournalName>
    <b:Year>2013</b:Year>
    <b:Pages>69-78</b:Pages>
    <b:Volume>29</b:Volume>
    <b:Issue>1</b:Issue>
    <b:RefOrder>55</b:RefOrder>
  </b:Source>
  <b:Source>
    <b:Tag>Lin18</b:Tag>
    <b:SourceType>JournalArticle</b:SourceType>
    <b:Guid>{18402AFC-12FB-8146-BC52-E34216CD4735}</b:Guid>
    <b:Title>How can we help children with brain injuries transition back to school?</b:Title>
    <b:JournalName>Science Daily</b:JournalName>
    <b:Year>2018</b:Year>
    <b:Author>
      <b:Author>
        <b:NameList>
          <b:Person>
            <b:Last>Linden</b:Last>
            <b:First>M.A.</b:First>
          </b:Person>
        </b:NameList>
      </b:Author>
    </b:Author>
    <b:Publisher>https://www.sciencedaily.com/releases/2018/05/180515105721.htm</b:Publisher>
    <b:RefOrder>56</b:RefOrder>
  </b:Source>
  <b:Source>
    <b:Tag>Stu22</b:Tag>
    <b:SourceType>JournalArticle</b:SourceType>
    <b:Guid>{15765CEA-BF04-244A-9502-7A0B71023A69}</b:Guid>
    <b:Title>Predictors of Functional School Outcome in Children With Pediatric Acquired Brain Injury</b:Title>
    <b:JournalName>Frontiers in Neurology</b:JournalName>
    <b:Year>2022</b:Year>
    <b:Author>
      <b:Author>
        <b:NameList>
          <b:Person>
            <b:Last>Stubberud</b:Last>
            <b:First>J.</b:First>
          </b:Person>
          <b:Person>
            <b:Last>Hypher</b:Last>
            <b:First>R.</b:First>
          </b:Person>
          <b:Person>
            <b:Last>Brandt</b:Last>
            <b:Middle>E.</b:Middle>
            <b:First>A.</b:First>
          </b:Person>
          <b:Person>
            <b:Last>Finnanger</b:Last>
            <b:Middle>G.</b:Middle>
            <b:First>T.</b:First>
          </b:Person>
          <b:Person>
            <b:Last>Skovlund</b:Last>
            <b:First>E.</b:First>
          </b:Person>
          <b:Person>
            <b:Last>Andersson</b:Last>
            <b:First>S.</b:First>
          </b:Person>
          <b:Person>
            <b:Last>Risnes</b:Last>
            <b:First>K.</b:First>
          </b:Person>
          <b:Person>
            <b:Last>Torstein</b:Last>
            <b:First>B.</b:First>
          </b:Person>
        </b:NameList>
      </b:Author>
    </b:Author>
    <b:Volume>13</b:Volume>
    <b:RefOrder>34</b:RefOrder>
  </b:Source>
  <b:Source>
    <b:Tag>Lin181</b:Tag>
    <b:SourceType>JournalArticle</b:SourceType>
    <b:Guid>{EC2B5608-2972-9D47-A617-198800EF1CD1}</b:Guid>
    <b:Title>A systematic review and meta-analysis of educational interventions for children and adolescents with acquired brain injury</b:Title>
    <b:JournalName>NeurorRehabiliation</b:JournalName>
    <b:Year>2018</b:Year>
    <b:Pages>311-323</b:Pages>
    <b:Author>
      <b:Author>
        <b:NameList>
          <b:Person>
            <b:Last>Linden</b:Last>
            <b:First>M.A.</b:First>
          </b:Person>
          <b:Person>
            <b:Last>Glang</b:Last>
            <b:First>A.E.</b:First>
          </b:Person>
          <b:Person>
            <b:Last>McKinlay</b:Last>
            <b:First>A.</b:First>
          </b:Person>
        </b:NameList>
      </b:Author>
    </b:Author>
    <b:Volume>42</b:Volume>
    <b:RefOrder>7</b:RefOrder>
  </b:Source>
  <b:Source>
    <b:Tag>McC19</b:Tag>
    <b:SourceType>JournalArticle</b:SourceType>
    <b:Guid>{3B939B4C-8E7E-4A48-BFFF-A4B4C788716C}</b:Guid>
    <b:Title>What do kids with acquired brain injury want? Mapping neuropsychological rehabilitation goals to the international classification of functioning, disability and health</b:Title>
    <b:JournalName>Jourfnal of international Neuropsychological Society</b:JournalName>
    <b:Year>2019</b:Year>
    <b:Pages>403-412</b:Pages>
    <b:Author>
      <b:Author>
        <b:NameList>
          <b:Person>
            <b:Last>McCarron</b:Last>
            <b:First>R.H.</b:First>
          </b:Person>
          <b:Person>
            <b:Last>Watson</b:Last>
            <b:First>S.</b:First>
          </b:Person>
          <b:Person>
            <b:Last>Gracey</b:Last>
            <b:First>F.</b:First>
          </b:Person>
        </b:NameList>
      </b:Author>
    </b:Author>
    <b:Volume>25</b:Volume>
    <b:RefOrder>40</b:RefOrder>
  </b:Source>
  <b:Source>
    <b:Tag>Jim</b:Tag>
    <b:SourceType>JournalArticle</b:SourceType>
    <b:Guid>{02298A22-B851-8548-8FCA-538E106A8904}</b:Guid>
    <b:Author>
      <b:Author>
        <b:NameList>
          <b:Person>
            <b:Last>Jimenez</b:Last>
            <b:First>N.</b:First>
          </b:Person>
          <b:Person>
            <b:Last>Virtue</b:Last>
            <b:First>A.</b:First>
          </b:Person>
          <b:Person>
            <b:Last>Segar</b:Last>
            <b:First>K.</b:First>
          </b:Person>
          <b:Person>
            <b:Last>Stoep</b:Last>
            <b:First>A.V.</b:First>
          </b:Person>
          <b:Person>
            <b:Last>Rivara</b:Last>
            <b:First>F.P.</b:First>
          </b:Person>
        </b:NameList>
      </b:Author>
    </b:Author>
    <b:Title>Effect of school services on academic performance after traumatic brain injury in hispanic and non-hispanic students.</b:Title>
    <b:JournalName>Journal of School Health</b:JournalName>
    <b:Year>2019</b:Year>
    <b:Pages>519-526</b:Pages>
    <b:Volume>89</b:Volume>
    <b:Issue>7</b:Issue>
    <b:RefOrder>57</b:RefOrder>
  </b:Source>
  <b:Source>
    <b:Tag>Lin131</b:Tag>
    <b:SourceType>JournalArticle</b:SourceType>
    <b:Guid>{1453BE80-4E21-954D-813C-6AB0D57C358A}</b:Guid>
    <b:Title>Educational professionals’ understanding of childhood traumatic brain injury</b:Title>
    <b:JournalName>Brain Injury</b:JournalName>
    <b:Year>2013</b:Year>
    <b:Pages>92-102</b:Pages>
    <b:Author>
      <b:Author>
        <b:NameList>
          <b:Person>
            <b:Last>Linden</b:Last>
            <b:First>M.A.</b:First>
          </b:Person>
          <b:Person>
            <b:Last>Braiden</b:Last>
            <b:First>H.J.</b:First>
          </b:Person>
          <b:Person>
            <b:Last>Miller</b:Last>
            <b:First>S.</b:First>
          </b:Person>
        </b:NameList>
      </b:Author>
    </b:Author>
    <b:Volume>27</b:Volume>
    <b:Issue>1</b:Issue>
    <b:RefOrder>58</b:RefOrder>
  </b:Source>
  <b:Source>
    <b:Tag>Bra213</b:Tag>
    <b:SourceType>InternetSite</b:SourceType>
    <b:Guid>{B37E0B4D-2CC1-174B-BD0F-868AE70F6B76}</b:Guid>
    <b:Title>Brain Injury Center</b:Title>
    <b:Year>2021</b:Year>
    <b:Author>
      <b:Author>
        <b:Corporate>Brain Injury Center</b:Corporate>
      </b:Author>
    </b:Author>
    <b:InternetSiteTitle>Choosing the Right ssistive Technology for Children</b:InternetSiteTitle>
    <b:URL>https://www.braininjurycenter.org/blog/?article=81</b:URL>
    <b:Month>July</b:Month>
    <b:Day>18</b:Day>
    <b:RefOrder>36</b:RefOrder>
  </b:Source>
  <b:Source>
    <b:Tag>Whe23</b:Tag>
    <b:SourceType>JournalArticle</b:SourceType>
    <b:Guid>{6E8CCAE7-2677-A040-A52E-A15EF2FB58EC}</b:Guid>
    <b:Title>Using technology to enhance learning for students with traumatic brain injuries</b:Title>
    <b:Year>2023</b:Year>
    <b:Author>
      <b:Author>
        <b:NameList>
          <b:Person>
            <b:Last>Wherfel</b:Last>
            <b:First>Q.M.</b:First>
          </b:Person>
          <b:Person>
            <b:Last>Bakken</b:Last>
            <b:First>J.P.</b:First>
          </b:Person>
        </b:NameList>
      </b:Author>
    </b:Author>
    <b:JournalName>Using Technology to Enhance Special Education (Advances in Special Education)</b:JournalName>
    <b:Pages>143-158</b:Pages>
    <b:Volume>37</b:Volume>
    <b:RefOrder>37</b:RefOrder>
  </b:Source>
  <b:Source>
    <b:Tag>Sen</b:Tag>
    <b:SourceType>Misc</b:SourceType>
    <b:Guid>{7E8B3A61-F9D9-8548-A89F-7E9E4DDB67F3}</b:Guid>
    <b:Title>Classroom adjustments: Acquired Brain Injury (ABI)</b:Title>
    <b:Publisher>NCCD</b:Publisher>
    <b:Medium>Audio podcast</b:Medium>
    <b:Author>
      <b:Author>
        <b:NameList>
          <b:Person>
            <b:Last>Senelmis</b:Last>
            <b:First>Serpil</b:First>
            <b:Middle>(Host)</b:Middle>
          </b:Person>
        </b:NameList>
      </b:Author>
    </b:Author>
    <b:Year>2022-present</b:Year>
    <b:RefOrder>38</b:RefOrder>
  </b:Source>
  <b:Source>
    <b:Tag>Jam20</b:Tag>
    <b:SourceType>JournalArticle</b:SourceType>
    <b:Guid>{FCBB3CDF-406C-2848-83AD-78DEC3EFE3DF}</b:Guid>
    <b:Title>Technology to encourage meaningful activities following brain injury</b:Title>
    <b:Year>2020</b:Year>
    <b:Author>
      <b:Author>
        <b:NameList>
          <b:Person>
            <b:Last>Jamieson</b:Last>
            <b:First>M.</b:First>
          </b:Person>
          <b:Person>
            <b:Last>Jack</b:Last>
            <b:First>R.</b:First>
          </b:Person>
          <b:Person>
            <b:Last>O'Neill</b:Last>
            <b:First>B.</b:First>
          </b:Person>
          <b:Person>
            <b:Last>Cullen</b:Last>
            <b:First>B.</b:First>
          </b:Person>
          <b:Person>
            <b:Last>Lennon</b:Last>
            <b:First>M.</b:First>
          </b:Person>
          <b:Person>
            <b:Last>Brewster</b:Last>
            <b:First>S.</b:First>
          </b:Person>
          <b:Person>
            <b:Last>Evans</b:Last>
            <b:First>J.</b:First>
          </b:Person>
        </b:NameList>
      </b:Author>
    </b:Author>
    <b:JournalName>Disability and Rehabilitation: Assistive Technology</b:JournalName>
    <b:Pages>453-466</b:Pages>
    <b:Volume>15</b:Volume>
    <b:Issue>4</b:Issue>
    <b:RefOrder>39</b:RefOrder>
  </b:Source>
</b:Sources>
</file>

<file path=customXml/itemProps1.xml><?xml version="1.0" encoding="utf-8"?>
<ds:datastoreItem xmlns:ds="http://schemas.openxmlformats.org/officeDocument/2006/customXml" ds:itemID="{B1E5CB00-1B6A-C24A-87D6-B749240D9A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8438</Words>
  <Characters>48103</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Aoife Lynam</dc:creator>
  <cp:keywords/>
  <dc:description/>
  <cp:lastModifiedBy>Conor Mc Guckin</cp:lastModifiedBy>
  <cp:revision>34</cp:revision>
  <dcterms:created xsi:type="dcterms:W3CDTF">2024-12-11T16:03:00Z</dcterms:created>
  <dcterms:modified xsi:type="dcterms:W3CDTF">2026-04-05T09:33:00Z</dcterms:modified>
</cp:coreProperties>
</file>