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CC552" w14:textId="7937C6BB" w:rsidR="002E7703" w:rsidRDefault="002E7703">
      <w:pPr>
        <w:rPr>
          <w:rStyle w:val="fontstyle01"/>
          <w:rFonts w:asciiTheme="minorHAnsi" w:hAnsiTheme="minorHAnsi" w:cstheme="minorHAnsi"/>
        </w:rPr>
      </w:pPr>
    </w:p>
    <w:p w14:paraId="2341CE49" w14:textId="77777777" w:rsidR="00E41B4B" w:rsidRPr="00E41B4B" w:rsidRDefault="00E41B4B" w:rsidP="00E41B4B">
      <w:pPr>
        <w:rPr>
          <w:rStyle w:val="fontstyle01"/>
          <w:rFonts w:asciiTheme="minorHAnsi" w:hAnsiTheme="minorHAnsi" w:cstheme="minorHAnsi"/>
        </w:rPr>
      </w:pPr>
      <w:r w:rsidRPr="00E41B4B">
        <w:rPr>
          <w:rStyle w:val="fontstyle01"/>
          <w:rFonts w:asciiTheme="minorHAnsi" w:hAnsiTheme="minorHAnsi" w:cstheme="minorHAnsi"/>
        </w:rPr>
        <w:t>Title</w:t>
      </w:r>
    </w:p>
    <w:p w14:paraId="2E939A11"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The development of outcome key performance indicators for systemic anti-cancer therapy using a modified Delphi method.</w:t>
      </w:r>
    </w:p>
    <w:p w14:paraId="6F8A45F4" w14:textId="77777777" w:rsidR="00E41B4B" w:rsidRPr="00E41B4B" w:rsidRDefault="00E41B4B" w:rsidP="00E41B4B">
      <w:pPr>
        <w:rPr>
          <w:rStyle w:val="fontstyle01"/>
          <w:rFonts w:asciiTheme="minorHAnsi" w:hAnsiTheme="minorHAnsi" w:cstheme="minorHAnsi"/>
          <w:b w:val="0"/>
          <w:bCs w:val="0"/>
        </w:rPr>
      </w:pPr>
    </w:p>
    <w:p w14:paraId="6D0B6FEC" w14:textId="77777777" w:rsidR="00E41B4B" w:rsidRPr="00E41B4B" w:rsidRDefault="00E41B4B" w:rsidP="00E41B4B">
      <w:pPr>
        <w:rPr>
          <w:rStyle w:val="fontstyle01"/>
          <w:rFonts w:asciiTheme="minorHAnsi" w:hAnsiTheme="minorHAnsi" w:cstheme="minorHAnsi"/>
        </w:rPr>
      </w:pPr>
      <w:r w:rsidRPr="00E41B4B">
        <w:rPr>
          <w:rStyle w:val="fontstyle01"/>
          <w:rFonts w:asciiTheme="minorHAnsi" w:hAnsiTheme="minorHAnsi" w:cstheme="minorHAnsi"/>
        </w:rPr>
        <w:t>Authors</w:t>
      </w:r>
    </w:p>
    <w:p w14:paraId="6AD1B475"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Ms. Ciara Mellett, MSc, BSc</w:t>
      </w:r>
    </w:p>
    <w:p w14:paraId="0A04D2EF"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(Current address: Sláintecare Programme Implementation Office, Department of Health, Miesian Plaza, Baggot Street, Dublin D02 XW14, Ireland)</w:t>
      </w:r>
    </w:p>
    <w:p w14:paraId="761CD9FC"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E-mail: Ciara_mellett@health.gov.ie, Telephone +353 1 6354157.</w:t>
      </w:r>
    </w:p>
    <w:p w14:paraId="4BE39D78" w14:textId="77777777" w:rsidR="00E41B4B" w:rsidRPr="00E41B4B" w:rsidRDefault="00E41B4B" w:rsidP="00E41B4B">
      <w:pPr>
        <w:rPr>
          <w:rStyle w:val="fontstyle01"/>
          <w:rFonts w:asciiTheme="minorHAnsi" w:hAnsiTheme="minorHAnsi" w:cstheme="minorHAnsi"/>
          <w:b w:val="0"/>
          <w:bCs w:val="0"/>
        </w:rPr>
      </w:pPr>
    </w:p>
    <w:p w14:paraId="761CE76C"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Ms. Anita O'Donovan, BSc, MA(jo), Assistant Professor of Radiation Therapy, The University of Dublin, Trinity College, Ireland.</w:t>
      </w:r>
    </w:p>
    <w:p w14:paraId="4DE70A7A" w14:textId="77777777" w:rsidR="00E41B4B" w:rsidRPr="00E41B4B" w:rsidRDefault="00E41B4B" w:rsidP="00E41B4B">
      <w:pPr>
        <w:rPr>
          <w:rStyle w:val="fontstyle01"/>
          <w:rFonts w:asciiTheme="minorHAnsi" w:hAnsiTheme="minorHAnsi" w:cstheme="minorHAnsi"/>
          <w:b w:val="0"/>
          <w:bCs w:val="0"/>
        </w:rPr>
      </w:pPr>
    </w:p>
    <w:p w14:paraId="3389C80F" w14:textId="77777777" w:rsidR="00E41B4B" w:rsidRPr="00E41B4B" w:rsidRDefault="00E41B4B" w:rsidP="00E41B4B">
      <w:pPr>
        <w:rPr>
          <w:rStyle w:val="fontstyle01"/>
          <w:rFonts w:asciiTheme="minorHAnsi" w:hAnsiTheme="minorHAnsi" w:cstheme="minorHAnsi"/>
          <w:b w:val="0"/>
          <w:bCs w:val="0"/>
        </w:rPr>
      </w:pPr>
      <w:proofErr w:type="spellStart"/>
      <w:r w:rsidRPr="00E41B4B">
        <w:rPr>
          <w:rStyle w:val="fontstyle01"/>
          <w:rFonts w:asciiTheme="minorHAnsi" w:hAnsiTheme="minorHAnsi" w:cstheme="minorHAnsi"/>
          <w:b w:val="0"/>
          <w:bCs w:val="0"/>
        </w:rPr>
        <w:t>Dr.</w:t>
      </w:r>
      <w:proofErr w:type="spellEnd"/>
      <w:r w:rsidRPr="00E41B4B">
        <w:rPr>
          <w:rStyle w:val="fontstyle01"/>
          <w:rFonts w:asciiTheme="minorHAnsi" w:hAnsiTheme="minorHAnsi" w:cstheme="minorHAnsi"/>
          <w:b w:val="0"/>
          <w:bCs w:val="0"/>
        </w:rPr>
        <w:t xml:space="preserve"> Catherine Hayes, MD, MPH, FFPHMI, MCRGP, Associate Professor of Public Health, The University of Dublin, Trinity College, Ireland.</w:t>
      </w:r>
    </w:p>
    <w:p w14:paraId="47CCA3D7" w14:textId="77777777" w:rsidR="00E41B4B" w:rsidRPr="00E41B4B" w:rsidRDefault="00E41B4B" w:rsidP="00E41B4B">
      <w:pPr>
        <w:rPr>
          <w:rStyle w:val="fontstyle01"/>
          <w:rFonts w:asciiTheme="minorHAnsi" w:hAnsiTheme="minorHAnsi" w:cstheme="minorHAnsi"/>
          <w:b w:val="0"/>
          <w:bCs w:val="0"/>
        </w:rPr>
      </w:pPr>
    </w:p>
    <w:p w14:paraId="10B65862" w14:textId="77777777" w:rsidR="00E41B4B" w:rsidRPr="00E41B4B" w:rsidRDefault="00E41B4B" w:rsidP="00E41B4B">
      <w:pPr>
        <w:rPr>
          <w:rStyle w:val="fontstyle01"/>
          <w:rFonts w:asciiTheme="minorHAnsi" w:hAnsiTheme="minorHAnsi" w:cstheme="minorHAnsi"/>
        </w:rPr>
      </w:pPr>
      <w:r w:rsidRPr="00E41B4B">
        <w:rPr>
          <w:rStyle w:val="fontstyle01"/>
          <w:rFonts w:asciiTheme="minorHAnsi" w:hAnsiTheme="minorHAnsi" w:cstheme="minorHAnsi"/>
        </w:rPr>
        <w:t>Acknowledgements</w:t>
      </w:r>
    </w:p>
    <w:p w14:paraId="3E6962F2"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 xml:space="preserve">The authors wish to thank all those who participated on the Delphi panel for their purposeful contribution to the study: Balding L, Brown J, Byrne T, Desmond R, Grady O, Gupta R, </w:t>
      </w:r>
      <w:proofErr w:type="spellStart"/>
      <w:r w:rsidRPr="00E41B4B">
        <w:rPr>
          <w:rStyle w:val="fontstyle01"/>
          <w:rFonts w:asciiTheme="minorHAnsi" w:hAnsiTheme="minorHAnsi" w:cstheme="minorHAnsi"/>
          <w:b w:val="0"/>
          <w:bCs w:val="0"/>
        </w:rPr>
        <w:t>Heckmann</w:t>
      </w:r>
      <w:proofErr w:type="spellEnd"/>
      <w:r w:rsidRPr="00E41B4B">
        <w:rPr>
          <w:rStyle w:val="fontstyle01"/>
          <w:rFonts w:asciiTheme="minorHAnsi" w:hAnsiTheme="minorHAnsi" w:cstheme="minorHAnsi"/>
          <w:b w:val="0"/>
          <w:bCs w:val="0"/>
        </w:rPr>
        <w:t xml:space="preserve"> P, Horgan A, Kelly F, McCrorie, S, McDermott R, McEntee F, McLoughlin M, Meade E, Morris P, Murphy P, Murray D, O'Brien C, O'Connell D, O'Connor Maire, O'Connor Miriam, O'Donnell D, O'Dowd P, O'Leary N, </w:t>
      </w:r>
      <w:proofErr w:type="spellStart"/>
      <w:r w:rsidRPr="00E41B4B">
        <w:rPr>
          <w:rStyle w:val="fontstyle01"/>
          <w:rFonts w:asciiTheme="minorHAnsi" w:hAnsiTheme="minorHAnsi" w:cstheme="minorHAnsi"/>
          <w:b w:val="0"/>
          <w:bCs w:val="0"/>
        </w:rPr>
        <w:t>O'Mahony</w:t>
      </w:r>
      <w:proofErr w:type="spellEnd"/>
      <w:r w:rsidRPr="00E41B4B">
        <w:rPr>
          <w:rStyle w:val="fontstyle01"/>
          <w:rFonts w:asciiTheme="minorHAnsi" w:hAnsiTheme="minorHAnsi" w:cstheme="minorHAnsi"/>
          <w:b w:val="0"/>
          <w:bCs w:val="0"/>
        </w:rPr>
        <w:t xml:space="preserve"> D, Quinn J, Richmond J, Robinson T, Ryan K, Ryan P, Sheridan N, </w:t>
      </w:r>
      <w:proofErr w:type="spellStart"/>
      <w:r w:rsidRPr="00E41B4B">
        <w:rPr>
          <w:rStyle w:val="fontstyle01"/>
          <w:rFonts w:asciiTheme="minorHAnsi" w:hAnsiTheme="minorHAnsi" w:cstheme="minorHAnsi"/>
          <w:b w:val="0"/>
          <w:bCs w:val="0"/>
        </w:rPr>
        <w:t>Summersby</w:t>
      </w:r>
      <w:proofErr w:type="spellEnd"/>
      <w:r w:rsidRPr="00E41B4B">
        <w:rPr>
          <w:rStyle w:val="fontstyle01"/>
          <w:rFonts w:asciiTheme="minorHAnsi" w:hAnsiTheme="minorHAnsi" w:cstheme="minorHAnsi"/>
          <w:b w:val="0"/>
          <w:bCs w:val="0"/>
        </w:rPr>
        <w:t xml:space="preserve"> E, Thornton P.</w:t>
      </w:r>
    </w:p>
    <w:p w14:paraId="6C05B25B" w14:textId="77777777" w:rsidR="00E41B4B" w:rsidRPr="00E41B4B" w:rsidRDefault="00E41B4B" w:rsidP="00E41B4B">
      <w:pPr>
        <w:rPr>
          <w:rStyle w:val="fontstyle01"/>
          <w:rFonts w:asciiTheme="minorHAnsi" w:hAnsiTheme="minorHAnsi" w:cstheme="minorHAnsi"/>
          <w:b w:val="0"/>
          <w:bCs w:val="0"/>
        </w:rPr>
      </w:pPr>
    </w:p>
    <w:p w14:paraId="31984219" w14:textId="77777777" w:rsidR="00E41B4B" w:rsidRPr="00E41B4B" w:rsidRDefault="00E41B4B" w:rsidP="00E41B4B">
      <w:pPr>
        <w:rPr>
          <w:rStyle w:val="fontstyle01"/>
          <w:rFonts w:asciiTheme="minorHAnsi" w:hAnsiTheme="minorHAnsi" w:cstheme="minorHAnsi"/>
        </w:rPr>
      </w:pPr>
      <w:r w:rsidRPr="00E41B4B">
        <w:rPr>
          <w:rStyle w:val="fontstyle01"/>
          <w:rFonts w:asciiTheme="minorHAnsi" w:hAnsiTheme="minorHAnsi" w:cstheme="minorHAnsi"/>
        </w:rPr>
        <w:t>Conflict of interest statement</w:t>
      </w:r>
    </w:p>
    <w:p w14:paraId="392C886F" w14:textId="77777777"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The authors have no conflicts of interest to declare.</w:t>
      </w:r>
    </w:p>
    <w:p w14:paraId="7C7ACB82" w14:textId="77777777" w:rsidR="00E41B4B" w:rsidRPr="00E41B4B" w:rsidRDefault="00E41B4B" w:rsidP="00E41B4B">
      <w:pPr>
        <w:rPr>
          <w:rStyle w:val="fontstyle01"/>
          <w:rFonts w:asciiTheme="minorHAnsi" w:hAnsiTheme="minorHAnsi" w:cstheme="minorHAnsi"/>
          <w:b w:val="0"/>
          <w:bCs w:val="0"/>
        </w:rPr>
      </w:pPr>
    </w:p>
    <w:p w14:paraId="0DDE3B7B" w14:textId="77777777" w:rsidR="00E41B4B" w:rsidRPr="00E41B4B" w:rsidRDefault="00E41B4B" w:rsidP="00E41B4B">
      <w:pPr>
        <w:rPr>
          <w:rStyle w:val="fontstyle01"/>
          <w:rFonts w:asciiTheme="minorHAnsi" w:hAnsiTheme="minorHAnsi" w:cstheme="minorHAnsi"/>
        </w:rPr>
      </w:pPr>
      <w:r w:rsidRPr="00E41B4B">
        <w:rPr>
          <w:rStyle w:val="fontstyle01"/>
          <w:rFonts w:asciiTheme="minorHAnsi" w:hAnsiTheme="minorHAnsi" w:cstheme="minorHAnsi"/>
        </w:rPr>
        <w:t>Funding statement</w:t>
      </w:r>
    </w:p>
    <w:p w14:paraId="48E3193D" w14:textId="219C9DE6" w:rsidR="00E41B4B" w:rsidRPr="00E41B4B" w:rsidRDefault="00E41B4B" w:rsidP="00E41B4B">
      <w:pPr>
        <w:rPr>
          <w:rStyle w:val="fontstyle01"/>
          <w:rFonts w:asciiTheme="minorHAnsi" w:hAnsiTheme="minorHAnsi" w:cstheme="minorHAnsi"/>
          <w:b w:val="0"/>
          <w:bCs w:val="0"/>
        </w:rPr>
      </w:pPr>
      <w:r w:rsidRPr="00E41B4B">
        <w:rPr>
          <w:rStyle w:val="fontstyle01"/>
          <w:rFonts w:asciiTheme="minorHAnsi" w:hAnsiTheme="minorHAnsi" w:cstheme="minorHAnsi"/>
          <w:b w:val="0"/>
          <w:bCs w:val="0"/>
        </w:rPr>
        <w:t>No funding support was provided to undertake this research.  The research was undertaken by the lead author as a dissertation to the Faculty of Health Sciences, The University of Dublin, Trinity College, in partial fulfilment of the requirements for the award of the degree of Master of Science in Health Services Management.  The completion of the Master's degree was supported by funding from the Health Service Executive (Ireland).</w:t>
      </w:r>
    </w:p>
    <w:p w14:paraId="26471C7B" w14:textId="77777777" w:rsidR="00E41B4B" w:rsidRDefault="00E41B4B">
      <w:pPr>
        <w:rPr>
          <w:rStyle w:val="fontstyle01"/>
          <w:rFonts w:asciiTheme="minorHAnsi" w:hAnsiTheme="minorHAnsi" w:cstheme="minorHAnsi"/>
        </w:rPr>
      </w:pPr>
      <w:r>
        <w:rPr>
          <w:rStyle w:val="fontstyle01"/>
          <w:rFonts w:asciiTheme="minorHAnsi" w:hAnsiTheme="minorHAnsi" w:cstheme="minorHAnsi"/>
        </w:rPr>
        <w:br w:type="page"/>
      </w:r>
    </w:p>
    <w:p w14:paraId="07FD54E7" w14:textId="77777777" w:rsidR="00E41B4B" w:rsidRDefault="00D03D7B">
      <w:pPr>
        <w:rPr>
          <w:rStyle w:val="fontstyle01"/>
          <w:rFonts w:asciiTheme="minorHAnsi" w:hAnsiTheme="minorHAnsi" w:cstheme="minorHAnsi"/>
        </w:rPr>
      </w:pPr>
      <w:r w:rsidRPr="003A55BF">
        <w:rPr>
          <w:rStyle w:val="fontstyle01"/>
          <w:rFonts w:asciiTheme="minorHAnsi" w:hAnsiTheme="minorHAnsi" w:cstheme="minorHAnsi"/>
        </w:rPr>
        <w:lastRenderedPageBreak/>
        <w:t>Abstract</w:t>
      </w:r>
    </w:p>
    <w:p w14:paraId="114AB64D" w14:textId="111C5BE0" w:rsidR="002E7703" w:rsidRPr="003A55BF" w:rsidRDefault="00D03D7B">
      <w:pPr>
        <w:rPr>
          <w:rStyle w:val="fontstyle21"/>
          <w:rFonts w:asciiTheme="minorHAnsi" w:hAnsiTheme="minorHAnsi" w:cstheme="minorHAnsi"/>
          <w:sz w:val="20"/>
          <w:szCs w:val="20"/>
        </w:rPr>
      </w:pPr>
      <w:r w:rsidRPr="003A55BF">
        <w:rPr>
          <w:rFonts w:cstheme="minorHAnsi"/>
          <w:b/>
          <w:bCs/>
          <w:color w:val="242021"/>
          <w:sz w:val="20"/>
          <w:szCs w:val="20"/>
        </w:rPr>
        <w:br/>
      </w:r>
      <w:r w:rsidRPr="003A55BF">
        <w:rPr>
          <w:rStyle w:val="fontstyle01"/>
          <w:rFonts w:asciiTheme="minorHAnsi" w:hAnsiTheme="minorHAnsi" w:cstheme="minorHAnsi"/>
        </w:rPr>
        <w:t xml:space="preserve">Objective: </w:t>
      </w:r>
      <w:r w:rsidRPr="003A55BF">
        <w:rPr>
          <w:rStyle w:val="fontstyle21"/>
          <w:rFonts w:asciiTheme="minorHAnsi" w:hAnsiTheme="minorHAnsi" w:cstheme="minorHAnsi"/>
          <w:sz w:val="20"/>
          <w:szCs w:val="20"/>
        </w:rPr>
        <w:t>Performance measurement of health services informs safe, quality care.</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Key performance indicators (KPIs) offer one such measurement. Limited research</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exists on outcome KPIs in systemic anti-cancer therapy (SACT). The objective of this</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study was to develop outcome KPIs for SACT services.</w:t>
      </w:r>
    </w:p>
    <w:p w14:paraId="2D4F211D" w14:textId="77777777" w:rsidR="002E7703" w:rsidRPr="003A55BF" w:rsidRDefault="00D03D7B">
      <w:pPr>
        <w:rPr>
          <w:rStyle w:val="fontstyle21"/>
          <w:rFonts w:asciiTheme="minorHAnsi" w:hAnsiTheme="minorHAnsi" w:cstheme="minorHAnsi"/>
          <w:sz w:val="20"/>
          <w:szCs w:val="20"/>
        </w:rPr>
      </w:pPr>
      <w:r w:rsidRPr="003A55BF">
        <w:rPr>
          <w:rFonts w:cstheme="minorHAnsi"/>
          <w:color w:val="242021"/>
          <w:sz w:val="20"/>
          <w:szCs w:val="20"/>
        </w:rPr>
        <w:br/>
      </w:r>
      <w:r w:rsidRPr="003A55BF">
        <w:rPr>
          <w:rStyle w:val="fontstyle01"/>
          <w:rFonts w:asciiTheme="minorHAnsi" w:hAnsiTheme="minorHAnsi" w:cstheme="minorHAnsi"/>
        </w:rPr>
        <w:t xml:space="preserve">Methods: </w:t>
      </w:r>
      <w:r w:rsidRPr="003A55BF">
        <w:rPr>
          <w:rStyle w:val="fontstyle21"/>
          <w:rFonts w:asciiTheme="minorHAnsi" w:hAnsiTheme="minorHAnsi" w:cstheme="minorHAnsi"/>
          <w:sz w:val="20"/>
          <w:szCs w:val="20"/>
        </w:rPr>
        <w:t>A Delphi panel of patient advocates and health professionals (</w:t>
      </w:r>
      <w:r w:rsidRPr="003A55BF">
        <w:rPr>
          <w:rStyle w:val="fontstyle31"/>
          <w:rFonts w:asciiTheme="minorHAnsi" w:hAnsiTheme="minorHAnsi" w:cstheme="minorHAnsi"/>
          <w:sz w:val="20"/>
          <w:szCs w:val="20"/>
        </w:rPr>
        <w:t xml:space="preserve">n </w:t>
      </w:r>
      <w:r w:rsidRPr="003A55BF">
        <w:rPr>
          <w:rStyle w:val="fontstyle21"/>
          <w:rFonts w:asciiTheme="minorHAnsi" w:hAnsiTheme="minorHAnsi" w:cstheme="minorHAnsi"/>
          <w:sz w:val="20"/>
          <w:szCs w:val="20"/>
        </w:rPr>
        <w:t>= 35) rated</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KPIs over four rounds. Participants rated KPIs on validity, reliability, acceptability and</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feasibility and addressed barriers and facilitators to implementation. Qualitative and</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quantitative data analyses included Kendall's coefficient of concordance, Wilcoxon</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signed-rank test on stability of responses and Kruskal–Wallis test for differences in</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stakeholder groups' responses.</w:t>
      </w:r>
    </w:p>
    <w:p w14:paraId="158D0560" w14:textId="77777777" w:rsidR="002E7703" w:rsidRPr="003A55BF" w:rsidRDefault="00D03D7B">
      <w:pPr>
        <w:rPr>
          <w:rStyle w:val="fontstyle21"/>
          <w:rFonts w:asciiTheme="minorHAnsi" w:hAnsiTheme="minorHAnsi" w:cstheme="minorHAnsi"/>
          <w:sz w:val="20"/>
          <w:szCs w:val="20"/>
        </w:rPr>
      </w:pPr>
      <w:r w:rsidRPr="003A55BF">
        <w:rPr>
          <w:rFonts w:cstheme="minorHAnsi"/>
          <w:color w:val="242021"/>
          <w:sz w:val="20"/>
          <w:szCs w:val="20"/>
        </w:rPr>
        <w:br/>
      </w:r>
      <w:r w:rsidRPr="003A55BF">
        <w:rPr>
          <w:rStyle w:val="fontstyle01"/>
          <w:rFonts w:asciiTheme="minorHAnsi" w:hAnsiTheme="minorHAnsi" w:cstheme="minorHAnsi"/>
        </w:rPr>
        <w:t xml:space="preserve">Results: </w:t>
      </w:r>
      <w:r w:rsidRPr="003A55BF">
        <w:rPr>
          <w:rStyle w:val="fontstyle21"/>
          <w:rFonts w:asciiTheme="minorHAnsi" w:hAnsiTheme="minorHAnsi" w:cstheme="minorHAnsi"/>
          <w:sz w:val="20"/>
          <w:szCs w:val="20"/>
        </w:rPr>
        <w:t>Twenty-six KPIs reached agreement, of which nine were prioritised. These</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were a mixture of outcome and process measures: death within 30 days of SACT,</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neutropenic sepsis, assessment of palliative care needs, medication errors, multidisciplinary team discussion, patient information and timeframe from surgery to SACT.</w:t>
      </w:r>
      <w:r w:rsidRPr="003A55BF">
        <w:rPr>
          <w:rFonts w:cstheme="minorHAnsi"/>
          <w:color w:val="242021"/>
          <w:sz w:val="20"/>
          <w:szCs w:val="20"/>
        </w:rPr>
        <w:br/>
      </w:r>
      <w:r w:rsidRPr="003A55BF">
        <w:rPr>
          <w:rStyle w:val="fontstyle21"/>
          <w:rFonts w:asciiTheme="minorHAnsi" w:hAnsiTheme="minorHAnsi" w:cstheme="minorHAnsi"/>
          <w:sz w:val="20"/>
          <w:szCs w:val="20"/>
        </w:rPr>
        <w:t xml:space="preserve">There was weak agreement on the prioritised list (Kendall's coefficient, </w:t>
      </w:r>
      <w:r w:rsidRPr="003A55BF">
        <w:rPr>
          <w:rStyle w:val="fontstyle31"/>
          <w:rFonts w:asciiTheme="minorHAnsi" w:hAnsiTheme="minorHAnsi" w:cstheme="minorHAnsi"/>
          <w:sz w:val="20"/>
          <w:szCs w:val="20"/>
        </w:rPr>
        <w:t xml:space="preserve">p </w:t>
      </w:r>
      <w:r w:rsidRPr="003A55BF">
        <w:rPr>
          <w:rStyle w:val="fontstyle21"/>
          <w:rFonts w:asciiTheme="minorHAnsi" w:hAnsiTheme="minorHAnsi" w:cstheme="minorHAnsi"/>
          <w:sz w:val="20"/>
          <w:szCs w:val="20"/>
        </w:rPr>
        <w:t>= .012).</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There was good stability of responses between rounds and no difference between</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responses of stakeholder sub-groups (</w:t>
      </w:r>
      <w:r w:rsidRPr="003A55BF">
        <w:rPr>
          <w:rStyle w:val="fontstyle31"/>
          <w:rFonts w:asciiTheme="minorHAnsi" w:hAnsiTheme="minorHAnsi" w:cstheme="minorHAnsi"/>
          <w:sz w:val="20"/>
          <w:szCs w:val="20"/>
        </w:rPr>
        <w:t xml:space="preserve">p </w:t>
      </w:r>
      <w:r w:rsidRPr="003A55BF">
        <w:rPr>
          <w:rStyle w:val="fontstyle21"/>
          <w:rFonts w:asciiTheme="minorHAnsi" w:hAnsiTheme="minorHAnsi" w:cstheme="minorHAnsi"/>
          <w:sz w:val="20"/>
          <w:szCs w:val="20"/>
        </w:rPr>
        <w:t>≥ .05).</w:t>
      </w:r>
    </w:p>
    <w:p w14:paraId="3B4C16FF" w14:textId="348EA0EF" w:rsidR="002E7703" w:rsidRPr="003A55BF" w:rsidRDefault="00D03D7B">
      <w:pPr>
        <w:rPr>
          <w:rStyle w:val="fontstyle01"/>
          <w:rFonts w:asciiTheme="minorHAnsi" w:hAnsiTheme="minorHAnsi" w:cstheme="minorHAnsi"/>
        </w:rPr>
      </w:pPr>
      <w:r w:rsidRPr="003A55BF">
        <w:rPr>
          <w:rFonts w:cstheme="minorHAnsi"/>
          <w:color w:val="242021"/>
          <w:sz w:val="20"/>
          <w:szCs w:val="20"/>
        </w:rPr>
        <w:br/>
      </w:r>
      <w:r w:rsidRPr="003A55BF">
        <w:rPr>
          <w:rStyle w:val="fontstyle01"/>
          <w:rFonts w:asciiTheme="minorHAnsi" w:hAnsiTheme="minorHAnsi" w:cstheme="minorHAnsi"/>
        </w:rPr>
        <w:t xml:space="preserve">Conclusion: </w:t>
      </w:r>
      <w:r w:rsidRPr="003A55BF">
        <w:rPr>
          <w:rStyle w:val="fontstyle21"/>
          <w:rFonts w:asciiTheme="minorHAnsi" w:hAnsiTheme="minorHAnsi" w:cstheme="minorHAnsi"/>
          <w:sz w:val="20"/>
          <w:szCs w:val="20"/>
        </w:rPr>
        <w:t>The study provides a comprehensive identification of outcome measures</w:t>
      </w:r>
      <w:r w:rsidR="002E7703" w:rsidRPr="003A55BF">
        <w:rPr>
          <w:rStyle w:val="fontstyle21"/>
          <w:rFonts w:asciiTheme="minorHAnsi" w:hAnsiTheme="minorHAnsi" w:cstheme="minorHAnsi"/>
          <w:sz w:val="20"/>
          <w:szCs w:val="20"/>
        </w:rPr>
        <w:t xml:space="preserve"> </w:t>
      </w:r>
      <w:r w:rsidRPr="003A55BF">
        <w:rPr>
          <w:rStyle w:val="fontstyle21"/>
          <w:rFonts w:asciiTheme="minorHAnsi" w:hAnsiTheme="minorHAnsi" w:cstheme="minorHAnsi"/>
          <w:sz w:val="20"/>
          <w:szCs w:val="20"/>
        </w:rPr>
        <w:t>for SACT which will be useful in developing a framework for the performance measurement of SACT services.</w:t>
      </w:r>
      <w:r w:rsidRPr="003A55BF">
        <w:rPr>
          <w:rFonts w:cstheme="minorHAnsi"/>
          <w:color w:val="242021"/>
          <w:sz w:val="20"/>
          <w:szCs w:val="20"/>
        </w:rPr>
        <w:br/>
      </w:r>
    </w:p>
    <w:p w14:paraId="466ACBF6" w14:textId="77777777" w:rsidR="002E7703" w:rsidRPr="003A55BF" w:rsidRDefault="002E7703">
      <w:pPr>
        <w:rPr>
          <w:rStyle w:val="fontstyle01"/>
          <w:rFonts w:asciiTheme="minorHAnsi" w:hAnsiTheme="minorHAnsi" w:cstheme="minorHAnsi"/>
        </w:rPr>
      </w:pPr>
      <w:r w:rsidRPr="003A55BF">
        <w:rPr>
          <w:rStyle w:val="fontstyle01"/>
          <w:rFonts w:asciiTheme="minorHAnsi" w:hAnsiTheme="minorHAnsi" w:cstheme="minorHAnsi"/>
        </w:rPr>
        <w:t>Keywords:</w:t>
      </w:r>
    </w:p>
    <w:p w14:paraId="43CDB6AD" w14:textId="08B29780" w:rsidR="000E2639" w:rsidRPr="003A55BF" w:rsidRDefault="00D03D7B">
      <w:pPr>
        <w:rPr>
          <w:rStyle w:val="fontstyle21"/>
          <w:rFonts w:asciiTheme="minorHAnsi" w:hAnsiTheme="minorHAnsi" w:cstheme="minorHAnsi"/>
          <w:sz w:val="20"/>
          <w:szCs w:val="20"/>
        </w:rPr>
      </w:pPr>
      <w:r w:rsidRPr="003A55BF">
        <w:rPr>
          <w:rStyle w:val="fontstyle21"/>
          <w:rFonts w:asciiTheme="minorHAnsi" w:hAnsiTheme="minorHAnsi" w:cstheme="minorHAnsi"/>
          <w:sz w:val="20"/>
          <w:szCs w:val="20"/>
        </w:rPr>
        <w:t>cancer, Delphi, KPIs, outcome, SACT</w:t>
      </w:r>
    </w:p>
    <w:p w14:paraId="5C38383C" w14:textId="73D2467C" w:rsidR="00D03D7B" w:rsidRPr="003A55BF" w:rsidRDefault="00D03D7B">
      <w:pPr>
        <w:rPr>
          <w:rStyle w:val="fontstyle21"/>
          <w:rFonts w:asciiTheme="minorHAnsi" w:hAnsiTheme="minorHAnsi" w:cstheme="minorHAnsi"/>
          <w:sz w:val="20"/>
          <w:szCs w:val="20"/>
        </w:rPr>
      </w:pPr>
    </w:p>
    <w:p w14:paraId="005575EA" w14:textId="77777777" w:rsidR="002E7703" w:rsidRPr="003A55BF" w:rsidRDefault="002E7703">
      <w:pPr>
        <w:rPr>
          <w:rStyle w:val="fontstyle01"/>
          <w:rFonts w:asciiTheme="minorHAnsi" w:hAnsiTheme="minorHAnsi" w:cstheme="minorHAnsi"/>
        </w:rPr>
      </w:pPr>
      <w:r w:rsidRPr="003A55BF">
        <w:rPr>
          <w:rStyle w:val="fontstyle01"/>
          <w:rFonts w:asciiTheme="minorHAnsi" w:hAnsiTheme="minorHAnsi" w:cstheme="minorHAnsi"/>
        </w:rPr>
        <w:t>Introduction</w:t>
      </w:r>
    </w:p>
    <w:p w14:paraId="54B674D1" w14:textId="3ED2A9D8" w:rsidR="002E7703" w:rsidRPr="003A55BF" w:rsidRDefault="00D03D7B">
      <w:pPr>
        <w:rPr>
          <w:rStyle w:val="fontstyle11"/>
          <w:rFonts w:asciiTheme="minorHAnsi" w:hAnsiTheme="minorHAnsi" w:cstheme="minorHAnsi"/>
        </w:rPr>
      </w:pPr>
      <w:r w:rsidRPr="003A55BF">
        <w:rPr>
          <w:rStyle w:val="fontstyle11"/>
          <w:rFonts w:asciiTheme="minorHAnsi" w:hAnsiTheme="minorHAnsi" w:cstheme="minorHAnsi"/>
        </w:rPr>
        <w:t>Approximately 36,000 people are diagnosed with cancer every</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year in Ireland and cancer is the second most common cause of</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death, with approximately 8,800 deaths annually (NCRI, 2014a).</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Cancer deaths are predicted to overtake cardiovascular diseases as</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the most common cause of death by 2020 (Weir et al., 2016). The</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incidence of cancer is projected to increase in Ireland by 97% by</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2040 (NCRI, 2014b). Performance measurement of health services</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helps to inform safe, quality care (Department of Health, 2013;</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HIQA, 2013; Kaplan &amp; Porter, 2011; </w:t>
      </w:r>
      <w:proofErr w:type="spellStart"/>
      <w:r w:rsidRPr="003A55BF">
        <w:rPr>
          <w:rStyle w:val="fontstyle11"/>
          <w:rFonts w:asciiTheme="minorHAnsi" w:hAnsiTheme="minorHAnsi" w:cstheme="minorHAnsi"/>
        </w:rPr>
        <w:t>Mant</w:t>
      </w:r>
      <w:proofErr w:type="spellEnd"/>
      <w:r w:rsidRPr="003A55BF">
        <w:rPr>
          <w:rStyle w:val="fontstyle11"/>
          <w:rFonts w:asciiTheme="minorHAnsi" w:hAnsiTheme="minorHAnsi" w:cstheme="minorHAnsi"/>
        </w:rPr>
        <w:t>, 2001; Morris &amp;</w:t>
      </w:r>
      <w:r w:rsidR="002E7703"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Cantrill</w:t>
      </w:r>
      <w:proofErr w:type="spellEnd"/>
      <w:r w:rsidRPr="003A55BF">
        <w:rPr>
          <w:rStyle w:val="fontstyle11"/>
          <w:rFonts w:asciiTheme="minorHAnsi" w:hAnsiTheme="minorHAnsi" w:cstheme="minorHAnsi"/>
        </w:rPr>
        <w:t xml:space="preserve">, 2002; </w:t>
      </w:r>
      <w:proofErr w:type="spellStart"/>
      <w:r w:rsidRPr="003A55BF">
        <w:rPr>
          <w:rStyle w:val="fontstyle11"/>
          <w:rFonts w:asciiTheme="minorHAnsi" w:hAnsiTheme="minorHAnsi" w:cstheme="minorHAnsi"/>
        </w:rPr>
        <w:t>Nagendran</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Maruthappu</w:t>
      </w:r>
      <w:proofErr w:type="spellEnd"/>
      <w:r w:rsidRPr="003A55BF">
        <w:rPr>
          <w:rStyle w:val="fontstyle11"/>
          <w:rFonts w:asciiTheme="minorHAnsi" w:hAnsiTheme="minorHAnsi" w:cstheme="minorHAnsi"/>
        </w:rPr>
        <w:t xml:space="preserve">, &amp; Raleigh, 2012). </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Key</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performance indicators (KPIs) offer one such form of performance</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measurement. The Donabedian conceptual model is a well-established framework to assess the quality of health services in terms</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of structure, process and outcomes (Donabedian, 1988; </w:t>
      </w:r>
      <w:proofErr w:type="spellStart"/>
      <w:r w:rsidRPr="003A55BF">
        <w:rPr>
          <w:rStyle w:val="fontstyle11"/>
          <w:rFonts w:asciiTheme="minorHAnsi" w:hAnsiTheme="minorHAnsi" w:cstheme="minorHAnsi"/>
        </w:rPr>
        <w:t>Nagendran</w:t>
      </w:r>
      <w:proofErr w:type="spellEnd"/>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et al., 2012).</w:t>
      </w:r>
      <w:r w:rsidR="002E7703" w:rsidRPr="003A55BF">
        <w:rPr>
          <w:rStyle w:val="fontstyle11"/>
          <w:rFonts w:asciiTheme="minorHAnsi" w:hAnsiTheme="minorHAnsi" w:cstheme="minorHAnsi"/>
        </w:rPr>
        <w:t xml:space="preserve"> </w:t>
      </w:r>
    </w:p>
    <w:p w14:paraId="69D43DA6" w14:textId="77777777" w:rsidR="002E7703" w:rsidRPr="003A55BF" w:rsidRDefault="00D03D7B">
      <w:pPr>
        <w:rPr>
          <w:rFonts w:cstheme="minorHAnsi"/>
          <w:color w:val="242021"/>
          <w:sz w:val="20"/>
          <w:szCs w:val="20"/>
        </w:rPr>
      </w:pPr>
      <w:r w:rsidRPr="003A55BF">
        <w:rPr>
          <w:rStyle w:val="fontstyle11"/>
          <w:rFonts w:asciiTheme="minorHAnsi" w:hAnsiTheme="minorHAnsi" w:cstheme="minorHAnsi"/>
        </w:rPr>
        <w:t>Performance measurement in cancer services in Ireland to date</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has largely focussed on key performance indicators (KPIs) for access</w:t>
      </w:r>
      <w:r w:rsidR="002E7703"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to services, in particular to surgical treatment. As these process </w:t>
      </w:r>
      <w:r w:rsidRPr="003A55BF">
        <w:rPr>
          <w:rFonts w:cstheme="minorHAnsi"/>
          <w:color w:val="242021"/>
          <w:sz w:val="20"/>
          <w:szCs w:val="20"/>
        </w:rPr>
        <w:t>measures are now well established, it is timely to explore key performance measures that address outcomes. Outcome measures are</w:t>
      </w:r>
      <w:r w:rsidR="002E7703" w:rsidRPr="003A55BF">
        <w:rPr>
          <w:rFonts w:cstheme="minorHAnsi"/>
          <w:color w:val="242021"/>
          <w:sz w:val="20"/>
          <w:szCs w:val="20"/>
        </w:rPr>
        <w:t xml:space="preserve"> </w:t>
      </w:r>
      <w:r w:rsidRPr="003A55BF">
        <w:rPr>
          <w:rFonts w:cstheme="minorHAnsi"/>
          <w:color w:val="242021"/>
          <w:sz w:val="20"/>
          <w:szCs w:val="20"/>
        </w:rPr>
        <w:t>typically divided into "patient-reported outcome measures" (PROMs)</w:t>
      </w:r>
      <w:r w:rsidR="002E7703" w:rsidRPr="003A55BF">
        <w:rPr>
          <w:rFonts w:cstheme="minorHAnsi"/>
          <w:color w:val="242021"/>
          <w:sz w:val="20"/>
          <w:szCs w:val="20"/>
        </w:rPr>
        <w:t xml:space="preserve"> </w:t>
      </w:r>
      <w:r w:rsidRPr="003A55BF">
        <w:rPr>
          <w:rFonts w:cstheme="minorHAnsi"/>
          <w:color w:val="242021"/>
          <w:sz w:val="20"/>
          <w:szCs w:val="20"/>
        </w:rPr>
        <w:t>and those reported by service providers, or clinicians, often in the</w:t>
      </w:r>
      <w:r w:rsidR="002E7703" w:rsidRPr="003A55BF">
        <w:rPr>
          <w:rFonts w:cstheme="minorHAnsi"/>
          <w:color w:val="242021"/>
          <w:sz w:val="20"/>
          <w:szCs w:val="20"/>
        </w:rPr>
        <w:t xml:space="preserve"> </w:t>
      </w:r>
      <w:r w:rsidRPr="003A55BF">
        <w:rPr>
          <w:rFonts w:cstheme="minorHAnsi"/>
          <w:color w:val="242021"/>
          <w:sz w:val="20"/>
          <w:szCs w:val="20"/>
        </w:rPr>
        <w:t>form of KPIs that address outcomes.</w:t>
      </w:r>
    </w:p>
    <w:p w14:paraId="0E0FB947" w14:textId="59795F6B" w:rsidR="002E7703" w:rsidRPr="003A55BF" w:rsidRDefault="00D03D7B">
      <w:pPr>
        <w:rPr>
          <w:rFonts w:cstheme="minorHAnsi"/>
          <w:color w:val="242021"/>
          <w:sz w:val="20"/>
          <w:szCs w:val="20"/>
        </w:rPr>
      </w:pPr>
      <w:r w:rsidRPr="003A55BF">
        <w:rPr>
          <w:rFonts w:cstheme="minorHAnsi"/>
          <w:color w:val="242021"/>
          <w:sz w:val="20"/>
          <w:szCs w:val="20"/>
        </w:rPr>
        <w:lastRenderedPageBreak/>
        <w:br/>
        <w:t>Systemic anti-cancer therapy (SACT)</w:t>
      </w:r>
      <w:r w:rsidR="002E7703" w:rsidRPr="003A55BF">
        <w:rPr>
          <w:rStyle w:val="FootnoteReference"/>
          <w:rFonts w:cstheme="minorHAnsi"/>
          <w:color w:val="242021"/>
          <w:sz w:val="20"/>
          <w:szCs w:val="20"/>
        </w:rPr>
        <w:footnoteReference w:id="1"/>
      </w:r>
      <w:r w:rsidRPr="003A55BF">
        <w:rPr>
          <w:rFonts w:cstheme="minorHAnsi"/>
          <w:color w:val="242021"/>
          <w:sz w:val="20"/>
          <w:szCs w:val="20"/>
        </w:rPr>
        <w:t xml:space="preserve"> is one treatment modality for cancer, involving the use of drugs to kill or halt the growth</w:t>
      </w:r>
      <w:r w:rsidR="00754F3F" w:rsidRPr="003A55BF">
        <w:rPr>
          <w:rFonts w:cstheme="minorHAnsi"/>
          <w:color w:val="242021"/>
          <w:sz w:val="20"/>
          <w:szCs w:val="20"/>
        </w:rPr>
        <w:t xml:space="preserve"> </w:t>
      </w:r>
      <w:r w:rsidRPr="003A55BF">
        <w:rPr>
          <w:rFonts w:cstheme="minorHAnsi"/>
          <w:color w:val="242021"/>
          <w:sz w:val="20"/>
          <w:szCs w:val="20"/>
        </w:rPr>
        <w:t>of cancer cells. An estimated 33,000 patients receive SACT every</w:t>
      </w:r>
      <w:r w:rsidR="002E7703" w:rsidRPr="003A55BF">
        <w:rPr>
          <w:rFonts w:cstheme="minorHAnsi"/>
          <w:color w:val="242021"/>
          <w:sz w:val="20"/>
          <w:szCs w:val="20"/>
        </w:rPr>
        <w:t xml:space="preserve"> </w:t>
      </w:r>
      <w:r w:rsidRPr="003A55BF">
        <w:rPr>
          <w:rFonts w:cstheme="minorHAnsi"/>
          <w:color w:val="242021"/>
          <w:sz w:val="20"/>
          <w:szCs w:val="20"/>
        </w:rPr>
        <w:t>year in Ireland (NCCP, 2014). No formal outcome measurement</w:t>
      </w:r>
      <w:r w:rsidR="00754F3F" w:rsidRPr="003A55BF">
        <w:rPr>
          <w:rFonts w:cstheme="minorHAnsi"/>
          <w:color w:val="242021"/>
          <w:sz w:val="20"/>
          <w:szCs w:val="20"/>
        </w:rPr>
        <w:t xml:space="preserve"> </w:t>
      </w:r>
      <w:r w:rsidRPr="003A55BF">
        <w:rPr>
          <w:rFonts w:cstheme="minorHAnsi"/>
          <w:color w:val="242021"/>
          <w:sz w:val="20"/>
          <w:szCs w:val="20"/>
        </w:rPr>
        <w:t>framework is currently used in the SACT service in Ireland.</w:t>
      </w:r>
      <w:r w:rsidR="002E7703" w:rsidRPr="003A55BF">
        <w:rPr>
          <w:rFonts w:cstheme="minorHAnsi"/>
          <w:color w:val="242021"/>
          <w:sz w:val="20"/>
          <w:szCs w:val="20"/>
        </w:rPr>
        <w:t xml:space="preserve"> </w:t>
      </w:r>
      <w:r w:rsidRPr="003A55BF">
        <w:rPr>
          <w:rFonts w:cstheme="minorHAnsi"/>
          <w:color w:val="242021"/>
          <w:sz w:val="20"/>
          <w:szCs w:val="20"/>
        </w:rPr>
        <w:t>Limited research exists on the quality of SACT in routine practice</w:t>
      </w:r>
      <w:r w:rsidR="00754F3F" w:rsidRPr="003A55BF">
        <w:rPr>
          <w:rFonts w:cstheme="minorHAnsi"/>
          <w:color w:val="242021"/>
          <w:sz w:val="20"/>
          <w:szCs w:val="20"/>
        </w:rPr>
        <w:t xml:space="preserve"> </w:t>
      </w:r>
      <w:r w:rsidRPr="003A55BF">
        <w:rPr>
          <w:rFonts w:cstheme="minorHAnsi"/>
          <w:color w:val="242021"/>
          <w:sz w:val="20"/>
          <w:szCs w:val="20"/>
        </w:rPr>
        <w:t xml:space="preserve">(Shen &amp; </w:t>
      </w:r>
      <w:proofErr w:type="spellStart"/>
      <w:r w:rsidRPr="003A55BF">
        <w:rPr>
          <w:rFonts w:cstheme="minorHAnsi"/>
          <w:color w:val="242021"/>
          <w:sz w:val="20"/>
          <w:szCs w:val="20"/>
        </w:rPr>
        <w:t>Krzyzanowska</w:t>
      </w:r>
      <w:proofErr w:type="spellEnd"/>
      <w:r w:rsidRPr="003A55BF">
        <w:rPr>
          <w:rFonts w:cstheme="minorHAnsi"/>
          <w:color w:val="242021"/>
          <w:sz w:val="20"/>
          <w:szCs w:val="20"/>
        </w:rPr>
        <w:t>, 2015) or on the identification, development or implementation of outcome KPIs in SACT services. Most</w:t>
      </w:r>
      <w:r w:rsidR="00754F3F" w:rsidRPr="003A55BF">
        <w:rPr>
          <w:rFonts w:cstheme="minorHAnsi"/>
          <w:color w:val="242021"/>
          <w:sz w:val="20"/>
          <w:szCs w:val="20"/>
        </w:rPr>
        <w:t xml:space="preserve"> </w:t>
      </w:r>
      <w:r w:rsidRPr="003A55BF">
        <w:rPr>
          <w:rFonts w:cstheme="minorHAnsi"/>
          <w:color w:val="242021"/>
          <w:sz w:val="20"/>
          <w:szCs w:val="20"/>
        </w:rPr>
        <w:t>approaches to quality assurance in SACT care, both in clinical trials and daily practice, focus on structure and process measures</w:t>
      </w:r>
      <w:r w:rsidR="00754F3F" w:rsidRPr="003A55BF">
        <w:rPr>
          <w:rFonts w:cstheme="minorHAnsi"/>
          <w:color w:val="242021"/>
          <w:sz w:val="20"/>
          <w:szCs w:val="20"/>
        </w:rPr>
        <w:t xml:space="preserve"> </w:t>
      </w:r>
      <w:r w:rsidRPr="003A55BF">
        <w:rPr>
          <w:rFonts w:cstheme="minorHAnsi"/>
          <w:color w:val="242021"/>
          <w:sz w:val="20"/>
          <w:szCs w:val="20"/>
        </w:rPr>
        <w:t>rather than outcome measures (</w:t>
      </w:r>
      <w:proofErr w:type="spellStart"/>
      <w:r w:rsidRPr="003A55BF">
        <w:rPr>
          <w:rFonts w:cstheme="minorHAnsi"/>
          <w:color w:val="242021"/>
          <w:sz w:val="20"/>
          <w:szCs w:val="20"/>
        </w:rPr>
        <w:t>Ottevanger</w:t>
      </w:r>
      <w:proofErr w:type="spellEnd"/>
      <w:r w:rsidRPr="003A55BF">
        <w:rPr>
          <w:rFonts w:cstheme="minorHAnsi"/>
          <w:color w:val="242021"/>
          <w:sz w:val="20"/>
          <w:szCs w:val="20"/>
        </w:rPr>
        <w:t xml:space="preserve"> &amp; De Mulder, 2005).</w:t>
      </w:r>
      <w:r w:rsidR="002E7703" w:rsidRPr="003A55BF">
        <w:rPr>
          <w:rFonts w:cstheme="minorHAnsi"/>
          <w:color w:val="242021"/>
          <w:sz w:val="20"/>
          <w:szCs w:val="20"/>
        </w:rPr>
        <w:t xml:space="preserve"> </w:t>
      </w:r>
      <w:r w:rsidRPr="003A55BF">
        <w:rPr>
          <w:rFonts w:cstheme="minorHAnsi"/>
          <w:color w:val="242021"/>
          <w:sz w:val="20"/>
          <w:szCs w:val="20"/>
        </w:rPr>
        <w:t>The focus of this study was to identify appropriate outcome KPIs</w:t>
      </w:r>
      <w:r w:rsidR="002E7703" w:rsidRPr="003A55BF">
        <w:rPr>
          <w:rFonts w:cstheme="minorHAnsi"/>
          <w:color w:val="242021"/>
          <w:sz w:val="20"/>
          <w:szCs w:val="20"/>
        </w:rPr>
        <w:t xml:space="preserve"> </w:t>
      </w:r>
      <w:r w:rsidRPr="003A55BF">
        <w:rPr>
          <w:rFonts w:cstheme="minorHAnsi"/>
          <w:color w:val="242021"/>
          <w:sz w:val="20"/>
          <w:szCs w:val="20"/>
        </w:rPr>
        <w:t>to inform a safe, quality SACT service. The study specifically</w:t>
      </w:r>
      <w:r w:rsidR="002E7703" w:rsidRPr="003A55BF">
        <w:rPr>
          <w:rFonts w:cstheme="minorHAnsi"/>
          <w:color w:val="242021"/>
          <w:sz w:val="20"/>
          <w:szCs w:val="20"/>
        </w:rPr>
        <w:t xml:space="preserve"> </w:t>
      </w:r>
      <w:r w:rsidRPr="003A55BF">
        <w:rPr>
          <w:rFonts w:cstheme="minorHAnsi"/>
          <w:color w:val="242021"/>
          <w:sz w:val="20"/>
          <w:szCs w:val="20"/>
        </w:rPr>
        <w:t>avoided areas such as survival and quality of life, where</w:t>
      </w:r>
      <w:r w:rsidR="002E7703" w:rsidRPr="003A55BF">
        <w:rPr>
          <w:rFonts w:cstheme="minorHAnsi"/>
          <w:color w:val="242021"/>
          <w:sz w:val="20"/>
          <w:szCs w:val="20"/>
        </w:rPr>
        <w:t xml:space="preserve"> </w:t>
      </w:r>
      <w:r w:rsidRPr="003A55BF">
        <w:rPr>
          <w:rFonts w:cstheme="minorHAnsi"/>
          <w:color w:val="242021"/>
          <w:sz w:val="20"/>
          <w:szCs w:val="20"/>
        </w:rPr>
        <w:t>measures</w:t>
      </w:r>
      <w:r w:rsidR="002E7703" w:rsidRPr="003A55BF">
        <w:rPr>
          <w:rFonts w:cstheme="minorHAnsi"/>
          <w:color w:val="242021"/>
          <w:sz w:val="20"/>
          <w:szCs w:val="20"/>
        </w:rPr>
        <w:t xml:space="preserve"> </w:t>
      </w:r>
      <w:r w:rsidRPr="003A55BF">
        <w:rPr>
          <w:rFonts w:cstheme="minorHAnsi"/>
          <w:color w:val="242021"/>
          <w:sz w:val="20"/>
          <w:szCs w:val="20"/>
        </w:rPr>
        <w:t>already exist.</w:t>
      </w:r>
    </w:p>
    <w:p w14:paraId="64E70A71" w14:textId="17DEB3EE" w:rsidR="00D03D7B" w:rsidRPr="003A55BF" w:rsidRDefault="00D03D7B">
      <w:pPr>
        <w:rPr>
          <w:rFonts w:cstheme="minorHAnsi"/>
          <w:color w:val="242021"/>
          <w:sz w:val="20"/>
          <w:szCs w:val="20"/>
        </w:rPr>
      </w:pPr>
      <w:r w:rsidRPr="003A55BF">
        <w:rPr>
          <w:rFonts w:cstheme="minorHAnsi"/>
          <w:color w:val="242021"/>
          <w:sz w:val="20"/>
          <w:szCs w:val="20"/>
        </w:rPr>
        <w:br/>
        <w:t>The information obtained from this study aims to: (a) address the</w:t>
      </w:r>
      <w:r w:rsidR="002E7703" w:rsidRPr="003A55BF">
        <w:rPr>
          <w:rFonts w:cstheme="minorHAnsi"/>
          <w:color w:val="242021"/>
          <w:sz w:val="20"/>
          <w:szCs w:val="20"/>
        </w:rPr>
        <w:t xml:space="preserve"> </w:t>
      </w:r>
      <w:r w:rsidRPr="003A55BF">
        <w:rPr>
          <w:rFonts w:cstheme="minorHAnsi"/>
          <w:color w:val="242021"/>
          <w:sz w:val="20"/>
          <w:szCs w:val="20"/>
        </w:rPr>
        <w:t>gaps identified in the existing scientific literature regarding outcome</w:t>
      </w:r>
      <w:r w:rsidR="002E7703" w:rsidRPr="003A55BF">
        <w:rPr>
          <w:rFonts w:cstheme="minorHAnsi"/>
          <w:color w:val="242021"/>
          <w:sz w:val="20"/>
          <w:szCs w:val="20"/>
        </w:rPr>
        <w:t xml:space="preserve"> </w:t>
      </w:r>
      <w:r w:rsidRPr="003A55BF">
        <w:rPr>
          <w:rFonts w:cstheme="minorHAnsi"/>
          <w:color w:val="242021"/>
          <w:sz w:val="20"/>
          <w:szCs w:val="20"/>
        </w:rPr>
        <w:t>measures for SACT, (b) identify the appropriate areas that outcome</w:t>
      </w:r>
      <w:r w:rsidR="002E7703" w:rsidRPr="003A55BF">
        <w:rPr>
          <w:rFonts w:cstheme="minorHAnsi"/>
          <w:color w:val="242021"/>
          <w:sz w:val="20"/>
          <w:szCs w:val="20"/>
        </w:rPr>
        <w:t xml:space="preserve"> </w:t>
      </w:r>
      <w:r w:rsidRPr="003A55BF">
        <w:rPr>
          <w:rFonts w:cstheme="minorHAnsi"/>
          <w:color w:val="242021"/>
          <w:sz w:val="20"/>
          <w:szCs w:val="20"/>
        </w:rPr>
        <w:t>KPIs for SACT should focus on and (c) inform the future implementation of these KPIs. The purpose of the study, therefore, was to:</w:t>
      </w:r>
      <w:r w:rsidR="002E7703" w:rsidRPr="003A55BF">
        <w:rPr>
          <w:rFonts w:cstheme="minorHAnsi"/>
          <w:color w:val="242021"/>
          <w:sz w:val="20"/>
          <w:szCs w:val="20"/>
        </w:rPr>
        <w:t xml:space="preserve"> </w:t>
      </w:r>
      <w:r w:rsidRPr="003A55BF">
        <w:rPr>
          <w:rFonts w:cstheme="minorHAnsi"/>
          <w:color w:val="242021"/>
          <w:sz w:val="20"/>
          <w:szCs w:val="20"/>
        </w:rPr>
        <w:t>(a) identify existing outcome KPIs in the literature, (b) develop a</w:t>
      </w:r>
      <w:r w:rsidR="002E7703" w:rsidRPr="003A55BF">
        <w:rPr>
          <w:rFonts w:cstheme="minorHAnsi"/>
          <w:color w:val="242021"/>
          <w:sz w:val="20"/>
          <w:szCs w:val="20"/>
        </w:rPr>
        <w:t xml:space="preserve"> </w:t>
      </w:r>
      <w:r w:rsidRPr="003A55BF">
        <w:rPr>
          <w:rFonts w:cstheme="minorHAnsi"/>
          <w:color w:val="242021"/>
          <w:sz w:val="20"/>
          <w:szCs w:val="20"/>
        </w:rPr>
        <w:t>consensus on these and other KPIs to address the current gaps in</w:t>
      </w:r>
      <w:r w:rsidR="002E7703" w:rsidRPr="003A55BF">
        <w:rPr>
          <w:rFonts w:cstheme="minorHAnsi"/>
          <w:color w:val="242021"/>
          <w:sz w:val="20"/>
          <w:szCs w:val="20"/>
        </w:rPr>
        <w:t xml:space="preserve"> </w:t>
      </w:r>
      <w:r w:rsidRPr="003A55BF">
        <w:rPr>
          <w:rFonts w:cstheme="minorHAnsi"/>
          <w:color w:val="242021"/>
          <w:sz w:val="20"/>
          <w:szCs w:val="20"/>
        </w:rPr>
        <w:t>the literature on this topic, (c) critically appraise the feasibility of implementation of the KPIs and (d) identify barriers and facilitators to</w:t>
      </w:r>
      <w:r w:rsidR="002E7703" w:rsidRPr="003A55BF">
        <w:rPr>
          <w:rFonts w:cstheme="minorHAnsi"/>
          <w:color w:val="242021"/>
          <w:sz w:val="20"/>
          <w:szCs w:val="20"/>
        </w:rPr>
        <w:t xml:space="preserve"> </w:t>
      </w:r>
      <w:r w:rsidRPr="003A55BF">
        <w:rPr>
          <w:rFonts w:cstheme="minorHAnsi"/>
          <w:color w:val="242021"/>
          <w:sz w:val="20"/>
          <w:szCs w:val="20"/>
        </w:rPr>
        <w:t>inform future implementation.</w:t>
      </w:r>
    </w:p>
    <w:p w14:paraId="3F30FD73" w14:textId="77777777" w:rsidR="002E7703" w:rsidRPr="003A55BF" w:rsidRDefault="002E7703">
      <w:pPr>
        <w:rPr>
          <w:rStyle w:val="fontstyle01"/>
          <w:rFonts w:asciiTheme="minorHAnsi" w:hAnsiTheme="minorHAnsi" w:cstheme="minorHAnsi"/>
        </w:rPr>
      </w:pPr>
    </w:p>
    <w:p w14:paraId="36074745" w14:textId="17F694E2" w:rsidR="00D03D7B" w:rsidRPr="003A55BF" w:rsidRDefault="002E7703">
      <w:pPr>
        <w:rPr>
          <w:rStyle w:val="fontstyle11"/>
          <w:rFonts w:asciiTheme="minorHAnsi" w:hAnsiTheme="minorHAnsi" w:cstheme="minorHAnsi"/>
        </w:rPr>
      </w:pPr>
      <w:r w:rsidRPr="003A55BF">
        <w:rPr>
          <w:rStyle w:val="fontstyle01"/>
          <w:rFonts w:asciiTheme="minorHAnsi" w:hAnsiTheme="minorHAnsi" w:cstheme="minorHAnsi"/>
        </w:rPr>
        <w:t>Methods</w:t>
      </w:r>
      <w:r w:rsidR="00D03D7B" w:rsidRPr="003A55BF">
        <w:rPr>
          <w:rFonts w:cstheme="minorHAnsi"/>
          <w:b/>
          <w:bCs/>
          <w:color w:val="242021"/>
          <w:sz w:val="20"/>
          <w:szCs w:val="20"/>
        </w:rPr>
        <w:br/>
      </w:r>
      <w:r w:rsidR="00D03D7B" w:rsidRPr="003A55BF">
        <w:rPr>
          <w:rStyle w:val="fontstyle01"/>
          <w:rFonts w:asciiTheme="minorHAnsi" w:hAnsiTheme="minorHAnsi" w:cstheme="minorHAnsi"/>
          <w:b w:val="0"/>
          <w:bCs w:val="0"/>
          <w:u w:val="single"/>
        </w:rPr>
        <w:t>Study type—the Delphi method</w:t>
      </w:r>
      <w:r w:rsidR="00D03D7B" w:rsidRPr="003A55BF">
        <w:rPr>
          <w:rFonts w:cstheme="minorHAnsi"/>
          <w:b/>
          <w:bCs/>
          <w:color w:val="242021"/>
          <w:sz w:val="20"/>
          <w:szCs w:val="20"/>
          <w:u w:val="single"/>
        </w:rPr>
        <w:br/>
      </w:r>
      <w:r w:rsidR="00D03D7B" w:rsidRPr="003A55BF">
        <w:rPr>
          <w:rStyle w:val="fontstyle11"/>
          <w:rFonts w:asciiTheme="minorHAnsi" w:hAnsiTheme="minorHAnsi" w:cstheme="minorHAnsi"/>
        </w:rPr>
        <w:t>Performance measurements can be identified using existing evidence or, where sufficient evidence is unavailable, through consensus of experts (HIQA, 2013; Prinsen et al., 2014). The Delphi method</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w:t>
      </w:r>
      <w:proofErr w:type="spellStart"/>
      <w:r w:rsidR="00D03D7B" w:rsidRPr="003A55BF">
        <w:rPr>
          <w:rStyle w:val="fontstyle11"/>
          <w:rFonts w:asciiTheme="minorHAnsi" w:hAnsiTheme="minorHAnsi" w:cstheme="minorHAnsi"/>
        </w:rPr>
        <w:t>Dalkey</w:t>
      </w:r>
      <w:proofErr w:type="spellEnd"/>
      <w:r w:rsidR="00D03D7B" w:rsidRPr="003A55BF">
        <w:rPr>
          <w:rStyle w:val="fontstyle11"/>
          <w:rFonts w:asciiTheme="minorHAnsi" w:hAnsiTheme="minorHAnsi" w:cstheme="minorHAnsi"/>
        </w:rPr>
        <w:t xml:space="preserve"> &amp; Helmer, 1963), is an iterative, facilitated group approach</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used to synthesise the knowledge of experts, until a pre-determined</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level of consensus is reached (Hsu &amp; Sandford, 2007; Sinha, Smyth,</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&amp; Williamson, 2011). A panel of experts completes a series of questionnaires, or "rounds," with feedback reports provided between</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rounds, aimed at developing consensus amongst the group. The</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anonymous collection of responses removes the potential for undue</w:t>
      </w:r>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influence (</w:t>
      </w:r>
      <w:proofErr w:type="spellStart"/>
      <w:r w:rsidR="00D03D7B" w:rsidRPr="003A55BF">
        <w:rPr>
          <w:rStyle w:val="fontstyle11"/>
          <w:rFonts w:asciiTheme="minorHAnsi" w:hAnsiTheme="minorHAnsi" w:cstheme="minorHAnsi"/>
        </w:rPr>
        <w:t>Landeta</w:t>
      </w:r>
      <w:proofErr w:type="spellEnd"/>
      <w:r w:rsidR="00D03D7B" w:rsidRPr="003A55BF">
        <w:rPr>
          <w:rStyle w:val="fontstyle11"/>
          <w:rFonts w:asciiTheme="minorHAnsi" w:hAnsiTheme="minorHAnsi" w:cstheme="minorHAnsi"/>
        </w:rPr>
        <w:t>, 2006) and group pressure for conformity (</w:t>
      </w:r>
      <w:proofErr w:type="spellStart"/>
      <w:r w:rsidR="00D03D7B" w:rsidRPr="003A55BF">
        <w:rPr>
          <w:rStyle w:val="fontstyle11"/>
          <w:rFonts w:asciiTheme="minorHAnsi" w:hAnsiTheme="minorHAnsi" w:cstheme="minorHAnsi"/>
        </w:rPr>
        <w:t>Dalkey</w:t>
      </w:r>
      <w:proofErr w:type="spellEnd"/>
      <w:r w:rsidRPr="003A55BF">
        <w:rPr>
          <w:rStyle w:val="fontstyle11"/>
          <w:rFonts w:asciiTheme="minorHAnsi" w:hAnsiTheme="minorHAnsi" w:cstheme="minorHAnsi"/>
        </w:rPr>
        <w:t xml:space="preserve"> </w:t>
      </w:r>
      <w:r w:rsidR="00D03D7B" w:rsidRPr="003A55BF">
        <w:rPr>
          <w:rStyle w:val="fontstyle11"/>
          <w:rFonts w:asciiTheme="minorHAnsi" w:hAnsiTheme="minorHAnsi" w:cstheme="minorHAnsi"/>
        </w:rPr>
        <w:t xml:space="preserve">&amp; Helmer, 1963). </w:t>
      </w:r>
    </w:p>
    <w:p w14:paraId="69BA6430" w14:textId="77777777" w:rsidR="00754F3F" w:rsidRPr="003A55BF" w:rsidRDefault="00754F3F">
      <w:pPr>
        <w:rPr>
          <w:rStyle w:val="fontstyle11"/>
          <w:rFonts w:asciiTheme="minorHAnsi" w:hAnsiTheme="minorHAnsi" w:cstheme="minorHAnsi"/>
        </w:rPr>
      </w:pPr>
    </w:p>
    <w:p w14:paraId="54676FAF" w14:textId="0064DF78" w:rsidR="002E7703" w:rsidRPr="003A55BF" w:rsidRDefault="00D03D7B">
      <w:pPr>
        <w:rPr>
          <w:rFonts w:cstheme="minorHAnsi"/>
          <w:color w:val="242021"/>
          <w:sz w:val="20"/>
          <w:szCs w:val="20"/>
        </w:rPr>
      </w:pPr>
      <w:r w:rsidRPr="003A55BF">
        <w:rPr>
          <w:rFonts w:cstheme="minorHAnsi"/>
          <w:color w:val="242021"/>
          <w:sz w:val="20"/>
          <w:szCs w:val="20"/>
          <w:u w:val="single"/>
        </w:rPr>
        <w:t>Identification of existing outcome KPIs</w:t>
      </w:r>
      <w:r w:rsidRPr="003A55BF">
        <w:rPr>
          <w:rFonts w:cstheme="minorHAnsi"/>
          <w:b/>
          <w:bCs/>
          <w:color w:val="242021"/>
          <w:sz w:val="20"/>
          <w:szCs w:val="20"/>
        </w:rPr>
        <w:br/>
      </w:r>
      <w:r w:rsidRPr="003A55BF">
        <w:rPr>
          <w:rFonts w:cstheme="minorHAnsi"/>
          <w:color w:val="242021"/>
          <w:sz w:val="20"/>
          <w:szCs w:val="20"/>
        </w:rPr>
        <w:t>Systematic literature searching informed: (a) existing outcome</w:t>
      </w:r>
      <w:r w:rsidR="002E7703" w:rsidRPr="003A55BF">
        <w:rPr>
          <w:rFonts w:cstheme="minorHAnsi"/>
          <w:color w:val="242021"/>
          <w:sz w:val="20"/>
          <w:szCs w:val="20"/>
        </w:rPr>
        <w:t xml:space="preserve"> </w:t>
      </w:r>
      <w:r w:rsidRPr="003A55BF">
        <w:rPr>
          <w:rFonts w:cstheme="minorHAnsi"/>
          <w:color w:val="242021"/>
          <w:sz w:val="20"/>
          <w:szCs w:val="20"/>
        </w:rPr>
        <w:t>KPIs for SACT treatment; (b) the methodology used in similar</w:t>
      </w:r>
      <w:r w:rsidR="00754F3F" w:rsidRPr="003A55BF">
        <w:rPr>
          <w:rFonts w:cstheme="minorHAnsi"/>
          <w:color w:val="242021"/>
          <w:sz w:val="20"/>
          <w:szCs w:val="20"/>
        </w:rPr>
        <w:t xml:space="preserve"> </w:t>
      </w:r>
      <w:r w:rsidRPr="003A55BF">
        <w:rPr>
          <w:rFonts w:cstheme="minorHAnsi"/>
          <w:color w:val="242021"/>
          <w:sz w:val="20"/>
          <w:szCs w:val="20"/>
        </w:rPr>
        <w:t>studies; and (c) evidence on barriers and facilitators to the implementation of outcome measures. Databases searched were</w:t>
      </w:r>
      <w:r w:rsidR="00754F3F" w:rsidRPr="003A55BF">
        <w:rPr>
          <w:rFonts w:cstheme="minorHAnsi"/>
          <w:color w:val="242021"/>
          <w:sz w:val="20"/>
          <w:szCs w:val="20"/>
        </w:rPr>
        <w:t xml:space="preserve"> </w:t>
      </w:r>
      <w:r w:rsidRPr="003A55BF">
        <w:rPr>
          <w:rFonts w:cstheme="minorHAnsi"/>
          <w:color w:val="242021"/>
          <w:sz w:val="20"/>
          <w:szCs w:val="20"/>
        </w:rPr>
        <w:t>PubMed, EMBASE, Web of Science, CINAHL, ABI-Inform, BMJ</w:t>
      </w:r>
      <w:r w:rsidR="002E7703" w:rsidRPr="003A55BF">
        <w:rPr>
          <w:rFonts w:cstheme="minorHAnsi"/>
          <w:color w:val="242021"/>
          <w:sz w:val="20"/>
          <w:szCs w:val="20"/>
        </w:rPr>
        <w:t xml:space="preserve"> </w:t>
      </w:r>
      <w:r w:rsidRPr="003A55BF">
        <w:rPr>
          <w:rFonts w:cstheme="minorHAnsi"/>
          <w:color w:val="242021"/>
          <w:sz w:val="20"/>
          <w:szCs w:val="20"/>
        </w:rPr>
        <w:t>Journals Online and the Cochrane Library. No language limit was</w:t>
      </w:r>
      <w:r w:rsidR="00754F3F" w:rsidRPr="003A55BF">
        <w:rPr>
          <w:rFonts w:cstheme="minorHAnsi"/>
          <w:color w:val="242021"/>
          <w:sz w:val="20"/>
          <w:szCs w:val="20"/>
        </w:rPr>
        <w:t xml:space="preserve"> </w:t>
      </w:r>
      <w:r w:rsidRPr="003A55BF">
        <w:rPr>
          <w:rFonts w:cstheme="minorHAnsi"/>
          <w:color w:val="242021"/>
          <w:sz w:val="20"/>
          <w:szCs w:val="20"/>
        </w:rPr>
        <w:t>applied. The literature search was conducted over the period May</w:t>
      </w:r>
      <w:r w:rsidR="002E7703" w:rsidRPr="003A55BF">
        <w:rPr>
          <w:rFonts w:cstheme="minorHAnsi"/>
          <w:color w:val="242021"/>
          <w:sz w:val="20"/>
          <w:szCs w:val="20"/>
        </w:rPr>
        <w:t xml:space="preserve"> </w:t>
      </w:r>
      <w:r w:rsidRPr="003A55BF">
        <w:rPr>
          <w:rFonts w:cstheme="minorHAnsi"/>
          <w:color w:val="242021"/>
          <w:sz w:val="20"/>
          <w:szCs w:val="20"/>
        </w:rPr>
        <w:t>to September 2015, with a review of additional publications up to</w:t>
      </w:r>
      <w:r w:rsidR="002E7703" w:rsidRPr="003A55BF">
        <w:rPr>
          <w:rFonts w:cstheme="minorHAnsi"/>
          <w:color w:val="242021"/>
          <w:sz w:val="20"/>
          <w:szCs w:val="20"/>
        </w:rPr>
        <w:t xml:space="preserve"> </w:t>
      </w:r>
      <w:r w:rsidRPr="003A55BF">
        <w:rPr>
          <w:rFonts w:cstheme="minorHAnsi"/>
          <w:color w:val="242021"/>
          <w:sz w:val="20"/>
          <w:szCs w:val="20"/>
        </w:rPr>
        <w:t xml:space="preserve">August 2018. The reference lists of relevant papers were </w:t>
      </w:r>
      <w:proofErr w:type="spellStart"/>
      <w:r w:rsidRPr="003A55BF">
        <w:rPr>
          <w:rFonts w:cstheme="minorHAnsi"/>
          <w:color w:val="242021"/>
          <w:sz w:val="20"/>
          <w:szCs w:val="20"/>
        </w:rPr>
        <w:t>handsearched</w:t>
      </w:r>
      <w:proofErr w:type="spellEnd"/>
      <w:r w:rsidRPr="003A55BF">
        <w:rPr>
          <w:rFonts w:cstheme="minorHAnsi"/>
          <w:color w:val="242021"/>
          <w:sz w:val="20"/>
          <w:szCs w:val="20"/>
        </w:rPr>
        <w:t xml:space="preserve"> for relevant references, and key papers were traced</w:t>
      </w:r>
      <w:r w:rsidR="002E7703" w:rsidRPr="003A55BF">
        <w:rPr>
          <w:rFonts w:cstheme="minorHAnsi"/>
          <w:color w:val="242021"/>
          <w:sz w:val="20"/>
          <w:szCs w:val="20"/>
        </w:rPr>
        <w:t xml:space="preserve"> </w:t>
      </w:r>
      <w:r w:rsidRPr="003A55BF">
        <w:rPr>
          <w:rFonts w:cstheme="minorHAnsi"/>
          <w:color w:val="242021"/>
          <w:sz w:val="20"/>
          <w:szCs w:val="20"/>
        </w:rPr>
        <w:t>for more recent citations. In addition, the grey literature was</w:t>
      </w:r>
      <w:r w:rsidR="002E7703" w:rsidRPr="003A55BF">
        <w:rPr>
          <w:rFonts w:cstheme="minorHAnsi"/>
          <w:color w:val="242021"/>
          <w:sz w:val="20"/>
          <w:szCs w:val="20"/>
        </w:rPr>
        <w:t xml:space="preserve"> </w:t>
      </w:r>
      <w:r w:rsidRPr="003A55BF">
        <w:rPr>
          <w:rFonts w:cstheme="minorHAnsi"/>
          <w:color w:val="242021"/>
          <w:sz w:val="20"/>
          <w:szCs w:val="20"/>
        </w:rPr>
        <w:t>searched, with a focus on international organisations such as the</w:t>
      </w:r>
      <w:r w:rsidR="002E7703" w:rsidRPr="003A55BF">
        <w:rPr>
          <w:rFonts w:cstheme="minorHAnsi"/>
          <w:color w:val="242021"/>
          <w:sz w:val="20"/>
          <w:szCs w:val="20"/>
        </w:rPr>
        <w:t xml:space="preserve"> </w:t>
      </w:r>
      <w:r w:rsidRPr="003A55BF">
        <w:rPr>
          <w:rFonts w:cstheme="minorHAnsi"/>
          <w:color w:val="242021"/>
          <w:sz w:val="20"/>
          <w:szCs w:val="20"/>
        </w:rPr>
        <w:t>American Society for Clinical Oncology, British Columbia Cancer</w:t>
      </w:r>
      <w:r w:rsidR="002E7703" w:rsidRPr="003A55BF">
        <w:rPr>
          <w:rFonts w:cstheme="minorHAnsi"/>
          <w:color w:val="242021"/>
          <w:sz w:val="20"/>
          <w:szCs w:val="20"/>
        </w:rPr>
        <w:t xml:space="preserve"> </w:t>
      </w:r>
      <w:r w:rsidRPr="003A55BF">
        <w:rPr>
          <w:rFonts w:cstheme="minorHAnsi"/>
          <w:color w:val="242021"/>
          <w:sz w:val="20"/>
          <w:szCs w:val="20"/>
        </w:rPr>
        <w:t>Agency, Cancer Quality Council of Ontario, Institute for Health</w:t>
      </w:r>
      <w:r w:rsidR="002E7703" w:rsidRPr="003A55BF">
        <w:rPr>
          <w:rFonts w:cstheme="minorHAnsi"/>
          <w:color w:val="242021"/>
          <w:sz w:val="20"/>
          <w:szCs w:val="20"/>
        </w:rPr>
        <w:t xml:space="preserve"> </w:t>
      </w:r>
      <w:r w:rsidRPr="003A55BF">
        <w:rPr>
          <w:rFonts w:cstheme="minorHAnsi"/>
          <w:color w:val="242021"/>
          <w:sz w:val="20"/>
          <w:szCs w:val="20"/>
        </w:rPr>
        <w:t>Improvement, National Comprehensive Cancer Network and the</w:t>
      </w:r>
      <w:r w:rsidR="002E7703" w:rsidRPr="003A55BF">
        <w:rPr>
          <w:rFonts w:cstheme="minorHAnsi"/>
          <w:color w:val="242021"/>
          <w:sz w:val="20"/>
          <w:szCs w:val="20"/>
        </w:rPr>
        <w:t xml:space="preserve"> </w:t>
      </w:r>
      <w:r w:rsidRPr="003A55BF">
        <w:rPr>
          <w:rFonts w:cstheme="minorHAnsi"/>
          <w:color w:val="242021"/>
          <w:sz w:val="20"/>
          <w:szCs w:val="20"/>
        </w:rPr>
        <w:t>National Cancer Intelligence Network.</w:t>
      </w:r>
      <w:r w:rsidR="002E7703" w:rsidRPr="003A55BF">
        <w:rPr>
          <w:rFonts w:cstheme="minorHAnsi"/>
          <w:color w:val="242021"/>
          <w:sz w:val="20"/>
          <w:szCs w:val="20"/>
        </w:rPr>
        <w:t xml:space="preserve"> </w:t>
      </w:r>
    </w:p>
    <w:p w14:paraId="395AD5E5" w14:textId="56ACFF5C" w:rsidR="002E7703" w:rsidRPr="003A55BF" w:rsidRDefault="00D03D7B">
      <w:pPr>
        <w:rPr>
          <w:rFonts w:cstheme="minorHAnsi"/>
          <w:color w:val="242021"/>
          <w:sz w:val="20"/>
          <w:szCs w:val="20"/>
        </w:rPr>
      </w:pPr>
      <w:r w:rsidRPr="003A55BF">
        <w:rPr>
          <w:rFonts w:cstheme="minorHAnsi"/>
          <w:color w:val="242021"/>
          <w:sz w:val="20"/>
          <w:szCs w:val="20"/>
        </w:rPr>
        <w:t>The database searches returned a total of 939 studies across</w:t>
      </w:r>
      <w:r w:rsidR="002E7703" w:rsidRPr="003A55BF">
        <w:rPr>
          <w:rFonts w:cstheme="minorHAnsi"/>
          <w:color w:val="242021"/>
          <w:sz w:val="20"/>
          <w:szCs w:val="20"/>
        </w:rPr>
        <w:t xml:space="preserve"> </w:t>
      </w:r>
      <w:r w:rsidRPr="003A55BF">
        <w:rPr>
          <w:rFonts w:cstheme="minorHAnsi"/>
          <w:color w:val="242021"/>
          <w:sz w:val="20"/>
          <w:szCs w:val="20"/>
        </w:rPr>
        <w:t>the three search areas. An initial sifting was undertaken by the</w:t>
      </w:r>
      <w:r w:rsidR="002E7703" w:rsidRPr="003A55BF">
        <w:rPr>
          <w:rFonts w:cstheme="minorHAnsi"/>
          <w:color w:val="242021"/>
          <w:sz w:val="20"/>
          <w:szCs w:val="20"/>
        </w:rPr>
        <w:t xml:space="preserve"> </w:t>
      </w:r>
      <w:r w:rsidRPr="003A55BF">
        <w:rPr>
          <w:rFonts w:cstheme="minorHAnsi"/>
          <w:color w:val="242021"/>
          <w:sz w:val="20"/>
          <w:szCs w:val="20"/>
        </w:rPr>
        <w:t>lead author on the basis of a title/abstract review. Studies were</w:t>
      </w:r>
      <w:r w:rsidR="002E7703" w:rsidRPr="003A55BF">
        <w:rPr>
          <w:rFonts w:cstheme="minorHAnsi"/>
          <w:color w:val="242021"/>
          <w:sz w:val="20"/>
          <w:szCs w:val="20"/>
        </w:rPr>
        <w:t xml:space="preserve"> </w:t>
      </w:r>
      <w:r w:rsidRPr="003A55BF">
        <w:rPr>
          <w:rFonts w:cstheme="minorHAnsi"/>
          <w:color w:val="242021"/>
          <w:sz w:val="20"/>
          <w:szCs w:val="20"/>
        </w:rPr>
        <w:t>included if they related to outcome measurement in a population-based context in cancer services and SACT services or of</w:t>
      </w:r>
      <w:r w:rsidR="002E7703" w:rsidRPr="003A55BF">
        <w:rPr>
          <w:rFonts w:cstheme="minorHAnsi"/>
          <w:color w:val="242021"/>
          <w:sz w:val="20"/>
          <w:szCs w:val="20"/>
        </w:rPr>
        <w:t xml:space="preserve"> </w:t>
      </w:r>
      <w:r w:rsidRPr="003A55BF">
        <w:rPr>
          <w:rFonts w:cstheme="minorHAnsi"/>
          <w:color w:val="242021"/>
          <w:sz w:val="20"/>
          <w:szCs w:val="20"/>
        </w:rPr>
        <w:t>they</w:t>
      </w:r>
      <w:r w:rsidR="00754F3F" w:rsidRPr="003A55BF">
        <w:rPr>
          <w:rFonts w:cstheme="minorHAnsi"/>
          <w:color w:val="242021"/>
          <w:sz w:val="20"/>
          <w:szCs w:val="20"/>
        </w:rPr>
        <w:t xml:space="preserve"> </w:t>
      </w:r>
      <w:r w:rsidRPr="003A55BF">
        <w:rPr>
          <w:rFonts w:cstheme="minorHAnsi"/>
          <w:color w:val="242021"/>
          <w:sz w:val="20"/>
          <w:szCs w:val="20"/>
        </w:rPr>
        <w:t>examined clinician-reported or service-reported outcome</w:t>
      </w:r>
      <w:r w:rsidR="00754F3F" w:rsidRPr="003A55BF">
        <w:rPr>
          <w:rFonts w:cstheme="minorHAnsi"/>
          <w:color w:val="242021"/>
          <w:sz w:val="20"/>
          <w:szCs w:val="20"/>
        </w:rPr>
        <w:t xml:space="preserve"> </w:t>
      </w:r>
      <w:r w:rsidRPr="003A55BF">
        <w:rPr>
          <w:rFonts w:cstheme="minorHAnsi"/>
          <w:color w:val="242021"/>
          <w:sz w:val="20"/>
          <w:szCs w:val="20"/>
        </w:rPr>
        <w:t>measures. Articles were excluded if they focussed on PROMs,</w:t>
      </w:r>
      <w:r w:rsidR="002E7703" w:rsidRPr="003A55BF">
        <w:rPr>
          <w:rFonts w:cstheme="minorHAnsi"/>
          <w:color w:val="242021"/>
          <w:sz w:val="20"/>
          <w:szCs w:val="20"/>
        </w:rPr>
        <w:t xml:space="preserve"> </w:t>
      </w:r>
      <w:r w:rsidRPr="003A55BF">
        <w:rPr>
          <w:rFonts w:cstheme="minorHAnsi"/>
          <w:color w:val="242021"/>
          <w:sz w:val="20"/>
          <w:szCs w:val="20"/>
        </w:rPr>
        <w:lastRenderedPageBreak/>
        <w:t>treatment with individual drugs, individual tumour types, quality</w:t>
      </w:r>
      <w:r w:rsidR="00754F3F" w:rsidRPr="003A55BF">
        <w:rPr>
          <w:rFonts w:cstheme="minorHAnsi"/>
          <w:color w:val="242021"/>
          <w:sz w:val="20"/>
          <w:szCs w:val="20"/>
        </w:rPr>
        <w:t xml:space="preserve"> </w:t>
      </w:r>
      <w:r w:rsidRPr="003A55BF">
        <w:rPr>
          <w:rFonts w:cstheme="minorHAnsi"/>
          <w:color w:val="242021"/>
          <w:sz w:val="20"/>
          <w:szCs w:val="20"/>
        </w:rPr>
        <w:t>of life measures, survival and mortality (on the basis that these are</w:t>
      </w:r>
      <w:r w:rsidR="002E7703" w:rsidRPr="003A55BF">
        <w:rPr>
          <w:rFonts w:cstheme="minorHAnsi"/>
          <w:color w:val="242021"/>
          <w:sz w:val="20"/>
          <w:szCs w:val="20"/>
        </w:rPr>
        <w:t xml:space="preserve"> </w:t>
      </w:r>
      <w:r w:rsidRPr="003A55BF">
        <w:rPr>
          <w:rFonts w:cstheme="minorHAnsi"/>
          <w:color w:val="242021"/>
          <w:sz w:val="20"/>
          <w:szCs w:val="20"/>
        </w:rPr>
        <w:t>already the subject of measurement tools and collection), drug–drug interactions and SACT/chemotherapy services for children.</w:t>
      </w:r>
      <w:r w:rsidR="00754F3F" w:rsidRPr="003A55BF">
        <w:rPr>
          <w:rFonts w:cstheme="minorHAnsi"/>
          <w:color w:val="242021"/>
          <w:sz w:val="20"/>
          <w:szCs w:val="20"/>
        </w:rPr>
        <w:t xml:space="preserve"> </w:t>
      </w:r>
      <w:r w:rsidRPr="003A55BF">
        <w:rPr>
          <w:rFonts w:cstheme="minorHAnsi"/>
          <w:color w:val="242021"/>
          <w:sz w:val="20"/>
          <w:szCs w:val="20"/>
        </w:rPr>
        <w:t>Full papers were obtained for 52 studies, of which 30 were included in the literature review for search (a) (</w:t>
      </w:r>
      <w:r w:rsidRPr="003A55BF">
        <w:rPr>
          <w:rFonts w:cstheme="minorHAnsi"/>
          <w:i/>
          <w:iCs/>
          <w:color w:val="242021"/>
          <w:sz w:val="20"/>
          <w:szCs w:val="20"/>
        </w:rPr>
        <w:t xml:space="preserve">n </w:t>
      </w:r>
      <w:r w:rsidRPr="003A55BF">
        <w:rPr>
          <w:rFonts w:cstheme="minorHAnsi"/>
          <w:color w:val="242021"/>
          <w:sz w:val="20"/>
          <w:szCs w:val="20"/>
        </w:rPr>
        <w:t>= 18), search (b)</w:t>
      </w:r>
      <w:r w:rsidR="00754F3F" w:rsidRPr="003A55BF">
        <w:rPr>
          <w:rFonts w:cstheme="minorHAnsi"/>
          <w:color w:val="242021"/>
          <w:sz w:val="20"/>
          <w:szCs w:val="20"/>
        </w:rPr>
        <w:t xml:space="preserve"> </w:t>
      </w:r>
      <w:r w:rsidRPr="003A55BF">
        <w:rPr>
          <w:rFonts w:cstheme="minorHAnsi"/>
          <w:color w:val="242021"/>
          <w:sz w:val="20"/>
          <w:szCs w:val="20"/>
        </w:rPr>
        <w:t>(</w:t>
      </w:r>
      <w:r w:rsidRPr="003A55BF">
        <w:rPr>
          <w:rFonts w:cstheme="minorHAnsi"/>
          <w:i/>
          <w:iCs/>
          <w:color w:val="242021"/>
          <w:sz w:val="20"/>
          <w:szCs w:val="20"/>
        </w:rPr>
        <w:t xml:space="preserve">n </w:t>
      </w:r>
      <w:r w:rsidRPr="003A55BF">
        <w:rPr>
          <w:rFonts w:cstheme="minorHAnsi"/>
          <w:color w:val="242021"/>
          <w:sz w:val="20"/>
          <w:szCs w:val="20"/>
        </w:rPr>
        <w:t>= 8) and search (c) (</w:t>
      </w:r>
      <w:r w:rsidRPr="003A55BF">
        <w:rPr>
          <w:rFonts w:cstheme="minorHAnsi"/>
          <w:i/>
          <w:iCs/>
          <w:color w:val="242021"/>
          <w:sz w:val="20"/>
          <w:szCs w:val="20"/>
        </w:rPr>
        <w:t xml:space="preserve">n </w:t>
      </w:r>
      <w:r w:rsidRPr="003A55BF">
        <w:rPr>
          <w:rFonts w:cstheme="minorHAnsi"/>
          <w:color w:val="242021"/>
          <w:sz w:val="20"/>
          <w:szCs w:val="20"/>
        </w:rPr>
        <w:t>= 4).</w:t>
      </w:r>
      <w:r w:rsidRPr="003A55BF">
        <w:rPr>
          <w:rFonts w:cstheme="minorHAnsi"/>
          <w:color w:val="242021"/>
          <w:sz w:val="20"/>
          <w:szCs w:val="20"/>
        </w:rPr>
        <w:br/>
      </w:r>
    </w:p>
    <w:p w14:paraId="149A01DC" w14:textId="77777777" w:rsidR="002E7703" w:rsidRPr="003A55BF" w:rsidRDefault="00D03D7B">
      <w:pPr>
        <w:rPr>
          <w:rFonts w:cstheme="minorHAnsi"/>
          <w:color w:val="242021"/>
          <w:sz w:val="20"/>
          <w:szCs w:val="20"/>
        </w:rPr>
      </w:pPr>
      <w:r w:rsidRPr="003A55BF">
        <w:rPr>
          <w:rFonts w:cstheme="minorHAnsi"/>
          <w:color w:val="242021"/>
          <w:sz w:val="20"/>
          <w:szCs w:val="20"/>
        </w:rPr>
        <w:t>Broad outcome themes in the literature used to develop the first</w:t>
      </w:r>
      <w:r w:rsidR="002E7703" w:rsidRPr="003A55BF">
        <w:rPr>
          <w:rFonts w:cstheme="minorHAnsi"/>
          <w:color w:val="242021"/>
          <w:sz w:val="20"/>
          <w:szCs w:val="20"/>
        </w:rPr>
        <w:t xml:space="preserve"> </w:t>
      </w:r>
      <w:r w:rsidRPr="003A55BF">
        <w:rPr>
          <w:rFonts w:cstheme="minorHAnsi"/>
          <w:color w:val="242021"/>
          <w:sz w:val="20"/>
          <w:szCs w:val="20"/>
        </w:rPr>
        <w:t>round of the Delphi study were as follows:</w:t>
      </w:r>
      <w:r w:rsidR="002E7703" w:rsidRPr="003A55BF">
        <w:rPr>
          <w:rFonts w:cstheme="minorHAnsi"/>
          <w:color w:val="242021"/>
          <w:sz w:val="20"/>
          <w:szCs w:val="20"/>
        </w:rPr>
        <w:t xml:space="preserve"> </w:t>
      </w:r>
    </w:p>
    <w:p w14:paraId="4F5B7F52" w14:textId="77777777" w:rsidR="002E7703"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Death within 30 days of receipt of chemotherapy, as reported on</w:t>
      </w:r>
      <w:r w:rsidR="002E7703" w:rsidRPr="003A55BF">
        <w:rPr>
          <w:rFonts w:cstheme="minorHAnsi"/>
          <w:color w:val="242021"/>
          <w:sz w:val="20"/>
          <w:szCs w:val="20"/>
        </w:rPr>
        <w:t xml:space="preserve"> </w:t>
      </w:r>
      <w:r w:rsidRPr="003A55BF">
        <w:rPr>
          <w:rFonts w:cstheme="minorHAnsi"/>
          <w:color w:val="242021"/>
          <w:sz w:val="20"/>
          <w:szCs w:val="20"/>
        </w:rPr>
        <w:t>in some countries (Khoja, McGurk, O’Hara, Chow, &amp; Hasan, 2015;</w:t>
      </w:r>
      <w:r w:rsidR="002E7703" w:rsidRPr="003A55BF">
        <w:rPr>
          <w:rFonts w:cstheme="minorHAnsi"/>
          <w:color w:val="242021"/>
          <w:sz w:val="20"/>
          <w:szCs w:val="20"/>
        </w:rPr>
        <w:t xml:space="preserve"> </w:t>
      </w:r>
      <w:r w:rsidRPr="003A55BF">
        <w:rPr>
          <w:rFonts w:cstheme="minorHAnsi"/>
          <w:color w:val="242021"/>
          <w:sz w:val="20"/>
          <w:szCs w:val="20"/>
        </w:rPr>
        <w:t>NCEPOD, 2008).</w:t>
      </w:r>
    </w:p>
    <w:p w14:paraId="5390199D" w14:textId="77777777" w:rsidR="002E7703"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Measurement of the incidence of neutropenia and neutropenic</w:t>
      </w:r>
      <w:r w:rsidR="002E7703" w:rsidRPr="003A55BF">
        <w:rPr>
          <w:rFonts w:cstheme="minorHAnsi"/>
          <w:color w:val="242021"/>
          <w:sz w:val="20"/>
          <w:szCs w:val="20"/>
        </w:rPr>
        <w:t xml:space="preserve"> </w:t>
      </w:r>
      <w:r w:rsidRPr="003A55BF">
        <w:rPr>
          <w:rFonts w:cstheme="minorHAnsi"/>
          <w:color w:val="242021"/>
          <w:sz w:val="20"/>
          <w:szCs w:val="20"/>
        </w:rPr>
        <w:t xml:space="preserve">sepsis (Hosmer, </w:t>
      </w:r>
      <w:proofErr w:type="spellStart"/>
      <w:r w:rsidRPr="003A55BF">
        <w:rPr>
          <w:rFonts w:cstheme="minorHAnsi"/>
          <w:color w:val="242021"/>
          <w:sz w:val="20"/>
          <w:szCs w:val="20"/>
        </w:rPr>
        <w:t>Malin</w:t>
      </w:r>
      <w:proofErr w:type="spellEnd"/>
      <w:r w:rsidRPr="003A55BF">
        <w:rPr>
          <w:rFonts w:cstheme="minorHAnsi"/>
          <w:color w:val="242021"/>
          <w:sz w:val="20"/>
          <w:szCs w:val="20"/>
        </w:rPr>
        <w:t>, &amp; Wong, 2011).</w:t>
      </w:r>
    </w:p>
    <w:p w14:paraId="4874FCB7" w14:textId="77777777" w:rsidR="00754F3F"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Prevalence of neuropathy/neurotoxicity in SACT patients (Alberti</w:t>
      </w:r>
      <w:r w:rsidR="002E7703" w:rsidRPr="003A55BF">
        <w:rPr>
          <w:rFonts w:cstheme="minorHAnsi"/>
          <w:color w:val="242021"/>
          <w:sz w:val="20"/>
          <w:szCs w:val="20"/>
        </w:rPr>
        <w:t xml:space="preserve"> </w:t>
      </w:r>
      <w:r w:rsidRPr="003A55BF">
        <w:rPr>
          <w:rFonts w:cstheme="minorHAnsi"/>
          <w:color w:val="242021"/>
          <w:sz w:val="20"/>
          <w:szCs w:val="20"/>
        </w:rPr>
        <w:t xml:space="preserve">et al., 2014; </w:t>
      </w:r>
      <w:proofErr w:type="spellStart"/>
      <w:r w:rsidRPr="003A55BF">
        <w:rPr>
          <w:rFonts w:cstheme="minorHAnsi"/>
          <w:color w:val="242021"/>
          <w:sz w:val="20"/>
          <w:szCs w:val="20"/>
        </w:rPr>
        <w:t>Cavaletti</w:t>
      </w:r>
      <w:proofErr w:type="spellEnd"/>
      <w:r w:rsidRPr="003A55BF">
        <w:rPr>
          <w:rFonts w:cstheme="minorHAnsi"/>
          <w:color w:val="242021"/>
          <w:sz w:val="20"/>
          <w:szCs w:val="20"/>
        </w:rPr>
        <w:t xml:space="preserve"> et al., 2013; Griffith, </w:t>
      </w:r>
      <w:proofErr w:type="spellStart"/>
      <w:r w:rsidRPr="003A55BF">
        <w:rPr>
          <w:rFonts w:cstheme="minorHAnsi"/>
          <w:color w:val="242021"/>
          <w:sz w:val="20"/>
          <w:szCs w:val="20"/>
        </w:rPr>
        <w:t>Merkies</w:t>
      </w:r>
      <w:proofErr w:type="spellEnd"/>
      <w:r w:rsidRPr="003A55BF">
        <w:rPr>
          <w:rFonts w:cstheme="minorHAnsi"/>
          <w:color w:val="242021"/>
          <w:sz w:val="20"/>
          <w:szCs w:val="20"/>
        </w:rPr>
        <w:t>, Hill, &amp;</w:t>
      </w:r>
      <w:r w:rsidR="00754F3F" w:rsidRPr="003A55BF">
        <w:rPr>
          <w:rFonts w:cstheme="minorHAnsi"/>
          <w:color w:val="242021"/>
          <w:sz w:val="20"/>
          <w:szCs w:val="20"/>
        </w:rPr>
        <w:t xml:space="preserve"> </w:t>
      </w:r>
      <w:proofErr w:type="spellStart"/>
      <w:r w:rsidRPr="003A55BF">
        <w:rPr>
          <w:rFonts w:cstheme="minorHAnsi"/>
          <w:color w:val="242021"/>
          <w:sz w:val="20"/>
          <w:szCs w:val="20"/>
        </w:rPr>
        <w:t>Cornblath</w:t>
      </w:r>
      <w:proofErr w:type="spellEnd"/>
      <w:r w:rsidRPr="003A55BF">
        <w:rPr>
          <w:rFonts w:cstheme="minorHAnsi"/>
          <w:color w:val="242021"/>
          <w:sz w:val="20"/>
          <w:szCs w:val="20"/>
        </w:rPr>
        <w:t>, 2010).</w:t>
      </w:r>
    </w:p>
    <w:p w14:paraId="0101140E" w14:textId="77777777" w:rsidR="00754F3F"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Unplanned readmissions to hospital within 30 days of receipt</w:t>
      </w:r>
      <w:r w:rsidR="002E7703" w:rsidRPr="003A55BF">
        <w:rPr>
          <w:rFonts w:cstheme="minorHAnsi"/>
          <w:color w:val="242021"/>
          <w:sz w:val="20"/>
          <w:szCs w:val="20"/>
        </w:rPr>
        <w:t xml:space="preserve"> </w:t>
      </w:r>
      <w:r w:rsidRPr="003A55BF">
        <w:rPr>
          <w:rFonts w:cstheme="minorHAnsi"/>
          <w:color w:val="242021"/>
          <w:sz w:val="20"/>
          <w:szCs w:val="20"/>
        </w:rPr>
        <w:t>of chemotherapy (Manzano et al., 2015), including one KPI recommended by the Institute for Health Improvement (IHI, 2015):</w:t>
      </w:r>
      <w:r w:rsidR="002E7703" w:rsidRPr="003A55BF">
        <w:rPr>
          <w:rFonts w:cstheme="minorHAnsi"/>
          <w:color w:val="242021"/>
          <w:sz w:val="20"/>
          <w:szCs w:val="20"/>
        </w:rPr>
        <w:t xml:space="preserve"> </w:t>
      </w:r>
      <w:r w:rsidRPr="003A55BF">
        <w:rPr>
          <w:rFonts w:cstheme="minorHAnsi"/>
          <w:color w:val="242021"/>
          <w:sz w:val="20"/>
          <w:szCs w:val="20"/>
        </w:rPr>
        <w:t>“Number of discharged patients from the chemotherapy</w:t>
      </w:r>
      <w:r w:rsidR="002E7703" w:rsidRPr="003A55BF">
        <w:rPr>
          <w:rFonts w:cstheme="minorHAnsi"/>
          <w:color w:val="242021"/>
          <w:sz w:val="20"/>
          <w:szCs w:val="20"/>
        </w:rPr>
        <w:t xml:space="preserve"> </w:t>
      </w:r>
      <w:r w:rsidRPr="003A55BF">
        <w:rPr>
          <w:rFonts w:cstheme="minorHAnsi"/>
          <w:color w:val="242021"/>
          <w:sz w:val="20"/>
          <w:szCs w:val="20"/>
        </w:rPr>
        <w:t>unit per month who are re-admitted to the hospital/service</w:t>
      </w:r>
      <w:r w:rsidR="002E7703" w:rsidRPr="003A55BF">
        <w:rPr>
          <w:rFonts w:cstheme="minorHAnsi"/>
          <w:color w:val="242021"/>
          <w:sz w:val="20"/>
          <w:szCs w:val="20"/>
        </w:rPr>
        <w:t xml:space="preserve"> </w:t>
      </w:r>
      <w:r w:rsidRPr="003A55BF">
        <w:rPr>
          <w:rFonts w:cstheme="minorHAnsi"/>
          <w:color w:val="242021"/>
          <w:sz w:val="20"/>
          <w:szCs w:val="20"/>
        </w:rPr>
        <w:t>within 30 days (excluding readmissions such as for scheduled</w:t>
      </w:r>
      <w:r w:rsidR="002E7703" w:rsidRPr="003A55BF">
        <w:rPr>
          <w:rFonts w:cstheme="minorHAnsi"/>
          <w:color w:val="242021"/>
          <w:sz w:val="20"/>
          <w:szCs w:val="20"/>
        </w:rPr>
        <w:t xml:space="preserve"> </w:t>
      </w:r>
      <w:r w:rsidRPr="003A55BF">
        <w:rPr>
          <w:rFonts w:cstheme="minorHAnsi"/>
          <w:color w:val="242021"/>
          <w:sz w:val="20"/>
          <w:szCs w:val="20"/>
        </w:rPr>
        <w:t>chemotherapy).”</w:t>
      </w:r>
    </w:p>
    <w:p w14:paraId="0BFDB9AC" w14:textId="77777777" w:rsidR="00754F3F"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Unplanned visits to the emergency department after SACT, including a specific KPI reported on in Canada: “Percentage of</w:t>
      </w:r>
      <w:r w:rsidR="00754F3F" w:rsidRPr="003A55BF">
        <w:rPr>
          <w:rFonts w:cstheme="minorHAnsi"/>
          <w:color w:val="242021"/>
          <w:sz w:val="20"/>
          <w:szCs w:val="20"/>
        </w:rPr>
        <w:t xml:space="preserve"> </w:t>
      </w:r>
      <w:r w:rsidRPr="003A55BF">
        <w:rPr>
          <w:rFonts w:cstheme="minorHAnsi"/>
          <w:color w:val="242021"/>
          <w:sz w:val="20"/>
          <w:szCs w:val="20"/>
        </w:rPr>
        <w:t>patients who visited the emergency department for acute care during a course of SACT treatment,” adapted from (Cancer Care</w:t>
      </w:r>
      <w:r w:rsidR="00754F3F" w:rsidRPr="003A55BF">
        <w:rPr>
          <w:rFonts w:cstheme="minorHAnsi"/>
          <w:color w:val="242021"/>
          <w:sz w:val="20"/>
          <w:szCs w:val="20"/>
        </w:rPr>
        <w:t xml:space="preserve"> </w:t>
      </w:r>
      <w:r w:rsidRPr="003A55BF">
        <w:rPr>
          <w:rFonts w:cstheme="minorHAnsi"/>
          <w:color w:val="242021"/>
          <w:sz w:val="20"/>
          <w:szCs w:val="20"/>
        </w:rPr>
        <w:t>Ontario, 2014).</w:t>
      </w:r>
    </w:p>
    <w:p w14:paraId="6AA15A57" w14:textId="7131E1EF" w:rsidR="00D03D7B" w:rsidRPr="003A55BF" w:rsidRDefault="00D03D7B" w:rsidP="002E7703">
      <w:pPr>
        <w:pStyle w:val="ListParagraph"/>
        <w:numPr>
          <w:ilvl w:val="0"/>
          <w:numId w:val="1"/>
        </w:numPr>
        <w:rPr>
          <w:rFonts w:cstheme="minorHAnsi"/>
          <w:color w:val="242021"/>
          <w:sz w:val="20"/>
          <w:szCs w:val="20"/>
        </w:rPr>
      </w:pPr>
      <w:r w:rsidRPr="003A55BF">
        <w:rPr>
          <w:rFonts w:cstheme="minorHAnsi"/>
          <w:color w:val="242021"/>
          <w:sz w:val="20"/>
          <w:szCs w:val="20"/>
        </w:rPr>
        <w:t>Involvement of palliative care services and timely referral from</w:t>
      </w:r>
      <w:r w:rsidR="002E7703" w:rsidRPr="003A55BF">
        <w:rPr>
          <w:rFonts w:cstheme="minorHAnsi"/>
          <w:color w:val="242021"/>
          <w:sz w:val="20"/>
          <w:szCs w:val="20"/>
        </w:rPr>
        <w:t xml:space="preserve"> </w:t>
      </w:r>
      <w:r w:rsidRPr="003A55BF">
        <w:rPr>
          <w:rFonts w:cstheme="minorHAnsi"/>
          <w:color w:val="242021"/>
          <w:sz w:val="20"/>
          <w:szCs w:val="20"/>
        </w:rPr>
        <w:t>SACT services to palliative care, particularly for advanced cancer</w:t>
      </w:r>
      <w:r w:rsidR="00754F3F" w:rsidRPr="003A55BF">
        <w:rPr>
          <w:rFonts w:cstheme="minorHAnsi"/>
          <w:color w:val="242021"/>
          <w:sz w:val="20"/>
          <w:szCs w:val="20"/>
        </w:rPr>
        <w:t xml:space="preserve"> </w:t>
      </w:r>
      <w:r w:rsidRPr="003A55BF">
        <w:rPr>
          <w:rFonts w:cstheme="minorHAnsi"/>
          <w:color w:val="242021"/>
          <w:sz w:val="20"/>
          <w:szCs w:val="20"/>
        </w:rPr>
        <w:t xml:space="preserve">(Greer, Jackson, Meier, &amp; </w:t>
      </w:r>
      <w:proofErr w:type="spellStart"/>
      <w:r w:rsidRPr="003A55BF">
        <w:rPr>
          <w:rFonts w:cstheme="minorHAnsi"/>
          <w:color w:val="242021"/>
          <w:sz w:val="20"/>
          <w:szCs w:val="20"/>
        </w:rPr>
        <w:t>Temel</w:t>
      </w:r>
      <w:proofErr w:type="spellEnd"/>
      <w:r w:rsidRPr="003A55BF">
        <w:rPr>
          <w:rFonts w:cstheme="minorHAnsi"/>
          <w:color w:val="242021"/>
          <w:sz w:val="20"/>
          <w:szCs w:val="20"/>
        </w:rPr>
        <w:t>, 2013).</w:t>
      </w:r>
    </w:p>
    <w:p w14:paraId="35BFBE5C" w14:textId="77777777" w:rsidR="00754F3F" w:rsidRPr="003A55BF" w:rsidRDefault="00754F3F">
      <w:pPr>
        <w:rPr>
          <w:rStyle w:val="fontstyle01"/>
          <w:rFonts w:asciiTheme="minorHAnsi" w:hAnsiTheme="minorHAnsi" w:cstheme="minorHAnsi"/>
        </w:rPr>
      </w:pPr>
    </w:p>
    <w:p w14:paraId="2903D1F5" w14:textId="7043BC0B" w:rsidR="00754F3F" w:rsidRPr="003A55BF" w:rsidRDefault="00C865AC">
      <w:pPr>
        <w:rPr>
          <w:rStyle w:val="fontstyle11"/>
          <w:rFonts w:asciiTheme="minorHAnsi" w:hAnsiTheme="minorHAnsi" w:cstheme="minorHAnsi"/>
        </w:rPr>
      </w:pPr>
      <w:r w:rsidRPr="003A55BF">
        <w:rPr>
          <w:rStyle w:val="fontstyle01"/>
          <w:rFonts w:asciiTheme="minorHAnsi" w:hAnsiTheme="minorHAnsi" w:cstheme="minorHAnsi"/>
          <w:b w:val="0"/>
          <w:bCs w:val="0"/>
          <w:u w:val="single"/>
        </w:rPr>
        <w:t>Participants and procedures</w:t>
      </w:r>
      <w:r w:rsidRPr="003A55BF">
        <w:rPr>
          <w:rStyle w:val="fontstyle11"/>
          <w:rFonts w:asciiTheme="minorHAnsi" w:hAnsiTheme="minorHAnsi" w:cstheme="minorHAnsi"/>
        </w:rPr>
        <w:br/>
        <w:t>Membership of Delphi panels should reflect the stakeholders involved in a particular area (Campbell, Shield, Rogers, &amp;</w:t>
      </w:r>
      <w:r w:rsidR="00754F3F"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Gask</w:t>
      </w:r>
      <w:proofErr w:type="spellEnd"/>
      <w:r w:rsidRPr="003A55BF">
        <w:rPr>
          <w:rStyle w:val="fontstyle11"/>
          <w:rFonts w:asciiTheme="minorHAnsi" w:hAnsiTheme="minorHAnsi" w:cstheme="minorHAnsi"/>
        </w:rPr>
        <w:t>, 2004; Hsu &amp; Sandford, 2007). The Delphi panel for this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study was drawn from the relevant stakeholders: consultant medical oncologists and haematologists, oncology nurses and oncology pharmacists, palliative care specialists, patient advocates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relevant managers from the National Cancer Control Programme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(NCCP). Participants were required to be an existing member of</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an NCCP group or committee, on which they represented their</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respective professional or other grouping. Participants were also</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required to have the requisite knowledge, experience and willingness to contribute (Keeney, Hasson, &amp; McKenna, 2011). There is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no clear guidance on the appropriate size of a Delphi panel (Hsu</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&amp; Sandford, 2007; Morris &amp; </w:t>
      </w:r>
      <w:proofErr w:type="spellStart"/>
      <w:r w:rsidRPr="003A55BF">
        <w:rPr>
          <w:rStyle w:val="fontstyle11"/>
          <w:rFonts w:asciiTheme="minorHAnsi" w:hAnsiTheme="minorHAnsi" w:cstheme="minorHAnsi"/>
        </w:rPr>
        <w:t>Cantrill</w:t>
      </w:r>
      <w:proofErr w:type="spellEnd"/>
      <w:r w:rsidRPr="003A55BF">
        <w:rPr>
          <w:rStyle w:val="fontstyle11"/>
          <w:rFonts w:asciiTheme="minorHAnsi" w:hAnsiTheme="minorHAnsi" w:cstheme="minorHAnsi"/>
        </w:rPr>
        <w:t>, 2002) with most Delphi panels having 15–20 members (Hsu &amp; Sandford, 2007). In this study,</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109 people from the identified stakeholder groups were invited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to participate.</w:t>
      </w:r>
    </w:p>
    <w:p w14:paraId="64676764" w14:textId="037EC8E3" w:rsidR="00D03D7B" w:rsidRPr="003A55BF" w:rsidRDefault="00C865AC">
      <w:pPr>
        <w:rPr>
          <w:rStyle w:val="fontstyle11"/>
          <w:rFonts w:asciiTheme="minorHAnsi" w:hAnsiTheme="minorHAnsi" w:cstheme="minorHAnsi"/>
        </w:rPr>
      </w:pPr>
      <w:r w:rsidRPr="003A55BF">
        <w:rPr>
          <w:rFonts w:cstheme="minorHAnsi"/>
          <w:color w:val="242021"/>
          <w:sz w:val="20"/>
          <w:szCs w:val="20"/>
        </w:rPr>
        <w:br/>
      </w:r>
      <w:r w:rsidRPr="003A55BF">
        <w:rPr>
          <w:rStyle w:val="fontstyle11"/>
          <w:rFonts w:asciiTheme="minorHAnsi" w:hAnsiTheme="minorHAnsi" w:cstheme="minorHAnsi"/>
        </w:rPr>
        <w:t>A participant information leaflet was provided, and informed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consent was collected. Recruitment and response rates can be a</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challenge in Delphi studies (Cantwell et al., 2017). To alleviate this,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personalised communications, regular reminders and details of the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likely time commitment were issued. Survey data were collected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electronically. All data collection and storage were compliant with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data protection regulations. No patient data were collected. Ethical</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approval was obtained from the Trinity College Dublin "Health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Policy &amp; Management/ Centre for Global Health" Research Ethics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Committee.</w:t>
      </w:r>
    </w:p>
    <w:p w14:paraId="4D413708" w14:textId="77777777" w:rsidR="00754F3F" w:rsidRPr="003A55BF" w:rsidRDefault="00754F3F">
      <w:pPr>
        <w:rPr>
          <w:rStyle w:val="fontstyle11"/>
          <w:rFonts w:asciiTheme="minorHAnsi" w:hAnsiTheme="minorHAnsi" w:cstheme="minorHAnsi"/>
        </w:rPr>
      </w:pPr>
    </w:p>
    <w:p w14:paraId="067929DB" w14:textId="77777777" w:rsidR="00754F3F" w:rsidRPr="003A55BF" w:rsidRDefault="00C865AC">
      <w:pPr>
        <w:rPr>
          <w:rStyle w:val="fontstyle11"/>
          <w:rFonts w:asciiTheme="minorHAnsi" w:hAnsiTheme="minorHAnsi" w:cstheme="minorHAnsi"/>
        </w:rPr>
      </w:pPr>
      <w:r w:rsidRPr="003A55BF">
        <w:rPr>
          <w:rStyle w:val="fontstyle01"/>
          <w:rFonts w:asciiTheme="minorHAnsi" w:hAnsiTheme="minorHAnsi" w:cstheme="minorHAnsi"/>
          <w:b w:val="0"/>
          <w:bCs w:val="0"/>
          <w:u w:val="single"/>
        </w:rPr>
        <w:t>Study design</w:t>
      </w:r>
      <w:r w:rsidRPr="003A55BF">
        <w:rPr>
          <w:rFonts w:cstheme="minorHAnsi"/>
          <w:b/>
          <w:bCs/>
          <w:color w:val="242021"/>
          <w:sz w:val="20"/>
          <w:szCs w:val="20"/>
        </w:rPr>
        <w:br/>
      </w:r>
      <w:r w:rsidRPr="003A55BF">
        <w:rPr>
          <w:rStyle w:val="fontstyle11"/>
          <w:rFonts w:asciiTheme="minorHAnsi" w:hAnsiTheme="minorHAnsi" w:cstheme="minorHAnsi"/>
        </w:rPr>
        <w:t>The literature is not definitive about the appropriate number of</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Delphi rounds, with some stressing the stopping point at consensus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w:t>
      </w:r>
      <w:proofErr w:type="spellStart"/>
      <w:r w:rsidRPr="003A55BF">
        <w:rPr>
          <w:rStyle w:val="fontstyle11"/>
          <w:rFonts w:asciiTheme="minorHAnsi" w:hAnsiTheme="minorHAnsi" w:cstheme="minorHAnsi"/>
        </w:rPr>
        <w:t>Boulkedid</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Abdoul</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Loustau</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Sibony</w:t>
      </w:r>
      <w:proofErr w:type="spellEnd"/>
      <w:r w:rsidRPr="003A55BF">
        <w:rPr>
          <w:rStyle w:val="fontstyle11"/>
          <w:rFonts w:asciiTheme="minorHAnsi" w:hAnsiTheme="minorHAnsi" w:cstheme="minorHAnsi"/>
        </w:rPr>
        <w:t xml:space="preserve">, &amp; Alberti, 2011) and others emphasising the </w:t>
      </w:r>
      <w:r w:rsidRPr="003A55BF">
        <w:rPr>
          <w:rStyle w:val="fontstyle11"/>
          <w:rFonts w:asciiTheme="minorHAnsi" w:hAnsiTheme="minorHAnsi" w:cstheme="minorHAnsi"/>
        </w:rPr>
        <w:lastRenderedPageBreak/>
        <w:t>attainment of stability of responses throughout rounds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w:t>
      </w:r>
      <w:proofErr w:type="spellStart"/>
      <w:r w:rsidRPr="003A55BF">
        <w:rPr>
          <w:rStyle w:val="fontstyle11"/>
          <w:rFonts w:asciiTheme="minorHAnsi" w:hAnsiTheme="minorHAnsi" w:cstheme="minorHAnsi"/>
        </w:rPr>
        <w:t>Gracht</w:t>
      </w:r>
      <w:proofErr w:type="spellEnd"/>
      <w:r w:rsidRPr="003A55BF">
        <w:rPr>
          <w:rStyle w:val="fontstyle11"/>
          <w:rFonts w:asciiTheme="minorHAnsi" w:hAnsiTheme="minorHAnsi" w:cstheme="minorHAnsi"/>
        </w:rPr>
        <w:t>, 2012). A systematic review of Delphi studies (</w:t>
      </w:r>
      <w:proofErr w:type="spellStart"/>
      <w:r w:rsidRPr="003A55BF">
        <w:rPr>
          <w:rStyle w:val="fontstyle11"/>
          <w:rFonts w:asciiTheme="minorHAnsi" w:hAnsiTheme="minorHAnsi" w:cstheme="minorHAnsi"/>
        </w:rPr>
        <w:t>Nowack</w:t>
      </w:r>
      <w:proofErr w:type="spellEnd"/>
      <w:r w:rsidRPr="003A55BF">
        <w:rPr>
          <w:rStyle w:val="fontstyle11"/>
          <w:rFonts w:asciiTheme="minorHAnsi" w:hAnsiTheme="minorHAnsi" w:cstheme="minorHAnsi"/>
        </w:rPr>
        <w:t>,</w:t>
      </w:r>
      <w:r w:rsidR="00754F3F"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Endrikat</w:t>
      </w:r>
      <w:proofErr w:type="spellEnd"/>
      <w:r w:rsidRPr="003A55BF">
        <w:rPr>
          <w:rStyle w:val="fontstyle11"/>
          <w:rFonts w:asciiTheme="minorHAnsi" w:hAnsiTheme="minorHAnsi" w:cstheme="minorHAnsi"/>
        </w:rPr>
        <w:t>, &amp; Guenther, 2011) found that most used two rounds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three iterations are usually sufficient for most studies (</w:t>
      </w:r>
      <w:proofErr w:type="spellStart"/>
      <w:r w:rsidRPr="003A55BF">
        <w:rPr>
          <w:rStyle w:val="fontstyle11"/>
          <w:rFonts w:asciiTheme="minorHAnsi" w:hAnsiTheme="minorHAnsi" w:cstheme="minorHAnsi"/>
        </w:rPr>
        <w:t>Boulkedid</w:t>
      </w:r>
      <w:proofErr w:type="spellEnd"/>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et al., 2011; Hsu &amp; Sandford, 2007; Trevelyan &amp; Robinson, 2015). In</w:t>
      </w:r>
      <w:r w:rsidR="00754F3F" w:rsidRPr="003A55BF">
        <w:rPr>
          <w:rStyle w:val="fontstyle11"/>
          <w:rFonts w:asciiTheme="minorHAnsi" w:hAnsiTheme="minorHAnsi" w:cstheme="minorHAnsi"/>
        </w:rPr>
        <w:t xml:space="preserve">  t</w:t>
      </w:r>
      <w:r w:rsidRPr="003A55BF">
        <w:rPr>
          <w:rStyle w:val="fontstyle11"/>
          <w:rFonts w:asciiTheme="minorHAnsi" w:hAnsiTheme="minorHAnsi" w:cstheme="minorHAnsi"/>
        </w:rPr>
        <w:t>his study, four rounds were undertaken, the final round being a prioritisation of KPIs identified in previous rounds. A modified Delphi</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approach was used (Franklin &amp; Hart, 2007; Hsu &amp; Sandford, 2007),</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whereby the outcome areas and KPIs identified in the literature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formed the first round questionnaire. </w:t>
      </w:r>
    </w:p>
    <w:p w14:paraId="7B764360" w14:textId="77777777" w:rsidR="00754F3F" w:rsidRPr="003A55BF" w:rsidRDefault="00C865AC">
      <w:pPr>
        <w:rPr>
          <w:rFonts w:cstheme="minorHAnsi"/>
          <w:color w:val="242021"/>
          <w:sz w:val="20"/>
          <w:szCs w:val="20"/>
        </w:rPr>
      </w:pPr>
      <w:r w:rsidRPr="003A55BF">
        <w:rPr>
          <w:rFonts w:cstheme="minorHAnsi"/>
          <w:color w:val="242021"/>
          <w:sz w:val="20"/>
          <w:szCs w:val="20"/>
        </w:rPr>
        <w:t>The level of consensus used is one of the more contentious issues</w:t>
      </w:r>
      <w:r w:rsidR="00754F3F" w:rsidRPr="003A55BF">
        <w:rPr>
          <w:rFonts w:cstheme="minorHAnsi"/>
          <w:color w:val="242021"/>
          <w:sz w:val="20"/>
          <w:szCs w:val="20"/>
        </w:rPr>
        <w:t xml:space="preserve"> </w:t>
      </w:r>
      <w:r w:rsidRPr="003A55BF">
        <w:rPr>
          <w:rFonts w:cstheme="minorHAnsi"/>
          <w:color w:val="242021"/>
          <w:sz w:val="20"/>
          <w:szCs w:val="20"/>
        </w:rPr>
        <w:t>in Delphi studies. The level of agreement applied in similar studies</w:t>
      </w:r>
      <w:r w:rsidR="00754F3F" w:rsidRPr="003A55BF">
        <w:rPr>
          <w:rFonts w:cstheme="minorHAnsi"/>
          <w:color w:val="242021"/>
          <w:sz w:val="20"/>
          <w:szCs w:val="20"/>
        </w:rPr>
        <w:t xml:space="preserve"> </w:t>
      </w:r>
      <w:r w:rsidRPr="003A55BF">
        <w:rPr>
          <w:rFonts w:cstheme="minorHAnsi"/>
          <w:color w:val="242021"/>
          <w:sz w:val="20"/>
          <w:szCs w:val="20"/>
        </w:rPr>
        <w:t xml:space="preserve">varied: 67% (O'Donovan, </w:t>
      </w:r>
      <w:proofErr w:type="spellStart"/>
      <w:r w:rsidRPr="003A55BF">
        <w:rPr>
          <w:rFonts w:cstheme="minorHAnsi"/>
          <w:color w:val="242021"/>
          <w:sz w:val="20"/>
          <w:szCs w:val="20"/>
        </w:rPr>
        <w:t>Mohile</w:t>
      </w:r>
      <w:proofErr w:type="spellEnd"/>
      <w:r w:rsidRPr="003A55BF">
        <w:rPr>
          <w:rFonts w:cstheme="minorHAnsi"/>
          <w:color w:val="242021"/>
          <w:sz w:val="20"/>
          <w:szCs w:val="20"/>
        </w:rPr>
        <w:t>, &amp; Leech, 2015), 70% (MacLennan</w:t>
      </w:r>
      <w:r w:rsidR="00754F3F" w:rsidRPr="003A55BF">
        <w:rPr>
          <w:rFonts w:cstheme="minorHAnsi"/>
          <w:color w:val="242021"/>
          <w:sz w:val="20"/>
          <w:szCs w:val="20"/>
        </w:rPr>
        <w:t xml:space="preserve"> </w:t>
      </w:r>
      <w:r w:rsidRPr="003A55BF">
        <w:rPr>
          <w:rFonts w:cstheme="minorHAnsi"/>
          <w:color w:val="242021"/>
          <w:sz w:val="20"/>
          <w:szCs w:val="20"/>
        </w:rPr>
        <w:t xml:space="preserve">et al., 2015; Waters, </w:t>
      </w:r>
      <w:proofErr w:type="spellStart"/>
      <w:r w:rsidRPr="003A55BF">
        <w:rPr>
          <w:rFonts w:cstheme="minorHAnsi"/>
          <w:color w:val="242021"/>
          <w:sz w:val="20"/>
          <w:szCs w:val="20"/>
        </w:rPr>
        <w:t>Tudur</w:t>
      </w:r>
      <w:proofErr w:type="spellEnd"/>
      <w:r w:rsidRPr="003A55BF">
        <w:rPr>
          <w:rFonts w:cstheme="minorHAnsi"/>
          <w:color w:val="242021"/>
          <w:sz w:val="20"/>
          <w:szCs w:val="20"/>
        </w:rPr>
        <w:t xml:space="preserve"> Smith, Young, &amp; Jones, 2014), 75%</w:t>
      </w:r>
      <w:r w:rsidR="00754F3F" w:rsidRPr="003A55BF">
        <w:rPr>
          <w:rFonts w:cstheme="minorHAnsi"/>
          <w:color w:val="242021"/>
          <w:sz w:val="20"/>
          <w:szCs w:val="20"/>
        </w:rPr>
        <w:t xml:space="preserve"> </w:t>
      </w:r>
      <w:r w:rsidRPr="003A55BF">
        <w:rPr>
          <w:rFonts w:cstheme="minorHAnsi"/>
          <w:color w:val="242021"/>
          <w:sz w:val="20"/>
          <w:szCs w:val="20"/>
        </w:rPr>
        <w:t xml:space="preserve">(Campbell et al., 2004; Morris &amp; </w:t>
      </w:r>
      <w:proofErr w:type="spellStart"/>
      <w:r w:rsidRPr="003A55BF">
        <w:rPr>
          <w:rFonts w:cstheme="minorHAnsi"/>
          <w:color w:val="242021"/>
          <w:sz w:val="20"/>
          <w:szCs w:val="20"/>
        </w:rPr>
        <w:t>Cantrill</w:t>
      </w:r>
      <w:proofErr w:type="spellEnd"/>
      <w:r w:rsidRPr="003A55BF">
        <w:rPr>
          <w:rFonts w:cstheme="minorHAnsi"/>
          <w:color w:val="242021"/>
          <w:sz w:val="20"/>
          <w:szCs w:val="20"/>
        </w:rPr>
        <w:t>, 2002; Poole, Schmidt,</w:t>
      </w:r>
      <w:r w:rsidR="00754F3F" w:rsidRPr="003A55BF">
        <w:rPr>
          <w:rFonts w:cstheme="minorHAnsi"/>
          <w:color w:val="242021"/>
          <w:sz w:val="20"/>
          <w:szCs w:val="20"/>
        </w:rPr>
        <w:t xml:space="preserve"> </w:t>
      </w:r>
      <w:r w:rsidRPr="003A55BF">
        <w:rPr>
          <w:rFonts w:cstheme="minorHAnsi"/>
          <w:color w:val="242021"/>
          <w:sz w:val="20"/>
          <w:szCs w:val="20"/>
        </w:rPr>
        <w:t xml:space="preserve">Green, &amp; </w:t>
      </w:r>
      <w:proofErr w:type="spellStart"/>
      <w:r w:rsidRPr="003A55BF">
        <w:rPr>
          <w:rFonts w:cstheme="minorHAnsi"/>
          <w:color w:val="242021"/>
          <w:sz w:val="20"/>
          <w:szCs w:val="20"/>
        </w:rPr>
        <w:t>Hemsing</w:t>
      </w:r>
      <w:proofErr w:type="spellEnd"/>
      <w:r w:rsidRPr="003A55BF">
        <w:rPr>
          <w:rFonts w:cstheme="minorHAnsi"/>
          <w:color w:val="242021"/>
          <w:sz w:val="20"/>
          <w:szCs w:val="20"/>
        </w:rPr>
        <w:t>, 2016) and 80% (Hsu &amp; Sandford, 2007), on</w:t>
      </w:r>
      <w:r w:rsidR="00754F3F" w:rsidRPr="003A55BF">
        <w:rPr>
          <w:rFonts w:cstheme="minorHAnsi"/>
          <w:color w:val="242021"/>
          <w:sz w:val="20"/>
          <w:szCs w:val="20"/>
        </w:rPr>
        <w:t xml:space="preserve"> </w:t>
      </w:r>
      <w:r w:rsidRPr="003A55BF">
        <w:rPr>
          <w:rFonts w:cstheme="minorHAnsi"/>
          <w:color w:val="242021"/>
          <w:sz w:val="20"/>
          <w:szCs w:val="20"/>
        </w:rPr>
        <w:t>varying Likert scales, with a median level of 75% found in a systematic review of Delphi studies by Diamond et al. (2014). A consensus level of 75% was used for this study, which was applied in the</w:t>
      </w:r>
      <w:r w:rsidR="00754F3F" w:rsidRPr="003A55BF">
        <w:rPr>
          <w:rFonts w:cstheme="minorHAnsi"/>
          <w:color w:val="242021"/>
          <w:sz w:val="20"/>
          <w:szCs w:val="20"/>
        </w:rPr>
        <w:t xml:space="preserve"> </w:t>
      </w:r>
      <w:r w:rsidRPr="003A55BF">
        <w:rPr>
          <w:rFonts w:cstheme="minorHAnsi"/>
          <w:color w:val="242021"/>
          <w:sz w:val="20"/>
          <w:szCs w:val="20"/>
        </w:rPr>
        <w:t>second and third rounds, whereby consensus was reached if 75%</w:t>
      </w:r>
      <w:r w:rsidR="00754F3F" w:rsidRPr="003A55BF">
        <w:rPr>
          <w:rFonts w:cstheme="minorHAnsi"/>
          <w:color w:val="242021"/>
          <w:sz w:val="20"/>
          <w:szCs w:val="20"/>
        </w:rPr>
        <w:t xml:space="preserve"> </w:t>
      </w:r>
      <w:r w:rsidRPr="003A55BF">
        <w:rPr>
          <w:rFonts w:cstheme="minorHAnsi"/>
          <w:color w:val="242021"/>
          <w:sz w:val="20"/>
          <w:szCs w:val="20"/>
        </w:rPr>
        <w:t>or more of the panel rated the KPI at “6” or higher on a 10-point</w:t>
      </w:r>
      <w:r w:rsidR="00754F3F" w:rsidRPr="003A55BF">
        <w:rPr>
          <w:rFonts w:cstheme="minorHAnsi"/>
          <w:color w:val="242021"/>
          <w:sz w:val="20"/>
          <w:szCs w:val="20"/>
        </w:rPr>
        <w:t xml:space="preserve"> </w:t>
      </w:r>
      <w:r w:rsidRPr="003A55BF">
        <w:rPr>
          <w:rFonts w:cstheme="minorHAnsi"/>
          <w:color w:val="242021"/>
          <w:sz w:val="20"/>
          <w:szCs w:val="20"/>
        </w:rPr>
        <w:t>Likert scale, where “1” was “not at all important” and “10” was “extremely important.” A 10-point scale allows a clear spread of opinions to emerge and an interquartile range (IQR) of two or more on</w:t>
      </w:r>
      <w:r w:rsidR="00754F3F" w:rsidRPr="003A55BF">
        <w:rPr>
          <w:rFonts w:cstheme="minorHAnsi"/>
          <w:color w:val="242021"/>
          <w:sz w:val="20"/>
          <w:szCs w:val="20"/>
        </w:rPr>
        <w:t xml:space="preserve"> </w:t>
      </w:r>
      <w:r w:rsidRPr="003A55BF">
        <w:rPr>
          <w:rFonts w:cstheme="minorHAnsi"/>
          <w:color w:val="242021"/>
          <w:sz w:val="20"/>
          <w:szCs w:val="20"/>
        </w:rPr>
        <w:t>the 10-point scale represents reasonable consensus (</w:t>
      </w:r>
      <w:proofErr w:type="spellStart"/>
      <w:r w:rsidRPr="003A55BF">
        <w:rPr>
          <w:rFonts w:cstheme="minorHAnsi"/>
          <w:color w:val="242021"/>
          <w:sz w:val="20"/>
          <w:szCs w:val="20"/>
        </w:rPr>
        <w:t>Gracht</w:t>
      </w:r>
      <w:proofErr w:type="spellEnd"/>
      <w:r w:rsidRPr="003A55BF">
        <w:rPr>
          <w:rFonts w:cstheme="minorHAnsi"/>
          <w:color w:val="242021"/>
          <w:sz w:val="20"/>
          <w:szCs w:val="20"/>
        </w:rPr>
        <w:t>, 2012;</w:t>
      </w:r>
      <w:r w:rsidR="00754F3F" w:rsidRPr="003A55BF">
        <w:rPr>
          <w:rFonts w:cstheme="minorHAnsi"/>
          <w:color w:val="242021"/>
          <w:sz w:val="20"/>
          <w:szCs w:val="20"/>
        </w:rPr>
        <w:t xml:space="preserve"> </w:t>
      </w:r>
      <w:r w:rsidRPr="003A55BF">
        <w:rPr>
          <w:rFonts w:cstheme="minorHAnsi"/>
          <w:color w:val="242021"/>
          <w:sz w:val="20"/>
          <w:szCs w:val="20"/>
        </w:rPr>
        <w:t>O'Donovan et al., 2015; Poole et al., 2016). Items that did not reach</w:t>
      </w:r>
      <w:r w:rsidR="00754F3F" w:rsidRPr="003A55BF">
        <w:rPr>
          <w:rFonts w:cstheme="minorHAnsi"/>
          <w:color w:val="242021"/>
          <w:sz w:val="20"/>
          <w:szCs w:val="20"/>
        </w:rPr>
        <w:t xml:space="preserve"> </w:t>
      </w:r>
      <w:r w:rsidRPr="003A55BF">
        <w:rPr>
          <w:rFonts w:cstheme="minorHAnsi"/>
          <w:color w:val="242021"/>
          <w:sz w:val="20"/>
          <w:szCs w:val="20"/>
        </w:rPr>
        <w:t>consensus were omitted from the subsequent round, similar to many</w:t>
      </w:r>
      <w:r w:rsidR="00754F3F" w:rsidRPr="003A55BF">
        <w:rPr>
          <w:rFonts w:cstheme="minorHAnsi"/>
          <w:color w:val="242021"/>
          <w:sz w:val="20"/>
          <w:szCs w:val="20"/>
        </w:rPr>
        <w:t xml:space="preserve"> </w:t>
      </w:r>
      <w:r w:rsidRPr="003A55BF">
        <w:rPr>
          <w:rFonts w:cstheme="minorHAnsi"/>
          <w:color w:val="242021"/>
          <w:sz w:val="20"/>
          <w:szCs w:val="20"/>
        </w:rPr>
        <w:t>Delphi studies (Keeney et al., 2011; McNair et al., 2016; O'Donovan</w:t>
      </w:r>
      <w:r w:rsidR="00754F3F" w:rsidRPr="003A55BF">
        <w:rPr>
          <w:rFonts w:cstheme="minorHAnsi"/>
          <w:color w:val="242021"/>
          <w:sz w:val="20"/>
          <w:szCs w:val="20"/>
        </w:rPr>
        <w:t xml:space="preserve"> </w:t>
      </w:r>
      <w:r w:rsidRPr="003A55BF">
        <w:rPr>
          <w:rFonts w:cstheme="minorHAnsi"/>
          <w:color w:val="242021"/>
          <w:sz w:val="20"/>
          <w:szCs w:val="20"/>
        </w:rPr>
        <w:t>et al., 2015; Rushton, Fawkes, Carnes, &amp; Moore, 2014).</w:t>
      </w:r>
      <w:r w:rsidR="00754F3F" w:rsidRPr="003A55BF">
        <w:rPr>
          <w:rFonts w:cstheme="minorHAnsi"/>
          <w:color w:val="242021"/>
          <w:sz w:val="20"/>
          <w:szCs w:val="20"/>
        </w:rPr>
        <w:t xml:space="preserve"> </w:t>
      </w:r>
    </w:p>
    <w:p w14:paraId="1812007C" w14:textId="413FE06D" w:rsidR="00C865AC" w:rsidRPr="003A55BF" w:rsidRDefault="00C865AC">
      <w:pPr>
        <w:rPr>
          <w:rFonts w:cstheme="minorHAnsi"/>
          <w:color w:val="242021"/>
          <w:sz w:val="20"/>
          <w:szCs w:val="20"/>
        </w:rPr>
      </w:pPr>
      <w:r w:rsidRPr="003A55BF">
        <w:rPr>
          <w:rFonts w:cstheme="minorHAnsi"/>
          <w:color w:val="242021"/>
          <w:sz w:val="20"/>
          <w:szCs w:val="20"/>
        </w:rPr>
        <w:t>The provision of anonymous feedback to Delphi participants</w:t>
      </w:r>
      <w:r w:rsidR="00754F3F" w:rsidRPr="003A55BF">
        <w:rPr>
          <w:rFonts w:cstheme="minorHAnsi"/>
          <w:color w:val="242021"/>
          <w:sz w:val="20"/>
          <w:szCs w:val="20"/>
        </w:rPr>
        <w:t xml:space="preserve"> </w:t>
      </w:r>
      <w:r w:rsidRPr="003A55BF">
        <w:rPr>
          <w:rFonts w:cstheme="minorHAnsi"/>
          <w:color w:val="242021"/>
          <w:sz w:val="20"/>
          <w:szCs w:val="20"/>
        </w:rPr>
        <w:t>allows members to consider their views in light of the aggregated</w:t>
      </w:r>
      <w:r w:rsidR="00754F3F" w:rsidRPr="003A55BF">
        <w:rPr>
          <w:rFonts w:cstheme="minorHAnsi"/>
          <w:color w:val="242021"/>
          <w:sz w:val="20"/>
          <w:szCs w:val="20"/>
        </w:rPr>
        <w:t xml:space="preserve"> </w:t>
      </w:r>
      <w:r w:rsidRPr="003A55BF">
        <w:rPr>
          <w:rFonts w:cstheme="minorHAnsi"/>
          <w:color w:val="242021"/>
          <w:sz w:val="20"/>
          <w:szCs w:val="20"/>
        </w:rPr>
        <w:t>views of the group. A feedback report was circulated to participants</w:t>
      </w:r>
      <w:r w:rsidR="00754F3F" w:rsidRPr="003A55BF">
        <w:rPr>
          <w:rFonts w:cstheme="minorHAnsi"/>
          <w:color w:val="242021"/>
          <w:sz w:val="20"/>
          <w:szCs w:val="20"/>
        </w:rPr>
        <w:t xml:space="preserve"> </w:t>
      </w:r>
      <w:r w:rsidRPr="003A55BF">
        <w:rPr>
          <w:rFonts w:cstheme="minorHAnsi"/>
          <w:color w:val="242021"/>
          <w:sz w:val="20"/>
          <w:szCs w:val="20"/>
        </w:rPr>
        <w:t>after rounds one, two and three, including descriptive statistics and</w:t>
      </w:r>
      <w:r w:rsidR="00754F3F" w:rsidRPr="003A55BF">
        <w:rPr>
          <w:rFonts w:cstheme="minorHAnsi"/>
          <w:color w:val="242021"/>
          <w:sz w:val="20"/>
          <w:szCs w:val="20"/>
        </w:rPr>
        <w:t xml:space="preserve"> </w:t>
      </w:r>
      <w:r w:rsidRPr="003A55BF">
        <w:rPr>
          <w:rFonts w:cstheme="minorHAnsi"/>
          <w:color w:val="242021"/>
          <w:sz w:val="20"/>
          <w:szCs w:val="20"/>
        </w:rPr>
        <w:t>an anonymised summary of participants' comments. Participants</w:t>
      </w:r>
      <w:r w:rsidR="00754F3F" w:rsidRPr="003A55BF">
        <w:rPr>
          <w:rFonts w:cstheme="minorHAnsi"/>
          <w:color w:val="242021"/>
          <w:sz w:val="20"/>
          <w:szCs w:val="20"/>
        </w:rPr>
        <w:t xml:space="preserve"> </w:t>
      </w:r>
      <w:r w:rsidRPr="003A55BF">
        <w:rPr>
          <w:rFonts w:cstheme="minorHAnsi"/>
          <w:color w:val="242021"/>
          <w:sz w:val="20"/>
          <w:szCs w:val="20"/>
        </w:rPr>
        <w:t>were asked to review the feedback report before undertaking the</w:t>
      </w:r>
      <w:r w:rsidR="00754F3F" w:rsidRPr="003A55BF">
        <w:rPr>
          <w:rFonts w:cstheme="minorHAnsi"/>
          <w:color w:val="242021"/>
          <w:sz w:val="20"/>
          <w:szCs w:val="20"/>
        </w:rPr>
        <w:t xml:space="preserve"> </w:t>
      </w:r>
      <w:r w:rsidRPr="003A55BF">
        <w:rPr>
          <w:rFonts w:cstheme="minorHAnsi"/>
          <w:color w:val="242021"/>
          <w:sz w:val="20"/>
          <w:szCs w:val="20"/>
        </w:rPr>
        <w:t>next round of the study, with a view to aiding convergence towards</w:t>
      </w:r>
      <w:r w:rsidR="00754F3F" w:rsidRPr="003A55BF">
        <w:rPr>
          <w:rFonts w:cstheme="minorHAnsi"/>
          <w:color w:val="242021"/>
          <w:sz w:val="20"/>
          <w:szCs w:val="20"/>
        </w:rPr>
        <w:t xml:space="preserve"> </w:t>
      </w:r>
      <w:r w:rsidRPr="003A55BF">
        <w:rPr>
          <w:rFonts w:cstheme="minorHAnsi"/>
          <w:color w:val="242021"/>
          <w:sz w:val="20"/>
          <w:szCs w:val="20"/>
        </w:rPr>
        <w:t>group consensus.</w:t>
      </w:r>
    </w:p>
    <w:p w14:paraId="1A4B8829" w14:textId="77777777" w:rsidR="00754F3F" w:rsidRPr="003A55BF" w:rsidRDefault="00754F3F">
      <w:pPr>
        <w:rPr>
          <w:rStyle w:val="fontstyle01"/>
          <w:rFonts w:asciiTheme="minorHAnsi" w:hAnsiTheme="minorHAnsi" w:cstheme="minorHAnsi"/>
        </w:rPr>
      </w:pPr>
    </w:p>
    <w:p w14:paraId="19EC797A" w14:textId="79F6B8B0" w:rsidR="00C865AC" w:rsidRPr="003A55BF" w:rsidRDefault="00C865AC">
      <w:pPr>
        <w:rPr>
          <w:rStyle w:val="fontstyle11"/>
          <w:rFonts w:asciiTheme="minorHAnsi" w:hAnsiTheme="minorHAnsi" w:cstheme="minorHAnsi"/>
        </w:rPr>
      </w:pPr>
      <w:r w:rsidRPr="003A55BF">
        <w:rPr>
          <w:rStyle w:val="fontstyle01"/>
          <w:rFonts w:asciiTheme="minorHAnsi" w:hAnsiTheme="minorHAnsi" w:cstheme="minorHAnsi"/>
          <w:b w:val="0"/>
          <w:bCs w:val="0"/>
          <w:u w:val="single"/>
        </w:rPr>
        <w:t>Delphi rounds</w:t>
      </w:r>
      <w:r w:rsidRPr="003A55BF">
        <w:rPr>
          <w:rFonts w:cstheme="minorHAnsi"/>
          <w:b/>
          <w:bCs/>
          <w:color w:val="242021"/>
          <w:sz w:val="20"/>
          <w:szCs w:val="20"/>
          <w:u w:val="single"/>
        </w:rPr>
        <w:br/>
      </w:r>
      <w:r w:rsidRPr="003A55BF">
        <w:rPr>
          <w:rStyle w:val="fontstyle11"/>
          <w:rFonts w:asciiTheme="minorHAnsi" w:hAnsiTheme="minorHAnsi" w:cstheme="minorHAnsi"/>
        </w:rPr>
        <w:t xml:space="preserve">To facilitate tracking of responses from round to round, a </w:t>
      </w:r>
      <w:proofErr w:type="spellStart"/>
      <w:r w:rsidRPr="003A55BF">
        <w:rPr>
          <w:rStyle w:val="fontstyle11"/>
          <w:rFonts w:asciiTheme="minorHAnsi" w:hAnsiTheme="minorHAnsi" w:cstheme="minorHAnsi"/>
        </w:rPr>
        <w:t>quasianonymous</w:t>
      </w:r>
      <w:proofErr w:type="spellEnd"/>
      <w:r w:rsidRPr="003A55BF">
        <w:rPr>
          <w:rStyle w:val="fontstyle11"/>
          <w:rFonts w:asciiTheme="minorHAnsi" w:hAnsiTheme="minorHAnsi" w:cstheme="minorHAnsi"/>
        </w:rPr>
        <w:t xml:space="preserve"> approach was taken, whereby participants entered a</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5-digit self-generated identification code (SGIC) in each round. The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use of SGICs has been shown to be useful in studies where the anonymity of participants is a feature in longitudinal surveys (</w:t>
      </w:r>
      <w:proofErr w:type="spellStart"/>
      <w:r w:rsidRPr="003A55BF">
        <w:rPr>
          <w:rStyle w:val="fontstyle11"/>
          <w:rFonts w:asciiTheme="minorHAnsi" w:hAnsiTheme="minorHAnsi" w:cstheme="minorHAnsi"/>
        </w:rPr>
        <w:t>Galanti</w:t>
      </w:r>
      <w:proofErr w:type="spellEnd"/>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et al., 2007; </w:t>
      </w:r>
      <w:proofErr w:type="spellStart"/>
      <w:r w:rsidRPr="003A55BF">
        <w:rPr>
          <w:rStyle w:val="fontstyle11"/>
          <w:rFonts w:asciiTheme="minorHAnsi" w:hAnsiTheme="minorHAnsi" w:cstheme="minorHAnsi"/>
        </w:rPr>
        <w:t>Kristjansson</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Sigfusdottir</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Sigfusson</w:t>
      </w:r>
      <w:proofErr w:type="spellEnd"/>
      <w:r w:rsidRPr="003A55BF">
        <w:rPr>
          <w:rStyle w:val="fontstyle11"/>
          <w:rFonts w:asciiTheme="minorHAnsi" w:hAnsiTheme="minorHAnsi" w:cstheme="minorHAnsi"/>
        </w:rPr>
        <w:t xml:space="preserve">, &amp; </w:t>
      </w:r>
      <w:proofErr w:type="spellStart"/>
      <w:r w:rsidRPr="003A55BF">
        <w:rPr>
          <w:rStyle w:val="fontstyle11"/>
          <w:rFonts w:asciiTheme="minorHAnsi" w:hAnsiTheme="minorHAnsi" w:cstheme="minorHAnsi"/>
        </w:rPr>
        <w:t>Allegrante</w:t>
      </w:r>
      <w:proofErr w:type="spellEnd"/>
      <w:r w:rsidRPr="003A55BF">
        <w:rPr>
          <w:rStyle w:val="fontstyle11"/>
          <w:rFonts w:asciiTheme="minorHAnsi" w:hAnsiTheme="minorHAnsi" w:cstheme="minorHAnsi"/>
        </w:rPr>
        <w:t>, 2013;</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Schnell, B</w:t>
      </w:r>
      <w:proofErr w:type="spellStart"/>
      <w:r w:rsidRPr="003A55BF">
        <w:rPr>
          <w:rStyle w:val="fontstyle11"/>
          <w:rFonts w:asciiTheme="minorHAnsi" w:hAnsiTheme="minorHAnsi" w:cstheme="minorHAnsi"/>
        </w:rPr>
        <w:t>achteler</w:t>
      </w:r>
      <w:proofErr w:type="spellEnd"/>
      <w:r w:rsidRPr="003A55BF">
        <w:rPr>
          <w:rStyle w:val="fontstyle11"/>
          <w:rFonts w:asciiTheme="minorHAnsi" w:hAnsiTheme="minorHAnsi" w:cstheme="minorHAnsi"/>
        </w:rPr>
        <w:t xml:space="preserve">, &amp; </w:t>
      </w:r>
      <w:proofErr w:type="spellStart"/>
      <w:r w:rsidRPr="003A55BF">
        <w:rPr>
          <w:rStyle w:val="fontstyle11"/>
          <w:rFonts w:asciiTheme="minorHAnsi" w:hAnsiTheme="minorHAnsi" w:cstheme="minorHAnsi"/>
        </w:rPr>
        <w:t>Reiher</w:t>
      </w:r>
      <w:proofErr w:type="spellEnd"/>
      <w:r w:rsidRPr="003A55BF">
        <w:rPr>
          <w:rStyle w:val="fontstyle11"/>
          <w:rFonts w:asciiTheme="minorHAnsi" w:hAnsiTheme="minorHAnsi" w:cstheme="minorHAnsi"/>
        </w:rPr>
        <w:t xml:space="preserve">, 2010; </w:t>
      </w:r>
      <w:proofErr w:type="spellStart"/>
      <w:r w:rsidRPr="003A55BF">
        <w:rPr>
          <w:rStyle w:val="fontstyle11"/>
          <w:rFonts w:asciiTheme="minorHAnsi" w:hAnsiTheme="minorHAnsi" w:cstheme="minorHAnsi"/>
        </w:rPr>
        <w:t>Yurek</w:t>
      </w:r>
      <w:proofErr w:type="spellEnd"/>
      <w:r w:rsidRPr="003A55BF">
        <w:rPr>
          <w:rStyle w:val="fontstyle11"/>
          <w:rFonts w:asciiTheme="minorHAnsi" w:hAnsiTheme="minorHAnsi" w:cstheme="minorHAnsi"/>
        </w:rPr>
        <w:t>, Vasey, &amp; Sullivan</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Havens, 2008). All four rounds of the Delphi panel took place over</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an 18-week period, from February to June 2016. All rounds were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completed electronically.</w:t>
      </w:r>
    </w:p>
    <w:p w14:paraId="778C403E" w14:textId="77777777" w:rsidR="00754F3F" w:rsidRPr="003A55BF" w:rsidRDefault="00C865AC">
      <w:pPr>
        <w:rPr>
          <w:rFonts w:cstheme="minorHAnsi"/>
          <w:b/>
          <w:bCs/>
          <w:color w:val="242021"/>
          <w:sz w:val="20"/>
          <w:szCs w:val="20"/>
        </w:rPr>
      </w:pPr>
      <w:r w:rsidRPr="003A55BF">
        <w:rPr>
          <w:rStyle w:val="fontstyle01"/>
          <w:rFonts w:asciiTheme="minorHAnsi" w:hAnsiTheme="minorHAnsi" w:cstheme="minorHAnsi"/>
          <w:b w:val="0"/>
          <w:bCs w:val="0"/>
          <w:i/>
          <w:iCs/>
        </w:rPr>
        <w:t>Round one survey</w:t>
      </w:r>
      <w:r w:rsidRPr="003A55BF">
        <w:rPr>
          <w:rFonts w:cstheme="minorHAnsi"/>
          <w:b/>
          <w:bCs/>
          <w:color w:val="242021"/>
          <w:sz w:val="20"/>
          <w:szCs w:val="20"/>
        </w:rPr>
        <w:br/>
      </w:r>
      <w:r w:rsidRPr="003A55BF">
        <w:rPr>
          <w:rStyle w:val="fontstyle11"/>
          <w:rFonts w:asciiTheme="minorHAnsi" w:hAnsiTheme="minorHAnsi" w:cstheme="minorHAnsi"/>
        </w:rPr>
        <w:t>In the first round, the panel was presented with the six broad themes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that were found in the published literature, which included two specific measures found in the grey literature. A 5-point Likert scale</w:t>
      </w:r>
      <w:r w:rsidRPr="003A55BF">
        <w:rPr>
          <w:rFonts w:cstheme="minorHAnsi"/>
          <w:color w:val="242021"/>
          <w:sz w:val="20"/>
          <w:szCs w:val="20"/>
        </w:rPr>
        <w:br/>
      </w:r>
      <w:r w:rsidRPr="003A55BF">
        <w:rPr>
          <w:rStyle w:val="fontstyle11"/>
          <w:rFonts w:asciiTheme="minorHAnsi" w:hAnsiTheme="minorHAnsi" w:cstheme="minorHAnsi"/>
        </w:rPr>
        <w:t>was used in order to obtain agreement or disagreement in broad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terms on the outcome areas. Participants rated their agreement with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the inclusion of each of these on a scale of 1 to 5 where “1” was</w:t>
      </w:r>
      <w:r w:rsidRPr="003A55BF">
        <w:rPr>
          <w:rFonts w:cstheme="minorHAnsi"/>
          <w:color w:val="242021"/>
          <w:sz w:val="20"/>
          <w:szCs w:val="20"/>
        </w:rPr>
        <w:br/>
      </w:r>
      <w:r w:rsidRPr="003A55BF">
        <w:rPr>
          <w:rStyle w:val="fontstyle11"/>
          <w:rFonts w:asciiTheme="minorHAnsi" w:hAnsiTheme="minorHAnsi" w:cstheme="minorHAnsi"/>
        </w:rPr>
        <w:t>“strongly disagree” and “5” was “strongly agree.” A “no opinion” option was included. Participants were invited to suggest specific KPIs</w:t>
      </w:r>
      <w:r w:rsidR="00754F3F" w:rsidRPr="003A55BF">
        <w:rPr>
          <w:rStyle w:val="fontstyle11"/>
          <w:rFonts w:asciiTheme="minorHAnsi" w:hAnsiTheme="minorHAnsi" w:cstheme="minorHAnsi"/>
        </w:rPr>
        <w:t xml:space="preserve"> </w:t>
      </w:r>
      <w:r w:rsidRPr="003A55BF">
        <w:rPr>
          <w:rFonts w:cstheme="minorHAnsi"/>
          <w:color w:val="242021"/>
          <w:sz w:val="20"/>
          <w:szCs w:val="20"/>
        </w:rPr>
        <w:t>for inclusion in the second round, under the headings presented in</w:t>
      </w:r>
      <w:r w:rsidRPr="003A55BF">
        <w:rPr>
          <w:rFonts w:cstheme="minorHAnsi"/>
          <w:color w:val="242021"/>
          <w:sz w:val="20"/>
          <w:szCs w:val="20"/>
        </w:rPr>
        <w:br/>
        <w:t>Round 1 and any other areas that the panel believed to be relevant.</w:t>
      </w:r>
      <w:r w:rsidR="00754F3F" w:rsidRPr="003A55BF">
        <w:rPr>
          <w:rFonts w:cstheme="minorHAnsi"/>
          <w:color w:val="242021"/>
          <w:sz w:val="20"/>
          <w:szCs w:val="20"/>
        </w:rPr>
        <w:t xml:space="preserve"> </w:t>
      </w:r>
      <w:r w:rsidRPr="003A55BF">
        <w:rPr>
          <w:rFonts w:cstheme="minorHAnsi"/>
          <w:color w:val="242021"/>
          <w:sz w:val="20"/>
          <w:szCs w:val="20"/>
        </w:rPr>
        <w:t>Participants were also invited to provide comments on any area, an</w:t>
      </w:r>
      <w:r w:rsidR="00754F3F" w:rsidRPr="003A55BF">
        <w:rPr>
          <w:rFonts w:cstheme="minorHAnsi"/>
          <w:color w:val="242021"/>
          <w:sz w:val="20"/>
          <w:szCs w:val="20"/>
        </w:rPr>
        <w:t xml:space="preserve"> </w:t>
      </w:r>
      <w:r w:rsidRPr="003A55BF">
        <w:rPr>
          <w:rFonts w:cstheme="minorHAnsi"/>
          <w:color w:val="242021"/>
          <w:sz w:val="20"/>
          <w:szCs w:val="20"/>
        </w:rPr>
        <w:t>important open-ended element of the Delphi process (O'Donovan</w:t>
      </w:r>
      <w:r w:rsidR="00754F3F" w:rsidRPr="003A55BF">
        <w:rPr>
          <w:rFonts w:cstheme="minorHAnsi"/>
          <w:color w:val="242021"/>
          <w:sz w:val="20"/>
          <w:szCs w:val="20"/>
        </w:rPr>
        <w:t xml:space="preserve"> </w:t>
      </w:r>
      <w:r w:rsidRPr="003A55BF">
        <w:rPr>
          <w:rFonts w:cstheme="minorHAnsi"/>
          <w:color w:val="242021"/>
          <w:sz w:val="20"/>
          <w:szCs w:val="20"/>
        </w:rPr>
        <w:t>et al., 2015).</w:t>
      </w:r>
      <w:r w:rsidRPr="003A55BF">
        <w:rPr>
          <w:rFonts w:cstheme="minorHAnsi"/>
          <w:color w:val="242021"/>
          <w:sz w:val="20"/>
          <w:szCs w:val="20"/>
        </w:rPr>
        <w:br/>
      </w:r>
    </w:p>
    <w:p w14:paraId="76F0880B" w14:textId="291BA25B" w:rsidR="00C865AC" w:rsidRPr="003A55BF" w:rsidRDefault="00C865AC">
      <w:pPr>
        <w:rPr>
          <w:rFonts w:cstheme="minorHAnsi"/>
          <w:color w:val="242021"/>
          <w:sz w:val="20"/>
          <w:szCs w:val="20"/>
        </w:rPr>
      </w:pPr>
      <w:r w:rsidRPr="003A55BF">
        <w:rPr>
          <w:rFonts w:cstheme="minorHAnsi"/>
          <w:i/>
          <w:iCs/>
          <w:color w:val="242021"/>
          <w:sz w:val="20"/>
          <w:szCs w:val="20"/>
        </w:rPr>
        <w:t>Round two survey</w:t>
      </w:r>
      <w:r w:rsidRPr="003A55BF">
        <w:rPr>
          <w:rFonts w:cstheme="minorHAnsi"/>
          <w:b/>
          <w:bCs/>
          <w:color w:val="242021"/>
          <w:sz w:val="20"/>
          <w:szCs w:val="20"/>
        </w:rPr>
        <w:br/>
      </w:r>
      <w:r w:rsidRPr="003A55BF">
        <w:rPr>
          <w:rFonts w:cstheme="minorHAnsi"/>
          <w:color w:val="242021"/>
          <w:sz w:val="20"/>
          <w:szCs w:val="20"/>
        </w:rPr>
        <w:t>Participants rated the importance of specific KPIs identified in round</w:t>
      </w:r>
      <w:r w:rsidR="00754F3F" w:rsidRPr="003A55BF">
        <w:rPr>
          <w:rFonts w:cstheme="minorHAnsi"/>
          <w:color w:val="242021"/>
          <w:sz w:val="20"/>
          <w:szCs w:val="20"/>
        </w:rPr>
        <w:t xml:space="preserve"> </w:t>
      </w:r>
      <w:r w:rsidRPr="003A55BF">
        <w:rPr>
          <w:rFonts w:cstheme="minorHAnsi"/>
          <w:color w:val="242021"/>
          <w:sz w:val="20"/>
          <w:szCs w:val="20"/>
        </w:rPr>
        <w:t>one on a 10-point Likert scale, where 1 was “not at all important” and</w:t>
      </w:r>
      <w:r w:rsidR="00754F3F" w:rsidRPr="003A55BF">
        <w:rPr>
          <w:rFonts w:cstheme="minorHAnsi"/>
          <w:color w:val="242021"/>
          <w:sz w:val="20"/>
          <w:szCs w:val="20"/>
        </w:rPr>
        <w:t xml:space="preserve"> </w:t>
      </w:r>
      <w:r w:rsidRPr="003A55BF">
        <w:rPr>
          <w:rFonts w:cstheme="minorHAnsi"/>
          <w:color w:val="242021"/>
          <w:sz w:val="20"/>
          <w:szCs w:val="20"/>
        </w:rPr>
        <w:t>10 was “extremely important.” A “no opinion” option was included.</w:t>
      </w:r>
      <w:r w:rsidR="00754F3F" w:rsidRPr="003A55BF">
        <w:rPr>
          <w:rFonts w:cstheme="minorHAnsi"/>
          <w:color w:val="242021"/>
          <w:sz w:val="20"/>
          <w:szCs w:val="20"/>
        </w:rPr>
        <w:t xml:space="preserve"> </w:t>
      </w:r>
      <w:r w:rsidRPr="003A55BF">
        <w:rPr>
          <w:rFonts w:cstheme="minorHAnsi"/>
          <w:color w:val="242021"/>
          <w:sz w:val="20"/>
          <w:szCs w:val="20"/>
        </w:rPr>
        <w:t xml:space="preserve">A 10-point </w:t>
      </w:r>
      <w:r w:rsidRPr="003A55BF">
        <w:rPr>
          <w:rFonts w:cstheme="minorHAnsi"/>
          <w:color w:val="242021"/>
          <w:sz w:val="20"/>
          <w:szCs w:val="20"/>
        </w:rPr>
        <w:lastRenderedPageBreak/>
        <w:t>scale was used to allow a clearer spread of opinions to</w:t>
      </w:r>
      <w:r w:rsidR="00754F3F" w:rsidRPr="003A55BF">
        <w:rPr>
          <w:rFonts w:cstheme="minorHAnsi"/>
          <w:color w:val="242021"/>
          <w:sz w:val="20"/>
          <w:szCs w:val="20"/>
        </w:rPr>
        <w:t xml:space="preserve"> </w:t>
      </w:r>
      <w:r w:rsidRPr="003A55BF">
        <w:rPr>
          <w:rFonts w:cstheme="minorHAnsi"/>
          <w:color w:val="242021"/>
          <w:sz w:val="20"/>
          <w:szCs w:val="20"/>
        </w:rPr>
        <w:t>emerge. Participants were invited to suggest additional KPIs.</w:t>
      </w:r>
    </w:p>
    <w:p w14:paraId="24305002" w14:textId="77777777" w:rsidR="00754F3F" w:rsidRPr="003A55BF" w:rsidRDefault="00754F3F">
      <w:pPr>
        <w:rPr>
          <w:rFonts w:cstheme="minorHAnsi"/>
          <w:color w:val="242021"/>
          <w:sz w:val="20"/>
          <w:szCs w:val="20"/>
        </w:rPr>
      </w:pPr>
    </w:p>
    <w:p w14:paraId="2A1BE7F7" w14:textId="515AD467" w:rsidR="00C865AC" w:rsidRPr="003A55BF" w:rsidRDefault="00C865AC">
      <w:pPr>
        <w:rPr>
          <w:rStyle w:val="fontstyle11"/>
          <w:rFonts w:asciiTheme="minorHAnsi" w:hAnsiTheme="minorHAnsi" w:cstheme="minorHAnsi"/>
        </w:rPr>
      </w:pPr>
      <w:r w:rsidRPr="003A55BF">
        <w:rPr>
          <w:rStyle w:val="fontstyle01"/>
          <w:rFonts w:asciiTheme="minorHAnsi" w:hAnsiTheme="minorHAnsi" w:cstheme="minorHAnsi"/>
          <w:b w:val="0"/>
          <w:bCs w:val="0"/>
          <w:i/>
          <w:iCs/>
        </w:rPr>
        <w:t>Round three survey</w:t>
      </w:r>
      <w:r w:rsidRPr="003A55BF">
        <w:rPr>
          <w:rFonts w:cstheme="minorHAnsi"/>
          <w:b/>
          <w:bCs/>
          <w:color w:val="242021"/>
          <w:sz w:val="20"/>
          <w:szCs w:val="20"/>
        </w:rPr>
        <w:br/>
      </w:r>
      <w:r w:rsidRPr="003A55BF">
        <w:rPr>
          <w:rStyle w:val="fontstyle11"/>
          <w:rFonts w:asciiTheme="minorHAnsi" w:hAnsiTheme="minorHAnsi" w:cstheme="minorHAnsi"/>
        </w:rPr>
        <w:t>In round three, items that reached the pre-determined consensus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level in round two were presented to the panel, with the identical</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request to rate the importance of each item as in round two, which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was important for determining stability and consensus. In addition,</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each KPI was critically assessed by the participants using a Health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Information &amp; Quality Authority (HIQA) tool for the development</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of KPIs (HIQA, 2013), to assess feasibility, acceptability, validity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reliability, using that tool's 9-point Likert scale. Participants also</w:t>
      </w:r>
      <w:r w:rsidRPr="003A55BF">
        <w:rPr>
          <w:rFonts w:cstheme="minorHAnsi"/>
          <w:color w:val="242021"/>
          <w:sz w:val="20"/>
          <w:szCs w:val="20"/>
        </w:rPr>
        <w:br/>
      </w:r>
      <w:r w:rsidRPr="003A55BF">
        <w:rPr>
          <w:rStyle w:val="fontstyle11"/>
          <w:rFonts w:asciiTheme="minorHAnsi" w:hAnsiTheme="minorHAnsi" w:cstheme="minorHAnsi"/>
        </w:rPr>
        <w:t>identified barriers and facilitators to the implementation of each</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KPI. Participants were invited to provide comments, but no new</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KPIs were invited</w:t>
      </w:r>
    </w:p>
    <w:p w14:paraId="4F7EBC70" w14:textId="24934DA2" w:rsidR="00C865AC" w:rsidRPr="003A55BF" w:rsidRDefault="00C865AC">
      <w:pPr>
        <w:rPr>
          <w:rFonts w:cstheme="minorHAnsi"/>
          <w:color w:val="242021"/>
          <w:sz w:val="20"/>
          <w:szCs w:val="20"/>
        </w:rPr>
      </w:pPr>
      <w:r w:rsidRPr="003A55BF">
        <w:rPr>
          <w:rFonts w:cstheme="minorHAnsi"/>
          <w:i/>
          <w:iCs/>
          <w:color w:val="242021"/>
          <w:sz w:val="20"/>
          <w:szCs w:val="20"/>
        </w:rPr>
        <w:t>Round four survey (prioritisation)</w:t>
      </w:r>
      <w:r w:rsidRPr="003A55BF">
        <w:rPr>
          <w:rFonts w:cstheme="minorHAnsi"/>
          <w:i/>
          <w:iCs/>
          <w:color w:val="242021"/>
          <w:sz w:val="20"/>
          <w:szCs w:val="20"/>
        </w:rPr>
        <w:br/>
      </w:r>
      <w:r w:rsidRPr="003A55BF">
        <w:rPr>
          <w:rFonts w:cstheme="minorHAnsi"/>
          <w:color w:val="242021"/>
          <w:sz w:val="20"/>
          <w:szCs w:val="20"/>
        </w:rPr>
        <w:t>On completion of the three Delphi rounds, a final feedback report</w:t>
      </w:r>
      <w:r w:rsidRPr="003A55BF">
        <w:rPr>
          <w:rFonts w:cstheme="minorHAnsi"/>
          <w:color w:val="242021"/>
          <w:sz w:val="20"/>
          <w:szCs w:val="20"/>
        </w:rPr>
        <w:br/>
        <w:t>was provided. Panel members were presented with the KPIs that</w:t>
      </w:r>
      <w:r w:rsidRPr="003A55BF">
        <w:rPr>
          <w:rFonts w:cstheme="minorHAnsi"/>
          <w:color w:val="242021"/>
          <w:sz w:val="20"/>
          <w:szCs w:val="20"/>
        </w:rPr>
        <w:br/>
        <w:t>had reached consensus in round three (</w:t>
      </w:r>
      <w:r w:rsidRPr="003A55BF">
        <w:rPr>
          <w:rFonts w:cstheme="minorHAnsi"/>
          <w:i/>
          <w:iCs/>
          <w:color w:val="242021"/>
          <w:sz w:val="20"/>
          <w:szCs w:val="20"/>
        </w:rPr>
        <w:t xml:space="preserve">n </w:t>
      </w:r>
      <w:r w:rsidRPr="003A55BF">
        <w:rPr>
          <w:rFonts w:cstheme="minorHAnsi"/>
          <w:color w:val="242021"/>
          <w:sz w:val="20"/>
          <w:szCs w:val="20"/>
        </w:rPr>
        <w:t>= 26) and each panel members was invited to rank up to 10 KPIs, in priority order, from this list.</w:t>
      </w:r>
    </w:p>
    <w:p w14:paraId="0BA087ED" w14:textId="77777777" w:rsidR="00754F3F" w:rsidRPr="003A55BF" w:rsidRDefault="00754F3F">
      <w:pPr>
        <w:rPr>
          <w:rFonts w:cstheme="minorHAnsi"/>
          <w:b/>
          <w:bCs/>
          <w:color w:val="242021"/>
          <w:sz w:val="20"/>
          <w:szCs w:val="20"/>
        </w:rPr>
      </w:pPr>
    </w:p>
    <w:p w14:paraId="3F759323" w14:textId="2B9598EA" w:rsidR="00C865AC" w:rsidRPr="003A55BF" w:rsidRDefault="00C865AC">
      <w:pPr>
        <w:rPr>
          <w:rFonts w:cstheme="minorHAnsi"/>
          <w:color w:val="242021"/>
          <w:sz w:val="20"/>
          <w:szCs w:val="20"/>
        </w:rPr>
      </w:pPr>
      <w:r w:rsidRPr="003A55BF">
        <w:rPr>
          <w:rFonts w:cstheme="minorHAnsi"/>
          <w:color w:val="242021"/>
          <w:sz w:val="20"/>
          <w:szCs w:val="20"/>
          <w:u w:val="single"/>
        </w:rPr>
        <w:t>Data analysis</w:t>
      </w:r>
      <w:r w:rsidRPr="003A55BF">
        <w:rPr>
          <w:rFonts w:cstheme="minorHAnsi"/>
          <w:b/>
          <w:bCs/>
          <w:color w:val="242021"/>
          <w:sz w:val="20"/>
          <w:szCs w:val="20"/>
        </w:rPr>
        <w:br/>
      </w:r>
      <w:r w:rsidRPr="003A55BF">
        <w:rPr>
          <w:rFonts w:cstheme="minorHAnsi"/>
          <w:i/>
          <w:iCs/>
          <w:color w:val="242021"/>
          <w:sz w:val="20"/>
          <w:szCs w:val="20"/>
        </w:rPr>
        <w:t>Descriptive statistics</w:t>
      </w:r>
      <w:r w:rsidRPr="003A55BF">
        <w:rPr>
          <w:rFonts w:cstheme="minorHAnsi"/>
          <w:b/>
          <w:bCs/>
          <w:color w:val="242021"/>
          <w:sz w:val="20"/>
          <w:szCs w:val="20"/>
        </w:rPr>
        <w:br/>
      </w:r>
      <w:r w:rsidRPr="003A55BF">
        <w:rPr>
          <w:rFonts w:cstheme="minorHAnsi"/>
          <w:color w:val="242021"/>
          <w:sz w:val="20"/>
          <w:szCs w:val="20"/>
        </w:rPr>
        <w:t>Quantitative data analysis involved ordinal variables in the form of</w:t>
      </w:r>
      <w:r w:rsidR="00754F3F" w:rsidRPr="003A55BF">
        <w:rPr>
          <w:rFonts w:cstheme="minorHAnsi"/>
          <w:color w:val="242021"/>
          <w:sz w:val="20"/>
          <w:szCs w:val="20"/>
        </w:rPr>
        <w:t xml:space="preserve"> </w:t>
      </w:r>
      <w:r w:rsidRPr="003A55BF">
        <w:rPr>
          <w:rFonts w:cstheme="minorHAnsi"/>
          <w:color w:val="242021"/>
          <w:sz w:val="20"/>
          <w:szCs w:val="20"/>
        </w:rPr>
        <w:t>Likert scales for both the ranking of outcome measures (developed</w:t>
      </w:r>
      <w:r w:rsidR="00754F3F" w:rsidRPr="003A55BF">
        <w:rPr>
          <w:rFonts w:cstheme="minorHAnsi"/>
          <w:color w:val="242021"/>
          <w:sz w:val="20"/>
          <w:szCs w:val="20"/>
        </w:rPr>
        <w:t xml:space="preserve"> </w:t>
      </w:r>
      <w:r w:rsidRPr="003A55BF">
        <w:rPr>
          <w:rFonts w:cstheme="minorHAnsi"/>
          <w:color w:val="242021"/>
          <w:sz w:val="20"/>
          <w:szCs w:val="20"/>
        </w:rPr>
        <w:t>de novo) and for the HIQA tool (a pre-existing tool) (HIQA, 2013). The</w:t>
      </w:r>
      <w:r w:rsidR="00754F3F" w:rsidRPr="003A55BF">
        <w:rPr>
          <w:rFonts w:cstheme="minorHAnsi"/>
          <w:color w:val="242021"/>
          <w:sz w:val="20"/>
          <w:szCs w:val="20"/>
        </w:rPr>
        <w:t xml:space="preserve"> </w:t>
      </w:r>
      <w:r w:rsidRPr="003A55BF">
        <w:rPr>
          <w:rFonts w:cstheme="minorHAnsi"/>
          <w:color w:val="242021"/>
          <w:sz w:val="20"/>
          <w:szCs w:val="20"/>
        </w:rPr>
        <w:t>level of agreement was assessed using the median as the central tendency measure, which is robust to the effect of outliers (Campbell,</w:t>
      </w:r>
      <w:r w:rsidR="00754F3F" w:rsidRPr="003A55BF">
        <w:rPr>
          <w:rFonts w:cstheme="minorHAnsi"/>
          <w:color w:val="242021"/>
          <w:sz w:val="20"/>
          <w:szCs w:val="20"/>
        </w:rPr>
        <w:t xml:space="preserve"> </w:t>
      </w:r>
      <w:proofErr w:type="spellStart"/>
      <w:r w:rsidRPr="003A55BF">
        <w:rPr>
          <w:rFonts w:cstheme="minorHAnsi"/>
          <w:color w:val="242021"/>
          <w:sz w:val="20"/>
          <w:szCs w:val="20"/>
        </w:rPr>
        <w:t>Cantrill</w:t>
      </w:r>
      <w:proofErr w:type="spellEnd"/>
      <w:r w:rsidRPr="003A55BF">
        <w:rPr>
          <w:rFonts w:cstheme="minorHAnsi"/>
          <w:color w:val="242021"/>
          <w:sz w:val="20"/>
          <w:szCs w:val="20"/>
        </w:rPr>
        <w:t xml:space="preserve">, &amp; Roberts, 2000; </w:t>
      </w:r>
      <w:proofErr w:type="spellStart"/>
      <w:r w:rsidRPr="003A55BF">
        <w:rPr>
          <w:rFonts w:cstheme="minorHAnsi"/>
          <w:color w:val="242021"/>
          <w:sz w:val="20"/>
          <w:szCs w:val="20"/>
        </w:rPr>
        <w:t>Gracht</w:t>
      </w:r>
      <w:proofErr w:type="spellEnd"/>
      <w:r w:rsidRPr="003A55BF">
        <w:rPr>
          <w:rFonts w:cstheme="minorHAnsi"/>
          <w:color w:val="242021"/>
          <w:sz w:val="20"/>
          <w:szCs w:val="20"/>
        </w:rPr>
        <w:t>, 2012; Howell et al., 2013; Hsu &amp;</w:t>
      </w:r>
      <w:r w:rsidR="00754F3F" w:rsidRPr="003A55BF">
        <w:rPr>
          <w:rFonts w:cstheme="minorHAnsi"/>
          <w:color w:val="242021"/>
          <w:sz w:val="20"/>
          <w:szCs w:val="20"/>
        </w:rPr>
        <w:t xml:space="preserve"> </w:t>
      </w:r>
      <w:r w:rsidRPr="003A55BF">
        <w:rPr>
          <w:rFonts w:cstheme="minorHAnsi"/>
          <w:color w:val="242021"/>
          <w:sz w:val="20"/>
          <w:szCs w:val="20"/>
        </w:rPr>
        <w:t>Sandford, 2007; Trevelyan &amp; Robinson, 2015), and IQR as a measure of the level of dispersion (Hsu &amp; Sandford, 2007; Trevelyan &amp;</w:t>
      </w:r>
      <w:r w:rsidR="00754F3F" w:rsidRPr="003A55BF">
        <w:rPr>
          <w:rFonts w:cstheme="minorHAnsi"/>
          <w:color w:val="242021"/>
          <w:sz w:val="20"/>
          <w:szCs w:val="20"/>
        </w:rPr>
        <w:t xml:space="preserve"> </w:t>
      </w:r>
      <w:r w:rsidRPr="003A55BF">
        <w:rPr>
          <w:rFonts w:cstheme="minorHAnsi"/>
          <w:color w:val="242021"/>
          <w:sz w:val="20"/>
          <w:szCs w:val="20"/>
        </w:rPr>
        <w:t>Robinson, 2015). The Kruskal–Wallis H test determined statistical</w:t>
      </w:r>
      <w:r w:rsidR="00754F3F" w:rsidRPr="003A55BF">
        <w:rPr>
          <w:rFonts w:cstheme="minorHAnsi"/>
          <w:color w:val="242021"/>
          <w:sz w:val="20"/>
          <w:szCs w:val="20"/>
        </w:rPr>
        <w:t xml:space="preserve"> </w:t>
      </w:r>
      <w:r w:rsidRPr="003A55BF">
        <w:rPr>
          <w:rFonts w:cstheme="minorHAnsi"/>
          <w:color w:val="242021"/>
          <w:sz w:val="20"/>
          <w:szCs w:val="20"/>
        </w:rPr>
        <w:t>difference (</w:t>
      </w:r>
      <w:r w:rsidRPr="003A55BF">
        <w:rPr>
          <w:rFonts w:cstheme="minorHAnsi"/>
          <w:i/>
          <w:iCs/>
          <w:color w:val="242021"/>
          <w:sz w:val="20"/>
          <w:szCs w:val="20"/>
        </w:rPr>
        <w:t xml:space="preserve">p </w:t>
      </w:r>
      <w:r w:rsidRPr="003A55BF">
        <w:rPr>
          <w:rFonts w:cstheme="minorHAnsi"/>
          <w:color w:val="242021"/>
          <w:sz w:val="20"/>
          <w:szCs w:val="20"/>
        </w:rPr>
        <w:t>≤ .05) on KPIs that reached consensus in round three</w:t>
      </w:r>
      <w:r w:rsidR="00754F3F" w:rsidRPr="003A55BF">
        <w:rPr>
          <w:rFonts w:cstheme="minorHAnsi"/>
          <w:color w:val="242021"/>
          <w:sz w:val="20"/>
          <w:szCs w:val="20"/>
        </w:rPr>
        <w:t xml:space="preserve"> </w:t>
      </w:r>
      <w:r w:rsidRPr="003A55BF">
        <w:rPr>
          <w:rFonts w:cstheme="minorHAnsi"/>
          <w:color w:val="242021"/>
          <w:sz w:val="20"/>
          <w:szCs w:val="20"/>
        </w:rPr>
        <w:t>(</w:t>
      </w:r>
      <w:r w:rsidRPr="003A55BF">
        <w:rPr>
          <w:rFonts w:cstheme="minorHAnsi"/>
          <w:i/>
          <w:iCs/>
          <w:color w:val="242021"/>
          <w:sz w:val="20"/>
          <w:szCs w:val="20"/>
        </w:rPr>
        <w:t xml:space="preserve">n </w:t>
      </w:r>
      <w:r w:rsidRPr="003A55BF">
        <w:rPr>
          <w:rFonts w:cstheme="minorHAnsi"/>
          <w:color w:val="242021"/>
          <w:sz w:val="20"/>
          <w:szCs w:val="20"/>
        </w:rPr>
        <w:t>= 27) between the sub-groups of participants: (a) medical (</w:t>
      </w:r>
      <w:r w:rsidRPr="003A55BF">
        <w:rPr>
          <w:rFonts w:cstheme="minorHAnsi"/>
          <w:i/>
          <w:iCs/>
          <w:color w:val="242021"/>
          <w:sz w:val="20"/>
          <w:szCs w:val="20"/>
        </w:rPr>
        <w:t xml:space="preserve">n </w:t>
      </w:r>
      <w:r w:rsidRPr="003A55BF">
        <w:rPr>
          <w:rFonts w:cstheme="minorHAnsi"/>
          <w:color w:val="242021"/>
          <w:sz w:val="20"/>
          <w:szCs w:val="20"/>
        </w:rPr>
        <w:t>= 14),</w:t>
      </w:r>
      <w:r w:rsidR="00754F3F" w:rsidRPr="003A55BF">
        <w:rPr>
          <w:rFonts w:cstheme="minorHAnsi"/>
          <w:color w:val="242021"/>
          <w:sz w:val="20"/>
          <w:szCs w:val="20"/>
        </w:rPr>
        <w:t xml:space="preserve"> </w:t>
      </w:r>
      <w:r w:rsidRPr="003A55BF">
        <w:rPr>
          <w:rFonts w:cstheme="minorHAnsi"/>
          <w:color w:val="242021"/>
          <w:sz w:val="20"/>
          <w:szCs w:val="20"/>
        </w:rPr>
        <w:t>(b) other health professionals (</w:t>
      </w:r>
      <w:r w:rsidRPr="003A55BF">
        <w:rPr>
          <w:rFonts w:cstheme="minorHAnsi"/>
          <w:i/>
          <w:iCs/>
          <w:color w:val="242021"/>
          <w:sz w:val="20"/>
          <w:szCs w:val="20"/>
        </w:rPr>
        <w:t xml:space="preserve">n </w:t>
      </w:r>
      <w:r w:rsidRPr="003A55BF">
        <w:rPr>
          <w:rFonts w:cstheme="minorHAnsi"/>
          <w:color w:val="242021"/>
          <w:sz w:val="20"/>
          <w:szCs w:val="20"/>
        </w:rPr>
        <w:t>= 11) and patient advocates (</w:t>
      </w:r>
      <w:r w:rsidRPr="003A55BF">
        <w:rPr>
          <w:rFonts w:cstheme="minorHAnsi"/>
          <w:i/>
          <w:iCs/>
          <w:color w:val="242021"/>
          <w:sz w:val="20"/>
          <w:szCs w:val="20"/>
        </w:rPr>
        <w:t xml:space="preserve">n </w:t>
      </w:r>
      <w:r w:rsidRPr="003A55BF">
        <w:rPr>
          <w:rFonts w:cstheme="minorHAnsi"/>
          <w:color w:val="242021"/>
          <w:sz w:val="20"/>
          <w:szCs w:val="20"/>
        </w:rPr>
        <w:t>= 5).</w:t>
      </w:r>
      <w:r w:rsidR="00754F3F" w:rsidRPr="003A55BF">
        <w:rPr>
          <w:rFonts w:cstheme="minorHAnsi"/>
          <w:color w:val="242021"/>
          <w:sz w:val="20"/>
          <w:szCs w:val="20"/>
        </w:rPr>
        <w:t xml:space="preserve"> </w:t>
      </w:r>
      <w:r w:rsidRPr="003A55BF">
        <w:rPr>
          <w:rFonts w:cstheme="minorHAnsi"/>
          <w:color w:val="242021"/>
          <w:sz w:val="20"/>
          <w:szCs w:val="20"/>
        </w:rPr>
        <w:t>Kendall's coefficient of concordance (</w:t>
      </w:r>
      <w:r w:rsidRPr="003A55BF">
        <w:rPr>
          <w:rFonts w:cstheme="minorHAnsi"/>
          <w:i/>
          <w:iCs/>
          <w:color w:val="242021"/>
          <w:sz w:val="20"/>
          <w:szCs w:val="20"/>
        </w:rPr>
        <w:t xml:space="preserve">W) </w:t>
      </w:r>
      <w:r w:rsidRPr="003A55BF">
        <w:rPr>
          <w:rFonts w:cstheme="minorHAnsi"/>
          <w:color w:val="242021"/>
          <w:sz w:val="20"/>
          <w:szCs w:val="20"/>
        </w:rPr>
        <w:t>measured the degree of</w:t>
      </w:r>
      <w:r w:rsidR="00754F3F" w:rsidRPr="003A55BF">
        <w:rPr>
          <w:rFonts w:cstheme="minorHAnsi"/>
          <w:color w:val="242021"/>
          <w:sz w:val="20"/>
          <w:szCs w:val="20"/>
        </w:rPr>
        <w:t xml:space="preserve"> </w:t>
      </w:r>
      <w:r w:rsidRPr="003A55BF">
        <w:rPr>
          <w:rFonts w:cstheme="minorHAnsi"/>
          <w:color w:val="242021"/>
          <w:sz w:val="20"/>
          <w:szCs w:val="20"/>
        </w:rPr>
        <w:t>consensus on the final prioritised list of KPIs from round four (</w:t>
      </w:r>
      <w:r w:rsidRPr="003A55BF">
        <w:rPr>
          <w:rFonts w:cstheme="minorHAnsi"/>
          <w:i/>
          <w:iCs/>
          <w:color w:val="242021"/>
          <w:sz w:val="20"/>
          <w:szCs w:val="20"/>
        </w:rPr>
        <w:t xml:space="preserve">n </w:t>
      </w:r>
      <w:r w:rsidRPr="003A55BF">
        <w:rPr>
          <w:rFonts w:cstheme="minorHAnsi"/>
          <w:color w:val="242021"/>
          <w:sz w:val="20"/>
          <w:szCs w:val="20"/>
        </w:rPr>
        <w:t>= 9).</w:t>
      </w:r>
      <w:r w:rsidR="00754F3F" w:rsidRPr="003A55BF">
        <w:rPr>
          <w:rFonts w:cstheme="minorHAnsi"/>
          <w:color w:val="242021"/>
          <w:sz w:val="20"/>
          <w:szCs w:val="20"/>
        </w:rPr>
        <w:t xml:space="preserve"> </w:t>
      </w:r>
      <w:r w:rsidRPr="003A55BF">
        <w:rPr>
          <w:rFonts w:cstheme="minorHAnsi"/>
          <w:color w:val="242021"/>
          <w:sz w:val="20"/>
          <w:szCs w:val="20"/>
        </w:rPr>
        <w:t xml:space="preserve">A high and significant </w:t>
      </w:r>
      <w:r w:rsidRPr="003A55BF">
        <w:rPr>
          <w:rFonts w:cstheme="minorHAnsi"/>
          <w:i/>
          <w:iCs/>
          <w:color w:val="242021"/>
          <w:sz w:val="20"/>
          <w:szCs w:val="20"/>
        </w:rPr>
        <w:t xml:space="preserve">W </w:t>
      </w:r>
      <w:r w:rsidRPr="003A55BF">
        <w:rPr>
          <w:rFonts w:cstheme="minorHAnsi"/>
          <w:color w:val="242021"/>
          <w:sz w:val="20"/>
          <w:szCs w:val="20"/>
        </w:rPr>
        <w:t>(</w:t>
      </w:r>
      <w:r w:rsidRPr="003A55BF">
        <w:rPr>
          <w:rFonts w:cstheme="minorHAnsi"/>
          <w:i/>
          <w:iCs/>
          <w:color w:val="242021"/>
          <w:sz w:val="20"/>
          <w:szCs w:val="20"/>
        </w:rPr>
        <w:t xml:space="preserve">p </w:t>
      </w:r>
      <w:r w:rsidRPr="003A55BF">
        <w:rPr>
          <w:rFonts w:cstheme="minorHAnsi"/>
          <w:color w:val="242021"/>
          <w:sz w:val="20"/>
          <w:szCs w:val="20"/>
        </w:rPr>
        <w:t>≤ .05) means that participants are applying the “same standard in judging the importance of the issues”;</w:t>
      </w:r>
      <w:r w:rsidR="00754F3F" w:rsidRPr="003A55BF">
        <w:rPr>
          <w:rFonts w:cstheme="minorHAnsi"/>
          <w:color w:val="242021"/>
          <w:sz w:val="20"/>
          <w:szCs w:val="20"/>
        </w:rPr>
        <w:t xml:space="preserve"> </w:t>
      </w:r>
      <w:r w:rsidRPr="003A55BF">
        <w:rPr>
          <w:rFonts w:cstheme="minorHAnsi"/>
          <w:color w:val="242021"/>
          <w:sz w:val="20"/>
          <w:szCs w:val="20"/>
        </w:rPr>
        <w:t>0 represents no agreement and 1 represents complete agreement</w:t>
      </w:r>
      <w:r w:rsidR="00754F3F" w:rsidRPr="003A55BF">
        <w:rPr>
          <w:rFonts w:cstheme="minorHAnsi"/>
          <w:color w:val="242021"/>
          <w:sz w:val="20"/>
          <w:szCs w:val="20"/>
        </w:rPr>
        <w:t xml:space="preserve"> </w:t>
      </w:r>
      <w:r w:rsidRPr="003A55BF">
        <w:rPr>
          <w:rFonts w:cstheme="minorHAnsi"/>
          <w:color w:val="242021"/>
          <w:sz w:val="20"/>
          <w:szCs w:val="20"/>
        </w:rPr>
        <w:t>(Rushton et al., 2014; Schmidt, 1997). Wilcoxon's matched-pairs</w:t>
      </w:r>
      <w:r w:rsidR="00754F3F" w:rsidRPr="003A55BF">
        <w:rPr>
          <w:rFonts w:cstheme="minorHAnsi"/>
          <w:color w:val="242021"/>
          <w:sz w:val="20"/>
          <w:szCs w:val="20"/>
        </w:rPr>
        <w:t xml:space="preserve"> </w:t>
      </w:r>
      <w:r w:rsidRPr="003A55BF">
        <w:rPr>
          <w:rFonts w:cstheme="minorHAnsi"/>
          <w:color w:val="242021"/>
          <w:sz w:val="20"/>
          <w:szCs w:val="20"/>
        </w:rPr>
        <w:t>signed-rank test measured stability of responses from round two to</w:t>
      </w:r>
      <w:r w:rsidR="00754F3F" w:rsidRPr="003A55BF">
        <w:rPr>
          <w:rFonts w:cstheme="minorHAnsi"/>
          <w:color w:val="242021"/>
          <w:sz w:val="20"/>
          <w:szCs w:val="20"/>
        </w:rPr>
        <w:t xml:space="preserve"> </w:t>
      </w:r>
      <w:r w:rsidRPr="003A55BF">
        <w:rPr>
          <w:rFonts w:cstheme="minorHAnsi"/>
          <w:color w:val="242021"/>
          <w:sz w:val="20"/>
          <w:szCs w:val="20"/>
        </w:rPr>
        <w:t xml:space="preserve">round three. A negative </w:t>
      </w:r>
      <w:r w:rsidRPr="003A55BF">
        <w:rPr>
          <w:rFonts w:cstheme="minorHAnsi"/>
          <w:i/>
          <w:iCs/>
          <w:color w:val="242021"/>
          <w:sz w:val="20"/>
          <w:szCs w:val="20"/>
        </w:rPr>
        <w:t xml:space="preserve">Z </w:t>
      </w:r>
      <w:r w:rsidRPr="003A55BF">
        <w:rPr>
          <w:rFonts w:cstheme="minorHAnsi"/>
          <w:color w:val="242021"/>
          <w:sz w:val="20"/>
          <w:szCs w:val="20"/>
        </w:rPr>
        <w:t>score indicates that the median score for</w:t>
      </w:r>
      <w:r w:rsidR="00754F3F" w:rsidRPr="003A55BF">
        <w:rPr>
          <w:rFonts w:cstheme="minorHAnsi"/>
          <w:color w:val="242021"/>
          <w:sz w:val="20"/>
          <w:szCs w:val="20"/>
        </w:rPr>
        <w:t xml:space="preserve"> </w:t>
      </w:r>
      <w:r w:rsidRPr="003A55BF">
        <w:rPr>
          <w:rFonts w:cstheme="minorHAnsi"/>
          <w:color w:val="242021"/>
          <w:sz w:val="20"/>
          <w:szCs w:val="20"/>
        </w:rPr>
        <w:t>the two rounds is not different and that stability of responses exists</w:t>
      </w:r>
      <w:r w:rsidR="00754F3F" w:rsidRPr="003A55BF">
        <w:rPr>
          <w:rFonts w:cstheme="minorHAnsi"/>
          <w:color w:val="242021"/>
          <w:sz w:val="20"/>
          <w:szCs w:val="20"/>
        </w:rPr>
        <w:t>.</w:t>
      </w:r>
    </w:p>
    <w:p w14:paraId="2518265F" w14:textId="77777777" w:rsidR="00754F3F" w:rsidRPr="003A55BF" w:rsidRDefault="00754F3F">
      <w:pPr>
        <w:rPr>
          <w:rFonts w:cstheme="minorHAnsi"/>
          <w:color w:val="242021"/>
          <w:sz w:val="20"/>
          <w:szCs w:val="20"/>
        </w:rPr>
      </w:pPr>
    </w:p>
    <w:p w14:paraId="7BFAD54D" w14:textId="77777777" w:rsidR="00754F3F" w:rsidRPr="003A55BF" w:rsidRDefault="00A77228">
      <w:pPr>
        <w:rPr>
          <w:rStyle w:val="fontstyle11"/>
          <w:rFonts w:asciiTheme="minorHAnsi" w:hAnsiTheme="minorHAnsi" w:cstheme="minorHAnsi"/>
        </w:rPr>
      </w:pPr>
      <w:r w:rsidRPr="003A55BF">
        <w:rPr>
          <w:rStyle w:val="fontstyle01"/>
          <w:rFonts w:asciiTheme="minorHAnsi" w:hAnsiTheme="minorHAnsi" w:cstheme="minorHAnsi"/>
          <w:b w:val="0"/>
          <w:bCs w:val="0"/>
          <w:i/>
          <w:iCs/>
        </w:rPr>
        <w:t>Inductive content analysis</w:t>
      </w:r>
      <w:r w:rsidRPr="003A55BF">
        <w:rPr>
          <w:rFonts w:cstheme="minorHAnsi"/>
          <w:b/>
          <w:bCs/>
          <w:i/>
          <w:iCs/>
          <w:color w:val="242021"/>
          <w:sz w:val="20"/>
          <w:szCs w:val="20"/>
        </w:rPr>
        <w:br/>
      </w:r>
      <w:r w:rsidRPr="003A55BF">
        <w:rPr>
          <w:rStyle w:val="fontstyle11"/>
          <w:rFonts w:asciiTheme="minorHAnsi" w:hAnsiTheme="minorHAnsi" w:cstheme="minorHAnsi"/>
        </w:rPr>
        <w:t>Qualitative data analysis, in the form of a thematic framework analysis, was used to examine the responses to questions on barriers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facilitators in round three. Themes and subthemes were identified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in a top–down (a priori) manner, using those found in the literature</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and in a bottom–up (emergent) manner, based on the comments provided by participants.</w:t>
      </w:r>
    </w:p>
    <w:p w14:paraId="0983B0E9" w14:textId="77777777" w:rsidR="00754F3F" w:rsidRPr="003A55BF" w:rsidRDefault="00754F3F">
      <w:pPr>
        <w:rPr>
          <w:rStyle w:val="fontstyle11"/>
          <w:rFonts w:asciiTheme="minorHAnsi" w:hAnsiTheme="minorHAnsi" w:cstheme="minorHAnsi"/>
        </w:rPr>
      </w:pPr>
    </w:p>
    <w:p w14:paraId="1D2D3BAA" w14:textId="5C51AE91" w:rsidR="00A77228" w:rsidRPr="003A55BF" w:rsidRDefault="00754F3F">
      <w:pPr>
        <w:rPr>
          <w:rFonts w:cstheme="minorHAnsi"/>
          <w:color w:val="242021"/>
          <w:sz w:val="20"/>
          <w:szCs w:val="20"/>
        </w:rPr>
      </w:pPr>
      <w:r w:rsidRPr="003A55BF">
        <w:rPr>
          <w:rFonts w:cstheme="minorHAnsi"/>
          <w:b/>
          <w:bCs/>
          <w:color w:val="242021"/>
          <w:sz w:val="20"/>
          <w:szCs w:val="20"/>
        </w:rPr>
        <w:t>Results</w:t>
      </w:r>
      <w:r w:rsidR="00A77228" w:rsidRPr="003A55BF">
        <w:rPr>
          <w:rFonts w:cstheme="minorHAnsi"/>
          <w:b/>
          <w:bCs/>
          <w:color w:val="242021"/>
          <w:sz w:val="20"/>
          <w:szCs w:val="20"/>
        </w:rPr>
        <w:br/>
      </w:r>
      <w:r w:rsidR="00A77228" w:rsidRPr="003A55BF">
        <w:rPr>
          <w:rFonts w:cstheme="minorHAnsi"/>
          <w:color w:val="242021"/>
          <w:sz w:val="20"/>
          <w:szCs w:val="20"/>
          <w:u w:val="single"/>
        </w:rPr>
        <w:t>Participants and response rates</w:t>
      </w:r>
      <w:r w:rsidR="00A77228" w:rsidRPr="003A55BF">
        <w:rPr>
          <w:rFonts w:cstheme="minorHAnsi"/>
          <w:color w:val="242021"/>
          <w:sz w:val="20"/>
          <w:szCs w:val="20"/>
          <w:u w:val="single"/>
        </w:rPr>
        <w:br/>
      </w:r>
      <w:r w:rsidR="00A77228" w:rsidRPr="003A55BF">
        <w:rPr>
          <w:rFonts w:cstheme="minorHAnsi"/>
          <w:color w:val="242021"/>
          <w:sz w:val="20"/>
          <w:szCs w:val="20"/>
        </w:rPr>
        <w:t>Of 109 eligible candidates invited to participate in the study, 44</w:t>
      </w:r>
      <w:r w:rsidRPr="003A55BF">
        <w:rPr>
          <w:rFonts w:cstheme="minorHAnsi"/>
          <w:color w:val="242021"/>
          <w:sz w:val="20"/>
          <w:szCs w:val="20"/>
        </w:rPr>
        <w:t xml:space="preserve"> </w:t>
      </w:r>
      <w:r w:rsidR="00A77228" w:rsidRPr="003A55BF">
        <w:rPr>
          <w:rFonts w:cstheme="minorHAnsi"/>
          <w:color w:val="242021"/>
          <w:sz w:val="20"/>
          <w:szCs w:val="20"/>
        </w:rPr>
        <w:t xml:space="preserve">(40%) responded. Of these, 39 returned the </w:t>
      </w:r>
      <w:r w:rsidR="00A77228" w:rsidRPr="003A55BF">
        <w:rPr>
          <w:rFonts w:cstheme="minorHAnsi"/>
          <w:color w:val="242021"/>
          <w:sz w:val="20"/>
          <w:szCs w:val="20"/>
        </w:rPr>
        <w:lastRenderedPageBreak/>
        <w:t>completed the consent</w:t>
      </w:r>
      <w:r w:rsidRPr="003A55BF">
        <w:rPr>
          <w:rFonts w:cstheme="minorHAnsi"/>
          <w:color w:val="242021"/>
          <w:sz w:val="20"/>
          <w:szCs w:val="20"/>
        </w:rPr>
        <w:t xml:space="preserve"> </w:t>
      </w:r>
      <w:r w:rsidR="00A77228" w:rsidRPr="003A55BF">
        <w:rPr>
          <w:rFonts w:cstheme="minorHAnsi"/>
          <w:color w:val="242021"/>
          <w:sz w:val="20"/>
          <w:szCs w:val="20"/>
        </w:rPr>
        <w:t>form and received the first round questionnaire. A total of 35 people</w:t>
      </w:r>
      <w:r w:rsidRPr="003A55BF">
        <w:rPr>
          <w:rFonts w:cstheme="minorHAnsi"/>
          <w:color w:val="242021"/>
          <w:sz w:val="20"/>
          <w:szCs w:val="20"/>
        </w:rPr>
        <w:t xml:space="preserve"> </w:t>
      </w:r>
      <w:r w:rsidR="00A77228" w:rsidRPr="003A55BF">
        <w:rPr>
          <w:rFonts w:cstheme="minorHAnsi"/>
          <w:color w:val="242021"/>
          <w:sz w:val="20"/>
          <w:szCs w:val="20"/>
        </w:rPr>
        <w:t>participated in at least one round of the study; 90% of consented</w:t>
      </w:r>
      <w:r w:rsidRPr="003A55BF">
        <w:rPr>
          <w:rFonts w:cstheme="minorHAnsi"/>
          <w:color w:val="242021"/>
          <w:sz w:val="20"/>
          <w:szCs w:val="20"/>
        </w:rPr>
        <w:t xml:space="preserve"> </w:t>
      </w:r>
      <w:r w:rsidR="00A77228" w:rsidRPr="003A55BF">
        <w:rPr>
          <w:rFonts w:cstheme="minorHAnsi"/>
          <w:color w:val="242021"/>
          <w:sz w:val="20"/>
          <w:szCs w:val="20"/>
        </w:rPr>
        <w:t>participants. The group comprised consultant medical oncologists</w:t>
      </w:r>
      <w:r w:rsidRPr="003A55BF">
        <w:rPr>
          <w:rFonts w:cstheme="minorHAnsi"/>
          <w:color w:val="242021"/>
          <w:sz w:val="20"/>
          <w:szCs w:val="20"/>
        </w:rPr>
        <w:t xml:space="preserve"> </w:t>
      </w:r>
      <w:r w:rsidR="00A77228" w:rsidRPr="003A55BF">
        <w:rPr>
          <w:rFonts w:cstheme="minorHAnsi"/>
          <w:color w:val="242021"/>
          <w:sz w:val="20"/>
          <w:szCs w:val="20"/>
        </w:rPr>
        <w:t>(</w:t>
      </w:r>
      <w:r w:rsidR="00A77228" w:rsidRPr="003A55BF">
        <w:rPr>
          <w:rFonts w:cstheme="minorHAnsi"/>
          <w:i/>
          <w:iCs/>
          <w:color w:val="242021"/>
          <w:sz w:val="20"/>
          <w:szCs w:val="20"/>
        </w:rPr>
        <w:t xml:space="preserve">n </w:t>
      </w:r>
      <w:r w:rsidR="00A77228" w:rsidRPr="003A55BF">
        <w:rPr>
          <w:rFonts w:cstheme="minorHAnsi"/>
          <w:color w:val="242021"/>
          <w:sz w:val="20"/>
          <w:szCs w:val="20"/>
        </w:rPr>
        <w:t>= 7), consultant haematologists (</w:t>
      </w:r>
      <w:r w:rsidR="00A77228" w:rsidRPr="003A55BF">
        <w:rPr>
          <w:rFonts w:cstheme="minorHAnsi"/>
          <w:i/>
          <w:iCs/>
          <w:color w:val="242021"/>
          <w:sz w:val="20"/>
          <w:szCs w:val="20"/>
        </w:rPr>
        <w:t xml:space="preserve">n </w:t>
      </w:r>
      <w:r w:rsidR="00A77228" w:rsidRPr="003A55BF">
        <w:rPr>
          <w:rFonts w:cstheme="minorHAnsi"/>
          <w:color w:val="242021"/>
          <w:sz w:val="20"/>
          <w:szCs w:val="20"/>
        </w:rPr>
        <w:t>= 4), consultants in palliative</w:t>
      </w:r>
      <w:r w:rsidRPr="003A55BF">
        <w:rPr>
          <w:rFonts w:cstheme="minorHAnsi"/>
          <w:color w:val="242021"/>
          <w:sz w:val="20"/>
          <w:szCs w:val="20"/>
        </w:rPr>
        <w:t xml:space="preserve"> </w:t>
      </w:r>
      <w:r w:rsidR="00A77228" w:rsidRPr="003A55BF">
        <w:rPr>
          <w:rFonts w:cstheme="minorHAnsi"/>
          <w:color w:val="242021"/>
          <w:sz w:val="20"/>
          <w:szCs w:val="20"/>
        </w:rPr>
        <w:t>care (</w:t>
      </w:r>
      <w:r w:rsidR="00A77228" w:rsidRPr="003A55BF">
        <w:rPr>
          <w:rFonts w:cstheme="minorHAnsi"/>
          <w:i/>
          <w:iCs/>
          <w:color w:val="242021"/>
          <w:sz w:val="20"/>
          <w:szCs w:val="20"/>
        </w:rPr>
        <w:t xml:space="preserve">n </w:t>
      </w:r>
      <w:r w:rsidR="00A77228" w:rsidRPr="003A55BF">
        <w:rPr>
          <w:rFonts w:cstheme="minorHAnsi"/>
          <w:color w:val="242021"/>
          <w:sz w:val="20"/>
          <w:szCs w:val="20"/>
        </w:rPr>
        <w:t>= 4), patient advocates (</w:t>
      </w:r>
      <w:r w:rsidR="00A77228" w:rsidRPr="003A55BF">
        <w:rPr>
          <w:rFonts w:cstheme="minorHAnsi"/>
          <w:i/>
          <w:iCs/>
          <w:color w:val="242021"/>
          <w:sz w:val="20"/>
          <w:szCs w:val="20"/>
        </w:rPr>
        <w:t xml:space="preserve">n </w:t>
      </w:r>
      <w:r w:rsidR="00A77228" w:rsidRPr="003A55BF">
        <w:rPr>
          <w:rFonts w:cstheme="minorHAnsi"/>
          <w:color w:val="242021"/>
          <w:sz w:val="20"/>
          <w:szCs w:val="20"/>
        </w:rPr>
        <w:t>= 5), oncology nurses (</w:t>
      </w:r>
      <w:r w:rsidR="00A77228" w:rsidRPr="003A55BF">
        <w:rPr>
          <w:rFonts w:cstheme="minorHAnsi"/>
          <w:i/>
          <w:iCs/>
          <w:color w:val="242021"/>
          <w:sz w:val="20"/>
          <w:szCs w:val="20"/>
        </w:rPr>
        <w:t xml:space="preserve">n </w:t>
      </w:r>
      <w:r w:rsidR="00A77228" w:rsidRPr="003A55BF">
        <w:rPr>
          <w:rFonts w:cstheme="minorHAnsi"/>
          <w:color w:val="242021"/>
          <w:sz w:val="20"/>
          <w:szCs w:val="20"/>
        </w:rPr>
        <w:t>= 10),</w:t>
      </w:r>
      <w:r w:rsidRPr="003A55BF">
        <w:rPr>
          <w:rFonts w:cstheme="minorHAnsi"/>
          <w:color w:val="242021"/>
          <w:sz w:val="20"/>
          <w:szCs w:val="20"/>
        </w:rPr>
        <w:t xml:space="preserve"> </w:t>
      </w:r>
      <w:r w:rsidR="00A77228" w:rsidRPr="003A55BF">
        <w:rPr>
          <w:rFonts w:cstheme="minorHAnsi"/>
          <w:color w:val="242021"/>
          <w:sz w:val="20"/>
          <w:szCs w:val="20"/>
        </w:rPr>
        <w:t>hospital oncology pharmacists (</w:t>
      </w:r>
      <w:r w:rsidR="00A77228" w:rsidRPr="003A55BF">
        <w:rPr>
          <w:rFonts w:cstheme="minorHAnsi"/>
          <w:i/>
          <w:iCs/>
          <w:color w:val="242021"/>
          <w:sz w:val="20"/>
          <w:szCs w:val="20"/>
        </w:rPr>
        <w:t xml:space="preserve">n </w:t>
      </w:r>
      <w:r w:rsidR="00A77228" w:rsidRPr="003A55BF">
        <w:rPr>
          <w:rFonts w:cstheme="minorHAnsi"/>
          <w:color w:val="242021"/>
          <w:sz w:val="20"/>
          <w:szCs w:val="20"/>
        </w:rPr>
        <w:t>= 3) and NCCP managers (</w:t>
      </w:r>
      <w:r w:rsidR="00A77228" w:rsidRPr="003A55BF">
        <w:rPr>
          <w:rFonts w:cstheme="minorHAnsi"/>
          <w:i/>
          <w:iCs/>
          <w:color w:val="242021"/>
          <w:sz w:val="20"/>
          <w:szCs w:val="20"/>
        </w:rPr>
        <w:t xml:space="preserve">n </w:t>
      </w:r>
      <w:r w:rsidR="00A77228" w:rsidRPr="003A55BF">
        <w:rPr>
          <w:rFonts w:cstheme="minorHAnsi"/>
          <w:color w:val="242021"/>
          <w:sz w:val="20"/>
          <w:szCs w:val="20"/>
        </w:rPr>
        <w:t>= 2).</w:t>
      </w:r>
      <w:r w:rsidRPr="003A55BF">
        <w:rPr>
          <w:rFonts w:cstheme="minorHAnsi"/>
          <w:color w:val="242021"/>
          <w:sz w:val="20"/>
          <w:szCs w:val="20"/>
        </w:rPr>
        <w:t xml:space="preserve"> </w:t>
      </w:r>
      <w:r w:rsidR="00A77228" w:rsidRPr="003A55BF">
        <w:rPr>
          <w:rFonts w:cstheme="minorHAnsi"/>
          <w:color w:val="242021"/>
          <w:sz w:val="20"/>
          <w:szCs w:val="20"/>
        </w:rPr>
        <w:t>Participation in the rounds of the study is illustrated in Figure 1. All</w:t>
      </w:r>
      <w:r w:rsidRPr="003A55BF">
        <w:rPr>
          <w:rFonts w:cstheme="minorHAnsi"/>
          <w:color w:val="242021"/>
          <w:sz w:val="20"/>
          <w:szCs w:val="20"/>
        </w:rPr>
        <w:t xml:space="preserve"> </w:t>
      </w:r>
      <w:r w:rsidR="00A77228" w:rsidRPr="003A55BF">
        <w:rPr>
          <w:rFonts w:cstheme="minorHAnsi"/>
          <w:color w:val="242021"/>
          <w:sz w:val="20"/>
          <w:szCs w:val="20"/>
        </w:rPr>
        <w:t>participants completed the SGIC in all rounds of the study, and its</w:t>
      </w:r>
      <w:r w:rsidRPr="003A55BF">
        <w:rPr>
          <w:rFonts w:cstheme="minorHAnsi"/>
          <w:color w:val="242021"/>
          <w:sz w:val="20"/>
          <w:szCs w:val="20"/>
        </w:rPr>
        <w:t xml:space="preserve"> </w:t>
      </w:r>
      <w:r w:rsidR="00A77228" w:rsidRPr="003A55BF">
        <w:rPr>
          <w:rFonts w:cstheme="minorHAnsi"/>
          <w:color w:val="242021"/>
          <w:sz w:val="20"/>
          <w:szCs w:val="20"/>
        </w:rPr>
        <w:t>completion was consistent in 85% of cases.</w:t>
      </w:r>
    </w:p>
    <w:p w14:paraId="034FDAE0" w14:textId="77777777" w:rsidR="00754F3F" w:rsidRPr="003A55BF" w:rsidRDefault="00754F3F">
      <w:pPr>
        <w:rPr>
          <w:rStyle w:val="fontstyle01"/>
          <w:rFonts w:asciiTheme="minorHAnsi" w:hAnsiTheme="minorHAnsi" w:cstheme="minorHAnsi"/>
        </w:rPr>
      </w:pPr>
    </w:p>
    <w:p w14:paraId="29400B8B" w14:textId="53441C3D" w:rsidR="00A77228" w:rsidRPr="003A55BF" w:rsidRDefault="00A77228">
      <w:pPr>
        <w:rPr>
          <w:rStyle w:val="fontstyle11"/>
          <w:rFonts w:asciiTheme="minorHAnsi" w:hAnsiTheme="minorHAnsi" w:cstheme="minorHAnsi"/>
        </w:rPr>
      </w:pPr>
      <w:r w:rsidRPr="003A55BF">
        <w:rPr>
          <w:rStyle w:val="fontstyle01"/>
          <w:rFonts w:asciiTheme="minorHAnsi" w:hAnsiTheme="minorHAnsi" w:cstheme="minorHAnsi"/>
          <w:b w:val="0"/>
          <w:bCs w:val="0"/>
          <w:u w:val="single"/>
        </w:rPr>
        <w:t>Delphi rounds</w:t>
      </w:r>
      <w:r w:rsidRPr="003A55BF">
        <w:rPr>
          <w:rFonts w:cstheme="minorHAnsi"/>
          <w:b/>
          <w:bCs/>
          <w:color w:val="242021"/>
          <w:sz w:val="20"/>
          <w:szCs w:val="20"/>
        </w:rPr>
        <w:br/>
      </w:r>
      <w:r w:rsidRPr="003A55BF">
        <w:rPr>
          <w:rStyle w:val="fontstyle01"/>
          <w:rFonts w:asciiTheme="minorHAnsi" w:hAnsiTheme="minorHAnsi" w:cstheme="minorHAnsi"/>
          <w:b w:val="0"/>
          <w:bCs w:val="0"/>
          <w:i/>
          <w:iCs/>
        </w:rPr>
        <w:t>Round one</w:t>
      </w:r>
      <w:r w:rsidRPr="003A55BF">
        <w:rPr>
          <w:rFonts w:cstheme="minorHAnsi"/>
          <w:b/>
          <w:bCs/>
          <w:color w:val="242021"/>
          <w:sz w:val="20"/>
          <w:szCs w:val="20"/>
        </w:rPr>
        <w:br/>
      </w:r>
      <w:r w:rsidRPr="003A55BF">
        <w:rPr>
          <w:rStyle w:val="fontstyle11"/>
          <w:rFonts w:asciiTheme="minorHAnsi" w:hAnsiTheme="minorHAnsi" w:cstheme="minorHAnsi"/>
        </w:rPr>
        <w:t>There was agreement on the inclusion of all six outcome areas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two KPIs from the literature. The agreement level was good—4 or 5</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on the 5-point Likert scale in all cases and an IQR of 1 in most cases.</w:t>
      </w:r>
      <w:r w:rsidRPr="003A55BF">
        <w:rPr>
          <w:rFonts w:cstheme="minorHAnsi"/>
          <w:color w:val="242021"/>
          <w:sz w:val="20"/>
          <w:szCs w:val="20"/>
        </w:rPr>
        <w:br/>
      </w:r>
      <w:r w:rsidRPr="003A55BF">
        <w:rPr>
          <w:rStyle w:val="fontstyle11"/>
          <w:rFonts w:asciiTheme="minorHAnsi" w:hAnsiTheme="minorHAnsi" w:cstheme="minorHAnsi"/>
        </w:rPr>
        <w:t>Participants' suggestions for other outcome areas and KPIs resulted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in a total of 76 KPIs. These fell under the headings presented in</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round one and a further seven headings: adverse events and errors,</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clinical trials, other treatment-related areas, patient experience factors, multidisciplinary team meetings, timeframes for treatment and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referrals from other SACT hospitals.</w:t>
      </w:r>
    </w:p>
    <w:p w14:paraId="370A4BAB" w14:textId="77777777" w:rsidR="00754F3F" w:rsidRPr="003A55BF" w:rsidRDefault="00BC4475">
      <w:pPr>
        <w:rPr>
          <w:rStyle w:val="fontstyle11"/>
          <w:rFonts w:asciiTheme="minorHAnsi" w:hAnsiTheme="minorHAnsi" w:cstheme="minorHAnsi"/>
        </w:rPr>
      </w:pPr>
      <w:r w:rsidRPr="003A55BF">
        <w:rPr>
          <w:rStyle w:val="fontstyle01"/>
          <w:rFonts w:asciiTheme="minorHAnsi" w:hAnsiTheme="minorHAnsi" w:cstheme="minorHAnsi"/>
          <w:b w:val="0"/>
          <w:bCs w:val="0"/>
          <w:i/>
          <w:iCs/>
        </w:rPr>
        <w:t>Round two</w:t>
      </w:r>
      <w:r w:rsidRPr="003A55BF">
        <w:rPr>
          <w:rFonts w:cstheme="minorHAnsi"/>
          <w:b/>
          <w:bCs/>
          <w:color w:val="242021"/>
          <w:sz w:val="20"/>
          <w:szCs w:val="20"/>
        </w:rPr>
        <w:br/>
      </w:r>
      <w:r w:rsidRPr="003A55BF">
        <w:rPr>
          <w:rStyle w:val="fontstyle11"/>
          <w:rFonts w:asciiTheme="minorHAnsi" w:hAnsiTheme="minorHAnsi" w:cstheme="minorHAnsi"/>
        </w:rPr>
        <w:t>Of the 76 KPIs considered in round two, 34 reached the pre-determined consensus level of 75% and one additional KPI was suggested for inclusion. These were carried through to round three.</w:t>
      </w:r>
    </w:p>
    <w:p w14:paraId="40E377D8" w14:textId="5241942D" w:rsidR="00BC4475" w:rsidRPr="003A55BF" w:rsidRDefault="00BC4475">
      <w:pPr>
        <w:rPr>
          <w:rStyle w:val="fontstyle11"/>
          <w:rFonts w:asciiTheme="minorHAnsi" w:hAnsiTheme="minorHAnsi" w:cstheme="minorHAnsi"/>
        </w:rPr>
      </w:pPr>
      <w:r w:rsidRPr="003A55BF">
        <w:rPr>
          <w:rFonts w:cstheme="minorHAnsi"/>
          <w:color w:val="242021"/>
          <w:sz w:val="20"/>
          <w:szCs w:val="20"/>
        </w:rPr>
        <w:br/>
      </w:r>
      <w:r w:rsidRPr="003A55BF">
        <w:rPr>
          <w:rStyle w:val="fontstyle01"/>
          <w:rFonts w:asciiTheme="minorHAnsi" w:hAnsiTheme="minorHAnsi" w:cstheme="minorHAnsi"/>
          <w:b w:val="0"/>
          <w:bCs w:val="0"/>
          <w:i/>
          <w:iCs/>
        </w:rPr>
        <w:t>Round three</w:t>
      </w:r>
      <w:r w:rsidRPr="003A55BF">
        <w:rPr>
          <w:rFonts w:cstheme="minorHAnsi"/>
          <w:b/>
          <w:bCs/>
          <w:color w:val="242021"/>
          <w:sz w:val="20"/>
          <w:szCs w:val="20"/>
        </w:rPr>
        <w:br/>
      </w:r>
      <w:r w:rsidRPr="003A55BF">
        <w:rPr>
          <w:rStyle w:val="fontstyle11"/>
          <w:rFonts w:asciiTheme="minorHAnsi" w:hAnsiTheme="minorHAnsi" w:cstheme="minorHAnsi"/>
        </w:rPr>
        <w:t>In round three, of the 35 KPIs from the second round, 27 reached</w:t>
      </w:r>
      <w:r w:rsidR="00754F3F" w:rsidRPr="003A55BF">
        <w:rPr>
          <w:rStyle w:val="fontstyle11"/>
          <w:rFonts w:asciiTheme="minorHAnsi" w:hAnsiTheme="minorHAnsi" w:cstheme="minorHAnsi"/>
        </w:rPr>
        <w:t xml:space="preserve"> </w:t>
      </w:r>
      <w:r w:rsidRPr="003A55BF">
        <w:rPr>
          <w:rStyle w:val="fontstyle11"/>
          <w:rFonts w:asciiTheme="minorHAnsi" w:hAnsiTheme="minorHAnsi" w:cstheme="minorHAnsi"/>
        </w:rPr>
        <w:t>the pre-determined consensus level and two of these were merged</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(Table 1; Figure 2). The details of the median, IQR and nonparametric</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test of stability of responses in rounds two and three are shown in</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Table 2. The most common barriers to the implementation of the</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KPIs were poor information dissemination, clinical factors, data</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matching/access/quality, lack of IT systems and staffing pressures.</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The frequency distribution of the main themes identified by participants under "barriers to implementation" is illustrated in Figure 3.</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The most common facilitators highlighted for the implementation</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of the KPIs were IT systems, data collection/quality/matching and</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staffing.</w:t>
      </w:r>
    </w:p>
    <w:p w14:paraId="3A70F68A" w14:textId="77777777" w:rsidR="00530575" w:rsidRPr="003A55BF" w:rsidRDefault="00530575">
      <w:pPr>
        <w:rPr>
          <w:rStyle w:val="fontstyle01"/>
          <w:rFonts w:asciiTheme="minorHAnsi" w:hAnsiTheme="minorHAnsi" w:cstheme="minorHAnsi"/>
        </w:rPr>
      </w:pPr>
    </w:p>
    <w:p w14:paraId="09E194B3" w14:textId="77777777" w:rsidR="00530575" w:rsidRPr="003A55BF" w:rsidRDefault="00BC4475">
      <w:pPr>
        <w:rPr>
          <w:rStyle w:val="fontstyle11"/>
          <w:rFonts w:asciiTheme="minorHAnsi" w:hAnsiTheme="minorHAnsi" w:cstheme="minorHAnsi"/>
        </w:rPr>
      </w:pPr>
      <w:r w:rsidRPr="003A55BF">
        <w:rPr>
          <w:rStyle w:val="fontstyle01"/>
          <w:rFonts w:asciiTheme="minorHAnsi" w:hAnsiTheme="minorHAnsi" w:cstheme="minorHAnsi"/>
          <w:b w:val="0"/>
          <w:bCs w:val="0"/>
          <w:i/>
          <w:iCs/>
        </w:rPr>
        <w:t>Round four</w:t>
      </w:r>
      <w:r w:rsidRPr="003A55BF">
        <w:rPr>
          <w:rFonts w:cstheme="minorHAnsi"/>
          <w:b/>
          <w:bCs/>
          <w:i/>
          <w:iCs/>
          <w:color w:val="242021"/>
          <w:sz w:val="20"/>
          <w:szCs w:val="20"/>
        </w:rPr>
        <w:br/>
      </w:r>
      <w:r w:rsidRPr="003A55BF">
        <w:rPr>
          <w:rStyle w:val="fontstyle11"/>
          <w:rFonts w:asciiTheme="minorHAnsi" w:hAnsiTheme="minorHAnsi" w:cstheme="minorHAnsi"/>
        </w:rPr>
        <w:t>A number of KPIs had equal overall levels of prioritisation by participants, so a list of nine priority KPIs emerged from round four</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(Table 3). The researchers arbitrarily applied this cut-off point as</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these were the most highly ranked KPIs and nine represented a reasonable number of KPIs for any possible implementation. However,</w:t>
      </w:r>
      <w:r w:rsidRPr="003A55BF">
        <w:rPr>
          <w:rFonts w:cstheme="minorHAnsi"/>
          <w:color w:val="242021"/>
          <w:sz w:val="20"/>
          <w:szCs w:val="20"/>
        </w:rPr>
        <w:br/>
      </w:r>
      <w:r w:rsidRPr="003A55BF">
        <w:rPr>
          <w:rStyle w:val="fontstyle11"/>
          <w:rFonts w:asciiTheme="minorHAnsi" w:hAnsiTheme="minorHAnsi" w:cstheme="minorHAnsi"/>
        </w:rPr>
        <w:t>this list could easily be expanded using the entire ranked list of KPIs</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identified in the study (Appendix 1). All of the nine prioritised KPIs</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showed high ratings (≥7 on a 9-point scale) for validity, reliability and</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acceptability and reasonable level of consensus (IQR ≤ 2 in 52% of</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cases). The KPIs mostly scored lowest on the measure of feasibility,</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which also showed poorer consensus levels (IQR ≥ 3 for all – Table 4),</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pointing to challenges for implementation.</w:t>
      </w:r>
      <w:r w:rsidR="00530575" w:rsidRPr="003A55BF">
        <w:rPr>
          <w:rStyle w:val="fontstyle11"/>
          <w:rFonts w:asciiTheme="minorHAnsi" w:hAnsiTheme="minorHAnsi" w:cstheme="minorHAnsi"/>
        </w:rPr>
        <w:t xml:space="preserve"> </w:t>
      </w:r>
    </w:p>
    <w:p w14:paraId="6CE5B9FD" w14:textId="5091F144" w:rsidR="00BC4475" w:rsidRPr="003A55BF" w:rsidRDefault="00BC4475">
      <w:pPr>
        <w:rPr>
          <w:rStyle w:val="fontstyle11"/>
          <w:rFonts w:asciiTheme="minorHAnsi" w:hAnsiTheme="minorHAnsi" w:cstheme="minorHAnsi"/>
        </w:rPr>
      </w:pPr>
      <w:r w:rsidRPr="003A55BF">
        <w:rPr>
          <w:rStyle w:val="fontstyle11"/>
          <w:rFonts w:asciiTheme="minorHAnsi" w:hAnsiTheme="minorHAnsi" w:cstheme="minorHAnsi"/>
        </w:rPr>
        <w:t>The highest priority outcome area was the area of multidisciplinary team meetings (MDMs), a process measure, (Figure 4) and the</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one prioritised KPI under this area was ranked joint first in order of</w:t>
      </w:r>
      <w:r w:rsidRPr="003A55BF">
        <w:rPr>
          <w:rFonts w:cstheme="minorHAnsi"/>
          <w:color w:val="242021"/>
          <w:sz w:val="20"/>
          <w:szCs w:val="20"/>
        </w:rPr>
        <w:br/>
      </w:r>
      <w:r w:rsidRPr="003A55BF">
        <w:rPr>
          <w:rStyle w:val="fontstyle11"/>
          <w:rFonts w:asciiTheme="minorHAnsi" w:hAnsiTheme="minorHAnsi" w:cstheme="minorHAnsi"/>
        </w:rPr>
        <w:t>priority. Other areas that were highly prioritised by participants were</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early referral to palliative care, death within a period after SACT and a</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number of process KPIs such as timeframes for treatment. Individual</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KPIs under these areas featured prominently in the prioritised list.</w:t>
      </w:r>
    </w:p>
    <w:p w14:paraId="38A36E43" w14:textId="77777777" w:rsidR="00530575" w:rsidRPr="003A55BF" w:rsidRDefault="00530575">
      <w:pPr>
        <w:rPr>
          <w:rFonts w:cstheme="minorHAnsi"/>
          <w:b/>
          <w:bCs/>
          <w:color w:val="242021"/>
          <w:sz w:val="20"/>
          <w:szCs w:val="20"/>
        </w:rPr>
      </w:pPr>
    </w:p>
    <w:p w14:paraId="07BDDBDC" w14:textId="36054917" w:rsidR="00BC4475" w:rsidRPr="003A55BF" w:rsidRDefault="00BC4475">
      <w:pPr>
        <w:rPr>
          <w:rFonts w:cstheme="minorHAnsi"/>
          <w:color w:val="242021"/>
          <w:sz w:val="20"/>
          <w:szCs w:val="20"/>
        </w:rPr>
      </w:pPr>
      <w:r w:rsidRPr="003A55BF">
        <w:rPr>
          <w:rFonts w:cstheme="minorHAnsi"/>
          <w:color w:val="242021"/>
          <w:sz w:val="20"/>
          <w:szCs w:val="20"/>
          <w:u w:val="single"/>
        </w:rPr>
        <w:lastRenderedPageBreak/>
        <w:t>Quantitative data analysis</w:t>
      </w:r>
      <w:r w:rsidRPr="003A55BF">
        <w:rPr>
          <w:rFonts w:cstheme="minorHAnsi"/>
          <w:color w:val="242021"/>
          <w:sz w:val="20"/>
          <w:szCs w:val="20"/>
          <w:u w:val="single"/>
        </w:rPr>
        <w:br/>
      </w:r>
      <w:r w:rsidRPr="003A55BF">
        <w:rPr>
          <w:rFonts w:cstheme="minorHAnsi"/>
          <w:color w:val="242021"/>
          <w:sz w:val="20"/>
          <w:szCs w:val="20"/>
        </w:rPr>
        <w:t>Of the nine KPIs in the final prioritised list, there was no statistically</w:t>
      </w:r>
      <w:r w:rsidR="00530575" w:rsidRPr="003A55BF">
        <w:rPr>
          <w:rFonts w:cstheme="minorHAnsi"/>
          <w:color w:val="242021"/>
          <w:sz w:val="20"/>
          <w:szCs w:val="20"/>
        </w:rPr>
        <w:t xml:space="preserve"> </w:t>
      </w:r>
      <w:r w:rsidRPr="003A55BF">
        <w:rPr>
          <w:rFonts w:cstheme="minorHAnsi"/>
          <w:color w:val="242021"/>
          <w:sz w:val="20"/>
          <w:szCs w:val="20"/>
        </w:rPr>
        <w:t>significant difference in the distribution of responses between the</w:t>
      </w:r>
      <w:r w:rsidR="00530575" w:rsidRPr="003A55BF">
        <w:rPr>
          <w:rFonts w:cstheme="minorHAnsi"/>
          <w:color w:val="242021"/>
          <w:sz w:val="20"/>
          <w:szCs w:val="20"/>
        </w:rPr>
        <w:t xml:space="preserve"> </w:t>
      </w:r>
      <w:r w:rsidRPr="003A55BF">
        <w:rPr>
          <w:rFonts w:cstheme="minorHAnsi"/>
          <w:color w:val="242021"/>
          <w:sz w:val="20"/>
          <w:szCs w:val="20"/>
        </w:rPr>
        <w:t>sub-groups (</w:t>
      </w:r>
      <w:r w:rsidRPr="003A55BF">
        <w:rPr>
          <w:rFonts w:cstheme="minorHAnsi"/>
          <w:i/>
          <w:iCs/>
          <w:color w:val="242021"/>
          <w:sz w:val="20"/>
          <w:szCs w:val="20"/>
        </w:rPr>
        <w:t xml:space="preserve">p </w:t>
      </w:r>
      <w:r w:rsidRPr="003A55BF">
        <w:rPr>
          <w:rFonts w:cstheme="minorHAnsi"/>
          <w:color w:val="242021"/>
          <w:sz w:val="20"/>
          <w:szCs w:val="20"/>
        </w:rPr>
        <w:t>≤ .05). It was found that there was weak agreement</w:t>
      </w:r>
      <w:r w:rsidR="00530575" w:rsidRPr="003A55BF">
        <w:rPr>
          <w:rFonts w:cstheme="minorHAnsi"/>
          <w:color w:val="242021"/>
          <w:sz w:val="20"/>
          <w:szCs w:val="20"/>
        </w:rPr>
        <w:t xml:space="preserve"> </w:t>
      </w:r>
      <w:r w:rsidRPr="003A55BF">
        <w:rPr>
          <w:rFonts w:cstheme="minorHAnsi"/>
          <w:color w:val="242021"/>
          <w:sz w:val="20"/>
          <w:szCs w:val="20"/>
        </w:rPr>
        <w:t>amongst participants on the nine priority KPIs that emerged from</w:t>
      </w:r>
      <w:r w:rsidR="00530575" w:rsidRPr="003A55BF">
        <w:rPr>
          <w:rFonts w:cstheme="minorHAnsi"/>
          <w:color w:val="242021"/>
          <w:sz w:val="20"/>
          <w:szCs w:val="20"/>
        </w:rPr>
        <w:t xml:space="preserve"> </w:t>
      </w:r>
      <w:r w:rsidRPr="003A55BF">
        <w:rPr>
          <w:rFonts w:cstheme="minorHAnsi"/>
          <w:color w:val="242021"/>
          <w:sz w:val="20"/>
          <w:szCs w:val="20"/>
        </w:rPr>
        <w:t>round 4, (</w:t>
      </w:r>
      <w:r w:rsidRPr="003A55BF">
        <w:rPr>
          <w:rFonts w:cstheme="minorHAnsi"/>
          <w:i/>
          <w:iCs/>
          <w:color w:val="242021"/>
          <w:sz w:val="20"/>
          <w:szCs w:val="20"/>
        </w:rPr>
        <w:t xml:space="preserve">W </w:t>
      </w:r>
      <w:r w:rsidRPr="003A55BF">
        <w:rPr>
          <w:rFonts w:cstheme="minorHAnsi"/>
          <w:color w:val="242021"/>
          <w:sz w:val="20"/>
          <w:szCs w:val="20"/>
        </w:rPr>
        <w:t>= 0.101), which was found to be statistically significant</w:t>
      </w:r>
      <w:r w:rsidR="00530575" w:rsidRPr="003A55BF">
        <w:rPr>
          <w:rFonts w:cstheme="minorHAnsi"/>
          <w:color w:val="242021"/>
          <w:sz w:val="20"/>
          <w:szCs w:val="20"/>
        </w:rPr>
        <w:t xml:space="preserve"> </w:t>
      </w:r>
      <w:r w:rsidRPr="003A55BF">
        <w:rPr>
          <w:rFonts w:cstheme="minorHAnsi"/>
          <w:color w:val="242021"/>
          <w:sz w:val="20"/>
          <w:szCs w:val="20"/>
        </w:rPr>
        <w:t>(</w:t>
      </w:r>
      <w:r w:rsidRPr="003A55BF">
        <w:rPr>
          <w:rFonts w:cstheme="minorHAnsi"/>
          <w:i/>
          <w:iCs/>
          <w:color w:val="242021"/>
          <w:sz w:val="20"/>
          <w:szCs w:val="20"/>
        </w:rPr>
        <w:t xml:space="preserve">p = </w:t>
      </w:r>
      <w:r w:rsidRPr="003A55BF">
        <w:rPr>
          <w:rFonts w:cstheme="minorHAnsi"/>
          <w:color w:val="242021"/>
          <w:sz w:val="20"/>
          <w:szCs w:val="20"/>
        </w:rPr>
        <w:t>.012). All of the nine prioritised KPIs had negative scores in the</w:t>
      </w:r>
      <w:r w:rsidR="00530575" w:rsidRPr="003A55BF">
        <w:rPr>
          <w:rFonts w:cstheme="minorHAnsi"/>
          <w:color w:val="242021"/>
          <w:sz w:val="20"/>
          <w:szCs w:val="20"/>
        </w:rPr>
        <w:t xml:space="preserve"> </w:t>
      </w:r>
      <w:r w:rsidRPr="003A55BF">
        <w:rPr>
          <w:rFonts w:cstheme="minorHAnsi"/>
          <w:color w:val="242021"/>
          <w:sz w:val="20"/>
          <w:szCs w:val="20"/>
        </w:rPr>
        <w:t>Wilcoxon matched-pairs signed-rank test, indicating that there was</w:t>
      </w:r>
      <w:r w:rsidR="00530575" w:rsidRPr="003A55BF">
        <w:rPr>
          <w:rFonts w:cstheme="minorHAnsi"/>
          <w:color w:val="242021"/>
          <w:sz w:val="20"/>
          <w:szCs w:val="20"/>
        </w:rPr>
        <w:t xml:space="preserve"> </w:t>
      </w:r>
      <w:r w:rsidRPr="003A55BF">
        <w:rPr>
          <w:rFonts w:cstheme="minorHAnsi"/>
          <w:color w:val="242021"/>
          <w:sz w:val="20"/>
          <w:szCs w:val="20"/>
        </w:rPr>
        <w:t>stability of responses between rounds two and three (Table 2).</w:t>
      </w:r>
    </w:p>
    <w:p w14:paraId="03D1D997" w14:textId="77777777" w:rsidR="00530575" w:rsidRPr="003A55BF" w:rsidRDefault="00530575">
      <w:pPr>
        <w:rPr>
          <w:rFonts w:cstheme="minorHAnsi"/>
          <w:color w:val="242021"/>
          <w:sz w:val="20"/>
          <w:szCs w:val="20"/>
        </w:rPr>
      </w:pPr>
    </w:p>
    <w:p w14:paraId="63513E86" w14:textId="77777777" w:rsidR="00530575" w:rsidRPr="003A55BF" w:rsidRDefault="00530575">
      <w:pPr>
        <w:rPr>
          <w:rStyle w:val="fontstyle11"/>
          <w:rFonts w:asciiTheme="minorHAnsi" w:hAnsiTheme="minorHAnsi" w:cstheme="minorHAnsi"/>
        </w:rPr>
      </w:pPr>
      <w:r w:rsidRPr="003A55BF">
        <w:rPr>
          <w:rStyle w:val="fontstyle01"/>
          <w:rFonts w:asciiTheme="minorHAnsi" w:hAnsiTheme="minorHAnsi" w:cstheme="minorHAnsi"/>
        </w:rPr>
        <w:t>Discussion</w:t>
      </w:r>
      <w:r w:rsidR="00BC4475" w:rsidRPr="003A55BF">
        <w:rPr>
          <w:rFonts w:cstheme="minorHAnsi"/>
          <w:b/>
          <w:bCs/>
          <w:color w:val="242021"/>
          <w:sz w:val="20"/>
          <w:szCs w:val="20"/>
        </w:rPr>
        <w:br/>
      </w:r>
      <w:r w:rsidR="00BC4475" w:rsidRPr="003A55BF">
        <w:rPr>
          <w:rStyle w:val="fontstyle11"/>
          <w:rFonts w:asciiTheme="minorHAnsi" w:hAnsiTheme="minorHAnsi" w:cstheme="minorHAnsi"/>
        </w:rPr>
        <w:t>The nine KPIs prioritised by the study covered a range of SACT care</w:t>
      </w:r>
      <w:r w:rsidRPr="003A55BF">
        <w:rPr>
          <w:rStyle w:val="fontstyle11"/>
          <w:rFonts w:asciiTheme="minorHAnsi" w:hAnsiTheme="minorHAnsi" w:cstheme="minorHAnsi"/>
        </w:rPr>
        <w:t xml:space="preserve"> </w:t>
      </w:r>
      <w:r w:rsidR="00BC4475" w:rsidRPr="003A55BF">
        <w:rPr>
          <w:rStyle w:val="fontstyle11"/>
          <w:rFonts w:asciiTheme="minorHAnsi" w:hAnsiTheme="minorHAnsi" w:cstheme="minorHAnsi"/>
        </w:rPr>
        <w:t>areas and were a mixture of process and outcome measures. The</w:t>
      </w:r>
      <w:r w:rsidRPr="003A55BF">
        <w:rPr>
          <w:rStyle w:val="fontstyle11"/>
          <w:rFonts w:asciiTheme="minorHAnsi" w:hAnsiTheme="minorHAnsi" w:cstheme="minorHAnsi"/>
        </w:rPr>
        <w:t xml:space="preserve"> </w:t>
      </w:r>
      <w:r w:rsidR="00BC4475" w:rsidRPr="003A55BF">
        <w:rPr>
          <w:rStyle w:val="fontstyle11"/>
          <w:rFonts w:asciiTheme="minorHAnsi" w:hAnsiTheme="minorHAnsi" w:cstheme="minorHAnsi"/>
        </w:rPr>
        <w:t>inclusion of some process KPIs in the final prioritised list was not intended at the outset of the study, but the level of importance placed</w:t>
      </w:r>
      <w:r w:rsidRPr="003A55BF">
        <w:rPr>
          <w:rStyle w:val="fontstyle11"/>
          <w:rFonts w:asciiTheme="minorHAnsi" w:hAnsiTheme="minorHAnsi" w:cstheme="minorHAnsi"/>
        </w:rPr>
        <w:t xml:space="preserve"> </w:t>
      </w:r>
      <w:r w:rsidR="00BC4475" w:rsidRPr="003A55BF">
        <w:rPr>
          <w:rStyle w:val="fontstyle11"/>
          <w:rFonts w:asciiTheme="minorHAnsi" w:hAnsiTheme="minorHAnsi" w:cstheme="minorHAnsi"/>
        </w:rPr>
        <w:t>by participants on these areas led to their inclusion.</w:t>
      </w:r>
      <w:r w:rsidR="00BC4475" w:rsidRPr="003A55BF">
        <w:rPr>
          <w:rFonts w:cstheme="minorHAnsi"/>
          <w:color w:val="242021"/>
          <w:sz w:val="20"/>
          <w:szCs w:val="20"/>
        </w:rPr>
        <w:br/>
      </w:r>
    </w:p>
    <w:p w14:paraId="36DA9CA4" w14:textId="77777777" w:rsidR="00530575" w:rsidRPr="003A55BF" w:rsidRDefault="00BC4475">
      <w:pPr>
        <w:rPr>
          <w:rFonts w:cstheme="minorHAnsi"/>
          <w:color w:val="242021"/>
          <w:sz w:val="20"/>
          <w:szCs w:val="20"/>
        </w:rPr>
      </w:pPr>
      <w:r w:rsidRPr="003A55BF">
        <w:rPr>
          <w:rStyle w:val="fontstyle11"/>
          <w:rFonts w:asciiTheme="minorHAnsi" w:hAnsiTheme="minorHAnsi" w:cstheme="minorHAnsi"/>
        </w:rPr>
        <w:t>The range of stakeholders included in this study reflected those</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involved in providing and receiving SACT services. This brought a</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level of “authenticity” to the study, which would not have been possible by simply selecting KPIs from the literature alone (Franklin &amp;</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Hart, 2007). Patient participation in the development of performance</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indicators in health care is “extremely uncommon” (</w:t>
      </w:r>
      <w:proofErr w:type="spellStart"/>
      <w:r w:rsidRPr="003A55BF">
        <w:rPr>
          <w:rStyle w:val="fontstyle11"/>
          <w:rFonts w:asciiTheme="minorHAnsi" w:hAnsiTheme="minorHAnsi" w:cstheme="minorHAnsi"/>
        </w:rPr>
        <w:t>Kötter</w:t>
      </w:r>
      <w:proofErr w:type="spellEnd"/>
      <w:r w:rsidRPr="003A55BF">
        <w:rPr>
          <w:rStyle w:val="fontstyle11"/>
          <w:rFonts w:asciiTheme="minorHAnsi" w:hAnsiTheme="minorHAnsi" w:cstheme="minorHAnsi"/>
        </w:rPr>
        <w:t xml:space="preserve">, </w:t>
      </w:r>
      <w:proofErr w:type="spellStart"/>
      <w:r w:rsidRPr="003A55BF">
        <w:rPr>
          <w:rStyle w:val="fontstyle11"/>
          <w:rFonts w:asciiTheme="minorHAnsi" w:hAnsiTheme="minorHAnsi" w:cstheme="minorHAnsi"/>
        </w:rPr>
        <w:t>Blozik</w:t>
      </w:r>
      <w:proofErr w:type="spellEnd"/>
      <w:r w:rsidRPr="003A55BF">
        <w:rPr>
          <w:rStyle w:val="fontstyle11"/>
          <w:rFonts w:asciiTheme="minorHAnsi" w:hAnsiTheme="minorHAnsi" w:cstheme="minorHAnsi"/>
        </w:rPr>
        <w:t>, &amp;</w:t>
      </w:r>
      <w:r w:rsidR="00530575" w:rsidRPr="003A55BF">
        <w:rPr>
          <w:rStyle w:val="fontstyle11"/>
          <w:rFonts w:asciiTheme="minorHAnsi" w:hAnsiTheme="minorHAnsi" w:cstheme="minorHAnsi"/>
        </w:rPr>
        <w:t xml:space="preserve"> </w:t>
      </w:r>
      <w:r w:rsidRPr="003A55BF">
        <w:rPr>
          <w:rStyle w:val="fontstyle11"/>
          <w:rFonts w:asciiTheme="minorHAnsi" w:hAnsiTheme="minorHAnsi" w:cstheme="minorHAnsi"/>
        </w:rPr>
        <w:t xml:space="preserve">Scherer, 2012; </w:t>
      </w:r>
      <w:proofErr w:type="spellStart"/>
      <w:r w:rsidRPr="003A55BF">
        <w:rPr>
          <w:rStyle w:val="fontstyle11"/>
          <w:rFonts w:asciiTheme="minorHAnsi" w:hAnsiTheme="minorHAnsi" w:cstheme="minorHAnsi"/>
        </w:rPr>
        <w:t>Kötter</w:t>
      </w:r>
      <w:proofErr w:type="spellEnd"/>
      <w:r w:rsidRPr="003A55BF">
        <w:rPr>
          <w:rStyle w:val="fontstyle11"/>
          <w:rFonts w:asciiTheme="minorHAnsi" w:hAnsiTheme="minorHAnsi" w:cstheme="minorHAnsi"/>
        </w:rPr>
        <w:t xml:space="preserve">, Schaefer, Scherer, &amp; </w:t>
      </w:r>
      <w:proofErr w:type="spellStart"/>
      <w:r w:rsidRPr="003A55BF">
        <w:rPr>
          <w:rStyle w:val="fontstyle11"/>
          <w:rFonts w:asciiTheme="minorHAnsi" w:hAnsiTheme="minorHAnsi" w:cstheme="minorHAnsi"/>
        </w:rPr>
        <w:t>Blozik</w:t>
      </w:r>
      <w:proofErr w:type="spellEnd"/>
      <w:r w:rsidRPr="003A55BF">
        <w:rPr>
          <w:rStyle w:val="fontstyle11"/>
          <w:rFonts w:asciiTheme="minorHAnsi" w:hAnsiTheme="minorHAnsi" w:cstheme="minorHAnsi"/>
        </w:rPr>
        <w:t xml:space="preserve">, 2013). The number of patient advocates available for invitation to participate in </w:t>
      </w:r>
      <w:r w:rsidRPr="003A55BF">
        <w:rPr>
          <w:rFonts w:cstheme="minorHAnsi"/>
          <w:color w:val="242021"/>
          <w:sz w:val="20"/>
          <w:szCs w:val="20"/>
        </w:rPr>
        <w:t>the study was limited (</w:t>
      </w:r>
      <w:r w:rsidRPr="003A55BF">
        <w:rPr>
          <w:rFonts w:cstheme="minorHAnsi"/>
          <w:i/>
          <w:iCs/>
          <w:color w:val="242021"/>
          <w:sz w:val="20"/>
          <w:szCs w:val="20"/>
        </w:rPr>
        <w:t xml:space="preserve">n </w:t>
      </w:r>
      <w:r w:rsidRPr="003A55BF">
        <w:rPr>
          <w:rFonts w:cstheme="minorHAnsi"/>
          <w:color w:val="242021"/>
          <w:sz w:val="20"/>
          <w:szCs w:val="20"/>
        </w:rPr>
        <w:t>= 7), perhaps highlighting the low level of</w:t>
      </w:r>
      <w:r w:rsidR="00530575" w:rsidRPr="003A55BF">
        <w:rPr>
          <w:rFonts w:cstheme="minorHAnsi"/>
          <w:color w:val="242021"/>
          <w:sz w:val="20"/>
          <w:szCs w:val="20"/>
        </w:rPr>
        <w:t xml:space="preserve"> </w:t>
      </w:r>
      <w:r w:rsidRPr="003A55BF">
        <w:rPr>
          <w:rFonts w:cstheme="minorHAnsi"/>
          <w:color w:val="242021"/>
          <w:sz w:val="20"/>
          <w:szCs w:val="20"/>
        </w:rPr>
        <w:t>opportunities for patients to contribute to the work of the NCCP</w:t>
      </w:r>
      <w:r w:rsidR="00530575" w:rsidRPr="003A55BF">
        <w:rPr>
          <w:rFonts w:cstheme="minorHAnsi"/>
          <w:color w:val="242021"/>
          <w:sz w:val="20"/>
          <w:szCs w:val="20"/>
        </w:rPr>
        <w:t xml:space="preserve"> </w:t>
      </w:r>
      <w:r w:rsidRPr="003A55BF">
        <w:rPr>
          <w:rFonts w:cstheme="minorHAnsi"/>
          <w:color w:val="242021"/>
          <w:sz w:val="20"/>
          <w:szCs w:val="20"/>
        </w:rPr>
        <w:t>at the time of the study. Attrition is a common downside of Delphi</w:t>
      </w:r>
      <w:r w:rsidR="00530575" w:rsidRPr="003A55BF">
        <w:rPr>
          <w:rFonts w:cstheme="minorHAnsi"/>
          <w:color w:val="242021"/>
          <w:sz w:val="20"/>
          <w:szCs w:val="20"/>
        </w:rPr>
        <w:t xml:space="preserve"> </w:t>
      </w:r>
      <w:r w:rsidRPr="003A55BF">
        <w:rPr>
          <w:rFonts w:cstheme="minorHAnsi"/>
          <w:color w:val="242021"/>
          <w:sz w:val="20"/>
          <w:szCs w:val="20"/>
        </w:rPr>
        <w:t>studies (Keeney et al., 2011; Poole et al., 2016), and response rates</w:t>
      </w:r>
      <w:r w:rsidR="00530575" w:rsidRPr="003A55BF">
        <w:rPr>
          <w:rFonts w:cstheme="minorHAnsi"/>
          <w:color w:val="242021"/>
          <w:sz w:val="20"/>
          <w:szCs w:val="20"/>
        </w:rPr>
        <w:t xml:space="preserve"> </w:t>
      </w:r>
      <w:r w:rsidRPr="003A55BF">
        <w:rPr>
          <w:rFonts w:cstheme="minorHAnsi"/>
          <w:color w:val="242021"/>
          <w:sz w:val="20"/>
          <w:szCs w:val="20"/>
        </w:rPr>
        <w:t>are usually seen to decrease as the rounds of the study progress</w:t>
      </w:r>
      <w:r w:rsidRPr="003A55BF">
        <w:rPr>
          <w:rFonts w:cstheme="minorHAnsi"/>
          <w:color w:val="242021"/>
          <w:sz w:val="20"/>
          <w:szCs w:val="20"/>
        </w:rPr>
        <w:br/>
        <w:t>(Franklin &amp; Hart, 2007). The response rates in this study were 84%,</w:t>
      </w:r>
      <w:r w:rsidR="00530575" w:rsidRPr="003A55BF">
        <w:rPr>
          <w:rFonts w:cstheme="minorHAnsi"/>
          <w:color w:val="242021"/>
          <w:sz w:val="20"/>
          <w:szCs w:val="20"/>
        </w:rPr>
        <w:t xml:space="preserve"> </w:t>
      </w:r>
      <w:r w:rsidRPr="003A55BF">
        <w:rPr>
          <w:rFonts w:cstheme="minorHAnsi"/>
          <w:color w:val="242021"/>
          <w:sz w:val="20"/>
          <w:szCs w:val="20"/>
        </w:rPr>
        <w:t>70%, 92% and 70% in rounds one, two, three and four, respectively,</w:t>
      </w:r>
      <w:r w:rsidR="00530575" w:rsidRPr="003A55BF">
        <w:rPr>
          <w:rFonts w:cstheme="minorHAnsi"/>
          <w:color w:val="242021"/>
          <w:sz w:val="20"/>
          <w:szCs w:val="20"/>
        </w:rPr>
        <w:t xml:space="preserve"> </w:t>
      </w:r>
      <w:r w:rsidRPr="003A55BF">
        <w:rPr>
          <w:rFonts w:cstheme="minorHAnsi"/>
          <w:color w:val="242021"/>
          <w:sz w:val="20"/>
          <w:szCs w:val="20"/>
        </w:rPr>
        <w:t>which are sufficient to maintain the rigour of the Delphi technique</w:t>
      </w:r>
      <w:r w:rsidR="00530575" w:rsidRPr="003A55BF">
        <w:rPr>
          <w:rFonts w:cstheme="minorHAnsi"/>
          <w:color w:val="242021"/>
          <w:sz w:val="20"/>
          <w:szCs w:val="20"/>
        </w:rPr>
        <w:t xml:space="preserve"> </w:t>
      </w:r>
      <w:r w:rsidRPr="003A55BF">
        <w:rPr>
          <w:rFonts w:cstheme="minorHAnsi"/>
          <w:color w:val="242021"/>
          <w:sz w:val="20"/>
          <w:szCs w:val="20"/>
        </w:rPr>
        <w:t xml:space="preserve">(Akins, </w:t>
      </w:r>
      <w:proofErr w:type="spellStart"/>
      <w:r w:rsidRPr="003A55BF">
        <w:rPr>
          <w:rFonts w:cstheme="minorHAnsi"/>
          <w:color w:val="242021"/>
          <w:sz w:val="20"/>
          <w:szCs w:val="20"/>
        </w:rPr>
        <w:t>Tolson</w:t>
      </w:r>
      <w:proofErr w:type="spellEnd"/>
      <w:r w:rsidRPr="003A55BF">
        <w:rPr>
          <w:rFonts w:cstheme="minorHAnsi"/>
          <w:color w:val="242021"/>
          <w:sz w:val="20"/>
          <w:szCs w:val="20"/>
        </w:rPr>
        <w:t>, &amp; Cole, 2005; Hasson &amp; Keeney, 2011; Zhao, Cheng,</w:t>
      </w:r>
      <w:r w:rsidR="00530575" w:rsidRPr="003A55BF">
        <w:rPr>
          <w:rFonts w:cstheme="minorHAnsi"/>
          <w:color w:val="242021"/>
          <w:sz w:val="20"/>
          <w:szCs w:val="20"/>
        </w:rPr>
        <w:t xml:space="preserve"> </w:t>
      </w:r>
      <w:r w:rsidRPr="003A55BF">
        <w:rPr>
          <w:rFonts w:cstheme="minorHAnsi"/>
          <w:color w:val="242021"/>
          <w:sz w:val="20"/>
          <w:szCs w:val="20"/>
        </w:rPr>
        <w:t xml:space="preserve">Xu, Hou, &amp; </w:t>
      </w:r>
      <w:proofErr w:type="spellStart"/>
      <w:r w:rsidRPr="003A55BF">
        <w:rPr>
          <w:rFonts w:cstheme="minorHAnsi"/>
          <w:color w:val="242021"/>
          <w:sz w:val="20"/>
          <w:szCs w:val="20"/>
        </w:rPr>
        <w:t>Richardus</w:t>
      </w:r>
      <w:proofErr w:type="spellEnd"/>
      <w:r w:rsidRPr="003A55BF">
        <w:rPr>
          <w:rFonts w:cstheme="minorHAnsi"/>
          <w:color w:val="242021"/>
          <w:sz w:val="20"/>
          <w:szCs w:val="20"/>
        </w:rPr>
        <w:t>, 2015).</w:t>
      </w:r>
      <w:r w:rsidRPr="003A55BF">
        <w:rPr>
          <w:rFonts w:cstheme="minorHAnsi"/>
          <w:color w:val="242021"/>
          <w:sz w:val="20"/>
          <w:szCs w:val="20"/>
        </w:rPr>
        <w:br/>
      </w:r>
    </w:p>
    <w:p w14:paraId="4202581B" w14:textId="77777777" w:rsidR="00530575" w:rsidRPr="003A55BF" w:rsidRDefault="00BC4475">
      <w:pPr>
        <w:rPr>
          <w:rFonts w:cstheme="minorHAnsi"/>
          <w:color w:val="242021"/>
          <w:sz w:val="20"/>
          <w:szCs w:val="20"/>
        </w:rPr>
      </w:pPr>
      <w:r w:rsidRPr="003A55BF">
        <w:rPr>
          <w:rFonts w:cstheme="minorHAnsi"/>
          <w:color w:val="242021"/>
          <w:sz w:val="20"/>
          <w:szCs w:val="20"/>
        </w:rPr>
        <w:t>Measurement of consensus has received less attention than</w:t>
      </w:r>
      <w:r w:rsidR="00530575" w:rsidRPr="003A55BF">
        <w:rPr>
          <w:rFonts w:cstheme="minorHAnsi"/>
          <w:color w:val="242021"/>
          <w:sz w:val="20"/>
          <w:szCs w:val="20"/>
        </w:rPr>
        <w:t xml:space="preserve"> </w:t>
      </w:r>
      <w:r w:rsidRPr="003A55BF">
        <w:rPr>
          <w:rFonts w:cstheme="minorHAnsi"/>
          <w:color w:val="242021"/>
          <w:sz w:val="20"/>
          <w:szCs w:val="20"/>
        </w:rPr>
        <w:t>other aspects of the Delphi method (</w:t>
      </w:r>
      <w:proofErr w:type="spellStart"/>
      <w:r w:rsidRPr="003A55BF">
        <w:rPr>
          <w:rFonts w:cstheme="minorHAnsi"/>
          <w:color w:val="242021"/>
          <w:sz w:val="20"/>
          <w:szCs w:val="20"/>
        </w:rPr>
        <w:t>Rayens</w:t>
      </w:r>
      <w:proofErr w:type="spellEnd"/>
      <w:r w:rsidRPr="003A55BF">
        <w:rPr>
          <w:rFonts w:cstheme="minorHAnsi"/>
          <w:color w:val="242021"/>
          <w:sz w:val="20"/>
          <w:szCs w:val="20"/>
        </w:rPr>
        <w:t xml:space="preserve"> &amp; Hahn, 2000).</w:t>
      </w:r>
      <w:r w:rsidR="00530575" w:rsidRPr="003A55BF">
        <w:rPr>
          <w:rFonts w:cstheme="minorHAnsi"/>
          <w:color w:val="242021"/>
          <w:sz w:val="20"/>
          <w:szCs w:val="20"/>
        </w:rPr>
        <w:t xml:space="preserve"> </w:t>
      </w:r>
      <w:r w:rsidRPr="003A55BF">
        <w:rPr>
          <w:rFonts w:cstheme="minorHAnsi"/>
          <w:color w:val="242021"/>
          <w:sz w:val="20"/>
          <w:szCs w:val="20"/>
        </w:rPr>
        <w:t>Excluding those items that did not reach the pre-determined consensus level from subsequent rounds may introduce bias by limiting the opportunity to re-consider such items (Hasson, Keeney, &amp;</w:t>
      </w:r>
      <w:r w:rsidRPr="003A55BF">
        <w:rPr>
          <w:rFonts w:cstheme="minorHAnsi"/>
          <w:color w:val="242021"/>
          <w:sz w:val="20"/>
          <w:szCs w:val="20"/>
        </w:rPr>
        <w:br/>
        <w:t>McKenna, 2000). However, this needs to be balanced against having</w:t>
      </w:r>
      <w:r w:rsidR="00530575" w:rsidRPr="003A55BF">
        <w:rPr>
          <w:rFonts w:cstheme="minorHAnsi"/>
          <w:color w:val="242021"/>
          <w:sz w:val="20"/>
          <w:szCs w:val="20"/>
        </w:rPr>
        <w:t xml:space="preserve"> </w:t>
      </w:r>
      <w:r w:rsidRPr="003A55BF">
        <w:rPr>
          <w:rFonts w:cstheme="minorHAnsi"/>
          <w:color w:val="242021"/>
          <w:sz w:val="20"/>
          <w:szCs w:val="20"/>
        </w:rPr>
        <w:t>subsequent rounds that are so large that they impact on participation (Keeney et al., 2011) and carrying over too many items into subsequent rounds can cloud consensus (Hasson et al., 2000). In this</w:t>
      </w:r>
      <w:r w:rsidR="00530575" w:rsidRPr="003A55BF">
        <w:rPr>
          <w:rFonts w:cstheme="minorHAnsi"/>
          <w:color w:val="242021"/>
          <w:sz w:val="20"/>
          <w:szCs w:val="20"/>
        </w:rPr>
        <w:t xml:space="preserve"> </w:t>
      </w:r>
      <w:r w:rsidRPr="003A55BF">
        <w:rPr>
          <w:rFonts w:cstheme="minorHAnsi"/>
          <w:color w:val="242021"/>
          <w:sz w:val="20"/>
          <w:szCs w:val="20"/>
        </w:rPr>
        <w:t>study, KPIs that did not reach consensus were excluded from subsequent rounds.</w:t>
      </w:r>
    </w:p>
    <w:p w14:paraId="4C2386DA" w14:textId="6764C7E6" w:rsidR="00BC4475" w:rsidRPr="003A55BF" w:rsidRDefault="00BC4475">
      <w:pPr>
        <w:rPr>
          <w:rFonts w:cstheme="minorHAnsi"/>
          <w:color w:val="242021"/>
          <w:sz w:val="20"/>
          <w:szCs w:val="20"/>
        </w:rPr>
      </w:pPr>
      <w:r w:rsidRPr="003A55BF">
        <w:rPr>
          <w:rFonts w:cstheme="minorHAnsi"/>
          <w:color w:val="242021"/>
          <w:sz w:val="20"/>
          <w:szCs w:val="20"/>
        </w:rPr>
        <w:br/>
        <w:t>Statistical testing demonstrated only weak agreement on the prioritised list, and participants' priorities were spread across the 26 KPIs</w:t>
      </w:r>
      <w:r w:rsidR="00530575" w:rsidRPr="003A55BF">
        <w:rPr>
          <w:rFonts w:cstheme="minorHAnsi"/>
          <w:color w:val="242021"/>
          <w:sz w:val="20"/>
          <w:szCs w:val="20"/>
        </w:rPr>
        <w:t xml:space="preserve"> </w:t>
      </w:r>
      <w:r w:rsidRPr="003A55BF">
        <w:rPr>
          <w:rFonts w:cstheme="minorHAnsi"/>
          <w:color w:val="242021"/>
          <w:sz w:val="20"/>
          <w:szCs w:val="20"/>
        </w:rPr>
        <w:t>available for prioritisation. Further exploration of this apparent disagreement through a further Delphi round(s) may have yielded a stronger convergence of opinion. Nonetheless, the KPIs included in the final</w:t>
      </w:r>
      <w:r w:rsidR="00530575" w:rsidRPr="003A55BF">
        <w:rPr>
          <w:rFonts w:cstheme="minorHAnsi"/>
          <w:color w:val="242021"/>
          <w:sz w:val="20"/>
          <w:szCs w:val="20"/>
        </w:rPr>
        <w:t xml:space="preserve"> </w:t>
      </w:r>
      <w:r w:rsidRPr="003A55BF">
        <w:rPr>
          <w:rFonts w:cstheme="minorHAnsi"/>
          <w:color w:val="242021"/>
          <w:sz w:val="20"/>
          <w:szCs w:val="20"/>
        </w:rPr>
        <w:t>list were all ranked highly by participants throughout the process and were clearly deemed important by the majority of participants. There</w:t>
      </w:r>
      <w:r w:rsidR="00530575" w:rsidRPr="003A55BF">
        <w:rPr>
          <w:rFonts w:cstheme="minorHAnsi"/>
          <w:color w:val="242021"/>
          <w:sz w:val="20"/>
          <w:szCs w:val="20"/>
        </w:rPr>
        <w:t xml:space="preserve"> </w:t>
      </w:r>
      <w:r w:rsidRPr="003A55BF">
        <w:rPr>
          <w:rFonts w:cstheme="minorHAnsi"/>
          <w:color w:val="242021"/>
          <w:sz w:val="20"/>
          <w:szCs w:val="20"/>
        </w:rPr>
        <w:t>was no statistically significant difference in the participants' ratings</w:t>
      </w:r>
      <w:r w:rsidR="00530575" w:rsidRPr="003A55BF">
        <w:rPr>
          <w:rFonts w:cstheme="minorHAnsi"/>
          <w:color w:val="242021"/>
          <w:sz w:val="20"/>
          <w:szCs w:val="20"/>
        </w:rPr>
        <w:t xml:space="preserve"> </w:t>
      </w:r>
      <w:r w:rsidRPr="003A55BF">
        <w:rPr>
          <w:rFonts w:cstheme="minorHAnsi"/>
          <w:color w:val="242021"/>
          <w:sz w:val="20"/>
          <w:szCs w:val="20"/>
        </w:rPr>
        <w:t>of importance for any of the nine prioritised KPIs from round two to</w:t>
      </w:r>
      <w:r w:rsidR="00530575" w:rsidRPr="003A55BF">
        <w:rPr>
          <w:rFonts w:cstheme="minorHAnsi"/>
          <w:color w:val="242021"/>
          <w:sz w:val="20"/>
          <w:szCs w:val="20"/>
        </w:rPr>
        <w:t xml:space="preserve"> </w:t>
      </w:r>
      <w:r w:rsidRPr="003A55BF">
        <w:rPr>
          <w:rFonts w:cstheme="minorHAnsi"/>
          <w:color w:val="242021"/>
          <w:sz w:val="20"/>
          <w:szCs w:val="20"/>
        </w:rPr>
        <w:t>round three (Table 2). Lower IQR for four of the KPIs (KPI 1, KPI 5, KPI</w:t>
      </w:r>
      <w:r w:rsidR="00530575" w:rsidRPr="003A55BF">
        <w:rPr>
          <w:rFonts w:cstheme="minorHAnsi"/>
          <w:color w:val="242021"/>
          <w:sz w:val="20"/>
          <w:szCs w:val="20"/>
        </w:rPr>
        <w:t xml:space="preserve"> </w:t>
      </w:r>
      <w:r w:rsidRPr="003A55BF">
        <w:rPr>
          <w:rFonts w:cstheme="minorHAnsi"/>
          <w:color w:val="242021"/>
          <w:sz w:val="20"/>
          <w:szCs w:val="20"/>
        </w:rPr>
        <w:t>7 and KPI 8) in rounds 2 and 3 indicated consistency between rounds</w:t>
      </w:r>
      <w:r w:rsidR="00530575" w:rsidRPr="003A55BF">
        <w:rPr>
          <w:rFonts w:cstheme="minorHAnsi"/>
          <w:color w:val="242021"/>
          <w:sz w:val="20"/>
          <w:szCs w:val="20"/>
        </w:rPr>
        <w:t xml:space="preserve"> </w:t>
      </w:r>
      <w:r w:rsidRPr="003A55BF">
        <w:rPr>
          <w:rFonts w:cstheme="minorHAnsi"/>
          <w:color w:val="242021"/>
          <w:sz w:val="20"/>
          <w:szCs w:val="20"/>
        </w:rPr>
        <w:t xml:space="preserve">for these KPIs, but in the case of all KPIs, the p-values were </w:t>
      </w:r>
      <w:r w:rsidRPr="003A55BF">
        <w:rPr>
          <w:rFonts w:cstheme="minorHAnsi"/>
          <w:i/>
          <w:iCs/>
          <w:color w:val="242021"/>
          <w:sz w:val="20"/>
          <w:szCs w:val="20"/>
        </w:rPr>
        <w:t xml:space="preserve">p </w:t>
      </w:r>
      <w:r w:rsidRPr="003A55BF">
        <w:rPr>
          <w:rFonts w:cstheme="minorHAnsi"/>
          <w:color w:val="242021"/>
          <w:sz w:val="20"/>
          <w:szCs w:val="20"/>
        </w:rPr>
        <w:t>&gt; .05.</w:t>
      </w:r>
    </w:p>
    <w:p w14:paraId="120121FA" w14:textId="11368EDF" w:rsidR="00530575" w:rsidRPr="003A55BF" w:rsidRDefault="00BC4475">
      <w:pPr>
        <w:rPr>
          <w:rFonts w:cstheme="minorHAnsi"/>
          <w:color w:val="242021"/>
          <w:sz w:val="20"/>
          <w:szCs w:val="20"/>
        </w:rPr>
      </w:pPr>
      <w:r w:rsidRPr="003A55BF">
        <w:rPr>
          <w:rFonts w:cstheme="minorHAnsi"/>
          <w:color w:val="242021"/>
          <w:sz w:val="20"/>
          <w:szCs w:val="20"/>
        </w:rPr>
        <w:t>Limited research exists on population-based assessments of the</w:t>
      </w:r>
      <w:r w:rsidR="00530575" w:rsidRPr="003A55BF">
        <w:rPr>
          <w:rFonts w:cstheme="minorHAnsi"/>
          <w:color w:val="242021"/>
          <w:sz w:val="20"/>
          <w:szCs w:val="20"/>
        </w:rPr>
        <w:t xml:space="preserve"> </w:t>
      </w:r>
      <w:r w:rsidRPr="003A55BF">
        <w:rPr>
          <w:rFonts w:cstheme="minorHAnsi"/>
          <w:color w:val="242021"/>
          <w:sz w:val="20"/>
          <w:szCs w:val="20"/>
        </w:rPr>
        <w:t xml:space="preserve">safety of SACT (Shen &amp; </w:t>
      </w:r>
      <w:proofErr w:type="spellStart"/>
      <w:r w:rsidRPr="003A55BF">
        <w:rPr>
          <w:rFonts w:cstheme="minorHAnsi"/>
          <w:color w:val="242021"/>
          <w:sz w:val="20"/>
          <w:szCs w:val="20"/>
        </w:rPr>
        <w:t>Krzyzanowska</w:t>
      </w:r>
      <w:proofErr w:type="spellEnd"/>
      <w:r w:rsidRPr="003A55BF">
        <w:rPr>
          <w:rFonts w:cstheme="minorHAnsi"/>
          <w:color w:val="242021"/>
          <w:sz w:val="20"/>
          <w:szCs w:val="20"/>
        </w:rPr>
        <w:t>, 2015). Measurement and reporting of quality measures may result in improvement in quality, by</w:t>
      </w:r>
      <w:r w:rsidR="00530575" w:rsidRPr="003A55BF">
        <w:rPr>
          <w:rFonts w:cstheme="minorHAnsi"/>
          <w:color w:val="242021"/>
          <w:sz w:val="20"/>
          <w:szCs w:val="20"/>
        </w:rPr>
        <w:t xml:space="preserve"> </w:t>
      </w:r>
      <w:r w:rsidRPr="003A55BF">
        <w:rPr>
          <w:rFonts w:cstheme="minorHAnsi"/>
          <w:color w:val="242021"/>
          <w:sz w:val="20"/>
          <w:szCs w:val="20"/>
        </w:rPr>
        <w:t>identifying target areas for development but prioritisation of quality</w:t>
      </w:r>
      <w:r w:rsidR="00530575" w:rsidRPr="003A55BF">
        <w:rPr>
          <w:rFonts w:cstheme="minorHAnsi"/>
          <w:color w:val="242021"/>
          <w:sz w:val="20"/>
          <w:szCs w:val="20"/>
        </w:rPr>
        <w:t xml:space="preserve"> </w:t>
      </w:r>
      <w:r w:rsidRPr="003A55BF">
        <w:rPr>
          <w:rFonts w:cstheme="minorHAnsi"/>
          <w:color w:val="242021"/>
          <w:sz w:val="20"/>
          <w:szCs w:val="20"/>
        </w:rPr>
        <w:t>measures may be challenging (Enright et al., 2017). One of the aims</w:t>
      </w:r>
      <w:r w:rsidR="00530575" w:rsidRPr="003A55BF">
        <w:rPr>
          <w:rFonts w:cstheme="minorHAnsi"/>
          <w:color w:val="242021"/>
          <w:sz w:val="20"/>
          <w:szCs w:val="20"/>
        </w:rPr>
        <w:t xml:space="preserve"> </w:t>
      </w:r>
      <w:r w:rsidRPr="003A55BF">
        <w:rPr>
          <w:rFonts w:cstheme="minorHAnsi"/>
          <w:color w:val="242021"/>
          <w:sz w:val="20"/>
          <w:szCs w:val="20"/>
        </w:rPr>
        <w:t>of the study was to inform possible future implementation of the</w:t>
      </w:r>
      <w:r w:rsidR="00530575" w:rsidRPr="003A55BF">
        <w:rPr>
          <w:rFonts w:cstheme="minorHAnsi"/>
          <w:color w:val="242021"/>
          <w:sz w:val="20"/>
          <w:szCs w:val="20"/>
        </w:rPr>
        <w:t xml:space="preserve"> </w:t>
      </w:r>
      <w:r w:rsidRPr="003A55BF">
        <w:rPr>
          <w:rFonts w:cstheme="minorHAnsi"/>
          <w:color w:val="242021"/>
          <w:sz w:val="20"/>
          <w:szCs w:val="20"/>
        </w:rPr>
        <w:t>KPIs. The development of indicators of performance in healthcare</w:t>
      </w:r>
      <w:r w:rsidR="00530575" w:rsidRPr="003A55BF">
        <w:rPr>
          <w:rFonts w:cstheme="minorHAnsi"/>
          <w:color w:val="242021"/>
          <w:sz w:val="20"/>
          <w:szCs w:val="20"/>
        </w:rPr>
        <w:t xml:space="preserve"> </w:t>
      </w:r>
      <w:r w:rsidRPr="003A55BF">
        <w:rPr>
          <w:rFonts w:cstheme="minorHAnsi"/>
          <w:color w:val="242021"/>
          <w:sz w:val="20"/>
          <w:szCs w:val="20"/>
        </w:rPr>
        <w:t>needs to consider the implications for implementation, in terms of</w:t>
      </w:r>
      <w:r w:rsidR="00530575" w:rsidRPr="003A55BF">
        <w:rPr>
          <w:rFonts w:cstheme="minorHAnsi"/>
          <w:color w:val="242021"/>
          <w:sz w:val="20"/>
          <w:szCs w:val="20"/>
        </w:rPr>
        <w:t xml:space="preserve"> </w:t>
      </w:r>
      <w:r w:rsidRPr="003A55BF">
        <w:rPr>
          <w:rFonts w:cstheme="minorHAnsi"/>
          <w:color w:val="242021"/>
          <w:sz w:val="20"/>
          <w:szCs w:val="20"/>
        </w:rPr>
        <w:t xml:space="preserve">being </w:t>
      </w:r>
      <w:r w:rsidRPr="003A55BF">
        <w:rPr>
          <w:rFonts w:cstheme="minorHAnsi"/>
          <w:color w:val="242021"/>
          <w:sz w:val="20"/>
          <w:szCs w:val="20"/>
        </w:rPr>
        <w:lastRenderedPageBreak/>
        <w:t>meaningful, actionable, population-based, feasible, reliable,</w:t>
      </w:r>
      <w:r w:rsidR="00530575" w:rsidRPr="003A55BF">
        <w:rPr>
          <w:rFonts w:cstheme="minorHAnsi"/>
          <w:color w:val="242021"/>
          <w:sz w:val="20"/>
          <w:szCs w:val="20"/>
        </w:rPr>
        <w:t xml:space="preserve"> </w:t>
      </w:r>
      <w:r w:rsidRPr="003A55BF">
        <w:rPr>
          <w:rFonts w:cstheme="minorHAnsi"/>
          <w:color w:val="242021"/>
          <w:sz w:val="20"/>
          <w:szCs w:val="20"/>
        </w:rPr>
        <w:t xml:space="preserve">valid and sensitive to change (Campbell, </w:t>
      </w:r>
      <w:proofErr w:type="spellStart"/>
      <w:r w:rsidRPr="003A55BF">
        <w:rPr>
          <w:rFonts w:cstheme="minorHAnsi"/>
          <w:color w:val="242021"/>
          <w:sz w:val="20"/>
          <w:szCs w:val="20"/>
        </w:rPr>
        <w:t>Braspenning</w:t>
      </w:r>
      <w:proofErr w:type="spellEnd"/>
      <w:r w:rsidRPr="003A55BF">
        <w:rPr>
          <w:rFonts w:cstheme="minorHAnsi"/>
          <w:color w:val="242021"/>
          <w:sz w:val="20"/>
          <w:szCs w:val="20"/>
        </w:rPr>
        <w:t>, Hutchinson, &amp;</w:t>
      </w:r>
      <w:r w:rsidR="00530575" w:rsidRPr="003A55BF">
        <w:rPr>
          <w:rFonts w:cstheme="minorHAnsi"/>
          <w:color w:val="242021"/>
          <w:sz w:val="20"/>
          <w:szCs w:val="20"/>
        </w:rPr>
        <w:t xml:space="preserve"> </w:t>
      </w:r>
      <w:r w:rsidRPr="003A55BF">
        <w:rPr>
          <w:rFonts w:cstheme="minorHAnsi"/>
          <w:color w:val="242021"/>
          <w:sz w:val="20"/>
          <w:szCs w:val="20"/>
        </w:rPr>
        <w:t>Marshall, 2002; Enright et al., 2017). Unlike previous research, in this</w:t>
      </w:r>
      <w:r w:rsidR="00530575" w:rsidRPr="003A55BF">
        <w:rPr>
          <w:rFonts w:cstheme="minorHAnsi"/>
          <w:color w:val="242021"/>
          <w:sz w:val="20"/>
          <w:szCs w:val="20"/>
        </w:rPr>
        <w:t xml:space="preserve"> </w:t>
      </w:r>
      <w:r w:rsidRPr="003A55BF">
        <w:rPr>
          <w:rFonts w:cstheme="minorHAnsi"/>
          <w:color w:val="242021"/>
          <w:sz w:val="20"/>
          <w:szCs w:val="20"/>
        </w:rPr>
        <w:t>study, a pre-existing HIQA tool was applied to test the prospective</w:t>
      </w:r>
      <w:r w:rsidR="00530575" w:rsidRPr="003A55BF">
        <w:rPr>
          <w:rFonts w:cstheme="minorHAnsi"/>
          <w:color w:val="242021"/>
          <w:sz w:val="20"/>
          <w:szCs w:val="20"/>
        </w:rPr>
        <w:t xml:space="preserve"> </w:t>
      </w:r>
      <w:r w:rsidRPr="003A55BF">
        <w:rPr>
          <w:rFonts w:cstheme="minorHAnsi"/>
          <w:color w:val="242021"/>
          <w:sz w:val="20"/>
          <w:szCs w:val="20"/>
        </w:rPr>
        <w:t>implementation of the KPIs identified in terms of their feasibility,</w:t>
      </w:r>
      <w:r w:rsidR="00530575" w:rsidRPr="003A55BF">
        <w:rPr>
          <w:rFonts w:cstheme="minorHAnsi"/>
          <w:color w:val="242021"/>
          <w:sz w:val="20"/>
          <w:szCs w:val="20"/>
        </w:rPr>
        <w:t xml:space="preserve"> </w:t>
      </w:r>
      <w:r w:rsidRPr="003A55BF">
        <w:rPr>
          <w:rFonts w:cstheme="minorHAnsi"/>
          <w:color w:val="242021"/>
          <w:sz w:val="20"/>
          <w:szCs w:val="20"/>
        </w:rPr>
        <w:t>acceptability, validity and reliability. The nine KPIs were found to be</w:t>
      </w:r>
      <w:r w:rsidR="00530575" w:rsidRPr="003A55BF">
        <w:rPr>
          <w:rFonts w:cstheme="minorHAnsi"/>
          <w:color w:val="242021"/>
          <w:sz w:val="20"/>
          <w:szCs w:val="20"/>
        </w:rPr>
        <w:t xml:space="preserve"> </w:t>
      </w:r>
      <w:r w:rsidRPr="003A55BF">
        <w:rPr>
          <w:rFonts w:cstheme="minorHAnsi"/>
          <w:color w:val="242021"/>
          <w:sz w:val="20"/>
          <w:szCs w:val="20"/>
        </w:rPr>
        <w:t>valid, reliable and acceptable (Table 4). The poorer feasibility ratings</w:t>
      </w:r>
      <w:r w:rsidR="00530575" w:rsidRPr="003A55BF">
        <w:rPr>
          <w:rFonts w:cstheme="minorHAnsi"/>
          <w:color w:val="242021"/>
          <w:sz w:val="20"/>
          <w:szCs w:val="20"/>
        </w:rPr>
        <w:t xml:space="preserve"> </w:t>
      </w:r>
      <w:r w:rsidRPr="003A55BF">
        <w:rPr>
          <w:rFonts w:cstheme="minorHAnsi"/>
          <w:color w:val="242021"/>
          <w:sz w:val="20"/>
          <w:szCs w:val="20"/>
        </w:rPr>
        <w:t>have implications for any possible implementation of the KPIs.</w:t>
      </w:r>
      <w:r w:rsidRPr="003A55BF">
        <w:rPr>
          <w:rFonts w:cstheme="minorHAnsi"/>
          <w:color w:val="242021"/>
          <w:sz w:val="20"/>
          <w:szCs w:val="20"/>
        </w:rPr>
        <w:br/>
      </w:r>
    </w:p>
    <w:p w14:paraId="2BCE86EA" w14:textId="298E47E7" w:rsidR="00530575" w:rsidRPr="003A55BF" w:rsidRDefault="00BC4475">
      <w:pPr>
        <w:rPr>
          <w:rFonts w:cstheme="minorHAnsi"/>
          <w:color w:val="242021"/>
          <w:sz w:val="20"/>
          <w:szCs w:val="20"/>
        </w:rPr>
      </w:pPr>
      <w:r w:rsidRPr="003A55BF">
        <w:rPr>
          <w:rFonts w:cstheme="minorHAnsi"/>
          <w:color w:val="242021"/>
          <w:sz w:val="20"/>
          <w:szCs w:val="20"/>
        </w:rPr>
        <w:t>Many of the principal barriers to implementation identified</w:t>
      </w:r>
      <w:r w:rsidR="00530575" w:rsidRPr="003A55BF">
        <w:rPr>
          <w:rFonts w:cstheme="minorHAnsi"/>
          <w:color w:val="242021"/>
          <w:sz w:val="20"/>
          <w:szCs w:val="20"/>
        </w:rPr>
        <w:t xml:space="preserve"> </w:t>
      </w:r>
      <w:r w:rsidRPr="003A55BF">
        <w:rPr>
          <w:rFonts w:cstheme="minorHAnsi"/>
          <w:color w:val="242021"/>
          <w:sz w:val="20"/>
          <w:szCs w:val="20"/>
        </w:rPr>
        <w:t>were consistent across the KPIs. The absence of an electronic</w:t>
      </w:r>
      <w:r w:rsidR="00530575" w:rsidRPr="003A55BF">
        <w:rPr>
          <w:rFonts w:cstheme="minorHAnsi"/>
          <w:color w:val="242021"/>
          <w:sz w:val="20"/>
          <w:szCs w:val="20"/>
        </w:rPr>
        <w:t xml:space="preserve"> </w:t>
      </w:r>
      <w:r w:rsidRPr="003A55BF">
        <w:rPr>
          <w:rFonts w:cstheme="minorHAnsi"/>
          <w:color w:val="242021"/>
          <w:sz w:val="20"/>
          <w:szCs w:val="20"/>
        </w:rPr>
        <w:t>patient record (EPR) in Ireland was highlighted repeatedly as</w:t>
      </w:r>
      <w:r w:rsidR="00530575" w:rsidRPr="003A55BF">
        <w:rPr>
          <w:rFonts w:cstheme="minorHAnsi"/>
          <w:color w:val="242021"/>
          <w:sz w:val="20"/>
          <w:szCs w:val="20"/>
        </w:rPr>
        <w:t xml:space="preserve"> </w:t>
      </w:r>
      <w:r w:rsidRPr="003A55BF">
        <w:rPr>
          <w:rFonts w:cstheme="minorHAnsi"/>
          <w:color w:val="242021"/>
          <w:sz w:val="20"/>
          <w:szCs w:val="20"/>
        </w:rPr>
        <w:t>a challenge in implementing the KPIs identified in this study. A</w:t>
      </w:r>
      <w:r w:rsidR="00530575" w:rsidRPr="003A55BF">
        <w:rPr>
          <w:rFonts w:cstheme="minorHAnsi"/>
          <w:color w:val="242021"/>
          <w:sz w:val="20"/>
          <w:szCs w:val="20"/>
        </w:rPr>
        <w:t xml:space="preserve"> </w:t>
      </w:r>
      <w:r w:rsidRPr="003A55BF">
        <w:rPr>
          <w:rFonts w:cstheme="minorHAnsi"/>
          <w:color w:val="242021"/>
          <w:sz w:val="20"/>
          <w:szCs w:val="20"/>
        </w:rPr>
        <w:t>new national cancer information system (NCIS) was under development at the time of the study. The findings of this study may</w:t>
      </w:r>
      <w:r w:rsidR="00530575" w:rsidRPr="003A55BF">
        <w:rPr>
          <w:rFonts w:cstheme="minorHAnsi"/>
          <w:color w:val="242021"/>
          <w:sz w:val="20"/>
          <w:szCs w:val="20"/>
        </w:rPr>
        <w:t xml:space="preserve"> </w:t>
      </w:r>
      <w:r w:rsidRPr="003A55BF">
        <w:rPr>
          <w:rFonts w:cstheme="minorHAnsi"/>
          <w:color w:val="242021"/>
          <w:sz w:val="20"/>
          <w:szCs w:val="20"/>
        </w:rPr>
        <w:t>inform the development of data sets for this system. Related</w:t>
      </w:r>
      <w:r w:rsidR="00530575" w:rsidRPr="003A55BF">
        <w:rPr>
          <w:rFonts w:cstheme="minorHAnsi"/>
          <w:color w:val="242021"/>
          <w:sz w:val="20"/>
          <w:szCs w:val="20"/>
        </w:rPr>
        <w:t xml:space="preserve"> </w:t>
      </w:r>
      <w:r w:rsidRPr="003A55BF">
        <w:rPr>
          <w:rFonts w:cstheme="minorHAnsi"/>
          <w:color w:val="242021"/>
          <w:sz w:val="20"/>
          <w:szCs w:val="20"/>
        </w:rPr>
        <w:t>to the lack of an EPR is the requirement for staffing to collect</w:t>
      </w:r>
      <w:r w:rsidR="00530575" w:rsidRPr="003A55BF">
        <w:rPr>
          <w:rFonts w:cstheme="minorHAnsi"/>
          <w:color w:val="242021"/>
          <w:sz w:val="20"/>
          <w:szCs w:val="20"/>
        </w:rPr>
        <w:t xml:space="preserve"> </w:t>
      </w:r>
      <w:r w:rsidRPr="003A55BF">
        <w:rPr>
          <w:rFonts w:cstheme="minorHAnsi"/>
          <w:color w:val="242021"/>
          <w:sz w:val="20"/>
          <w:szCs w:val="20"/>
        </w:rPr>
        <w:t>data manually, which was frequently identified by participants</w:t>
      </w:r>
      <w:r w:rsidR="00530575" w:rsidRPr="003A55BF">
        <w:rPr>
          <w:rFonts w:cstheme="minorHAnsi"/>
          <w:color w:val="242021"/>
          <w:sz w:val="20"/>
          <w:szCs w:val="20"/>
        </w:rPr>
        <w:t xml:space="preserve"> </w:t>
      </w:r>
      <w:r w:rsidRPr="003A55BF">
        <w:rPr>
          <w:rFonts w:cstheme="minorHAnsi"/>
          <w:color w:val="242021"/>
          <w:sz w:val="20"/>
          <w:szCs w:val="20"/>
        </w:rPr>
        <w:t>as a barrier to implementation of the KPIs. The SACT service in</w:t>
      </w:r>
      <w:r w:rsidR="00530575" w:rsidRPr="003A55BF">
        <w:rPr>
          <w:rFonts w:cstheme="minorHAnsi"/>
          <w:color w:val="242021"/>
          <w:sz w:val="20"/>
          <w:szCs w:val="20"/>
        </w:rPr>
        <w:t xml:space="preserve"> </w:t>
      </w:r>
      <w:r w:rsidRPr="003A55BF">
        <w:rPr>
          <w:rFonts w:cstheme="minorHAnsi"/>
          <w:color w:val="242021"/>
          <w:sz w:val="20"/>
          <w:szCs w:val="20"/>
        </w:rPr>
        <w:t>Ireland is chronically under-staffed and well below international</w:t>
      </w:r>
      <w:r w:rsidR="00530575" w:rsidRPr="003A55BF">
        <w:rPr>
          <w:rFonts w:cstheme="minorHAnsi"/>
          <w:color w:val="242021"/>
          <w:sz w:val="20"/>
          <w:szCs w:val="20"/>
        </w:rPr>
        <w:t xml:space="preserve"> </w:t>
      </w:r>
      <w:r w:rsidRPr="003A55BF">
        <w:rPr>
          <w:rFonts w:cstheme="minorHAnsi"/>
          <w:color w:val="242021"/>
          <w:sz w:val="20"/>
          <w:szCs w:val="20"/>
        </w:rPr>
        <w:t>benchmarks (NCCP, 2014). In many hospitals, there are no dedicated data managers for SACT, with busy nurses often being left</w:t>
      </w:r>
      <w:r w:rsidR="00530575" w:rsidRPr="003A55BF">
        <w:rPr>
          <w:rFonts w:cstheme="minorHAnsi"/>
          <w:color w:val="242021"/>
          <w:sz w:val="20"/>
          <w:szCs w:val="20"/>
        </w:rPr>
        <w:t xml:space="preserve"> </w:t>
      </w:r>
      <w:r w:rsidRPr="003A55BF">
        <w:rPr>
          <w:rFonts w:cstheme="minorHAnsi"/>
          <w:color w:val="242021"/>
          <w:sz w:val="20"/>
          <w:szCs w:val="20"/>
        </w:rPr>
        <w:t>to collect and collate data which are not a sustainable or appropriate solution. These barriers were reflective of the literature, which found that burden of time and the need for manual KPI data</w:t>
      </w:r>
      <w:r w:rsidR="00530575" w:rsidRPr="003A55BF">
        <w:rPr>
          <w:rFonts w:cstheme="minorHAnsi"/>
          <w:color w:val="242021"/>
          <w:sz w:val="20"/>
          <w:szCs w:val="20"/>
        </w:rPr>
        <w:t xml:space="preserve"> </w:t>
      </w:r>
      <w:r w:rsidRPr="003A55BF">
        <w:rPr>
          <w:rFonts w:cstheme="minorHAnsi"/>
          <w:color w:val="242021"/>
          <w:sz w:val="20"/>
          <w:szCs w:val="20"/>
        </w:rPr>
        <w:t>collection often makes measures unfeasible (</w:t>
      </w:r>
      <w:proofErr w:type="spellStart"/>
      <w:r w:rsidRPr="003A55BF">
        <w:rPr>
          <w:rFonts w:cstheme="minorHAnsi"/>
          <w:color w:val="242021"/>
          <w:sz w:val="20"/>
          <w:szCs w:val="20"/>
        </w:rPr>
        <w:t>Ketelaar</w:t>
      </w:r>
      <w:proofErr w:type="spellEnd"/>
      <w:r w:rsidRPr="003A55BF">
        <w:rPr>
          <w:rFonts w:cstheme="minorHAnsi"/>
          <w:color w:val="242021"/>
          <w:sz w:val="20"/>
          <w:szCs w:val="20"/>
        </w:rPr>
        <w:t>, Russell, &amp;</w:t>
      </w:r>
      <w:r w:rsidR="00530575" w:rsidRPr="003A55BF">
        <w:rPr>
          <w:rFonts w:cstheme="minorHAnsi"/>
          <w:color w:val="242021"/>
          <w:sz w:val="20"/>
          <w:szCs w:val="20"/>
        </w:rPr>
        <w:t xml:space="preserve"> </w:t>
      </w:r>
      <w:proofErr w:type="spellStart"/>
      <w:r w:rsidRPr="003A55BF">
        <w:rPr>
          <w:rFonts w:cstheme="minorHAnsi"/>
          <w:color w:val="242021"/>
          <w:sz w:val="20"/>
          <w:szCs w:val="20"/>
        </w:rPr>
        <w:t>Gorter</w:t>
      </w:r>
      <w:proofErr w:type="spellEnd"/>
      <w:r w:rsidRPr="003A55BF">
        <w:rPr>
          <w:rFonts w:cstheme="minorHAnsi"/>
          <w:color w:val="242021"/>
          <w:sz w:val="20"/>
          <w:szCs w:val="20"/>
        </w:rPr>
        <w:t>, 2008), as the process of data collection may out-weigh</w:t>
      </w:r>
      <w:r w:rsidR="00530575" w:rsidRPr="003A55BF">
        <w:rPr>
          <w:rFonts w:cstheme="minorHAnsi"/>
          <w:color w:val="242021"/>
          <w:sz w:val="20"/>
          <w:szCs w:val="20"/>
        </w:rPr>
        <w:t xml:space="preserve"> </w:t>
      </w:r>
      <w:r w:rsidRPr="003A55BF">
        <w:rPr>
          <w:rFonts w:cstheme="minorHAnsi"/>
          <w:color w:val="242021"/>
          <w:sz w:val="20"/>
          <w:szCs w:val="20"/>
        </w:rPr>
        <w:t xml:space="preserve">the value of the information obtained (Jones, Gannon, </w:t>
      </w:r>
      <w:proofErr w:type="spellStart"/>
      <w:r w:rsidRPr="003A55BF">
        <w:rPr>
          <w:rFonts w:cstheme="minorHAnsi"/>
          <w:color w:val="242021"/>
          <w:sz w:val="20"/>
          <w:szCs w:val="20"/>
        </w:rPr>
        <w:t>Wakai</w:t>
      </w:r>
      <w:proofErr w:type="spellEnd"/>
      <w:r w:rsidRPr="003A55BF">
        <w:rPr>
          <w:rFonts w:cstheme="minorHAnsi"/>
          <w:color w:val="242021"/>
          <w:sz w:val="20"/>
          <w:szCs w:val="20"/>
        </w:rPr>
        <w:t>, &amp;</w:t>
      </w:r>
      <w:r w:rsidRPr="003A55BF">
        <w:rPr>
          <w:rFonts w:cstheme="minorHAnsi"/>
          <w:color w:val="242021"/>
          <w:sz w:val="20"/>
          <w:szCs w:val="20"/>
        </w:rPr>
        <w:br/>
        <w:t xml:space="preserve">O’Sullivan, 2015). Responses from participants also often identified the accurate recording of deaths, </w:t>
      </w:r>
      <w:r w:rsidR="00530575" w:rsidRPr="003A55BF">
        <w:rPr>
          <w:rFonts w:cstheme="minorHAnsi"/>
          <w:color w:val="242021"/>
          <w:sz w:val="20"/>
          <w:szCs w:val="20"/>
        </w:rPr>
        <w:t>p</w:t>
      </w:r>
      <w:r w:rsidRPr="003A55BF">
        <w:rPr>
          <w:rFonts w:cstheme="minorHAnsi"/>
          <w:color w:val="242021"/>
          <w:sz w:val="20"/>
          <w:szCs w:val="20"/>
        </w:rPr>
        <w:t>articularly outside hospital</w:t>
      </w:r>
      <w:r w:rsidR="00530575" w:rsidRPr="003A55BF">
        <w:rPr>
          <w:rFonts w:cstheme="minorHAnsi"/>
          <w:color w:val="242021"/>
          <w:sz w:val="20"/>
          <w:szCs w:val="20"/>
        </w:rPr>
        <w:t xml:space="preserve"> </w:t>
      </w:r>
      <w:r w:rsidRPr="003A55BF">
        <w:rPr>
          <w:rFonts w:cstheme="minorHAnsi"/>
          <w:color w:val="242021"/>
          <w:sz w:val="20"/>
          <w:szCs w:val="20"/>
        </w:rPr>
        <w:t>and the matching/linkage of data as a barrier to collection of KPI</w:t>
      </w:r>
      <w:r w:rsidR="00530575" w:rsidRPr="003A55BF">
        <w:rPr>
          <w:rFonts w:cstheme="minorHAnsi"/>
          <w:color w:val="242021"/>
          <w:sz w:val="20"/>
          <w:szCs w:val="20"/>
        </w:rPr>
        <w:t xml:space="preserve"> </w:t>
      </w:r>
      <w:r w:rsidRPr="003A55BF">
        <w:rPr>
          <w:rFonts w:cstheme="minorHAnsi"/>
          <w:color w:val="242021"/>
          <w:sz w:val="20"/>
          <w:szCs w:val="20"/>
        </w:rPr>
        <w:t>data. Currently in Ireland, it is very difficult to link existing databases for secondary analysis. The Health Research Board highlighted the importance of appropriate data linkage for health and</w:t>
      </w:r>
      <w:r w:rsidR="00530575" w:rsidRPr="003A55BF">
        <w:rPr>
          <w:rFonts w:cstheme="minorHAnsi"/>
          <w:color w:val="242021"/>
          <w:sz w:val="20"/>
          <w:szCs w:val="20"/>
        </w:rPr>
        <w:t xml:space="preserve"> </w:t>
      </w:r>
      <w:r w:rsidRPr="003A55BF">
        <w:rPr>
          <w:rFonts w:cstheme="minorHAnsi"/>
          <w:color w:val="242021"/>
          <w:sz w:val="20"/>
          <w:szCs w:val="20"/>
        </w:rPr>
        <w:t>related research (Moran, 2016) and legislation, which was specifically mentioned in participant comments as a possible facilitator</w:t>
      </w:r>
      <w:r w:rsidR="00530575" w:rsidRPr="003A55BF">
        <w:rPr>
          <w:rFonts w:cstheme="minorHAnsi"/>
          <w:color w:val="242021"/>
          <w:sz w:val="20"/>
          <w:szCs w:val="20"/>
        </w:rPr>
        <w:t xml:space="preserve"> </w:t>
      </w:r>
      <w:r w:rsidRPr="003A55BF">
        <w:rPr>
          <w:rFonts w:cstheme="minorHAnsi"/>
          <w:color w:val="242021"/>
          <w:sz w:val="20"/>
          <w:szCs w:val="20"/>
        </w:rPr>
        <w:t>to this issues, was under development at the time of the study</w:t>
      </w:r>
      <w:r w:rsidR="00530575" w:rsidRPr="003A55BF">
        <w:rPr>
          <w:rFonts w:cstheme="minorHAnsi"/>
          <w:color w:val="242021"/>
          <w:sz w:val="20"/>
          <w:szCs w:val="20"/>
        </w:rPr>
        <w:t xml:space="preserve"> </w:t>
      </w:r>
      <w:r w:rsidRPr="003A55BF">
        <w:rPr>
          <w:rFonts w:cstheme="minorHAnsi"/>
          <w:color w:val="242021"/>
          <w:sz w:val="20"/>
          <w:szCs w:val="20"/>
        </w:rPr>
        <w:t>(Department of Health, 2015).</w:t>
      </w:r>
      <w:r w:rsidRPr="003A55BF">
        <w:rPr>
          <w:rFonts w:cstheme="minorHAnsi"/>
          <w:color w:val="242021"/>
          <w:sz w:val="20"/>
          <w:szCs w:val="20"/>
        </w:rPr>
        <w:br/>
      </w:r>
    </w:p>
    <w:p w14:paraId="074A528A" w14:textId="77777777" w:rsidR="00530575" w:rsidRPr="003A55BF" w:rsidRDefault="00BC4475">
      <w:pPr>
        <w:rPr>
          <w:rFonts w:cstheme="minorHAnsi"/>
          <w:color w:val="242021"/>
          <w:sz w:val="20"/>
          <w:szCs w:val="20"/>
        </w:rPr>
      </w:pPr>
      <w:r w:rsidRPr="003A55BF">
        <w:rPr>
          <w:rFonts w:cstheme="minorHAnsi"/>
          <w:color w:val="242021"/>
          <w:sz w:val="20"/>
          <w:szCs w:val="20"/>
        </w:rPr>
        <w:t>Table 3 lists the nine KPIs which emerged from the study, along</w:t>
      </w:r>
      <w:r w:rsidR="00530575" w:rsidRPr="003A55BF">
        <w:rPr>
          <w:rFonts w:cstheme="minorHAnsi"/>
          <w:color w:val="242021"/>
          <w:sz w:val="20"/>
          <w:szCs w:val="20"/>
        </w:rPr>
        <w:t xml:space="preserve"> </w:t>
      </w:r>
      <w:r w:rsidRPr="003A55BF">
        <w:rPr>
          <w:rFonts w:cstheme="minorHAnsi"/>
          <w:color w:val="242021"/>
          <w:sz w:val="20"/>
          <w:szCs w:val="20"/>
        </w:rPr>
        <w:t>with the rationale and potential benefits of the collection of these</w:t>
      </w:r>
      <w:r w:rsidR="00530575" w:rsidRPr="003A55BF">
        <w:rPr>
          <w:rFonts w:cstheme="minorHAnsi"/>
          <w:color w:val="242021"/>
          <w:sz w:val="20"/>
          <w:szCs w:val="20"/>
        </w:rPr>
        <w:t xml:space="preserve"> </w:t>
      </w:r>
      <w:r w:rsidRPr="003A55BF">
        <w:rPr>
          <w:rFonts w:cstheme="minorHAnsi"/>
          <w:color w:val="242021"/>
          <w:sz w:val="20"/>
          <w:szCs w:val="20"/>
        </w:rPr>
        <w:t>data.</w:t>
      </w:r>
      <w:r w:rsidRPr="003A55BF">
        <w:rPr>
          <w:rFonts w:cstheme="minorHAnsi"/>
          <w:color w:val="242021"/>
          <w:sz w:val="20"/>
          <w:szCs w:val="20"/>
        </w:rPr>
        <w:br/>
      </w:r>
    </w:p>
    <w:p w14:paraId="73D4A137" w14:textId="4632DF6D" w:rsidR="00BC4475" w:rsidRPr="003A55BF" w:rsidRDefault="00BC4475">
      <w:pPr>
        <w:rPr>
          <w:rFonts w:cstheme="minorHAnsi"/>
          <w:color w:val="242021"/>
          <w:sz w:val="20"/>
          <w:szCs w:val="20"/>
        </w:rPr>
      </w:pPr>
      <w:r w:rsidRPr="003A55BF">
        <w:rPr>
          <w:rFonts w:cstheme="minorHAnsi"/>
          <w:color w:val="242021"/>
          <w:sz w:val="20"/>
          <w:szCs w:val="20"/>
        </w:rPr>
        <w:t>This study had several limitations. Despite the response to the</w:t>
      </w:r>
      <w:r w:rsidR="00530575" w:rsidRPr="003A55BF">
        <w:rPr>
          <w:rFonts w:cstheme="minorHAnsi"/>
          <w:color w:val="242021"/>
          <w:sz w:val="20"/>
          <w:szCs w:val="20"/>
        </w:rPr>
        <w:t xml:space="preserve"> </w:t>
      </w:r>
      <w:r w:rsidRPr="003A55BF">
        <w:rPr>
          <w:rFonts w:cstheme="minorHAnsi"/>
          <w:color w:val="242021"/>
          <w:sz w:val="20"/>
          <w:szCs w:val="20"/>
        </w:rPr>
        <w:t>invitation to participate in the study being relatively low, those who</w:t>
      </w:r>
      <w:r w:rsidR="00530575" w:rsidRPr="003A55BF">
        <w:rPr>
          <w:rFonts w:cstheme="minorHAnsi"/>
          <w:color w:val="242021"/>
          <w:sz w:val="20"/>
          <w:szCs w:val="20"/>
        </w:rPr>
        <w:t xml:space="preserve"> </w:t>
      </w:r>
      <w:r w:rsidRPr="003A55BF">
        <w:rPr>
          <w:rFonts w:cstheme="minorHAnsi"/>
          <w:color w:val="242021"/>
          <w:sz w:val="20"/>
          <w:szCs w:val="20"/>
        </w:rPr>
        <w:t>did participate represented a range of stakeholders. This was a particular strength of this study and may have helped address any bias</w:t>
      </w:r>
      <w:r w:rsidR="00530575" w:rsidRPr="003A55BF">
        <w:rPr>
          <w:rFonts w:cstheme="minorHAnsi"/>
          <w:color w:val="242021"/>
          <w:sz w:val="20"/>
          <w:szCs w:val="20"/>
        </w:rPr>
        <w:t xml:space="preserve"> </w:t>
      </w:r>
      <w:r w:rsidRPr="003A55BF">
        <w:rPr>
          <w:rFonts w:cstheme="minorHAnsi"/>
          <w:color w:val="242021"/>
          <w:sz w:val="20"/>
          <w:szCs w:val="20"/>
        </w:rPr>
        <w:t>arising from the poor response. However, the selection of participants may have been biased by the requirement for membership of</w:t>
      </w:r>
      <w:r w:rsidR="00530575" w:rsidRPr="003A55BF">
        <w:rPr>
          <w:rFonts w:cstheme="minorHAnsi"/>
          <w:color w:val="242021"/>
          <w:sz w:val="20"/>
          <w:szCs w:val="20"/>
        </w:rPr>
        <w:t xml:space="preserve"> </w:t>
      </w:r>
      <w:r w:rsidRPr="003A55BF">
        <w:rPr>
          <w:rFonts w:cstheme="minorHAnsi"/>
          <w:color w:val="242021"/>
          <w:sz w:val="20"/>
          <w:szCs w:val="20"/>
        </w:rPr>
        <w:t>existing NCCP groups. The large number of KPIs generated in the</w:t>
      </w:r>
      <w:r w:rsidR="00530575" w:rsidRPr="003A55BF">
        <w:rPr>
          <w:rFonts w:cstheme="minorHAnsi"/>
          <w:color w:val="242021"/>
          <w:sz w:val="20"/>
          <w:szCs w:val="20"/>
        </w:rPr>
        <w:t xml:space="preserve"> </w:t>
      </w:r>
      <w:r w:rsidRPr="003A55BF">
        <w:rPr>
          <w:rFonts w:cstheme="minorHAnsi"/>
          <w:color w:val="242021"/>
          <w:sz w:val="20"/>
          <w:szCs w:val="20"/>
        </w:rPr>
        <w:t>early rounds of the study required significant effort by participants</w:t>
      </w:r>
      <w:r w:rsidRPr="003A55BF">
        <w:rPr>
          <w:rFonts w:cstheme="minorHAnsi"/>
          <w:color w:val="242021"/>
          <w:sz w:val="20"/>
          <w:szCs w:val="20"/>
        </w:rPr>
        <w:br/>
        <w:t>to maintain their involvement. The response rates to each round of</w:t>
      </w:r>
      <w:r w:rsidR="00530575" w:rsidRPr="003A55BF">
        <w:rPr>
          <w:rFonts w:cstheme="minorHAnsi"/>
          <w:color w:val="242021"/>
          <w:sz w:val="20"/>
          <w:szCs w:val="20"/>
        </w:rPr>
        <w:t xml:space="preserve"> </w:t>
      </w:r>
      <w:r w:rsidRPr="003A55BF">
        <w:rPr>
          <w:rFonts w:cstheme="minorHAnsi"/>
          <w:color w:val="242021"/>
          <w:sz w:val="20"/>
          <w:szCs w:val="20"/>
        </w:rPr>
        <w:t>the Delphi were good. A face-to-face meeting at the end of the process, as used in other Delphi studies (McNair et al., 2016), may have</w:t>
      </w:r>
      <w:r w:rsidR="00530575" w:rsidRPr="003A55BF">
        <w:rPr>
          <w:rFonts w:cstheme="minorHAnsi"/>
          <w:color w:val="242021"/>
          <w:sz w:val="20"/>
          <w:szCs w:val="20"/>
        </w:rPr>
        <w:t xml:space="preserve"> </w:t>
      </w:r>
      <w:r w:rsidRPr="003A55BF">
        <w:rPr>
          <w:rFonts w:cstheme="minorHAnsi"/>
          <w:color w:val="242021"/>
          <w:sz w:val="20"/>
          <w:szCs w:val="20"/>
        </w:rPr>
        <w:t>allowed participants' comments and suggestions to be interrogated</w:t>
      </w:r>
      <w:r w:rsidR="00530575" w:rsidRPr="003A55BF">
        <w:rPr>
          <w:rFonts w:cstheme="minorHAnsi"/>
          <w:color w:val="242021"/>
          <w:sz w:val="20"/>
          <w:szCs w:val="20"/>
        </w:rPr>
        <w:t xml:space="preserve"> </w:t>
      </w:r>
      <w:r w:rsidRPr="003A55BF">
        <w:rPr>
          <w:rFonts w:cstheme="minorHAnsi"/>
          <w:color w:val="242021"/>
          <w:sz w:val="20"/>
          <w:szCs w:val="20"/>
        </w:rPr>
        <w:t>and to develop the final consensus. However, this was not feasible</w:t>
      </w:r>
      <w:r w:rsidR="00530575" w:rsidRPr="003A55BF">
        <w:rPr>
          <w:rFonts w:cstheme="minorHAnsi"/>
          <w:color w:val="242021"/>
          <w:sz w:val="20"/>
          <w:szCs w:val="20"/>
        </w:rPr>
        <w:t xml:space="preserve"> </w:t>
      </w:r>
      <w:r w:rsidRPr="003A55BF">
        <w:rPr>
          <w:rFonts w:cstheme="minorHAnsi"/>
          <w:color w:val="242021"/>
          <w:sz w:val="20"/>
          <w:szCs w:val="20"/>
        </w:rPr>
        <w:t xml:space="preserve">within the timeframe for the study. </w:t>
      </w:r>
    </w:p>
    <w:p w14:paraId="1C24F97C" w14:textId="5F8466DF" w:rsidR="00BC4475" w:rsidRPr="003A55BF" w:rsidRDefault="00BC4475">
      <w:pPr>
        <w:rPr>
          <w:rFonts w:cstheme="minorHAnsi"/>
          <w:color w:val="242021"/>
          <w:sz w:val="20"/>
          <w:szCs w:val="20"/>
        </w:rPr>
      </w:pPr>
      <w:r w:rsidRPr="003A55BF">
        <w:rPr>
          <w:rFonts w:cstheme="minorHAnsi"/>
          <w:color w:val="242021"/>
          <w:sz w:val="20"/>
          <w:szCs w:val="20"/>
        </w:rPr>
        <w:t>This study provides a comprehensive basis for the identification</w:t>
      </w:r>
      <w:r w:rsidR="00530575" w:rsidRPr="003A55BF">
        <w:rPr>
          <w:rFonts w:cstheme="minorHAnsi"/>
          <w:color w:val="242021"/>
          <w:sz w:val="20"/>
          <w:szCs w:val="20"/>
        </w:rPr>
        <w:t xml:space="preserve"> </w:t>
      </w:r>
      <w:r w:rsidRPr="003A55BF">
        <w:rPr>
          <w:rFonts w:cstheme="minorHAnsi"/>
          <w:color w:val="242021"/>
          <w:sz w:val="20"/>
          <w:szCs w:val="20"/>
        </w:rPr>
        <w:t>and development of KPIs for SACT services which will help to inform the development and implementation of an outcomes-focused</w:t>
      </w:r>
      <w:r w:rsidR="00530575" w:rsidRPr="003A55BF">
        <w:rPr>
          <w:rFonts w:cstheme="minorHAnsi"/>
          <w:color w:val="242021"/>
          <w:sz w:val="20"/>
          <w:szCs w:val="20"/>
        </w:rPr>
        <w:t xml:space="preserve"> </w:t>
      </w:r>
      <w:r w:rsidRPr="003A55BF">
        <w:rPr>
          <w:rFonts w:cstheme="minorHAnsi"/>
          <w:color w:val="242021"/>
          <w:sz w:val="20"/>
          <w:szCs w:val="20"/>
        </w:rPr>
        <w:t>performance measurement framework for SACT services. Ultimately,</w:t>
      </w:r>
      <w:r w:rsidR="00530575" w:rsidRPr="003A55BF">
        <w:rPr>
          <w:rFonts w:cstheme="minorHAnsi"/>
          <w:color w:val="242021"/>
          <w:sz w:val="20"/>
          <w:szCs w:val="20"/>
        </w:rPr>
        <w:t xml:space="preserve"> </w:t>
      </w:r>
      <w:r w:rsidRPr="003A55BF">
        <w:rPr>
          <w:rFonts w:cstheme="minorHAnsi"/>
          <w:color w:val="242021"/>
          <w:sz w:val="20"/>
          <w:szCs w:val="20"/>
        </w:rPr>
        <w:t>any data collected must lead to action that will improve care. KPIs</w:t>
      </w:r>
      <w:r w:rsidR="00530575" w:rsidRPr="003A55BF">
        <w:rPr>
          <w:rFonts w:cstheme="minorHAnsi"/>
          <w:color w:val="242021"/>
          <w:sz w:val="20"/>
          <w:szCs w:val="20"/>
        </w:rPr>
        <w:t xml:space="preserve"> </w:t>
      </w:r>
      <w:r w:rsidRPr="003A55BF">
        <w:rPr>
          <w:rFonts w:cstheme="minorHAnsi"/>
          <w:color w:val="242021"/>
          <w:sz w:val="20"/>
          <w:szCs w:val="20"/>
        </w:rPr>
        <w:t>are not, in themselves, measures of poor performance (Campbell et al., 2000), or a method of changing behaviour; rather they are a</w:t>
      </w:r>
      <w:r w:rsidR="00530575" w:rsidRPr="003A55BF">
        <w:rPr>
          <w:rFonts w:cstheme="minorHAnsi"/>
          <w:color w:val="242021"/>
          <w:sz w:val="20"/>
          <w:szCs w:val="20"/>
        </w:rPr>
        <w:t xml:space="preserve"> </w:t>
      </w:r>
      <w:r w:rsidRPr="003A55BF">
        <w:rPr>
          <w:rFonts w:cstheme="minorHAnsi"/>
          <w:color w:val="242021"/>
          <w:sz w:val="20"/>
          <w:szCs w:val="20"/>
        </w:rPr>
        <w:t>signal of the need for further investigation and action. Further studies are needed to provide an in-depth analysis of the barriers and</w:t>
      </w:r>
      <w:r w:rsidR="00530575" w:rsidRPr="003A55BF">
        <w:rPr>
          <w:rFonts w:cstheme="minorHAnsi"/>
          <w:color w:val="242021"/>
          <w:sz w:val="20"/>
          <w:szCs w:val="20"/>
        </w:rPr>
        <w:t xml:space="preserve"> </w:t>
      </w:r>
      <w:r w:rsidRPr="003A55BF">
        <w:rPr>
          <w:rFonts w:cstheme="minorHAnsi"/>
          <w:color w:val="242021"/>
          <w:sz w:val="20"/>
          <w:szCs w:val="20"/>
        </w:rPr>
        <w:t>facilitators to implementation, the feasibility of implementation and</w:t>
      </w:r>
      <w:r w:rsidR="00530575" w:rsidRPr="003A55BF">
        <w:rPr>
          <w:rFonts w:cstheme="minorHAnsi"/>
          <w:color w:val="242021"/>
          <w:sz w:val="20"/>
          <w:szCs w:val="20"/>
        </w:rPr>
        <w:t xml:space="preserve"> </w:t>
      </w:r>
      <w:r w:rsidRPr="003A55BF">
        <w:rPr>
          <w:rFonts w:cstheme="minorHAnsi"/>
          <w:color w:val="242021"/>
          <w:sz w:val="20"/>
          <w:szCs w:val="20"/>
        </w:rPr>
        <w:t>to determine the optimal methods of collecting these data in a real-world setting</w:t>
      </w:r>
    </w:p>
    <w:p w14:paraId="0A6F3627" w14:textId="1CAEE20F" w:rsidR="00BC4475" w:rsidRPr="003A55BF" w:rsidRDefault="00BC4475">
      <w:pPr>
        <w:rPr>
          <w:rFonts w:cstheme="minorHAnsi"/>
          <w:color w:val="242021"/>
          <w:sz w:val="20"/>
          <w:szCs w:val="20"/>
        </w:rPr>
      </w:pPr>
    </w:p>
    <w:p w14:paraId="5656867B" w14:textId="77777777" w:rsidR="00530575" w:rsidRPr="003A55BF" w:rsidRDefault="00530575">
      <w:pPr>
        <w:rPr>
          <w:rFonts w:cstheme="minorHAnsi"/>
          <w:b/>
          <w:bCs/>
          <w:color w:val="242021"/>
          <w:sz w:val="20"/>
          <w:szCs w:val="20"/>
        </w:rPr>
      </w:pPr>
    </w:p>
    <w:p w14:paraId="4F8E5BCA" w14:textId="2364351E" w:rsidR="00530575" w:rsidRPr="003A55BF" w:rsidRDefault="00530575">
      <w:pPr>
        <w:rPr>
          <w:rFonts w:cstheme="minorHAnsi"/>
          <w:b/>
          <w:bCs/>
          <w:color w:val="242021"/>
          <w:sz w:val="20"/>
          <w:szCs w:val="20"/>
        </w:rPr>
      </w:pPr>
      <w:r w:rsidRPr="003A55BF">
        <w:rPr>
          <w:rFonts w:cstheme="minorHAnsi"/>
          <w:b/>
          <w:bCs/>
          <w:color w:val="242021"/>
          <w:sz w:val="20"/>
          <w:szCs w:val="20"/>
        </w:rPr>
        <w:lastRenderedPageBreak/>
        <w:t>References</w:t>
      </w:r>
    </w:p>
    <w:p w14:paraId="3FA67D5E" w14:textId="77777777" w:rsidR="00530575" w:rsidRPr="003A55BF" w:rsidRDefault="00BC4475">
      <w:pPr>
        <w:rPr>
          <w:rFonts w:cstheme="minorHAnsi"/>
          <w:color w:val="242021"/>
          <w:sz w:val="20"/>
          <w:szCs w:val="20"/>
        </w:rPr>
      </w:pPr>
      <w:r w:rsidRPr="003A55BF">
        <w:rPr>
          <w:rFonts w:cstheme="minorHAnsi"/>
          <w:color w:val="242021"/>
          <w:sz w:val="20"/>
          <w:szCs w:val="20"/>
        </w:rPr>
        <w:t xml:space="preserve">Akins, R. B., </w:t>
      </w:r>
      <w:proofErr w:type="spellStart"/>
      <w:r w:rsidRPr="003A55BF">
        <w:rPr>
          <w:rFonts w:cstheme="minorHAnsi"/>
          <w:color w:val="242021"/>
          <w:sz w:val="20"/>
          <w:szCs w:val="20"/>
        </w:rPr>
        <w:t>Tolson</w:t>
      </w:r>
      <w:proofErr w:type="spellEnd"/>
      <w:r w:rsidRPr="003A55BF">
        <w:rPr>
          <w:rFonts w:cstheme="minorHAnsi"/>
          <w:color w:val="242021"/>
          <w:sz w:val="20"/>
          <w:szCs w:val="20"/>
        </w:rPr>
        <w:t xml:space="preserve">, H., &amp; Cole, B. R. (2005). Stability of response characteristics of a Delphi panel: Application of bootstrap data expansion. </w:t>
      </w:r>
      <w:r w:rsidRPr="003A55BF">
        <w:rPr>
          <w:rFonts w:cstheme="minorHAnsi"/>
          <w:i/>
          <w:iCs/>
          <w:color w:val="242021"/>
          <w:sz w:val="20"/>
          <w:szCs w:val="20"/>
        </w:rPr>
        <w:t>BMC Medical Research Methodology</w:t>
      </w:r>
      <w:r w:rsidRPr="003A55BF">
        <w:rPr>
          <w:rFonts w:cstheme="minorHAnsi"/>
          <w:color w:val="242021"/>
          <w:sz w:val="20"/>
          <w:szCs w:val="20"/>
        </w:rPr>
        <w:t xml:space="preserve">, </w:t>
      </w:r>
      <w:r w:rsidRPr="003A55BF">
        <w:rPr>
          <w:rFonts w:cstheme="minorHAnsi"/>
          <w:i/>
          <w:iCs/>
          <w:color w:val="242021"/>
          <w:sz w:val="20"/>
          <w:szCs w:val="20"/>
        </w:rPr>
        <w:t>5</w:t>
      </w:r>
      <w:r w:rsidRPr="003A55BF">
        <w:rPr>
          <w:rFonts w:cstheme="minorHAnsi"/>
          <w:color w:val="242021"/>
          <w:sz w:val="20"/>
          <w:szCs w:val="20"/>
        </w:rPr>
        <w:t>, 37–12. https://doi.</w:t>
      </w:r>
      <w:r w:rsidRPr="003A55BF">
        <w:rPr>
          <w:rFonts w:cstheme="minorHAnsi"/>
          <w:color w:val="242021"/>
          <w:sz w:val="20"/>
          <w:szCs w:val="20"/>
        </w:rPr>
        <w:br/>
        <w:t>org/10.1186/1471-2288-5-37</w:t>
      </w:r>
    </w:p>
    <w:p w14:paraId="6FDF07B2" w14:textId="35F5FA0A" w:rsidR="00530575" w:rsidRPr="003A55BF" w:rsidRDefault="00BC4475">
      <w:pPr>
        <w:rPr>
          <w:rFonts w:cstheme="minorHAnsi"/>
          <w:color w:val="242021"/>
          <w:sz w:val="20"/>
          <w:szCs w:val="20"/>
        </w:rPr>
      </w:pPr>
      <w:r w:rsidRPr="003A55BF">
        <w:rPr>
          <w:rFonts w:cstheme="minorHAnsi"/>
          <w:color w:val="242021"/>
          <w:sz w:val="20"/>
          <w:szCs w:val="20"/>
        </w:rPr>
        <w:br/>
        <w:t xml:space="preserve">Alberti, P., Rossi, E., </w:t>
      </w:r>
      <w:proofErr w:type="spellStart"/>
      <w:r w:rsidRPr="003A55BF">
        <w:rPr>
          <w:rFonts w:cstheme="minorHAnsi"/>
          <w:color w:val="242021"/>
          <w:sz w:val="20"/>
          <w:szCs w:val="20"/>
        </w:rPr>
        <w:t>Cornblath</w:t>
      </w:r>
      <w:proofErr w:type="spellEnd"/>
      <w:r w:rsidRPr="003A55BF">
        <w:rPr>
          <w:rFonts w:cstheme="minorHAnsi"/>
          <w:color w:val="242021"/>
          <w:sz w:val="20"/>
          <w:szCs w:val="20"/>
        </w:rPr>
        <w:t xml:space="preserve">, D. R., </w:t>
      </w:r>
      <w:proofErr w:type="spellStart"/>
      <w:r w:rsidRPr="003A55BF">
        <w:rPr>
          <w:rFonts w:cstheme="minorHAnsi"/>
          <w:color w:val="242021"/>
          <w:sz w:val="20"/>
          <w:szCs w:val="20"/>
        </w:rPr>
        <w:t>Merkies</w:t>
      </w:r>
      <w:proofErr w:type="spellEnd"/>
      <w:r w:rsidRPr="003A55BF">
        <w:rPr>
          <w:rFonts w:cstheme="minorHAnsi"/>
          <w:color w:val="242021"/>
          <w:sz w:val="20"/>
          <w:szCs w:val="20"/>
        </w:rPr>
        <w:t>, I. S., Postma, T. J.,</w:t>
      </w:r>
      <w:r w:rsidR="00530575" w:rsidRPr="003A55BF">
        <w:rPr>
          <w:rFonts w:cstheme="minorHAnsi"/>
          <w:color w:val="242021"/>
          <w:sz w:val="20"/>
          <w:szCs w:val="20"/>
        </w:rPr>
        <w:t xml:space="preserve"> </w:t>
      </w:r>
      <w:proofErr w:type="spellStart"/>
      <w:r w:rsidRPr="003A55BF">
        <w:rPr>
          <w:rFonts w:cstheme="minorHAnsi"/>
          <w:color w:val="242021"/>
          <w:sz w:val="20"/>
          <w:szCs w:val="20"/>
        </w:rPr>
        <w:t>Frigeni</w:t>
      </w:r>
      <w:proofErr w:type="spellEnd"/>
      <w:r w:rsidRPr="003A55BF">
        <w:rPr>
          <w:rFonts w:cstheme="minorHAnsi"/>
          <w:color w:val="242021"/>
          <w:sz w:val="20"/>
          <w:szCs w:val="20"/>
        </w:rPr>
        <w:t>, B., … CI-</w:t>
      </w:r>
      <w:proofErr w:type="spellStart"/>
      <w:r w:rsidRPr="003A55BF">
        <w:rPr>
          <w:rFonts w:cstheme="minorHAnsi"/>
          <w:color w:val="242021"/>
          <w:sz w:val="20"/>
          <w:szCs w:val="20"/>
        </w:rPr>
        <w:t>PeriNomS</w:t>
      </w:r>
      <w:proofErr w:type="spellEnd"/>
      <w:r w:rsidRPr="003A55BF">
        <w:rPr>
          <w:rFonts w:cstheme="minorHAnsi"/>
          <w:color w:val="242021"/>
          <w:sz w:val="20"/>
          <w:szCs w:val="20"/>
        </w:rPr>
        <w:t xml:space="preserve"> Group (2014). Physician-assessed and</w:t>
      </w:r>
      <w:r w:rsidR="00530575" w:rsidRPr="003A55BF">
        <w:rPr>
          <w:rFonts w:cstheme="minorHAnsi"/>
          <w:color w:val="242021"/>
          <w:sz w:val="20"/>
          <w:szCs w:val="20"/>
        </w:rPr>
        <w:t xml:space="preserve"> </w:t>
      </w:r>
      <w:r w:rsidRPr="003A55BF">
        <w:rPr>
          <w:rFonts w:cstheme="minorHAnsi"/>
          <w:color w:val="242021"/>
          <w:sz w:val="20"/>
          <w:szCs w:val="20"/>
        </w:rPr>
        <w:t>patient-reported outcome measures in chemotherapy-induced</w:t>
      </w:r>
      <w:r w:rsidR="00530575" w:rsidRPr="003A55BF">
        <w:rPr>
          <w:rFonts w:cstheme="minorHAnsi"/>
          <w:color w:val="242021"/>
          <w:sz w:val="20"/>
          <w:szCs w:val="20"/>
        </w:rPr>
        <w:t xml:space="preserve"> </w:t>
      </w:r>
      <w:r w:rsidRPr="003A55BF">
        <w:rPr>
          <w:rFonts w:cstheme="minorHAnsi"/>
          <w:color w:val="242021"/>
          <w:sz w:val="20"/>
          <w:szCs w:val="20"/>
        </w:rPr>
        <w:t>sensory peripheral neurotoxicity: Two sides of the same coin.</w:t>
      </w:r>
      <w:r w:rsidR="00530575" w:rsidRPr="003A55BF">
        <w:rPr>
          <w:rFonts w:cstheme="minorHAnsi"/>
          <w:color w:val="242021"/>
          <w:sz w:val="20"/>
          <w:szCs w:val="20"/>
        </w:rPr>
        <w:t xml:space="preserve"> </w:t>
      </w:r>
      <w:r w:rsidRPr="003A55BF">
        <w:rPr>
          <w:rFonts w:cstheme="minorHAnsi"/>
          <w:i/>
          <w:iCs/>
          <w:color w:val="242021"/>
          <w:sz w:val="20"/>
          <w:szCs w:val="20"/>
        </w:rPr>
        <w:t>Annals of Oncology</w:t>
      </w:r>
      <w:r w:rsidRPr="003A55BF">
        <w:rPr>
          <w:rFonts w:cstheme="minorHAnsi"/>
          <w:color w:val="242021"/>
          <w:sz w:val="20"/>
          <w:szCs w:val="20"/>
        </w:rPr>
        <w:t xml:space="preserve">, </w:t>
      </w:r>
      <w:r w:rsidRPr="003A55BF">
        <w:rPr>
          <w:rFonts w:cstheme="minorHAnsi"/>
          <w:i/>
          <w:iCs/>
          <w:color w:val="242021"/>
          <w:sz w:val="20"/>
          <w:szCs w:val="20"/>
        </w:rPr>
        <w:t>25</w:t>
      </w:r>
      <w:r w:rsidRPr="003A55BF">
        <w:rPr>
          <w:rFonts w:cstheme="minorHAnsi"/>
          <w:color w:val="242021"/>
          <w:sz w:val="20"/>
          <w:szCs w:val="20"/>
        </w:rPr>
        <w:t xml:space="preserve">(1), 257–264. </w:t>
      </w:r>
    </w:p>
    <w:p w14:paraId="3CDD8252" w14:textId="3886240E" w:rsidR="0053057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Biagi</w:t>
      </w:r>
      <w:proofErr w:type="spellEnd"/>
      <w:r w:rsidRPr="003A55BF">
        <w:rPr>
          <w:rFonts w:cstheme="minorHAnsi"/>
          <w:color w:val="242021"/>
          <w:sz w:val="20"/>
          <w:szCs w:val="20"/>
        </w:rPr>
        <w:t>, J. J., Raphael, M. J., Mackillop, W. J., Kong, W., King, W. D., &amp; Booth,</w:t>
      </w:r>
      <w:r w:rsidR="00530575" w:rsidRPr="003A55BF">
        <w:rPr>
          <w:rFonts w:cstheme="minorHAnsi"/>
          <w:color w:val="242021"/>
          <w:sz w:val="20"/>
          <w:szCs w:val="20"/>
        </w:rPr>
        <w:t xml:space="preserve"> </w:t>
      </w:r>
      <w:r w:rsidRPr="003A55BF">
        <w:rPr>
          <w:rFonts w:cstheme="minorHAnsi"/>
          <w:color w:val="242021"/>
          <w:sz w:val="20"/>
          <w:szCs w:val="20"/>
        </w:rPr>
        <w:t xml:space="preserve">C. M. (2011). Association between time to initiation of adjuvant chemotherapy and survival in colorectal cancer a systematic review and meta-analysis. </w:t>
      </w:r>
      <w:r w:rsidRPr="003A55BF">
        <w:rPr>
          <w:rFonts w:cstheme="minorHAnsi"/>
          <w:i/>
          <w:iCs/>
          <w:color w:val="242021"/>
          <w:sz w:val="20"/>
          <w:szCs w:val="20"/>
        </w:rPr>
        <w:t>JAMA-Journal of the American Medical Association</w:t>
      </w:r>
      <w:r w:rsidRPr="003A55BF">
        <w:rPr>
          <w:rFonts w:cstheme="minorHAnsi"/>
          <w:color w:val="242021"/>
          <w:sz w:val="20"/>
          <w:szCs w:val="20"/>
        </w:rPr>
        <w:t>,</w:t>
      </w:r>
      <w:r w:rsidR="00530575" w:rsidRPr="003A55BF">
        <w:rPr>
          <w:rFonts w:cstheme="minorHAnsi"/>
          <w:color w:val="242021"/>
          <w:sz w:val="20"/>
          <w:szCs w:val="20"/>
        </w:rPr>
        <w:t xml:space="preserve"> </w:t>
      </w:r>
      <w:r w:rsidRPr="003A55BF">
        <w:rPr>
          <w:rFonts w:cstheme="minorHAnsi"/>
          <w:i/>
          <w:iCs/>
          <w:color w:val="242021"/>
          <w:sz w:val="20"/>
          <w:szCs w:val="20"/>
        </w:rPr>
        <w:t>305</w:t>
      </w:r>
      <w:r w:rsidRPr="003A55BF">
        <w:rPr>
          <w:rFonts w:cstheme="minorHAnsi"/>
          <w:color w:val="242021"/>
          <w:sz w:val="20"/>
          <w:szCs w:val="20"/>
        </w:rPr>
        <w:t xml:space="preserve">(22), 2235–2242. </w:t>
      </w:r>
      <w:r w:rsidR="00530575" w:rsidRPr="003A55BF">
        <w:rPr>
          <w:rFonts w:cstheme="minorHAnsi"/>
          <w:color w:val="242021"/>
          <w:sz w:val="20"/>
          <w:szCs w:val="20"/>
        </w:rPr>
        <w:t xml:space="preserve"> </w:t>
      </w:r>
    </w:p>
    <w:p w14:paraId="7F34103B" w14:textId="77777777" w:rsidR="0053057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Boulkedid</w:t>
      </w:r>
      <w:proofErr w:type="spellEnd"/>
      <w:r w:rsidRPr="003A55BF">
        <w:rPr>
          <w:rFonts w:cstheme="minorHAnsi"/>
          <w:color w:val="242021"/>
          <w:sz w:val="20"/>
          <w:szCs w:val="20"/>
        </w:rPr>
        <w:t xml:space="preserve">, R., </w:t>
      </w:r>
      <w:proofErr w:type="spellStart"/>
      <w:r w:rsidRPr="003A55BF">
        <w:rPr>
          <w:rFonts w:cstheme="minorHAnsi"/>
          <w:color w:val="242021"/>
          <w:sz w:val="20"/>
          <w:szCs w:val="20"/>
        </w:rPr>
        <w:t>Abdoul</w:t>
      </w:r>
      <w:proofErr w:type="spellEnd"/>
      <w:r w:rsidRPr="003A55BF">
        <w:rPr>
          <w:rFonts w:cstheme="minorHAnsi"/>
          <w:color w:val="242021"/>
          <w:sz w:val="20"/>
          <w:szCs w:val="20"/>
        </w:rPr>
        <w:t xml:space="preserve">, H., </w:t>
      </w:r>
      <w:proofErr w:type="spellStart"/>
      <w:r w:rsidRPr="003A55BF">
        <w:rPr>
          <w:rFonts w:cstheme="minorHAnsi"/>
          <w:color w:val="242021"/>
          <w:sz w:val="20"/>
          <w:szCs w:val="20"/>
        </w:rPr>
        <w:t>Loustau</w:t>
      </w:r>
      <w:proofErr w:type="spellEnd"/>
      <w:r w:rsidRPr="003A55BF">
        <w:rPr>
          <w:rFonts w:cstheme="minorHAnsi"/>
          <w:color w:val="242021"/>
          <w:sz w:val="20"/>
          <w:szCs w:val="20"/>
        </w:rPr>
        <w:t xml:space="preserve">, M., </w:t>
      </w:r>
      <w:proofErr w:type="spellStart"/>
      <w:r w:rsidRPr="003A55BF">
        <w:rPr>
          <w:rFonts w:cstheme="minorHAnsi"/>
          <w:color w:val="242021"/>
          <w:sz w:val="20"/>
          <w:szCs w:val="20"/>
        </w:rPr>
        <w:t>Sibony</w:t>
      </w:r>
      <w:proofErr w:type="spellEnd"/>
      <w:r w:rsidRPr="003A55BF">
        <w:rPr>
          <w:rFonts w:cstheme="minorHAnsi"/>
          <w:color w:val="242021"/>
          <w:sz w:val="20"/>
          <w:szCs w:val="20"/>
        </w:rPr>
        <w:t>, O., &amp; Alberti, C. (2011).</w:t>
      </w:r>
      <w:r w:rsidR="00530575" w:rsidRPr="003A55BF">
        <w:rPr>
          <w:rFonts w:cstheme="minorHAnsi"/>
          <w:color w:val="242021"/>
          <w:sz w:val="20"/>
          <w:szCs w:val="20"/>
        </w:rPr>
        <w:t xml:space="preserve"> </w:t>
      </w:r>
      <w:r w:rsidRPr="003A55BF">
        <w:rPr>
          <w:rFonts w:cstheme="minorHAnsi"/>
          <w:color w:val="242021"/>
          <w:sz w:val="20"/>
          <w:szCs w:val="20"/>
        </w:rPr>
        <w:t xml:space="preserve">Using and reporting the Delphi method for selecting healthcare quality indicators: A systematic review. </w:t>
      </w:r>
      <w:proofErr w:type="spellStart"/>
      <w:r w:rsidRPr="003A55BF">
        <w:rPr>
          <w:rFonts w:cstheme="minorHAnsi"/>
          <w:i/>
          <w:iCs/>
          <w:color w:val="242021"/>
          <w:sz w:val="20"/>
          <w:szCs w:val="20"/>
        </w:rPr>
        <w:t>PLoS</w:t>
      </w:r>
      <w:proofErr w:type="spellEnd"/>
      <w:r w:rsidRPr="003A55BF">
        <w:rPr>
          <w:rFonts w:cstheme="minorHAnsi"/>
          <w:i/>
          <w:iCs/>
          <w:color w:val="242021"/>
          <w:sz w:val="20"/>
          <w:szCs w:val="20"/>
        </w:rPr>
        <w:t xml:space="preserve"> ONE</w:t>
      </w:r>
      <w:r w:rsidRPr="003A55BF">
        <w:rPr>
          <w:rFonts w:cstheme="minorHAnsi"/>
          <w:color w:val="242021"/>
          <w:sz w:val="20"/>
          <w:szCs w:val="20"/>
        </w:rPr>
        <w:t xml:space="preserve">, </w:t>
      </w:r>
      <w:r w:rsidRPr="003A55BF">
        <w:rPr>
          <w:rFonts w:cstheme="minorHAnsi"/>
          <w:i/>
          <w:iCs/>
          <w:color w:val="242021"/>
          <w:sz w:val="20"/>
          <w:szCs w:val="20"/>
        </w:rPr>
        <w:t>6</w:t>
      </w:r>
      <w:r w:rsidRPr="003A55BF">
        <w:rPr>
          <w:rFonts w:cstheme="minorHAnsi"/>
          <w:color w:val="242021"/>
          <w:sz w:val="20"/>
          <w:szCs w:val="20"/>
        </w:rPr>
        <w:t xml:space="preserve">(6), 1–9. </w:t>
      </w:r>
    </w:p>
    <w:p w14:paraId="4C6B6E1E" w14:textId="77777777" w:rsidR="00530575" w:rsidRPr="003A55BF" w:rsidRDefault="00BC4475">
      <w:pPr>
        <w:rPr>
          <w:rFonts w:cstheme="minorHAnsi"/>
          <w:color w:val="242021"/>
          <w:sz w:val="20"/>
          <w:szCs w:val="20"/>
        </w:rPr>
      </w:pPr>
      <w:r w:rsidRPr="003A55BF">
        <w:rPr>
          <w:rFonts w:cstheme="minorHAnsi"/>
          <w:color w:val="242021"/>
          <w:sz w:val="20"/>
          <w:szCs w:val="20"/>
        </w:rPr>
        <w:br/>
        <w:t>Boxer, M. M., Vinod, S. K., Shafiq, J., &amp; Duggan, K. J. (2011). Do multidisciplinary team meetings make a difference in the management of</w:t>
      </w:r>
      <w:r w:rsidR="00530575" w:rsidRPr="003A55BF">
        <w:rPr>
          <w:rFonts w:cstheme="minorHAnsi"/>
          <w:color w:val="242021"/>
          <w:sz w:val="20"/>
          <w:szCs w:val="20"/>
        </w:rPr>
        <w:t xml:space="preserve"> </w:t>
      </w:r>
      <w:r w:rsidRPr="003A55BF">
        <w:rPr>
          <w:rFonts w:cstheme="minorHAnsi"/>
          <w:color w:val="242021"/>
          <w:sz w:val="20"/>
          <w:szCs w:val="20"/>
        </w:rPr>
        <w:t xml:space="preserve">lung cancer? </w:t>
      </w:r>
      <w:r w:rsidRPr="003A55BF">
        <w:rPr>
          <w:rFonts w:cstheme="minorHAnsi"/>
          <w:i/>
          <w:iCs/>
          <w:color w:val="242021"/>
          <w:sz w:val="20"/>
          <w:szCs w:val="20"/>
        </w:rPr>
        <w:t>Cancer</w:t>
      </w:r>
      <w:r w:rsidRPr="003A55BF">
        <w:rPr>
          <w:rFonts w:cstheme="minorHAnsi"/>
          <w:color w:val="242021"/>
          <w:sz w:val="20"/>
          <w:szCs w:val="20"/>
        </w:rPr>
        <w:t xml:space="preserve">, </w:t>
      </w:r>
      <w:r w:rsidRPr="003A55BF">
        <w:rPr>
          <w:rFonts w:cstheme="minorHAnsi"/>
          <w:i/>
          <w:iCs/>
          <w:color w:val="242021"/>
          <w:sz w:val="20"/>
          <w:szCs w:val="20"/>
        </w:rPr>
        <w:t>117</w:t>
      </w:r>
      <w:r w:rsidRPr="003A55BF">
        <w:rPr>
          <w:rFonts w:cstheme="minorHAnsi"/>
          <w:color w:val="242021"/>
          <w:sz w:val="20"/>
          <w:szCs w:val="20"/>
        </w:rPr>
        <w:t>(22), 5112–5120.</w:t>
      </w:r>
    </w:p>
    <w:p w14:paraId="4835A533" w14:textId="77777777" w:rsidR="00530575" w:rsidRPr="003A55BF" w:rsidRDefault="00BC4475">
      <w:pPr>
        <w:rPr>
          <w:rFonts w:cstheme="minorHAnsi"/>
          <w:color w:val="242021"/>
          <w:sz w:val="20"/>
          <w:szCs w:val="20"/>
        </w:rPr>
      </w:pPr>
      <w:r w:rsidRPr="003A55BF">
        <w:rPr>
          <w:rFonts w:cstheme="minorHAnsi"/>
          <w:color w:val="242021"/>
          <w:sz w:val="20"/>
          <w:szCs w:val="20"/>
        </w:rPr>
        <w:br/>
        <w:t>Braga, S. (2011). Why do our patients get chemotherapy until the end of</w:t>
      </w:r>
      <w:r w:rsidR="00530575" w:rsidRPr="003A55BF">
        <w:rPr>
          <w:rFonts w:cstheme="minorHAnsi"/>
          <w:color w:val="242021"/>
          <w:sz w:val="20"/>
          <w:szCs w:val="20"/>
        </w:rPr>
        <w:t xml:space="preserve"> </w:t>
      </w:r>
      <w:r w:rsidRPr="003A55BF">
        <w:rPr>
          <w:rFonts w:cstheme="minorHAnsi"/>
          <w:color w:val="242021"/>
          <w:sz w:val="20"/>
          <w:szCs w:val="20"/>
        </w:rPr>
        <w:t xml:space="preserve">life? </w:t>
      </w:r>
      <w:r w:rsidRPr="003A55BF">
        <w:rPr>
          <w:rFonts w:cstheme="minorHAnsi"/>
          <w:i/>
          <w:iCs/>
          <w:color w:val="242021"/>
          <w:sz w:val="20"/>
          <w:szCs w:val="20"/>
        </w:rPr>
        <w:t>Annals of Oncology</w:t>
      </w:r>
      <w:r w:rsidRPr="003A55BF">
        <w:rPr>
          <w:rFonts w:cstheme="minorHAnsi"/>
          <w:color w:val="242021"/>
          <w:sz w:val="20"/>
          <w:szCs w:val="20"/>
        </w:rPr>
        <w:t xml:space="preserve">, </w:t>
      </w:r>
      <w:r w:rsidRPr="003A55BF">
        <w:rPr>
          <w:rFonts w:cstheme="minorHAnsi"/>
          <w:i/>
          <w:iCs/>
          <w:color w:val="242021"/>
          <w:sz w:val="20"/>
          <w:szCs w:val="20"/>
        </w:rPr>
        <w:t>22</w:t>
      </w:r>
      <w:r w:rsidRPr="003A55BF">
        <w:rPr>
          <w:rFonts w:cstheme="minorHAnsi"/>
          <w:color w:val="242021"/>
          <w:sz w:val="20"/>
          <w:szCs w:val="20"/>
        </w:rPr>
        <w:t>, 2345–2348.</w:t>
      </w:r>
    </w:p>
    <w:p w14:paraId="7BDD4C55" w14:textId="77777777" w:rsidR="0053057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Bruera</w:t>
      </w:r>
      <w:proofErr w:type="spellEnd"/>
      <w:r w:rsidRPr="003A55BF">
        <w:rPr>
          <w:rFonts w:cstheme="minorHAnsi"/>
          <w:color w:val="242021"/>
          <w:sz w:val="20"/>
          <w:szCs w:val="20"/>
        </w:rPr>
        <w:t>, E., &amp; Hui, D. (2010). Integrating supportive and palliative</w:t>
      </w:r>
      <w:r w:rsidR="00530575" w:rsidRPr="003A55BF">
        <w:rPr>
          <w:rFonts w:cstheme="minorHAnsi"/>
          <w:color w:val="242021"/>
          <w:sz w:val="20"/>
          <w:szCs w:val="20"/>
        </w:rPr>
        <w:t xml:space="preserve"> </w:t>
      </w:r>
      <w:r w:rsidRPr="003A55BF">
        <w:rPr>
          <w:rFonts w:cstheme="minorHAnsi"/>
          <w:color w:val="242021"/>
          <w:sz w:val="20"/>
          <w:szCs w:val="20"/>
        </w:rPr>
        <w:t>care in the trajectory of cancer: Establishing goals and models of</w:t>
      </w:r>
      <w:r w:rsidR="00530575" w:rsidRPr="003A55BF">
        <w:rPr>
          <w:rFonts w:cstheme="minorHAnsi"/>
          <w:color w:val="242021"/>
          <w:sz w:val="20"/>
          <w:szCs w:val="20"/>
        </w:rPr>
        <w:t xml:space="preserve"> </w:t>
      </w:r>
      <w:r w:rsidRPr="003A55BF">
        <w:rPr>
          <w:rFonts w:cstheme="minorHAnsi"/>
          <w:color w:val="242021"/>
          <w:sz w:val="20"/>
          <w:szCs w:val="20"/>
        </w:rPr>
        <w:t xml:space="preserve">care. </w:t>
      </w:r>
      <w:r w:rsidRPr="003A55BF">
        <w:rPr>
          <w:rFonts w:cstheme="minorHAnsi"/>
          <w:i/>
          <w:iCs/>
          <w:color w:val="242021"/>
          <w:sz w:val="20"/>
          <w:szCs w:val="20"/>
        </w:rPr>
        <w:t>Journal of Clinical Oncology</w:t>
      </w:r>
      <w:r w:rsidRPr="003A55BF">
        <w:rPr>
          <w:rFonts w:cstheme="minorHAnsi"/>
          <w:color w:val="242021"/>
          <w:sz w:val="20"/>
          <w:szCs w:val="20"/>
        </w:rPr>
        <w:t xml:space="preserve">, </w:t>
      </w:r>
      <w:r w:rsidRPr="003A55BF">
        <w:rPr>
          <w:rFonts w:cstheme="minorHAnsi"/>
          <w:i/>
          <w:iCs/>
          <w:color w:val="242021"/>
          <w:sz w:val="20"/>
          <w:szCs w:val="20"/>
        </w:rPr>
        <w:t>28</w:t>
      </w:r>
      <w:r w:rsidRPr="003A55BF">
        <w:rPr>
          <w:rFonts w:cstheme="minorHAnsi"/>
          <w:color w:val="242021"/>
          <w:sz w:val="20"/>
          <w:szCs w:val="20"/>
        </w:rPr>
        <w:t xml:space="preserve">(25), 4013–4017. </w:t>
      </w:r>
    </w:p>
    <w:p w14:paraId="4190A16D" w14:textId="77777777" w:rsidR="00530575" w:rsidRPr="003A55BF" w:rsidRDefault="00BC4475">
      <w:pPr>
        <w:rPr>
          <w:rFonts w:cstheme="minorHAnsi"/>
          <w:color w:val="242021"/>
          <w:sz w:val="20"/>
          <w:szCs w:val="20"/>
        </w:rPr>
      </w:pPr>
      <w:r w:rsidRPr="003A55BF">
        <w:rPr>
          <w:rFonts w:cstheme="minorHAnsi"/>
          <w:color w:val="242021"/>
          <w:sz w:val="20"/>
          <w:szCs w:val="20"/>
        </w:rPr>
        <w:br/>
        <w:t xml:space="preserve">Campbell, S. M., </w:t>
      </w:r>
      <w:proofErr w:type="spellStart"/>
      <w:r w:rsidRPr="003A55BF">
        <w:rPr>
          <w:rFonts w:cstheme="minorHAnsi"/>
          <w:color w:val="242021"/>
          <w:sz w:val="20"/>
          <w:szCs w:val="20"/>
        </w:rPr>
        <w:t>Braspenning</w:t>
      </w:r>
      <w:proofErr w:type="spellEnd"/>
      <w:r w:rsidRPr="003A55BF">
        <w:rPr>
          <w:rFonts w:cstheme="minorHAnsi"/>
          <w:color w:val="242021"/>
          <w:sz w:val="20"/>
          <w:szCs w:val="20"/>
        </w:rPr>
        <w:t>, J., Hutchinson, A., &amp; Marshall, M. (2002).</w:t>
      </w:r>
      <w:r w:rsidR="00530575" w:rsidRPr="003A55BF">
        <w:rPr>
          <w:rFonts w:cstheme="minorHAnsi"/>
          <w:color w:val="242021"/>
          <w:sz w:val="20"/>
          <w:szCs w:val="20"/>
        </w:rPr>
        <w:t xml:space="preserve"> </w:t>
      </w:r>
      <w:r w:rsidRPr="003A55BF">
        <w:rPr>
          <w:rFonts w:cstheme="minorHAnsi"/>
          <w:color w:val="242021"/>
          <w:sz w:val="20"/>
          <w:szCs w:val="20"/>
        </w:rPr>
        <w:t xml:space="preserve">Research methods used in developing and applying quality indicators in primary care. </w:t>
      </w:r>
      <w:r w:rsidRPr="003A55BF">
        <w:rPr>
          <w:rFonts w:cstheme="minorHAnsi"/>
          <w:i/>
          <w:iCs/>
          <w:color w:val="242021"/>
          <w:sz w:val="20"/>
          <w:szCs w:val="20"/>
        </w:rPr>
        <w:t>Quality &amp; Safety in Health Care</w:t>
      </w:r>
      <w:r w:rsidRPr="003A55BF">
        <w:rPr>
          <w:rFonts w:cstheme="minorHAnsi"/>
          <w:color w:val="242021"/>
          <w:sz w:val="20"/>
          <w:szCs w:val="20"/>
        </w:rPr>
        <w:t xml:space="preserve">, </w:t>
      </w:r>
      <w:r w:rsidRPr="003A55BF">
        <w:rPr>
          <w:rFonts w:cstheme="minorHAnsi"/>
          <w:i/>
          <w:iCs/>
          <w:color w:val="242021"/>
          <w:sz w:val="20"/>
          <w:szCs w:val="20"/>
        </w:rPr>
        <w:t>11</w:t>
      </w:r>
      <w:r w:rsidRPr="003A55BF">
        <w:rPr>
          <w:rFonts w:cstheme="minorHAnsi"/>
          <w:color w:val="242021"/>
          <w:sz w:val="20"/>
          <w:szCs w:val="20"/>
        </w:rPr>
        <w:t>(4), 358–364.</w:t>
      </w:r>
      <w:r w:rsidRPr="003A55BF">
        <w:rPr>
          <w:rFonts w:cstheme="minorHAnsi"/>
          <w:color w:val="242021"/>
          <w:sz w:val="20"/>
          <w:szCs w:val="20"/>
        </w:rPr>
        <w:br/>
      </w:r>
      <w:r w:rsidRPr="003A55BF">
        <w:rPr>
          <w:rFonts w:cstheme="minorHAnsi"/>
          <w:color w:val="242021"/>
          <w:sz w:val="20"/>
          <w:szCs w:val="20"/>
        </w:rPr>
        <w:br/>
        <w:t xml:space="preserve">Campbell, S. M., Shield, T., Rogers, A., &amp; </w:t>
      </w:r>
      <w:proofErr w:type="spellStart"/>
      <w:r w:rsidRPr="003A55BF">
        <w:rPr>
          <w:rFonts w:cstheme="minorHAnsi"/>
          <w:color w:val="242021"/>
          <w:sz w:val="20"/>
          <w:szCs w:val="20"/>
        </w:rPr>
        <w:t>Gask</w:t>
      </w:r>
      <w:proofErr w:type="spellEnd"/>
      <w:r w:rsidRPr="003A55BF">
        <w:rPr>
          <w:rFonts w:cstheme="minorHAnsi"/>
          <w:color w:val="242021"/>
          <w:sz w:val="20"/>
          <w:szCs w:val="20"/>
        </w:rPr>
        <w:t>, L. (2004). How do stakeholder groups vary in a Delphi technique about primary mental</w:t>
      </w:r>
      <w:r w:rsidR="00530575" w:rsidRPr="003A55BF">
        <w:rPr>
          <w:rFonts w:cstheme="minorHAnsi"/>
          <w:color w:val="242021"/>
          <w:sz w:val="20"/>
          <w:szCs w:val="20"/>
        </w:rPr>
        <w:t xml:space="preserve"> </w:t>
      </w:r>
      <w:r w:rsidRPr="003A55BF">
        <w:rPr>
          <w:rFonts w:cstheme="minorHAnsi"/>
          <w:color w:val="242021"/>
          <w:sz w:val="20"/>
          <w:szCs w:val="20"/>
        </w:rPr>
        <w:t xml:space="preserve">health care and what factors influence their ratings? </w:t>
      </w:r>
      <w:r w:rsidRPr="003A55BF">
        <w:rPr>
          <w:rFonts w:cstheme="minorHAnsi"/>
          <w:i/>
          <w:iCs/>
          <w:color w:val="242021"/>
          <w:sz w:val="20"/>
          <w:szCs w:val="20"/>
        </w:rPr>
        <w:t>Quality and</w:t>
      </w:r>
      <w:r w:rsidR="00530575" w:rsidRPr="003A55BF">
        <w:rPr>
          <w:rFonts w:cstheme="minorHAnsi"/>
          <w:i/>
          <w:iCs/>
          <w:color w:val="242021"/>
          <w:sz w:val="20"/>
          <w:szCs w:val="20"/>
        </w:rPr>
        <w:t xml:space="preserve"> </w:t>
      </w:r>
      <w:r w:rsidRPr="003A55BF">
        <w:rPr>
          <w:rFonts w:cstheme="minorHAnsi"/>
          <w:i/>
          <w:iCs/>
          <w:color w:val="242021"/>
          <w:sz w:val="20"/>
          <w:szCs w:val="20"/>
        </w:rPr>
        <w:t>Safety in Health Care</w:t>
      </w:r>
      <w:r w:rsidRPr="003A55BF">
        <w:rPr>
          <w:rFonts w:cstheme="minorHAnsi"/>
          <w:color w:val="242021"/>
          <w:sz w:val="20"/>
          <w:szCs w:val="20"/>
        </w:rPr>
        <w:t xml:space="preserve">, </w:t>
      </w:r>
      <w:r w:rsidRPr="003A55BF">
        <w:rPr>
          <w:rFonts w:cstheme="minorHAnsi"/>
          <w:i/>
          <w:iCs/>
          <w:color w:val="242021"/>
          <w:sz w:val="20"/>
          <w:szCs w:val="20"/>
        </w:rPr>
        <w:t>13</w:t>
      </w:r>
      <w:r w:rsidRPr="003A55BF">
        <w:rPr>
          <w:rFonts w:cstheme="minorHAnsi"/>
          <w:color w:val="242021"/>
          <w:sz w:val="20"/>
          <w:szCs w:val="20"/>
        </w:rPr>
        <w:t>, 428–434.</w:t>
      </w:r>
    </w:p>
    <w:p w14:paraId="3CDE9F7C" w14:textId="77777777" w:rsidR="00530575" w:rsidRPr="003A55BF" w:rsidRDefault="00BC4475">
      <w:pPr>
        <w:rPr>
          <w:rFonts w:cstheme="minorHAnsi"/>
          <w:color w:val="242021"/>
          <w:sz w:val="20"/>
          <w:szCs w:val="20"/>
        </w:rPr>
      </w:pPr>
      <w:r w:rsidRPr="003A55BF">
        <w:rPr>
          <w:rFonts w:cstheme="minorHAnsi"/>
          <w:color w:val="242021"/>
          <w:sz w:val="20"/>
          <w:szCs w:val="20"/>
        </w:rPr>
        <w:br/>
        <w:t xml:space="preserve">Campbell, S. M., </w:t>
      </w:r>
      <w:proofErr w:type="spellStart"/>
      <w:r w:rsidRPr="003A55BF">
        <w:rPr>
          <w:rFonts w:cstheme="minorHAnsi"/>
          <w:color w:val="242021"/>
          <w:sz w:val="20"/>
          <w:szCs w:val="20"/>
        </w:rPr>
        <w:t>Cantrill</w:t>
      </w:r>
      <w:proofErr w:type="spellEnd"/>
      <w:r w:rsidRPr="003A55BF">
        <w:rPr>
          <w:rFonts w:cstheme="minorHAnsi"/>
          <w:color w:val="242021"/>
          <w:sz w:val="20"/>
          <w:szCs w:val="20"/>
        </w:rPr>
        <w:t>, J. A., &amp; Roberts, D. (2000). Prescribing indicators for</w:t>
      </w:r>
      <w:r w:rsidR="00530575" w:rsidRPr="003A55BF">
        <w:rPr>
          <w:rFonts w:cstheme="minorHAnsi"/>
          <w:color w:val="242021"/>
          <w:sz w:val="20"/>
          <w:szCs w:val="20"/>
        </w:rPr>
        <w:t xml:space="preserve"> </w:t>
      </w:r>
      <w:r w:rsidRPr="003A55BF">
        <w:rPr>
          <w:rFonts w:cstheme="minorHAnsi"/>
          <w:color w:val="242021"/>
          <w:sz w:val="20"/>
          <w:szCs w:val="20"/>
        </w:rPr>
        <w:t xml:space="preserve">UK general practice: Delphi consultation study. </w:t>
      </w:r>
      <w:r w:rsidRPr="003A55BF">
        <w:rPr>
          <w:rFonts w:cstheme="minorHAnsi"/>
          <w:i/>
          <w:iCs/>
          <w:color w:val="242021"/>
          <w:sz w:val="20"/>
          <w:szCs w:val="20"/>
        </w:rPr>
        <w:t>BMJ</w:t>
      </w:r>
      <w:r w:rsidRPr="003A55BF">
        <w:rPr>
          <w:rFonts w:cstheme="minorHAnsi"/>
          <w:color w:val="242021"/>
          <w:sz w:val="20"/>
          <w:szCs w:val="20"/>
        </w:rPr>
        <w:t xml:space="preserve">, </w:t>
      </w:r>
      <w:r w:rsidRPr="003A55BF">
        <w:rPr>
          <w:rFonts w:cstheme="minorHAnsi"/>
          <w:i/>
          <w:iCs/>
          <w:color w:val="242021"/>
          <w:sz w:val="20"/>
          <w:szCs w:val="20"/>
        </w:rPr>
        <w:t>321</w:t>
      </w:r>
      <w:r w:rsidRPr="003A55BF">
        <w:rPr>
          <w:rFonts w:cstheme="minorHAnsi"/>
          <w:color w:val="242021"/>
          <w:sz w:val="20"/>
          <w:szCs w:val="20"/>
        </w:rPr>
        <w:t>(7258), 425–428.</w:t>
      </w:r>
    </w:p>
    <w:p w14:paraId="0F5C7E3C" w14:textId="77777777" w:rsidR="00530575" w:rsidRPr="003A55BF" w:rsidRDefault="00BC4475">
      <w:pPr>
        <w:rPr>
          <w:rFonts w:cstheme="minorHAnsi"/>
          <w:color w:val="242021"/>
          <w:sz w:val="20"/>
          <w:szCs w:val="20"/>
        </w:rPr>
      </w:pPr>
      <w:r w:rsidRPr="003A55BF">
        <w:rPr>
          <w:rFonts w:cstheme="minorHAnsi"/>
          <w:color w:val="242021"/>
          <w:sz w:val="20"/>
          <w:szCs w:val="20"/>
        </w:rPr>
        <w:br/>
        <w:t xml:space="preserve">Cancer Care Ontario (2014). </w:t>
      </w:r>
      <w:r w:rsidRPr="003A55BF">
        <w:rPr>
          <w:rFonts w:cstheme="minorHAnsi"/>
          <w:i/>
          <w:iCs/>
          <w:color w:val="242021"/>
          <w:sz w:val="20"/>
          <w:szCs w:val="20"/>
        </w:rPr>
        <w:t>Quality Person-centred systemic treatment in Ontario</w:t>
      </w:r>
      <w:r w:rsidR="00530575" w:rsidRPr="003A55BF">
        <w:rPr>
          <w:rFonts w:cstheme="minorHAnsi"/>
          <w:i/>
          <w:iCs/>
          <w:color w:val="242021"/>
          <w:sz w:val="20"/>
          <w:szCs w:val="20"/>
        </w:rPr>
        <w:t xml:space="preserve"> </w:t>
      </w:r>
      <w:r w:rsidRPr="003A55BF">
        <w:rPr>
          <w:rFonts w:cstheme="minorHAnsi"/>
          <w:i/>
          <w:iCs/>
          <w:color w:val="242021"/>
          <w:sz w:val="20"/>
          <w:szCs w:val="20"/>
        </w:rPr>
        <w:t>2014-2019: Systemic treatment provincial plan</w:t>
      </w:r>
      <w:r w:rsidRPr="003A55BF">
        <w:rPr>
          <w:rFonts w:cstheme="minorHAnsi"/>
          <w:color w:val="242021"/>
          <w:sz w:val="20"/>
          <w:szCs w:val="20"/>
        </w:rPr>
        <w:t>. Retrieved from https://</w:t>
      </w:r>
      <w:r w:rsidR="00530575" w:rsidRPr="003A55BF">
        <w:rPr>
          <w:rFonts w:cstheme="minorHAnsi"/>
          <w:color w:val="242021"/>
          <w:sz w:val="20"/>
          <w:szCs w:val="20"/>
        </w:rPr>
        <w:t xml:space="preserve"> </w:t>
      </w:r>
      <w:r w:rsidRPr="003A55BF">
        <w:rPr>
          <w:rFonts w:cstheme="minorHAnsi"/>
          <w:color w:val="242021"/>
          <w:sz w:val="20"/>
          <w:szCs w:val="20"/>
        </w:rPr>
        <w:t>www.cancercare.on.ca/common/pages/UserFile.aspx?fileId=325326</w:t>
      </w:r>
      <w:r w:rsidRPr="003A55BF">
        <w:rPr>
          <w:rFonts w:cstheme="minorHAnsi"/>
          <w:color w:val="242021"/>
          <w:sz w:val="20"/>
          <w:szCs w:val="20"/>
        </w:rPr>
        <w:br/>
      </w:r>
    </w:p>
    <w:p w14:paraId="61E7D145" w14:textId="4296F8B2" w:rsidR="00764A49" w:rsidRPr="003A55BF" w:rsidRDefault="00BC4475">
      <w:pPr>
        <w:rPr>
          <w:rFonts w:cstheme="minorHAnsi"/>
          <w:color w:val="242021"/>
          <w:sz w:val="20"/>
          <w:szCs w:val="20"/>
        </w:rPr>
      </w:pPr>
      <w:r w:rsidRPr="003A55BF">
        <w:rPr>
          <w:rFonts w:cstheme="minorHAnsi"/>
          <w:color w:val="242021"/>
          <w:sz w:val="20"/>
          <w:szCs w:val="20"/>
        </w:rPr>
        <w:t xml:space="preserve">Cantwell, M., Walsh, D., Furlong, B., </w:t>
      </w:r>
      <w:proofErr w:type="spellStart"/>
      <w:r w:rsidRPr="003A55BF">
        <w:rPr>
          <w:rFonts w:cstheme="minorHAnsi"/>
          <w:color w:val="242021"/>
          <w:sz w:val="20"/>
          <w:szCs w:val="20"/>
        </w:rPr>
        <w:t>Moyna</w:t>
      </w:r>
      <w:proofErr w:type="spellEnd"/>
      <w:r w:rsidRPr="003A55BF">
        <w:rPr>
          <w:rFonts w:cstheme="minorHAnsi"/>
          <w:color w:val="242021"/>
          <w:sz w:val="20"/>
          <w:szCs w:val="20"/>
        </w:rPr>
        <w:t xml:space="preserve">, N., McCaffrey, N., </w:t>
      </w:r>
      <w:proofErr w:type="spellStart"/>
      <w:r w:rsidRPr="003A55BF">
        <w:rPr>
          <w:rFonts w:cstheme="minorHAnsi"/>
          <w:color w:val="242021"/>
          <w:sz w:val="20"/>
          <w:szCs w:val="20"/>
        </w:rPr>
        <w:t>Boran</w:t>
      </w:r>
      <w:proofErr w:type="spellEnd"/>
      <w:r w:rsidRPr="003A55BF">
        <w:rPr>
          <w:rFonts w:cstheme="minorHAnsi"/>
          <w:color w:val="242021"/>
          <w:sz w:val="20"/>
          <w:szCs w:val="20"/>
        </w:rPr>
        <w:t>, L.,</w:t>
      </w:r>
      <w:r w:rsidR="00530575" w:rsidRPr="003A55BF">
        <w:rPr>
          <w:rFonts w:cstheme="minorHAnsi"/>
          <w:color w:val="242021"/>
          <w:sz w:val="20"/>
          <w:szCs w:val="20"/>
        </w:rPr>
        <w:t xml:space="preserve"> </w:t>
      </w:r>
      <w:r w:rsidR="00764A49" w:rsidRPr="003A55BF">
        <w:rPr>
          <w:rFonts w:cstheme="minorHAnsi"/>
          <w:color w:val="242021"/>
          <w:sz w:val="20"/>
          <w:szCs w:val="20"/>
        </w:rPr>
        <w:t xml:space="preserve">--- </w:t>
      </w:r>
      <w:r w:rsidRPr="003A55BF">
        <w:rPr>
          <w:rFonts w:cstheme="minorHAnsi"/>
          <w:color w:val="242021"/>
          <w:sz w:val="20"/>
          <w:szCs w:val="20"/>
        </w:rPr>
        <w:t>Woods, C. (2017). Healthcare professionals' knowledge and practice of physical activity promotion in cancer care: Challenges and</w:t>
      </w:r>
      <w:r w:rsidRPr="003A55BF">
        <w:rPr>
          <w:rFonts w:cstheme="minorHAnsi"/>
          <w:color w:val="242021"/>
          <w:sz w:val="20"/>
          <w:szCs w:val="20"/>
        </w:rPr>
        <w:br/>
        <w:t xml:space="preserve">solutions. </w:t>
      </w:r>
      <w:r w:rsidRPr="003A55BF">
        <w:rPr>
          <w:rFonts w:cstheme="minorHAnsi"/>
          <w:i/>
          <w:iCs/>
          <w:color w:val="242021"/>
          <w:sz w:val="20"/>
          <w:szCs w:val="20"/>
        </w:rPr>
        <w:t>European Journal of Cancer Care</w:t>
      </w:r>
      <w:r w:rsidRPr="003A55BF">
        <w:rPr>
          <w:rFonts w:cstheme="minorHAnsi"/>
          <w:color w:val="242021"/>
          <w:sz w:val="20"/>
          <w:szCs w:val="20"/>
        </w:rPr>
        <w:t xml:space="preserve">, </w:t>
      </w:r>
      <w:r w:rsidRPr="003A55BF">
        <w:rPr>
          <w:rFonts w:cstheme="minorHAnsi"/>
          <w:i/>
          <w:iCs/>
          <w:color w:val="242021"/>
          <w:sz w:val="20"/>
          <w:szCs w:val="20"/>
        </w:rPr>
        <w:t>27</w:t>
      </w:r>
      <w:r w:rsidRPr="003A55BF">
        <w:rPr>
          <w:rFonts w:cstheme="minorHAnsi"/>
          <w:color w:val="242021"/>
          <w:sz w:val="20"/>
          <w:szCs w:val="20"/>
        </w:rPr>
        <w:t xml:space="preserve">(2), e12795. </w:t>
      </w:r>
    </w:p>
    <w:p w14:paraId="468EBD41" w14:textId="77777777" w:rsidR="00764A49" w:rsidRPr="003A55BF" w:rsidRDefault="00BC4475">
      <w:pPr>
        <w:rPr>
          <w:rFonts w:cstheme="minorHAnsi"/>
          <w:color w:val="242021"/>
          <w:sz w:val="20"/>
          <w:szCs w:val="20"/>
        </w:rPr>
      </w:pPr>
      <w:r w:rsidRPr="003A55BF">
        <w:rPr>
          <w:rFonts w:cstheme="minorHAnsi"/>
          <w:color w:val="242021"/>
          <w:sz w:val="20"/>
          <w:szCs w:val="20"/>
        </w:rPr>
        <w:lastRenderedPageBreak/>
        <w:br/>
      </w:r>
      <w:proofErr w:type="spellStart"/>
      <w:r w:rsidRPr="003A55BF">
        <w:rPr>
          <w:rFonts w:cstheme="minorHAnsi"/>
          <w:color w:val="242021"/>
          <w:sz w:val="20"/>
          <w:szCs w:val="20"/>
        </w:rPr>
        <w:t>Cavaletti</w:t>
      </w:r>
      <w:proofErr w:type="spellEnd"/>
      <w:r w:rsidRPr="003A55BF">
        <w:rPr>
          <w:rFonts w:cstheme="minorHAnsi"/>
          <w:color w:val="242021"/>
          <w:sz w:val="20"/>
          <w:szCs w:val="20"/>
        </w:rPr>
        <w:t xml:space="preserve">, G., </w:t>
      </w:r>
      <w:proofErr w:type="spellStart"/>
      <w:r w:rsidRPr="003A55BF">
        <w:rPr>
          <w:rFonts w:cstheme="minorHAnsi"/>
          <w:color w:val="242021"/>
          <w:sz w:val="20"/>
          <w:szCs w:val="20"/>
        </w:rPr>
        <w:t>Cornblath</w:t>
      </w:r>
      <w:proofErr w:type="spellEnd"/>
      <w:r w:rsidRPr="003A55BF">
        <w:rPr>
          <w:rFonts w:cstheme="minorHAnsi"/>
          <w:color w:val="242021"/>
          <w:sz w:val="20"/>
          <w:szCs w:val="20"/>
        </w:rPr>
        <w:t xml:space="preserve">, D. R., </w:t>
      </w:r>
      <w:proofErr w:type="spellStart"/>
      <w:r w:rsidRPr="003A55BF">
        <w:rPr>
          <w:rFonts w:cstheme="minorHAnsi"/>
          <w:color w:val="242021"/>
          <w:sz w:val="20"/>
          <w:szCs w:val="20"/>
        </w:rPr>
        <w:t>Merkies</w:t>
      </w:r>
      <w:proofErr w:type="spellEnd"/>
      <w:r w:rsidRPr="003A55BF">
        <w:rPr>
          <w:rFonts w:cstheme="minorHAnsi"/>
          <w:color w:val="242021"/>
          <w:sz w:val="20"/>
          <w:szCs w:val="20"/>
        </w:rPr>
        <w:t>, I. S., Postma, T. J., Rossi, E.,</w:t>
      </w:r>
      <w:r w:rsidR="00764A49" w:rsidRPr="003A55BF">
        <w:rPr>
          <w:rFonts w:cstheme="minorHAnsi"/>
          <w:color w:val="242021"/>
          <w:sz w:val="20"/>
          <w:szCs w:val="20"/>
        </w:rPr>
        <w:t xml:space="preserve"> </w:t>
      </w:r>
      <w:proofErr w:type="spellStart"/>
      <w:r w:rsidRPr="003A55BF">
        <w:rPr>
          <w:rFonts w:cstheme="minorHAnsi"/>
          <w:color w:val="242021"/>
          <w:sz w:val="20"/>
          <w:szCs w:val="20"/>
        </w:rPr>
        <w:t>Frigeni</w:t>
      </w:r>
      <w:proofErr w:type="spellEnd"/>
      <w:r w:rsidRPr="003A55BF">
        <w:rPr>
          <w:rFonts w:cstheme="minorHAnsi"/>
          <w:color w:val="242021"/>
          <w:sz w:val="20"/>
          <w:szCs w:val="20"/>
        </w:rPr>
        <w:t>, B., … CI-</w:t>
      </w:r>
      <w:proofErr w:type="spellStart"/>
      <w:r w:rsidRPr="003A55BF">
        <w:rPr>
          <w:rFonts w:cstheme="minorHAnsi"/>
          <w:color w:val="242021"/>
          <w:sz w:val="20"/>
          <w:szCs w:val="20"/>
        </w:rPr>
        <w:t>PeriNomS</w:t>
      </w:r>
      <w:proofErr w:type="spellEnd"/>
      <w:r w:rsidRPr="003A55BF">
        <w:rPr>
          <w:rFonts w:cstheme="minorHAnsi"/>
          <w:color w:val="242021"/>
          <w:sz w:val="20"/>
          <w:szCs w:val="20"/>
        </w:rPr>
        <w:t xml:space="preserve"> Group (2013). The chemotherapy-induced peripheral neuropathy outcome measures standardization</w:t>
      </w:r>
      <w:r w:rsidR="00764A49" w:rsidRPr="003A55BF">
        <w:rPr>
          <w:rFonts w:cstheme="minorHAnsi"/>
          <w:color w:val="242021"/>
          <w:sz w:val="20"/>
          <w:szCs w:val="20"/>
        </w:rPr>
        <w:t xml:space="preserve"> </w:t>
      </w:r>
      <w:r w:rsidRPr="003A55BF">
        <w:rPr>
          <w:rFonts w:cstheme="minorHAnsi"/>
          <w:color w:val="242021"/>
          <w:sz w:val="20"/>
          <w:szCs w:val="20"/>
        </w:rPr>
        <w:t>study: From consensus to the first validity and reliability findings.</w:t>
      </w:r>
      <w:r w:rsidR="00764A49" w:rsidRPr="003A55BF">
        <w:rPr>
          <w:rFonts w:cstheme="minorHAnsi"/>
          <w:color w:val="242021"/>
          <w:sz w:val="20"/>
          <w:szCs w:val="20"/>
        </w:rPr>
        <w:t xml:space="preserve"> </w:t>
      </w:r>
      <w:r w:rsidRPr="003A55BF">
        <w:rPr>
          <w:rFonts w:cstheme="minorHAnsi"/>
          <w:i/>
          <w:iCs/>
          <w:color w:val="242021"/>
          <w:sz w:val="20"/>
          <w:szCs w:val="20"/>
        </w:rPr>
        <w:t>Annals of Oncology</w:t>
      </w:r>
      <w:r w:rsidRPr="003A55BF">
        <w:rPr>
          <w:rFonts w:cstheme="minorHAnsi"/>
          <w:color w:val="242021"/>
          <w:sz w:val="20"/>
          <w:szCs w:val="20"/>
        </w:rPr>
        <w:t xml:space="preserve">, </w:t>
      </w:r>
      <w:r w:rsidRPr="003A55BF">
        <w:rPr>
          <w:rFonts w:cstheme="minorHAnsi"/>
          <w:i/>
          <w:iCs/>
          <w:color w:val="242021"/>
          <w:sz w:val="20"/>
          <w:szCs w:val="20"/>
        </w:rPr>
        <w:t>24</w:t>
      </w:r>
      <w:r w:rsidRPr="003A55BF">
        <w:rPr>
          <w:rFonts w:cstheme="minorHAnsi"/>
          <w:color w:val="242021"/>
          <w:sz w:val="20"/>
          <w:szCs w:val="20"/>
        </w:rPr>
        <w:t xml:space="preserve">(2), 454–462. </w:t>
      </w:r>
    </w:p>
    <w:p w14:paraId="03383D39" w14:textId="7046619D" w:rsidR="00BC4475" w:rsidRPr="003A55BF" w:rsidRDefault="00BC4475">
      <w:pPr>
        <w:rPr>
          <w:rFonts w:cstheme="minorHAnsi"/>
          <w:color w:val="242021"/>
          <w:sz w:val="20"/>
          <w:szCs w:val="20"/>
        </w:rPr>
      </w:pPr>
      <w:r w:rsidRPr="003A55BF">
        <w:rPr>
          <w:rFonts w:cstheme="minorHAnsi"/>
          <w:color w:val="242021"/>
          <w:sz w:val="20"/>
          <w:szCs w:val="20"/>
        </w:rPr>
        <w:t xml:space="preserve">Chen, R. C., </w:t>
      </w:r>
      <w:proofErr w:type="spellStart"/>
      <w:r w:rsidRPr="003A55BF">
        <w:rPr>
          <w:rFonts w:cstheme="minorHAnsi"/>
          <w:color w:val="242021"/>
          <w:sz w:val="20"/>
          <w:szCs w:val="20"/>
        </w:rPr>
        <w:t>Falchook</w:t>
      </w:r>
      <w:proofErr w:type="spellEnd"/>
      <w:r w:rsidRPr="003A55BF">
        <w:rPr>
          <w:rFonts w:cstheme="minorHAnsi"/>
          <w:color w:val="242021"/>
          <w:sz w:val="20"/>
          <w:szCs w:val="20"/>
        </w:rPr>
        <w:t xml:space="preserve">, A. D., Tian, F., </w:t>
      </w:r>
      <w:proofErr w:type="spellStart"/>
      <w:r w:rsidRPr="003A55BF">
        <w:rPr>
          <w:rFonts w:cstheme="minorHAnsi"/>
          <w:color w:val="242021"/>
          <w:sz w:val="20"/>
          <w:szCs w:val="20"/>
        </w:rPr>
        <w:t>Basak</w:t>
      </w:r>
      <w:proofErr w:type="spellEnd"/>
      <w:r w:rsidRPr="003A55BF">
        <w:rPr>
          <w:rFonts w:cstheme="minorHAnsi"/>
          <w:color w:val="242021"/>
          <w:sz w:val="20"/>
          <w:szCs w:val="20"/>
        </w:rPr>
        <w:t>, R., Hanson, L., Selvam, N., &amp;</w:t>
      </w:r>
      <w:r w:rsidR="00764A49" w:rsidRPr="003A55BF">
        <w:rPr>
          <w:rFonts w:cstheme="minorHAnsi"/>
          <w:color w:val="242021"/>
          <w:sz w:val="20"/>
          <w:szCs w:val="20"/>
        </w:rPr>
        <w:t xml:space="preserve">  </w:t>
      </w:r>
      <w:proofErr w:type="spellStart"/>
      <w:r w:rsidRPr="003A55BF">
        <w:rPr>
          <w:rFonts w:cstheme="minorHAnsi"/>
          <w:color w:val="242021"/>
          <w:sz w:val="20"/>
          <w:szCs w:val="20"/>
        </w:rPr>
        <w:t>Dusetzina</w:t>
      </w:r>
      <w:proofErr w:type="spellEnd"/>
      <w:r w:rsidRPr="003A55BF">
        <w:rPr>
          <w:rFonts w:cstheme="minorHAnsi"/>
          <w:color w:val="242021"/>
          <w:sz w:val="20"/>
          <w:szCs w:val="20"/>
        </w:rPr>
        <w:t>, S. (2016). Aggressive care at the end-of-life for younge</w:t>
      </w:r>
      <w:r w:rsidR="00764A49" w:rsidRPr="003A55BF">
        <w:rPr>
          <w:rFonts w:cstheme="minorHAnsi"/>
          <w:color w:val="242021"/>
          <w:sz w:val="20"/>
          <w:szCs w:val="20"/>
        </w:rPr>
        <w:t xml:space="preserve">r </w:t>
      </w:r>
      <w:r w:rsidRPr="003A55BF">
        <w:rPr>
          <w:rFonts w:cstheme="minorHAnsi"/>
          <w:color w:val="242021"/>
          <w:sz w:val="20"/>
          <w:szCs w:val="20"/>
        </w:rPr>
        <w:t>patients with cancer: Impact of ASCO's Choosing Wisely campaign.</w:t>
      </w:r>
      <w:r w:rsidR="00764A49" w:rsidRPr="003A55BF">
        <w:rPr>
          <w:rFonts w:cstheme="minorHAnsi"/>
          <w:color w:val="242021"/>
          <w:sz w:val="20"/>
          <w:szCs w:val="20"/>
        </w:rPr>
        <w:t xml:space="preserve"> </w:t>
      </w:r>
      <w:r w:rsidRPr="003A55BF">
        <w:rPr>
          <w:rFonts w:cstheme="minorHAnsi"/>
          <w:i/>
          <w:iCs/>
          <w:color w:val="242021"/>
          <w:sz w:val="20"/>
          <w:szCs w:val="20"/>
        </w:rPr>
        <w:t>Journal of Clinical Oncology</w:t>
      </w:r>
      <w:r w:rsidRPr="003A55BF">
        <w:rPr>
          <w:rFonts w:cstheme="minorHAnsi"/>
          <w:color w:val="242021"/>
          <w:sz w:val="20"/>
          <w:szCs w:val="20"/>
        </w:rPr>
        <w:t xml:space="preserve">, </w:t>
      </w:r>
      <w:r w:rsidRPr="003A55BF">
        <w:rPr>
          <w:rFonts w:cstheme="minorHAnsi"/>
          <w:i/>
          <w:iCs/>
          <w:color w:val="242021"/>
          <w:sz w:val="20"/>
          <w:szCs w:val="20"/>
        </w:rPr>
        <w:t>34</w:t>
      </w:r>
      <w:r w:rsidRPr="003A55BF">
        <w:rPr>
          <w:rFonts w:cstheme="minorHAnsi"/>
          <w:color w:val="242021"/>
          <w:sz w:val="20"/>
          <w:szCs w:val="20"/>
        </w:rPr>
        <w:t>(15_suppl), LBA10033</w:t>
      </w:r>
      <w:r w:rsidR="00764A49" w:rsidRPr="003A55BF">
        <w:rPr>
          <w:rFonts w:cstheme="minorHAnsi"/>
          <w:color w:val="242021"/>
          <w:sz w:val="20"/>
          <w:szCs w:val="20"/>
        </w:rPr>
        <w:t>.</w:t>
      </w:r>
    </w:p>
    <w:p w14:paraId="4CB0F08F" w14:textId="3759FA46" w:rsidR="00764A49" w:rsidRPr="003A55BF" w:rsidRDefault="00BC4475">
      <w:pPr>
        <w:rPr>
          <w:rFonts w:cstheme="minorHAnsi"/>
          <w:color w:val="242021"/>
          <w:sz w:val="20"/>
          <w:szCs w:val="20"/>
        </w:rPr>
      </w:pPr>
      <w:proofErr w:type="spellStart"/>
      <w:r w:rsidRPr="003A55BF">
        <w:rPr>
          <w:rFonts w:cstheme="minorHAnsi"/>
          <w:color w:val="242021"/>
          <w:sz w:val="20"/>
          <w:szCs w:val="20"/>
        </w:rPr>
        <w:t>Dalkey</w:t>
      </w:r>
      <w:proofErr w:type="spellEnd"/>
      <w:r w:rsidRPr="003A55BF">
        <w:rPr>
          <w:rFonts w:cstheme="minorHAnsi"/>
          <w:color w:val="242021"/>
          <w:sz w:val="20"/>
          <w:szCs w:val="20"/>
        </w:rPr>
        <w:t>, N., &amp; Helmer, O. (1963). An experimental application of the</w:t>
      </w:r>
      <w:r w:rsidR="00764A49" w:rsidRPr="003A55BF">
        <w:rPr>
          <w:rFonts w:cstheme="minorHAnsi"/>
          <w:color w:val="242021"/>
          <w:sz w:val="20"/>
          <w:szCs w:val="20"/>
        </w:rPr>
        <w:t xml:space="preserve"> </w:t>
      </w:r>
      <w:r w:rsidRPr="003A55BF">
        <w:rPr>
          <w:rFonts w:cstheme="minorHAnsi"/>
          <w:color w:val="242021"/>
          <w:sz w:val="20"/>
          <w:szCs w:val="20"/>
        </w:rPr>
        <w:t xml:space="preserve">Delphi method to the use of experts. </w:t>
      </w:r>
      <w:r w:rsidRPr="003A55BF">
        <w:rPr>
          <w:rFonts w:cstheme="minorHAnsi"/>
          <w:i/>
          <w:iCs/>
          <w:color w:val="242021"/>
          <w:sz w:val="20"/>
          <w:szCs w:val="20"/>
        </w:rPr>
        <w:t>Management Science</w:t>
      </w:r>
      <w:r w:rsidRPr="003A55BF">
        <w:rPr>
          <w:rFonts w:cstheme="minorHAnsi"/>
          <w:color w:val="242021"/>
          <w:sz w:val="20"/>
          <w:szCs w:val="20"/>
        </w:rPr>
        <w:t xml:space="preserve">, </w:t>
      </w:r>
      <w:r w:rsidRPr="003A55BF">
        <w:rPr>
          <w:rFonts w:cstheme="minorHAnsi"/>
          <w:i/>
          <w:iCs/>
          <w:color w:val="242021"/>
          <w:sz w:val="20"/>
          <w:szCs w:val="20"/>
        </w:rPr>
        <w:t>9</w:t>
      </w:r>
      <w:r w:rsidRPr="003A55BF">
        <w:rPr>
          <w:rFonts w:cstheme="minorHAnsi"/>
          <w:color w:val="242021"/>
          <w:sz w:val="20"/>
          <w:szCs w:val="20"/>
        </w:rPr>
        <w:t>(3), 458–</w:t>
      </w:r>
      <w:r w:rsidR="00764A49" w:rsidRPr="003A55BF">
        <w:rPr>
          <w:rFonts w:cstheme="minorHAnsi"/>
          <w:color w:val="242021"/>
          <w:sz w:val="20"/>
          <w:szCs w:val="20"/>
        </w:rPr>
        <w:t xml:space="preserve"> </w:t>
      </w:r>
      <w:r w:rsidRPr="003A55BF">
        <w:rPr>
          <w:rFonts w:cstheme="minorHAnsi"/>
          <w:color w:val="242021"/>
          <w:sz w:val="20"/>
          <w:szCs w:val="20"/>
        </w:rPr>
        <w:t xml:space="preserve">467. </w:t>
      </w:r>
    </w:p>
    <w:p w14:paraId="548DDEFA" w14:textId="61AFFBC1" w:rsidR="00764A49" w:rsidRPr="003A55BF" w:rsidRDefault="00BC4475">
      <w:pPr>
        <w:rPr>
          <w:rFonts w:cstheme="minorHAnsi"/>
          <w:color w:val="242021"/>
          <w:sz w:val="20"/>
          <w:szCs w:val="20"/>
        </w:rPr>
      </w:pPr>
      <w:r w:rsidRPr="003A55BF">
        <w:rPr>
          <w:rFonts w:cstheme="minorHAnsi"/>
          <w:color w:val="242021"/>
          <w:sz w:val="20"/>
          <w:szCs w:val="20"/>
        </w:rPr>
        <w:br/>
        <w:t>Day, M. S. (2012). Late presentation, late diagnosis, late stage diagnosis, delayed diagnosis, delayed presentation: Terminology confuses</w:t>
      </w:r>
      <w:r w:rsidR="00764A49" w:rsidRPr="003A55BF">
        <w:rPr>
          <w:rFonts w:cstheme="minorHAnsi"/>
          <w:color w:val="242021"/>
          <w:sz w:val="20"/>
          <w:szCs w:val="20"/>
        </w:rPr>
        <w:t xml:space="preserve"> </w:t>
      </w:r>
      <w:r w:rsidRPr="003A55BF">
        <w:rPr>
          <w:rFonts w:cstheme="minorHAnsi"/>
          <w:color w:val="242021"/>
          <w:sz w:val="20"/>
          <w:szCs w:val="20"/>
        </w:rPr>
        <w:t xml:space="preserve">the message in UK cancer policy. </w:t>
      </w:r>
      <w:r w:rsidRPr="003A55BF">
        <w:rPr>
          <w:rFonts w:cstheme="minorHAnsi"/>
          <w:i/>
          <w:iCs/>
          <w:color w:val="242021"/>
          <w:sz w:val="20"/>
          <w:szCs w:val="20"/>
        </w:rPr>
        <w:t>BMJ</w:t>
      </w:r>
      <w:r w:rsidRPr="003A55BF">
        <w:rPr>
          <w:rFonts w:cstheme="minorHAnsi"/>
          <w:color w:val="242021"/>
          <w:sz w:val="20"/>
          <w:szCs w:val="20"/>
        </w:rPr>
        <w:t xml:space="preserve">, </w:t>
      </w:r>
      <w:r w:rsidRPr="003A55BF">
        <w:rPr>
          <w:rFonts w:cstheme="minorHAnsi"/>
          <w:i/>
          <w:iCs/>
          <w:color w:val="242021"/>
          <w:sz w:val="20"/>
          <w:szCs w:val="20"/>
        </w:rPr>
        <w:t>344</w:t>
      </w:r>
      <w:r w:rsidRPr="003A55BF">
        <w:rPr>
          <w:rFonts w:cstheme="minorHAnsi"/>
          <w:color w:val="242021"/>
          <w:sz w:val="20"/>
          <w:szCs w:val="20"/>
        </w:rPr>
        <w:t xml:space="preserve">, e3017. </w:t>
      </w:r>
    </w:p>
    <w:p w14:paraId="217C0DEF"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Department of Health (2013). </w:t>
      </w:r>
      <w:r w:rsidRPr="003A55BF">
        <w:rPr>
          <w:rFonts w:cstheme="minorHAnsi"/>
          <w:i/>
          <w:iCs/>
          <w:color w:val="242021"/>
          <w:sz w:val="20"/>
          <w:szCs w:val="20"/>
        </w:rPr>
        <w:t>Health care quality indicators in the Irish</w:t>
      </w:r>
      <w:r w:rsidR="00764A49" w:rsidRPr="003A55BF">
        <w:rPr>
          <w:rFonts w:cstheme="minorHAnsi"/>
          <w:i/>
          <w:iCs/>
          <w:color w:val="242021"/>
          <w:sz w:val="20"/>
          <w:szCs w:val="20"/>
        </w:rPr>
        <w:t xml:space="preserve"> </w:t>
      </w:r>
      <w:r w:rsidRPr="003A55BF">
        <w:rPr>
          <w:rFonts w:cstheme="minorHAnsi"/>
          <w:i/>
          <w:iCs/>
          <w:color w:val="242021"/>
          <w:sz w:val="20"/>
          <w:szCs w:val="20"/>
        </w:rPr>
        <w:t>health system: Examining the potential of hospital discharge data using</w:t>
      </w:r>
      <w:r w:rsidR="00764A49" w:rsidRPr="003A55BF">
        <w:rPr>
          <w:rFonts w:cstheme="minorHAnsi"/>
          <w:i/>
          <w:iCs/>
          <w:color w:val="242021"/>
          <w:sz w:val="20"/>
          <w:szCs w:val="20"/>
        </w:rPr>
        <w:t xml:space="preserve"> </w:t>
      </w:r>
      <w:r w:rsidRPr="003A55BF">
        <w:rPr>
          <w:rFonts w:cstheme="minorHAnsi"/>
          <w:i/>
          <w:iCs/>
          <w:color w:val="242021"/>
          <w:sz w:val="20"/>
          <w:szCs w:val="20"/>
        </w:rPr>
        <w:t>the hospital inpatient enquiry system</w:t>
      </w:r>
      <w:r w:rsidRPr="003A55BF">
        <w:rPr>
          <w:rFonts w:cstheme="minorHAnsi"/>
          <w:color w:val="242021"/>
          <w:sz w:val="20"/>
          <w:szCs w:val="20"/>
        </w:rPr>
        <w:t>. Retrieved from https://health.</w:t>
      </w:r>
      <w:r w:rsidRPr="003A55BF">
        <w:rPr>
          <w:rFonts w:cstheme="minorHAnsi"/>
          <w:color w:val="242021"/>
          <w:sz w:val="20"/>
          <w:szCs w:val="20"/>
        </w:rPr>
        <w:br/>
        <w:t>gov.ie/</w:t>
      </w:r>
      <w:proofErr w:type="spellStart"/>
      <w:r w:rsidRPr="003A55BF">
        <w:rPr>
          <w:rFonts w:cstheme="minorHAnsi"/>
          <w:color w:val="242021"/>
          <w:sz w:val="20"/>
          <w:szCs w:val="20"/>
        </w:rPr>
        <w:t>wp</w:t>
      </w:r>
      <w:proofErr w:type="spellEnd"/>
      <w:r w:rsidRPr="003A55BF">
        <w:rPr>
          <w:rFonts w:cstheme="minorHAnsi"/>
          <w:color w:val="242021"/>
          <w:sz w:val="20"/>
          <w:szCs w:val="20"/>
        </w:rPr>
        <w:t>-content/uploads/2014/03/Health-Care-Quality-Indic</w:t>
      </w:r>
      <w:r w:rsidR="00764A49" w:rsidRPr="003A55BF">
        <w:rPr>
          <w:rFonts w:cstheme="minorHAnsi"/>
          <w:color w:val="242021"/>
          <w:sz w:val="20"/>
          <w:szCs w:val="20"/>
        </w:rPr>
        <w:t xml:space="preserve"> </w:t>
      </w:r>
      <w:r w:rsidRPr="003A55BF">
        <w:rPr>
          <w:rFonts w:cstheme="minorHAnsi"/>
          <w:color w:val="242021"/>
          <w:sz w:val="20"/>
          <w:szCs w:val="20"/>
        </w:rPr>
        <w:t>ators-in-the-Irish-Health-System.pdf</w:t>
      </w:r>
    </w:p>
    <w:p w14:paraId="472C4146" w14:textId="4A6410DA" w:rsidR="00764A49" w:rsidRPr="003A55BF" w:rsidRDefault="00BC4475">
      <w:pPr>
        <w:rPr>
          <w:rFonts w:cstheme="minorHAnsi"/>
          <w:color w:val="242021"/>
          <w:sz w:val="20"/>
          <w:szCs w:val="20"/>
        </w:rPr>
      </w:pPr>
      <w:r w:rsidRPr="003A55BF">
        <w:rPr>
          <w:rFonts w:cstheme="minorHAnsi"/>
          <w:color w:val="242021"/>
          <w:sz w:val="20"/>
          <w:szCs w:val="20"/>
        </w:rPr>
        <w:br/>
        <w:t xml:space="preserve">Department of Health (2015). </w:t>
      </w:r>
      <w:r w:rsidRPr="003A55BF">
        <w:rPr>
          <w:rFonts w:cstheme="minorHAnsi"/>
          <w:i/>
          <w:iCs/>
          <w:color w:val="242021"/>
          <w:sz w:val="20"/>
          <w:szCs w:val="20"/>
        </w:rPr>
        <w:t>Health information and patient safety bill</w:t>
      </w:r>
      <w:r w:rsidR="00764A49" w:rsidRPr="003A55BF">
        <w:rPr>
          <w:rFonts w:cstheme="minorHAnsi"/>
          <w:i/>
          <w:iCs/>
          <w:color w:val="242021"/>
          <w:sz w:val="20"/>
          <w:szCs w:val="20"/>
        </w:rPr>
        <w:t xml:space="preserve"> </w:t>
      </w:r>
      <w:r w:rsidRPr="003A55BF">
        <w:rPr>
          <w:rFonts w:cstheme="minorHAnsi"/>
          <w:i/>
          <w:iCs/>
          <w:color w:val="242021"/>
          <w:sz w:val="20"/>
          <w:szCs w:val="20"/>
        </w:rPr>
        <w:t>– General scheme</w:t>
      </w:r>
      <w:r w:rsidRPr="003A55BF">
        <w:rPr>
          <w:rFonts w:cstheme="minorHAnsi"/>
          <w:color w:val="242021"/>
          <w:sz w:val="20"/>
          <w:szCs w:val="20"/>
        </w:rPr>
        <w:t xml:space="preserve">. Retrieved from </w:t>
      </w:r>
      <w:hyperlink r:id="rId8" w:history="1">
        <w:r w:rsidR="00764A49" w:rsidRPr="003A55BF">
          <w:rPr>
            <w:rStyle w:val="Hyperlink"/>
            <w:rFonts w:cstheme="minorHAnsi"/>
            <w:sz w:val="20"/>
            <w:szCs w:val="20"/>
          </w:rPr>
          <w:t>https://health.gov.ie/blog/publications/general-scheme-of-health-information-and-patient-safety-bill/</w:t>
        </w:r>
      </w:hyperlink>
    </w:p>
    <w:p w14:paraId="1C86519F"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Des </w:t>
      </w:r>
      <w:proofErr w:type="spellStart"/>
      <w:r w:rsidRPr="003A55BF">
        <w:rPr>
          <w:rFonts w:cstheme="minorHAnsi"/>
          <w:color w:val="242021"/>
          <w:sz w:val="20"/>
          <w:szCs w:val="20"/>
        </w:rPr>
        <w:t>Guetz</w:t>
      </w:r>
      <w:proofErr w:type="spellEnd"/>
      <w:r w:rsidRPr="003A55BF">
        <w:rPr>
          <w:rFonts w:cstheme="minorHAnsi"/>
          <w:color w:val="242021"/>
          <w:sz w:val="20"/>
          <w:szCs w:val="20"/>
        </w:rPr>
        <w:t xml:space="preserve">, G., Nicolas, P., Perret, G.-Y., </w:t>
      </w:r>
      <w:proofErr w:type="spellStart"/>
      <w:r w:rsidRPr="003A55BF">
        <w:rPr>
          <w:rFonts w:cstheme="minorHAnsi"/>
          <w:color w:val="242021"/>
          <w:sz w:val="20"/>
          <w:szCs w:val="20"/>
        </w:rPr>
        <w:t>Morere</w:t>
      </w:r>
      <w:proofErr w:type="spellEnd"/>
      <w:r w:rsidRPr="003A55BF">
        <w:rPr>
          <w:rFonts w:cstheme="minorHAnsi"/>
          <w:color w:val="242021"/>
          <w:sz w:val="20"/>
          <w:szCs w:val="20"/>
        </w:rPr>
        <w:t xml:space="preserve">, J.-F., &amp; </w:t>
      </w:r>
      <w:proofErr w:type="spellStart"/>
      <w:r w:rsidRPr="003A55BF">
        <w:rPr>
          <w:rFonts w:cstheme="minorHAnsi"/>
          <w:color w:val="242021"/>
          <w:sz w:val="20"/>
          <w:szCs w:val="20"/>
        </w:rPr>
        <w:t>Uzzan</w:t>
      </w:r>
      <w:proofErr w:type="spellEnd"/>
      <w:r w:rsidRPr="003A55BF">
        <w:rPr>
          <w:rFonts w:cstheme="minorHAnsi"/>
          <w:color w:val="242021"/>
          <w:sz w:val="20"/>
          <w:szCs w:val="20"/>
        </w:rPr>
        <w:t>, B. (2010).</w:t>
      </w:r>
      <w:r w:rsidR="00764A49" w:rsidRPr="003A55BF">
        <w:rPr>
          <w:rFonts w:cstheme="minorHAnsi"/>
          <w:color w:val="242021"/>
          <w:sz w:val="20"/>
          <w:szCs w:val="20"/>
        </w:rPr>
        <w:t xml:space="preserve"> </w:t>
      </w:r>
      <w:r w:rsidRPr="003A55BF">
        <w:rPr>
          <w:rFonts w:cstheme="minorHAnsi"/>
          <w:color w:val="242021"/>
          <w:sz w:val="20"/>
          <w:szCs w:val="20"/>
        </w:rPr>
        <w:t xml:space="preserve">Does delaying adjuvant </w:t>
      </w:r>
      <w:r w:rsidR="00764A49" w:rsidRPr="003A55BF">
        <w:rPr>
          <w:rFonts w:cstheme="minorHAnsi"/>
          <w:color w:val="242021"/>
          <w:sz w:val="20"/>
          <w:szCs w:val="20"/>
        </w:rPr>
        <w:t xml:space="preserve"> </w:t>
      </w:r>
      <w:r w:rsidRPr="003A55BF">
        <w:rPr>
          <w:rFonts w:cstheme="minorHAnsi"/>
          <w:color w:val="242021"/>
          <w:sz w:val="20"/>
          <w:szCs w:val="20"/>
        </w:rPr>
        <w:t xml:space="preserve">chemotherapy after curative </w:t>
      </w:r>
      <w:proofErr w:type="spellStart"/>
      <w:r w:rsidRPr="003A55BF">
        <w:rPr>
          <w:rFonts w:cstheme="minorHAnsi"/>
          <w:color w:val="242021"/>
          <w:sz w:val="20"/>
          <w:szCs w:val="20"/>
        </w:rPr>
        <w:t>surgeryfor</w:t>
      </w:r>
      <w:proofErr w:type="spellEnd"/>
      <w:r w:rsidRPr="003A55BF">
        <w:rPr>
          <w:rFonts w:cstheme="minorHAnsi"/>
          <w:color w:val="242021"/>
          <w:sz w:val="20"/>
          <w:szCs w:val="20"/>
        </w:rPr>
        <w:t xml:space="preserve"> colorectal cancer impair survival? </w:t>
      </w:r>
      <w:r w:rsidRPr="003A55BF">
        <w:rPr>
          <w:rFonts w:cstheme="minorHAnsi"/>
          <w:i/>
          <w:iCs/>
          <w:color w:val="242021"/>
          <w:sz w:val="20"/>
          <w:szCs w:val="20"/>
        </w:rPr>
        <w:t>A meta-analysis. European</w:t>
      </w:r>
      <w:r w:rsidRPr="003A55BF">
        <w:rPr>
          <w:rFonts w:cstheme="minorHAnsi"/>
          <w:i/>
          <w:iCs/>
          <w:color w:val="242021"/>
          <w:sz w:val="20"/>
          <w:szCs w:val="20"/>
        </w:rPr>
        <w:br/>
        <w:t>Journal of Cancer</w:t>
      </w:r>
      <w:r w:rsidRPr="003A55BF">
        <w:rPr>
          <w:rFonts w:cstheme="minorHAnsi"/>
          <w:color w:val="242021"/>
          <w:sz w:val="20"/>
          <w:szCs w:val="20"/>
        </w:rPr>
        <w:t xml:space="preserve">, </w:t>
      </w:r>
      <w:r w:rsidRPr="003A55BF">
        <w:rPr>
          <w:rFonts w:cstheme="minorHAnsi"/>
          <w:i/>
          <w:iCs/>
          <w:color w:val="242021"/>
          <w:sz w:val="20"/>
          <w:szCs w:val="20"/>
        </w:rPr>
        <w:t>46</w:t>
      </w:r>
      <w:r w:rsidRPr="003A55BF">
        <w:rPr>
          <w:rFonts w:cstheme="minorHAnsi"/>
          <w:color w:val="242021"/>
          <w:sz w:val="20"/>
          <w:szCs w:val="20"/>
        </w:rPr>
        <w:t xml:space="preserve">, 1049–1055. </w:t>
      </w:r>
    </w:p>
    <w:p w14:paraId="652C31CB"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Diamond, I. R., Grant, R. C., Feldman, B. M., </w:t>
      </w:r>
      <w:proofErr w:type="spellStart"/>
      <w:r w:rsidRPr="003A55BF">
        <w:rPr>
          <w:rFonts w:cstheme="minorHAnsi"/>
          <w:color w:val="242021"/>
          <w:sz w:val="20"/>
          <w:szCs w:val="20"/>
        </w:rPr>
        <w:t>Pencharz</w:t>
      </w:r>
      <w:proofErr w:type="spellEnd"/>
      <w:r w:rsidRPr="003A55BF">
        <w:rPr>
          <w:rFonts w:cstheme="minorHAnsi"/>
          <w:color w:val="242021"/>
          <w:sz w:val="20"/>
          <w:szCs w:val="20"/>
        </w:rPr>
        <w:t>, P. B., Ling, S. C.,</w:t>
      </w:r>
      <w:r w:rsidR="00764A49" w:rsidRPr="003A55BF">
        <w:rPr>
          <w:rFonts w:cstheme="minorHAnsi"/>
          <w:color w:val="242021"/>
          <w:sz w:val="20"/>
          <w:szCs w:val="20"/>
        </w:rPr>
        <w:t xml:space="preserve"> </w:t>
      </w:r>
      <w:r w:rsidRPr="003A55BF">
        <w:rPr>
          <w:rFonts w:cstheme="minorHAnsi"/>
          <w:color w:val="242021"/>
          <w:sz w:val="20"/>
          <w:szCs w:val="20"/>
        </w:rPr>
        <w:t>Moore, A. M., &amp; Wales, P. W. (2014). Review Article: Defining consensus: A systematic review recommends methodologic criteria for</w:t>
      </w:r>
      <w:r w:rsidR="00764A49" w:rsidRPr="003A55BF">
        <w:rPr>
          <w:rFonts w:cstheme="minorHAnsi"/>
          <w:color w:val="242021"/>
          <w:sz w:val="20"/>
          <w:szCs w:val="20"/>
        </w:rPr>
        <w:t xml:space="preserve"> </w:t>
      </w:r>
      <w:r w:rsidRPr="003A55BF">
        <w:rPr>
          <w:rFonts w:cstheme="minorHAnsi"/>
          <w:color w:val="242021"/>
          <w:sz w:val="20"/>
          <w:szCs w:val="20"/>
        </w:rPr>
        <w:t xml:space="preserve">reporting of Delphi studies. </w:t>
      </w:r>
      <w:r w:rsidRPr="003A55BF">
        <w:rPr>
          <w:rFonts w:cstheme="minorHAnsi"/>
          <w:i/>
          <w:iCs/>
          <w:color w:val="242021"/>
          <w:sz w:val="20"/>
          <w:szCs w:val="20"/>
        </w:rPr>
        <w:t>Journal of Clinical Epidemiology</w:t>
      </w:r>
      <w:r w:rsidRPr="003A55BF">
        <w:rPr>
          <w:rFonts w:cstheme="minorHAnsi"/>
          <w:color w:val="242021"/>
          <w:sz w:val="20"/>
          <w:szCs w:val="20"/>
        </w:rPr>
        <w:t xml:space="preserve">, </w:t>
      </w:r>
      <w:r w:rsidRPr="003A55BF">
        <w:rPr>
          <w:rFonts w:cstheme="minorHAnsi"/>
          <w:i/>
          <w:iCs/>
          <w:color w:val="242021"/>
          <w:sz w:val="20"/>
          <w:szCs w:val="20"/>
        </w:rPr>
        <w:t>67</w:t>
      </w:r>
      <w:r w:rsidRPr="003A55BF">
        <w:rPr>
          <w:rFonts w:cstheme="minorHAnsi"/>
          <w:color w:val="242021"/>
          <w:sz w:val="20"/>
          <w:szCs w:val="20"/>
        </w:rPr>
        <w:t>, 401–</w:t>
      </w:r>
      <w:r w:rsidR="00764A49" w:rsidRPr="003A55BF">
        <w:rPr>
          <w:rFonts w:cstheme="minorHAnsi"/>
          <w:color w:val="242021"/>
          <w:sz w:val="20"/>
          <w:szCs w:val="20"/>
        </w:rPr>
        <w:t xml:space="preserve"> </w:t>
      </w:r>
      <w:r w:rsidRPr="003A55BF">
        <w:rPr>
          <w:rFonts w:cstheme="minorHAnsi"/>
          <w:color w:val="242021"/>
          <w:sz w:val="20"/>
          <w:szCs w:val="20"/>
        </w:rPr>
        <w:t xml:space="preserve">409. </w:t>
      </w:r>
    </w:p>
    <w:p w14:paraId="369C22B7"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do </w:t>
      </w:r>
      <w:proofErr w:type="spellStart"/>
      <w:r w:rsidRPr="003A55BF">
        <w:rPr>
          <w:rFonts w:cstheme="minorHAnsi"/>
          <w:color w:val="242021"/>
          <w:sz w:val="20"/>
          <w:szCs w:val="20"/>
        </w:rPr>
        <w:t>Carmo</w:t>
      </w:r>
      <w:proofErr w:type="spellEnd"/>
      <w:r w:rsidRPr="003A55BF">
        <w:rPr>
          <w:rFonts w:cstheme="minorHAnsi"/>
          <w:color w:val="242021"/>
          <w:sz w:val="20"/>
          <w:szCs w:val="20"/>
        </w:rPr>
        <w:t>, T. M., Paiva, B. S. R., de Siqueira, M. R., da Rosa, L. T. B., de</w:t>
      </w:r>
      <w:r w:rsidR="00764A49" w:rsidRPr="003A55BF">
        <w:rPr>
          <w:rFonts w:cstheme="minorHAnsi"/>
          <w:color w:val="242021"/>
          <w:sz w:val="20"/>
          <w:szCs w:val="20"/>
        </w:rPr>
        <w:t xml:space="preserve"> </w:t>
      </w:r>
      <w:r w:rsidRPr="003A55BF">
        <w:rPr>
          <w:rFonts w:cstheme="minorHAnsi"/>
          <w:color w:val="242021"/>
          <w:sz w:val="20"/>
          <w:szCs w:val="20"/>
        </w:rPr>
        <w:t>Oliveira, C. Z., Nascimento, M. S. A., &amp; Paiva, C. E. (2015). A phase</w:t>
      </w:r>
      <w:r w:rsidR="00764A49" w:rsidRPr="003A55BF">
        <w:rPr>
          <w:rFonts w:cstheme="minorHAnsi"/>
          <w:color w:val="242021"/>
          <w:sz w:val="20"/>
          <w:szCs w:val="20"/>
        </w:rPr>
        <w:t xml:space="preserve"> </w:t>
      </w:r>
      <w:r w:rsidRPr="003A55BF">
        <w:rPr>
          <w:rFonts w:cstheme="minorHAnsi"/>
          <w:color w:val="242021"/>
          <w:sz w:val="20"/>
          <w:szCs w:val="20"/>
        </w:rPr>
        <w:t>II study in advanced cancer patients to evaluate the early transition</w:t>
      </w:r>
      <w:r w:rsidR="00764A49" w:rsidRPr="003A55BF">
        <w:rPr>
          <w:rFonts w:cstheme="minorHAnsi"/>
          <w:color w:val="242021"/>
          <w:sz w:val="20"/>
          <w:szCs w:val="20"/>
        </w:rPr>
        <w:t xml:space="preserve"> </w:t>
      </w:r>
      <w:r w:rsidRPr="003A55BF">
        <w:rPr>
          <w:rFonts w:cstheme="minorHAnsi"/>
          <w:color w:val="242021"/>
          <w:sz w:val="20"/>
          <w:szCs w:val="20"/>
        </w:rPr>
        <w:t xml:space="preserve">to palliative care (the </w:t>
      </w:r>
      <w:proofErr w:type="spellStart"/>
      <w:r w:rsidRPr="003A55BF">
        <w:rPr>
          <w:rFonts w:cstheme="minorHAnsi"/>
          <w:color w:val="242021"/>
          <w:sz w:val="20"/>
          <w:szCs w:val="20"/>
        </w:rPr>
        <w:t>PREPArE</w:t>
      </w:r>
      <w:proofErr w:type="spellEnd"/>
      <w:r w:rsidRPr="003A55BF">
        <w:rPr>
          <w:rFonts w:cstheme="minorHAnsi"/>
          <w:color w:val="242021"/>
          <w:sz w:val="20"/>
          <w:szCs w:val="20"/>
        </w:rPr>
        <w:t xml:space="preserve"> trial): Protocol study for a randomized controlled trial. </w:t>
      </w:r>
      <w:r w:rsidRPr="003A55BF">
        <w:rPr>
          <w:rFonts w:cstheme="minorHAnsi"/>
          <w:i/>
          <w:iCs/>
          <w:color w:val="242021"/>
          <w:sz w:val="20"/>
          <w:szCs w:val="20"/>
        </w:rPr>
        <w:t>Trials</w:t>
      </w:r>
      <w:r w:rsidRPr="003A55BF">
        <w:rPr>
          <w:rFonts w:cstheme="minorHAnsi"/>
          <w:color w:val="242021"/>
          <w:sz w:val="20"/>
          <w:szCs w:val="20"/>
        </w:rPr>
        <w:t xml:space="preserve">, </w:t>
      </w:r>
      <w:r w:rsidRPr="003A55BF">
        <w:rPr>
          <w:rFonts w:cstheme="minorHAnsi"/>
          <w:i/>
          <w:iCs/>
          <w:color w:val="242021"/>
          <w:sz w:val="20"/>
          <w:szCs w:val="20"/>
        </w:rPr>
        <w:t>16</w:t>
      </w:r>
      <w:r w:rsidRPr="003A55BF">
        <w:rPr>
          <w:rFonts w:cstheme="minorHAnsi"/>
          <w:color w:val="242021"/>
          <w:sz w:val="20"/>
          <w:szCs w:val="20"/>
        </w:rPr>
        <w:t xml:space="preserve">(1), 1–9. </w:t>
      </w:r>
    </w:p>
    <w:p w14:paraId="60439F73" w14:textId="77777777" w:rsidR="00764A49" w:rsidRPr="003A55BF" w:rsidRDefault="00BC4475">
      <w:pPr>
        <w:rPr>
          <w:rFonts w:cstheme="minorHAnsi"/>
          <w:color w:val="242021"/>
          <w:sz w:val="20"/>
          <w:szCs w:val="20"/>
        </w:rPr>
      </w:pPr>
      <w:r w:rsidRPr="003A55BF">
        <w:rPr>
          <w:rFonts w:cstheme="minorHAnsi"/>
          <w:color w:val="242021"/>
          <w:sz w:val="20"/>
          <w:szCs w:val="20"/>
        </w:rPr>
        <w:br/>
        <w:t>Donabedian, A. (1988). The quality of care: How can it be assessed?</w:t>
      </w:r>
      <w:r w:rsidR="00764A49" w:rsidRPr="003A55BF">
        <w:rPr>
          <w:rFonts w:cstheme="minorHAnsi"/>
          <w:color w:val="242021"/>
          <w:sz w:val="20"/>
          <w:szCs w:val="20"/>
        </w:rPr>
        <w:t xml:space="preserve"> </w:t>
      </w:r>
      <w:r w:rsidRPr="003A55BF">
        <w:rPr>
          <w:rFonts w:cstheme="minorHAnsi"/>
          <w:i/>
          <w:iCs/>
          <w:color w:val="242021"/>
          <w:sz w:val="20"/>
          <w:szCs w:val="20"/>
        </w:rPr>
        <w:t>JAMA</w:t>
      </w:r>
      <w:r w:rsidRPr="003A55BF">
        <w:rPr>
          <w:rFonts w:cstheme="minorHAnsi"/>
          <w:color w:val="242021"/>
          <w:sz w:val="20"/>
          <w:szCs w:val="20"/>
        </w:rPr>
        <w:t xml:space="preserve">, </w:t>
      </w:r>
      <w:r w:rsidRPr="003A55BF">
        <w:rPr>
          <w:rFonts w:cstheme="minorHAnsi"/>
          <w:i/>
          <w:iCs/>
          <w:color w:val="242021"/>
          <w:sz w:val="20"/>
          <w:szCs w:val="20"/>
        </w:rPr>
        <w:t>260</w:t>
      </w:r>
      <w:r w:rsidRPr="003A55BF">
        <w:rPr>
          <w:rFonts w:cstheme="minorHAnsi"/>
          <w:color w:val="242021"/>
          <w:sz w:val="20"/>
          <w:szCs w:val="20"/>
        </w:rPr>
        <w:t>(12), 1743–1748.</w:t>
      </w:r>
    </w:p>
    <w:p w14:paraId="54F0D0C7"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Enright, K. A., </w:t>
      </w:r>
      <w:proofErr w:type="spellStart"/>
      <w:r w:rsidRPr="003A55BF">
        <w:rPr>
          <w:rFonts w:cstheme="minorHAnsi"/>
          <w:color w:val="242021"/>
          <w:sz w:val="20"/>
          <w:szCs w:val="20"/>
        </w:rPr>
        <w:t>Taback</w:t>
      </w:r>
      <w:proofErr w:type="spellEnd"/>
      <w:r w:rsidRPr="003A55BF">
        <w:rPr>
          <w:rFonts w:cstheme="minorHAnsi"/>
          <w:color w:val="242021"/>
          <w:sz w:val="20"/>
          <w:szCs w:val="20"/>
        </w:rPr>
        <w:t xml:space="preserve">, N., </w:t>
      </w:r>
      <w:proofErr w:type="spellStart"/>
      <w:r w:rsidRPr="003A55BF">
        <w:rPr>
          <w:rFonts w:cstheme="minorHAnsi"/>
          <w:color w:val="242021"/>
          <w:sz w:val="20"/>
          <w:szCs w:val="20"/>
        </w:rPr>
        <w:t>Powis</w:t>
      </w:r>
      <w:proofErr w:type="spellEnd"/>
      <w:r w:rsidRPr="003A55BF">
        <w:rPr>
          <w:rFonts w:cstheme="minorHAnsi"/>
          <w:color w:val="242021"/>
          <w:sz w:val="20"/>
          <w:szCs w:val="20"/>
        </w:rPr>
        <w:t xml:space="preserve">, M. L., Gonzalez, A., Yun, L., </w:t>
      </w:r>
      <w:proofErr w:type="spellStart"/>
      <w:r w:rsidRPr="003A55BF">
        <w:rPr>
          <w:rFonts w:cstheme="minorHAnsi"/>
          <w:color w:val="242021"/>
          <w:sz w:val="20"/>
          <w:szCs w:val="20"/>
        </w:rPr>
        <w:t>Sutradhar</w:t>
      </w:r>
      <w:proofErr w:type="spellEnd"/>
      <w:r w:rsidRPr="003A55BF">
        <w:rPr>
          <w:rFonts w:cstheme="minorHAnsi"/>
          <w:color w:val="242021"/>
          <w:sz w:val="20"/>
          <w:szCs w:val="20"/>
        </w:rPr>
        <w:t>,</w:t>
      </w:r>
      <w:r w:rsidR="00764A49" w:rsidRPr="003A55BF">
        <w:rPr>
          <w:rFonts w:cstheme="minorHAnsi"/>
          <w:color w:val="242021"/>
          <w:sz w:val="20"/>
          <w:szCs w:val="20"/>
        </w:rPr>
        <w:t xml:space="preserve"> </w:t>
      </w:r>
      <w:r w:rsidRPr="003A55BF">
        <w:rPr>
          <w:rFonts w:cstheme="minorHAnsi"/>
          <w:color w:val="242021"/>
          <w:sz w:val="20"/>
          <w:szCs w:val="20"/>
        </w:rPr>
        <w:t xml:space="preserve">R., … </w:t>
      </w:r>
      <w:proofErr w:type="spellStart"/>
      <w:r w:rsidRPr="003A55BF">
        <w:rPr>
          <w:rFonts w:cstheme="minorHAnsi"/>
          <w:color w:val="242021"/>
          <w:sz w:val="20"/>
          <w:szCs w:val="20"/>
        </w:rPr>
        <w:t>Krzyzanowska</w:t>
      </w:r>
      <w:proofErr w:type="spellEnd"/>
      <w:r w:rsidRPr="003A55BF">
        <w:rPr>
          <w:rFonts w:cstheme="minorHAnsi"/>
          <w:color w:val="242021"/>
          <w:sz w:val="20"/>
          <w:szCs w:val="20"/>
        </w:rPr>
        <w:t>, M. K. (2017). Setting quality improvement</w:t>
      </w:r>
      <w:r w:rsidR="00764A49" w:rsidRPr="003A55BF">
        <w:rPr>
          <w:rFonts w:cstheme="minorHAnsi"/>
          <w:color w:val="242021"/>
          <w:sz w:val="20"/>
          <w:szCs w:val="20"/>
        </w:rPr>
        <w:t xml:space="preserve"> </w:t>
      </w:r>
      <w:r w:rsidRPr="003A55BF">
        <w:rPr>
          <w:rFonts w:cstheme="minorHAnsi"/>
          <w:color w:val="242021"/>
          <w:sz w:val="20"/>
          <w:szCs w:val="20"/>
        </w:rPr>
        <w:t>priorities for women receiving systemic therapy for early-stage</w:t>
      </w:r>
      <w:r w:rsidR="00764A49" w:rsidRPr="003A55BF">
        <w:rPr>
          <w:rFonts w:cstheme="minorHAnsi"/>
          <w:color w:val="242021"/>
          <w:sz w:val="20"/>
          <w:szCs w:val="20"/>
        </w:rPr>
        <w:t xml:space="preserve"> </w:t>
      </w:r>
      <w:r w:rsidRPr="003A55BF">
        <w:rPr>
          <w:rFonts w:cstheme="minorHAnsi"/>
          <w:color w:val="242021"/>
          <w:sz w:val="20"/>
          <w:szCs w:val="20"/>
        </w:rPr>
        <w:t xml:space="preserve">breast cancer by using population-level administrative data. </w:t>
      </w:r>
      <w:r w:rsidRPr="003A55BF">
        <w:rPr>
          <w:rFonts w:cstheme="minorHAnsi"/>
          <w:i/>
          <w:iCs/>
          <w:color w:val="242021"/>
          <w:sz w:val="20"/>
          <w:szCs w:val="20"/>
        </w:rPr>
        <w:t>Journal</w:t>
      </w:r>
      <w:r w:rsidR="00764A49" w:rsidRPr="003A55BF">
        <w:rPr>
          <w:rFonts w:cstheme="minorHAnsi"/>
          <w:i/>
          <w:iCs/>
          <w:color w:val="242021"/>
          <w:sz w:val="20"/>
          <w:szCs w:val="20"/>
        </w:rPr>
        <w:t xml:space="preserve"> </w:t>
      </w:r>
      <w:r w:rsidRPr="003A55BF">
        <w:rPr>
          <w:rFonts w:cstheme="minorHAnsi"/>
          <w:i/>
          <w:iCs/>
          <w:color w:val="242021"/>
          <w:sz w:val="20"/>
          <w:szCs w:val="20"/>
        </w:rPr>
        <w:t>of Clinical Oncology</w:t>
      </w:r>
      <w:r w:rsidRPr="003A55BF">
        <w:rPr>
          <w:rFonts w:cstheme="minorHAnsi"/>
          <w:color w:val="242021"/>
          <w:sz w:val="20"/>
          <w:szCs w:val="20"/>
        </w:rPr>
        <w:t xml:space="preserve">, </w:t>
      </w:r>
      <w:r w:rsidRPr="003A55BF">
        <w:rPr>
          <w:rFonts w:cstheme="minorHAnsi"/>
          <w:i/>
          <w:iCs/>
          <w:color w:val="242021"/>
          <w:sz w:val="20"/>
          <w:szCs w:val="20"/>
        </w:rPr>
        <w:t>35</w:t>
      </w:r>
      <w:r w:rsidRPr="003A55BF">
        <w:rPr>
          <w:rFonts w:cstheme="minorHAnsi"/>
          <w:color w:val="242021"/>
          <w:sz w:val="20"/>
          <w:szCs w:val="20"/>
        </w:rPr>
        <w:t xml:space="preserve">(28), 3207–3216. </w:t>
      </w:r>
    </w:p>
    <w:p w14:paraId="776D6294" w14:textId="77777777" w:rsidR="00764A49" w:rsidRPr="003A55BF" w:rsidRDefault="00BC4475">
      <w:pPr>
        <w:rPr>
          <w:rFonts w:cstheme="minorHAnsi"/>
          <w:color w:val="242021"/>
          <w:sz w:val="20"/>
          <w:szCs w:val="20"/>
        </w:rPr>
      </w:pPr>
      <w:r w:rsidRPr="003A55BF">
        <w:rPr>
          <w:rFonts w:cstheme="minorHAnsi"/>
          <w:color w:val="242021"/>
          <w:sz w:val="20"/>
          <w:szCs w:val="20"/>
        </w:rPr>
        <w:br/>
        <w:t>Fitch, M. I., &amp; McAndrew, A. (2011). A performance measurement</w:t>
      </w:r>
      <w:r w:rsidR="00764A49" w:rsidRPr="003A55BF">
        <w:rPr>
          <w:rFonts w:cstheme="minorHAnsi"/>
          <w:color w:val="242021"/>
          <w:sz w:val="20"/>
          <w:szCs w:val="20"/>
        </w:rPr>
        <w:t xml:space="preserve"> </w:t>
      </w:r>
      <w:r w:rsidRPr="003A55BF">
        <w:rPr>
          <w:rFonts w:cstheme="minorHAnsi"/>
          <w:color w:val="242021"/>
          <w:sz w:val="20"/>
          <w:szCs w:val="20"/>
        </w:rPr>
        <w:t xml:space="preserve">tool for cancer patient information and satisfaction. </w:t>
      </w:r>
      <w:r w:rsidRPr="003A55BF">
        <w:rPr>
          <w:rFonts w:cstheme="minorHAnsi"/>
          <w:i/>
          <w:iCs/>
          <w:color w:val="242021"/>
          <w:sz w:val="20"/>
          <w:szCs w:val="20"/>
        </w:rPr>
        <w:t>Journal of</w:t>
      </w:r>
      <w:r w:rsidR="00764A49" w:rsidRPr="003A55BF">
        <w:rPr>
          <w:rFonts w:cstheme="minorHAnsi"/>
          <w:i/>
          <w:iCs/>
          <w:color w:val="242021"/>
          <w:sz w:val="20"/>
          <w:szCs w:val="20"/>
        </w:rPr>
        <w:t xml:space="preserve"> </w:t>
      </w:r>
      <w:r w:rsidRPr="003A55BF">
        <w:rPr>
          <w:rFonts w:cstheme="minorHAnsi"/>
          <w:i/>
          <w:iCs/>
          <w:color w:val="242021"/>
          <w:sz w:val="20"/>
          <w:szCs w:val="20"/>
        </w:rPr>
        <w:t>Cancer Education</w:t>
      </w:r>
      <w:r w:rsidRPr="003A55BF">
        <w:rPr>
          <w:rFonts w:cstheme="minorHAnsi"/>
          <w:color w:val="242021"/>
          <w:sz w:val="20"/>
          <w:szCs w:val="20"/>
        </w:rPr>
        <w:t xml:space="preserve">, </w:t>
      </w:r>
      <w:r w:rsidRPr="003A55BF">
        <w:rPr>
          <w:rFonts w:cstheme="minorHAnsi"/>
          <w:i/>
          <w:iCs/>
          <w:color w:val="242021"/>
          <w:sz w:val="20"/>
          <w:szCs w:val="20"/>
        </w:rPr>
        <w:t>26</w:t>
      </w:r>
      <w:r w:rsidRPr="003A55BF">
        <w:rPr>
          <w:rFonts w:cstheme="minorHAnsi"/>
          <w:color w:val="242021"/>
          <w:sz w:val="20"/>
          <w:szCs w:val="20"/>
        </w:rPr>
        <w:t xml:space="preserve">(4), 612–618. </w:t>
      </w:r>
    </w:p>
    <w:p w14:paraId="79AEF62E" w14:textId="77777777" w:rsidR="00764A49" w:rsidRPr="003A55BF" w:rsidRDefault="00BC4475">
      <w:pPr>
        <w:rPr>
          <w:rFonts w:cstheme="minorHAnsi"/>
          <w:color w:val="242021"/>
          <w:sz w:val="20"/>
          <w:szCs w:val="20"/>
        </w:rPr>
      </w:pPr>
      <w:r w:rsidRPr="003A55BF">
        <w:rPr>
          <w:rFonts w:cstheme="minorHAnsi"/>
          <w:color w:val="242021"/>
          <w:sz w:val="20"/>
          <w:szCs w:val="20"/>
        </w:rPr>
        <w:lastRenderedPageBreak/>
        <w:br/>
      </w:r>
      <w:proofErr w:type="spellStart"/>
      <w:r w:rsidRPr="003A55BF">
        <w:rPr>
          <w:rFonts w:cstheme="minorHAnsi"/>
          <w:color w:val="242021"/>
          <w:sz w:val="20"/>
          <w:szCs w:val="20"/>
        </w:rPr>
        <w:t>Fleissig</w:t>
      </w:r>
      <w:proofErr w:type="spellEnd"/>
      <w:r w:rsidRPr="003A55BF">
        <w:rPr>
          <w:rFonts w:cstheme="minorHAnsi"/>
          <w:color w:val="242021"/>
          <w:sz w:val="20"/>
          <w:szCs w:val="20"/>
        </w:rPr>
        <w:t>, A., Jenkins, V., Catt, S., &amp; Fallowfield, L. (2006). Multidisciplinary</w:t>
      </w:r>
      <w:r w:rsidR="00764A49" w:rsidRPr="003A55BF">
        <w:rPr>
          <w:rFonts w:cstheme="minorHAnsi"/>
          <w:color w:val="242021"/>
          <w:sz w:val="20"/>
          <w:szCs w:val="20"/>
        </w:rPr>
        <w:t xml:space="preserve"> </w:t>
      </w:r>
      <w:r w:rsidRPr="003A55BF">
        <w:rPr>
          <w:rFonts w:cstheme="minorHAnsi"/>
          <w:color w:val="242021"/>
          <w:sz w:val="20"/>
          <w:szCs w:val="20"/>
        </w:rPr>
        <w:t xml:space="preserve">teams in cancer care: Are they effective in the UK? </w:t>
      </w:r>
      <w:r w:rsidRPr="003A55BF">
        <w:rPr>
          <w:rFonts w:cstheme="minorHAnsi"/>
          <w:i/>
          <w:iCs/>
          <w:color w:val="242021"/>
          <w:sz w:val="20"/>
          <w:szCs w:val="20"/>
        </w:rPr>
        <w:t>The Lancet</w:t>
      </w:r>
      <w:r w:rsidR="00764A49" w:rsidRPr="003A55BF">
        <w:rPr>
          <w:rFonts w:cstheme="minorHAnsi"/>
          <w:i/>
          <w:iCs/>
          <w:color w:val="242021"/>
          <w:sz w:val="20"/>
          <w:szCs w:val="20"/>
        </w:rPr>
        <w:t xml:space="preserve"> </w:t>
      </w:r>
      <w:r w:rsidRPr="003A55BF">
        <w:rPr>
          <w:rFonts w:cstheme="minorHAnsi"/>
          <w:i/>
          <w:iCs/>
          <w:color w:val="242021"/>
          <w:sz w:val="20"/>
          <w:szCs w:val="20"/>
        </w:rPr>
        <w:t>Oncology</w:t>
      </w:r>
      <w:r w:rsidRPr="003A55BF">
        <w:rPr>
          <w:rFonts w:cstheme="minorHAnsi"/>
          <w:color w:val="242021"/>
          <w:sz w:val="20"/>
          <w:szCs w:val="20"/>
        </w:rPr>
        <w:t xml:space="preserve">, </w:t>
      </w:r>
      <w:r w:rsidRPr="003A55BF">
        <w:rPr>
          <w:rFonts w:cstheme="minorHAnsi"/>
          <w:i/>
          <w:iCs/>
          <w:color w:val="242021"/>
          <w:sz w:val="20"/>
          <w:szCs w:val="20"/>
        </w:rPr>
        <w:t>11</w:t>
      </w:r>
      <w:r w:rsidRPr="003A55BF">
        <w:rPr>
          <w:rFonts w:cstheme="minorHAnsi"/>
          <w:color w:val="242021"/>
          <w:sz w:val="20"/>
          <w:szCs w:val="20"/>
        </w:rPr>
        <w:t>(7), 935–943.</w:t>
      </w:r>
      <w:r w:rsidRPr="003A55BF">
        <w:rPr>
          <w:rFonts w:cstheme="minorHAnsi"/>
          <w:color w:val="242021"/>
          <w:sz w:val="20"/>
          <w:szCs w:val="20"/>
        </w:rPr>
        <w:br/>
      </w:r>
    </w:p>
    <w:p w14:paraId="11ACD56B" w14:textId="77777777" w:rsidR="00764A49" w:rsidRPr="003A55BF" w:rsidRDefault="00BC4475">
      <w:pPr>
        <w:rPr>
          <w:rFonts w:cstheme="minorHAnsi"/>
          <w:color w:val="242021"/>
          <w:sz w:val="20"/>
          <w:szCs w:val="20"/>
        </w:rPr>
      </w:pPr>
      <w:r w:rsidRPr="003A55BF">
        <w:rPr>
          <w:rFonts w:cstheme="minorHAnsi"/>
          <w:color w:val="242021"/>
          <w:sz w:val="20"/>
          <w:szCs w:val="20"/>
        </w:rPr>
        <w:t>Franklin, K. K., &amp; Hart, J. K. (2007). Idea generation and exploration:</w:t>
      </w:r>
      <w:r w:rsidR="00764A49" w:rsidRPr="003A55BF">
        <w:rPr>
          <w:rFonts w:cstheme="minorHAnsi"/>
          <w:color w:val="242021"/>
          <w:sz w:val="20"/>
          <w:szCs w:val="20"/>
        </w:rPr>
        <w:t xml:space="preserve"> </w:t>
      </w:r>
      <w:r w:rsidRPr="003A55BF">
        <w:rPr>
          <w:rFonts w:cstheme="minorHAnsi"/>
          <w:color w:val="242021"/>
          <w:sz w:val="20"/>
          <w:szCs w:val="20"/>
        </w:rPr>
        <w:t>Benefits and limitations of the policy Delphi research method.</w:t>
      </w:r>
      <w:r w:rsidR="00764A49" w:rsidRPr="003A55BF">
        <w:rPr>
          <w:rFonts w:cstheme="minorHAnsi"/>
          <w:color w:val="242021"/>
          <w:sz w:val="20"/>
          <w:szCs w:val="20"/>
        </w:rPr>
        <w:t xml:space="preserve"> </w:t>
      </w:r>
      <w:r w:rsidRPr="003A55BF">
        <w:rPr>
          <w:rFonts w:cstheme="minorHAnsi"/>
          <w:i/>
          <w:iCs/>
          <w:color w:val="242021"/>
          <w:sz w:val="20"/>
          <w:szCs w:val="20"/>
        </w:rPr>
        <w:t>Innovative Higher Education</w:t>
      </w:r>
      <w:r w:rsidRPr="003A55BF">
        <w:rPr>
          <w:rFonts w:cstheme="minorHAnsi"/>
          <w:color w:val="242021"/>
          <w:sz w:val="20"/>
          <w:szCs w:val="20"/>
        </w:rPr>
        <w:t xml:space="preserve">, </w:t>
      </w:r>
      <w:r w:rsidRPr="003A55BF">
        <w:rPr>
          <w:rFonts w:cstheme="minorHAnsi"/>
          <w:i/>
          <w:iCs/>
          <w:color w:val="242021"/>
          <w:sz w:val="20"/>
          <w:szCs w:val="20"/>
        </w:rPr>
        <w:t>31</w:t>
      </w:r>
      <w:r w:rsidRPr="003A55BF">
        <w:rPr>
          <w:rFonts w:cstheme="minorHAnsi"/>
          <w:color w:val="242021"/>
          <w:sz w:val="20"/>
          <w:szCs w:val="20"/>
        </w:rPr>
        <w:t xml:space="preserve">(4), 237–246. </w:t>
      </w:r>
    </w:p>
    <w:p w14:paraId="5C4F8F96"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Gagliato</w:t>
      </w:r>
      <w:proofErr w:type="spellEnd"/>
      <w:r w:rsidRPr="003A55BF">
        <w:rPr>
          <w:rFonts w:cstheme="minorHAnsi"/>
          <w:color w:val="242021"/>
          <w:sz w:val="20"/>
          <w:szCs w:val="20"/>
        </w:rPr>
        <w:t>, D. M., Gonzalez-Angulo, A. M., Lei, X., Theriault, R. L., Giordano,</w:t>
      </w:r>
      <w:r w:rsidR="00764A49" w:rsidRPr="003A55BF">
        <w:rPr>
          <w:rFonts w:cstheme="minorHAnsi"/>
          <w:color w:val="242021"/>
          <w:sz w:val="20"/>
          <w:szCs w:val="20"/>
        </w:rPr>
        <w:t xml:space="preserve"> </w:t>
      </w:r>
      <w:r w:rsidRPr="003A55BF">
        <w:rPr>
          <w:rFonts w:cstheme="minorHAnsi"/>
          <w:color w:val="242021"/>
          <w:sz w:val="20"/>
          <w:szCs w:val="20"/>
        </w:rPr>
        <w:t>S. H., Valero, V., … Chavez-MacGregor, M. (2014). Clinical impact of</w:t>
      </w:r>
      <w:r w:rsidR="00764A49" w:rsidRPr="003A55BF">
        <w:rPr>
          <w:rFonts w:cstheme="minorHAnsi"/>
          <w:color w:val="242021"/>
          <w:sz w:val="20"/>
          <w:szCs w:val="20"/>
        </w:rPr>
        <w:t xml:space="preserve"> </w:t>
      </w:r>
      <w:r w:rsidRPr="003A55BF">
        <w:rPr>
          <w:rFonts w:cstheme="minorHAnsi"/>
          <w:color w:val="242021"/>
          <w:sz w:val="20"/>
          <w:szCs w:val="20"/>
        </w:rPr>
        <w:t>delaying initiation of adjuvant chemotherapy in patients with breast</w:t>
      </w:r>
      <w:r w:rsidRPr="003A55BF">
        <w:rPr>
          <w:rFonts w:cstheme="minorHAnsi"/>
          <w:color w:val="242021"/>
          <w:sz w:val="20"/>
          <w:szCs w:val="20"/>
        </w:rPr>
        <w:br/>
        <w:t xml:space="preserve">cancer. </w:t>
      </w:r>
      <w:r w:rsidRPr="003A55BF">
        <w:rPr>
          <w:rFonts w:cstheme="minorHAnsi"/>
          <w:i/>
          <w:iCs/>
          <w:color w:val="242021"/>
          <w:sz w:val="20"/>
          <w:szCs w:val="20"/>
        </w:rPr>
        <w:t>Journal of Clinical Oncology</w:t>
      </w:r>
      <w:r w:rsidRPr="003A55BF">
        <w:rPr>
          <w:rFonts w:cstheme="minorHAnsi"/>
          <w:color w:val="242021"/>
          <w:sz w:val="20"/>
          <w:szCs w:val="20"/>
        </w:rPr>
        <w:t xml:space="preserve">, </w:t>
      </w:r>
      <w:r w:rsidRPr="003A55BF">
        <w:rPr>
          <w:rFonts w:cstheme="minorHAnsi"/>
          <w:i/>
          <w:iCs/>
          <w:color w:val="242021"/>
          <w:sz w:val="20"/>
          <w:szCs w:val="20"/>
        </w:rPr>
        <w:t>32</w:t>
      </w:r>
      <w:r w:rsidRPr="003A55BF">
        <w:rPr>
          <w:rFonts w:cstheme="minorHAnsi"/>
          <w:color w:val="242021"/>
          <w:sz w:val="20"/>
          <w:szCs w:val="20"/>
        </w:rPr>
        <w:t xml:space="preserve">(8), 735–744. </w:t>
      </w:r>
    </w:p>
    <w:p w14:paraId="677C58AA"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Galanti</w:t>
      </w:r>
      <w:proofErr w:type="spellEnd"/>
      <w:r w:rsidRPr="003A55BF">
        <w:rPr>
          <w:rFonts w:cstheme="minorHAnsi"/>
          <w:color w:val="242021"/>
          <w:sz w:val="20"/>
          <w:szCs w:val="20"/>
        </w:rPr>
        <w:t xml:space="preserve">, M. R., </w:t>
      </w:r>
      <w:proofErr w:type="spellStart"/>
      <w:r w:rsidRPr="003A55BF">
        <w:rPr>
          <w:rFonts w:cstheme="minorHAnsi"/>
          <w:color w:val="242021"/>
          <w:sz w:val="20"/>
          <w:szCs w:val="20"/>
        </w:rPr>
        <w:t>Siliquini</w:t>
      </w:r>
      <w:proofErr w:type="spellEnd"/>
      <w:r w:rsidRPr="003A55BF">
        <w:rPr>
          <w:rFonts w:cstheme="minorHAnsi"/>
          <w:color w:val="242021"/>
          <w:sz w:val="20"/>
          <w:szCs w:val="20"/>
        </w:rPr>
        <w:t xml:space="preserve">, R., Cuomo, L., </w:t>
      </w:r>
      <w:proofErr w:type="spellStart"/>
      <w:r w:rsidRPr="003A55BF">
        <w:rPr>
          <w:rFonts w:cstheme="minorHAnsi"/>
          <w:color w:val="242021"/>
          <w:sz w:val="20"/>
          <w:szCs w:val="20"/>
        </w:rPr>
        <w:t>Melero</w:t>
      </w:r>
      <w:proofErr w:type="spellEnd"/>
      <w:r w:rsidRPr="003A55BF">
        <w:rPr>
          <w:rFonts w:cstheme="minorHAnsi"/>
          <w:color w:val="242021"/>
          <w:sz w:val="20"/>
          <w:szCs w:val="20"/>
        </w:rPr>
        <w:t xml:space="preserve">, J. C., </w:t>
      </w:r>
      <w:proofErr w:type="spellStart"/>
      <w:r w:rsidRPr="003A55BF">
        <w:rPr>
          <w:rFonts w:cstheme="minorHAnsi"/>
          <w:color w:val="242021"/>
          <w:sz w:val="20"/>
          <w:szCs w:val="20"/>
        </w:rPr>
        <w:t>Panella</w:t>
      </w:r>
      <w:proofErr w:type="spellEnd"/>
      <w:r w:rsidRPr="003A55BF">
        <w:rPr>
          <w:rFonts w:cstheme="minorHAnsi"/>
          <w:color w:val="242021"/>
          <w:sz w:val="20"/>
          <w:szCs w:val="20"/>
        </w:rPr>
        <w:t>, M., &amp;</w:t>
      </w:r>
      <w:r w:rsidR="00764A49" w:rsidRPr="003A55BF">
        <w:rPr>
          <w:rFonts w:cstheme="minorHAnsi"/>
          <w:color w:val="242021"/>
          <w:sz w:val="20"/>
          <w:szCs w:val="20"/>
        </w:rPr>
        <w:t xml:space="preserve"> </w:t>
      </w:r>
      <w:proofErr w:type="spellStart"/>
      <w:r w:rsidRPr="003A55BF">
        <w:rPr>
          <w:rFonts w:cstheme="minorHAnsi"/>
          <w:color w:val="242021"/>
          <w:sz w:val="20"/>
          <w:szCs w:val="20"/>
        </w:rPr>
        <w:t>Faggiano</w:t>
      </w:r>
      <w:proofErr w:type="spellEnd"/>
      <w:r w:rsidRPr="003A55BF">
        <w:rPr>
          <w:rFonts w:cstheme="minorHAnsi"/>
          <w:color w:val="242021"/>
          <w:sz w:val="20"/>
          <w:szCs w:val="20"/>
        </w:rPr>
        <w:t>, F. (2007). Testing anonymous link procedures for follow-up of adolescents in a school-based trial: The EU-DAP pilot</w:t>
      </w:r>
      <w:r w:rsidR="00764A49" w:rsidRPr="003A55BF">
        <w:rPr>
          <w:rFonts w:cstheme="minorHAnsi"/>
          <w:color w:val="242021"/>
          <w:sz w:val="20"/>
          <w:szCs w:val="20"/>
        </w:rPr>
        <w:t xml:space="preserve"> </w:t>
      </w:r>
      <w:r w:rsidRPr="003A55BF">
        <w:rPr>
          <w:rFonts w:cstheme="minorHAnsi"/>
          <w:color w:val="242021"/>
          <w:sz w:val="20"/>
          <w:szCs w:val="20"/>
        </w:rPr>
        <w:t xml:space="preserve">study. </w:t>
      </w:r>
      <w:r w:rsidRPr="003A55BF">
        <w:rPr>
          <w:rFonts w:cstheme="minorHAnsi"/>
          <w:i/>
          <w:iCs/>
          <w:color w:val="242021"/>
          <w:sz w:val="20"/>
          <w:szCs w:val="20"/>
        </w:rPr>
        <w:t>Preventive Medicine</w:t>
      </w:r>
      <w:r w:rsidRPr="003A55BF">
        <w:rPr>
          <w:rFonts w:cstheme="minorHAnsi"/>
          <w:color w:val="242021"/>
          <w:sz w:val="20"/>
          <w:szCs w:val="20"/>
        </w:rPr>
        <w:t xml:space="preserve">, </w:t>
      </w:r>
      <w:r w:rsidRPr="003A55BF">
        <w:rPr>
          <w:rFonts w:cstheme="minorHAnsi"/>
          <w:i/>
          <w:iCs/>
          <w:color w:val="242021"/>
          <w:sz w:val="20"/>
          <w:szCs w:val="20"/>
        </w:rPr>
        <w:t>44</w:t>
      </w:r>
      <w:r w:rsidRPr="003A55BF">
        <w:rPr>
          <w:rFonts w:cstheme="minorHAnsi"/>
          <w:color w:val="242021"/>
          <w:sz w:val="20"/>
          <w:szCs w:val="20"/>
        </w:rPr>
        <w:t xml:space="preserve">, 174–177. </w:t>
      </w:r>
    </w:p>
    <w:p w14:paraId="5F7F6485"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Greer, J. A., Jackson, V. A., Meier, D. E., &amp; </w:t>
      </w:r>
      <w:proofErr w:type="spellStart"/>
      <w:r w:rsidRPr="003A55BF">
        <w:rPr>
          <w:rFonts w:cstheme="minorHAnsi"/>
          <w:color w:val="242021"/>
          <w:sz w:val="20"/>
          <w:szCs w:val="20"/>
        </w:rPr>
        <w:t>Temel</w:t>
      </w:r>
      <w:proofErr w:type="spellEnd"/>
      <w:r w:rsidRPr="003A55BF">
        <w:rPr>
          <w:rFonts w:cstheme="minorHAnsi"/>
          <w:color w:val="242021"/>
          <w:sz w:val="20"/>
          <w:szCs w:val="20"/>
        </w:rPr>
        <w:t xml:space="preserve">, J. S. (2013). Early integration of palliative care services with standard oncology care for patients with advanced cancer. </w:t>
      </w:r>
      <w:r w:rsidRPr="003A55BF">
        <w:rPr>
          <w:rFonts w:cstheme="minorHAnsi"/>
          <w:i/>
          <w:iCs/>
          <w:color w:val="242021"/>
          <w:sz w:val="20"/>
          <w:szCs w:val="20"/>
        </w:rPr>
        <w:t>CA-A Cancer Journal for Clinicians</w:t>
      </w:r>
      <w:r w:rsidRPr="003A55BF">
        <w:rPr>
          <w:rFonts w:cstheme="minorHAnsi"/>
          <w:color w:val="242021"/>
          <w:sz w:val="20"/>
          <w:szCs w:val="20"/>
        </w:rPr>
        <w:t xml:space="preserve">, </w:t>
      </w:r>
      <w:r w:rsidRPr="003A55BF">
        <w:rPr>
          <w:rFonts w:cstheme="minorHAnsi"/>
          <w:i/>
          <w:iCs/>
          <w:color w:val="242021"/>
          <w:sz w:val="20"/>
          <w:szCs w:val="20"/>
        </w:rPr>
        <w:t>63</w:t>
      </w:r>
      <w:r w:rsidRPr="003A55BF">
        <w:rPr>
          <w:rFonts w:cstheme="minorHAnsi"/>
          <w:color w:val="242021"/>
          <w:sz w:val="20"/>
          <w:szCs w:val="20"/>
        </w:rPr>
        <w:t>(5),</w:t>
      </w:r>
      <w:r w:rsidRPr="003A55BF">
        <w:rPr>
          <w:rFonts w:cstheme="minorHAnsi"/>
          <w:color w:val="242021"/>
          <w:sz w:val="20"/>
          <w:szCs w:val="20"/>
        </w:rPr>
        <w:br/>
        <w:t>349–363</w:t>
      </w:r>
      <w:r w:rsidR="00764A49" w:rsidRPr="003A55BF">
        <w:rPr>
          <w:rFonts w:cstheme="minorHAnsi"/>
          <w:color w:val="242021"/>
          <w:sz w:val="20"/>
          <w:szCs w:val="20"/>
        </w:rPr>
        <w:t>.</w:t>
      </w:r>
    </w:p>
    <w:p w14:paraId="5885A0C6"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Griffith, K. A., </w:t>
      </w:r>
      <w:proofErr w:type="spellStart"/>
      <w:r w:rsidRPr="003A55BF">
        <w:rPr>
          <w:rFonts w:cstheme="minorHAnsi"/>
          <w:color w:val="242021"/>
          <w:sz w:val="20"/>
          <w:szCs w:val="20"/>
        </w:rPr>
        <w:t>Merkies</w:t>
      </w:r>
      <w:proofErr w:type="spellEnd"/>
      <w:r w:rsidRPr="003A55BF">
        <w:rPr>
          <w:rFonts w:cstheme="minorHAnsi"/>
          <w:color w:val="242021"/>
          <w:sz w:val="20"/>
          <w:szCs w:val="20"/>
        </w:rPr>
        <w:t xml:space="preserve">, I. S. J., Hill, E. E., &amp; </w:t>
      </w:r>
      <w:proofErr w:type="spellStart"/>
      <w:r w:rsidRPr="003A55BF">
        <w:rPr>
          <w:rFonts w:cstheme="minorHAnsi"/>
          <w:color w:val="242021"/>
          <w:sz w:val="20"/>
          <w:szCs w:val="20"/>
        </w:rPr>
        <w:t>Cornblath</w:t>
      </w:r>
      <w:proofErr w:type="spellEnd"/>
      <w:r w:rsidRPr="003A55BF">
        <w:rPr>
          <w:rFonts w:cstheme="minorHAnsi"/>
          <w:color w:val="242021"/>
          <w:sz w:val="20"/>
          <w:szCs w:val="20"/>
        </w:rPr>
        <w:t>, D. R. (2010).</w:t>
      </w:r>
      <w:r w:rsidR="00764A49" w:rsidRPr="003A55BF">
        <w:rPr>
          <w:rFonts w:cstheme="minorHAnsi"/>
          <w:color w:val="242021"/>
          <w:sz w:val="20"/>
          <w:szCs w:val="20"/>
        </w:rPr>
        <w:t xml:space="preserve"> </w:t>
      </w:r>
      <w:r w:rsidRPr="003A55BF">
        <w:rPr>
          <w:rFonts w:cstheme="minorHAnsi"/>
          <w:color w:val="242021"/>
          <w:sz w:val="20"/>
          <w:szCs w:val="20"/>
        </w:rPr>
        <w:t xml:space="preserve">Measures of chemotherapy-induced peripheral neuropathy: A systematic review of psychometric properties. </w:t>
      </w:r>
      <w:r w:rsidRPr="003A55BF">
        <w:rPr>
          <w:rFonts w:cstheme="minorHAnsi"/>
          <w:i/>
          <w:iCs/>
          <w:color w:val="242021"/>
          <w:sz w:val="20"/>
          <w:szCs w:val="20"/>
        </w:rPr>
        <w:t>Journal</w:t>
      </w:r>
      <w:r w:rsidRPr="003A55BF">
        <w:rPr>
          <w:rFonts w:cstheme="minorHAnsi"/>
          <w:i/>
          <w:iCs/>
          <w:color w:val="242021"/>
          <w:sz w:val="20"/>
          <w:szCs w:val="20"/>
        </w:rPr>
        <w:br/>
        <w:t>of the Peripheral Nervous System</w:t>
      </w:r>
      <w:r w:rsidRPr="003A55BF">
        <w:rPr>
          <w:rFonts w:cstheme="minorHAnsi"/>
          <w:color w:val="242021"/>
          <w:sz w:val="20"/>
          <w:szCs w:val="20"/>
        </w:rPr>
        <w:t xml:space="preserve">, </w:t>
      </w:r>
      <w:r w:rsidRPr="003A55BF">
        <w:rPr>
          <w:rFonts w:cstheme="minorHAnsi"/>
          <w:i/>
          <w:iCs/>
          <w:color w:val="242021"/>
          <w:sz w:val="20"/>
          <w:szCs w:val="20"/>
        </w:rPr>
        <w:t>15</w:t>
      </w:r>
      <w:r w:rsidRPr="003A55BF">
        <w:rPr>
          <w:rFonts w:cstheme="minorHAnsi"/>
          <w:color w:val="242021"/>
          <w:sz w:val="20"/>
          <w:szCs w:val="20"/>
        </w:rPr>
        <w:t xml:space="preserve">(4), 314–325. </w:t>
      </w:r>
    </w:p>
    <w:p w14:paraId="3242A8E4" w14:textId="77777777" w:rsidR="00764A49" w:rsidRPr="003A55BF" w:rsidRDefault="00BC4475">
      <w:pPr>
        <w:rPr>
          <w:rFonts w:cstheme="minorHAnsi"/>
          <w:color w:val="242021"/>
          <w:sz w:val="20"/>
          <w:szCs w:val="20"/>
        </w:rPr>
      </w:pPr>
      <w:r w:rsidRPr="003A55BF">
        <w:rPr>
          <w:rFonts w:cstheme="minorHAnsi"/>
          <w:color w:val="242021"/>
          <w:sz w:val="20"/>
          <w:szCs w:val="20"/>
        </w:rPr>
        <w:br/>
        <w:t>Hasson, F., &amp; Keeney, S. (2011). Enhancing rigour in the Delphi technique</w:t>
      </w:r>
      <w:r w:rsidR="00764A49" w:rsidRPr="003A55BF">
        <w:rPr>
          <w:rFonts w:cstheme="minorHAnsi"/>
          <w:color w:val="242021"/>
          <w:sz w:val="20"/>
          <w:szCs w:val="20"/>
        </w:rPr>
        <w:t xml:space="preserve"> </w:t>
      </w:r>
      <w:r w:rsidRPr="003A55BF">
        <w:rPr>
          <w:rFonts w:cstheme="minorHAnsi"/>
          <w:color w:val="242021"/>
          <w:sz w:val="20"/>
          <w:szCs w:val="20"/>
        </w:rPr>
        <w:t xml:space="preserve">research. </w:t>
      </w:r>
      <w:r w:rsidRPr="003A55BF">
        <w:rPr>
          <w:rFonts w:cstheme="minorHAnsi"/>
          <w:i/>
          <w:iCs/>
          <w:color w:val="242021"/>
          <w:sz w:val="20"/>
          <w:szCs w:val="20"/>
        </w:rPr>
        <w:t>Technological Forecasting &amp; Social Change</w:t>
      </w:r>
      <w:r w:rsidRPr="003A55BF">
        <w:rPr>
          <w:rFonts w:cstheme="minorHAnsi"/>
          <w:color w:val="242021"/>
          <w:sz w:val="20"/>
          <w:szCs w:val="20"/>
        </w:rPr>
        <w:t xml:space="preserve">, </w:t>
      </w:r>
      <w:r w:rsidRPr="003A55BF">
        <w:rPr>
          <w:rFonts w:cstheme="minorHAnsi"/>
          <w:i/>
          <w:iCs/>
          <w:color w:val="242021"/>
          <w:sz w:val="20"/>
          <w:szCs w:val="20"/>
        </w:rPr>
        <w:t>78</w:t>
      </w:r>
      <w:r w:rsidRPr="003A55BF">
        <w:rPr>
          <w:rFonts w:cstheme="minorHAnsi"/>
          <w:color w:val="242021"/>
          <w:sz w:val="20"/>
          <w:szCs w:val="20"/>
        </w:rPr>
        <w:t>, 1695–1704.</w:t>
      </w:r>
      <w:r w:rsidRPr="003A55BF">
        <w:rPr>
          <w:rFonts w:cstheme="minorHAnsi"/>
          <w:color w:val="242021"/>
          <w:sz w:val="20"/>
          <w:szCs w:val="20"/>
        </w:rPr>
        <w:br/>
      </w:r>
      <w:r w:rsidRPr="003A55BF">
        <w:rPr>
          <w:rFonts w:cstheme="minorHAnsi"/>
          <w:color w:val="242021"/>
          <w:sz w:val="20"/>
          <w:szCs w:val="20"/>
        </w:rPr>
        <w:br/>
        <w:t>Hasson, F., Keeney, S., &amp; McKenna, H. (2000). Research guidelines for</w:t>
      </w:r>
      <w:r w:rsidR="00764A49" w:rsidRPr="003A55BF">
        <w:rPr>
          <w:rFonts w:cstheme="minorHAnsi"/>
          <w:color w:val="242021"/>
          <w:sz w:val="20"/>
          <w:szCs w:val="20"/>
        </w:rPr>
        <w:t xml:space="preserve"> </w:t>
      </w:r>
      <w:r w:rsidRPr="003A55BF">
        <w:rPr>
          <w:rFonts w:cstheme="minorHAnsi"/>
          <w:color w:val="242021"/>
          <w:sz w:val="20"/>
          <w:szCs w:val="20"/>
        </w:rPr>
        <w:t xml:space="preserve">the Delphi survey technique. </w:t>
      </w:r>
      <w:r w:rsidRPr="003A55BF">
        <w:rPr>
          <w:rFonts w:cstheme="minorHAnsi"/>
          <w:i/>
          <w:iCs/>
          <w:color w:val="242021"/>
          <w:sz w:val="20"/>
          <w:szCs w:val="20"/>
        </w:rPr>
        <w:t>Journal of Advanced Nursing</w:t>
      </w:r>
      <w:r w:rsidRPr="003A55BF">
        <w:rPr>
          <w:rFonts w:cstheme="minorHAnsi"/>
          <w:color w:val="242021"/>
          <w:sz w:val="20"/>
          <w:szCs w:val="20"/>
        </w:rPr>
        <w:t xml:space="preserve">, </w:t>
      </w:r>
      <w:r w:rsidRPr="003A55BF">
        <w:rPr>
          <w:rFonts w:cstheme="minorHAnsi"/>
          <w:i/>
          <w:iCs/>
          <w:color w:val="242021"/>
          <w:sz w:val="20"/>
          <w:szCs w:val="20"/>
        </w:rPr>
        <w:t>32</w:t>
      </w:r>
      <w:r w:rsidRPr="003A55BF">
        <w:rPr>
          <w:rFonts w:cstheme="minorHAnsi"/>
          <w:color w:val="242021"/>
          <w:sz w:val="20"/>
          <w:szCs w:val="20"/>
        </w:rPr>
        <w:t>(4),</w:t>
      </w:r>
      <w:r w:rsidR="00764A49" w:rsidRPr="003A55BF">
        <w:rPr>
          <w:rFonts w:cstheme="minorHAnsi"/>
          <w:color w:val="242021"/>
          <w:sz w:val="20"/>
          <w:szCs w:val="20"/>
        </w:rPr>
        <w:t xml:space="preserve"> </w:t>
      </w:r>
      <w:r w:rsidRPr="003A55BF">
        <w:rPr>
          <w:rFonts w:cstheme="minorHAnsi"/>
          <w:color w:val="242021"/>
          <w:sz w:val="20"/>
          <w:szCs w:val="20"/>
        </w:rPr>
        <w:t>1008–1015.</w:t>
      </w:r>
    </w:p>
    <w:p w14:paraId="25882484"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Higgins, A., &amp; Hill, A. (2012). Effectiveness of a neutropenic sepsis clinical pathway. </w:t>
      </w:r>
      <w:r w:rsidRPr="003A55BF">
        <w:rPr>
          <w:rFonts w:cstheme="minorHAnsi"/>
          <w:i/>
          <w:iCs/>
          <w:color w:val="242021"/>
          <w:sz w:val="20"/>
          <w:szCs w:val="20"/>
        </w:rPr>
        <w:t>Cancer Nursing Practice</w:t>
      </w:r>
      <w:r w:rsidRPr="003A55BF">
        <w:rPr>
          <w:rFonts w:cstheme="minorHAnsi"/>
          <w:color w:val="242021"/>
          <w:sz w:val="20"/>
          <w:szCs w:val="20"/>
        </w:rPr>
        <w:t xml:space="preserve">, </w:t>
      </w:r>
      <w:r w:rsidRPr="003A55BF">
        <w:rPr>
          <w:rFonts w:cstheme="minorHAnsi"/>
          <w:i/>
          <w:iCs/>
          <w:color w:val="242021"/>
          <w:sz w:val="20"/>
          <w:szCs w:val="20"/>
        </w:rPr>
        <w:t>11</w:t>
      </w:r>
      <w:r w:rsidRPr="003A55BF">
        <w:rPr>
          <w:rFonts w:cstheme="minorHAnsi"/>
          <w:color w:val="242021"/>
          <w:sz w:val="20"/>
          <w:szCs w:val="20"/>
        </w:rPr>
        <w:t xml:space="preserve">(10), 22–27. </w:t>
      </w:r>
    </w:p>
    <w:p w14:paraId="16E4162A" w14:textId="6FC68DA7" w:rsidR="00764A49" w:rsidRPr="003A55BF" w:rsidRDefault="00BC4475">
      <w:pPr>
        <w:rPr>
          <w:rFonts w:cstheme="minorHAnsi"/>
          <w:color w:val="242021"/>
          <w:sz w:val="20"/>
          <w:szCs w:val="20"/>
        </w:rPr>
      </w:pPr>
      <w:r w:rsidRPr="003A55BF">
        <w:rPr>
          <w:rFonts w:cstheme="minorHAnsi"/>
          <w:color w:val="242021"/>
          <w:sz w:val="20"/>
          <w:szCs w:val="20"/>
        </w:rPr>
        <w:br/>
        <w:t xml:space="preserve">HIQA (2013). </w:t>
      </w:r>
      <w:r w:rsidRPr="003A55BF">
        <w:rPr>
          <w:rFonts w:cstheme="minorHAnsi"/>
          <w:i/>
          <w:iCs/>
          <w:color w:val="242021"/>
          <w:sz w:val="20"/>
          <w:szCs w:val="20"/>
        </w:rPr>
        <w:t>Guidance on developing key performance indicators</w:t>
      </w:r>
      <w:r w:rsidR="00764A49" w:rsidRPr="003A55BF">
        <w:rPr>
          <w:rFonts w:cstheme="minorHAnsi"/>
          <w:i/>
          <w:iCs/>
          <w:color w:val="242021"/>
          <w:sz w:val="20"/>
          <w:szCs w:val="20"/>
        </w:rPr>
        <w:t xml:space="preserve"> </w:t>
      </w:r>
      <w:r w:rsidRPr="003A55BF">
        <w:rPr>
          <w:rFonts w:cstheme="minorHAnsi"/>
          <w:i/>
          <w:iCs/>
          <w:color w:val="242021"/>
          <w:sz w:val="20"/>
          <w:szCs w:val="20"/>
        </w:rPr>
        <w:t>and minimum data sets to monitor healthcare quality Version 1.1</w:t>
      </w:r>
      <w:r w:rsidRPr="003A55BF">
        <w:rPr>
          <w:rFonts w:cstheme="minorHAnsi"/>
          <w:color w:val="242021"/>
          <w:sz w:val="20"/>
          <w:szCs w:val="20"/>
        </w:rPr>
        <w:t>.</w:t>
      </w:r>
      <w:r w:rsidR="00764A49" w:rsidRPr="003A55BF">
        <w:rPr>
          <w:rFonts w:cstheme="minorHAnsi"/>
          <w:color w:val="242021"/>
          <w:sz w:val="20"/>
          <w:szCs w:val="20"/>
        </w:rPr>
        <w:t xml:space="preserve"> </w:t>
      </w:r>
      <w:r w:rsidRPr="003A55BF">
        <w:rPr>
          <w:rFonts w:cstheme="minorHAnsi"/>
          <w:color w:val="242021"/>
          <w:sz w:val="20"/>
          <w:szCs w:val="20"/>
        </w:rPr>
        <w:t xml:space="preserve">Retrieved from </w:t>
      </w:r>
      <w:hyperlink r:id="rId9" w:history="1">
        <w:r w:rsidR="00764A49" w:rsidRPr="003A55BF">
          <w:rPr>
            <w:rStyle w:val="Hyperlink"/>
            <w:rFonts w:cstheme="minorHAnsi"/>
            <w:sz w:val="20"/>
            <w:szCs w:val="20"/>
          </w:rPr>
          <w:t>https://www.hiqa.ie/publications/guidance-developing-key-performance-indicators-kpis-and-minimum-data-setsmonitor-healt</w:t>
        </w:r>
      </w:hyperlink>
    </w:p>
    <w:p w14:paraId="7C30B30A"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Hofstetter, G., </w:t>
      </w:r>
      <w:proofErr w:type="spellStart"/>
      <w:r w:rsidRPr="003A55BF">
        <w:rPr>
          <w:rFonts w:cstheme="minorHAnsi"/>
          <w:color w:val="242021"/>
          <w:sz w:val="20"/>
          <w:szCs w:val="20"/>
        </w:rPr>
        <w:t>Concin</w:t>
      </w:r>
      <w:proofErr w:type="spellEnd"/>
      <w:r w:rsidRPr="003A55BF">
        <w:rPr>
          <w:rFonts w:cstheme="minorHAnsi"/>
          <w:color w:val="242021"/>
          <w:sz w:val="20"/>
          <w:szCs w:val="20"/>
        </w:rPr>
        <w:t xml:space="preserve">, N., </w:t>
      </w:r>
      <w:proofErr w:type="spellStart"/>
      <w:r w:rsidRPr="003A55BF">
        <w:rPr>
          <w:rFonts w:cstheme="minorHAnsi"/>
          <w:color w:val="242021"/>
          <w:sz w:val="20"/>
          <w:szCs w:val="20"/>
        </w:rPr>
        <w:t>Braicu</w:t>
      </w:r>
      <w:proofErr w:type="spellEnd"/>
      <w:r w:rsidRPr="003A55BF">
        <w:rPr>
          <w:rFonts w:cstheme="minorHAnsi"/>
          <w:color w:val="242021"/>
          <w:sz w:val="20"/>
          <w:szCs w:val="20"/>
        </w:rPr>
        <w:t xml:space="preserve">, I., </w:t>
      </w:r>
      <w:proofErr w:type="spellStart"/>
      <w:r w:rsidRPr="003A55BF">
        <w:rPr>
          <w:rFonts w:cstheme="minorHAnsi"/>
          <w:color w:val="242021"/>
          <w:sz w:val="20"/>
          <w:szCs w:val="20"/>
        </w:rPr>
        <w:t>Chekerov</w:t>
      </w:r>
      <w:proofErr w:type="spellEnd"/>
      <w:r w:rsidRPr="003A55BF">
        <w:rPr>
          <w:rFonts w:cstheme="minorHAnsi"/>
          <w:color w:val="242021"/>
          <w:sz w:val="20"/>
          <w:szCs w:val="20"/>
        </w:rPr>
        <w:t xml:space="preserve">, R., </w:t>
      </w:r>
      <w:proofErr w:type="spellStart"/>
      <w:r w:rsidRPr="003A55BF">
        <w:rPr>
          <w:rFonts w:cstheme="minorHAnsi"/>
          <w:color w:val="242021"/>
          <w:sz w:val="20"/>
          <w:szCs w:val="20"/>
        </w:rPr>
        <w:t>Sehouli</w:t>
      </w:r>
      <w:proofErr w:type="spellEnd"/>
      <w:r w:rsidRPr="003A55BF">
        <w:rPr>
          <w:rFonts w:cstheme="minorHAnsi"/>
          <w:color w:val="242021"/>
          <w:sz w:val="20"/>
          <w:szCs w:val="20"/>
        </w:rPr>
        <w:t xml:space="preserve">, J., </w:t>
      </w:r>
      <w:proofErr w:type="spellStart"/>
      <w:r w:rsidRPr="003A55BF">
        <w:rPr>
          <w:rFonts w:cstheme="minorHAnsi"/>
          <w:color w:val="242021"/>
          <w:sz w:val="20"/>
          <w:szCs w:val="20"/>
        </w:rPr>
        <w:t>Cadron</w:t>
      </w:r>
      <w:proofErr w:type="spellEnd"/>
      <w:r w:rsidRPr="003A55BF">
        <w:rPr>
          <w:rFonts w:cstheme="minorHAnsi"/>
          <w:color w:val="242021"/>
          <w:sz w:val="20"/>
          <w:szCs w:val="20"/>
        </w:rPr>
        <w:t xml:space="preserve">, I.,… </w:t>
      </w:r>
      <w:proofErr w:type="spellStart"/>
      <w:r w:rsidRPr="003A55BF">
        <w:rPr>
          <w:rFonts w:cstheme="minorHAnsi"/>
          <w:color w:val="242021"/>
          <w:sz w:val="20"/>
          <w:szCs w:val="20"/>
        </w:rPr>
        <w:t>Vergote</w:t>
      </w:r>
      <w:proofErr w:type="spellEnd"/>
      <w:r w:rsidRPr="003A55BF">
        <w:rPr>
          <w:rFonts w:cstheme="minorHAnsi"/>
          <w:color w:val="242021"/>
          <w:sz w:val="20"/>
          <w:szCs w:val="20"/>
        </w:rPr>
        <w:t>, I. (2013). The time interval from surgery to start of chemotherapy significantly impacts prognosis in patients with advanced</w:t>
      </w:r>
      <w:r w:rsidR="00764A49" w:rsidRPr="003A55BF">
        <w:rPr>
          <w:rFonts w:cstheme="minorHAnsi"/>
          <w:color w:val="242021"/>
          <w:sz w:val="20"/>
          <w:szCs w:val="20"/>
        </w:rPr>
        <w:t xml:space="preserve"> </w:t>
      </w:r>
      <w:r w:rsidRPr="003A55BF">
        <w:rPr>
          <w:rFonts w:cstheme="minorHAnsi"/>
          <w:color w:val="242021"/>
          <w:sz w:val="20"/>
          <w:szCs w:val="20"/>
        </w:rPr>
        <w:t xml:space="preserve">serous ovarian carcinoma — Analysis of patient data in the prospective OVCAD study. </w:t>
      </w:r>
      <w:proofErr w:type="spellStart"/>
      <w:r w:rsidRPr="003A55BF">
        <w:rPr>
          <w:rFonts w:cstheme="minorHAnsi"/>
          <w:i/>
          <w:iCs/>
          <w:color w:val="242021"/>
          <w:sz w:val="20"/>
          <w:szCs w:val="20"/>
        </w:rPr>
        <w:t>Gynecologic</w:t>
      </w:r>
      <w:proofErr w:type="spellEnd"/>
      <w:r w:rsidRPr="003A55BF">
        <w:rPr>
          <w:rFonts w:cstheme="minorHAnsi"/>
          <w:i/>
          <w:iCs/>
          <w:color w:val="242021"/>
          <w:sz w:val="20"/>
          <w:szCs w:val="20"/>
        </w:rPr>
        <w:t xml:space="preserve"> Oncology</w:t>
      </w:r>
      <w:r w:rsidRPr="003A55BF">
        <w:rPr>
          <w:rFonts w:cstheme="minorHAnsi"/>
          <w:color w:val="242021"/>
          <w:sz w:val="20"/>
          <w:szCs w:val="20"/>
        </w:rPr>
        <w:t xml:space="preserve">, </w:t>
      </w:r>
      <w:r w:rsidRPr="003A55BF">
        <w:rPr>
          <w:rFonts w:cstheme="minorHAnsi"/>
          <w:i/>
          <w:iCs/>
          <w:color w:val="242021"/>
          <w:sz w:val="20"/>
          <w:szCs w:val="20"/>
        </w:rPr>
        <w:t>131</w:t>
      </w:r>
      <w:r w:rsidRPr="003A55BF">
        <w:rPr>
          <w:rFonts w:cstheme="minorHAnsi"/>
          <w:color w:val="242021"/>
          <w:sz w:val="20"/>
          <w:szCs w:val="20"/>
        </w:rPr>
        <w:t xml:space="preserve">, 15–20. </w:t>
      </w:r>
    </w:p>
    <w:p w14:paraId="2AB886FE"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Hosmer, W., </w:t>
      </w:r>
      <w:proofErr w:type="spellStart"/>
      <w:r w:rsidRPr="003A55BF">
        <w:rPr>
          <w:rFonts w:cstheme="minorHAnsi"/>
          <w:color w:val="242021"/>
          <w:sz w:val="20"/>
          <w:szCs w:val="20"/>
        </w:rPr>
        <w:t>Malin</w:t>
      </w:r>
      <w:proofErr w:type="spellEnd"/>
      <w:r w:rsidRPr="003A55BF">
        <w:rPr>
          <w:rFonts w:cstheme="minorHAnsi"/>
          <w:color w:val="242021"/>
          <w:sz w:val="20"/>
          <w:szCs w:val="20"/>
        </w:rPr>
        <w:t>, J., &amp; Wong, M. (2011). Development and validation of</w:t>
      </w:r>
      <w:r w:rsidR="00764A49" w:rsidRPr="003A55BF">
        <w:rPr>
          <w:rFonts w:cstheme="minorHAnsi"/>
          <w:color w:val="242021"/>
          <w:sz w:val="20"/>
          <w:szCs w:val="20"/>
        </w:rPr>
        <w:t xml:space="preserve"> </w:t>
      </w:r>
      <w:r w:rsidRPr="003A55BF">
        <w:rPr>
          <w:rFonts w:cstheme="minorHAnsi"/>
          <w:color w:val="242021"/>
          <w:sz w:val="20"/>
          <w:szCs w:val="20"/>
        </w:rPr>
        <w:t xml:space="preserve">a prediction model for the risk of </w:t>
      </w:r>
      <w:r w:rsidRPr="003A55BF">
        <w:rPr>
          <w:rFonts w:cstheme="minorHAnsi"/>
          <w:color w:val="242021"/>
          <w:sz w:val="20"/>
          <w:szCs w:val="20"/>
        </w:rPr>
        <w:lastRenderedPageBreak/>
        <w:t>developing febrile neutropenia in</w:t>
      </w:r>
      <w:r w:rsidR="00764A49" w:rsidRPr="003A55BF">
        <w:rPr>
          <w:rFonts w:cstheme="minorHAnsi"/>
          <w:color w:val="242021"/>
          <w:sz w:val="20"/>
          <w:szCs w:val="20"/>
        </w:rPr>
        <w:t xml:space="preserve"> </w:t>
      </w:r>
      <w:r w:rsidRPr="003A55BF">
        <w:rPr>
          <w:rFonts w:cstheme="minorHAnsi"/>
          <w:color w:val="242021"/>
          <w:sz w:val="20"/>
          <w:szCs w:val="20"/>
        </w:rPr>
        <w:t>the first cycle of chemotherapy among elderly patients with breast,</w:t>
      </w:r>
      <w:r w:rsidRPr="003A55BF">
        <w:rPr>
          <w:rFonts w:cstheme="minorHAnsi"/>
          <w:color w:val="242021"/>
          <w:sz w:val="20"/>
          <w:szCs w:val="20"/>
        </w:rPr>
        <w:br/>
        <w:t xml:space="preserve">lung, colorectal, and prostate cancer. </w:t>
      </w:r>
      <w:r w:rsidRPr="003A55BF">
        <w:rPr>
          <w:rFonts w:cstheme="minorHAnsi"/>
          <w:i/>
          <w:iCs/>
          <w:color w:val="242021"/>
          <w:sz w:val="20"/>
          <w:szCs w:val="20"/>
        </w:rPr>
        <w:t>Supportive Care in Cancer</w:t>
      </w:r>
      <w:r w:rsidRPr="003A55BF">
        <w:rPr>
          <w:rFonts w:cstheme="minorHAnsi"/>
          <w:color w:val="242021"/>
          <w:sz w:val="20"/>
          <w:szCs w:val="20"/>
        </w:rPr>
        <w:t xml:space="preserve">, </w:t>
      </w:r>
      <w:r w:rsidRPr="003A55BF">
        <w:rPr>
          <w:rFonts w:cstheme="minorHAnsi"/>
          <w:i/>
          <w:iCs/>
          <w:color w:val="242021"/>
          <w:sz w:val="20"/>
          <w:szCs w:val="20"/>
        </w:rPr>
        <w:t>19</w:t>
      </w:r>
      <w:r w:rsidRPr="003A55BF">
        <w:rPr>
          <w:rFonts w:cstheme="minorHAnsi"/>
          <w:color w:val="242021"/>
          <w:sz w:val="20"/>
          <w:szCs w:val="20"/>
        </w:rPr>
        <w:t>(3),</w:t>
      </w:r>
      <w:r w:rsidR="00764A49" w:rsidRPr="003A55BF">
        <w:rPr>
          <w:rFonts w:cstheme="minorHAnsi"/>
          <w:color w:val="242021"/>
          <w:sz w:val="20"/>
          <w:szCs w:val="20"/>
        </w:rPr>
        <w:t xml:space="preserve"> </w:t>
      </w:r>
      <w:r w:rsidRPr="003A55BF">
        <w:rPr>
          <w:rFonts w:cstheme="minorHAnsi"/>
          <w:color w:val="242021"/>
          <w:sz w:val="20"/>
          <w:szCs w:val="20"/>
        </w:rPr>
        <w:t>333–341</w:t>
      </w:r>
      <w:r w:rsidR="00764A49" w:rsidRPr="003A55BF">
        <w:rPr>
          <w:rFonts w:cstheme="minorHAnsi"/>
          <w:color w:val="242021"/>
          <w:sz w:val="20"/>
          <w:szCs w:val="20"/>
        </w:rPr>
        <w:t>.</w:t>
      </w:r>
    </w:p>
    <w:p w14:paraId="397BE5A8" w14:textId="77777777" w:rsidR="00764A49" w:rsidRPr="003A55BF" w:rsidRDefault="00BC4475">
      <w:pPr>
        <w:rPr>
          <w:rFonts w:cstheme="minorHAnsi"/>
          <w:color w:val="242021"/>
          <w:sz w:val="20"/>
          <w:szCs w:val="20"/>
        </w:rPr>
      </w:pPr>
      <w:r w:rsidRPr="003A55BF">
        <w:rPr>
          <w:rFonts w:cstheme="minorHAnsi"/>
          <w:color w:val="242021"/>
          <w:sz w:val="20"/>
          <w:szCs w:val="20"/>
        </w:rPr>
        <w:t>Howell, D., Fitch, M., Bakker, D., Green, E., Sussman, J., Mayo, S., …Doran, D. (2013). Core domains for a person-focused outcome measurement system in cancer (PROMS-Cancer Core) for routine care: A</w:t>
      </w:r>
      <w:r w:rsidRPr="003A55BF">
        <w:rPr>
          <w:rFonts w:cstheme="minorHAnsi"/>
          <w:color w:val="242021"/>
          <w:sz w:val="20"/>
          <w:szCs w:val="20"/>
        </w:rPr>
        <w:br/>
        <w:t xml:space="preserve">scoping review and Canadian Delphi Consensus. </w:t>
      </w:r>
      <w:r w:rsidRPr="003A55BF">
        <w:rPr>
          <w:rFonts w:cstheme="minorHAnsi"/>
          <w:i/>
          <w:iCs/>
          <w:color w:val="242021"/>
          <w:sz w:val="20"/>
          <w:szCs w:val="20"/>
        </w:rPr>
        <w:t>Value Health</w:t>
      </w:r>
      <w:r w:rsidRPr="003A55BF">
        <w:rPr>
          <w:rFonts w:cstheme="minorHAnsi"/>
          <w:color w:val="242021"/>
          <w:sz w:val="20"/>
          <w:szCs w:val="20"/>
        </w:rPr>
        <w:t xml:space="preserve">, </w:t>
      </w:r>
      <w:r w:rsidRPr="003A55BF">
        <w:rPr>
          <w:rFonts w:cstheme="minorHAnsi"/>
          <w:i/>
          <w:iCs/>
          <w:color w:val="242021"/>
          <w:sz w:val="20"/>
          <w:szCs w:val="20"/>
        </w:rPr>
        <w:t>16</w:t>
      </w:r>
      <w:r w:rsidRPr="003A55BF">
        <w:rPr>
          <w:rFonts w:cstheme="minorHAnsi"/>
          <w:color w:val="242021"/>
          <w:sz w:val="20"/>
          <w:szCs w:val="20"/>
        </w:rPr>
        <w:t>(1),</w:t>
      </w:r>
      <w:r w:rsidR="00764A49" w:rsidRPr="003A55BF">
        <w:rPr>
          <w:rFonts w:cstheme="minorHAnsi"/>
          <w:color w:val="242021"/>
          <w:sz w:val="20"/>
          <w:szCs w:val="20"/>
        </w:rPr>
        <w:t xml:space="preserve"> </w:t>
      </w:r>
      <w:r w:rsidRPr="003A55BF">
        <w:rPr>
          <w:rFonts w:cstheme="minorHAnsi"/>
          <w:color w:val="242021"/>
          <w:sz w:val="20"/>
          <w:szCs w:val="20"/>
        </w:rPr>
        <w:t xml:space="preserve">76–87. </w:t>
      </w:r>
    </w:p>
    <w:p w14:paraId="7D3198C2" w14:textId="77777777" w:rsidR="00764A49" w:rsidRPr="003A55BF" w:rsidRDefault="00BC4475">
      <w:pPr>
        <w:rPr>
          <w:rFonts w:cstheme="minorHAnsi"/>
          <w:color w:val="242021"/>
          <w:sz w:val="20"/>
          <w:szCs w:val="20"/>
        </w:rPr>
      </w:pPr>
      <w:r w:rsidRPr="003A55BF">
        <w:rPr>
          <w:rFonts w:cstheme="minorHAnsi"/>
          <w:color w:val="242021"/>
          <w:sz w:val="20"/>
          <w:szCs w:val="20"/>
        </w:rPr>
        <w:br/>
        <w:t>Hsu, C.-C., &amp; Sandford, B. A. (2007). The Delphi technique: Making sense</w:t>
      </w:r>
      <w:r w:rsidR="00764A49" w:rsidRPr="003A55BF">
        <w:rPr>
          <w:rFonts w:cstheme="minorHAnsi"/>
          <w:color w:val="242021"/>
          <w:sz w:val="20"/>
          <w:szCs w:val="20"/>
        </w:rPr>
        <w:t xml:space="preserve"> </w:t>
      </w:r>
      <w:r w:rsidRPr="003A55BF">
        <w:rPr>
          <w:rFonts w:cstheme="minorHAnsi"/>
          <w:color w:val="242021"/>
          <w:sz w:val="20"/>
          <w:szCs w:val="20"/>
        </w:rPr>
        <w:t xml:space="preserve">of consensus. </w:t>
      </w:r>
      <w:r w:rsidRPr="003A55BF">
        <w:rPr>
          <w:rFonts w:cstheme="minorHAnsi"/>
          <w:i/>
          <w:iCs/>
          <w:color w:val="242021"/>
          <w:sz w:val="20"/>
          <w:szCs w:val="20"/>
        </w:rPr>
        <w:t>Practical Assessment, Research &amp; Evaluation</w:t>
      </w:r>
      <w:r w:rsidRPr="003A55BF">
        <w:rPr>
          <w:rFonts w:cstheme="minorHAnsi"/>
          <w:color w:val="242021"/>
          <w:sz w:val="20"/>
          <w:szCs w:val="20"/>
        </w:rPr>
        <w:t xml:space="preserve">, </w:t>
      </w:r>
      <w:r w:rsidRPr="003A55BF">
        <w:rPr>
          <w:rFonts w:cstheme="minorHAnsi"/>
          <w:i/>
          <w:iCs/>
          <w:color w:val="242021"/>
          <w:sz w:val="20"/>
          <w:szCs w:val="20"/>
        </w:rPr>
        <w:t>12</w:t>
      </w:r>
      <w:r w:rsidRPr="003A55BF">
        <w:rPr>
          <w:rFonts w:cstheme="minorHAnsi"/>
          <w:color w:val="242021"/>
          <w:sz w:val="20"/>
          <w:szCs w:val="20"/>
        </w:rPr>
        <w:t>, 1.</w:t>
      </w:r>
    </w:p>
    <w:p w14:paraId="308D822F" w14:textId="77777777" w:rsidR="00764A49" w:rsidRPr="003A55BF" w:rsidRDefault="00BC4475">
      <w:pPr>
        <w:rPr>
          <w:rFonts w:cstheme="minorHAnsi"/>
          <w:color w:val="242021"/>
          <w:sz w:val="20"/>
          <w:szCs w:val="20"/>
        </w:rPr>
      </w:pPr>
      <w:r w:rsidRPr="003A55BF">
        <w:rPr>
          <w:rFonts w:cstheme="minorHAnsi"/>
          <w:color w:val="242021"/>
          <w:sz w:val="20"/>
          <w:szCs w:val="20"/>
        </w:rPr>
        <w:br/>
        <w:t>IHI (2015). Institute for Healthcare Improvement Measures –</w:t>
      </w:r>
      <w:r w:rsidR="00764A49" w:rsidRPr="003A55BF">
        <w:rPr>
          <w:rFonts w:cstheme="minorHAnsi"/>
          <w:color w:val="242021"/>
          <w:sz w:val="20"/>
          <w:szCs w:val="20"/>
        </w:rPr>
        <w:t xml:space="preserve"> </w:t>
      </w:r>
      <w:r w:rsidRPr="003A55BF">
        <w:rPr>
          <w:rFonts w:cstheme="minorHAnsi"/>
          <w:color w:val="242021"/>
          <w:sz w:val="20"/>
          <w:szCs w:val="20"/>
        </w:rPr>
        <w:t>Readmissions within 30 days as a percentage of discharges. http://</w:t>
      </w:r>
      <w:r w:rsidR="00764A49" w:rsidRPr="003A55BF">
        <w:rPr>
          <w:rFonts w:cstheme="minorHAnsi"/>
          <w:color w:val="242021"/>
          <w:sz w:val="20"/>
          <w:szCs w:val="20"/>
        </w:rPr>
        <w:t xml:space="preserve"> </w:t>
      </w:r>
      <w:r w:rsidRPr="003A55BF">
        <w:rPr>
          <w:rFonts w:cstheme="minorHAnsi"/>
          <w:color w:val="242021"/>
          <w:sz w:val="20"/>
          <w:szCs w:val="20"/>
        </w:rPr>
        <w:t>www.ihi.org/resources/Pages/Measures/ReadmissionsWithin30DaysPercentageofDischarges.aspx. Accessed October 12, 2015.</w:t>
      </w:r>
    </w:p>
    <w:p w14:paraId="6AAE7A81"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Jones, C., Gannon, B., </w:t>
      </w:r>
      <w:proofErr w:type="spellStart"/>
      <w:r w:rsidRPr="003A55BF">
        <w:rPr>
          <w:rFonts w:cstheme="minorHAnsi"/>
          <w:color w:val="242021"/>
          <w:sz w:val="20"/>
          <w:szCs w:val="20"/>
        </w:rPr>
        <w:t>Wakai</w:t>
      </w:r>
      <w:proofErr w:type="spellEnd"/>
      <w:r w:rsidRPr="003A55BF">
        <w:rPr>
          <w:rFonts w:cstheme="minorHAnsi"/>
          <w:color w:val="242021"/>
          <w:sz w:val="20"/>
          <w:szCs w:val="20"/>
        </w:rPr>
        <w:t>, A., &amp; O’Sullivan, R. (2015). A systematic</w:t>
      </w:r>
      <w:r w:rsidR="00764A49" w:rsidRPr="003A55BF">
        <w:rPr>
          <w:rFonts w:cstheme="minorHAnsi"/>
          <w:color w:val="242021"/>
          <w:sz w:val="20"/>
          <w:szCs w:val="20"/>
        </w:rPr>
        <w:t xml:space="preserve"> </w:t>
      </w:r>
      <w:r w:rsidRPr="003A55BF">
        <w:rPr>
          <w:rFonts w:cstheme="minorHAnsi"/>
          <w:color w:val="242021"/>
          <w:sz w:val="20"/>
          <w:szCs w:val="20"/>
        </w:rPr>
        <w:t>review of the cost of data collection for performance monitoring</w:t>
      </w:r>
      <w:r w:rsidR="00764A49" w:rsidRPr="003A55BF">
        <w:rPr>
          <w:rFonts w:cstheme="minorHAnsi"/>
          <w:color w:val="242021"/>
          <w:sz w:val="20"/>
          <w:szCs w:val="20"/>
        </w:rPr>
        <w:t xml:space="preserve"> </w:t>
      </w:r>
      <w:r w:rsidRPr="003A55BF">
        <w:rPr>
          <w:rFonts w:cstheme="minorHAnsi"/>
          <w:color w:val="242021"/>
          <w:sz w:val="20"/>
          <w:szCs w:val="20"/>
        </w:rPr>
        <w:t xml:space="preserve">in hospitals. </w:t>
      </w:r>
      <w:r w:rsidRPr="003A55BF">
        <w:rPr>
          <w:rFonts w:cstheme="minorHAnsi"/>
          <w:i/>
          <w:iCs/>
          <w:color w:val="242021"/>
          <w:sz w:val="20"/>
          <w:szCs w:val="20"/>
        </w:rPr>
        <w:t>Systematic Reviews</w:t>
      </w:r>
      <w:r w:rsidRPr="003A55BF">
        <w:rPr>
          <w:rFonts w:cstheme="minorHAnsi"/>
          <w:color w:val="242021"/>
          <w:sz w:val="20"/>
          <w:szCs w:val="20"/>
        </w:rPr>
        <w:t xml:space="preserve">, </w:t>
      </w:r>
      <w:r w:rsidRPr="003A55BF">
        <w:rPr>
          <w:rFonts w:cstheme="minorHAnsi"/>
          <w:i/>
          <w:iCs/>
          <w:color w:val="242021"/>
          <w:sz w:val="20"/>
          <w:szCs w:val="20"/>
        </w:rPr>
        <w:t>4</w:t>
      </w:r>
      <w:r w:rsidRPr="003A55BF">
        <w:rPr>
          <w:rFonts w:cstheme="minorHAnsi"/>
          <w:color w:val="242021"/>
          <w:sz w:val="20"/>
          <w:szCs w:val="20"/>
        </w:rPr>
        <w:t xml:space="preserve">, 38–38. </w:t>
      </w:r>
    </w:p>
    <w:p w14:paraId="5C73ACE7" w14:textId="77777777" w:rsidR="00764A49" w:rsidRPr="003A55BF" w:rsidRDefault="00BC4475">
      <w:pPr>
        <w:rPr>
          <w:rFonts w:cstheme="minorHAnsi"/>
          <w:color w:val="242021"/>
          <w:sz w:val="20"/>
          <w:szCs w:val="20"/>
        </w:rPr>
      </w:pPr>
      <w:r w:rsidRPr="003A55BF">
        <w:rPr>
          <w:rFonts w:cstheme="minorHAnsi"/>
          <w:color w:val="242021"/>
          <w:sz w:val="20"/>
          <w:szCs w:val="20"/>
        </w:rPr>
        <w:br/>
        <w:t>Kaplan, R. S., &amp; Porter, M. E. (2011). How to solve the cost crisis in health</w:t>
      </w:r>
      <w:r w:rsidR="00764A49" w:rsidRPr="003A55BF">
        <w:rPr>
          <w:rFonts w:cstheme="minorHAnsi"/>
          <w:color w:val="242021"/>
          <w:sz w:val="20"/>
          <w:szCs w:val="20"/>
        </w:rPr>
        <w:t xml:space="preserve"> </w:t>
      </w:r>
      <w:r w:rsidRPr="003A55BF">
        <w:rPr>
          <w:rFonts w:cstheme="minorHAnsi"/>
          <w:color w:val="242021"/>
          <w:sz w:val="20"/>
          <w:szCs w:val="20"/>
        </w:rPr>
        <w:t xml:space="preserve">care. </w:t>
      </w:r>
      <w:r w:rsidRPr="003A55BF">
        <w:rPr>
          <w:rFonts w:cstheme="minorHAnsi"/>
          <w:i/>
          <w:iCs/>
          <w:color w:val="242021"/>
          <w:sz w:val="20"/>
          <w:szCs w:val="20"/>
        </w:rPr>
        <w:t>Harvard Business Review</w:t>
      </w:r>
      <w:r w:rsidRPr="003A55BF">
        <w:rPr>
          <w:rFonts w:cstheme="minorHAnsi"/>
          <w:color w:val="242021"/>
          <w:sz w:val="20"/>
          <w:szCs w:val="20"/>
        </w:rPr>
        <w:t xml:space="preserve">, </w:t>
      </w:r>
      <w:r w:rsidRPr="003A55BF">
        <w:rPr>
          <w:rFonts w:cstheme="minorHAnsi"/>
          <w:i/>
          <w:iCs/>
          <w:color w:val="242021"/>
          <w:sz w:val="20"/>
          <w:szCs w:val="20"/>
        </w:rPr>
        <w:t>89</w:t>
      </w:r>
      <w:r w:rsidRPr="003A55BF">
        <w:rPr>
          <w:rFonts w:cstheme="minorHAnsi"/>
          <w:color w:val="242021"/>
          <w:sz w:val="20"/>
          <w:szCs w:val="20"/>
        </w:rPr>
        <w:t>(9), 46–64.</w:t>
      </w:r>
    </w:p>
    <w:p w14:paraId="58D236F1"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Keeney, S., Hasson, F., &amp; McKenna, H. (2011). </w:t>
      </w:r>
      <w:r w:rsidRPr="003A55BF">
        <w:rPr>
          <w:rFonts w:cstheme="minorHAnsi"/>
          <w:i/>
          <w:iCs/>
          <w:color w:val="242021"/>
          <w:sz w:val="20"/>
          <w:szCs w:val="20"/>
        </w:rPr>
        <w:t>The Delphi technique in</w:t>
      </w:r>
      <w:r w:rsidR="00764A49" w:rsidRPr="003A55BF">
        <w:rPr>
          <w:rFonts w:cstheme="minorHAnsi"/>
          <w:i/>
          <w:iCs/>
          <w:color w:val="242021"/>
          <w:sz w:val="20"/>
          <w:szCs w:val="20"/>
        </w:rPr>
        <w:t xml:space="preserve"> </w:t>
      </w:r>
      <w:r w:rsidRPr="003A55BF">
        <w:rPr>
          <w:rFonts w:cstheme="minorHAnsi"/>
          <w:i/>
          <w:iCs/>
          <w:color w:val="242021"/>
          <w:sz w:val="20"/>
          <w:szCs w:val="20"/>
        </w:rPr>
        <w:t>nursing and health research</w:t>
      </w:r>
      <w:r w:rsidRPr="003A55BF">
        <w:rPr>
          <w:rFonts w:cstheme="minorHAnsi"/>
          <w:color w:val="242021"/>
          <w:sz w:val="20"/>
          <w:szCs w:val="20"/>
        </w:rPr>
        <w:t>. Chichester, UK: Wiley-Blackwell.</w:t>
      </w:r>
    </w:p>
    <w:p w14:paraId="739428DE"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Ketelaar</w:t>
      </w:r>
      <w:proofErr w:type="spellEnd"/>
      <w:r w:rsidRPr="003A55BF">
        <w:rPr>
          <w:rFonts w:cstheme="minorHAnsi"/>
          <w:color w:val="242021"/>
          <w:sz w:val="20"/>
          <w:szCs w:val="20"/>
        </w:rPr>
        <w:t xml:space="preserve">, M., Russell, D. J., &amp; </w:t>
      </w:r>
      <w:proofErr w:type="spellStart"/>
      <w:r w:rsidRPr="003A55BF">
        <w:rPr>
          <w:rFonts w:cstheme="minorHAnsi"/>
          <w:color w:val="242021"/>
          <w:sz w:val="20"/>
          <w:szCs w:val="20"/>
        </w:rPr>
        <w:t>Gorter</w:t>
      </w:r>
      <w:proofErr w:type="spellEnd"/>
      <w:r w:rsidRPr="003A55BF">
        <w:rPr>
          <w:rFonts w:cstheme="minorHAnsi"/>
          <w:color w:val="242021"/>
          <w:sz w:val="20"/>
          <w:szCs w:val="20"/>
        </w:rPr>
        <w:t xml:space="preserve">, J. W. (2008). The challenge of moving evidence-based measures into clinical practice: Lessons in knowledge translation. </w:t>
      </w:r>
      <w:r w:rsidRPr="003A55BF">
        <w:rPr>
          <w:rFonts w:cstheme="minorHAnsi"/>
          <w:i/>
          <w:iCs/>
          <w:color w:val="242021"/>
          <w:sz w:val="20"/>
          <w:szCs w:val="20"/>
        </w:rPr>
        <w:t xml:space="preserve">Physical &amp; Occupational Therapy in </w:t>
      </w:r>
      <w:proofErr w:type="spellStart"/>
      <w:r w:rsidRPr="003A55BF">
        <w:rPr>
          <w:rFonts w:cstheme="minorHAnsi"/>
          <w:i/>
          <w:iCs/>
          <w:color w:val="242021"/>
          <w:sz w:val="20"/>
          <w:szCs w:val="20"/>
        </w:rPr>
        <w:t>Pediatrics</w:t>
      </w:r>
      <w:proofErr w:type="spellEnd"/>
      <w:r w:rsidRPr="003A55BF">
        <w:rPr>
          <w:rFonts w:cstheme="minorHAnsi"/>
          <w:color w:val="242021"/>
          <w:sz w:val="20"/>
          <w:szCs w:val="20"/>
        </w:rPr>
        <w:t xml:space="preserve">, </w:t>
      </w:r>
      <w:r w:rsidRPr="003A55BF">
        <w:rPr>
          <w:rFonts w:cstheme="minorHAnsi"/>
          <w:i/>
          <w:iCs/>
          <w:color w:val="242021"/>
          <w:sz w:val="20"/>
          <w:szCs w:val="20"/>
        </w:rPr>
        <w:t>28</w:t>
      </w:r>
      <w:r w:rsidRPr="003A55BF">
        <w:rPr>
          <w:rFonts w:cstheme="minorHAnsi"/>
          <w:color w:val="242021"/>
          <w:sz w:val="20"/>
          <w:szCs w:val="20"/>
        </w:rPr>
        <w:t>(2),</w:t>
      </w:r>
      <w:r w:rsidRPr="003A55BF">
        <w:rPr>
          <w:rFonts w:cstheme="minorHAnsi"/>
          <w:color w:val="242021"/>
          <w:sz w:val="20"/>
          <w:szCs w:val="20"/>
        </w:rPr>
        <w:br/>
        <w:t>191–206</w:t>
      </w:r>
      <w:r w:rsidR="00764A49" w:rsidRPr="003A55BF">
        <w:rPr>
          <w:rFonts w:cstheme="minorHAnsi"/>
          <w:color w:val="242021"/>
          <w:sz w:val="20"/>
          <w:szCs w:val="20"/>
        </w:rPr>
        <w:t>.</w:t>
      </w:r>
    </w:p>
    <w:p w14:paraId="1AA9A895" w14:textId="77777777" w:rsidR="00764A49" w:rsidRPr="003A55BF" w:rsidRDefault="00BC4475">
      <w:pPr>
        <w:rPr>
          <w:rFonts w:cstheme="minorHAnsi"/>
          <w:color w:val="242021"/>
          <w:sz w:val="20"/>
          <w:szCs w:val="20"/>
        </w:rPr>
      </w:pPr>
      <w:r w:rsidRPr="003A55BF">
        <w:rPr>
          <w:rFonts w:cstheme="minorHAnsi"/>
          <w:color w:val="242021"/>
          <w:sz w:val="20"/>
          <w:szCs w:val="20"/>
        </w:rPr>
        <w:br/>
        <w:t>Khoja, L., McGurk, A., O’Hara, C., Chow, S., &amp; Hasan, J. (2015).</w:t>
      </w:r>
      <w:r w:rsidR="00764A49" w:rsidRPr="003A55BF">
        <w:rPr>
          <w:rFonts w:cstheme="minorHAnsi"/>
          <w:color w:val="242021"/>
          <w:sz w:val="20"/>
          <w:szCs w:val="20"/>
        </w:rPr>
        <w:t xml:space="preserve"> </w:t>
      </w:r>
      <w:r w:rsidRPr="003A55BF">
        <w:rPr>
          <w:rFonts w:cstheme="minorHAnsi"/>
          <w:color w:val="242021"/>
          <w:sz w:val="20"/>
          <w:szCs w:val="20"/>
        </w:rPr>
        <w:t>Mortality within 30days following systemic anti-cancer therapy, a</w:t>
      </w:r>
      <w:r w:rsidR="00764A49" w:rsidRPr="003A55BF">
        <w:rPr>
          <w:rFonts w:cstheme="minorHAnsi"/>
          <w:color w:val="242021"/>
          <w:sz w:val="20"/>
          <w:szCs w:val="20"/>
        </w:rPr>
        <w:t xml:space="preserve"> </w:t>
      </w:r>
      <w:r w:rsidRPr="003A55BF">
        <w:rPr>
          <w:rFonts w:cstheme="minorHAnsi"/>
          <w:color w:val="242021"/>
          <w:sz w:val="20"/>
          <w:szCs w:val="20"/>
        </w:rPr>
        <w:t>review of all cases over a 4year period in a tertiary cancer centre.</w:t>
      </w:r>
      <w:r w:rsidR="00764A49" w:rsidRPr="003A55BF">
        <w:rPr>
          <w:rFonts w:cstheme="minorHAnsi"/>
          <w:color w:val="242021"/>
          <w:sz w:val="20"/>
          <w:szCs w:val="20"/>
        </w:rPr>
        <w:t xml:space="preserve"> </w:t>
      </w:r>
      <w:r w:rsidRPr="003A55BF">
        <w:rPr>
          <w:rFonts w:cstheme="minorHAnsi"/>
          <w:i/>
          <w:iCs/>
          <w:color w:val="242021"/>
          <w:sz w:val="20"/>
          <w:szCs w:val="20"/>
        </w:rPr>
        <w:t>European Journal of Cancer</w:t>
      </w:r>
      <w:r w:rsidRPr="003A55BF">
        <w:rPr>
          <w:rFonts w:cstheme="minorHAnsi"/>
          <w:color w:val="242021"/>
          <w:sz w:val="20"/>
          <w:szCs w:val="20"/>
        </w:rPr>
        <w:t xml:space="preserve">, </w:t>
      </w:r>
      <w:r w:rsidRPr="003A55BF">
        <w:rPr>
          <w:rFonts w:cstheme="minorHAnsi"/>
          <w:i/>
          <w:iCs/>
          <w:color w:val="242021"/>
          <w:sz w:val="20"/>
          <w:szCs w:val="20"/>
        </w:rPr>
        <w:t>51</w:t>
      </w:r>
      <w:r w:rsidRPr="003A55BF">
        <w:rPr>
          <w:rFonts w:cstheme="minorHAnsi"/>
          <w:color w:val="242021"/>
          <w:sz w:val="20"/>
          <w:szCs w:val="20"/>
        </w:rPr>
        <w:t xml:space="preserve">, 233–240. </w:t>
      </w:r>
    </w:p>
    <w:p w14:paraId="5883641C"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Kötter</w:t>
      </w:r>
      <w:proofErr w:type="spellEnd"/>
      <w:r w:rsidRPr="003A55BF">
        <w:rPr>
          <w:rFonts w:cstheme="minorHAnsi"/>
          <w:color w:val="242021"/>
          <w:sz w:val="20"/>
          <w:szCs w:val="20"/>
        </w:rPr>
        <w:t xml:space="preserve">, T., </w:t>
      </w:r>
      <w:proofErr w:type="spellStart"/>
      <w:r w:rsidRPr="003A55BF">
        <w:rPr>
          <w:rFonts w:cstheme="minorHAnsi"/>
          <w:color w:val="242021"/>
          <w:sz w:val="20"/>
          <w:szCs w:val="20"/>
        </w:rPr>
        <w:t>Blozik</w:t>
      </w:r>
      <w:proofErr w:type="spellEnd"/>
      <w:r w:rsidRPr="003A55BF">
        <w:rPr>
          <w:rFonts w:cstheme="minorHAnsi"/>
          <w:color w:val="242021"/>
          <w:sz w:val="20"/>
          <w:szCs w:val="20"/>
        </w:rPr>
        <w:t xml:space="preserve">, E., &amp; Scherer, M. (2012). Methods for the guideline-based development of quality indicators–a systematic review. </w:t>
      </w:r>
      <w:r w:rsidRPr="003A55BF">
        <w:rPr>
          <w:rFonts w:cstheme="minorHAnsi"/>
          <w:i/>
          <w:iCs/>
          <w:color w:val="242021"/>
          <w:sz w:val="20"/>
          <w:szCs w:val="20"/>
        </w:rPr>
        <w:t>Implementation Science</w:t>
      </w:r>
      <w:r w:rsidRPr="003A55BF">
        <w:rPr>
          <w:rFonts w:cstheme="minorHAnsi"/>
          <w:color w:val="242021"/>
          <w:sz w:val="20"/>
          <w:szCs w:val="20"/>
        </w:rPr>
        <w:t xml:space="preserve">, </w:t>
      </w:r>
      <w:r w:rsidRPr="003A55BF">
        <w:rPr>
          <w:rFonts w:cstheme="minorHAnsi"/>
          <w:i/>
          <w:iCs/>
          <w:color w:val="242021"/>
          <w:sz w:val="20"/>
          <w:szCs w:val="20"/>
        </w:rPr>
        <w:t>7</w:t>
      </w:r>
      <w:r w:rsidRPr="003A55BF">
        <w:rPr>
          <w:rFonts w:cstheme="minorHAnsi"/>
          <w:color w:val="242021"/>
          <w:sz w:val="20"/>
          <w:szCs w:val="20"/>
        </w:rPr>
        <w:t>, 21–21</w:t>
      </w:r>
    </w:p>
    <w:p w14:paraId="53C0EEDF" w14:textId="12ED514F" w:rsidR="00BC447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Kötter</w:t>
      </w:r>
      <w:proofErr w:type="spellEnd"/>
      <w:r w:rsidRPr="003A55BF">
        <w:rPr>
          <w:rFonts w:cstheme="minorHAnsi"/>
          <w:color w:val="242021"/>
          <w:sz w:val="20"/>
          <w:szCs w:val="20"/>
        </w:rPr>
        <w:t xml:space="preserve">, T., Schaefer, F. A., Scherer, M., &amp; </w:t>
      </w:r>
      <w:proofErr w:type="spellStart"/>
      <w:r w:rsidRPr="003A55BF">
        <w:rPr>
          <w:rFonts w:cstheme="minorHAnsi"/>
          <w:color w:val="242021"/>
          <w:sz w:val="20"/>
          <w:szCs w:val="20"/>
        </w:rPr>
        <w:t>Blozik</w:t>
      </w:r>
      <w:proofErr w:type="spellEnd"/>
      <w:r w:rsidRPr="003A55BF">
        <w:rPr>
          <w:rFonts w:cstheme="minorHAnsi"/>
          <w:color w:val="242021"/>
          <w:sz w:val="20"/>
          <w:szCs w:val="20"/>
        </w:rPr>
        <w:t xml:space="preserve">, E. (2013). Involving patients in quality indicator development – A systematic review. </w:t>
      </w:r>
      <w:r w:rsidRPr="003A55BF">
        <w:rPr>
          <w:rFonts w:cstheme="minorHAnsi"/>
          <w:i/>
          <w:iCs/>
          <w:color w:val="242021"/>
          <w:sz w:val="20"/>
          <w:szCs w:val="20"/>
        </w:rPr>
        <w:t>Patient</w:t>
      </w:r>
      <w:r w:rsidR="00764A49" w:rsidRPr="003A55BF">
        <w:rPr>
          <w:rFonts w:cstheme="minorHAnsi"/>
          <w:i/>
          <w:iCs/>
          <w:color w:val="242021"/>
          <w:sz w:val="20"/>
          <w:szCs w:val="20"/>
        </w:rPr>
        <w:t xml:space="preserve"> </w:t>
      </w:r>
      <w:r w:rsidRPr="003A55BF">
        <w:rPr>
          <w:rFonts w:cstheme="minorHAnsi"/>
          <w:i/>
          <w:iCs/>
          <w:color w:val="242021"/>
          <w:sz w:val="20"/>
          <w:szCs w:val="20"/>
        </w:rPr>
        <w:t>Preference &amp; Adherence</w:t>
      </w:r>
      <w:r w:rsidRPr="003A55BF">
        <w:rPr>
          <w:rFonts w:cstheme="minorHAnsi"/>
          <w:color w:val="242021"/>
          <w:sz w:val="20"/>
          <w:szCs w:val="20"/>
        </w:rPr>
        <w:t xml:space="preserve">, </w:t>
      </w:r>
      <w:r w:rsidRPr="003A55BF">
        <w:rPr>
          <w:rFonts w:cstheme="minorHAnsi"/>
          <w:i/>
          <w:iCs/>
          <w:color w:val="242021"/>
          <w:sz w:val="20"/>
          <w:szCs w:val="20"/>
        </w:rPr>
        <w:t>7</w:t>
      </w:r>
      <w:r w:rsidRPr="003A55BF">
        <w:rPr>
          <w:rFonts w:cstheme="minorHAnsi"/>
          <w:color w:val="242021"/>
          <w:sz w:val="20"/>
          <w:szCs w:val="20"/>
        </w:rPr>
        <w:t>, 259–268.</w:t>
      </w:r>
    </w:p>
    <w:p w14:paraId="43164B5B" w14:textId="7795098E" w:rsidR="00764A49" w:rsidRPr="003A55BF" w:rsidRDefault="00BC4475">
      <w:pPr>
        <w:rPr>
          <w:rFonts w:cstheme="minorHAnsi"/>
          <w:color w:val="242021"/>
          <w:sz w:val="20"/>
          <w:szCs w:val="20"/>
        </w:rPr>
      </w:pPr>
      <w:proofErr w:type="spellStart"/>
      <w:r w:rsidRPr="003A55BF">
        <w:rPr>
          <w:rFonts w:cstheme="minorHAnsi"/>
          <w:color w:val="242021"/>
          <w:sz w:val="20"/>
          <w:szCs w:val="20"/>
        </w:rPr>
        <w:t>Kristjansson</w:t>
      </w:r>
      <w:proofErr w:type="spellEnd"/>
      <w:r w:rsidRPr="003A55BF">
        <w:rPr>
          <w:rFonts w:cstheme="minorHAnsi"/>
          <w:color w:val="242021"/>
          <w:sz w:val="20"/>
          <w:szCs w:val="20"/>
        </w:rPr>
        <w:t xml:space="preserve">, A. L., </w:t>
      </w:r>
      <w:proofErr w:type="spellStart"/>
      <w:r w:rsidRPr="003A55BF">
        <w:rPr>
          <w:rFonts w:cstheme="minorHAnsi"/>
          <w:color w:val="242021"/>
          <w:sz w:val="20"/>
          <w:szCs w:val="20"/>
        </w:rPr>
        <w:t>Sigfusdottir</w:t>
      </w:r>
      <w:proofErr w:type="spellEnd"/>
      <w:r w:rsidRPr="003A55BF">
        <w:rPr>
          <w:rFonts w:cstheme="minorHAnsi"/>
          <w:color w:val="242021"/>
          <w:sz w:val="20"/>
          <w:szCs w:val="20"/>
        </w:rPr>
        <w:t xml:space="preserve">, I. D., </w:t>
      </w:r>
      <w:proofErr w:type="spellStart"/>
      <w:r w:rsidRPr="003A55BF">
        <w:rPr>
          <w:rFonts w:cstheme="minorHAnsi"/>
          <w:color w:val="242021"/>
          <w:sz w:val="20"/>
          <w:szCs w:val="20"/>
        </w:rPr>
        <w:t>Sigfusson</w:t>
      </w:r>
      <w:proofErr w:type="spellEnd"/>
      <w:r w:rsidRPr="003A55BF">
        <w:rPr>
          <w:rFonts w:cstheme="minorHAnsi"/>
          <w:color w:val="242021"/>
          <w:sz w:val="20"/>
          <w:szCs w:val="20"/>
        </w:rPr>
        <w:t xml:space="preserve">, J., &amp; </w:t>
      </w:r>
      <w:proofErr w:type="spellStart"/>
      <w:r w:rsidRPr="003A55BF">
        <w:rPr>
          <w:rFonts w:cstheme="minorHAnsi"/>
          <w:color w:val="242021"/>
          <w:sz w:val="20"/>
          <w:szCs w:val="20"/>
        </w:rPr>
        <w:t>Allegrante</w:t>
      </w:r>
      <w:proofErr w:type="spellEnd"/>
      <w:r w:rsidRPr="003A55BF">
        <w:rPr>
          <w:rFonts w:cstheme="minorHAnsi"/>
          <w:color w:val="242021"/>
          <w:sz w:val="20"/>
          <w:szCs w:val="20"/>
        </w:rPr>
        <w:t>, J. P.</w:t>
      </w:r>
      <w:r w:rsidR="00764A49" w:rsidRPr="003A55BF">
        <w:rPr>
          <w:rFonts w:cstheme="minorHAnsi"/>
          <w:color w:val="242021"/>
          <w:sz w:val="20"/>
          <w:szCs w:val="20"/>
        </w:rPr>
        <w:t xml:space="preserve"> </w:t>
      </w:r>
      <w:r w:rsidRPr="003A55BF">
        <w:rPr>
          <w:rFonts w:cstheme="minorHAnsi"/>
          <w:color w:val="242021"/>
          <w:sz w:val="20"/>
          <w:szCs w:val="20"/>
        </w:rPr>
        <w:t xml:space="preserve">(2013). Self-generated identification codes in longitudinal prevention research with adolescents: A pilot study of matched and unmatched subjects. </w:t>
      </w:r>
      <w:r w:rsidRPr="003A55BF">
        <w:rPr>
          <w:rFonts w:cstheme="minorHAnsi"/>
          <w:i/>
          <w:iCs/>
          <w:color w:val="242021"/>
          <w:sz w:val="20"/>
          <w:szCs w:val="20"/>
        </w:rPr>
        <w:t>Prevention Science</w:t>
      </w:r>
      <w:r w:rsidRPr="003A55BF">
        <w:rPr>
          <w:rFonts w:cstheme="minorHAnsi"/>
          <w:color w:val="242021"/>
          <w:sz w:val="20"/>
          <w:szCs w:val="20"/>
        </w:rPr>
        <w:t xml:space="preserve">, </w:t>
      </w:r>
      <w:r w:rsidRPr="003A55BF">
        <w:rPr>
          <w:rFonts w:cstheme="minorHAnsi"/>
          <w:i/>
          <w:iCs/>
          <w:color w:val="242021"/>
          <w:sz w:val="20"/>
          <w:szCs w:val="20"/>
        </w:rPr>
        <w:t>15</w:t>
      </w:r>
      <w:r w:rsidRPr="003A55BF">
        <w:rPr>
          <w:rFonts w:cstheme="minorHAnsi"/>
          <w:color w:val="242021"/>
          <w:sz w:val="20"/>
          <w:szCs w:val="20"/>
        </w:rPr>
        <w:t xml:space="preserve">(2), 205–212. </w:t>
      </w:r>
    </w:p>
    <w:p w14:paraId="7ACAFD35" w14:textId="77777777" w:rsidR="00764A49" w:rsidRPr="003A55BF" w:rsidRDefault="00BC4475">
      <w:pPr>
        <w:rPr>
          <w:rFonts w:cstheme="minorHAnsi"/>
          <w:color w:val="242021"/>
          <w:sz w:val="20"/>
          <w:szCs w:val="20"/>
        </w:rPr>
      </w:pPr>
      <w:r w:rsidRPr="003A55BF">
        <w:rPr>
          <w:rFonts w:cstheme="minorHAnsi"/>
          <w:color w:val="242021"/>
          <w:sz w:val="20"/>
          <w:szCs w:val="20"/>
        </w:rPr>
        <w:lastRenderedPageBreak/>
        <w:br/>
      </w:r>
      <w:proofErr w:type="spellStart"/>
      <w:r w:rsidRPr="003A55BF">
        <w:rPr>
          <w:rFonts w:cstheme="minorHAnsi"/>
          <w:color w:val="242021"/>
          <w:sz w:val="20"/>
          <w:szCs w:val="20"/>
        </w:rPr>
        <w:t>Kuderer</w:t>
      </w:r>
      <w:proofErr w:type="spellEnd"/>
      <w:r w:rsidRPr="003A55BF">
        <w:rPr>
          <w:rFonts w:cstheme="minorHAnsi"/>
          <w:color w:val="242021"/>
          <w:sz w:val="20"/>
          <w:szCs w:val="20"/>
        </w:rPr>
        <w:t xml:space="preserve">, N. M., Dale, D. C., Crawford, J., </w:t>
      </w:r>
      <w:proofErr w:type="spellStart"/>
      <w:r w:rsidRPr="003A55BF">
        <w:rPr>
          <w:rFonts w:cstheme="minorHAnsi"/>
          <w:color w:val="242021"/>
          <w:sz w:val="20"/>
          <w:szCs w:val="20"/>
        </w:rPr>
        <w:t>Cosler</w:t>
      </w:r>
      <w:proofErr w:type="spellEnd"/>
      <w:r w:rsidRPr="003A55BF">
        <w:rPr>
          <w:rFonts w:cstheme="minorHAnsi"/>
          <w:color w:val="242021"/>
          <w:sz w:val="20"/>
          <w:szCs w:val="20"/>
        </w:rPr>
        <w:t>, L. E., &amp; Lyman, G. H.</w:t>
      </w:r>
      <w:r w:rsidR="00764A49" w:rsidRPr="003A55BF">
        <w:rPr>
          <w:rFonts w:cstheme="minorHAnsi"/>
          <w:color w:val="242021"/>
          <w:sz w:val="20"/>
          <w:szCs w:val="20"/>
        </w:rPr>
        <w:t xml:space="preserve"> </w:t>
      </w:r>
      <w:r w:rsidRPr="003A55BF">
        <w:rPr>
          <w:rFonts w:cstheme="minorHAnsi"/>
          <w:color w:val="242021"/>
          <w:sz w:val="20"/>
          <w:szCs w:val="20"/>
        </w:rPr>
        <w:t xml:space="preserve">(2006). Mortality, morbidity, and cost associated with febrile neutropenia in adult cancer patients. </w:t>
      </w:r>
      <w:r w:rsidRPr="003A55BF">
        <w:rPr>
          <w:rFonts w:cstheme="minorHAnsi"/>
          <w:i/>
          <w:iCs/>
          <w:color w:val="242021"/>
          <w:sz w:val="20"/>
          <w:szCs w:val="20"/>
        </w:rPr>
        <w:t>Cancer</w:t>
      </w:r>
      <w:r w:rsidRPr="003A55BF">
        <w:rPr>
          <w:rFonts w:cstheme="minorHAnsi"/>
          <w:color w:val="242021"/>
          <w:sz w:val="20"/>
          <w:szCs w:val="20"/>
        </w:rPr>
        <w:t xml:space="preserve">, </w:t>
      </w:r>
      <w:r w:rsidRPr="003A55BF">
        <w:rPr>
          <w:rFonts w:cstheme="minorHAnsi"/>
          <w:i/>
          <w:iCs/>
          <w:color w:val="242021"/>
          <w:sz w:val="20"/>
          <w:szCs w:val="20"/>
        </w:rPr>
        <w:t>106</w:t>
      </w:r>
      <w:r w:rsidRPr="003A55BF">
        <w:rPr>
          <w:rFonts w:cstheme="minorHAnsi"/>
          <w:color w:val="242021"/>
          <w:sz w:val="20"/>
          <w:szCs w:val="20"/>
        </w:rPr>
        <w:t xml:space="preserve">(10), 2258–2266. </w:t>
      </w:r>
    </w:p>
    <w:p w14:paraId="5EE681E5" w14:textId="77777777" w:rsidR="00764A49" w:rsidRPr="003A55BF" w:rsidRDefault="00BC4475">
      <w:pPr>
        <w:rPr>
          <w:rFonts w:cstheme="minorHAnsi"/>
          <w:color w:val="242021"/>
          <w:sz w:val="20"/>
          <w:szCs w:val="20"/>
        </w:rPr>
      </w:pPr>
      <w:r w:rsidRPr="003A55BF">
        <w:rPr>
          <w:rFonts w:cstheme="minorHAnsi"/>
          <w:color w:val="242021"/>
          <w:sz w:val="20"/>
          <w:szCs w:val="20"/>
        </w:rPr>
        <w:br/>
        <w:t>Kullberg, A., Larsen, J., &amp; Sharp, L. (2013). ‘Why is there another person's</w:t>
      </w:r>
      <w:r w:rsidR="00764A49" w:rsidRPr="003A55BF">
        <w:rPr>
          <w:rFonts w:cstheme="minorHAnsi"/>
          <w:color w:val="242021"/>
          <w:sz w:val="20"/>
          <w:szCs w:val="20"/>
        </w:rPr>
        <w:t xml:space="preserve"> </w:t>
      </w:r>
      <w:r w:rsidRPr="003A55BF">
        <w:rPr>
          <w:rFonts w:cstheme="minorHAnsi"/>
          <w:color w:val="242021"/>
          <w:sz w:val="20"/>
          <w:szCs w:val="20"/>
        </w:rPr>
        <w:t>name on my infusion bag?’ Patient safety in chemotherapy care –</w:t>
      </w:r>
      <w:r w:rsidR="00764A49" w:rsidRPr="003A55BF">
        <w:rPr>
          <w:rFonts w:cstheme="minorHAnsi"/>
          <w:color w:val="242021"/>
          <w:sz w:val="20"/>
          <w:szCs w:val="20"/>
        </w:rPr>
        <w:t xml:space="preserve"> </w:t>
      </w:r>
      <w:r w:rsidRPr="003A55BF">
        <w:rPr>
          <w:rFonts w:cstheme="minorHAnsi"/>
          <w:color w:val="242021"/>
          <w:sz w:val="20"/>
          <w:szCs w:val="20"/>
        </w:rPr>
        <w:t xml:space="preserve">A review of the literature. </w:t>
      </w:r>
      <w:r w:rsidRPr="003A55BF">
        <w:rPr>
          <w:rFonts w:cstheme="minorHAnsi"/>
          <w:i/>
          <w:iCs/>
          <w:color w:val="242021"/>
          <w:sz w:val="20"/>
          <w:szCs w:val="20"/>
        </w:rPr>
        <w:t>European Journal of Oncology Nursing</w:t>
      </w:r>
      <w:r w:rsidRPr="003A55BF">
        <w:rPr>
          <w:rFonts w:cstheme="minorHAnsi"/>
          <w:color w:val="242021"/>
          <w:sz w:val="20"/>
          <w:szCs w:val="20"/>
        </w:rPr>
        <w:t xml:space="preserve">, </w:t>
      </w:r>
      <w:r w:rsidRPr="003A55BF">
        <w:rPr>
          <w:rFonts w:cstheme="minorHAnsi"/>
          <w:i/>
          <w:iCs/>
          <w:color w:val="242021"/>
          <w:sz w:val="20"/>
          <w:szCs w:val="20"/>
        </w:rPr>
        <w:t>17</w:t>
      </w:r>
      <w:r w:rsidRPr="003A55BF">
        <w:rPr>
          <w:rFonts w:cstheme="minorHAnsi"/>
          <w:color w:val="242021"/>
          <w:sz w:val="20"/>
          <w:szCs w:val="20"/>
        </w:rPr>
        <w:t>,</w:t>
      </w:r>
      <w:r w:rsidR="00764A49" w:rsidRPr="003A55BF">
        <w:rPr>
          <w:rFonts w:cstheme="minorHAnsi"/>
          <w:color w:val="242021"/>
          <w:sz w:val="20"/>
          <w:szCs w:val="20"/>
        </w:rPr>
        <w:t xml:space="preserve"> </w:t>
      </w:r>
      <w:r w:rsidRPr="003A55BF">
        <w:rPr>
          <w:rFonts w:cstheme="minorHAnsi"/>
          <w:color w:val="242021"/>
          <w:sz w:val="20"/>
          <w:szCs w:val="20"/>
        </w:rPr>
        <w:t xml:space="preserve">228–235. </w:t>
      </w:r>
    </w:p>
    <w:p w14:paraId="480FC17D"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Landeta</w:t>
      </w:r>
      <w:proofErr w:type="spellEnd"/>
      <w:r w:rsidRPr="003A55BF">
        <w:rPr>
          <w:rFonts w:cstheme="minorHAnsi"/>
          <w:color w:val="242021"/>
          <w:sz w:val="20"/>
          <w:szCs w:val="20"/>
        </w:rPr>
        <w:t xml:space="preserve">, J. (2006). Current validity of the Delphi method in social sciences. </w:t>
      </w:r>
      <w:r w:rsidRPr="003A55BF">
        <w:rPr>
          <w:rFonts w:cstheme="minorHAnsi"/>
          <w:i/>
          <w:iCs/>
          <w:color w:val="242021"/>
          <w:sz w:val="20"/>
          <w:szCs w:val="20"/>
        </w:rPr>
        <w:t>Technological Forecasting &amp; Social Change</w:t>
      </w:r>
      <w:r w:rsidRPr="003A55BF">
        <w:rPr>
          <w:rFonts w:cstheme="minorHAnsi"/>
          <w:color w:val="242021"/>
          <w:sz w:val="20"/>
          <w:szCs w:val="20"/>
        </w:rPr>
        <w:t xml:space="preserve">, </w:t>
      </w:r>
      <w:r w:rsidRPr="003A55BF">
        <w:rPr>
          <w:rFonts w:cstheme="minorHAnsi"/>
          <w:i/>
          <w:iCs/>
          <w:color w:val="242021"/>
          <w:sz w:val="20"/>
          <w:szCs w:val="20"/>
        </w:rPr>
        <w:t>73</w:t>
      </w:r>
      <w:r w:rsidRPr="003A55BF">
        <w:rPr>
          <w:rFonts w:cstheme="minorHAnsi"/>
          <w:color w:val="242021"/>
          <w:sz w:val="20"/>
          <w:szCs w:val="20"/>
        </w:rPr>
        <w:t>, 467–482.</w:t>
      </w:r>
      <w:r w:rsidRPr="003A55BF">
        <w:rPr>
          <w:rFonts w:cstheme="minorHAnsi"/>
          <w:color w:val="242021"/>
          <w:sz w:val="20"/>
          <w:szCs w:val="20"/>
        </w:rPr>
        <w:br/>
      </w:r>
      <w:r w:rsidRPr="003A55BF">
        <w:rPr>
          <w:rFonts w:cstheme="minorHAnsi"/>
          <w:color w:val="242021"/>
          <w:sz w:val="20"/>
          <w:szCs w:val="20"/>
        </w:rPr>
        <w:br/>
        <w:t xml:space="preserve">MacLennan, S., </w:t>
      </w:r>
      <w:proofErr w:type="spellStart"/>
      <w:r w:rsidRPr="003A55BF">
        <w:rPr>
          <w:rFonts w:cstheme="minorHAnsi"/>
          <w:color w:val="242021"/>
          <w:sz w:val="20"/>
          <w:szCs w:val="20"/>
        </w:rPr>
        <w:t>Bekema</w:t>
      </w:r>
      <w:proofErr w:type="spellEnd"/>
      <w:r w:rsidRPr="003A55BF">
        <w:rPr>
          <w:rFonts w:cstheme="minorHAnsi"/>
          <w:color w:val="242021"/>
          <w:sz w:val="20"/>
          <w:szCs w:val="20"/>
        </w:rPr>
        <w:t>, H. J., Williamson, P. R., Campbell, M. K., Stewart,</w:t>
      </w:r>
      <w:r w:rsidR="00764A49" w:rsidRPr="003A55BF">
        <w:rPr>
          <w:rFonts w:cstheme="minorHAnsi"/>
          <w:color w:val="242021"/>
          <w:sz w:val="20"/>
          <w:szCs w:val="20"/>
        </w:rPr>
        <w:t xml:space="preserve"> </w:t>
      </w:r>
      <w:r w:rsidRPr="003A55BF">
        <w:rPr>
          <w:rFonts w:cstheme="minorHAnsi"/>
          <w:color w:val="242021"/>
          <w:sz w:val="20"/>
          <w:szCs w:val="20"/>
        </w:rPr>
        <w:t>F., MacLennan, S. J., … Lam, T. B. (2015). A core outcome set for localised prostate cancer effectiveness trials: Protocol for a systematic</w:t>
      </w:r>
      <w:r w:rsidRPr="003A55BF">
        <w:rPr>
          <w:rFonts w:cstheme="minorHAnsi"/>
          <w:color w:val="242021"/>
          <w:sz w:val="20"/>
          <w:szCs w:val="20"/>
        </w:rPr>
        <w:br/>
        <w:t xml:space="preserve">review of the literature and stakeholder involvement through interviews and a Delphi survey. </w:t>
      </w:r>
      <w:r w:rsidRPr="003A55BF">
        <w:rPr>
          <w:rFonts w:cstheme="minorHAnsi"/>
          <w:i/>
          <w:iCs/>
          <w:color w:val="242021"/>
          <w:sz w:val="20"/>
          <w:szCs w:val="20"/>
        </w:rPr>
        <w:t>Trials</w:t>
      </w:r>
      <w:r w:rsidRPr="003A55BF">
        <w:rPr>
          <w:rFonts w:cstheme="minorHAnsi"/>
          <w:color w:val="242021"/>
          <w:sz w:val="20"/>
          <w:szCs w:val="20"/>
        </w:rPr>
        <w:t xml:space="preserve">, </w:t>
      </w:r>
      <w:r w:rsidRPr="003A55BF">
        <w:rPr>
          <w:rFonts w:cstheme="minorHAnsi"/>
          <w:i/>
          <w:iCs/>
          <w:color w:val="242021"/>
          <w:sz w:val="20"/>
          <w:szCs w:val="20"/>
        </w:rPr>
        <w:t>16</w:t>
      </w:r>
      <w:r w:rsidRPr="003A55BF">
        <w:rPr>
          <w:rFonts w:cstheme="minorHAnsi"/>
          <w:color w:val="242021"/>
          <w:sz w:val="20"/>
          <w:szCs w:val="20"/>
        </w:rPr>
        <w:t>, 76.</w:t>
      </w:r>
      <w:r w:rsidRPr="003A55BF">
        <w:rPr>
          <w:rFonts w:cstheme="minorHAnsi"/>
          <w:color w:val="242021"/>
          <w:sz w:val="20"/>
          <w:szCs w:val="20"/>
        </w:rPr>
        <w:br/>
      </w:r>
    </w:p>
    <w:p w14:paraId="0668F2A9" w14:textId="77777777" w:rsidR="00764A49" w:rsidRPr="003A55BF" w:rsidRDefault="00BC4475">
      <w:pPr>
        <w:rPr>
          <w:rFonts w:cstheme="minorHAnsi"/>
          <w:color w:val="242021"/>
          <w:sz w:val="20"/>
          <w:szCs w:val="20"/>
        </w:rPr>
      </w:pPr>
      <w:proofErr w:type="spellStart"/>
      <w:r w:rsidRPr="003A55BF">
        <w:rPr>
          <w:rFonts w:cstheme="minorHAnsi"/>
          <w:color w:val="242021"/>
          <w:sz w:val="20"/>
          <w:szCs w:val="20"/>
        </w:rPr>
        <w:t>Mant</w:t>
      </w:r>
      <w:proofErr w:type="spellEnd"/>
      <w:r w:rsidRPr="003A55BF">
        <w:rPr>
          <w:rFonts w:cstheme="minorHAnsi"/>
          <w:color w:val="242021"/>
          <w:sz w:val="20"/>
          <w:szCs w:val="20"/>
        </w:rPr>
        <w:t>, J. (2001). Process versus outcome indicators in the assessment of</w:t>
      </w:r>
      <w:r w:rsidR="00764A49" w:rsidRPr="003A55BF">
        <w:rPr>
          <w:rFonts w:cstheme="minorHAnsi"/>
          <w:color w:val="242021"/>
          <w:sz w:val="20"/>
          <w:szCs w:val="20"/>
        </w:rPr>
        <w:t xml:space="preserve"> </w:t>
      </w:r>
      <w:r w:rsidRPr="003A55BF">
        <w:rPr>
          <w:rFonts w:cstheme="minorHAnsi"/>
          <w:color w:val="242021"/>
          <w:sz w:val="20"/>
          <w:szCs w:val="20"/>
        </w:rPr>
        <w:t xml:space="preserve">quality of health care. </w:t>
      </w:r>
      <w:r w:rsidRPr="003A55BF">
        <w:rPr>
          <w:rFonts w:cstheme="minorHAnsi"/>
          <w:i/>
          <w:iCs/>
          <w:color w:val="242021"/>
          <w:sz w:val="20"/>
          <w:szCs w:val="20"/>
        </w:rPr>
        <w:t>International Journal for Quality in Health Care</w:t>
      </w:r>
      <w:r w:rsidRPr="003A55BF">
        <w:rPr>
          <w:rFonts w:cstheme="minorHAnsi"/>
          <w:color w:val="242021"/>
          <w:sz w:val="20"/>
          <w:szCs w:val="20"/>
        </w:rPr>
        <w:t>,</w:t>
      </w:r>
      <w:r w:rsidR="00764A49" w:rsidRPr="003A55BF">
        <w:rPr>
          <w:rFonts w:cstheme="minorHAnsi"/>
          <w:color w:val="242021"/>
          <w:sz w:val="20"/>
          <w:szCs w:val="20"/>
        </w:rPr>
        <w:t xml:space="preserve"> </w:t>
      </w:r>
      <w:r w:rsidRPr="003A55BF">
        <w:rPr>
          <w:rFonts w:cstheme="minorHAnsi"/>
          <w:i/>
          <w:iCs/>
          <w:color w:val="242021"/>
          <w:sz w:val="20"/>
          <w:szCs w:val="20"/>
        </w:rPr>
        <w:t>13</w:t>
      </w:r>
      <w:r w:rsidRPr="003A55BF">
        <w:rPr>
          <w:rFonts w:cstheme="minorHAnsi"/>
          <w:color w:val="242021"/>
          <w:sz w:val="20"/>
          <w:szCs w:val="20"/>
        </w:rPr>
        <w:t xml:space="preserve">(6), 475–480. </w:t>
      </w:r>
    </w:p>
    <w:p w14:paraId="48E86C61"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Manzano, J. G., </w:t>
      </w:r>
      <w:proofErr w:type="spellStart"/>
      <w:r w:rsidRPr="003A55BF">
        <w:rPr>
          <w:rFonts w:cstheme="minorHAnsi"/>
          <w:color w:val="242021"/>
          <w:sz w:val="20"/>
          <w:szCs w:val="20"/>
        </w:rPr>
        <w:t>Gadiraju</w:t>
      </w:r>
      <w:proofErr w:type="spellEnd"/>
      <w:r w:rsidRPr="003A55BF">
        <w:rPr>
          <w:rFonts w:cstheme="minorHAnsi"/>
          <w:color w:val="242021"/>
          <w:sz w:val="20"/>
          <w:szCs w:val="20"/>
        </w:rPr>
        <w:t xml:space="preserve">, S., Hiremath, A., Lin, H. Y., </w:t>
      </w:r>
      <w:proofErr w:type="spellStart"/>
      <w:r w:rsidRPr="003A55BF">
        <w:rPr>
          <w:rFonts w:cstheme="minorHAnsi"/>
          <w:color w:val="242021"/>
          <w:sz w:val="20"/>
          <w:szCs w:val="20"/>
        </w:rPr>
        <w:t>Farroni</w:t>
      </w:r>
      <w:proofErr w:type="spellEnd"/>
      <w:r w:rsidRPr="003A55BF">
        <w:rPr>
          <w:rFonts w:cstheme="minorHAnsi"/>
          <w:color w:val="242021"/>
          <w:sz w:val="20"/>
          <w:szCs w:val="20"/>
        </w:rPr>
        <w:t>, J., &amp; Halm,</w:t>
      </w:r>
      <w:r w:rsidR="00764A49" w:rsidRPr="003A55BF">
        <w:rPr>
          <w:rFonts w:cstheme="minorHAnsi"/>
          <w:color w:val="242021"/>
          <w:sz w:val="20"/>
          <w:szCs w:val="20"/>
        </w:rPr>
        <w:t xml:space="preserve"> </w:t>
      </w:r>
      <w:r w:rsidRPr="003A55BF">
        <w:rPr>
          <w:rFonts w:cstheme="minorHAnsi"/>
          <w:color w:val="242021"/>
          <w:sz w:val="20"/>
          <w:szCs w:val="20"/>
        </w:rPr>
        <w:t xml:space="preserve">J. (2015). Unplanned 3–day readmissions in a general internal medicine hospitalist service at a comprehensive cancer </w:t>
      </w:r>
      <w:proofErr w:type="spellStart"/>
      <w:r w:rsidRPr="003A55BF">
        <w:rPr>
          <w:rFonts w:cstheme="minorHAnsi"/>
          <w:color w:val="242021"/>
          <w:sz w:val="20"/>
          <w:szCs w:val="20"/>
        </w:rPr>
        <w:t>center</w:t>
      </w:r>
      <w:proofErr w:type="spellEnd"/>
      <w:r w:rsidRPr="003A55BF">
        <w:rPr>
          <w:rFonts w:cstheme="minorHAnsi"/>
          <w:color w:val="242021"/>
          <w:sz w:val="20"/>
          <w:szCs w:val="20"/>
        </w:rPr>
        <w:t xml:space="preserve">. </w:t>
      </w:r>
      <w:r w:rsidRPr="003A55BF">
        <w:rPr>
          <w:rFonts w:cstheme="minorHAnsi"/>
          <w:i/>
          <w:iCs/>
          <w:color w:val="242021"/>
          <w:sz w:val="20"/>
          <w:szCs w:val="20"/>
        </w:rPr>
        <w:t>Journal of</w:t>
      </w:r>
      <w:r w:rsidRPr="003A55BF">
        <w:rPr>
          <w:rFonts w:cstheme="minorHAnsi"/>
          <w:i/>
          <w:iCs/>
          <w:color w:val="242021"/>
          <w:sz w:val="20"/>
          <w:szCs w:val="20"/>
        </w:rPr>
        <w:br/>
        <w:t>Oncology Practice</w:t>
      </w:r>
      <w:r w:rsidRPr="003A55BF">
        <w:rPr>
          <w:rFonts w:cstheme="minorHAnsi"/>
          <w:color w:val="242021"/>
          <w:sz w:val="20"/>
          <w:szCs w:val="20"/>
        </w:rPr>
        <w:t xml:space="preserve">, </w:t>
      </w:r>
      <w:r w:rsidRPr="003A55BF">
        <w:rPr>
          <w:rFonts w:cstheme="minorHAnsi"/>
          <w:i/>
          <w:iCs/>
          <w:color w:val="242021"/>
          <w:sz w:val="20"/>
          <w:szCs w:val="20"/>
        </w:rPr>
        <w:t>11</w:t>
      </w:r>
      <w:r w:rsidRPr="003A55BF">
        <w:rPr>
          <w:rFonts w:cstheme="minorHAnsi"/>
          <w:color w:val="242021"/>
          <w:sz w:val="20"/>
          <w:szCs w:val="20"/>
        </w:rPr>
        <w:t>, 410–415.</w:t>
      </w:r>
    </w:p>
    <w:p w14:paraId="068FB37A"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McNair, A. G. K., </w:t>
      </w:r>
      <w:proofErr w:type="spellStart"/>
      <w:r w:rsidRPr="003A55BF">
        <w:rPr>
          <w:rFonts w:cstheme="minorHAnsi"/>
          <w:color w:val="242021"/>
          <w:sz w:val="20"/>
          <w:szCs w:val="20"/>
        </w:rPr>
        <w:t>Whistance</w:t>
      </w:r>
      <w:proofErr w:type="spellEnd"/>
      <w:r w:rsidRPr="003A55BF">
        <w:rPr>
          <w:rFonts w:cstheme="minorHAnsi"/>
          <w:color w:val="242021"/>
          <w:sz w:val="20"/>
          <w:szCs w:val="20"/>
        </w:rPr>
        <w:t xml:space="preserve">, R. N., Forsythe, R. O., </w:t>
      </w:r>
      <w:proofErr w:type="spellStart"/>
      <w:r w:rsidRPr="003A55BF">
        <w:rPr>
          <w:rFonts w:cstheme="minorHAnsi"/>
          <w:color w:val="242021"/>
          <w:sz w:val="20"/>
          <w:szCs w:val="20"/>
        </w:rPr>
        <w:t>Macefield</w:t>
      </w:r>
      <w:proofErr w:type="spellEnd"/>
      <w:r w:rsidRPr="003A55BF">
        <w:rPr>
          <w:rFonts w:cstheme="minorHAnsi"/>
          <w:color w:val="242021"/>
          <w:sz w:val="20"/>
          <w:szCs w:val="20"/>
        </w:rPr>
        <w:t>, R., Rees, J.,</w:t>
      </w:r>
      <w:r w:rsidR="00764A49" w:rsidRPr="003A55BF">
        <w:rPr>
          <w:rFonts w:cstheme="minorHAnsi"/>
          <w:color w:val="242021"/>
          <w:sz w:val="20"/>
          <w:szCs w:val="20"/>
        </w:rPr>
        <w:t xml:space="preserve"> </w:t>
      </w:r>
      <w:proofErr w:type="spellStart"/>
      <w:r w:rsidRPr="003A55BF">
        <w:rPr>
          <w:rFonts w:cstheme="minorHAnsi"/>
          <w:color w:val="242021"/>
          <w:sz w:val="20"/>
          <w:szCs w:val="20"/>
        </w:rPr>
        <w:t>Pullyblank</w:t>
      </w:r>
      <w:proofErr w:type="spellEnd"/>
      <w:r w:rsidRPr="003A55BF">
        <w:rPr>
          <w:rFonts w:cstheme="minorHAnsi"/>
          <w:color w:val="242021"/>
          <w:sz w:val="20"/>
          <w:szCs w:val="20"/>
        </w:rPr>
        <w:t xml:space="preserve">, A. M., … </w:t>
      </w:r>
      <w:proofErr w:type="spellStart"/>
      <w:r w:rsidRPr="003A55BF">
        <w:rPr>
          <w:rFonts w:cstheme="minorHAnsi"/>
          <w:color w:val="242021"/>
          <w:sz w:val="20"/>
          <w:szCs w:val="20"/>
        </w:rPr>
        <w:t>Blazeby</w:t>
      </w:r>
      <w:proofErr w:type="spellEnd"/>
      <w:r w:rsidRPr="003A55BF">
        <w:rPr>
          <w:rFonts w:cstheme="minorHAnsi"/>
          <w:color w:val="242021"/>
          <w:sz w:val="20"/>
          <w:szCs w:val="20"/>
        </w:rPr>
        <w:t xml:space="preserve">, J. M. (2016). Core outcomes for colorectal cancer surgery: A consensus study. </w:t>
      </w:r>
      <w:proofErr w:type="spellStart"/>
      <w:r w:rsidRPr="003A55BF">
        <w:rPr>
          <w:rFonts w:cstheme="minorHAnsi"/>
          <w:i/>
          <w:iCs/>
          <w:color w:val="242021"/>
          <w:sz w:val="20"/>
          <w:szCs w:val="20"/>
        </w:rPr>
        <w:t>PLoS</w:t>
      </w:r>
      <w:proofErr w:type="spellEnd"/>
      <w:r w:rsidRPr="003A55BF">
        <w:rPr>
          <w:rFonts w:cstheme="minorHAnsi"/>
          <w:i/>
          <w:iCs/>
          <w:color w:val="242021"/>
          <w:sz w:val="20"/>
          <w:szCs w:val="20"/>
        </w:rPr>
        <w:t xml:space="preserve"> Med</w:t>
      </w:r>
      <w:r w:rsidRPr="003A55BF">
        <w:rPr>
          <w:rFonts w:cstheme="minorHAnsi"/>
          <w:color w:val="242021"/>
          <w:sz w:val="20"/>
          <w:szCs w:val="20"/>
        </w:rPr>
        <w:t xml:space="preserve">, </w:t>
      </w:r>
      <w:r w:rsidRPr="003A55BF">
        <w:rPr>
          <w:rFonts w:cstheme="minorHAnsi"/>
          <w:i/>
          <w:iCs/>
          <w:color w:val="242021"/>
          <w:sz w:val="20"/>
          <w:szCs w:val="20"/>
        </w:rPr>
        <w:t>13</w:t>
      </w:r>
      <w:r w:rsidRPr="003A55BF">
        <w:rPr>
          <w:rFonts w:cstheme="minorHAnsi"/>
          <w:color w:val="242021"/>
          <w:sz w:val="20"/>
          <w:szCs w:val="20"/>
        </w:rPr>
        <w:t>(8), 1–14</w:t>
      </w:r>
      <w:r w:rsidR="00764A49" w:rsidRPr="003A55BF">
        <w:rPr>
          <w:rFonts w:cstheme="minorHAnsi"/>
          <w:color w:val="242021"/>
          <w:sz w:val="20"/>
          <w:szCs w:val="20"/>
        </w:rPr>
        <w:t>.</w:t>
      </w:r>
    </w:p>
    <w:p w14:paraId="68EA70E4" w14:textId="77777777" w:rsidR="00764A49" w:rsidRPr="003A55BF" w:rsidRDefault="00BC4475">
      <w:pPr>
        <w:rPr>
          <w:rFonts w:cstheme="minorHAnsi"/>
          <w:color w:val="242021"/>
          <w:sz w:val="20"/>
          <w:szCs w:val="20"/>
        </w:rPr>
      </w:pPr>
      <w:r w:rsidRPr="003A55BF">
        <w:rPr>
          <w:rFonts w:cstheme="minorHAnsi"/>
          <w:color w:val="242021"/>
          <w:sz w:val="20"/>
          <w:szCs w:val="20"/>
        </w:rPr>
        <w:br/>
        <w:t>Mistry, A., Wilson, S., Priestman, T., Damery, S., &amp; Haque, M. S. (2010).</w:t>
      </w:r>
      <w:r w:rsidR="00764A49" w:rsidRPr="003A55BF">
        <w:rPr>
          <w:rFonts w:cstheme="minorHAnsi"/>
          <w:color w:val="242021"/>
          <w:sz w:val="20"/>
          <w:szCs w:val="20"/>
        </w:rPr>
        <w:t xml:space="preserve"> </w:t>
      </w:r>
      <w:r w:rsidRPr="003A55BF">
        <w:rPr>
          <w:rFonts w:cstheme="minorHAnsi"/>
          <w:color w:val="242021"/>
          <w:sz w:val="20"/>
          <w:szCs w:val="20"/>
        </w:rPr>
        <w:t>How do the information needs of cancer patients differ at different</w:t>
      </w:r>
      <w:r w:rsidR="00764A49" w:rsidRPr="003A55BF">
        <w:rPr>
          <w:rFonts w:cstheme="minorHAnsi"/>
          <w:color w:val="242021"/>
          <w:sz w:val="20"/>
          <w:szCs w:val="20"/>
        </w:rPr>
        <w:t xml:space="preserve"> </w:t>
      </w:r>
      <w:r w:rsidRPr="003A55BF">
        <w:rPr>
          <w:rFonts w:cstheme="minorHAnsi"/>
          <w:color w:val="242021"/>
          <w:sz w:val="20"/>
          <w:szCs w:val="20"/>
        </w:rPr>
        <w:t xml:space="preserve">stages of the cancer journey? A cross-sectional survey. </w:t>
      </w:r>
      <w:r w:rsidRPr="003A55BF">
        <w:rPr>
          <w:rFonts w:cstheme="minorHAnsi"/>
          <w:i/>
          <w:iCs/>
          <w:color w:val="242021"/>
          <w:sz w:val="20"/>
          <w:szCs w:val="20"/>
        </w:rPr>
        <w:t>JRSM Short</w:t>
      </w:r>
      <w:r w:rsidRPr="003A55BF">
        <w:rPr>
          <w:rFonts w:cstheme="minorHAnsi"/>
          <w:i/>
          <w:iCs/>
          <w:color w:val="242021"/>
          <w:sz w:val="20"/>
          <w:szCs w:val="20"/>
        </w:rPr>
        <w:br/>
        <w:t>Reports</w:t>
      </w:r>
      <w:r w:rsidRPr="003A55BF">
        <w:rPr>
          <w:rFonts w:cstheme="minorHAnsi"/>
          <w:color w:val="242021"/>
          <w:sz w:val="20"/>
          <w:szCs w:val="20"/>
        </w:rPr>
        <w:t xml:space="preserve">, </w:t>
      </w:r>
      <w:r w:rsidRPr="003A55BF">
        <w:rPr>
          <w:rFonts w:cstheme="minorHAnsi"/>
          <w:i/>
          <w:iCs/>
          <w:color w:val="242021"/>
          <w:sz w:val="20"/>
          <w:szCs w:val="20"/>
        </w:rPr>
        <w:t>1</w:t>
      </w:r>
      <w:r w:rsidRPr="003A55BF">
        <w:rPr>
          <w:rFonts w:cstheme="minorHAnsi"/>
          <w:color w:val="242021"/>
          <w:sz w:val="20"/>
          <w:szCs w:val="20"/>
        </w:rPr>
        <w:t xml:space="preserve">(4), 1–10. </w:t>
      </w:r>
    </w:p>
    <w:p w14:paraId="7ECCC9D0"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Moran, R. (2016). </w:t>
      </w:r>
      <w:r w:rsidRPr="003A55BF">
        <w:rPr>
          <w:rFonts w:cstheme="minorHAnsi"/>
          <w:i/>
          <w:iCs/>
          <w:color w:val="242021"/>
          <w:sz w:val="20"/>
          <w:szCs w:val="20"/>
        </w:rPr>
        <w:t>Proposals for an enabling data environment for health and</w:t>
      </w:r>
      <w:r w:rsidR="00764A49" w:rsidRPr="003A55BF">
        <w:rPr>
          <w:rFonts w:cstheme="minorHAnsi"/>
          <w:i/>
          <w:iCs/>
          <w:color w:val="242021"/>
          <w:sz w:val="20"/>
          <w:szCs w:val="20"/>
        </w:rPr>
        <w:t xml:space="preserve"> </w:t>
      </w:r>
      <w:r w:rsidRPr="003A55BF">
        <w:rPr>
          <w:rFonts w:cstheme="minorHAnsi"/>
          <w:i/>
          <w:iCs/>
          <w:color w:val="242021"/>
          <w:sz w:val="20"/>
          <w:szCs w:val="20"/>
        </w:rPr>
        <w:t>related research in Ireland</w:t>
      </w:r>
      <w:r w:rsidRPr="003A55BF">
        <w:rPr>
          <w:rFonts w:cstheme="minorHAnsi"/>
          <w:color w:val="242021"/>
          <w:sz w:val="20"/>
          <w:szCs w:val="20"/>
        </w:rPr>
        <w:t>. Dublin, Ireland: Health Research Board.</w:t>
      </w:r>
      <w:r w:rsidR="00764A49" w:rsidRPr="003A55BF">
        <w:rPr>
          <w:rFonts w:cstheme="minorHAnsi"/>
          <w:color w:val="242021"/>
          <w:sz w:val="20"/>
          <w:szCs w:val="20"/>
        </w:rPr>
        <w:t xml:space="preserve"> </w:t>
      </w:r>
      <w:r w:rsidRPr="003A55BF">
        <w:rPr>
          <w:rFonts w:cstheme="minorHAnsi"/>
          <w:color w:val="242021"/>
          <w:sz w:val="20"/>
          <w:szCs w:val="20"/>
        </w:rPr>
        <w:t>Retrieved from https://www.hrb.ie/</w:t>
      </w:r>
      <w:r w:rsidRPr="003A55BF">
        <w:rPr>
          <w:rFonts w:cstheme="minorHAnsi"/>
          <w:color w:val="242021"/>
          <w:sz w:val="20"/>
          <w:szCs w:val="20"/>
        </w:rPr>
        <w:br/>
      </w:r>
    </w:p>
    <w:p w14:paraId="5A6702F0" w14:textId="77777777" w:rsidR="00764A49" w:rsidRPr="003A55BF" w:rsidRDefault="00BC4475">
      <w:pPr>
        <w:rPr>
          <w:rFonts w:cstheme="minorHAnsi"/>
          <w:color w:val="242021"/>
          <w:sz w:val="20"/>
          <w:szCs w:val="20"/>
        </w:rPr>
      </w:pPr>
      <w:r w:rsidRPr="003A55BF">
        <w:rPr>
          <w:rFonts w:cstheme="minorHAnsi"/>
          <w:color w:val="242021"/>
          <w:sz w:val="20"/>
          <w:szCs w:val="20"/>
        </w:rPr>
        <w:t xml:space="preserve">Morris, C. J., &amp; </w:t>
      </w:r>
      <w:proofErr w:type="spellStart"/>
      <w:r w:rsidRPr="003A55BF">
        <w:rPr>
          <w:rFonts w:cstheme="minorHAnsi"/>
          <w:color w:val="242021"/>
          <w:sz w:val="20"/>
          <w:szCs w:val="20"/>
        </w:rPr>
        <w:t>Cantrill</w:t>
      </w:r>
      <w:proofErr w:type="spellEnd"/>
      <w:r w:rsidRPr="003A55BF">
        <w:rPr>
          <w:rFonts w:cstheme="minorHAnsi"/>
          <w:color w:val="242021"/>
          <w:sz w:val="20"/>
          <w:szCs w:val="20"/>
        </w:rPr>
        <w:t xml:space="preserve">, J. A. (2002). Preventing drug-related morbidity – The development of quality indicators. </w:t>
      </w:r>
      <w:r w:rsidRPr="003A55BF">
        <w:rPr>
          <w:rFonts w:cstheme="minorHAnsi"/>
          <w:i/>
          <w:iCs/>
          <w:color w:val="242021"/>
          <w:sz w:val="20"/>
          <w:szCs w:val="20"/>
        </w:rPr>
        <w:t>Journal of</w:t>
      </w:r>
      <w:r w:rsidR="00764A49" w:rsidRPr="003A55BF">
        <w:rPr>
          <w:rFonts w:cstheme="minorHAnsi"/>
          <w:i/>
          <w:iCs/>
          <w:color w:val="242021"/>
          <w:sz w:val="20"/>
          <w:szCs w:val="20"/>
        </w:rPr>
        <w:t xml:space="preserve"> </w:t>
      </w:r>
      <w:r w:rsidRPr="003A55BF">
        <w:rPr>
          <w:rFonts w:cstheme="minorHAnsi"/>
          <w:i/>
          <w:iCs/>
          <w:color w:val="242021"/>
          <w:sz w:val="20"/>
          <w:szCs w:val="20"/>
        </w:rPr>
        <w:t>Clinical Pharmacy &amp; Therapeutics</w:t>
      </w:r>
      <w:r w:rsidRPr="003A55BF">
        <w:rPr>
          <w:rFonts w:cstheme="minorHAnsi"/>
          <w:color w:val="242021"/>
          <w:sz w:val="20"/>
          <w:szCs w:val="20"/>
        </w:rPr>
        <w:t xml:space="preserve">, </w:t>
      </w:r>
      <w:r w:rsidRPr="003A55BF">
        <w:rPr>
          <w:rFonts w:cstheme="minorHAnsi"/>
          <w:i/>
          <w:iCs/>
          <w:color w:val="242021"/>
          <w:sz w:val="20"/>
          <w:szCs w:val="20"/>
        </w:rPr>
        <w:t>28</w:t>
      </w:r>
      <w:r w:rsidRPr="003A55BF">
        <w:rPr>
          <w:rFonts w:cstheme="minorHAnsi"/>
          <w:color w:val="242021"/>
          <w:sz w:val="20"/>
          <w:szCs w:val="20"/>
        </w:rPr>
        <w:t xml:space="preserve">(4), 295–305. </w:t>
      </w:r>
    </w:p>
    <w:p w14:paraId="3F0DA02F"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Murakami, Y., </w:t>
      </w:r>
      <w:proofErr w:type="spellStart"/>
      <w:r w:rsidRPr="003A55BF">
        <w:rPr>
          <w:rFonts w:cstheme="minorHAnsi"/>
          <w:color w:val="242021"/>
          <w:sz w:val="20"/>
          <w:szCs w:val="20"/>
        </w:rPr>
        <w:t>Uemura</w:t>
      </w:r>
      <w:proofErr w:type="spellEnd"/>
      <w:r w:rsidRPr="003A55BF">
        <w:rPr>
          <w:rFonts w:cstheme="minorHAnsi"/>
          <w:color w:val="242021"/>
          <w:sz w:val="20"/>
          <w:szCs w:val="20"/>
        </w:rPr>
        <w:t xml:space="preserve">, K., </w:t>
      </w:r>
      <w:proofErr w:type="spellStart"/>
      <w:r w:rsidRPr="003A55BF">
        <w:rPr>
          <w:rFonts w:cstheme="minorHAnsi"/>
          <w:color w:val="242021"/>
          <w:sz w:val="20"/>
          <w:szCs w:val="20"/>
        </w:rPr>
        <w:t>Sudo</w:t>
      </w:r>
      <w:proofErr w:type="spellEnd"/>
      <w:r w:rsidRPr="003A55BF">
        <w:rPr>
          <w:rFonts w:cstheme="minorHAnsi"/>
          <w:color w:val="242021"/>
          <w:sz w:val="20"/>
          <w:szCs w:val="20"/>
        </w:rPr>
        <w:t>, T., Hashimoto, Y., Kondo, N., Nakagawa,</w:t>
      </w:r>
      <w:r w:rsidR="00764A49" w:rsidRPr="003A55BF">
        <w:rPr>
          <w:rFonts w:cstheme="minorHAnsi"/>
          <w:color w:val="242021"/>
          <w:sz w:val="20"/>
          <w:szCs w:val="20"/>
        </w:rPr>
        <w:t xml:space="preserve"> </w:t>
      </w:r>
      <w:r w:rsidRPr="003A55BF">
        <w:rPr>
          <w:rFonts w:cstheme="minorHAnsi"/>
          <w:color w:val="242021"/>
          <w:sz w:val="20"/>
          <w:szCs w:val="20"/>
        </w:rPr>
        <w:t xml:space="preserve">N., … </w:t>
      </w:r>
      <w:proofErr w:type="spellStart"/>
      <w:r w:rsidRPr="003A55BF">
        <w:rPr>
          <w:rFonts w:cstheme="minorHAnsi"/>
          <w:color w:val="242021"/>
          <w:sz w:val="20"/>
          <w:szCs w:val="20"/>
        </w:rPr>
        <w:t>Sueda</w:t>
      </w:r>
      <w:proofErr w:type="spellEnd"/>
      <w:r w:rsidRPr="003A55BF">
        <w:rPr>
          <w:rFonts w:cstheme="minorHAnsi"/>
          <w:color w:val="242021"/>
          <w:sz w:val="20"/>
          <w:szCs w:val="20"/>
        </w:rPr>
        <w:t>, T. (2013). Early initiation of adjuvant chemotherapy improves survival of patients with pancreatic carcinoma after surgical</w:t>
      </w:r>
      <w:r w:rsidR="00764A49" w:rsidRPr="003A55BF">
        <w:rPr>
          <w:rFonts w:cstheme="minorHAnsi"/>
          <w:color w:val="242021"/>
          <w:sz w:val="20"/>
          <w:szCs w:val="20"/>
        </w:rPr>
        <w:t xml:space="preserve"> </w:t>
      </w:r>
      <w:r w:rsidRPr="003A55BF">
        <w:rPr>
          <w:rFonts w:cstheme="minorHAnsi"/>
          <w:color w:val="242021"/>
          <w:sz w:val="20"/>
          <w:szCs w:val="20"/>
        </w:rPr>
        <w:t xml:space="preserve">resection. </w:t>
      </w:r>
      <w:r w:rsidRPr="003A55BF">
        <w:rPr>
          <w:rFonts w:cstheme="minorHAnsi"/>
          <w:i/>
          <w:iCs/>
          <w:color w:val="242021"/>
          <w:sz w:val="20"/>
          <w:szCs w:val="20"/>
        </w:rPr>
        <w:t>Cancer Chemotherapy and Pharmacology</w:t>
      </w:r>
      <w:r w:rsidRPr="003A55BF">
        <w:rPr>
          <w:rFonts w:cstheme="minorHAnsi"/>
          <w:color w:val="242021"/>
          <w:sz w:val="20"/>
          <w:szCs w:val="20"/>
        </w:rPr>
        <w:t xml:space="preserve">, </w:t>
      </w:r>
      <w:r w:rsidRPr="003A55BF">
        <w:rPr>
          <w:rFonts w:cstheme="minorHAnsi"/>
          <w:i/>
          <w:iCs/>
          <w:color w:val="242021"/>
          <w:sz w:val="20"/>
          <w:szCs w:val="20"/>
        </w:rPr>
        <w:t>71</w:t>
      </w:r>
      <w:r w:rsidRPr="003A55BF">
        <w:rPr>
          <w:rFonts w:cstheme="minorHAnsi"/>
          <w:color w:val="242021"/>
          <w:sz w:val="20"/>
          <w:szCs w:val="20"/>
        </w:rPr>
        <w:t>(2), 419–429.</w:t>
      </w:r>
      <w:r w:rsidRPr="003A55BF">
        <w:rPr>
          <w:rFonts w:cstheme="minorHAnsi"/>
          <w:color w:val="242021"/>
          <w:sz w:val="20"/>
          <w:szCs w:val="20"/>
        </w:rPr>
        <w:br/>
      </w:r>
      <w:r w:rsidRPr="003A55BF">
        <w:rPr>
          <w:rFonts w:cstheme="minorHAnsi"/>
          <w:color w:val="242021"/>
          <w:sz w:val="20"/>
          <w:szCs w:val="20"/>
        </w:rPr>
        <w:br/>
      </w:r>
      <w:proofErr w:type="spellStart"/>
      <w:r w:rsidRPr="003A55BF">
        <w:rPr>
          <w:rFonts w:cstheme="minorHAnsi"/>
          <w:color w:val="242021"/>
          <w:sz w:val="20"/>
          <w:szCs w:val="20"/>
        </w:rPr>
        <w:t>Nagendran</w:t>
      </w:r>
      <w:proofErr w:type="spellEnd"/>
      <w:r w:rsidRPr="003A55BF">
        <w:rPr>
          <w:rFonts w:cstheme="minorHAnsi"/>
          <w:color w:val="242021"/>
          <w:sz w:val="20"/>
          <w:szCs w:val="20"/>
        </w:rPr>
        <w:t xml:space="preserve">, M., </w:t>
      </w:r>
      <w:proofErr w:type="spellStart"/>
      <w:r w:rsidRPr="003A55BF">
        <w:rPr>
          <w:rFonts w:cstheme="minorHAnsi"/>
          <w:color w:val="242021"/>
          <w:sz w:val="20"/>
          <w:szCs w:val="20"/>
        </w:rPr>
        <w:t>Maruthappu</w:t>
      </w:r>
      <w:proofErr w:type="spellEnd"/>
      <w:r w:rsidRPr="003A55BF">
        <w:rPr>
          <w:rFonts w:cstheme="minorHAnsi"/>
          <w:color w:val="242021"/>
          <w:sz w:val="20"/>
          <w:szCs w:val="20"/>
        </w:rPr>
        <w:t>, M., &amp; Raleigh, V. S. (2012). Is the new NHS</w:t>
      </w:r>
      <w:r w:rsidR="00764A49" w:rsidRPr="003A55BF">
        <w:rPr>
          <w:rFonts w:cstheme="minorHAnsi"/>
          <w:color w:val="242021"/>
          <w:sz w:val="20"/>
          <w:szCs w:val="20"/>
        </w:rPr>
        <w:t xml:space="preserve"> </w:t>
      </w:r>
      <w:r w:rsidRPr="003A55BF">
        <w:rPr>
          <w:rFonts w:cstheme="minorHAnsi"/>
          <w:color w:val="242021"/>
          <w:sz w:val="20"/>
          <w:szCs w:val="20"/>
        </w:rPr>
        <w:t xml:space="preserve">outcomes framework fit for purpose? </w:t>
      </w:r>
      <w:r w:rsidRPr="003A55BF">
        <w:rPr>
          <w:rFonts w:cstheme="minorHAnsi"/>
          <w:i/>
          <w:iCs/>
          <w:color w:val="242021"/>
          <w:sz w:val="20"/>
          <w:szCs w:val="20"/>
        </w:rPr>
        <w:t>BMJ Quality &amp; Safety</w:t>
      </w:r>
      <w:r w:rsidRPr="003A55BF">
        <w:rPr>
          <w:rFonts w:cstheme="minorHAnsi"/>
          <w:color w:val="242021"/>
          <w:sz w:val="20"/>
          <w:szCs w:val="20"/>
        </w:rPr>
        <w:t xml:space="preserve">, </w:t>
      </w:r>
      <w:r w:rsidRPr="003A55BF">
        <w:rPr>
          <w:rFonts w:cstheme="minorHAnsi"/>
          <w:i/>
          <w:iCs/>
          <w:color w:val="242021"/>
          <w:sz w:val="20"/>
          <w:szCs w:val="20"/>
        </w:rPr>
        <w:t>21</w:t>
      </w:r>
      <w:r w:rsidRPr="003A55BF">
        <w:rPr>
          <w:rFonts w:cstheme="minorHAnsi"/>
          <w:color w:val="242021"/>
          <w:sz w:val="20"/>
          <w:szCs w:val="20"/>
        </w:rPr>
        <w:t>(6),</w:t>
      </w:r>
      <w:r w:rsidR="00764A49" w:rsidRPr="003A55BF">
        <w:rPr>
          <w:rFonts w:cstheme="minorHAnsi"/>
          <w:color w:val="242021"/>
          <w:sz w:val="20"/>
          <w:szCs w:val="20"/>
        </w:rPr>
        <w:t xml:space="preserve"> </w:t>
      </w:r>
      <w:r w:rsidRPr="003A55BF">
        <w:rPr>
          <w:rFonts w:cstheme="minorHAnsi"/>
          <w:color w:val="242021"/>
          <w:sz w:val="20"/>
          <w:szCs w:val="20"/>
        </w:rPr>
        <w:t>524–527.</w:t>
      </w:r>
    </w:p>
    <w:p w14:paraId="5E3A9E27" w14:textId="77777777" w:rsidR="00764A49" w:rsidRPr="003A55BF" w:rsidRDefault="00BC4475">
      <w:pPr>
        <w:rPr>
          <w:rFonts w:cstheme="minorHAnsi"/>
          <w:color w:val="242021"/>
          <w:sz w:val="20"/>
          <w:szCs w:val="20"/>
        </w:rPr>
      </w:pPr>
      <w:r w:rsidRPr="003A55BF">
        <w:rPr>
          <w:rFonts w:cstheme="minorHAnsi"/>
          <w:color w:val="242021"/>
          <w:sz w:val="20"/>
          <w:szCs w:val="20"/>
        </w:rPr>
        <w:lastRenderedPageBreak/>
        <w:br/>
      </w:r>
      <w:proofErr w:type="spellStart"/>
      <w:r w:rsidRPr="003A55BF">
        <w:rPr>
          <w:rFonts w:cstheme="minorHAnsi"/>
          <w:color w:val="242021"/>
          <w:sz w:val="20"/>
          <w:szCs w:val="20"/>
        </w:rPr>
        <w:t>Näppä</w:t>
      </w:r>
      <w:proofErr w:type="spellEnd"/>
      <w:r w:rsidRPr="003A55BF">
        <w:rPr>
          <w:rFonts w:cstheme="minorHAnsi"/>
          <w:color w:val="242021"/>
          <w:sz w:val="20"/>
          <w:szCs w:val="20"/>
        </w:rPr>
        <w:t xml:space="preserve">, U., Lindqvist, O., Rasmussen, B. H., &amp; </w:t>
      </w:r>
      <w:proofErr w:type="spellStart"/>
      <w:r w:rsidRPr="003A55BF">
        <w:rPr>
          <w:rFonts w:cstheme="minorHAnsi"/>
          <w:color w:val="242021"/>
          <w:sz w:val="20"/>
          <w:szCs w:val="20"/>
        </w:rPr>
        <w:t>Axelsson</w:t>
      </w:r>
      <w:proofErr w:type="spellEnd"/>
      <w:r w:rsidRPr="003A55BF">
        <w:rPr>
          <w:rFonts w:cstheme="minorHAnsi"/>
          <w:color w:val="242021"/>
          <w:sz w:val="20"/>
          <w:szCs w:val="20"/>
        </w:rPr>
        <w:t>, B. (2011).</w:t>
      </w:r>
      <w:r w:rsidR="00764A49" w:rsidRPr="003A55BF">
        <w:rPr>
          <w:rFonts w:cstheme="minorHAnsi"/>
          <w:color w:val="242021"/>
          <w:sz w:val="20"/>
          <w:szCs w:val="20"/>
        </w:rPr>
        <w:t xml:space="preserve"> </w:t>
      </w:r>
      <w:r w:rsidRPr="003A55BF">
        <w:rPr>
          <w:rFonts w:cstheme="minorHAnsi"/>
          <w:color w:val="242021"/>
          <w:sz w:val="20"/>
          <w:szCs w:val="20"/>
        </w:rPr>
        <w:t xml:space="preserve">Palliative chemotherapy during the last month of life. </w:t>
      </w:r>
      <w:r w:rsidRPr="003A55BF">
        <w:rPr>
          <w:rFonts w:cstheme="minorHAnsi"/>
          <w:i/>
          <w:iCs/>
          <w:color w:val="242021"/>
          <w:sz w:val="20"/>
          <w:szCs w:val="20"/>
        </w:rPr>
        <w:t>Annals</w:t>
      </w:r>
      <w:r w:rsidR="00764A49" w:rsidRPr="003A55BF">
        <w:rPr>
          <w:rFonts w:cstheme="minorHAnsi"/>
          <w:i/>
          <w:iCs/>
          <w:color w:val="242021"/>
          <w:sz w:val="20"/>
          <w:szCs w:val="20"/>
        </w:rPr>
        <w:t xml:space="preserve"> </w:t>
      </w:r>
      <w:r w:rsidRPr="003A55BF">
        <w:rPr>
          <w:rFonts w:cstheme="minorHAnsi"/>
          <w:i/>
          <w:iCs/>
          <w:color w:val="242021"/>
          <w:sz w:val="20"/>
          <w:szCs w:val="20"/>
        </w:rPr>
        <w:t>of Oncology</w:t>
      </w:r>
      <w:r w:rsidRPr="003A55BF">
        <w:rPr>
          <w:rFonts w:cstheme="minorHAnsi"/>
          <w:color w:val="242021"/>
          <w:sz w:val="20"/>
          <w:szCs w:val="20"/>
        </w:rPr>
        <w:t xml:space="preserve">, </w:t>
      </w:r>
      <w:r w:rsidRPr="003A55BF">
        <w:rPr>
          <w:rFonts w:cstheme="minorHAnsi"/>
          <w:i/>
          <w:iCs/>
          <w:color w:val="242021"/>
          <w:sz w:val="20"/>
          <w:szCs w:val="20"/>
        </w:rPr>
        <w:t>22</w:t>
      </w:r>
      <w:r w:rsidRPr="003A55BF">
        <w:rPr>
          <w:rFonts w:cstheme="minorHAnsi"/>
          <w:color w:val="242021"/>
          <w:sz w:val="20"/>
          <w:szCs w:val="20"/>
        </w:rPr>
        <w:t xml:space="preserve">, 2375–2380. </w:t>
      </w:r>
    </w:p>
    <w:p w14:paraId="7FA9EBD7" w14:textId="3F7B8BAF" w:rsidR="00764A49" w:rsidRPr="003A55BF" w:rsidRDefault="00BC4475">
      <w:pPr>
        <w:rPr>
          <w:rFonts w:cstheme="minorHAnsi"/>
          <w:color w:val="242021"/>
          <w:sz w:val="20"/>
          <w:szCs w:val="20"/>
        </w:rPr>
      </w:pPr>
      <w:r w:rsidRPr="003A55BF">
        <w:rPr>
          <w:rFonts w:cstheme="minorHAnsi"/>
          <w:color w:val="242021"/>
          <w:sz w:val="20"/>
          <w:szCs w:val="20"/>
        </w:rPr>
        <w:t xml:space="preserve">NCCP (2014). </w:t>
      </w:r>
      <w:r w:rsidRPr="003A55BF">
        <w:rPr>
          <w:rFonts w:cstheme="minorHAnsi"/>
          <w:i/>
          <w:iCs/>
          <w:color w:val="242021"/>
          <w:sz w:val="20"/>
          <w:szCs w:val="20"/>
        </w:rPr>
        <w:t>Report on the implementation of ‘A Strategy for Cancer</w:t>
      </w:r>
      <w:r w:rsidR="00764A49" w:rsidRPr="003A55BF">
        <w:rPr>
          <w:rFonts w:cstheme="minorHAnsi"/>
          <w:i/>
          <w:iCs/>
          <w:color w:val="242021"/>
          <w:sz w:val="20"/>
          <w:szCs w:val="20"/>
        </w:rPr>
        <w:t xml:space="preserve"> </w:t>
      </w:r>
      <w:r w:rsidRPr="003A55BF">
        <w:rPr>
          <w:rFonts w:cstheme="minorHAnsi"/>
          <w:i/>
          <w:iCs/>
          <w:color w:val="242021"/>
          <w:sz w:val="20"/>
          <w:szCs w:val="20"/>
        </w:rPr>
        <w:t>Control in Ireland 2006'</w:t>
      </w:r>
      <w:r w:rsidRPr="003A55BF">
        <w:rPr>
          <w:rFonts w:cstheme="minorHAnsi"/>
          <w:color w:val="242021"/>
          <w:sz w:val="20"/>
          <w:szCs w:val="20"/>
        </w:rPr>
        <w:t>. National Cancer Control Programme (HSE).</w:t>
      </w:r>
      <w:r w:rsidR="00764A49" w:rsidRPr="003A55BF">
        <w:rPr>
          <w:rFonts w:cstheme="minorHAnsi"/>
          <w:color w:val="242021"/>
          <w:sz w:val="20"/>
          <w:szCs w:val="20"/>
        </w:rPr>
        <w:t xml:space="preserve"> </w:t>
      </w:r>
      <w:r w:rsidRPr="003A55BF">
        <w:rPr>
          <w:rFonts w:cstheme="minorHAnsi"/>
          <w:color w:val="242021"/>
          <w:sz w:val="20"/>
          <w:szCs w:val="20"/>
        </w:rPr>
        <w:t xml:space="preserve">Retrieved from </w:t>
      </w:r>
      <w:hyperlink r:id="rId10" w:history="1">
        <w:r w:rsidR="00764A49" w:rsidRPr="003A55BF">
          <w:rPr>
            <w:rStyle w:val="Hyperlink"/>
            <w:rFonts w:cstheme="minorHAnsi"/>
            <w:sz w:val="20"/>
            <w:szCs w:val="20"/>
          </w:rPr>
          <w:t>https://hse.ie/eng/services/list/5/cancer/pubs/reports/7yearreport.pdf</w:t>
        </w:r>
      </w:hyperlink>
    </w:p>
    <w:p w14:paraId="38A3902C"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NCEPOD (2008). </w:t>
      </w:r>
      <w:r w:rsidRPr="003A55BF">
        <w:rPr>
          <w:rFonts w:cstheme="minorHAnsi"/>
          <w:i/>
          <w:iCs/>
          <w:color w:val="242021"/>
          <w:sz w:val="20"/>
          <w:szCs w:val="20"/>
        </w:rPr>
        <w:t>For better, for worse: A review of the care of patients who</w:t>
      </w:r>
      <w:r w:rsidR="00764A49" w:rsidRPr="003A55BF">
        <w:rPr>
          <w:rFonts w:cstheme="minorHAnsi"/>
          <w:i/>
          <w:iCs/>
          <w:color w:val="242021"/>
          <w:sz w:val="20"/>
          <w:szCs w:val="20"/>
        </w:rPr>
        <w:t xml:space="preserve"> </w:t>
      </w:r>
      <w:r w:rsidRPr="003A55BF">
        <w:rPr>
          <w:rFonts w:cstheme="minorHAnsi"/>
          <w:i/>
          <w:iCs/>
          <w:color w:val="242021"/>
          <w:sz w:val="20"/>
          <w:szCs w:val="20"/>
        </w:rPr>
        <w:t>died within 30 days of receiving systemic anti-cancer therapy</w:t>
      </w:r>
      <w:r w:rsidRPr="003A55BF">
        <w:rPr>
          <w:rFonts w:cstheme="minorHAnsi"/>
          <w:color w:val="242021"/>
          <w:sz w:val="20"/>
          <w:szCs w:val="20"/>
        </w:rPr>
        <w:t>. London.</w:t>
      </w:r>
      <w:r w:rsidR="00764A49" w:rsidRPr="003A55BF">
        <w:rPr>
          <w:rFonts w:cstheme="minorHAnsi"/>
          <w:color w:val="242021"/>
          <w:sz w:val="20"/>
          <w:szCs w:val="20"/>
        </w:rPr>
        <w:t xml:space="preserve"> </w:t>
      </w:r>
      <w:r w:rsidRPr="003A55BF">
        <w:rPr>
          <w:rFonts w:cstheme="minorHAnsi"/>
          <w:color w:val="242021"/>
          <w:sz w:val="20"/>
          <w:szCs w:val="20"/>
        </w:rPr>
        <w:t>Retrieved from https://www.ncepod.org.uk/2008report3/Downl</w:t>
      </w:r>
      <w:r w:rsidRPr="003A55BF">
        <w:rPr>
          <w:rFonts w:cstheme="minorHAnsi"/>
          <w:color w:val="242021"/>
          <w:sz w:val="20"/>
          <w:szCs w:val="20"/>
        </w:rPr>
        <w:br/>
      </w:r>
      <w:proofErr w:type="spellStart"/>
      <w:r w:rsidRPr="003A55BF">
        <w:rPr>
          <w:rFonts w:cstheme="minorHAnsi"/>
          <w:color w:val="242021"/>
          <w:sz w:val="20"/>
          <w:szCs w:val="20"/>
        </w:rPr>
        <w:t>oads</w:t>
      </w:r>
      <w:proofErr w:type="spellEnd"/>
      <w:r w:rsidRPr="003A55BF">
        <w:rPr>
          <w:rFonts w:cstheme="minorHAnsi"/>
          <w:color w:val="242021"/>
          <w:sz w:val="20"/>
          <w:szCs w:val="20"/>
        </w:rPr>
        <w:t>/SACT_report.pdf</w:t>
      </w:r>
    </w:p>
    <w:p w14:paraId="4B439B4C"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NCRI (2014). </w:t>
      </w:r>
      <w:r w:rsidRPr="003A55BF">
        <w:rPr>
          <w:rFonts w:cstheme="minorHAnsi"/>
          <w:i/>
          <w:iCs/>
          <w:color w:val="242021"/>
          <w:sz w:val="20"/>
          <w:szCs w:val="20"/>
        </w:rPr>
        <w:t>Cancer in Ireland 1994-2012: Annual report of the National</w:t>
      </w:r>
      <w:r w:rsidR="00764A49" w:rsidRPr="003A55BF">
        <w:rPr>
          <w:rFonts w:cstheme="minorHAnsi"/>
          <w:i/>
          <w:iCs/>
          <w:color w:val="242021"/>
          <w:sz w:val="20"/>
          <w:szCs w:val="20"/>
        </w:rPr>
        <w:t xml:space="preserve"> </w:t>
      </w:r>
      <w:r w:rsidRPr="003A55BF">
        <w:rPr>
          <w:rFonts w:cstheme="minorHAnsi"/>
          <w:i/>
          <w:iCs/>
          <w:color w:val="242021"/>
          <w:sz w:val="20"/>
          <w:szCs w:val="20"/>
        </w:rPr>
        <w:t>Cancer Registry</w:t>
      </w:r>
      <w:r w:rsidRPr="003A55BF">
        <w:rPr>
          <w:rFonts w:cstheme="minorHAnsi"/>
          <w:color w:val="242021"/>
          <w:sz w:val="20"/>
          <w:szCs w:val="20"/>
        </w:rPr>
        <w:t>. National Cancer Registry. Retrieved from https://www.ncri.ie/publications/statistical-reports/cancer-ireland-1994-</w:t>
      </w:r>
      <w:r w:rsidRPr="003A55BF">
        <w:rPr>
          <w:rFonts w:cstheme="minorHAnsi"/>
          <w:color w:val="242021"/>
          <w:sz w:val="20"/>
          <w:szCs w:val="20"/>
        </w:rPr>
        <w:br/>
        <w:t>2012-annual-report-national-cancer-registry</w:t>
      </w:r>
    </w:p>
    <w:p w14:paraId="7E2B7410"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NCRI (2014). </w:t>
      </w:r>
      <w:r w:rsidRPr="003A55BF">
        <w:rPr>
          <w:rFonts w:cstheme="minorHAnsi"/>
          <w:i/>
          <w:iCs/>
          <w:color w:val="242021"/>
          <w:sz w:val="20"/>
          <w:szCs w:val="20"/>
        </w:rPr>
        <w:t>Cancer projections for Ireland 2015-2040</w:t>
      </w:r>
      <w:r w:rsidRPr="003A55BF">
        <w:rPr>
          <w:rFonts w:cstheme="minorHAnsi"/>
          <w:color w:val="242021"/>
          <w:sz w:val="20"/>
          <w:szCs w:val="20"/>
        </w:rPr>
        <w:t>. National</w:t>
      </w:r>
      <w:r w:rsidR="00764A49" w:rsidRPr="003A55BF">
        <w:rPr>
          <w:rFonts w:cstheme="minorHAnsi"/>
          <w:color w:val="242021"/>
          <w:sz w:val="20"/>
          <w:szCs w:val="20"/>
        </w:rPr>
        <w:t xml:space="preserve"> </w:t>
      </w:r>
      <w:r w:rsidRPr="003A55BF">
        <w:rPr>
          <w:rFonts w:cstheme="minorHAnsi"/>
          <w:color w:val="242021"/>
          <w:sz w:val="20"/>
          <w:szCs w:val="20"/>
        </w:rPr>
        <w:t>Cancer Registry. Retrieved from https://www.ncri.ie/publications/cancer-trends-and-projections/cancer-projections-irela</w:t>
      </w:r>
      <w:r w:rsidRPr="003A55BF">
        <w:rPr>
          <w:rFonts w:cstheme="minorHAnsi"/>
          <w:color w:val="242021"/>
          <w:sz w:val="20"/>
          <w:szCs w:val="20"/>
        </w:rPr>
        <w:br/>
        <w:t>nd-2015-%E2%80%93-2040</w:t>
      </w:r>
    </w:p>
    <w:p w14:paraId="5130295F" w14:textId="77777777" w:rsidR="00764A49" w:rsidRPr="003A55BF" w:rsidRDefault="00BC4475">
      <w:pPr>
        <w:rPr>
          <w:rFonts w:cstheme="minorHAnsi"/>
          <w:color w:val="242021"/>
          <w:sz w:val="20"/>
          <w:szCs w:val="20"/>
        </w:rPr>
      </w:pPr>
      <w:r w:rsidRPr="003A55BF">
        <w:rPr>
          <w:rFonts w:cstheme="minorHAnsi"/>
          <w:color w:val="242021"/>
          <w:sz w:val="20"/>
          <w:szCs w:val="20"/>
        </w:rPr>
        <w:br/>
        <w:t xml:space="preserve">Neuss, M. N., </w:t>
      </w:r>
      <w:proofErr w:type="spellStart"/>
      <w:r w:rsidRPr="003A55BF">
        <w:rPr>
          <w:rFonts w:cstheme="minorHAnsi"/>
          <w:color w:val="242021"/>
          <w:sz w:val="20"/>
          <w:szCs w:val="20"/>
        </w:rPr>
        <w:t>Desch</w:t>
      </w:r>
      <w:proofErr w:type="spellEnd"/>
      <w:r w:rsidRPr="003A55BF">
        <w:rPr>
          <w:rFonts w:cstheme="minorHAnsi"/>
          <w:color w:val="242021"/>
          <w:sz w:val="20"/>
          <w:szCs w:val="20"/>
        </w:rPr>
        <w:t xml:space="preserve">, C. E., McNiff, K. K., Eisenberg, P. D., </w:t>
      </w:r>
      <w:proofErr w:type="spellStart"/>
      <w:r w:rsidRPr="003A55BF">
        <w:rPr>
          <w:rFonts w:cstheme="minorHAnsi"/>
          <w:color w:val="242021"/>
          <w:sz w:val="20"/>
          <w:szCs w:val="20"/>
        </w:rPr>
        <w:t>Gesme</w:t>
      </w:r>
      <w:proofErr w:type="spellEnd"/>
      <w:r w:rsidRPr="003A55BF">
        <w:rPr>
          <w:rFonts w:cstheme="minorHAnsi"/>
          <w:color w:val="242021"/>
          <w:sz w:val="20"/>
          <w:szCs w:val="20"/>
        </w:rPr>
        <w:t>, D.</w:t>
      </w:r>
      <w:r w:rsidR="00764A49" w:rsidRPr="003A55BF">
        <w:rPr>
          <w:rFonts w:cstheme="minorHAnsi"/>
          <w:color w:val="242021"/>
          <w:sz w:val="20"/>
          <w:szCs w:val="20"/>
        </w:rPr>
        <w:t xml:space="preserve"> </w:t>
      </w:r>
      <w:r w:rsidRPr="003A55BF">
        <w:rPr>
          <w:rFonts w:cstheme="minorHAnsi"/>
          <w:color w:val="242021"/>
          <w:sz w:val="20"/>
          <w:szCs w:val="20"/>
        </w:rPr>
        <w:t xml:space="preserve">H., Jacobson, J. O., … Simone, J. V. (2005). A process for measuring the quality of cancer care: The quality oncology practice initiative. </w:t>
      </w:r>
      <w:r w:rsidRPr="003A55BF">
        <w:rPr>
          <w:rFonts w:cstheme="minorHAnsi"/>
          <w:i/>
          <w:iCs/>
          <w:color w:val="242021"/>
          <w:sz w:val="20"/>
          <w:szCs w:val="20"/>
        </w:rPr>
        <w:t>Journal of Clinical Oncology</w:t>
      </w:r>
      <w:r w:rsidRPr="003A55BF">
        <w:rPr>
          <w:rFonts w:cstheme="minorHAnsi"/>
          <w:color w:val="242021"/>
          <w:sz w:val="20"/>
          <w:szCs w:val="20"/>
        </w:rPr>
        <w:t xml:space="preserve">, </w:t>
      </w:r>
      <w:r w:rsidRPr="003A55BF">
        <w:rPr>
          <w:rFonts w:cstheme="minorHAnsi"/>
          <w:i/>
          <w:iCs/>
          <w:color w:val="242021"/>
          <w:sz w:val="20"/>
          <w:szCs w:val="20"/>
        </w:rPr>
        <w:t>23</w:t>
      </w:r>
      <w:r w:rsidRPr="003A55BF">
        <w:rPr>
          <w:rFonts w:cstheme="minorHAnsi"/>
          <w:color w:val="242021"/>
          <w:sz w:val="20"/>
          <w:szCs w:val="20"/>
        </w:rPr>
        <w:t xml:space="preserve">(25), 6233–6239. </w:t>
      </w:r>
    </w:p>
    <w:p w14:paraId="70134402" w14:textId="77777777" w:rsidR="00764A49"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Nowack</w:t>
      </w:r>
      <w:proofErr w:type="spellEnd"/>
      <w:r w:rsidRPr="003A55BF">
        <w:rPr>
          <w:rFonts w:cstheme="minorHAnsi"/>
          <w:color w:val="242021"/>
          <w:sz w:val="20"/>
          <w:szCs w:val="20"/>
        </w:rPr>
        <w:t xml:space="preserve">, M., </w:t>
      </w:r>
      <w:proofErr w:type="spellStart"/>
      <w:r w:rsidRPr="003A55BF">
        <w:rPr>
          <w:rFonts w:cstheme="minorHAnsi"/>
          <w:color w:val="242021"/>
          <w:sz w:val="20"/>
          <w:szCs w:val="20"/>
        </w:rPr>
        <w:t>Endrikat</w:t>
      </w:r>
      <w:proofErr w:type="spellEnd"/>
      <w:r w:rsidRPr="003A55BF">
        <w:rPr>
          <w:rFonts w:cstheme="minorHAnsi"/>
          <w:color w:val="242021"/>
          <w:sz w:val="20"/>
          <w:szCs w:val="20"/>
        </w:rPr>
        <w:t xml:space="preserve">, J., &amp; Guenther, E. (2011). Review of </w:t>
      </w:r>
      <w:proofErr w:type="spellStart"/>
      <w:r w:rsidRPr="003A55BF">
        <w:rPr>
          <w:rFonts w:cstheme="minorHAnsi"/>
          <w:color w:val="242021"/>
          <w:sz w:val="20"/>
          <w:szCs w:val="20"/>
        </w:rPr>
        <w:t>Delphibased</w:t>
      </w:r>
      <w:proofErr w:type="spellEnd"/>
      <w:r w:rsidRPr="003A55BF">
        <w:rPr>
          <w:rFonts w:cstheme="minorHAnsi"/>
          <w:color w:val="242021"/>
          <w:sz w:val="20"/>
          <w:szCs w:val="20"/>
        </w:rPr>
        <w:t xml:space="preserve"> scenario studies: Quality and design considerations.</w:t>
      </w:r>
      <w:r w:rsidR="00764A49" w:rsidRPr="003A55BF">
        <w:rPr>
          <w:rFonts w:cstheme="minorHAnsi"/>
          <w:color w:val="242021"/>
          <w:sz w:val="20"/>
          <w:szCs w:val="20"/>
        </w:rPr>
        <w:t xml:space="preserve"> </w:t>
      </w:r>
      <w:r w:rsidRPr="003A55BF">
        <w:rPr>
          <w:rFonts w:cstheme="minorHAnsi"/>
          <w:i/>
          <w:iCs/>
          <w:color w:val="242021"/>
          <w:sz w:val="20"/>
          <w:szCs w:val="20"/>
        </w:rPr>
        <w:t>Technological Forecasting &amp; Social Change</w:t>
      </w:r>
      <w:r w:rsidRPr="003A55BF">
        <w:rPr>
          <w:rFonts w:cstheme="minorHAnsi"/>
          <w:color w:val="242021"/>
          <w:sz w:val="20"/>
          <w:szCs w:val="20"/>
        </w:rPr>
        <w:t xml:space="preserve">, </w:t>
      </w:r>
      <w:r w:rsidRPr="003A55BF">
        <w:rPr>
          <w:rFonts w:cstheme="minorHAnsi"/>
          <w:i/>
          <w:iCs/>
          <w:color w:val="242021"/>
          <w:sz w:val="20"/>
          <w:szCs w:val="20"/>
        </w:rPr>
        <w:t>78</w:t>
      </w:r>
      <w:r w:rsidRPr="003A55BF">
        <w:rPr>
          <w:rFonts w:cstheme="minorHAnsi"/>
          <w:color w:val="242021"/>
          <w:sz w:val="20"/>
          <w:szCs w:val="20"/>
        </w:rPr>
        <w:t xml:space="preserve">, 1603–1615. </w:t>
      </w:r>
    </w:p>
    <w:p w14:paraId="4327620A" w14:textId="77777777" w:rsidR="00906585" w:rsidRPr="003A55BF" w:rsidRDefault="00BC4475">
      <w:pPr>
        <w:rPr>
          <w:rFonts w:cstheme="minorHAnsi"/>
          <w:color w:val="242021"/>
          <w:sz w:val="20"/>
          <w:szCs w:val="20"/>
        </w:rPr>
      </w:pPr>
      <w:r w:rsidRPr="003A55BF">
        <w:rPr>
          <w:rFonts w:cstheme="minorHAnsi"/>
          <w:color w:val="242021"/>
          <w:sz w:val="20"/>
          <w:szCs w:val="20"/>
        </w:rPr>
        <w:br/>
        <w:t xml:space="preserve">O'Brien, M. E. R., Borthwick, A., Rigg, A., Leary, A., </w:t>
      </w:r>
      <w:proofErr w:type="spellStart"/>
      <w:r w:rsidRPr="003A55BF">
        <w:rPr>
          <w:rFonts w:cstheme="minorHAnsi"/>
          <w:color w:val="242021"/>
          <w:sz w:val="20"/>
          <w:szCs w:val="20"/>
        </w:rPr>
        <w:t>Assersohn</w:t>
      </w:r>
      <w:proofErr w:type="spellEnd"/>
      <w:r w:rsidRPr="003A55BF">
        <w:rPr>
          <w:rFonts w:cstheme="minorHAnsi"/>
          <w:color w:val="242021"/>
          <w:sz w:val="20"/>
          <w:szCs w:val="20"/>
        </w:rPr>
        <w:t>, L., Last,</w:t>
      </w:r>
      <w:r w:rsidR="00764A49" w:rsidRPr="003A55BF">
        <w:rPr>
          <w:rFonts w:cstheme="minorHAnsi"/>
          <w:color w:val="242021"/>
          <w:sz w:val="20"/>
          <w:szCs w:val="20"/>
        </w:rPr>
        <w:t xml:space="preserve"> </w:t>
      </w:r>
      <w:r w:rsidRPr="003A55BF">
        <w:rPr>
          <w:rFonts w:cstheme="minorHAnsi"/>
          <w:color w:val="242021"/>
          <w:sz w:val="20"/>
          <w:szCs w:val="20"/>
        </w:rPr>
        <w:t>K., … Smith, I. E. (2006). Mortality within 30 days of chemotherapy: A</w:t>
      </w:r>
      <w:r w:rsidR="00764A49" w:rsidRPr="003A55BF">
        <w:rPr>
          <w:rFonts w:cstheme="minorHAnsi"/>
          <w:color w:val="242021"/>
          <w:sz w:val="20"/>
          <w:szCs w:val="20"/>
        </w:rPr>
        <w:t xml:space="preserve"> </w:t>
      </w:r>
      <w:r w:rsidRPr="003A55BF">
        <w:rPr>
          <w:rFonts w:cstheme="minorHAnsi"/>
          <w:color w:val="242021"/>
          <w:sz w:val="20"/>
          <w:szCs w:val="20"/>
        </w:rPr>
        <w:t xml:space="preserve">clinical governance benchmarking issue for oncology patients. </w:t>
      </w:r>
      <w:r w:rsidRPr="003A55BF">
        <w:rPr>
          <w:rFonts w:cstheme="minorHAnsi"/>
          <w:i/>
          <w:iCs/>
          <w:color w:val="242021"/>
          <w:sz w:val="20"/>
          <w:szCs w:val="20"/>
        </w:rPr>
        <w:t>British</w:t>
      </w:r>
      <w:r w:rsidR="00906585" w:rsidRPr="003A55BF">
        <w:rPr>
          <w:rFonts w:cstheme="minorHAnsi"/>
          <w:i/>
          <w:iCs/>
          <w:color w:val="242021"/>
          <w:sz w:val="20"/>
          <w:szCs w:val="20"/>
        </w:rPr>
        <w:t xml:space="preserve"> </w:t>
      </w:r>
      <w:r w:rsidRPr="003A55BF">
        <w:rPr>
          <w:rFonts w:cstheme="minorHAnsi"/>
          <w:i/>
          <w:iCs/>
          <w:color w:val="242021"/>
          <w:sz w:val="20"/>
          <w:szCs w:val="20"/>
        </w:rPr>
        <w:t>Journal of Cancer</w:t>
      </w:r>
      <w:r w:rsidRPr="003A55BF">
        <w:rPr>
          <w:rFonts w:cstheme="minorHAnsi"/>
          <w:color w:val="242021"/>
          <w:sz w:val="20"/>
          <w:szCs w:val="20"/>
        </w:rPr>
        <w:t xml:space="preserve">, </w:t>
      </w:r>
      <w:r w:rsidRPr="003A55BF">
        <w:rPr>
          <w:rFonts w:cstheme="minorHAnsi"/>
          <w:i/>
          <w:iCs/>
          <w:color w:val="242021"/>
          <w:sz w:val="20"/>
          <w:szCs w:val="20"/>
        </w:rPr>
        <w:t>95</w:t>
      </w:r>
      <w:r w:rsidRPr="003A55BF">
        <w:rPr>
          <w:rFonts w:cstheme="minorHAnsi"/>
          <w:color w:val="242021"/>
          <w:sz w:val="20"/>
          <w:szCs w:val="20"/>
        </w:rPr>
        <w:t xml:space="preserve">(12), 1632–1636. </w:t>
      </w:r>
    </w:p>
    <w:p w14:paraId="570E17B7" w14:textId="77777777" w:rsidR="00906585" w:rsidRPr="003A55BF" w:rsidRDefault="00BC4475">
      <w:pPr>
        <w:rPr>
          <w:rFonts w:cstheme="minorHAnsi"/>
          <w:color w:val="242021"/>
          <w:sz w:val="20"/>
          <w:szCs w:val="20"/>
        </w:rPr>
      </w:pPr>
      <w:r w:rsidRPr="003A55BF">
        <w:rPr>
          <w:rFonts w:cstheme="minorHAnsi"/>
          <w:color w:val="242021"/>
          <w:sz w:val="20"/>
          <w:szCs w:val="20"/>
        </w:rPr>
        <w:br/>
        <w:t xml:space="preserve">O'Donovan, A., </w:t>
      </w:r>
      <w:proofErr w:type="spellStart"/>
      <w:r w:rsidRPr="003A55BF">
        <w:rPr>
          <w:rFonts w:cstheme="minorHAnsi"/>
          <w:color w:val="242021"/>
          <w:sz w:val="20"/>
          <w:szCs w:val="20"/>
        </w:rPr>
        <w:t>Mohile</w:t>
      </w:r>
      <w:proofErr w:type="spellEnd"/>
      <w:r w:rsidRPr="003A55BF">
        <w:rPr>
          <w:rFonts w:cstheme="minorHAnsi"/>
          <w:color w:val="242021"/>
          <w:sz w:val="20"/>
          <w:szCs w:val="20"/>
        </w:rPr>
        <w:t>, S. G., &amp; Leech, M. (2015). Expert consensus panel</w:t>
      </w:r>
      <w:r w:rsidR="00906585" w:rsidRPr="003A55BF">
        <w:rPr>
          <w:rFonts w:cstheme="minorHAnsi"/>
          <w:color w:val="242021"/>
          <w:sz w:val="20"/>
          <w:szCs w:val="20"/>
        </w:rPr>
        <w:t xml:space="preserve"> </w:t>
      </w:r>
      <w:r w:rsidRPr="003A55BF">
        <w:rPr>
          <w:rFonts w:cstheme="minorHAnsi"/>
          <w:color w:val="242021"/>
          <w:sz w:val="20"/>
          <w:szCs w:val="20"/>
        </w:rPr>
        <w:t xml:space="preserve">guidelines on geriatric assessment in oncology. </w:t>
      </w:r>
      <w:r w:rsidRPr="003A55BF">
        <w:rPr>
          <w:rFonts w:cstheme="minorHAnsi"/>
          <w:i/>
          <w:iCs/>
          <w:color w:val="242021"/>
          <w:sz w:val="20"/>
          <w:szCs w:val="20"/>
        </w:rPr>
        <w:t>European Journal of</w:t>
      </w:r>
      <w:r w:rsidR="00906585" w:rsidRPr="003A55BF">
        <w:rPr>
          <w:rFonts w:cstheme="minorHAnsi"/>
          <w:i/>
          <w:iCs/>
          <w:color w:val="242021"/>
          <w:sz w:val="20"/>
          <w:szCs w:val="20"/>
        </w:rPr>
        <w:t xml:space="preserve"> </w:t>
      </w:r>
      <w:r w:rsidRPr="003A55BF">
        <w:rPr>
          <w:rFonts w:cstheme="minorHAnsi"/>
          <w:i/>
          <w:iCs/>
          <w:color w:val="242021"/>
          <w:sz w:val="20"/>
          <w:szCs w:val="20"/>
        </w:rPr>
        <w:t>Cancer Care</w:t>
      </w:r>
      <w:r w:rsidRPr="003A55BF">
        <w:rPr>
          <w:rFonts w:cstheme="minorHAnsi"/>
          <w:color w:val="242021"/>
          <w:sz w:val="20"/>
          <w:szCs w:val="20"/>
        </w:rPr>
        <w:t xml:space="preserve">, </w:t>
      </w:r>
      <w:r w:rsidRPr="003A55BF">
        <w:rPr>
          <w:rFonts w:cstheme="minorHAnsi"/>
          <w:i/>
          <w:iCs/>
          <w:color w:val="242021"/>
          <w:sz w:val="20"/>
          <w:szCs w:val="20"/>
        </w:rPr>
        <w:t>24</w:t>
      </w:r>
      <w:r w:rsidRPr="003A55BF">
        <w:rPr>
          <w:rFonts w:cstheme="minorHAnsi"/>
          <w:color w:val="242021"/>
          <w:sz w:val="20"/>
          <w:szCs w:val="20"/>
        </w:rPr>
        <w:t xml:space="preserve">(4), 574–589. </w:t>
      </w:r>
    </w:p>
    <w:p w14:paraId="2C495853" w14:textId="77777777" w:rsidR="0090658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Onukwugha</w:t>
      </w:r>
      <w:proofErr w:type="spellEnd"/>
      <w:r w:rsidRPr="003A55BF">
        <w:rPr>
          <w:rFonts w:cstheme="minorHAnsi"/>
          <w:color w:val="242021"/>
          <w:sz w:val="20"/>
          <w:szCs w:val="20"/>
        </w:rPr>
        <w:t xml:space="preserve">, E., </w:t>
      </w:r>
      <w:proofErr w:type="spellStart"/>
      <w:r w:rsidRPr="003A55BF">
        <w:rPr>
          <w:rFonts w:cstheme="minorHAnsi"/>
          <w:color w:val="242021"/>
          <w:sz w:val="20"/>
          <w:szCs w:val="20"/>
        </w:rPr>
        <w:t>Petrelli</w:t>
      </w:r>
      <w:proofErr w:type="spellEnd"/>
      <w:r w:rsidRPr="003A55BF">
        <w:rPr>
          <w:rFonts w:cstheme="minorHAnsi"/>
          <w:color w:val="242021"/>
          <w:sz w:val="20"/>
          <w:szCs w:val="20"/>
        </w:rPr>
        <w:t>, N. J., &amp; Castro, K. M. (2016). Impact of multidisciplinary care on processes of cancer care: A multi-institutional</w:t>
      </w:r>
      <w:r w:rsidR="00906585" w:rsidRPr="003A55BF">
        <w:rPr>
          <w:rFonts w:cstheme="minorHAnsi"/>
          <w:color w:val="242021"/>
          <w:sz w:val="20"/>
          <w:szCs w:val="20"/>
        </w:rPr>
        <w:t xml:space="preserve"> </w:t>
      </w:r>
      <w:r w:rsidRPr="003A55BF">
        <w:rPr>
          <w:rFonts w:cstheme="minorHAnsi"/>
          <w:color w:val="242021"/>
          <w:sz w:val="20"/>
          <w:szCs w:val="20"/>
        </w:rPr>
        <w:t xml:space="preserve">study. </w:t>
      </w:r>
      <w:r w:rsidRPr="003A55BF">
        <w:rPr>
          <w:rFonts w:cstheme="minorHAnsi"/>
          <w:i/>
          <w:iCs/>
          <w:color w:val="242021"/>
          <w:sz w:val="20"/>
          <w:szCs w:val="20"/>
        </w:rPr>
        <w:t>Journal of Oncology Practice</w:t>
      </w:r>
      <w:r w:rsidRPr="003A55BF">
        <w:rPr>
          <w:rFonts w:cstheme="minorHAnsi"/>
          <w:color w:val="242021"/>
          <w:sz w:val="20"/>
          <w:szCs w:val="20"/>
        </w:rPr>
        <w:t xml:space="preserve">, </w:t>
      </w:r>
      <w:r w:rsidRPr="003A55BF">
        <w:rPr>
          <w:rFonts w:cstheme="minorHAnsi"/>
          <w:i/>
          <w:iCs/>
          <w:color w:val="242021"/>
          <w:sz w:val="20"/>
          <w:szCs w:val="20"/>
        </w:rPr>
        <w:t>12</w:t>
      </w:r>
      <w:r w:rsidRPr="003A55BF">
        <w:rPr>
          <w:rFonts w:cstheme="minorHAnsi"/>
          <w:color w:val="242021"/>
          <w:sz w:val="20"/>
          <w:szCs w:val="20"/>
        </w:rPr>
        <w:t>(2), 155–e168.</w:t>
      </w:r>
    </w:p>
    <w:p w14:paraId="5EF82AFC" w14:textId="77777777" w:rsidR="0090658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Ottevanger</w:t>
      </w:r>
      <w:proofErr w:type="spellEnd"/>
      <w:r w:rsidRPr="003A55BF">
        <w:rPr>
          <w:rFonts w:cstheme="minorHAnsi"/>
          <w:color w:val="242021"/>
          <w:sz w:val="20"/>
          <w:szCs w:val="20"/>
        </w:rPr>
        <w:t xml:space="preserve">, P. B., &amp; De Mulder, P. H. (2005). The quality of chemotherapy and its quality assurance. </w:t>
      </w:r>
      <w:r w:rsidRPr="003A55BF">
        <w:rPr>
          <w:rFonts w:cstheme="minorHAnsi"/>
          <w:i/>
          <w:iCs/>
          <w:color w:val="242021"/>
          <w:sz w:val="20"/>
          <w:szCs w:val="20"/>
        </w:rPr>
        <w:t>European Journal of Surgical Oncology</w:t>
      </w:r>
      <w:r w:rsidRPr="003A55BF">
        <w:rPr>
          <w:rFonts w:cstheme="minorHAnsi"/>
          <w:color w:val="242021"/>
          <w:sz w:val="20"/>
          <w:szCs w:val="20"/>
        </w:rPr>
        <w:t>,</w:t>
      </w:r>
      <w:r w:rsidR="00906585" w:rsidRPr="003A55BF">
        <w:rPr>
          <w:rFonts w:cstheme="minorHAnsi"/>
          <w:color w:val="242021"/>
          <w:sz w:val="20"/>
          <w:szCs w:val="20"/>
        </w:rPr>
        <w:t xml:space="preserve"> </w:t>
      </w:r>
      <w:r w:rsidRPr="003A55BF">
        <w:rPr>
          <w:rFonts w:cstheme="minorHAnsi"/>
          <w:i/>
          <w:iCs/>
          <w:color w:val="242021"/>
          <w:sz w:val="20"/>
          <w:szCs w:val="20"/>
        </w:rPr>
        <w:t>31</w:t>
      </w:r>
      <w:r w:rsidRPr="003A55BF">
        <w:rPr>
          <w:rFonts w:cstheme="minorHAnsi"/>
          <w:color w:val="242021"/>
          <w:sz w:val="20"/>
          <w:szCs w:val="20"/>
        </w:rPr>
        <w:t xml:space="preserve">(6), 656–666. </w:t>
      </w:r>
    </w:p>
    <w:p w14:paraId="5D2BF748" w14:textId="77777777" w:rsidR="00906585" w:rsidRPr="003A55BF" w:rsidRDefault="00BC4475">
      <w:pPr>
        <w:rPr>
          <w:rFonts w:cstheme="minorHAnsi"/>
          <w:color w:val="242021"/>
          <w:sz w:val="20"/>
          <w:szCs w:val="20"/>
        </w:rPr>
      </w:pPr>
      <w:r w:rsidRPr="003A55BF">
        <w:rPr>
          <w:rFonts w:cstheme="minorHAnsi"/>
          <w:color w:val="242021"/>
          <w:sz w:val="20"/>
          <w:szCs w:val="20"/>
        </w:rPr>
        <w:br/>
        <w:t xml:space="preserve">Poole, N., Schmidt, R. A., Green, C., &amp; </w:t>
      </w:r>
      <w:proofErr w:type="spellStart"/>
      <w:r w:rsidRPr="003A55BF">
        <w:rPr>
          <w:rFonts w:cstheme="minorHAnsi"/>
          <w:color w:val="242021"/>
          <w:sz w:val="20"/>
          <w:szCs w:val="20"/>
        </w:rPr>
        <w:t>Hemsing</w:t>
      </w:r>
      <w:proofErr w:type="spellEnd"/>
      <w:r w:rsidRPr="003A55BF">
        <w:rPr>
          <w:rFonts w:cstheme="minorHAnsi"/>
          <w:color w:val="242021"/>
          <w:sz w:val="20"/>
          <w:szCs w:val="20"/>
        </w:rPr>
        <w:t>, N. (2016). Prevention</w:t>
      </w:r>
      <w:r w:rsidR="00906585" w:rsidRPr="003A55BF">
        <w:rPr>
          <w:rFonts w:cstheme="minorHAnsi"/>
          <w:color w:val="242021"/>
          <w:sz w:val="20"/>
          <w:szCs w:val="20"/>
        </w:rPr>
        <w:t xml:space="preserve"> </w:t>
      </w:r>
      <w:r w:rsidRPr="003A55BF">
        <w:rPr>
          <w:rFonts w:cstheme="minorHAnsi"/>
          <w:color w:val="242021"/>
          <w:sz w:val="20"/>
          <w:szCs w:val="20"/>
        </w:rPr>
        <w:t xml:space="preserve">of </w:t>
      </w:r>
      <w:proofErr w:type="spellStart"/>
      <w:r w:rsidRPr="003A55BF">
        <w:rPr>
          <w:rFonts w:cstheme="minorHAnsi"/>
          <w:color w:val="242021"/>
          <w:sz w:val="20"/>
          <w:szCs w:val="20"/>
        </w:rPr>
        <w:t>fetal</w:t>
      </w:r>
      <w:proofErr w:type="spellEnd"/>
      <w:r w:rsidRPr="003A55BF">
        <w:rPr>
          <w:rFonts w:cstheme="minorHAnsi"/>
          <w:color w:val="242021"/>
          <w:sz w:val="20"/>
          <w:szCs w:val="20"/>
        </w:rPr>
        <w:t xml:space="preserve"> alcohol spectrum disorder: Current Canadian efforts and</w:t>
      </w:r>
      <w:r w:rsidR="00906585" w:rsidRPr="003A55BF">
        <w:rPr>
          <w:rFonts w:cstheme="minorHAnsi"/>
          <w:color w:val="242021"/>
          <w:sz w:val="20"/>
          <w:szCs w:val="20"/>
        </w:rPr>
        <w:t xml:space="preserve"> </w:t>
      </w:r>
      <w:r w:rsidRPr="003A55BF">
        <w:rPr>
          <w:rFonts w:cstheme="minorHAnsi"/>
          <w:color w:val="242021"/>
          <w:sz w:val="20"/>
          <w:szCs w:val="20"/>
        </w:rPr>
        <w:t xml:space="preserve">analysis of gaps. </w:t>
      </w:r>
      <w:r w:rsidRPr="003A55BF">
        <w:rPr>
          <w:rFonts w:cstheme="minorHAnsi"/>
          <w:i/>
          <w:iCs/>
          <w:color w:val="242021"/>
          <w:sz w:val="20"/>
          <w:szCs w:val="20"/>
        </w:rPr>
        <w:t>Substance Abuse: Research and Treatment</w:t>
      </w:r>
      <w:r w:rsidRPr="003A55BF">
        <w:rPr>
          <w:rFonts w:cstheme="minorHAnsi"/>
          <w:color w:val="242021"/>
          <w:sz w:val="20"/>
          <w:szCs w:val="20"/>
        </w:rPr>
        <w:t xml:space="preserve">, </w:t>
      </w:r>
      <w:r w:rsidRPr="003A55BF">
        <w:rPr>
          <w:rFonts w:cstheme="minorHAnsi"/>
          <w:i/>
          <w:iCs/>
          <w:color w:val="242021"/>
          <w:sz w:val="20"/>
          <w:szCs w:val="20"/>
        </w:rPr>
        <w:t>10</w:t>
      </w:r>
      <w:r w:rsidRPr="003A55BF">
        <w:rPr>
          <w:rFonts w:cstheme="minorHAnsi"/>
          <w:color w:val="242021"/>
          <w:sz w:val="20"/>
          <w:szCs w:val="20"/>
        </w:rPr>
        <w:t>(S1),</w:t>
      </w:r>
      <w:r w:rsidR="00906585" w:rsidRPr="003A55BF">
        <w:rPr>
          <w:rFonts w:cstheme="minorHAnsi"/>
          <w:color w:val="242021"/>
          <w:sz w:val="20"/>
          <w:szCs w:val="20"/>
        </w:rPr>
        <w:t xml:space="preserve"> </w:t>
      </w:r>
      <w:r w:rsidRPr="003A55BF">
        <w:rPr>
          <w:rFonts w:cstheme="minorHAnsi"/>
          <w:color w:val="242021"/>
          <w:sz w:val="20"/>
          <w:szCs w:val="20"/>
        </w:rPr>
        <w:t>1–11.</w:t>
      </w:r>
    </w:p>
    <w:p w14:paraId="4366C177" w14:textId="77777777" w:rsidR="00906585" w:rsidRPr="003A55BF" w:rsidRDefault="00BC4475">
      <w:pPr>
        <w:rPr>
          <w:rFonts w:cstheme="minorHAnsi"/>
          <w:color w:val="242021"/>
          <w:sz w:val="20"/>
          <w:szCs w:val="20"/>
        </w:rPr>
      </w:pPr>
      <w:r w:rsidRPr="003A55BF">
        <w:rPr>
          <w:rFonts w:cstheme="minorHAnsi"/>
          <w:color w:val="242021"/>
          <w:sz w:val="20"/>
          <w:szCs w:val="20"/>
        </w:rPr>
        <w:lastRenderedPageBreak/>
        <w:br/>
        <w:t xml:space="preserve">Prinsen, C. A. C., Vohra, S., Rose, M. R., King-Jones, S., </w:t>
      </w:r>
      <w:proofErr w:type="spellStart"/>
      <w:r w:rsidRPr="003A55BF">
        <w:rPr>
          <w:rFonts w:cstheme="minorHAnsi"/>
          <w:color w:val="242021"/>
          <w:sz w:val="20"/>
          <w:szCs w:val="20"/>
        </w:rPr>
        <w:t>Ishaque</w:t>
      </w:r>
      <w:proofErr w:type="spellEnd"/>
      <w:r w:rsidRPr="003A55BF">
        <w:rPr>
          <w:rFonts w:cstheme="minorHAnsi"/>
          <w:color w:val="242021"/>
          <w:sz w:val="20"/>
          <w:szCs w:val="20"/>
        </w:rPr>
        <w:t>, S.,</w:t>
      </w:r>
      <w:r w:rsidR="00906585" w:rsidRPr="003A55BF">
        <w:rPr>
          <w:rFonts w:cstheme="minorHAnsi"/>
          <w:color w:val="242021"/>
          <w:sz w:val="20"/>
          <w:szCs w:val="20"/>
        </w:rPr>
        <w:t xml:space="preserve"> </w:t>
      </w:r>
      <w:proofErr w:type="spellStart"/>
      <w:r w:rsidRPr="003A55BF">
        <w:rPr>
          <w:rFonts w:cstheme="minorHAnsi"/>
          <w:color w:val="242021"/>
          <w:sz w:val="20"/>
          <w:szCs w:val="20"/>
        </w:rPr>
        <w:t>Bhaloo</w:t>
      </w:r>
      <w:proofErr w:type="spellEnd"/>
      <w:r w:rsidRPr="003A55BF">
        <w:rPr>
          <w:rFonts w:cstheme="minorHAnsi"/>
          <w:color w:val="242021"/>
          <w:sz w:val="20"/>
          <w:szCs w:val="20"/>
        </w:rPr>
        <w:t xml:space="preserve">, Z., … </w:t>
      </w:r>
      <w:proofErr w:type="spellStart"/>
      <w:r w:rsidRPr="003A55BF">
        <w:rPr>
          <w:rFonts w:cstheme="minorHAnsi"/>
          <w:color w:val="242021"/>
          <w:sz w:val="20"/>
          <w:szCs w:val="20"/>
        </w:rPr>
        <w:t>Terwee</w:t>
      </w:r>
      <w:proofErr w:type="spellEnd"/>
      <w:r w:rsidRPr="003A55BF">
        <w:rPr>
          <w:rFonts w:cstheme="minorHAnsi"/>
          <w:color w:val="242021"/>
          <w:sz w:val="20"/>
          <w:szCs w:val="20"/>
        </w:rPr>
        <w:t>, C. B. (2014). Core Outcomes Measurement in</w:t>
      </w:r>
      <w:r w:rsidR="00906585" w:rsidRPr="003A55BF">
        <w:rPr>
          <w:rFonts w:cstheme="minorHAnsi"/>
          <w:color w:val="242021"/>
          <w:sz w:val="20"/>
          <w:szCs w:val="20"/>
        </w:rPr>
        <w:t xml:space="preserve"> </w:t>
      </w:r>
      <w:r w:rsidRPr="003A55BF">
        <w:rPr>
          <w:rFonts w:cstheme="minorHAnsi"/>
          <w:color w:val="242021"/>
          <w:sz w:val="20"/>
          <w:szCs w:val="20"/>
        </w:rPr>
        <w:t>Effectiveness Trials (COMET) Initiative: Protocol for an international</w:t>
      </w:r>
      <w:r w:rsidR="00906585" w:rsidRPr="003A55BF">
        <w:rPr>
          <w:rFonts w:cstheme="minorHAnsi"/>
          <w:color w:val="242021"/>
          <w:sz w:val="20"/>
          <w:szCs w:val="20"/>
        </w:rPr>
        <w:t xml:space="preserve"> </w:t>
      </w:r>
      <w:r w:rsidRPr="003A55BF">
        <w:rPr>
          <w:rFonts w:cstheme="minorHAnsi"/>
          <w:color w:val="242021"/>
          <w:sz w:val="20"/>
          <w:szCs w:val="20"/>
        </w:rPr>
        <w:t>Delphi study to achieve consensus on how to select outcome measurement instruments for outcomes included in a 'core outcome set'.</w:t>
      </w:r>
      <w:r w:rsidR="00906585" w:rsidRPr="003A55BF">
        <w:rPr>
          <w:rFonts w:cstheme="minorHAnsi"/>
          <w:color w:val="242021"/>
          <w:sz w:val="20"/>
          <w:szCs w:val="20"/>
        </w:rPr>
        <w:t xml:space="preserve"> </w:t>
      </w:r>
      <w:r w:rsidRPr="003A55BF">
        <w:rPr>
          <w:rFonts w:cstheme="minorHAnsi"/>
          <w:i/>
          <w:iCs/>
          <w:color w:val="242021"/>
          <w:sz w:val="20"/>
          <w:szCs w:val="20"/>
        </w:rPr>
        <w:t>Trials</w:t>
      </w:r>
      <w:r w:rsidRPr="003A55BF">
        <w:rPr>
          <w:rFonts w:cstheme="minorHAnsi"/>
          <w:color w:val="242021"/>
          <w:sz w:val="20"/>
          <w:szCs w:val="20"/>
        </w:rPr>
        <w:t xml:space="preserve">, </w:t>
      </w:r>
      <w:r w:rsidRPr="003A55BF">
        <w:rPr>
          <w:rFonts w:cstheme="minorHAnsi"/>
          <w:i/>
          <w:iCs/>
          <w:color w:val="242021"/>
          <w:sz w:val="20"/>
          <w:szCs w:val="20"/>
        </w:rPr>
        <w:t>15</w:t>
      </w:r>
      <w:r w:rsidRPr="003A55BF">
        <w:rPr>
          <w:rFonts w:cstheme="minorHAnsi"/>
          <w:color w:val="242021"/>
          <w:sz w:val="20"/>
          <w:szCs w:val="20"/>
        </w:rPr>
        <w:t>(1), 1–14.</w:t>
      </w:r>
    </w:p>
    <w:p w14:paraId="549A00C5" w14:textId="77777777" w:rsidR="0090658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Rayens</w:t>
      </w:r>
      <w:proofErr w:type="spellEnd"/>
      <w:r w:rsidRPr="003A55BF">
        <w:rPr>
          <w:rFonts w:cstheme="minorHAnsi"/>
          <w:color w:val="242021"/>
          <w:sz w:val="20"/>
          <w:szCs w:val="20"/>
        </w:rPr>
        <w:t xml:space="preserve">, M. K., &amp; Hahn, E. J. (2000). Building consensus using the policy Delphi method. </w:t>
      </w:r>
      <w:r w:rsidRPr="003A55BF">
        <w:rPr>
          <w:rFonts w:cstheme="minorHAnsi"/>
          <w:i/>
          <w:iCs/>
          <w:color w:val="242021"/>
          <w:sz w:val="20"/>
          <w:szCs w:val="20"/>
        </w:rPr>
        <w:t>Policy, Politics &amp; Nursing Practice</w:t>
      </w:r>
      <w:r w:rsidRPr="003A55BF">
        <w:rPr>
          <w:rFonts w:cstheme="minorHAnsi"/>
          <w:color w:val="242021"/>
          <w:sz w:val="20"/>
          <w:szCs w:val="20"/>
        </w:rPr>
        <w:t xml:space="preserve">, </w:t>
      </w:r>
      <w:r w:rsidRPr="003A55BF">
        <w:rPr>
          <w:rFonts w:cstheme="minorHAnsi"/>
          <w:i/>
          <w:iCs/>
          <w:color w:val="242021"/>
          <w:sz w:val="20"/>
          <w:szCs w:val="20"/>
        </w:rPr>
        <w:t>1</w:t>
      </w:r>
      <w:r w:rsidRPr="003A55BF">
        <w:rPr>
          <w:rFonts w:cstheme="minorHAnsi"/>
          <w:color w:val="242021"/>
          <w:sz w:val="20"/>
          <w:szCs w:val="20"/>
        </w:rPr>
        <w:t>(4), 308–315.</w:t>
      </w:r>
      <w:r w:rsidRPr="003A55BF">
        <w:rPr>
          <w:rFonts w:cstheme="minorHAnsi"/>
          <w:color w:val="242021"/>
          <w:sz w:val="20"/>
          <w:szCs w:val="20"/>
        </w:rPr>
        <w:br/>
      </w:r>
      <w:r w:rsidRPr="003A55BF">
        <w:rPr>
          <w:rFonts w:cstheme="minorHAnsi"/>
          <w:color w:val="242021"/>
          <w:sz w:val="20"/>
          <w:szCs w:val="20"/>
        </w:rPr>
        <w:br/>
        <w:t>Rushton, A. B., Fawkes, C. A., Carnes, D., &amp; Moore, A. P. (2014). Original</w:t>
      </w:r>
      <w:r w:rsidR="00906585" w:rsidRPr="003A55BF">
        <w:rPr>
          <w:rFonts w:cstheme="minorHAnsi"/>
          <w:color w:val="242021"/>
          <w:sz w:val="20"/>
          <w:szCs w:val="20"/>
        </w:rPr>
        <w:t xml:space="preserve"> </w:t>
      </w:r>
      <w:r w:rsidRPr="003A55BF">
        <w:rPr>
          <w:rFonts w:cstheme="minorHAnsi"/>
          <w:color w:val="242021"/>
          <w:sz w:val="20"/>
          <w:szCs w:val="20"/>
        </w:rPr>
        <w:t xml:space="preserve">article: A modified Delphi consensus study to identify UK osteopathic profession research priorities. </w:t>
      </w:r>
      <w:r w:rsidRPr="003A55BF">
        <w:rPr>
          <w:rFonts w:cstheme="minorHAnsi"/>
          <w:i/>
          <w:iCs/>
          <w:color w:val="242021"/>
          <w:sz w:val="20"/>
          <w:szCs w:val="20"/>
        </w:rPr>
        <w:t>Manual Therapy</w:t>
      </w:r>
      <w:r w:rsidRPr="003A55BF">
        <w:rPr>
          <w:rFonts w:cstheme="minorHAnsi"/>
          <w:color w:val="242021"/>
          <w:sz w:val="20"/>
          <w:szCs w:val="20"/>
        </w:rPr>
        <w:t xml:space="preserve">, </w:t>
      </w:r>
      <w:r w:rsidRPr="003A55BF">
        <w:rPr>
          <w:rFonts w:cstheme="minorHAnsi"/>
          <w:i/>
          <w:iCs/>
          <w:color w:val="242021"/>
          <w:sz w:val="20"/>
          <w:szCs w:val="20"/>
        </w:rPr>
        <w:t>19</w:t>
      </w:r>
      <w:r w:rsidRPr="003A55BF">
        <w:rPr>
          <w:rFonts w:cstheme="minorHAnsi"/>
          <w:color w:val="242021"/>
          <w:sz w:val="20"/>
          <w:szCs w:val="20"/>
        </w:rPr>
        <w:t>, 445–452.</w:t>
      </w:r>
      <w:r w:rsidRPr="003A55BF">
        <w:rPr>
          <w:rFonts w:cstheme="minorHAnsi"/>
          <w:color w:val="242021"/>
          <w:sz w:val="20"/>
          <w:szCs w:val="20"/>
        </w:rPr>
        <w:br/>
      </w:r>
      <w:r w:rsidRPr="003A55BF">
        <w:rPr>
          <w:rFonts w:cstheme="minorHAnsi"/>
          <w:color w:val="242021"/>
          <w:sz w:val="20"/>
          <w:szCs w:val="20"/>
        </w:rPr>
        <w:br/>
        <w:t xml:space="preserve">Saito, A. M., Landrum, M. B., Neville, B. A., </w:t>
      </w:r>
      <w:proofErr w:type="spellStart"/>
      <w:r w:rsidRPr="003A55BF">
        <w:rPr>
          <w:rFonts w:cstheme="minorHAnsi"/>
          <w:color w:val="242021"/>
          <w:sz w:val="20"/>
          <w:szCs w:val="20"/>
        </w:rPr>
        <w:t>Ayanian</w:t>
      </w:r>
      <w:proofErr w:type="spellEnd"/>
      <w:r w:rsidRPr="003A55BF">
        <w:rPr>
          <w:rFonts w:cstheme="minorHAnsi"/>
          <w:color w:val="242021"/>
          <w:sz w:val="20"/>
          <w:szCs w:val="20"/>
        </w:rPr>
        <w:t>, J. Z., &amp; Earle,</w:t>
      </w:r>
      <w:r w:rsidR="00906585" w:rsidRPr="003A55BF">
        <w:rPr>
          <w:rFonts w:cstheme="minorHAnsi"/>
          <w:color w:val="242021"/>
          <w:sz w:val="20"/>
          <w:szCs w:val="20"/>
        </w:rPr>
        <w:t xml:space="preserve"> </w:t>
      </w:r>
      <w:r w:rsidRPr="003A55BF">
        <w:rPr>
          <w:rFonts w:cstheme="minorHAnsi"/>
          <w:color w:val="242021"/>
          <w:sz w:val="20"/>
          <w:szCs w:val="20"/>
        </w:rPr>
        <w:t xml:space="preserve">C. C. (2011). The effect on survival of continuing chemotherapy to near death. </w:t>
      </w:r>
      <w:r w:rsidRPr="003A55BF">
        <w:rPr>
          <w:rFonts w:cstheme="minorHAnsi"/>
          <w:i/>
          <w:iCs/>
          <w:color w:val="242021"/>
          <w:sz w:val="20"/>
          <w:szCs w:val="20"/>
        </w:rPr>
        <w:t>BMC Palliative Care</w:t>
      </w:r>
      <w:r w:rsidRPr="003A55BF">
        <w:rPr>
          <w:rFonts w:cstheme="minorHAnsi"/>
          <w:color w:val="242021"/>
          <w:sz w:val="20"/>
          <w:szCs w:val="20"/>
        </w:rPr>
        <w:t xml:space="preserve">, </w:t>
      </w:r>
      <w:r w:rsidRPr="003A55BF">
        <w:rPr>
          <w:rFonts w:cstheme="minorHAnsi"/>
          <w:i/>
          <w:iCs/>
          <w:color w:val="242021"/>
          <w:sz w:val="20"/>
          <w:szCs w:val="20"/>
        </w:rPr>
        <w:t>10</w:t>
      </w:r>
      <w:r w:rsidRPr="003A55BF">
        <w:rPr>
          <w:rFonts w:cstheme="minorHAnsi"/>
          <w:color w:val="242021"/>
          <w:sz w:val="20"/>
          <w:szCs w:val="20"/>
        </w:rPr>
        <w:t xml:space="preserve">(1), 14–24. </w:t>
      </w:r>
    </w:p>
    <w:p w14:paraId="6537D980" w14:textId="77777777" w:rsidR="00906585" w:rsidRPr="003A55BF" w:rsidRDefault="00BC4475">
      <w:pPr>
        <w:rPr>
          <w:rFonts w:cstheme="minorHAnsi"/>
          <w:color w:val="242021"/>
          <w:sz w:val="20"/>
          <w:szCs w:val="20"/>
        </w:rPr>
      </w:pPr>
      <w:r w:rsidRPr="003A55BF">
        <w:rPr>
          <w:rFonts w:cstheme="minorHAnsi"/>
          <w:color w:val="242021"/>
          <w:sz w:val="20"/>
          <w:szCs w:val="20"/>
        </w:rPr>
        <w:br/>
        <w:t>Schmidt, R. C. (1997). Managing Delphi surveys using nonparametric</w:t>
      </w:r>
      <w:r w:rsidR="00906585" w:rsidRPr="003A55BF">
        <w:rPr>
          <w:rFonts w:cstheme="minorHAnsi"/>
          <w:color w:val="242021"/>
          <w:sz w:val="20"/>
          <w:szCs w:val="20"/>
        </w:rPr>
        <w:t xml:space="preserve"> </w:t>
      </w:r>
      <w:r w:rsidRPr="003A55BF">
        <w:rPr>
          <w:rFonts w:cstheme="minorHAnsi"/>
          <w:color w:val="242021"/>
          <w:sz w:val="20"/>
          <w:szCs w:val="20"/>
        </w:rPr>
        <w:t xml:space="preserve">statistical techniques. </w:t>
      </w:r>
      <w:r w:rsidRPr="003A55BF">
        <w:rPr>
          <w:rFonts w:cstheme="minorHAnsi"/>
          <w:i/>
          <w:iCs/>
          <w:color w:val="242021"/>
          <w:sz w:val="20"/>
          <w:szCs w:val="20"/>
        </w:rPr>
        <w:t>Decision Sciences</w:t>
      </w:r>
      <w:r w:rsidRPr="003A55BF">
        <w:rPr>
          <w:rFonts w:cstheme="minorHAnsi"/>
          <w:color w:val="242021"/>
          <w:sz w:val="20"/>
          <w:szCs w:val="20"/>
        </w:rPr>
        <w:t xml:space="preserve">, </w:t>
      </w:r>
      <w:r w:rsidRPr="003A55BF">
        <w:rPr>
          <w:rFonts w:cstheme="minorHAnsi"/>
          <w:i/>
          <w:iCs/>
          <w:color w:val="242021"/>
          <w:sz w:val="20"/>
          <w:szCs w:val="20"/>
        </w:rPr>
        <w:t>28</w:t>
      </w:r>
      <w:r w:rsidRPr="003A55BF">
        <w:rPr>
          <w:rFonts w:cstheme="minorHAnsi"/>
          <w:color w:val="242021"/>
          <w:sz w:val="20"/>
          <w:szCs w:val="20"/>
        </w:rPr>
        <w:t xml:space="preserve">(3), 763–774. </w:t>
      </w:r>
    </w:p>
    <w:p w14:paraId="6EB952A6" w14:textId="77777777" w:rsidR="00906585" w:rsidRPr="003A55BF" w:rsidRDefault="00BC4475">
      <w:pPr>
        <w:rPr>
          <w:rFonts w:cstheme="minorHAnsi"/>
          <w:color w:val="242021"/>
          <w:sz w:val="20"/>
          <w:szCs w:val="20"/>
        </w:rPr>
      </w:pPr>
      <w:r w:rsidRPr="003A55BF">
        <w:rPr>
          <w:rFonts w:cstheme="minorHAnsi"/>
          <w:color w:val="242021"/>
          <w:sz w:val="20"/>
          <w:szCs w:val="20"/>
        </w:rPr>
        <w:br/>
        <w:t xml:space="preserve">Schnell, R., </w:t>
      </w:r>
      <w:proofErr w:type="spellStart"/>
      <w:r w:rsidRPr="003A55BF">
        <w:rPr>
          <w:rFonts w:cstheme="minorHAnsi"/>
          <w:color w:val="242021"/>
          <w:sz w:val="20"/>
          <w:szCs w:val="20"/>
        </w:rPr>
        <w:t>Bachteler</w:t>
      </w:r>
      <w:proofErr w:type="spellEnd"/>
      <w:r w:rsidRPr="003A55BF">
        <w:rPr>
          <w:rFonts w:cstheme="minorHAnsi"/>
          <w:color w:val="242021"/>
          <w:sz w:val="20"/>
          <w:szCs w:val="20"/>
        </w:rPr>
        <w:t xml:space="preserve">, T., &amp; </w:t>
      </w:r>
      <w:proofErr w:type="spellStart"/>
      <w:r w:rsidRPr="003A55BF">
        <w:rPr>
          <w:rFonts w:cstheme="minorHAnsi"/>
          <w:color w:val="242021"/>
          <w:sz w:val="20"/>
          <w:szCs w:val="20"/>
        </w:rPr>
        <w:t>Reiher</w:t>
      </w:r>
      <w:proofErr w:type="spellEnd"/>
      <w:r w:rsidRPr="003A55BF">
        <w:rPr>
          <w:rFonts w:cstheme="minorHAnsi"/>
          <w:color w:val="242021"/>
          <w:sz w:val="20"/>
          <w:szCs w:val="20"/>
        </w:rPr>
        <w:t>, J. (2010). Improving the use of</w:t>
      </w:r>
      <w:r w:rsidR="00906585" w:rsidRPr="003A55BF">
        <w:rPr>
          <w:rFonts w:cstheme="minorHAnsi"/>
          <w:color w:val="242021"/>
          <w:sz w:val="20"/>
          <w:szCs w:val="20"/>
        </w:rPr>
        <w:t xml:space="preserve"> </w:t>
      </w:r>
      <w:r w:rsidRPr="003A55BF">
        <w:rPr>
          <w:rFonts w:cstheme="minorHAnsi"/>
          <w:color w:val="242021"/>
          <w:sz w:val="20"/>
          <w:szCs w:val="20"/>
        </w:rPr>
        <w:t xml:space="preserve">self-generated identification codes. </w:t>
      </w:r>
      <w:r w:rsidRPr="003A55BF">
        <w:rPr>
          <w:rFonts w:cstheme="minorHAnsi"/>
          <w:i/>
          <w:iCs/>
          <w:color w:val="242021"/>
          <w:sz w:val="20"/>
          <w:szCs w:val="20"/>
        </w:rPr>
        <w:t>Evaluation Review</w:t>
      </w:r>
      <w:r w:rsidRPr="003A55BF">
        <w:rPr>
          <w:rFonts w:cstheme="minorHAnsi"/>
          <w:color w:val="242021"/>
          <w:sz w:val="20"/>
          <w:szCs w:val="20"/>
        </w:rPr>
        <w:t xml:space="preserve">, </w:t>
      </w:r>
      <w:r w:rsidRPr="003A55BF">
        <w:rPr>
          <w:rFonts w:cstheme="minorHAnsi"/>
          <w:i/>
          <w:iCs/>
          <w:color w:val="242021"/>
          <w:sz w:val="20"/>
          <w:szCs w:val="20"/>
        </w:rPr>
        <w:t>34</w:t>
      </w:r>
      <w:r w:rsidRPr="003A55BF">
        <w:rPr>
          <w:rFonts w:cstheme="minorHAnsi"/>
          <w:color w:val="242021"/>
          <w:sz w:val="20"/>
          <w:szCs w:val="20"/>
        </w:rPr>
        <w:t>(5), 391–</w:t>
      </w:r>
      <w:r w:rsidR="00906585" w:rsidRPr="003A55BF">
        <w:rPr>
          <w:rFonts w:cstheme="minorHAnsi"/>
          <w:color w:val="242021"/>
          <w:sz w:val="20"/>
          <w:szCs w:val="20"/>
        </w:rPr>
        <w:t xml:space="preserve"> </w:t>
      </w:r>
      <w:r w:rsidRPr="003A55BF">
        <w:rPr>
          <w:rFonts w:cstheme="minorHAnsi"/>
          <w:color w:val="242021"/>
          <w:sz w:val="20"/>
          <w:szCs w:val="20"/>
        </w:rPr>
        <w:t xml:space="preserve">418. </w:t>
      </w:r>
    </w:p>
    <w:p w14:paraId="69D6C161" w14:textId="77777777" w:rsidR="00906585" w:rsidRPr="003A55BF" w:rsidRDefault="00BC4475">
      <w:pPr>
        <w:rPr>
          <w:rFonts w:cstheme="minorHAnsi"/>
          <w:color w:val="242021"/>
          <w:sz w:val="20"/>
          <w:szCs w:val="20"/>
        </w:rPr>
      </w:pPr>
      <w:r w:rsidRPr="003A55BF">
        <w:rPr>
          <w:rFonts w:cstheme="minorHAnsi"/>
          <w:color w:val="242021"/>
          <w:sz w:val="20"/>
          <w:szCs w:val="20"/>
        </w:rPr>
        <w:br/>
      </w:r>
      <w:proofErr w:type="spellStart"/>
      <w:r w:rsidRPr="003A55BF">
        <w:rPr>
          <w:rFonts w:cstheme="minorHAnsi"/>
          <w:color w:val="242021"/>
          <w:sz w:val="20"/>
          <w:szCs w:val="20"/>
        </w:rPr>
        <w:t>Schnipper</w:t>
      </w:r>
      <w:proofErr w:type="spellEnd"/>
      <w:r w:rsidRPr="003A55BF">
        <w:rPr>
          <w:rFonts w:cstheme="minorHAnsi"/>
          <w:color w:val="242021"/>
          <w:sz w:val="20"/>
          <w:szCs w:val="20"/>
        </w:rPr>
        <w:t>, L. E., Smith, T. J., Raghavan, D., Blayney, D. W., Ganz, P. A.,</w:t>
      </w:r>
      <w:r w:rsidR="00906585" w:rsidRPr="003A55BF">
        <w:rPr>
          <w:rFonts w:cstheme="minorHAnsi"/>
          <w:color w:val="242021"/>
          <w:sz w:val="20"/>
          <w:szCs w:val="20"/>
        </w:rPr>
        <w:t xml:space="preserve"> </w:t>
      </w:r>
      <w:r w:rsidRPr="003A55BF">
        <w:rPr>
          <w:rFonts w:cstheme="minorHAnsi"/>
          <w:color w:val="242021"/>
          <w:sz w:val="20"/>
          <w:szCs w:val="20"/>
        </w:rPr>
        <w:t xml:space="preserve">Mulvey, T. M., &amp; </w:t>
      </w:r>
      <w:proofErr w:type="spellStart"/>
      <w:r w:rsidRPr="003A55BF">
        <w:rPr>
          <w:rFonts w:cstheme="minorHAnsi"/>
          <w:color w:val="242021"/>
          <w:sz w:val="20"/>
          <w:szCs w:val="20"/>
        </w:rPr>
        <w:t>Wollins</w:t>
      </w:r>
      <w:proofErr w:type="spellEnd"/>
      <w:r w:rsidRPr="003A55BF">
        <w:rPr>
          <w:rFonts w:cstheme="minorHAnsi"/>
          <w:color w:val="242021"/>
          <w:sz w:val="20"/>
          <w:szCs w:val="20"/>
        </w:rPr>
        <w:t>, D. S. (2012). American society of clinical</w:t>
      </w:r>
      <w:r w:rsidR="00906585" w:rsidRPr="003A55BF">
        <w:rPr>
          <w:rFonts w:cstheme="minorHAnsi"/>
          <w:color w:val="242021"/>
          <w:sz w:val="20"/>
          <w:szCs w:val="20"/>
        </w:rPr>
        <w:t xml:space="preserve"> </w:t>
      </w:r>
      <w:r w:rsidRPr="003A55BF">
        <w:rPr>
          <w:rFonts w:cstheme="minorHAnsi"/>
          <w:color w:val="242021"/>
          <w:sz w:val="20"/>
          <w:szCs w:val="20"/>
        </w:rPr>
        <w:t xml:space="preserve">oncology identifies five key opportunities to improve care and reduce costs: The top five list for oncology. </w:t>
      </w:r>
      <w:r w:rsidRPr="003A55BF">
        <w:rPr>
          <w:rFonts w:cstheme="minorHAnsi"/>
          <w:i/>
          <w:iCs/>
          <w:color w:val="242021"/>
          <w:sz w:val="20"/>
          <w:szCs w:val="20"/>
        </w:rPr>
        <w:t>Journal of Clinical Oncology</w:t>
      </w:r>
      <w:r w:rsidRPr="003A55BF">
        <w:rPr>
          <w:rFonts w:cstheme="minorHAnsi"/>
          <w:color w:val="242021"/>
          <w:sz w:val="20"/>
          <w:szCs w:val="20"/>
        </w:rPr>
        <w:t>,</w:t>
      </w:r>
      <w:r w:rsidR="00906585" w:rsidRPr="003A55BF">
        <w:rPr>
          <w:rFonts w:cstheme="minorHAnsi"/>
          <w:color w:val="242021"/>
          <w:sz w:val="20"/>
          <w:szCs w:val="20"/>
        </w:rPr>
        <w:t xml:space="preserve"> </w:t>
      </w:r>
      <w:r w:rsidRPr="003A55BF">
        <w:rPr>
          <w:rFonts w:cstheme="minorHAnsi"/>
          <w:i/>
          <w:iCs/>
          <w:color w:val="242021"/>
          <w:sz w:val="20"/>
          <w:szCs w:val="20"/>
        </w:rPr>
        <w:t>30</w:t>
      </w:r>
      <w:r w:rsidRPr="003A55BF">
        <w:rPr>
          <w:rFonts w:cstheme="minorHAnsi"/>
          <w:color w:val="242021"/>
          <w:sz w:val="20"/>
          <w:szCs w:val="20"/>
        </w:rPr>
        <w:t xml:space="preserve">(14), 1715–1724. </w:t>
      </w:r>
    </w:p>
    <w:p w14:paraId="3683D6DB" w14:textId="377769E9" w:rsidR="00BC4475" w:rsidRPr="003A55BF" w:rsidRDefault="00BC4475">
      <w:pPr>
        <w:rPr>
          <w:rFonts w:cstheme="minorHAnsi"/>
          <w:color w:val="242021"/>
          <w:sz w:val="20"/>
          <w:szCs w:val="20"/>
        </w:rPr>
      </w:pPr>
      <w:r w:rsidRPr="003A55BF">
        <w:rPr>
          <w:rFonts w:cstheme="minorHAnsi"/>
          <w:color w:val="242021"/>
          <w:sz w:val="20"/>
          <w:szCs w:val="20"/>
        </w:rPr>
        <w:br/>
        <w:t>Semple, C. J., &amp; McGowan, B. (2002). Need for appropriate written</w:t>
      </w:r>
      <w:r w:rsidR="00906585" w:rsidRPr="003A55BF">
        <w:rPr>
          <w:rFonts w:cstheme="minorHAnsi"/>
          <w:color w:val="242021"/>
          <w:sz w:val="20"/>
          <w:szCs w:val="20"/>
        </w:rPr>
        <w:t xml:space="preserve"> </w:t>
      </w:r>
      <w:r w:rsidRPr="003A55BF">
        <w:rPr>
          <w:rFonts w:cstheme="minorHAnsi"/>
          <w:color w:val="242021"/>
          <w:sz w:val="20"/>
          <w:szCs w:val="20"/>
        </w:rPr>
        <w:t>information for patients, with particular reference to head and</w:t>
      </w:r>
      <w:r w:rsidR="00906585" w:rsidRPr="003A55BF">
        <w:rPr>
          <w:rFonts w:cstheme="minorHAnsi"/>
          <w:color w:val="242021"/>
          <w:sz w:val="20"/>
          <w:szCs w:val="20"/>
        </w:rPr>
        <w:t xml:space="preserve"> </w:t>
      </w:r>
      <w:r w:rsidRPr="003A55BF">
        <w:rPr>
          <w:rFonts w:cstheme="minorHAnsi"/>
          <w:color w:val="242021"/>
          <w:sz w:val="20"/>
          <w:szCs w:val="20"/>
        </w:rPr>
        <w:t xml:space="preserve">neck cancer. </w:t>
      </w:r>
      <w:r w:rsidRPr="003A55BF">
        <w:rPr>
          <w:rFonts w:cstheme="minorHAnsi"/>
          <w:i/>
          <w:iCs/>
          <w:color w:val="242021"/>
          <w:sz w:val="20"/>
          <w:szCs w:val="20"/>
        </w:rPr>
        <w:t>Journal of Clinical Nursing</w:t>
      </w:r>
      <w:r w:rsidRPr="003A55BF">
        <w:rPr>
          <w:rFonts w:cstheme="minorHAnsi"/>
          <w:color w:val="242021"/>
          <w:sz w:val="20"/>
          <w:szCs w:val="20"/>
        </w:rPr>
        <w:t xml:space="preserve">, </w:t>
      </w:r>
      <w:r w:rsidRPr="003A55BF">
        <w:rPr>
          <w:rFonts w:cstheme="minorHAnsi"/>
          <w:i/>
          <w:iCs/>
          <w:color w:val="242021"/>
          <w:sz w:val="20"/>
          <w:szCs w:val="20"/>
        </w:rPr>
        <w:t>11</w:t>
      </w:r>
      <w:r w:rsidRPr="003A55BF">
        <w:rPr>
          <w:rFonts w:cstheme="minorHAnsi"/>
          <w:color w:val="242021"/>
          <w:sz w:val="20"/>
          <w:szCs w:val="20"/>
        </w:rPr>
        <w:t xml:space="preserve">(5), 585–593. </w:t>
      </w:r>
    </w:p>
    <w:p w14:paraId="7B26CFB4" w14:textId="1D11EDC2" w:rsidR="00906585" w:rsidRPr="003A55BF" w:rsidRDefault="00906585">
      <w:pPr>
        <w:rPr>
          <w:rFonts w:eastAsia="Times New Roman" w:cstheme="minorHAnsi"/>
          <w:color w:val="242021"/>
          <w:sz w:val="20"/>
          <w:szCs w:val="20"/>
          <w:lang w:eastAsia="en-IE"/>
        </w:rPr>
      </w:pPr>
      <w:r w:rsidRPr="003A55BF">
        <w:rPr>
          <w:rFonts w:eastAsia="Times New Roman" w:cstheme="minorHAnsi"/>
          <w:color w:val="242021"/>
          <w:sz w:val="20"/>
          <w:szCs w:val="20"/>
          <w:lang w:eastAsia="en-IE"/>
        </w:rPr>
        <w:t xml:space="preserve">Shen, S., &amp; </w:t>
      </w:r>
      <w:proofErr w:type="spellStart"/>
      <w:r w:rsidRPr="003A55BF">
        <w:rPr>
          <w:rFonts w:eastAsia="Times New Roman" w:cstheme="minorHAnsi"/>
          <w:color w:val="242021"/>
          <w:sz w:val="20"/>
          <w:szCs w:val="20"/>
          <w:lang w:eastAsia="en-IE"/>
        </w:rPr>
        <w:t>Krzyzanowska</w:t>
      </w:r>
      <w:proofErr w:type="spellEnd"/>
      <w:r w:rsidRPr="003A55BF">
        <w:rPr>
          <w:rFonts w:eastAsia="Times New Roman" w:cstheme="minorHAnsi"/>
          <w:color w:val="242021"/>
          <w:sz w:val="20"/>
          <w:szCs w:val="20"/>
          <w:lang w:eastAsia="en-IE"/>
        </w:rPr>
        <w:t xml:space="preserve">, M. K. (2015). A decade of research on the quality of systemic cancer therapy in routine care: What aspects of quality are we measuring? </w:t>
      </w:r>
      <w:r w:rsidRPr="003A55BF">
        <w:rPr>
          <w:rFonts w:eastAsia="Times New Roman" w:cstheme="minorHAnsi"/>
          <w:i/>
          <w:iCs/>
          <w:color w:val="242021"/>
          <w:sz w:val="20"/>
          <w:szCs w:val="20"/>
          <w:lang w:eastAsia="en-IE"/>
        </w:rPr>
        <w:t>Journal of Oncology Practice</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11</w:t>
      </w:r>
      <w:r w:rsidRPr="003A55BF">
        <w:rPr>
          <w:rFonts w:eastAsia="Times New Roman" w:cstheme="minorHAnsi"/>
          <w:color w:val="242021"/>
          <w:sz w:val="20"/>
          <w:szCs w:val="20"/>
          <w:lang w:eastAsia="en-IE"/>
        </w:rPr>
        <w:t>(1), 55–62.</w:t>
      </w:r>
    </w:p>
    <w:p w14:paraId="53DAE279" w14:textId="1174A514" w:rsidR="00906585" w:rsidRPr="003A55BF" w:rsidRDefault="00906585" w:rsidP="00906585">
      <w:pPr>
        <w:rPr>
          <w:rFonts w:cstheme="minorHAnsi"/>
          <w:color w:val="242021"/>
          <w:sz w:val="20"/>
          <w:szCs w:val="20"/>
        </w:rPr>
      </w:pPr>
      <w:r w:rsidRPr="003A55BF">
        <w:rPr>
          <w:rFonts w:cstheme="minorHAnsi"/>
          <w:color w:val="242021"/>
          <w:sz w:val="20"/>
          <w:szCs w:val="20"/>
        </w:rPr>
        <w:t xml:space="preserve">Sinha, I. P., Smyth, R. L., &amp; Williamson, P. R. (2011). Using the Delphi technique to determine which outcomes to measure in clinical trials: Recommendations for the future based on a systematic review of existing studies. </w:t>
      </w:r>
      <w:proofErr w:type="spellStart"/>
      <w:r w:rsidRPr="003A55BF">
        <w:rPr>
          <w:rFonts w:cstheme="minorHAnsi"/>
          <w:color w:val="242021"/>
          <w:sz w:val="20"/>
          <w:szCs w:val="20"/>
        </w:rPr>
        <w:t>PLoS</w:t>
      </w:r>
      <w:proofErr w:type="spellEnd"/>
      <w:r w:rsidRPr="003A55BF">
        <w:rPr>
          <w:rFonts w:cstheme="minorHAnsi"/>
          <w:color w:val="242021"/>
          <w:sz w:val="20"/>
          <w:szCs w:val="20"/>
        </w:rPr>
        <w:t xml:space="preserve"> Med, 8(1), 1–5.</w:t>
      </w:r>
    </w:p>
    <w:p w14:paraId="42EDAA7C" w14:textId="471C810D" w:rsidR="00906585" w:rsidRPr="003A55BF" w:rsidRDefault="00906585" w:rsidP="00906585">
      <w:pPr>
        <w:rPr>
          <w:rFonts w:eastAsia="Times New Roman" w:cstheme="minorHAnsi"/>
          <w:color w:val="242021"/>
          <w:sz w:val="20"/>
          <w:szCs w:val="20"/>
          <w:lang w:eastAsia="en-IE"/>
        </w:rPr>
      </w:pPr>
      <w:r w:rsidRPr="003A55BF">
        <w:rPr>
          <w:rFonts w:eastAsia="Times New Roman" w:cstheme="minorHAnsi"/>
          <w:color w:val="242021"/>
          <w:sz w:val="20"/>
          <w:szCs w:val="20"/>
          <w:lang w:eastAsia="en-IE"/>
        </w:rPr>
        <w:t xml:space="preserve">Smith, T. J., Temin, S., </w:t>
      </w:r>
      <w:proofErr w:type="spellStart"/>
      <w:r w:rsidRPr="003A55BF">
        <w:rPr>
          <w:rFonts w:eastAsia="Times New Roman" w:cstheme="minorHAnsi"/>
          <w:color w:val="242021"/>
          <w:sz w:val="20"/>
          <w:szCs w:val="20"/>
          <w:lang w:eastAsia="en-IE"/>
        </w:rPr>
        <w:t>Alesi</w:t>
      </w:r>
      <w:proofErr w:type="spellEnd"/>
      <w:r w:rsidRPr="003A55BF">
        <w:rPr>
          <w:rFonts w:eastAsia="Times New Roman" w:cstheme="minorHAnsi"/>
          <w:color w:val="242021"/>
          <w:sz w:val="20"/>
          <w:szCs w:val="20"/>
          <w:lang w:eastAsia="en-IE"/>
        </w:rPr>
        <w:t xml:space="preserve">, E. R., Abernethy, A. P., </w:t>
      </w:r>
      <w:proofErr w:type="spellStart"/>
      <w:r w:rsidRPr="003A55BF">
        <w:rPr>
          <w:rFonts w:eastAsia="Times New Roman" w:cstheme="minorHAnsi"/>
          <w:color w:val="242021"/>
          <w:sz w:val="20"/>
          <w:szCs w:val="20"/>
          <w:lang w:eastAsia="en-IE"/>
        </w:rPr>
        <w:t>Balboni</w:t>
      </w:r>
      <w:proofErr w:type="spellEnd"/>
      <w:r w:rsidRPr="003A55BF">
        <w:rPr>
          <w:rFonts w:eastAsia="Times New Roman" w:cstheme="minorHAnsi"/>
          <w:color w:val="242021"/>
          <w:sz w:val="20"/>
          <w:szCs w:val="20"/>
          <w:lang w:eastAsia="en-IE"/>
        </w:rPr>
        <w:t xml:space="preserve">, T. A., </w:t>
      </w:r>
      <w:proofErr w:type="spellStart"/>
      <w:r w:rsidRPr="003A55BF">
        <w:rPr>
          <w:rFonts w:eastAsia="Times New Roman" w:cstheme="minorHAnsi"/>
          <w:color w:val="242021"/>
          <w:sz w:val="20"/>
          <w:szCs w:val="20"/>
          <w:lang w:eastAsia="en-IE"/>
        </w:rPr>
        <w:t>Basch</w:t>
      </w:r>
      <w:proofErr w:type="spellEnd"/>
      <w:r w:rsidRPr="003A55BF">
        <w:rPr>
          <w:rFonts w:eastAsia="Times New Roman" w:cstheme="minorHAnsi"/>
          <w:color w:val="242021"/>
          <w:sz w:val="20"/>
          <w:szCs w:val="20"/>
          <w:lang w:eastAsia="en-IE"/>
        </w:rPr>
        <w:t xml:space="preserve">, E. M., … Von </w:t>
      </w:r>
      <w:proofErr w:type="spellStart"/>
      <w:r w:rsidRPr="003A55BF">
        <w:rPr>
          <w:rFonts w:eastAsia="Times New Roman" w:cstheme="minorHAnsi"/>
          <w:color w:val="242021"/>
          <w:sz w:val="20"/>
          <w:szCs w:val="20"/>
          <w:lang w:eastAsia="en-IE"/>
        </w:rPr>
        <w:t>Roenn</w:t>
      </w:r>
      <w:proofErr w:type="spellEnd"/>
      <w:r w:rsidRPr="003A55BF">
        <w:rPr>
          <w:rFonts w:eastAsia="Times New Roman" w:cstheme="minorHAnsi"/>
          <w:color w:val="242021"/>
          <w:sz w:val="20"/>
          <w:szCs w:val="20"/>
          <w:lang w:eastAsia="en-IE"/>
        </w:rPr>
        <w:t>, J. H. (2012). American Society of Clinical Oncology provisional clinical opinion: The integration of palliative care into</w:t>
      </w:r>
      <w:r w:rsidRPr="003A55BF">
        <w:rPr>
          <w:rFonts w:eastAsia="Times New Roman" w:cstheme="minorHAnsi"/>
          <w:color w:val="242021"/>
          <w:sz w:val="20"/>
          <w:szCs w:val="20"/>
          <w:lang w:eastAsia="en-IE"/>
        </w:rPr>
        <w:br/>
        <w:t xml:space="preserve">standard oncology care. </w:t>
      </w:r>
      <w:r w:rsidRPr="003A55BF">
        <w:rPr>
          <w:rFonts w:eastAsia="Times New Roman" w:cstheme="minorHAnsi"/>
          <w:i/>
          <w:iCs/>
          <w:color w:val="242021"/>
          <w:sz w:val="20"/>
          <w:szCs w:val="20"/>
          <w:lang w:eastAsia="en-IE"/>
        </w:rPr>
        <w:t>Journal of Clinical Oncology</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30</w:t>
      </w:r>
      <w:r w:rsidRPr="003A55BF">
        <w:rPr>
          <w:rFonts w:eastAsia="Times New Roman" w:cstheme="minorHAnsi"/>
          <w:color w:val="242021"/>
          <w:sz w:val="20"/>
          <w:szCs w:val="20"/>
          <w:lang w:eastAsia="en-IE"/>
        </w:rPr>
        <w:t>(8), 880–887.</w:t>
      </w:r>
    </w:p>
    <w:p w14:paraId="2B8F98A1" w14:textId="31F48460" w:rsidR="00906585" w:rsidRPr="003A55BF" w:rsidRDefault="00906585" w:rsidP="00906585">
      <w:pPr>
        <w:rPr>
          <w:rFonts w:eastAsia="Times New Roman" w:cstheme="minorHAnsi"/>
          <w:color w:val="242021"/>
          <w:sz w:val="20"/>
          <w:szCs w:val="20"/>
          <w:lang w:eastAsia="en-IE"/>
        </w:rPr>
      </w:pPr>
      <w:r w:rsidRPr="003A55BF">
        <w:rPr>
          <w:rFonts w:eastAsia="Times New Roman" w:cstheme="minorHAnsi"/>
          <w:color w:val="242021"/>
          <w:sz w:val="20"/>
          <w:szCs w:val="20"/>
          <w:lang w:eastAsia="en-IE"/>
        </w:rPr>
        <w:t xml:space="preserve">Taylor, C. (2010). Multidisciplinary team working in cancer: What is the evidence? </w:t>
      </w:r>
      <w:r w:rsidRPr="003A55BF">
        <w:rPr>
          <w:rFonts w:eastAsia="Times New Roman" w:cstheme="minorHAnsi"/>
          <w:i/>
          <w:iCs/>
          <w:color w:val="242021"/>
          <w:sz w:val="20"/>
          <w:szCs w:val="20"/>
          <w:lang w:eastAsia="en-IE"/>
        </w:rPr>
        <w:t>British Medical Journal</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340</w:t>
      </w:r>
      <w:r w:rsidRPr="003A55BF">
        <w:rPr>
          <w:rFonts w:eastAsia="Times New Roman" w:cstheme="minorHAnsi"/>
          <w:color w:val="242021"/>
          <w:sz w:val="20"/>
          <w:szCs w:val="20"/>
          <w:lang w:eastAsia="en-IE"/>
        </w:rPr>
        <w:t xml:space="preserve">(7749), 743–745. The Royal Marsden (2015). </w:t>
      </w:r>
      <w:r w:rsidRPr="003A55BF">
        <w:rPr>
          <w:rFonts w:eastAsia="Times New Roman" w:cstheme="minorHAnsi"/>
          <w:i/>
          <w:iCs/>
          <w:color w:val="242021"/>
          <w:sz w:val="20"/>
          <w:szCs w:val="20"/>
          <w:lang w:eastAsia="en-IE"/>
        </w:rPr>
        <w:t>Integrated governance monitoring report January to March 2016</w:t>
      </w:r>
      <w:r w:rsidRPr="003A55BF">
        <w:rPr>
          <w:rFonts w:eastAsia="Times New Roman" w:cstheme="minorHAnsi"/>
          <w:color w:val="242021"/>
          <w:sz w:val="20"/>
          <w:szCs w:val="20"/>
          <w:lang w:eastAsia="en-IE"/>
        </w:rPr>
        <w:t xml:space="preserve">. Retrieved from </w:t>
      </w:r>
      <w:hyperlink r:id="rId11" w:history="1">
        <w:r w:rsidRPr="003A55BF">
          <w:rPr>
            <w:rStyle w:val="Hyperlink"/>
            <w:rFonts w:eastAsia="Times New Roman" w:cstheme="minorHAnsi"/>
            <w:sz w:val="20"/>
            <w:szCs w:val="20"/>
            <w:lang w:eastAsia="en-IE"/>
          </w:rPr>
          <w:t>https://www.royalmarsd</w:t>
        </w:r>
      </w:hyperlink>
      <w:r w:rsidRPr="003A55BF">
        <w:rPr>
          <w:rFonts w:eastAsia="Times New Roman" w:cstheme="minorHAnsi"/>
          <w:color w:val="242021"/>
          <w:sz w:val="20"/>
          <w:szCs w:val="20"/>
          <w:lang w:eastAsia="en-IE"/>
        </w:rPr>
        <w:t xml:space="preserve"> en.nhs.uk/sites/default/files/</w:t>
      </w:r>
      <w:proofErr w:type="spellStart"/>
      <w:r w:rsidRPr="003A55BF">
        <w:rPr>
          <w:rFonts w:eastAsia="Times New Roman" w:cstheme="minorHAnsi"/>
          <w:color w:val="242021"/>
          <w:sz w:val="20"/>
          <w:szCs w:val="20"/>
          <w:lang w:eastAsia="en-IE"/>
        </w:rPr>
        <w:t>files_trust</w:t>
      </w:r>
      <w:proofErr w:type="spellEnd"/>
      <w:r w:rsidRPr="003A55BF">
        <w:rPr>
          <w:rFonts w:eastAsia="Times New Roman" w:cstheme="minorHAnsi"/>
          <w:color w:val="242021"/>
          <w:sz w:val="20"/>
          <w:szCs w:val="20"/>
          <w:lang w:eastAsia="en-IE"/>
        </w:rPr>
        <w:t>/IGMR_2015-16_Q4.pdf</w:t>
      </w:r>
    </w:p>
    <w:p w14:paraId="0C873669" w14:textId="50084F50" w:rsidR="00906585" w:rsidRPr="003A55BF" w:rsidRDefault="00906585" w:rsidP="00906585">
      <w:pPr>
        <w:rPr>
          <w:rFonts w:cstheme="minorHAnsi"/>
          <w:color w:val="242021"/>
          <w:sz w:val="20"/>
          <w:szCs w:val="20"/>
        </w:rPr>
      </w:pPr>
      <w:r w:rsidRPr="003A55BF">
        <w:rPr>
          <w:rFonts w:eastAsia="Times New Roman" w:cstheme="minorHAnsi"/>
          <w:color w:val="242021"/>
          <w:sz w:val="20"/>
          <w:szCs w:val="20"/>
          <w:lang w:eastAsia="en-IE"/>
        </w:rPr>
        <w:t xml:space="preserve">Trevelyan, E. G., &amp; Robinson, P. N. (2015). Research paper: Delphi methodology in health research: How to do it? </w:t>
      </w:r>
      <w:r w:rsidRPr="003A55BF">
        <w:rPr>
          <w:rFonts w:eastAsia="Times New Roman" w:cstheme="minorHAnsi"/>
          <w:i/>
          <w:iCs/>
          <w:color w:val="242021"/>
          <w:sz w:val="20"/>
          <w:szCs w:val="20"/>
          <w:lang w:eastAsia="en-IE"/>
        </w:rPr>
        <w:t>European Journal of Integrative Medicine</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7</w:t>
      </w:r>
      <w:r w:rsidRPr="003A55BF">
        <w:rPr>
          <w:rFonts w:eastAsia="Times New Roman" w:cstheme="minorHAnsi"/>
          <w:color w:val="242021"/>
          <w:sz w:val="20"/>
          <w:szCs w:val="20"/>
          <w:lang w:eastAsia="en-IE"/>
        </w:rPr>
        <w:t>, 423–428.</w:t>
      </w:r>
    </w:p>
    <w:p w14:paraId="0F79CFDA" w14:textId="0F0DB0CD" w:rsidR="00BC4475" w:rsidRPr="003A55BF" w:rsidRDefault="00BC4475">
      <w:pPr>
        <w:rPr>
          <w:rFonts w:eastAsia="Times New Roman" w:cstheme="minorHAnsi"/>
          <w:color w:val="242021"/>
          <w:sz w:val="20"/>
          <w:szCs w:val="20"/>
          <w:lang w:eastAsia="en-IE"/>
        </w:rPr>
      </w:pPr>
      <w:r w:rsidRPr="003A55BF">
        <w:rPr>
          <w:rFonts w:eastAsia="Times New Roman" w:cstheme="minorHAnsi"/>
          <w:color w:val="242021"/>
          <w:sz w:val="20"/>
          <w:szCs w:val="20"/>
          <w:lang w:eastAsia="en-IE"/>
        </w:rPr>
        <w:t>Vandergrift, J. L., Niland, J. C., Theriault, R. L., Edge, S. B., Wong, Y.-N.,</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Loftus, L. S., … Weeks, J. C. (2013). Time to adjuvant chemotherapy</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 xml:space="preserve">for breast cancer in national comprehensive cancer network institutions. </w:t>
      </w:r>
      <w:r w:rsidRPr="003A55BF">
        <w:rPr>
          <w:rFonts w:eastAsia="Times New Roman" w:cstheme="minorHAnsi"/>
          <w:i/>
          <w:iCs/>
          <w:color w:val="242021"/>
          <w:sz w:val="20"/>
          <w:szCs w:val="20"/>
          <w:lang w:eastAsia="en-IE"/>
        </w:rPr>
        <w:t xml:space="preserve">JNCI: </w:t>
      </w:r>
      <w:r w:rsidRPr="003A55BF">
        <w:rPr>
          <w:rFonts w:eastAsia="Times New Roman" w:cstheme="minorHAnsi"/>
          <w:i/>
          <w:iCs/>
          <w:color w:val="242021"/>
          <w:sz w:val="20"/>
          <w:szCs w:val="20"/>
          <w:lang w:eastAsia="en-IE"/>
        </w:rPr>
        <w:lastRenderedPageBreak/>
        <w:t>Journal of the National Cancer Institute</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105</w:t>
      </w:r>
      <w:r w:rsidRPr="003A55BF">
        <w:rPr>
          <w:rFonts w:eastAsia="Times New Roman" w:cstheme="minorHAnsi"/>
          <w:color w:val="242021"/>
          <w:sz w:val="20"/>
          <w:szCs w:val="20"/>
          <w:lang w:eastAsia="en-IE"/>
        </w:rPr>
        <w:t>(2), 104–112.</w:t>
      </w:r>
      <w:r w:rsidRPr="003A55BF">
        <w:rPr>
          <w:rFonts w:eastAsia="Times New Roman" w:cstheme="minorHAnsi"/>
          <w:color w:val="242021"/>
          <w:sz w:val="20"/>
          <w:szCs w:val="20"/>
          <w:lang w:eastAsia="en-IE"/>
        </w:rPr>
        <w:br/>
      </w:r>
      <w:r w:rsidRPr="003A55BF">
        <w:rPr>
          <w:rFonts w:eastAsia="Times New Roman" w:cstheme="minorHAnsi"/>
          <w:color w:val="242021"/>
          <w:sz w:val="20"/>
          <w:szCs w:val="20"/>
          <w:lang w:eastAsia="en-IE"/>
        </w:rPr>
        <w:br/>
        <w:t xml:space="preserve">von der </w:t>
      </w:r>
      <w:proofErr w:type="spellStart"/>
      <w:r w:rsidRPr="003A55BF">
        <w:rPr>
          <w:rFonts w:eastAsia="Times New Roman" w:cstheme="minorHAnsi"/>
          <w:color w:val="242021"/>
          <w:sz w:val="20"/>
          <w:szCs w:val="20"/>
          <w:lang w:eastAsia="en-IE"/>
        </w:rPr>
        <w:t>Gracht</w:t>
      </w:r>
      <w:proofErr w:type="spellEnd"/>
      <w:r w:rsidRPr="003A55BF">
        <w:rPr>
          <w:rFonts w:eastAsia="Times New Roman" w:cstheme="minorHAnsi"/>
          <w:color w:val="242021"/>
          <w:sz w:val="20"/>
          <w:szCs w:val="20"/>
          <w:lang w:eastAsia="en-IE"/>
        </w:rPr>
        <w:t>, H. A. (2012). Consensus measurement in Delphi</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studies. Review and implications for future quality assurance.</w:t>
      </w:r>
      <w:r w:rsidR="00906585"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Technological Forecasting &amp; Social Change</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79</w:t>
      </w:r>
      <w:r w:rsidRPr="003A55BF">
        <w:rPr>
          <w:rFonts w:eastAsia="Times New Roman" w:cstheme="minorHAnsi"/>
          <w:color w:val="242021"/>
          <w:sz w:val="20"/>
          <w:szCs w:val="20"/>
          <w:lang w:eastAsia="en-IE"/>
        </w:rPr>
        <w:t xml:space="preserve">, 1525–1536. </w:t>
      </w:r>
    </w:p>
    <w:p w14:paraId="737DCDFF" w14:textId="77777777" w:rsidR="00906585" w:rsidRPr="003A55BF" w:rsidRDefault="00BC4475" w:rsidP="00BC4475">
      <w:pPr>
        <w:spacing w:after="0" w:line="240" w:lineRule="auto"/>
        <w:rPr>
          <w:rFonts w:eastAsia="Times New Roman" w:cstheme="minorHAnsi"/>
          <w:color w:val="242021"/>
          <w:sz w:val="20"/>
          <w:szCs w:val="20"/>
          <w:lang w:eastAsia="en-IE"/>
        </w:rPr>
      </w:pPr>
      <w:r w:rsidRPr="003A55BF">
        <w:rPr>
          <w:rFonts w:eastAsia="Times New Roman" w:cstheme="minorHAnsi"/>
          <w:color w:val="242021"/>
          <w:sz w:val="20"/>
          <w:szCs w:val="20"/>
          <w:lang w:eastAsia="en-IE"/>
        </w:rPr>
        <w:t xml:space="preserve">Waters, A. M. I., </w:t>
      </w:r>
      <w:proofErr w:type="spellStart"/>
      <w:r w:rsidRPr="003A55BF">
        <w:rPr>
          <w:rFonts w:eastAsia="Times New Roman" w:cstheme="minorHAnsi"/>
          <w:color w:val="242021"/>
          <w:sz w:val="20"/>
          <w:szCs w:val="20"/>
          <w:lang w:eastAsia="en-IE"/>
        </w:rPr>
        <w:t>Tudur</w:t>
      </w:r>
      <w:proofErr w:type="spellEnd"/>
      <w:r w:rsidRPr="003A55BF">
        <w:rPr>
          <w:rFonts w:eastAsia="Times New Roman" w:cstheme="minorHAnsi"/>
          <w:color w:val="242021"/>
          <w:sz w:val="20"/>
          <w:szCs w:val="20"/>
          <w:lang w:eastAsia="en-IE"/>
        </w:rPr>
        <w:t xml:space="preserve"> Smith, C., Young, B., &amp; Jones, T. M. (2014).</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The CONSENSUS study: Protocol for a mixed methods study</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 xml:space="preserve">to establish which outcomes should be included in a core outcome set for oropharyngeal cancer. </w:t>
      </w:r>
      <w:r w:rsidRPr="003A55BF">
        <w:rPr>
          <w:rFonts w:eastAsia="Times New Roman" w:cstheme="minorHAnsi"/>
          <w:i/>
          <w:iCs/>
          <w:color w:val="242021"/>
          <w:sz w:val="20"/>
          <w:szCs w:val="20"/>
          <w:lang w:eastAsia="en-IE"/>
        </w:rPr>
        <w:t>Trials</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15</w:t>
      </w:r>
      <w:r w:rsidRPr="003A55BF">
        <w:rPr>
          <w:rFonts w:eastAsia="Times New Roman" w:cstheme="minorHAnsi"/>
          <w:color w:val="242021"/>
          <w:sz w:val="20"/>
          <w:szCs w:val="20"/>
          <w:lang w:eastAsia="en-IE"/>
        </w:rPr>
        <w:t xml:space="preserve">(1), 1–18. </w:t>
      </w:r>
    </w:p>
    <w:p w14:paraId="052E6C50" w14:textId="77777777" w:rsidR="00906585" w:rsidRPr="003A55BF" w:rsidRDefault="00BC4475" w:rsidP="00BC4475">
      <w:pPr>
        <w:spacing w:after="0" w:line="240" w:lineRule="auto"/>
        <w:rPr>
          <w:rFonts w:eastAsia="Times New Roman" w:cstheme="minorHAnsi"/>
          <w:color w:val="242021"/>
          <w:sz w:val="20"/>
          <w:szCs w:val="20"/>
          <w:lang w:eastAsia="en-IE"/>
        </w:rPr>
      </w:pPr>
      <w:r w:rsidRPr="003A55BF">
        <w:rPr>
          <w:rFonts w:eastAsia="Times New Roman" w:cstheme="minorHAnsi"/>
          <w:color w:val="242021"/>
          <w:sz w:val="20"/>
          <w:szCs w:val="20"/>
          <w:lang w:eastAsia="en-IE"/>
        </w:rPr>
        <w:br/>
        <w:t>Weir, H. K., Anderson, R. N., Coleman King, S. M., Soman, A., Thompson,</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T. D., Hong, Y., … Leadbetter, S. (2016). Heart disease and cancer</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deaths — Trends and projections in the United States, 1969–2020.</w:t>
      </w:r>
      <w:r w:rsidRPr="003A55BF">
        <w:rPr>
          <w:rFonts w:eastAsia="Times New Roman" w:cstheme="minorHAnsi"/>
          <w:color w:val="242021"/>
          <w:sz w:val="20"/>
          <w:szCs w:val="20"/>
          <w:lang w:eastAsia="en-IE"/>
        </w:rPr>
        <w:br/>
      </w:r>
      <w:r w:rsidRPr="003A55BF">
        <w:rPr>
          <w:rFonts w:eastAsia="Times New Roman" w:cstheme="minorHAnsi"/>
          <w:i/>
          <w:iCs/>
          <w:color w:val="242021"/>
          <w:sz w:val="20"/>
          <w:szCs w:val="20"/>
          <w:lang w:eastAsia="en-IE"/>
        </w:rPr>
        <w:t>Preventing Chronic Disease</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13</w:t>
      </w:r>
      <w:r w:rsidRPr="003A55BF">
        <w:rPr>
          <w:rFonts w:eastAsia="Times New Roman" w:cstheme="minorHAnsi"/>
          <w:color w:val="242021"/>
          <w:sz w:val="20"/>
          <w:szCs w:val="20"/>
          <w:lang w:eastAsia="en-IE"/>
        </w:rPr>
        <w:t>, 160211.</w:t>
      </w:r>
    </w:p>
    <w:p w14:paraId="59C9BB48" w14:textId="06F917DF" w:rsidR="00906585" w:rsidRPr="003A55BF" w:rsidRDefault="00BC4475" w:rsidP="00BC4475">
      <w:pPr>
        <w:spacing w:after="0" w:line="240" w:lineRule="auto"/>
        <w:rPr>
          <w:rFonts w:eastAsia="Times New Roman" w:cstheme="minorHAnsi"/>
          <w:color w:val="242021"/>
          <w:sz w:val="20"/>
          <w:szCs w:val="20"/>
          <w:lang w:eastAsia="en-IE"/>
        </w:rPr>
      </w:pPr>
      <w:r w:rsidRPr="003A55BF">
        <w:rPr>
          <w:rFonts w:eastAsia="Times New Roman" w:cstheme="minorHAnsi"/>
          <w:color w:val="242021"/>
          <w:sz w:val="20"/>
          <w:szCs w:val="20"/>
          <w:lang w:eastAsia="en-IE"/>
        </w:rPr>
        <w:br/>
      </w:r>
      <w:proofErr w:type="spellStart"/>
      <w:r w:rsidRPr="003A55BF">
        <w:rPr>
          <w:rFonts w:eastAsia="Times New Roman" w:cstheme="minorHAnsi"/>
          <w:color w:val="242021"/>
          <w:sz w:val="20"/>
          <w:szCs w:val="20"/>
          <w:lang w:eastAsia="en-IE"/>
        </w:rPr>
        <w:t>Wentlandt</w:t>
      </w:r>
      <w:proofErr w:type="spellEnd"/>
      <w:r w:rsidRPr="003A55BF">
        <w:rPr>
          <w:rFonts w:eastAsia="Times New Roman" w:cstheme="minorHAnsi"/>
          <w:color w:val="242021"/>
          <w:sz w:val="20"/>
          <w:szCs w:val="20"/>
          <w:lang w:eastAsia="en-IE"/>
        </w:rPr>
        <w:t xml:space="preserve">, K., </w:t>
      </w:r>
      <w:proofErr w:type="spellStart"/>
      <w:r w:rsidRPr="003A55BF">
        <w:rPr>
          <w:rFonts w:eastAsia="Times New Roman" w:cstheme="minorHAnsi"/>
          <w:color w:val="242021"/>
          <w:sz w:val="20"/>
          <w:szCs w:val="20"/>
          <w:lang w:eastAsia="en-IE"/>
        </w:rPr>
        <w:t>Krzyzanowska</w:t>
      </w:r>
      <w:proofErr w:type="spellEnd"/>
      <w:r w:rsidRPr="003A55BF">
        <w:rPr>
          <w:rFonts w:eastAsia="Times New Roman" w:cstheme="minorHAnsi"/>
          <w:color w:val="242021"/>
          <w:sz w:val="20"/>
          <w:szCs w:val="20"/>
          <w:lang w:eastAsia="en-IE"/>
        </w:rPr>
        <w:t>, M. K., Swami, N., Rodin, G. M., Le, L. W., &amp;</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 xml:space="preserve">Zimmermann, C. (2012). Referral practices of oncologists to specialized palliative care. </w:t>
      </w:r>
      <w:r w:rsidRPr="003A55BF">
        <w:rPr>
          <w:rFonts w:eastAsia="Times New Roman" w:cstheme="minorHAnsi"/>
          <w:i/>
          <w:iCs/>
          <w:color w:val="242021"/>
          <w:sz w:val="20"/>
          <w:szCs w:val="20"/>
          <w:lang w:eastAsia="en-IE"/>
        </w:rPr>
        <w:t>Journal of Clinical Oncology</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30</w:t>
      </w:r>
      <w:r w:rsidRPr="003A55BF">
        <w:rPr>
          <w:rFonts w:eastAsia="Times New Roman" w:cstheme="minorHAnsi"/>
          <w:color w:val="242021"/>
          <w:sz w:val="20"/>
          <w:szCs w:val="20"/>
          <w:lang w:eastAsia="en-IE"/>
        </w:rPr>
        <w:t>(35), 4380–4386.</w:t>
      </w:r>
      <w:r w:rsidRPr="003A55BF">
        <w:rPr>
          <w:rFonts w:eastAsia="Times New Roman" w:cstheme="minorHAnsi"/>
          <w:color w:val="242021"/>
          <w:sz w:val="20"/>
          <w:szCs w:val="20"/>
          <w:lang w:eastAsia="en-IE"/>
        </w:rPr>
        <w:br/>
      </w:r>
      <w:r w:rsidRPr="003A55BF">
        <w:rPr>
          <w:rFonts w:eastAsia="Times New Roman" w:cstheme="minorHAnsi"/>
          <w:color w:val="242021"/>
          <w:sz w:val="20"/>
          <w:szCs w:val="20"/>
          <w:lang w:eastAsia="en-IE"/>
        </w:rPr>
        <w:br/>
      </w:r>
      <w:proofErr w:type="spellStart"/>
      <w:r w:rsidRPr="003A55BF">
        <w:rPr>
          <w:rFonts w:eastAsia="Times New Roman" w:cstheme="minorHAnsi"/>
          <w:color w:val="242021"/>
          <w:sz w:val="20"/>
          <w:szCs w:val="20"/>
          <w:lang w:eastAsia="en-IE"/>
        </w:rPr>
        <w:t>Yurek</w:t>
      </w:r>
      <w:proofErr w:type="spellEnd"/>
      <w:r w:rsidRPr="003A55BF">
        <w:rPr>
          <w:rFonts w:eastAsia="Times New Roman" w:cstheme="minorHAnsi"/>
          <w:color w:val="242021"/>
          <w:sz w:val="20"/>
          <w:szCs w:val="20"/>
          <w:lang w:eastAsia="en-IE"/>
        </w:rPr>
        <w:t xml:space="preserve">, L. A., Vasey, J., &amp; Sullivan Havens, D. (2008). The use of self-generated identification codes in longitudinal research. </w:t>
      </w:r>
      <w:r w:rsidRPr="003A55BF">
        <w:rPr>
          <w:rFonts w:eastAsia="Times New Roman" w:cstheme="minorHAnsi"/>
          <w:i/>
          <w:iCs/>
          <w:color w:val="242021"/>
          <w:sz w:val="20"/>
          <w:szCs w:val="20"/>
          <w:lang w:eastAsia="en-IE"/>
        </w:rPr>
        <w:t>Evaluation Review</w:t>
      </w:r>
      <w:r w:rsidRPr="003A55BF">
        <w:rPr>
          <w:rFonts w:eastAsia="Times New Roman" w:cstheme="minorHAnsi"/>
          <w:color w:val="242021"/>
          <w:sz w:val="20"/>
          <w:szCs w:val="20"/>
          <w:lang w:eastAsia="en-IE"/>
        </w:rPr>
        <w:t>,</w:t>
      </w:r>
      <w:r w:rsidRPr="003A55BF">
        <w:rPr>
          <w:rFonts w:eastAsia="Times New Roman" w:cstheme="minorHAnsi"/>
          <w:i/>
          <w:iCs/>
          <w:color w:val="242021"/>
          <w:sz w:val="20"/>
          <w:szCs w:val="20"/>
          <w:lang w:eastAsia="en-IE"/>
        </w:rPr>
        <w:t>32</w:t>
      </w:r>
      <w:r w:rsidRPr="003A55BF">
        <w:rPr>
          <w:rFonts w:eastAsia="Times New Roman" w:cstheme="minorHAnsi"/>
          <w:color w:val="242021"/>
          <w:sz w:val="20"/>
          <w:szCs w:val="20"/>
          <w:lang w:eastAsia="en-IE"/>
        </w:rPr>
        <w:t xml:space="preserve">(5), 435–452. </w:t>
      </w:r>
    </w:p>
    <w:p w14:paraId="7F3C8871" w14:textId="6EBA9528" w:rsidR="00BC4475" w:rsidRPr="003A55BF" w:rsidRDefault="00BC4475" w:rsidP="00BC4475">
      <w:pPr>
        <w:spacing w:after="0" w:line="240" w:lineRule="auto"/>
        <w:rPr>
          <w:rFonts w:eastAsia="Times New Roman" w:cstheme="minorHAnsi"/>
          <w:sz w:val="20"/>
          <w:szCs w:val="20"/>
          <w:lang w:eastAsia="en-IE"/>
        </w:rPr>
      </w:pPr>
      <w:r w:rsidRPr="003A55BF">
        <w:rPr>
          <w:rFonts w:eastAsia="Times New Roman" w:cstheme="minorHAnsi"/>
          <w:color w:val="242021"/>
          <w:sz w:val="20"/>
          <w:szCs w:val="20"/>
          <w:lang w:eastAsia="en-IE"/>
        </w:rPr>
        <w:br/>
        <w:t xml:space="preserve">Zhao, Z. G., Cheng, J. Q., Xu, S. L., Hou, W. L., &amp; </w:t>
      </w:r>
      <w:proofErr w:type="spellStart"/>
      <w:r w:rsidRPr="003A55BF">
        <w:rPr>
          <w:rFonts w:eastAsia="Times New Roman" w:cstheme="minorHAnsi"/>
          <w:color w:val="242021"/>
          <w:sz w:val="20"/>
          <w:szCs w:val="20"/>
          <w:lang w:eastAsia="en-IE"/>
        </w:rPr>
        <w:t>Richardus</w:t>
      </w:r>
      <w:proofErr w:type="spellEnd"/>
      <w:r w:rsidRPr="003A55BF">
        <w:rPr>
          <w:rFonts w:eastAsia="Times New Roman" w:cstheme="minorHAnsi"/>
          <w:color w:val="242021"/>
          <w:sz w:val="20"/>
          <w:szCs w:val="20"/>
          <w:lang w:eastAsia="en-IE"/>
        </w:rPr>
        <w:t>, J. H. (2015).</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Original Research: A quality assessment index framework for public</w:t>
      </w:r>
      <w:r w:rsidR="00906585" w:rsidRPr="003A55BF">
        <w:rPr>
          <w:rFonts w:eastAsia="Times New Roman" w:cstheme="minorHAnsi"/>
          <w:color w:val="242021"/>
          <w:sz w:val="20"/>
          <w:szCs w:val="20"/>
          <w:lang w:eastAsia="en-IE"/>
        </w:rPr>
        <w:t xml:space="preserve"> </w:t>
      </w:r>
      <w:r w:rsidRPr="003A55BF">
        <w:rPr>
          <w:rFonts w:eastAsia="Times New Roman" w:cstheme="minorHAnsi"/>
          <w:color w:val="242021"/>
          <w:sz w:val="20"/>
          <w:szCs w:val="20"/>
          <w:lang w:eastAsia="en-IE"/>
        </w:rPr>
        <w:t xml:space="preserve">health services: A Delphi study. </w:t>
      </w:r>
      <w:r w:rsidRPr="003A55BF">
        <w:rPr>
          <w:rFonts w:eastAsia="Times New Roman" w:cstheme="minorHAnsi"/>
          <w:i/>
          <w:iCs/>
          <w:color w:val="242021"/>
          <w:sz w:val="20"/>
          <w:szCs w:val="20"/>
          <w:lang w:eastAsia="en-IE"/>
        </w:rPr>
        <w:t>Public Health</w:t>
      </w:r>
      <w:r w:rsidRPr="003A55BF">
        <w:rPr>
          <w:rFonts w:eastAsia="Times New Roman" w:cstheme="minorHAnsi"/>
          <w:color w:val="242021"/>
          <w:sz w:val="20"/>
          <w:szCs w:val="20"/>
          <w:lang w:eastAsia="en-IE"/>
        </w:rPr>
        <w:t xml:space="preserve">, </w:t>
      </w:r>
      <w:r w:rsidRPr="003A55BF">
        <w:rPr>
          <w:rFonts w:eastAsia="Times New Roman" w:cstheme="minorHAnsi"/>
          <w:i/>
          <w:iCs/>
          <w:color w:val="242021"/>
          <w:sz w:val="20"/>
          <w:szCs w:val="20"/>
          <w:lang w:eastAsia="en-IE"/>
        </w:rPr>
        <w:t>129</w:t>
      </w:r>
      <w:r w:rsidRPr="003A55BF">
        <w:rPr>
          <w:rFonts w:eastAsia="Times New Roman" w:cstheme="minorHAnsi"/>
          <w:color w:val="242021"/>
          <w:sz w:val="20"/>
          <w:szCs w:val="20"/>
          <w:lang w:eastAsia="en-IE"/>
        </w:rPr>
        <w:t xml:space="preserve">, 43–51. </w:t>
      </w:r>
    </w:p>
    <w:p w14:paraId="3BA1E24D" w14:textId="12DB66F9" w:rsidR="00BC4475" w:rsidRPr="003A55BF" w:rsidRDefault="003A55BF" w:rsidP="003A55BF">
      <w:pPr>
        <w:tabs>
          <w:tab w:val="left" w:pos="7740"/>
        </w:tabs>
        <w:rPr>
          <w:rFonts w:cstheme="minorHAnsi"/>
          <w:sz w:val="20"/>
          <w:szCs w:val="20"/>
        </w:rPr>
      </w:pPr>
      <w:r w:rsidRPr="003A55BF">
        <w:rPr>
          <w:rFonts w:cstheme="minorHAnsi"/>
          <w:sz w:val="20"/>
          <w:szCs w:val="20"/>
        </w:rPr>
        <w:tab/>
      </w:r>
    </w:p>
    <w:p w14:paraId="4BE3B230" w14:textId="77777777" w:rsidR="004601B0" w:rsidRDefault="004601B0">
      <w:pPr>
        <w:rPr>
          <w:rFonts w:cstheme="minorHAnsi"/>
          <w:sz w:val="20"/>
          <w:szCs w:val="20"/>
        </w:rPr>
        <w:sectPr w:rsidR="004601B0" w:rsidSect="004601B0">
          <w:pgSz w:w="11900" w:h="16820"/>
          <w:pgMar w:top="1418" w:right="1418" w:bottom="1418" w:left="1418" w:header="709" w:footer="709" w:gutter="0"/>
          <w:cols w:space="708"/>
          <w:docGrid w:linePitch="360"/>
        </w:sectPr>
      </w:pPr>
    </w:p>
    <w:p w14:paraId="060A1AA1" w14:textId="31A2C170" w:rsidR="003A55BF" w:rsidRPr="003A55BF" w:rsidRDefault="003A55BF">
      <w:pPr>
        <w:rPr>
          <w:rFonts w:cstheme="minorHAnsi"/>
          <w:sz w:val="20"/>
          <w:szCs w:val="20"/>
        </w:rPr>
      </w:pPr>
      <w:r w:rsidRPr="003A55BF">
        <w:rPr>
          <w:rFonts w:cstheme="minorHAnsi"/>
          <w:sz w:val="20"/>
          <w:szCs w:val="20"/>
        </w:rPr>
        <w:lastRenderedPageBreak/>
        <w:br w:type="page"/>
      </w:r>
    </w:p>
    <w:p w14:paraId="4CF3A4CA" w14:textId="5660CBD4" w:rsidR="003A55BF" w:rsidRPr="003A55BF" w:rsidRDefault="003A55BF" w:rsidP="003A55BF">
      <w:pPr>
        <w:pStyle w:val="Heading1"/>
        <w:rPr>
          <w:rFonts w:asciiTheme="minorHAnsi" w:hAnsiTheme="minorHAnsi" w:cstheme="minorHAnsi"/>
          <w:sz w:val="20"/>
          <w:szCs w:val="20"/>
        </w:rPr>
      </w:pPr>
      <w:r w:rsidRPr="003A55BF">
        <w:rPr>
          <w:rFonts w:asciiTheme="minorHAnsi" w:hAnsiTheme="minorHAnsi" w:cstheme="minorHAnsi"/>
          <w:sz w:val="20"/>
          <w:szCs w:val="20"/>
        </w:rPr>
        <w:lastRenderedPageBreak/>
        <w:t>Tables</w:t>
      </w:r>
    </w:p>
    <w:p w14:paraId="3A05B2A0" w14:textId="5A785C6E" w:rsidR="003A55BF" w:rsidRPr="003A55BF" w:rsidRDefault="003A55BF" w:rsidP="003A55BF">
      <w:pPr>
        <w:keepNext/>
        <w:tabs>
          <w:tab w:val="left" w:pos="-142"/>
        </w:tabs>
        <w:rPr>
          <w:rFonts w:cstheme="minorHAnsi"/>
          <w:sz w:val="20"/>
          <w:szCs w:val="20"/>
        </w:rPr>
      </w:pPr>
      <w:bookmarkStart w:id="0" w:name="_Ref329088793"/>
      <w:bookmarkStart w:id="1" w:name="_Ref329785339"/>
      <w:bookmarkStart w:id="2" w:name="_Ref329088787"/>
      <w:bookmarkStart w:id="3" w:name="_Toc333404635"/>
      <w:r w:rsidRPr="003A55BF">
        <w:rPr>
          <w:rFonts w:cstheme="minorHAnsi"/>
          <w:sz w:val="20"/>
          <w:szCs w:val="20"/>
        </w:rPr>
        <w:t xml:space="preserve">Table </w:t>
      </w:r>
      <w:bookmarkEnd w:id="0"/>
      <w:bookmarkEnd w:id="1"/>
      <w:r w:rsidRPr="003A55BF">
        <w:rPr>
          <w:rFonts w:cstheme="minorHAnsi"/>
          <w:sz w:val="20"/>
          <w:szCs w:val="20"/>
        </w:rPr>
        <w:t>1 KPIs that reached the pre-determined consensus level in round 2 and round 3</w:t>
      </w:r>
      <w:bookmarkEnd w:id="2"/>
      <w:r w:rsidRPr="003A55BF">
        <w:rPr>
          <w:rFonts w:cstheme="minorHAnsi"/>
          <w:sz w:val="20"/>
          <w:szCs w:val="20"/>
        </w:rPr>
        <w:t xml:space="preserve"> and the number included in the final prioritised list</w:t>
      </w:r>
      <w:bookmarkEnd w:id="3"/>
    </w:p>
    <w:tbl>
      <w:tblPr>
        <w:tblStyle w:val="TableGrid"/>
        <w:tblW w:w="13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4845"/>
        <w:gridCol w:w="1417"/>
        <w:gridCol w:w="1843"/>
        <w:gridCol w:w="1134"/>
        <w:gridCol w:w="1843"/>
        <w:gridCol w:w="1843"/>
      </w:tblGrid>
      <w:tr w:rsidR="003A55BF" w:rsidRPr="003A55BF" w14:paraId="4ACCA586" w14:textId="77777777" w:rsidTr="003A55BF">
        <w:tc>
          <w:tcPr>
            <w:tcW w:w="5495" w:type="dxa"/>
            <w:gridSpan w:val="2"/>
            <w:tcBorders>
              <w:top w:val="single" w:sz="4" w:space="0" w:color="auto"/>
            </w:tcBorders>
          </w:tcPr>
          <w:p w14:paraId="07A2646B" w14:textId="77777777" w:rsidR="003A55BF" w:rsidRPr="003A55BF" w:rsidRDefault="003A55BF" w:rsidP="003A55BF">
            <w:pPr>
              <w:tabs>
                <w:tab w:val="left" w:pos="-142"/>
              </w:tabs>
              <w:spacing w:before="60" w:after="60"/>
              <w:rPr>
                <w:rFonts w:asciiTheme="minorHAnsi" w:hAnsiTheme="minorHAnsi" w:cstheme="minorHAnsi"/>
                <w:b/>
                <w:sz w:val="20"/>
                <w:szCs w:val="20"/>
              </w:rPr>
            </w:pPr>
            <w:r w:rsidRPr="003A55BF">
              <w:rPr>
                <w:rFonts w:asciiTheme="minorHAnsi" w:hAnsiTheme="minorHAnsi" w:cstheme="minorHAnsi"/>
                <w:b/>
                <w:sz w:val="20"/>
                <w:szCs w:val="20"/>
              </w:rPr>
              <w:t>Outcome Area</w:t>
            </w:r>
          </w:p>
        </w:tc>
        <w:tc>
          <w:tcPr>
            <w:tcW w:w="3260" w:type="dxa"/>
            <w:gridSpan w:val="2"/>
            <w:tcBorders>
              <w:top w:val="single" w:sz="4" w:space="0" w:color="auto"/>
              <w:right w:val="single" w:sz="4" w:space="0" w:color="BFBFBF" w:themeColor="background1" w:themeShade="BF"/>
            </w:tcBorders>
          </w:tcPr>
          <w:p w14:paraId="7BF30A80"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Round 2</w:t>
            </w:r>
          </w:p>
        </w:tc>
        <w:tc>
          <w:tcPr>
            <w:tcW w:w="2977" w:type="dxa"/>
            <w:gridSpan w:val="2"/>
            <w:tcBorders>
              <w:top w:val="single" w:sz="4" w:space="0" w:color="auto"/>
              <w:left w:val="single" w:sz="4" w:space="0" w:color="BFBFBF" w:themeColor="background1" w:themeShade="BF"/>
            </w:tcBorders>
          </w:tcPr>
          <w:p w14:paraId="35E6C218"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Round 3</w:t>
            </w:r>
          </w:p>
        </w:tc>
        <w:tc>
          <w:tcPr>
            <w:tcW w:w="1843" w:type="dxa"/>
            <w:tcBorders>
              <w:top w:val="single" w:sz="4" w:space="0" w:color="auto"/>
              <w:left w:val="single" w:sz="4" w:space="0" w:color="BFBFBF" w:themeColor="background1" w:themeShade="BF"/>
            </w:tcBorders>
          </w:tcPr>
          <w:p w14:paraId="70B0D447"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Round 4</w:t>
            </w:r>
          </w:p>
        </w:tc>
      </w:tr>
      <w:tr w:rsidR="003A55BF" w:rsidRPr="003A55BF" w14:paraId="7ED2C910" w14:textId="77777777" w:rsidTr="003A55BF">
        <w:tc>
          <w:tcPr>
            <w:tcW w:w="650" w:type="dxa"/>
            <w:tcBorders>
              <w:bottom w:val="single" w:sz="4" w:space="0" w:color="auto"/>
            </w:tcBorders>
          </w:tcPr>
          <w:p w14:paraId="27F6D7BA" w14:textId="77777777" w:rsidR="003A55BF" w:rsidRPr="003A55BF" w:rsidRDefault="003A55BF" w:rsidP="003A55BF">
            <w:pPr>
              <w:tabs>
                <w:tab w:val="left" w:pos="-142"/>
              </w:tabs>
              <w:spacing w:before="60" w:after="60"/>
              <w:rPr>
                <w:rFonts w:asciiTheme="minorHAnsi" w:hAnsiTheme="minorHAnsi" w:cstheme="minorHAnsi"/>
                <w:sz w:val="20"/>
                <w:szCs w:val="20"/>
              </w:rPr>
            </w:pPr>
          </w:p>
        </w:tc>
        <w:tc>
          <w:tcPr>
            <w:tcW w:w="4845" w:type="dxa"/>
            <w:tcBorders>
              <w:bottom w:val="single" w:sz="4" w:space="0" w:color="auto"/>
            </w:tcBorders>
          </w:tcPr>
          <w:p w14:paraId="43BED070" w14:textId="77777777" w:rsidR="003A55BF" w:rsidRPr="003A55BF" w:rsidRDefault="003A55BF" w:rsidP="003A55BF">
            <w:pPr>
              <w:tabs>
                <w:tab w:val="left" w:pos="-142"/>
              </w:tabs>
              <w:spacing w:before="60" w:after="60"/>
              <w:rPr>
                <w:rFonts w:asciiTheme="minorHAnsi" w:hAnsiTheme="minorHAnsi" w:cstheme="minorHAnsi"/>
                <w:sz w:val="20"/>
                <w:szCs w:val="20"/>
              </w:rPr>
            </w:pPr>
          </w:p>
        </w:tc>
        <w:tc>
          <w:tcPr>
            <w:tcW w:w="1417" w:type="dxa"/>
            <w:tcBorders>
              <w:bottom w:val="single" w:sz="4" w:space="0" w:color="auto"/>
            </w:tcBorders>
          </w:tcPr>
          <w:p w14:paraId="0A4F38A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 xml:space="preserve"> KPIs (N)</w:t>
            </w:r>
          </w:p>
        </w:tc>
        <w:tc>
          <w:tcPr>
            <w:tcW w:w="1843" w:type="dxa"/>
            <w:tcBorders>
              <w:bottom w:val="single" w:sz="4" w:space="0" w:color="auto"/>
              <w:right w:val="single" w:sz="4" w:space="0" w:color="BFBFBF" w:themeColor="background1" w:themeShade="BF"/>
            </w:tcBorders>
          </w:tcPr>
          <w:p w14:paraId="1C3DEC1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 xml:space="preserve">Consensus reached </w:t>
            </w:r>
          </w:p>
          <w:p w14:paraId="0E97CEE8"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N (%)</w:t>
            </w:r>
          </w:p>
        </w:tc>
        <w:tc>
          <w:tcPr>
            <w:tcW w:w="1134" w:type="dxa"/>
            <w:tcBorders>
              <w:left w:val="single" w:sz="4" w:space="0" w:color="BFBFBF" w:themeColor="background1" w:themeShade="BF"/>
              <w:bottom w:val="single" w:sz="4" w:space="0" w:color="auto"/>
            </w:tcBorders>
          </w:tcPr>
          <w:p w14:paraId="70E960DC"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 xml:space="preserve"> KPIs (N)</w:t>
            </w:r>
          </w:p>
        </w:tc>
        <w:tc>
          <w:tcPr>
            <w:tcW w:w="1843" w:type="dxa"/>
            <w:tcBorders>
              <w:bottom w:val="single" w:sz="4" w:space="0" w:color="auto"/>
              <w:right w:val="single" w:sz="4" w:space="0" w:color="BFBFBF" w:themeColor="background1" w:themeShade="BF"/>
            </w:tcBorders>
          </w:tcPr>
          <w:p w14:paraId="4435DC2C"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 xml:space="preserve">Consensus reached </w:t>
            </w:r>
          </w:p>
          <w:p w14:paraId="614C4E6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N (%)</w:t>
            </w:r>
          </w:p>
        </w:tc>
        <w:tc>
          <w:tcPr>
            <w:tcW w:w="1843" w:type="dxa"/>
            <w:tcBorders>
              <w:left w:val="single" w:sz="4" w:space="0" w:color="BFBFBF" w:themeColor="background1" w:themeShade="BF"/>
              <w:bottom w:val="single" w:sz="4" w:space="0" w:color="auto"/>
            </w:tcBorders>
          </w:tcPr>
          <w:p w14:paraId="476813F7"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Number of KPIs in prioritised list</w:t>
            </w:r>
          </w:p>
        </w:tc>
      </w:tr>
      <w:tr w:rsidR="003A55BF" w:rsidRPr="003A55BF" w14:paraId="6DD19D38" w14:textId="77777777" w:rsidTr="003A55BF">
        <w:tc>
          <w:tcPr>
            <w:tcW w:w="650" w:type="dxa"/>
            <w:tcBorders>
              <w:top w:val="single" w:sz="4" w:space="0" w:color="auto"/>
              <w:bottom w:val="single" w:sz="4" w:space="0" w:color="BFBFBF" w:themeColor="background1" w:themeShade="BF"/>
            </w:tcBorders>
          </w:tcPr>
          <w:p w14:paraId="77785EF3"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A</w:t>
            </w:r>
          </w:p>
        </w:tc>
        <w:tc>
          <w:tcPr>
            <w:tcW w:w="4845" w:type="dxa"/>
            <w:tcBorders>
              <w:top w:val="single" w:sz="4" w:space="0" w:color="auto"/>
              <w:bottom w:val="single" w:sz="4" w:space="0" w:color="BFBFBF" w:themeColor="background1" w:themeShade="BF"/>
            </w:tcBorders>
          </w:tcPr>
          <w:p w14:paraId="5FDF7F18"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Neutropenic sepsis</w:t>
            </w:r>
          </w:p>
        </w:tc>
        <w:tc>
          <w:tcPr>
            <w:tcW w:w="1417" w:type="dxa"/>
            <w:tcBorders>
              <w:top w:val="single" w:sz="4" w:space="0" w:color="auto"/>
              <w:bottom w:val="single" w:sz="4" w:space="0" w:color="BFBFBF" w:themeColor="background1" w:themeShade="BF"/>
            </w:tcBorders>
          </w:tcPr>
          <w:p w14:paraId="1C1BAE7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12</w:t>
            </w:r>
          </w:p>
        </w:tc>
        <w:tc>
          <w:tcPr>
            <w:tcW w:w="1843" w:type="dxa"/>
            <w:tcBorders>
              <w:top w:val="single" w:sz="4" w:space="0" w:color="auto"/>
              <w:bottom w:val="single" w:sz="4" w:space="0" w:color="BFBFBF" w:themeColor="background1" w:themeShade="BF"/>
              <w:right w:val="single" w:sz="4" w:space="0" w:color="BFBFBF" w:themeColor="background1" w:themeShade="BF"/>
            </w:tcBorders>
          </w:tcPr>
          <w:p w14:paraId="6CFFB5AF"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6 (50%)</w:t>
            </w:r>
          </w:p>
        </w:tc>
        <w:tc>
          <w:tcPr>
            <w:tcW w:w="1134" w:type="dxa"/>
            <w:tcBorders>
              <w:top w:val="single" w:sz="4" w:space="0" w:color="auto"/>
              <w:left w:val="single" w:sz="4" w:space="0" w:color="BFBFBF" w:themeColor="background1" w:themeShade="BF"/>
              <w:bottom w:val="single" w:sz="4" w:space="0" w:color="BFBFBF" w:themeColor="background1" w:themeShade="BF"/>
            </w:tcBorders>
          </w:tcPr>
          <w:p w14:paraId="28E9E0D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6</w:t>
            </w:r>
          </w:p>
        </w:tc>
        <w:tc>
          <w:tcPr>
            <w:tcW w:w="1843" w:type="dxa"/>
            <w:tcBorders>
              <w:top w:val="single" w:sz="4" w:space="0" w:color="auto"/>
              <w:bottom w:val="single" w:sz="4" w:space="0" w:color="BFBFBF" w:themeColor="background1" w:themeShade="BF"/>
              <w:right w:val="single" w:sz="4" w:space="0" w:color="BFBFBF" w:themeColor="background1" w:themeShade="BF"/>
            </w:tcBorders>
          </w:tcPr>
          <w:p w14:paraId="2F63E2C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6 (100%)</w:t>
            </w:r>
          </w:p>
        </w:tc>
        <w:tc>
          <w:tcPr>
            <w:tcW w:w="1843" w:type="dxa"/>
            <w:tcBorders>
              <w:top w:val="single" w:sz="4" w:space="0" w:color="auto"/>
              <w:left w:val="single" w:sz="4" w:space="0" w:color="BFBFBF" w:themeColor="background1" w:themeShade="BF"/>
              <w:bottom w:val="single" w:sz="4" w:space="0" w:color="BFBFBF" w:themeColor="background1" w:themeShade="BF"/>
            </w:tcBorders>
          </w:tcPr>
          <w:p w14:paraId="26001FD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r>
      <w:tr w:rsidR="003A55BF" w:rsidRPr="003A55BF" w14:paraId="6980D8CD" w14:textId="77777777" w:rsidTr="003A55BF">
        <w:tc>
          <w:tcPr>
            <w:tcW w:w="650" w:type="dxa"/>
            <w:tcBorders>
              <w:top w:val="single" w:sz="4" w:space="0" w:color="BFBFBF" w:themeColor="background1" w:themeShade="BF"/>
              <w:bottom w:val="single" w:sz="4" w:space="0" w:color="BFBFBF" w:themeColor="background1" w:themeShade="BF"/>
            </w:tcBorders>
          </w:tcPr>
          <w:p w14:paraId="1D8956B2"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B</w:t>
            </w:r>
          </w:p>
        </w:tc>
        <w:tc>
          <w:tcPr>
            <w:tcW w:w="4845" w:type="dxa"/>
            <w:tcBorders>
              <w:top w:val="single" w:sz="4" w:space="0" w:color="BFBFBF" w:themeColor="background1" w:themeShade="BF"/>
              <w:bottom w:val="single" w:sz="4" w:space="0" w:color="BFBFBF" w:themeColor="background1" w:themeShade="BF"/>
            </w:tcBorders>
          </w:tcPr>
          <w:p w14:paraId="38CFAD20"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Chemotherapy-induced peripheral neuropathy</w:t>
            </w:r>
          </w:p>
        </w:tc>
        <w:tc>
          <w:tcPr>
            <w:tcW w:w="1417" w:type="dxa"/>
            <w:tcBorders>
              <w:top w:val="single" w:sz="4" w:space="0" w:color="BFBFBF" w:themeColor="background1" w:themeShade="BF"/>
              <w:bottom w:val="single" w:sz="4" w:space="0" w:color="BFBFBF" w:themeColor="background1" w:themeShade="BF"/>
            </w:tcBorders>
          </w:tcPr>
          <w:p w14:paraId="123182E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6</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0770546"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(17%)</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1121AD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9D27E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1011A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w:t>
            </w:r>
          </w:p>
        </w:tc>
      </w:tr>
      <w:tr w:rsidR="003A55BF" w:rsidRPr="003A55BF" w14:paraId="5D5AA420" w14:textId="77777777" w:rsidTr="003A55BF">
        <w:tc>
          <w:tcPr>
            <w:tcW w:w="650" w:type="dxa"/>
            <w:tcBorders>
              <w:top w:val="single" w:sz="4" w:space="0" w:color="BFBFBF" w:themeColor="background1" w:themeShade="BF"/>
              <w:bottom w:val="single" w:sz="4" w:space="0" w:color="BFBFBF" w:themeColor="background1" w:themeShade="BF"/>
            </w:tcBorders>
          </w:tcPr>
          <w:p w14:paraId="0F0A1AB9"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C</w:t>
            </w:r>
          </w:p>
        </w:tc>
        <w:tc>
          <w:tcPr>
            <w:tcW w:w="4845" w:type="dxa"/>
            <w:tcBorders>
              <w:top w:val="single" w:sz="4" w:space="0" w:color="BFBFBF" w:themeColor="background1" w:themeShade="BF"/>
              <w:bottom w:val="single" w:sz="4" w:space="0" w:color="BFBFBF" w:themeColor="background1" w:themeShade="BF"/>
            </w:tcBorders>
          </w:tcPr>
          <w:p w14:paraId="11AFF46A"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Unscheduled visits to hospital after SACT</w:t>
            </w:r>
          </w:p>
        </w:tc>
        <w:tc>
          <w:tcPr>
            <w:tcW w:w="1417" w:type="dxa"/>
            <w:tcBorders>
              <w:top w:val="single" w:sz="4" w:space="0" w:color="BFBFBF" w:themeColor="background1" w:themeShade="BF"/>
              <w:bottom w:val="single" w:sz="4" w:space="0" w:color="BFBFBF" w:themeColor="background1" w:themeShade="BF"/>
            </w:tcBorders>
          </w:tcPr>
          <w:p w14:paraId="26404BBE"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8</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BA68B92"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(25%)</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F4527D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157D9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7F6BE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w:t>
            </w:r>
          </w:p>
        </w:tc>
      </w:tr>
      <w:tr w:rsidR="003A55BF" w:rsidRPr="003A55BF" w14:paraId="446C4964" w14:textId="77777777" w:rsidTr="003A55BF">
        <w:tc>
          <w:tcPr>
            <w:tcW w:w="650" w:type="dxa"/>
            <w:tcBorders>
              <w:top w:val="single" w:sz="4" w:space="0" w:color="BFBFBF" w:themeColor="background1" w:themeShade="BF"/>
              <w:bottom w:val="single" w:sz="4" w:space="0" w:color="BFBFBF" w:themeColor="background1" w:themeShade="BF"/>
            </w:tcBorders>
          </w:tcPr>
          <w:p w14:paraId="79575675"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D</w:t>
            </w:r>
          </w:p>
        </w:tc>
        <w:tc>
          <w:tcPr>
            <w:tcW w:w="4845" w:type="dxa"/>
            <w:tcBorders>
              <w:top w:val="single" w:sz="4" w:space="0" w:color="BFBFBF" w:themeColor="background1" w:themeShade="BF"/>
              <w:bottom w:val="single" w:sz="4" w:space="0" w:color="BFBFBF" w:themeColor="background1" w:themeShade="BF"/>
            </w:tcBorders>
          </w:tcPr>
          <w:p w14:paraId="269CC9DB"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Unscheduled readmission to hospital</w:t>
            </w:r>
          </w:p>
        </w:tc>
        <w:tc>
          <w:tcPr>
            <w:tcW w:w="1417" w:type="dxa"/>
            <w:tcBorders>
              <w:top w:val="single" w:sz="4" w:space="0" w:color="BFBFBF" w:themeColor="background1" w:themeShade="BF"/>
              <w:bottom w:val="single" w:sz="4" w:space="0" w:color="BFBFBF" w:themeColor="background1" w:themeShade="BF"/>
            </w:tcBorders>
          </w:tcPr>
          <w:p w14:paraId="67F89A11"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4</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3B7144"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 (75%)</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75178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15012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(33%)</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9DAA80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w:t>
            </w:r>
          </w:p>
        </w:tc>
      </w:tr>
      <w:tr w:rsidR="003A55BF" w:rsidRPr="003A55BF" w14:paraId="00437B56" w14:textId="77777777" w:rsidTr="003A55BF">
        <w:tc>
          <w:tcPr>
            <w:tcW w:w="650" w:type="dxa"/>
            <w:tcBorders>
              <w:top w:val="single" w:sz="4" w:space="0" w:color="BFBFBF" w:themeColor="background1" w:themeShade="BF"/>
              <w:bottom w:val="single" w:sz="4" w:space="0" w:color="BFBFBF" w:themeColor="background1" w:themeShade="BF"/>
            </w:tcBorders>
          </w:tcPr>
          <w:p w14:paraId="0948540D"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E</w:t>
            </w:r>
          </w:p>
        </w:tc>
        <w:tc>
          <w:tcPr>
            <w:tcW w:w="4845" w:type="dxa"/>
            <w:tcBorders>
              <w:top w:val="single" w:sz="4" w:space="0" w:color="BFBFBF" w:themeColor="background1" w:themeShade="BF"/>
              <w:bottom w:val="single" w:sz="4" w:space="0" w:color="BFBFBF" w:themeColor="background1" w:themeShade="BF"/>
            </w:tcBorders>
          </w:tcPr>
          <w:p w14:paraId="36CD3E94"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Death after receiving SACT</w:t>
            </w:r>
          </w:p>
        </w:tc>
        <w:tc>
          <w:tcPr>
            <w:tcW w:w="1417" w:type="dxa"/>
            <w:tcBorders>
              <w:top w:val="single" w:sz="4" w:space="0" w:color="BFBFBF" w:themeColor="background1" w:themeShade="BF"/>
              <w:bottom w:val="single" w:sz="4" w:space="0" w:color="BFBFBF" w:themeColor="background1" w:themeShade="BF"/>
            </w:tcBorders>
          </w:tcPr>
          <w:p w14:paraId="7AE69505"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8</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EFD82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8 (100%)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E451DD2"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8</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95FBA6"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4 (50%)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E3DA88"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r>
      <w:tr w:rsidR="003A55BF" w:rsidRPr="003A55BF" w14:paraId="4CBDE147" w14:textId="77777777" w:rsidTr="003A55BF">
        <w:tc>
          <w:tcPr>
            <w:tcW w:w="650" w:type="dxa"/>
            <w:tcBorders>
              <w:top w:val="single" w:sz="4" w:space="0" w:color="BFBFBF" w:themeColor="background1" w:themeShade="BF"/>
              <w:bottom w:val="single" w:sz="4" w:space="0" w:color="BFBFBF" w:themeColor="background1" w:themeShade="BF"/>
            </w:tcBorders>
          </w:tcPr>
          <w:p w14:paraId="37DF433F"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F</w:t>
            </w:r>
          </w:p>
        </w:tc>
        <w:tc>
          <w:tcPr>
            <w:tcW w:w="4845" w:type="dxa"/>
            <w:tcBorders>
              <w:top w:val="single" w:sz="4" w:space="0" w:color="BFBFBF" w:themeColor="background1" w:themeShade="BF"/>
              <w:bottom w:val="single" w:sz="4" w:space="0" w:color="BFBFBF" w:themeColor="background1" w:themeShade="BF"/>
            </w:tcBorders>
          </w:tcPr>
          <w:p w14:paraId="0B2399CA"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Palliative Care, including referral from SACT service</w:t>
            </w:r>
          </w:p>
        </w:tc>
        <w:tc>
          <w:tcPr>
            <w:tcW w:w="1417" w:type="dxa"/>
            <w:tcBorders>
              <w:top w:val="single" w:sz="4" w:space="0" w:color="BFBFBF" w:themeColor="background1" w:themeShade="BF"/>
              <w:bottom w:val="single" w:sz="4" w:space="0" w:color="BFBFBF" w:themeColor="background1" w:themeShade="BF"/>
            </w:tcBorders>
          </w:tcPr>
          <w:p w14:paraId="6FCF8A56"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12</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FAE8A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 (25%)</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BCE9D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D63073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(67%)</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1982D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4986BAC4" w14:textId="77777777" w:rsidTr="003A55BF">
        <w:tc>
          <w:tcPr>
            <w:tcW w:w="650" w:type="dxa"/>
            <w:tcBorders>
              <w:top w:val="single" w:sz="4" w:space="0" w:color="BFBFBF" w:themeColor="background1" w:themeShade="BF"/>
              <w:bottom w:val="single" w:sz="4" w:space="0" w:color="BFBFBF" w:themeColor="background1" w:themeShade="BF"/>
            </w:tcBorders>
          </w:tcPr>
          <w:p w14:paraId="2B7832D7"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G</w:t>
            </w:r>
          </w:p>
        </w:tc>
        <w:tc>
          <w:tcPr>
            <w:tcW w:w="4845" w:type="dxa"/>
            <w:tcBorders>
              <w:top w:val="single" w:sz="4" w:space="0" w:color="BFBFBF" w:themeColor="background1" w:themeShade="BF"/>
              <w:bottom w:val="single" w:sz="4" w:space="0" w:color="BFBFBF" w:themeColor="background1" w:themeShade="BF"/>
            </w:tcBorders>
          </w:tcPr>
          <w:p w14:paraId="3D4337F9"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Adverse Events &amp; Errors</w:t>
            </w:r>
          </w:p>
        </w:tc>
        <w:tc>
          <w:tcPr>
            <w:tcW w:w="1417" w:type="dxa"/>
            <w:tcBorders>
              <w:top w:val="single" w:sz="4" w:space="0" w:color="BFBFBF" w:themeColor="background1" w:themeShade="BF"/>
              <w:bottom w:val="single" w:sz="4" w:space="0" w:color="BFBFBF" w:themeColor="background1" w:themeShade="BF"/>
            </w:tcBorders>
          </w:tcPr>
          <w:p w14:paraId="56C72B7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1DA5BA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 (100%)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FBDC95"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94A06B5"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F05201"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63BEE4C6" w14:textId="77777777" w:rsidTr="003A55BF">
        <w:tc>
          <w:tcPr>
            <w:tcW w:w="650" w:type="dxa"/>
            <w:tcBorders>
              <w:top w:val="single" w:sz="4" w:space="0" w:color="BFBFBF" w:themeColor="background1" w:themeShade="BF"/>
              <w:bottom w:val="single" w:sz="4" w:space="0" w:color="BFBFBF" w:themeColor="background1" w:themeShade="BF"/>
            </w:tcBorders>
          </w:tcPr>
          <w:p w14:paraId="50B7D934"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H</w:t>
            </w:r>
          </w:p>
        </w:tc>
        <w:tc>
          <w:tcPr>
            <w:tcW w:w="4845" w:type="dxa"/>
            <w:tcBorders>
              <w:top w:val="single" w:sz="4" w:space="0" w:color="BFBFBF" w:themeColor="background1" w:themeShade="BF"/>
              <w:bottom w:val="single" w:sz="4" w:space="0" w:color="BFBFBF" w:themeColor="background1" w:themeShade="BF"/>
            </w:tcBorders>
          </w:tcPr>
          <w:p w14:paraId="38147E3A"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Clinical Trials</w:t>
            </w:r>
          </w:p>
        </w:tc>
        <w:tc>
          <w:tcPr>
            <w:tcW w:w="1417" w:type="dxa"/>
            <w:tcBorders>
              <w:top w:val="single" w:sz="4" w:space="0" w:color="BFBFBF" w:themeColor="background1" w:themeShade="BF"/>
              <w:bottom w:val="single" w:sz="4" w:space="0" w:color="BFBFBF" w:themeColor="background1" w:themeShade="BF"/>
            </w:tcBorders>
          </w:tcPr>
          <w:p w14:paraId="053B44D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DCD012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(100%)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CB1806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0986781"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C7A984"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w:t>
            </w:r>
          </w:p>
        </w:tc>
      </w:tr>
      <w:tr w:rsidR="003A55BF" w:rsidRPr="003A55BF" w14:paraId="2D9F394C" w14:textId="77777777" w:rsidTr="003A55BF">
        <w:tc>
          <w:tcPr>
            <w:tcW w:w="650" w:type="dxa"/>
            <w:tcBorders>
              <w:top w:val="single" w:sz="4" w:space="0" w:color="BFBFBF" w:themeColor="background1" w:themeShade="BF"/>
              <w:bottom w:val="single" w:sz="4" w:space="0" w:color="BFBFBF" w:themeColor="background1" w:themeShade="BF"/>
            </w:tcBorders>
          </w:tcPr>
          <w:p w14:paraId="2D5B6623"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I</w:t>
            </w:r>
          </w:p>
        </w:tc>
        <w:tc>
          <w:tcPr>
            <w:tcW w:w="4845" w:type="dxa"/>
            <w:tcBorders>
              <w:top w:val="single" w:sz="4" w:space="0" w:color="BFBFBF" w:themeColor="background1" w:themeShade="BF"/>
              <w:bottom w:val="single" w:sz="4" w:space="0" w:color="BFBFBF" w:themeColor="background1" w:themeShade="BF"/>
            </w:tcBorders>
          </w:tcPr>
          <w:p w14:paraId="266A0DE8"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Other treatment-related areas</w:t>
            </w:r>
          </w:p>
        </w:tc>
        <w:tc>
          <w:tcPr>
            <w:tcW w:w="1417" w:type="dxa"/>
            <w:tcBorders>
              <w:top w:val="single" w:sz="4" w:space="0" w:color="BFBFBF" w:themeColor="background1" w:themeShade="BF"/>
              <w:bottom w:val="single" w:sz="4" w:space="0" w:color="BFBFBF" w:themeColor="background1" w:themeShade="BF"/>
            </w:tcBorders>
          </w:tcPr>
          <w:p w14:paraId="4DA431CE"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179257"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(8%)</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655D9AA"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8C223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09F24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w:t>
            </w:r>
          </w:p>
        </w:tc>
      </w:tr>
      <w:tr w:rsidR="003A55BF" w:rsidRPr="003A55BF" w14:paraId="23157671" w14:textId="77777777" w:rsidTr="003A55BF">
        <w:tc>
          <w:tcPr>
            <w:tcW w:w="650" w:type="dxa"/>
            <w:tcBorders>
              <w:top w:val="single" w:sz="4" w:space="0" w:color="BFBFBF" w:themeColor="background1" w:themeShade="BF"/>
              <w:bottom w:val="single" w:sz="4" w:space="0" w:color="BFBFBF" w:themeColor="background1" w:themeShade="BF"/>
            </w:tcBorders>
          </w:tcPr>
          <w:p w14:paraId="5065ED5A"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J</w:t>
            </w:r>
          </w:p>
        </w:tc>
        <w:tc>
          <w:tcPr>
            <w:tcW w:w="4845" w:type="dxa"/>
            <w:tcBorders>
              <w:top w:val="single" w:sz="4" w:space="0" w:color="BFBFBF" w:themeColor="background1" w:themeShade="BF"/>
              <w:bottom w:val="single" w:sz="4" w:space="0" w:color="BFBFBF" w:themeColor="background1" w:themeShade="BF"/>
            </w:tcBorders>
          </w:tcPr>
          <w:p w14:paraId="714F803E"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Patient experience factors</w:t>
            </w:r>
          </w:p>
        </w:tc>
        <w:tc>
          <w:tcPr>
            <w:tcW w:w="1417" w:type="dxa"/>
            <w:tcBorders>
              <w:top w:val="single" w:sz="4" w:space="0" w:color="BFBFBF" w:themeColor="background1" w:themeShade="BF"/>
              <w:bottom w:val="single" w:sz="4" w:space="0" w:color="BFBFBF" w:themeColor="background1" w:themeShade="BF"/>
            </w:tcBorders>
          </w:tcPr>
          <w:p w14:paraId="11F7AF9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5</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188222"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 (60%)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452E5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3</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1081B9"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(67%)</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4D6B2D"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672D1F81" w14:textId="77777777" w:rsidTr="003A55BF">
        <w:tc>
          <w:tcPr>
            <w:tcW w:w="650" w:type="dxa"/>
            <w:tcBorders>
              <w:top w:val="single" w:sz="4" w:space="0" w:color="BFBFBF" w:themeColor="background1" w:themeShade="BF"/>
              <w:bottom w:val="single" w:sz="4" w:space="0" w:color="BFBFBF" w:themeColor="background1" w:themeShade="BF"/>
            </w:tcBorders>
          </w:tcPr>
          <w:p w14:paraId="096D7F68"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K</w:t>
            </w:r>
          </w:p>
        </w:tc>
        <w:tc>
          <w:tcPr>
            <w:tcW w:w="4845" w:type="dxa"/>
            <w:tcBorders>
              <w:top w:val="single" w:sz="4" w:space="0" w:color="BFBFBF" w:themeColor="background1" w:themeShade="BF"/>
              <w:bottom w:val="single" w:sz="4" w:space="0" w:color="BFBFBF" w:themeColor="background1" w:themeShade="BF"/>
            </w:tcBorders>
          </w:tcPr>
          <w:p w14:paraId="48BD6EA8"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Multidisciplinary team meeting</w:t>
            </w:r>
          </w:p>
        </w:tc>
        <w:tc>
          <w:tcPr>
            <w:tcW w:w="1417" w:type="dxa"/>
            <w:tcBorders>
              <w:top w:val="single" w:sz="4" w:space="0" w:color="BFBFBF" w:themeColor="background1" w:themeShade="BF"/>
              <w:bottom w:val="single" w:sz="4" w:space="0" w:color="BFBFBF" w:themeColor="background1" w:themeShade="BF"/>
            </w:tcBorders>
          </w:tcPr>
          <w:p w14:paraId="264AED8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86833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(100%)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A63EF6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E32A6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DE033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649B048E" w14:textId="77777777" w:rsidTr="003A55BF">
        <w:tc>
          <w:tcPr>
            <w:tcW w:w="650" w:type="dxa"/>
            <w:tcBorders>
              <w:top w:val="single" w:sz="4" w:space="0" w:color="BFBFBF" w:themeColor="background1" w:themeShade="BF"/>
              <w:bottom w:val="single" w:sz="4" w:space="0" w:color="BFBFBF" w:themeColor="background1" w:themeShade="BF"/>
            </w:tcBorders>
          </w:tcPr>
          <w:p w14:paraId="491E7440"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L</w:t>
            </w:r>
          </w:p>
        </w:tc>
        <w:tc>
          <w:tcPr>
            <w:tcW w:w="4845" w:type="dxa"/>
            <w:tcBorders>
              <w:top w:val="single" w:sz="4" w:space="0" w:color="BFBFBF" w:themeColor="background1" w:themeShade="BF"/>
              <w:bottom w:val="single" w:sz="4" w:space="0" w:color="BFBFBF" w:themeColor="background1" w:themeShade="BF"/>
            </w:tcBorders>
          </w:tcPr>
          <w:p w14:paraId="305E93AB"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Timeframes for treatment</w:t>
            </w:r>
          </w:p>
        </w:tc>
        <w:tc>
          <w:tcPr>
            <w:tcW w:w="1417" w:type="dxa"/>
            <w:tcBorders>
              <w:top w:val="single" w:sz="4" w:space="0" w:color="BFBFBF" w:themeColor="background1" w:themeShade="BF"/>
              <w:bottom w:val="single" w:sz="4" w:space="0" w:color="BFBFBF" w:themeColor="background1" w:themeShade="BF"/>
            </w:tcBorders>
          </w:tcPr>
          <w:p w14:paraId="3753C77C"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18BB0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(100%)</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CB2932"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w:t>
            </w:r>
          </w:p>
        </w:tc>
        <w:tc>
          <w:tcPr>
            <w:tcW w:w="1843"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F84B78"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2 (100%)</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73E81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234B34CE" w14:textId="77777777" w:rsidTr="003A55BF">
        <w:tc>
          <w:tcPr>
            <w:tcW w:w="650" w:type="dxa"/>
            <w:tcBorders>
              <w:top w:val="single" w:sz="4" w:space="0" w:color="BFBFBF" w:themeColor="background1" w:themeShade="BF"/>
              <w:bottom w:val="single" w:sz="4" w:space="0" w:color="auto"/>
            </w:tcBorders>
          </w:tcPr>
          <w:p w14:paraId="2A0AABC1"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b/>
                <w:sz w:val="20"/>
                <w:szCs w:val="20"/>
              </w:rPr>
              <w:t>M</w:t>
            </w:r>
          </w:p>
        </w:tc>
        <w:tc>
          <w:tcPr>
            <w:tcW w:w="4845" w:type="dxa"/>
            <w:tcBorders>
              <w:top w:val="single" w:sz="4" w:space="0" w:color="BFBFBF" w:themeColor="background1" w:themeShade="BF"/>
              <w:bottom w:val="single" w:sz="4" w:space="0" w:color="auto"/>
            </w:tcBorders>
          </w:tcPr>
          <w:p w14:paraId="766BE1BA" w14:textId="77777777" w:rsidR="003A55BF" w:rsidRPr="003A55BF" w:rsidRDefault="003A55BF" w:rsidP="003A55BF">
            <w:pPr>
              <w:tabs>
                <w:tab w:val="left" w:pos="-142"/>
              </w:tabs>
              <w:spacing w:before="60" w:after="60"/>
              <w:rPr>
                <w:rFonts w:asciiTheme="minorHAnsi" w:hAnsiTheme="minorHAnsi" w:cstheme="minorHAnsi"/>
                <w:sz w:val="20"/>
                <w:szCs w:val="20"/>
              </w:rPr>
            </w:pPr>
            <w:r w:rsidRPr="003A55BF">
              <w:rPr>
                <w:rFonts w:asciiTheme="minorHAnsi" w:hAnsiTheme="minorHAnsi" w:cstheme="minorHAnsi"/>
                <w:sz w:val="20"/>
                <w:szCs w:val="20"/>
              </w:rPr>
              <w:t>Referrals</w:t>
            </w:r>
          </w:p>
        </w:tc>
        <w:tc>
          <w:tcPr>
            <w:tcW w:w="1417" w:type="dxa"/>
            <w:tcBorders>
              <w:top w:val="single" w:sz="4" w:space="0" w:color="BFBFBF" w:themeColor="background1" w:themeShade="BF"/>
              <w:bottom w:val="single" w:sz="4" w:space="0" w:color="auto"/>
            </w:tcBorders>
          </w:tcPr>
          <w:p w14:paraId="23BF9BE0"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1</w:t>
            </w:r>
          </w:p>
        </w:tc>
        <w:tc>
          <w:tcPr>
            <w:tcW w:w="1843" w:type="dxa"/>
            <w:tcBorders>
              <w:top w:val="single" w:sz="4" w:space="0" w:color="BFBFBF" w:themeColor="background1" w:themeShade="BF"/>
              <w:bottom w:val="single" w:sz="4" w:space="0" w:color="auto"/>
              <w:right w:val="single" w:sz="4" w:space="0" w:color="BFBFBF" w:themeColor="background1" w:themeShade="BF"/>
            </w:tcBorders>
          </w:tcPr>
          <w:p w14:paraId="08CBAB3B"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0 (0%)</w:t>
            </w:r>
          </w:p>
        </w:tc>
        <w:tc>
          <w:tcPr>
            <w:tcW w:w="1134" w:type="dxa"/>
            <w:tcBorders>
              <w:top w:val="single" w:sz="4" w:space="0" w:color="BFBFBF" w:themeColor="background1" w:themeShade="BF"/>
              <w:left w:val="single" w:sz="4" w:space="0" w:color="BFBFBF" w:themeColor="background1" w:themeShade="BF"/>
              <w:bottom w:val="single" w:sz="4" w:space="0" w:color="auto"/>
            </w:tcBorders>
          </w:tcPr>
          <w:p w14:paraId="0874BB85"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w:t>
            </w:r>
          </w:p>
        </w:tc>
        <w:tc>
          <w:tcPr>
            <w:tcW w:w="1843" w:type="dxa"/>
            <w:tcBorders>
              <w:top w:val="single" w:sz="4" w:space="0" w:color="BFBFBF" w:themeColor="background1" w:themeShade="BF"/>
              <w:bottom w:val="single" w:sz="4" w:space="0" w:color="auto"/>
              <w:right w:val="single" w:sz="4" w:space="0" w:color="BFBFBF" w:themeColor="background1" w:themeShade="BF"/>
            </w:tcBorders>
          </w:tcPr>
          <w:p w14:paraId="014AA2EE"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w:t>
            </w:r>
          </w:p>
        </w:tc>
        <w:tc>
          <w:tcPr>
            <w:tcW w:w="1843" w:type="dxa"/>
            <w:tcBorders>
              <w:top w:val="single" w:sz="4" w:space="0" w:color="BFBFBF" w:themeColor="background1" w:themeShade="BF"/>
              <w:left w:val="single" w:sz="4" w:space="0" w:color="BFBFBF" w:themeColor="background1" w:themeShade="BF"/>
              <w:bottom w:val="single" w:sz="4" w:space="0" w:color="auto"/>
            </w:tcBorders>
          </w:tcPr>
          <w:p w14:paraId="27592E1F"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sz w:val="20"/>
                <w:szCs w:val="20"/>
              </w:rPr>
              <w:t>-</w:t>
            </w:r>
          </w:p>
        </w:tc>
      </w:tr>
      <w:tr w:rsidR="003A55BF" w:rsidRPr="003A55BF" w14:paraId="717EF1BE" w14:textId="77777777" w:rsidTr="003A55BF">
        <w:tc>
          <w:tcPr>
            <w:tcW w:w="650" w:type="dxa"/>
            <w:tcBorders>
              <w:top w:val="single" w:sz="4" w:space="0" w:color="auto"/>
              <w:bottom w:val="single" w:sz="4" w:space="0" w:color="auto"/>
            </w:tcBorders>
          </w:tcPr>
          <w:p w14:paraId="17358424" w14:textId="77777777" w:rsidR="003A55BF" w:rsidRPr="003A55BF" w:rsidRDefault="003A55BF" w:rsidP="003A55BF">
            <w:pPr>
              <w:tabs>
                <w:tab w:val="left" w:pos="-142"/>
              </w:tabs>
              <w:spacing w:before="60" w:after="60"/>
              <w:rPr>
                <w:rFonts w:asciiTheme="minorHAnsi" w:hAnsiTheme="minorHAnsi" w:cstheme="minorHAnsi"/>
                <w:b/>
                <w:sz w:val="20"/>
                <w:szCs w:val="20"/>
              </w:rPr>
            </w:pPr>
            <w:r w:rsidRPr="003A55BF">
              <w:rPr>
                <w:rFonts w:asciiTheme="minorHAnsi" w:hAnsiTheme="minorHAnsi" w:cstheme="minorHAnsi"/>
                <w:b/>
                <w:sz w:val="20"/>
                <w:szCs w:val="20"/>
              </w:rPr>
              <w:t>Total</w:t>
            </w:r>
          </w:p>
        </w:tc>
        <w:tc>
          <w:tcPr>
            <w:tcW w:w="4845" w:type="dxa"/>
            <w:tcBorders>
              <w:top w:val="single" w:sz="4" w:space="0" w:color="auto"/>
              <w:bottom w:val="single" w:sz="4" w:space="0" w:color="auto"/>
            </w:tcBorders>
          </w:tcPr>
          <w:p w14:paraId="7B1B04DF" w14:textId="77777777" w:rsidR="003A55BF" w:rsidRPr="003A55BF" w:rsidRDefault="003A55BF" w:rsidP="003A55BF">
            <w:pPr>
              <w:tabs>
                <w:tab w:val="left" w:pos="-142"/>
              </w:tabs>
              <w:spacing w:before="60" w:after="60"/>
              <w:rPr>
                <w:rFonts w:asciiTheme="minorHAnsi" w:hAnsiTheme="minorHAnsi" w:cstheme="minorHAnsi"/>
                <w:sz w:val="20"/>
                <w:szCs w:val="20"/>
              </w:rPr>
            </w:pPr>
          </w:p>
        </w:tc>
        <w:tc>
          <w:tcPr>
            <w:tcW w:w="1417" w:type="dxa"/>
            <w:tcBorders>
              <w:top w:val="single" w:sz="4" w:space="0" w:color="auto"/>
              <w:bottom w:val="single" w:sz="4" w:space="0" w:color="auto"/>
            </w:tcBorders>
          </w:tcPr>
          <w:p w14:paraId="5696D283"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b/>
                <w:sz w:val="20"/>
                <w:szCs w:val="20"/>
              </w:rPr>
              <w:t>76</w:t>
            </w:r>
          </w:p>
        </w:tc>
        <w:tc>
          <w:tcPr>
            <w:tcW w:w="1843" w:type="dxa"/>
            <w:tcBorders>
              <w:top w:val="single" w:sz="4" w:space="0" w:color="auto"/>
              <w:bottom w:val="single" w:sz="4" w:space="0" w:color="auto"/>
              <w:right w:val="single" w:sz="4" w:space="0" w:color="BFBFBF" w:themeColor="background1" w:themeShade="BF"/>
            </w:tcBorders>
          </w:tcPr>
          <w:p w14:paraId="7316D89C" w14:textId="77777777" w:rsidR="003A55BF" w:rsidRPr="003A55BF" w:rsidRDefault="003A55BF" w:rsidP="003A55BF">
            <w:pPr>
              <w:tabs>
                <w:tab w:val="left" w:pos="-142"/>
              </w:tabs>
              <w:spacing w:before="60" w:after="60"/>
              <w:jc w:val="center"/>
              <w:rPr>
                <w:rFonts w:asciiTheme="minorHAnsi" w:hAnsiTheme="minorHAnsi" w:cstheme="minorHAnsi"/>
                <w:sz w:val="20"/>
                <w:szCs w:val="20"/>
              </w:rPr>
            </w:pPr>
            <w:r w:rsidRPr="003A55BF">
              <w:rPr>
                <w:rFonts w:asciiTheme="minorHAnsi" w:hAnsiTheme="minorHAnsi" w:cstheme="minorHAnsi"/>
                <w:b/>
                <w:sz w:val="20"/>
                <w:szCs w:val="20"/>
              </w:rPr>
              <w:t>34 (45%)</w:t>
            </w:r>
          </w:p>
        </w:tc>
        <w:tc>
          <w:tcPr>
            <w:tcW w:w="1134" w:type="dxa"/>
            <w:tcBorders>
              <w:top w:val="single" w:sz="4" w:space="0" w:color="auto"/>
              <w:left w:val="single" w:sz="4" w:space="0" w:color="BFBFBF" w:themeColor="background1" w:themeShade="BF"/>
              <w:bottom w:val="single" w:sz="4" w:space="0" w:color="auto"/>
            </w:tcBorders>
          </w:tcPr>
          <w:p w14:paraId="4E80BD86"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35</w:t>
            </w:r>
          </w:p>
        </w:tc>
        <w:tc>
          <w:tcPr>
            <w:tcW w:w="1843" w:type="dxa"/>
            <w:tcBorders>
              <w:top w:val="single" w:sz="4" w:space="0" w:color="auto"/>
              <w:bottom w:val="single" w:sz="4" w:space="0" w:color="auto"/>
              <w:right w:val="single" w:sz="4" w:space="0" w:color="BFBFBF" w:themeColor="background1" w:themeShade="BF"/>
            </w:tcBorders>
          </w:tcPr>
          <w:p w14:paraId="3BF3AA67"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27* (77%)</w:t>
            </w:r>
          </w:p>
        </w:tc>
        <w:tc>
          <w:tcPr>
            <w:tcW w:w="1843" w:type="dxa"/>
            <w:tcBorders>
              <w:top w:val="single" w:sz="4" w:space="0" w:color="auto"/>
              <w:left w:val="single" w:sz="4" w:space="0" w:color="BFBFBF" w:themeColor="background1" w:themeShade="BF"/>
              <w:bottom w:val="single" w:sz="4" w:space="0" w:color="auto"/>
            </w:tcBorders>
          </w:tcPr>
          <w:p w14:paraId="0DDCFA67" w14:textId="77777777" w:rsidR="003A55BF" w:rsidRPr="003A55BF" w:rsidRDefault="003A55BF" w:rsidP="003A55BF">
            <w:pPr>
              <w:tabs>
                <w:tab w:val="left" w:pos="-142"/>
              </w:tabs>
              <w:spacing w:before="60" w:after="60"/>
              <w:jc w:val="center"/>
              <w:rPr>
                <w:rFonts w:asciiTheme="minorHAnsi" w:hAnsiTheme="minorHAnsi" w:cstheme="minorHAnsi"/>
                <w:b/>
                <w:sz w:val="20"/>
                <w:szCs w:val="20"/>
              </w:rPr>
            </w:pPr>
            <w:r w:rsidRPr="003A55BF">
              <w:rPr>
                <w:rFonts w:asciiTheme="minorHAnsi" w:hAnsiTheme="minorHAnsi" w:cstheme="minorHAnsi"/>
                <w:b/>
                <w:sz w:val="20"/>
                <w:szCs w:val="20"/>
              </w:rPr>
              <w:t>9</w:t>
            </w:r>
          </w:p>
        </w:tc>
      </w:tr>
    </w:tbl>
    <w:p w14:paraId="2E0D0C4C" w14:textId="77777777" w:rsidR="003A55BF" w:rsidRPr="003A55BF" w:rsidRDefault="003A55BF" w:rsidP="003A55BF">
      <w:pPr>
        <w:tabs>
          <w:tab w:val="left" w:pos="-142"/>
        </w:tabs>
        <w:rPr>
          <w:rFonts w:cstheme="minorHAnsi"/>
          <w:sz w:val="20"/>
          <w:szCs w:val="20"/>
        </w:rPr>
      </w:pPr>
      <w:r w:rsidRPr="003A55BF">
        <w:rPr>
          <w:rFonts w:cstheme="minorHAnsi"/>
          <w:sz w:val="20"/>
          <w:szCs w:val="20"/>
        </w:rPr>
        <w:t>* In line with participants' comments, the two KPIs that reached consensus in this area were merged into one and presented as one KPI in round 4. A total of 26 KPIs were therefore presented in round 4.</w:t>
      </w:r>
    </w:p>
    <w:p w14:paraId="459D8644" w14:textId="77777777" w:rsidR="003A55BF" w:rsidRPr="003A55BF" w:rsidRDefault="003A55BF" w:rsidP="003A55BF">
      <w:pPr>
        <w:rPr>
          <w:rFonts w:cstheme="minorHAnsi"/>
          <w:sz w:val="20"/>
          <w:szCs w:val="20"/>
        </w:rPr>
      </w:pPr>
    </w:p>
    <w:p w14:paraId="4734C38E" w14:textId="77777777" w:rsidR="003A55BF" w:rsidRPr="003A55BF" w:rsidRDefault="003A55BF" w:rsidP="003A55BF">
      <w:pPr>
        <w:rPr>
          <w:rFonts w:cstheme="minorHAnsi"/>
          <w:sz w:val="20"/>
          <w:szCs w:val="20"/>
        </w:rPr>
      </w:pPr>
    </w:p>
    <w:p w14:paraId="4E3F0B28" w14:textId="77777777" w:rsidR="003A55BF" w:rsidRPr="003A55BF" w:rsidRDefault="003A55BF" w:rsidP="003A55BF">
      <w:pPr>
        <w:pStyle w:val="Heading1"/>
        <w:rPr>
          <w:rFonts w:asciiTheme="minorHAnsi" w:hAnsiTheme="minorHAnsi" w:cstheme="minorHAnsi"/>
          <w:sz w:val="20"/>
          <w:szCs w:val="20"/>
        </w:rPr>
        <w:sectPr w:rsidR="003A55BF" w:rsidRPr="003A55BF" w:rsidSect="003A55BF">
          <w:pgSz w:w="16820" w:h="11900" w:orient="landscape"/>
          <w:pgMar w:top="1418" w:right="1418" w:bottom="1418" w:left="1418" w:header="709" w:footer="709" w:gutter="0"/>
          <w:cols w:space="708"/>
          <w:docGrid w:linePitch="360"/>
        </w:sectPr>
      </w:pPr>
    </w:p>
    <w:p w14:paraId="639BDEF0" w14:textId="77777777" w:rsidR="003A55BF" w:rsidRPr="003A55BF" w:rsidRDefault="003A55BF" w:rsidP="003A55BF">
      <w:pPr>
        <w:pStyle w:val="Caption"/>
        <w:keepNext/>
        <w:tabs>
          <w:tab w:val="left" w:pos="-142"/>
        </w:tabs>
        <w:rPr>
          <w:rFonts w:asciiTheme="minorHAnsi" w:hAnsiTheme="minorHAnsi" w:cstheme="minorHAnsi"/>
          <w:sz w:val="20"/>
          <w:szCs w:val="20"/>
        </w:rPr>
      </w:pPr>
      <w:r w:rsidRPr="003A55BF">
        <w:rPr>
          <w:rFonts w:asciiTheme="minorHAnsi" w:hAnsiTheme="minorHAnsi" w:cstheme="minorHAnsi"/>
          <w:sz w:val="20"/>
          <w:szCs w:val="20"/>
        </w:rPr>
        <w:lastRenderedPageBreak/>
        <w:t>Table 2: Summary of results for KPIs that were included in the final prioritised list</w:t>
      </w:r>
    </w:p>
    <w:tbl>
      <w:tblPr>
        <w:tblStyle w:val="MediumShading1-Accent1"/>
        <w:tblW w:w="7338" w:type="dxa"/>
        <w:tblLayout w:type="fixed"/>
        <w:tblLook w:val="04A0" w:firstRow="1" w:lastRow="0" w:firstColumn="1" w:lastColumn="0" w:noHBand="0" w:noVBand="1"/>
      </w:tblPr>
      <w:tblGrid>
        <w:gridCol w:w="959"/>
        <w:gridCol w:w="884"/>
        <w:gridCol w:w="675"/>
        <w:gridCol w:w="884"/>
        <w:gridCol w:w="675"/>
        <w:gridCol w:w="1247"/>
        <w:gridCol w:w="947"/>
        <w:gridCol w:w="1067"/>
      </w:tblGrid>
      <w:tr w:rsidR="003A55BF" w:rsidRPr="003A55BF" w14:paraId="332BB088" w14:textId="77777777" w:rsidTr="003A5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6DC47C1F" w14:textId="77777777" w:rsidR="003A55BF" w:rsidRPr="003A55BF" w:rsidRDefault="003A55BF" w:rsidP="003A55BF">
            <w:pPr>
              <w:tabs>
                <w:tab w:val="left" w:pos="-142"/>
              </w:tabs>
              <w:jc w:val="center"/>
              <w:rPr>
                <w:rFonts w:asciiTheme="minorHAnsi" w:hAnsiTheme="minorHAnsi" w:cstheme="minorHAnsi"/>
                <w:sz w:val="20"/>
                <w:szCs w:val="20"/>
              </w:rPr>
            </w:pPr>
            <w:r w:rsidRPr="003A55BF">
              <w:rPr>
                <w:rFonts w:asciiTheme="minorHAnsi" w:hAnsiTheme="minorHAnsi" w:cstheme="minorHAnsi"/>
                <w:sz w:val="20"/>
                <w:szCs w:val="20"/>
              </w:rPr>
              <w:t>KPI</w:t>
            </w:r>
          </w:p>
        </w:tc>
        <w:tc>
          <w:tcPr>
            <w:tcW w:w="1559" w:type="dxa"/>
            <w:gridSpan w:val="2"/>
          </w:tcPr>
          <w:p w14:paraId="25DA906C"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Round 2</w:t>
            </w:r>
          </w:p>
        </w:tc>
        <w:tc>
          <w:tcPr>
            <w:tcW w:w="1559" w:type="dxa"/>
            <w:gridSpan w:val="2"/>
          </w:tcPr>
          <w:p w14:paraId="4CE34D16"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Round 3</w:t>
            </w:r>
          </w:p>
        </w:tc>
        <w:tc>
          <w:tcPr>
            <w:tcW w:w="2194" w:type="dxa"/>
            <w:gridSpan w:val="2"/>
          </w:tcPr>
          <w:p w14:paraId="47111444"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Wilcoxon matched-pairs signed rank test</w:t>
            </w:r>
          </w:p>
        </w:tc>
        <w:tc>
          <w:tcPr>
            <w:tcW w:w="1067" w:type="dxa"/>
          </w:tcPr>
          <w:p w14:paraId="75435548"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Round 4</w:t>
            </w:r>
          </w:p>
        </w:tc>
      </w:tr>
      <w:tr w:rsidR="003A55BF" w:rsidRPr="003A55BF" w14:paraId="23AE0D9B"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2E20112C"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hAnsiTheme="minorHAnsi" w:cstheme="minorHAnsi"/>
                <w:sz w:val="20"/>
                <w:szCs w:val="20"/>
              </w:rPr>
              <w:t xml:space="preserve">KPI No. </w:t>
            </w:r>
          </w:p>
        </w:tc>
        <w:tc>
          <w:tcPr>
            <w:tcW w:w="884" w:type="dxa"/>
          </w:tcPr>
          <w:p w14:paraId="1F3F8E91"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675" w:type="dxa"/>
          </w:tcPr>
          <w:p w14:paraId="644D1263"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c>
          <w:tcPr>
            <w:tcW w:w="884" w:type="dxa"/>
          </w:tcPr>
          <w:p w14:paraId="7BC74544"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675" w:type="dxa"/>
          </w:tcPr>
          <w:p w14:paraId="26B931B9"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c>
          <w:tcPr>
            <w:tcW w:w="1247" w:type="dxa"/>
          </w:tcPr>
          <w:p w14:paraId="29B54EF7"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20"/>
                <w:szCs w:val="20"/>
              </w:rPr>
            </w:pPr>
            <w:r w:rsidRPr="003A55BF">
              <w:rPr>
                <w:rFonts w:asciiTheme="minorHAnsi" w:hAnsiTheme="minorHAnsi" w:cstheme="minorHAnsi"/>
                <w:i/>
                <w:sz w:val="20"/>
                <w:szCs w:val="20"/>
              </w:rPr>
              <w:t>Z</w:t>
            </w:r>
          </w:p>
        </w:tc>
        <w:tc>
          <w:tcPr>
            <w:tcW w:w="947" w:type="dxa"/>
          </w:tcPr>
          <w:p w14:paraId="2BA31B8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20"/>
                <w:szCs w:val="20"/>
              </w:rPr>
            </w:pPr>
            <w:r w:rsidRPr="003A55BF">
              <w:rPr>
                <w:rFonts w:asciiTheme="minorHAnsi" w:hAnsiTheme="minorHAnsi" w:cstheme="minorHAnsi"/>
                <w:i/>
                <w:sz w:val="20"/>
                <w:szCs w:val="20"/>
              </w:rPr>
              <w:t>p-value</w:t>
            </w:r>
          </w:p>
        </w:tc>
        <w:tc>
          <w:tcPr>
            <w:tcW w:w="1067" w:type="dxa"/>
          </w:tcPr>
          <w:p w14:paraId="2B63833A"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Rank</w:t>
            </w:r>
          </w:p>
        </w:tc>
      </w:tr>
      <w:tr w:rsidR="003A55BF" w:rsidRPr="003A55BF" w14:paraId="4D5CC69C"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674CBC5D"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w:t>
            </w:r>
          </w:p>
        </w:tc>
        <w:tc>
          <w:tcPr>
            <w:tcW w:w="884" w:type="dxa"/>
          </w:tcPr>
          <w:p w14:paraId="05E31973"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74540633"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w:t>
            </w:r>
          </w:p>
        </w:tc>
        <w:tc>
          <w:tcPr>
            <w:tcW w:w="884" w:type="dxa"/>
          </w:tcPr>
          <w:p w14:paraId="567EBFE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5795A211"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1247" w:type="dxa"/>
          </w:tcPr>
          <w:p w14:paraId="22773E2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-0.071</w:t>
            </w:r>
          </w:p>
        </w:tc>
        <w:tc>
          <w:tcPr>
            <w:tcW w:w="947" w:type="dxa"/>
          </w:tcPr>
          <w:p w14:paraId="5397CE5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0.94</w:t>
            </w:r>
          </w:p>
        </w:tc>
        <w:tc>
          <w:tcPr>
            <w:tcW w:w="1067" w:type="dxa"/>
          </w:tcPr>
          <w:p w14:paraId="01D46CC1"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21F8EFB0"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7B3C25BD"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w:t>
            </w:r>
          </w:p>
        </w:tc>
        <w:tc>
          <w:tcPr>
            <w:tcW w:w="884" w:type="dxa"/>
          </w:tcPr>
          <w:p w14:paraId="4D80B70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5DFB3D12"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84" w:type="dxa"/>
          </w:tcPr>
          <w:p w14:paraId="0A62C31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09E3243F"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1247" w:type="dxa"/>
          </w:tcPr>
          <w:p w14:paraId="69F24506"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-1.424</w:t>
            </w:r>
          </w:p>
        </w:tc>
        <w:tc>
          <w:tcPr>
            <w:tcW w:w="947" w:type="dxa"/>
          </w:tcPr>
          <w:p w14:paraId="0E4EE39B"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0.15</w:t>
            </w:r>
          </w:p>
        </w:tc>
        <w:tc>
          <w:tcPr>
            <w:tcW w:w="1067" w:type="dxa"/>
          </w:tcPr>
          <w:p w14:paraId="037E5E6B"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w:t>
            </w:r>
          </w:p>
        </w:tc>
      </w:tr>
      <w:tr w:rsidR="003A55BF" w:rsidRPr="003A55BF" w14:paraId="515E0667"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660FEAFB"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3</w:t>
            </w:r>
          </w:p>
        </w:tc>
        <w:tc>
          <w:tcPr>
            <w:tcW w:w="884" w:type="dxa"/>
          </w:tcPr>
          <w:p w14:paraId="0BB69A4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7749F36E"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c>
          <w:tcPr>
            <w:tcW w:w="884" w:type="dxa"/>
          </w:tcPr>
          <w:p w14:paraId="6B0CA80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675" w:type="dxa"/>
          </w:tcPr>
          <w:p w14:paraId="5F9762D2"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c>
          <w:tcPr>
            <w:tcW w:w="1247" w:type="dxa"/>
          </w:tcPr>
          <w:p w14:paraId="4DB6EE6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-0.769</w:t>
            </w:r>
          </w:p>
        </w:tc>
        <w:tc>
          <w:tcPr>
            <w:tcW w:w="947" w:type="dxa"/>
          </w:tcPr>
          <w:p w14:paraId="7DE3BBC7"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0.44</w:t>
            </w:r>
          </w:p>
        </w:tc>
        <w:tc>
          <w:tcPr>
            <w:tcW w:w="1067" w:type="dxa"/>
          </w:tcPr>
          <w:p w14:paraId="24A7B882"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r>
      <w:tr w:rsidR="003A55BF" w:rsidRPr="003A55BF" w14:paraId="124F5FA9"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1F287995"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4</w:t>
            </w:r>
          </w:p>
        </w:tc>
        <w:tc>
          <w:tcPr>
            <w:tcW w:w="884" w:type="dxa"/>
          </w:tcPr>
          <w:p w14:paraId="6ECD0CA3"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4B6ABC4E"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84" w:type="dxa"/>
          </w:tcPr>
          <w:p w14:paraId="58C6D62C"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5F134E0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1247" w:type="dxa"/>
          </w:tcPr>
          <w:p w14:paraId="02A4EF36"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-0.000</w:t>
            </w:r>
          </w:p>
        </w:tc>
        <w:tc>
          <w:tcPr>
            <w:tcW w:w="947" w:type="dxa"/>
          </w:tcPr>
          <w:p w14:paraId="0C79927C"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1.00</w:t>
            </w:r>
          </w:p>
        </w:tc>
        <w:tc>
          <w:tcPr>
            <w:tcW w:w="1067" w:type="dxa"/>
          </w:tcPr>
          <w:p w14:paraId="2EF54471"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r>
      <w:tr w:rsidR="003A55BF" w:rsidRPr="003A55BF" w14:paraId="1831B61F"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0A159EF7"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5</w:t>
            </w:r>
          </w:p>
        </w:tc>
        <w:tc>
          <w:tcPr>
            <w:tcW w:w="884" w:type="dxa"/>
          </w:tcPr>
          <w:p w14:paraId="7A802D46"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2255E03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84" w:type="dxa"/>
          </w:tcPr>
          <w:p w14:paraId="5386562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63A3B8E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1247" w:type="dxa"/>
          </w:tcPr>
          <w:p w14:paraId="1AFA8D7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-0.416</w:t>
            </w:r>
          </w:p>
        </w:tc>
        <w:tc>
          <w:tcPr>
            <w:tcW w:w="947" w:type="dxa"/>
          </w:tcPr>
          <w:p w14:paraId="191172C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0.068</w:t>
            </w:r>
          </w:p>
        </w:tc>
        <w:tc>
          <w:tcPr>
            <w:tcW w:w="1067" w:type="dxa"/>
          </w:tcPr>
          <w:p w14:paraId="4D6E369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5</w:t>
            </w:r>
          </w:p>
        </w:tc>
      </w:tr>
      <w:tr w:rsidR="003A55BF" w:rsidRPr="003A55BF" w14:paraId="7CDC27DB"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4624869F"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6</w:t>
            </w:r>
          </w:p>
        </w:tc>
        <w:tc>
          <w:tcPr>
            <w:tcW w:w="884" w:type="dxa"/>
          </w:tcPr>
          <w:p w14:paraId="024D66EB"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6E720116"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w:t>
            </w:r>
          </w:p>
        </w:tc>
        <w:tc>
          <w:tcPr>
            <w:tcW w:w="884" w:type="dxa"/>
          </w:tcPr>
          <w:p w14:paraId="26A0A04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7B31BB4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1247" w:type="dxa"/>
          </w:tcPr>
          <w:p w14:paraId="3DEB6E50"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-0.057</w:t>
            </w:r>
          </w:p>
        </w:tc>
        <w:tc>
          <w:tcPr>
            <w:tcW w:w="947" w:type="dxa"/>
          </w:tcPr>
          <w:p w14:paraId="0BF3B7E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0.95</w:t>
            </w:r>
          </w:p>
        </w:tc>
        <w:tc>
          <w:tcPr>
            <w:tcW w:w="1067" w:type="dxa"/>
          </w:tcPr>
          <w:p w14:paraId="1FE3AFCE"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r>
      <w:tr w:rsidR="003A55BF" w:rsidRPr="003A55BF" w14:paraId="1631BACB"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24F1FB57"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7</w:t>
            </w:r>
          </w:p>
        </w:tc>
        <w:tc>
          <w:tcPr>
            <w:tcW w:w="884" w:type="dxa"/>
          </w:tcPr>
          <w:p w14:paraId="7243F8F7"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34B31D0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84" w:type="dxa"/>
          </w:tcPr>
          <w:p w14:paraId="566E8FB4"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9</w:t>
            </w:r>
          </w:p>
        </w:tc>
        <w:tc>
          <w:tcPr>
            <w:tcW w:w="675" w:type="dxa"/>
          </w:tcPr>
          <w:p w14:paraId="6A8BE2A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1247" w:type="dxa"/>
          </w:tcPr>
          <w:p w14:paraId="13820618"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-0.360</w:t>
            </w:r>
          </w:p>
        </w:tc>
        <w:tc>
          <w:tcPr>
            <w:tcW w:w="947" w:type="dxa"/>
          </w:tcPr>
          <w:p w14:paraId="7E3084C2"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0.72</w:t>
            </w:r>
          </w:p>
        </w:tc>
        <w:tc>
          <w:tcPr>
            <w:tcW w:w="1067" w:type="dxa"/>
          </w:tcPr>
          <w:p w14:paraId="2661EF9A"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r>
      <w:tr w:rsidR="003A55BF" w:rsidRPr="003A55BF" w14:paraId="0134C029"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0CD7BB0A"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8</w:t>
            </w:r>
          </w:p>
        </w:tc>
        <w:tc>
          <w:tcPr>
            <w:tcW w:w="884" w:type="dxa"/>
          </w:tcPr>
          <w:p w14:paraId="4B2F3870"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6D94F74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84" w:type="dxa"/>
          </w:tcPr>
          <w:p w14:paraId="06E0444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64A822A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1247" w:type="dxa"/>
          </w:tcPr>
          <w:p w14:paraId="2145FF64"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-0.439</w:t>
            </w:r>
          </w:p>
        </w:tc>
        <w:tc>
          <w:tcPr>
            <w:tcW w:w="947" w:type="dxa"/>
          </w:tcPr>
          <w:p w14:paraId="156364F0"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0.66</w:t>
            </w:r>
          </w:p>
        </w:tc>
        <w:tc>
          <w:tcPr>
            <w:tcW w:w="1067" w:type="dxa"/>
          </w:tcPr>
          <w:p w14:paraId="21241B37"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r>
      <w:tr w:rsidR="003A55BF" w:rsidRPr="003A55BF" w14:paraId="44367B8E"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5FBC9AB1"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9</w:t>
            </w:r>
          </w:p>
        </w:tc>
        <w:tc>
          <w:tcPr>
            <w:tcW w:w="884" w:type="dxa"/>
          </w:tcPr>
          <w:p w14:paraId="6187622D"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10</w:t>
            </w:r>
          </w:p>
        </w:tc>
        <w:tc>
          <w:tcPr>
            <w:tcW w:w="675" w:type="dxa"/>
          </w:tcPr>
          <w:p w14:paraId="21CE308A"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84" w:type="dxa"/>
          </w:tcPr>
          <w:p w14:paraId="7E28EFF3"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675" w:type="dxa"/>
          </w:tcPr>
          <w:p w14:paraId="038A4AF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1247" w:type="dxa"/>
          </w:tcPr>
          <w:p w14:paraId="6B6AD226"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-1.254</w:t>
            </w:r>
          </w:p>
        </w:tc>
        <w:tc>
          <w:tcPr>
            <w:tcW w:w="947" w:type="dxa"/>
          </w:tcPr>
          <w:p w14:paraId="7C0CF5A2"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0.21</w:t>
            </w:r>
          </w:p>
        </w:tc>
        <w:tc>
          <w:tcPr>
            <w:tcW w:w="1067" w:type="dxa"/>
          </w:tcPr>
          <w:p w14:paraId="1838558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r>
    </w:tbl>
    <w:p w14:paraId="792ECA0E" w14:textId="77777777" w:rsidR="003A55BF" w:rsidRPr="003A55BF" w:rsidRDefault="003A55BF" w:rsidP="003A55BF">
      <w:pPr>
        <w:spacing w:after="0" w:line="240" w:lineRule="auto"/>
        <w:rPr>
          <w:rFonts w:cstheme="minorHAnsi"/>
          <w:sz w:val="20"/>
          <w:szCs w:val="20"/>
        </w:rPr>
      </w:pPr>
    </w:p>
    <w:p w14:paraId="130A6244" w14:textId="77777777" w:rsidR="003A55BF" w:rsidRPr="003A55BF" w:rsidRDefault="003A55BF" w:rsidP="003A55BF">
      <w:pPr>
        <w:spacing w:after="0" w:line="240" w:lineRule="auto"/>
        <w:rPr>
          <w:rFonts w:cstheme="minorHAnsi"/>
          <w:sz w:val="20"/>
          <w:szCs w:val="20"/>
        </w:rPr>
      </w:pPr>
    </w:p>
    <w:p w14:paraId="106882D4" w14:textId="77777777" w:rsidR="003A55BF" w:rsidRPr="003A55BF" w:rsidRDefault="003A55BF" w:rsidP="003A55BF">
      <w:pPr>
        <w:spacing w:after="0" w:line="240" w:lineRule="auto"/>
        <w:rPr>
          <w:rFonts w:cstheme="minorHAnsi"/>
          <w:sz w:val="20"/>
          <w:szCs w:val="20"/>
        </w:rPr>
      </w:pPr>
    </w:p>
    <w:p w14:paraId="146FB45E" w14:textId="77777777" w:rsidR="003A55BF" w:rsidRPr="003A55BF" w:rsidRDefault="003A55BF" w:rsidP="003A55BF">
      <w:pPr>
        <w:spacing w:after="0" w:line="240" w:lineRule="auto"/>
        <w:rPr>
          <w:rFonts w:cstheme="minorHAnsi"/>
          <w:sz w:val="20"/>
          <w:szCs w:val="20"/>
        </w:rPr>
      </w:pPr>
      <w:r w:rsidRPr="003A55BF">
        <w:rPr>
          <w:rFonts w:cstheme="minorHAnsi"/>
          <w:sz w:val="20"/>
          <w:szCs w:val="20"/>
        </w:rPr>
        <w:t>Table 3: Top nine prioritised KPIs after all rounds of the study and the potential benefits of collection of data on these KPIs</w:t>
      </w:r>
    </w:p>
    <w:p w14:paraId="1C673A37" w14:textId="77777777" w:rsidR="003A55BF" w:rsidRPr="003A55BF" w:rsidRDefault="003A55BF" w:rsidP="003A55BF">
      <w:pPr>
        <w:spacing w:after="0" w:line="240" w:lineRule="auto"/>
        <w:rPr>
          <w:rFonts w:cstheme="minorHAnsi"/>
          <w:sz w:val="20"/>
          <w:szCs w:val="20"/>
        </w:rPr>
      </w:pPr>
    </w:p>
    <w:tbl>
      <w:tblPr>
        <w:tblStyle w:val="MediumShading1-Accent1"/>
        <w:tblW w:w="10656" w:type="dxa"/>
        <w:tblInd w:w="-601" w:type="dxa"/>
        <w:tblLayout w:type="fixed"/>
        <w:tblLook w:val="04A0" w:firstRow="1" w:lastRow="0" w:firstColumn="1" w:lastColumn="0" w:noHBand="0" w:noVBand="1"/>
      </w:tblPr>
      <w:tblGrid>
        <w:gridCol w:w="875"/>
        <w:gridCol w:w="567"/>
        <w:gridCol w:w="2410"/>
        <w:gridCol w:w="4252"/>
        <w:gridCol w:w="2552"/>
      </w:tblGrid>
      <w:tr w:rsidR="003A55BF" w:rsidRPr="003A55BF" w14:paraId="40B696D2" w14:textId="77777777" w:rsidTr="00D5531D">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3F310F12" w14:textId="77777777" w:rsidR="003A55BF" w:rsidRPr="003A55BF" w:rsidRDefault="003A55BF" w:rsidP="003A55BF">
            <w:pPr>
              <w:tabs>
                <w:tab w:val="left" w:pos="-142"/>
              </w:tabs>
              <w:rPr>
                <w:rFonts w:asciiTheme="minorHAnsi" w:eastAsia="Times New Roman" w:hAnsiTheme="minorHAnsi" w:cstheme="minorHAnsi"/>
                <w:color w:val="auto"/>
                <w:sz w:val="16"/>
                <w:szCs w:val="16"/>
              </w:rPr>
            </w:pPr>
            <w:r w:rsidRPr="003A55BF">
              <w:rPr>
                <w:rFonts w:asciiTheme="minorHAnsi" w:eastAsia="Times New Roman" w:hAnsiTheme="minorHAnsi" w:cstheme="minorHAnsi"/>
                <w:color w:val="auto"/>
                <w:sz w:val="16"/>
                <w:szCs w:val="16"/>
              </w:rPr>
              <w:t>Overall</w:t>
            </w:r>
          </w:p>
          <w:p w14:paraId="581BFD21" w14:textId="77777777" w:rsidR="003A55BF" w:rsidRPr="003A55BF" w:rsidRDefault="003A55BF" w:rsidP="003A55BF">
            <w:pPr>
              <w:tabs>
                <w:tab w:val="left" w:pos="-142"/>
              </w:tabs>
              <w:rPr>
                <w:rFonts w:asciiTheme="minorHAnsi" w:eastAsia="Times New Roman" w:hAnsiTheme="minorHAnsi" w:cstheme="minorHAnsi"/>
                <w:color w:val="auto"/>
                <w:sz w:val="16"/>
                <w:szCs w:val="16"/>
              </w:rPr>
            </w:pPr>
            <w:r w:rsidRPr="003A55BF">
              <w:rPr>
                <w:rFonts w:asciiTheme="minorHAnsi" w:eastAsia="Times New Roman" w:hAnsiTheme="minorHAnsi" w:cstheme="minorHAnsi"/>
                <w:color w:val="auto"/>
                <w:sz w:val="16"/>
                <w:szCs w:val="16"/>
              </w:rPr>
              <w:t>Ranking</w:t>
            </w:r>
          </w:p>
        </w:tc>
        <w:tc>
          <w:tcPr>
            <w:tcW w:w="567" w:type="dxa"/>
            <w:noWrap/>
            <w:hideMark/>
          </w:tcPr>
          <w:p w14:paraId="44CAC1CA" w14:textId="77777777" w:rsidR="003A55BF" w:rsidRPr="003A55BF" w:rsidRDefault="003A55BF" w:rsidP="003A55BF">
            <w:pPr>
              <w:tabs>
                <w:tab w:val="left" w:pos="-142"/>
              </w:tabs>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16"/>
                <w:szCs w:val="16"/>
              </w:rPr>
            </w:pPr>
            <w:r w:rsidRPr="003A55BF">
              <w:rPr>
                <w:rFonts w:asciiTheme="minorHAnsi" w:eastAsia="Times New Roman" w:hAnsiTheme="minorHAnsi" w:cstheme="minorHAnsi"/>
                <w:color w:val="auto"/>
                <w:sz w:val="16"/>
                <w:szCs w:val="16"/>
              </w:rPr>
              <w:t>KPI No.</w:t>
            </w:r>
          </w:p>
        </w:tc>
        <w:tc>
          <w:tcPr>
            <w:tcW w:w="2410" w:type="dxa"/>
          </w:tcPr>
          <w:p w14:paraId="31794451" w14:textId="77777777" w:rsidR="003A55BF" w:rsidRPr="003A55BF" w:rsidRDefault="003A55BF" w:rsidP="003A55BF">
            <w:pPr>
              <w:tabs>
                <w:tab w:val="left" w:pos="-142"/>
              </w:tabs>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16"/>
                <w:szCs w:val="16"/>
              </w:rPr>
            </w:pPr>
            <w:r w:rsidRPr="003A55BF">
              <w:rPr>
                <w:rFonts w:asciiTheme="minorHAnsi" w:eastAsia="Times New Roman" w:hAnsiTheme="minorHAnsi" w:cstheme="minorHAnsi"/>
                <w:color w:val="auto"/>
                <w:sz w:val="16"/>
                <w:szCs w:val="16"/>
              </w:rPr>
              <w:t>KPI Text</w:t>
            </w:r>
          </w:p>
        </w:tc>
        <w:tc>
          <w:tcPr>
            <w:tcW w:w="4252" w:type="dxa"/>
          </w:tcPr>
          <w:p w14:paraId="58349980" w14:textId="63734490" w:rsidR="003A55BF" w:rsidRPr="003A55BF" w:rsidRDefault="00D5531D" w:rsidP="003A55BF">
            <w:pPr>
              <w:tabs>
                <w:tab w:val="left" w:pos="80"/>
              </w:tabs>
              <w:cnfStyle w:val="100000000000" w:firstRow="1" w:lastRow="0" w:firstColumn="0" w:lastColumn="0" w:oddVBand="0" w:evenVBand="0" w:oddHBand="0" w:evenHBand="0" w:firstRowFirstColumn="0" w:firstRowLastColumn="0" w:lastRowFirstColumn="0" w:lastRowLastColumn="0"/>
              <w:rPr>
                <w:rFonts w:eastAsia="Times New Roman" w:cstheme="minorHAnsi"/>
                <w:sz w:val="16"/>
                <w:szCs w:val="16"/>
              </w:rPr>
            </w:pPr>
            <w:r>
              <w:rPr>
                <w:rFonts w:ascii="Lato-Bold" w:eastAsiaTheme="minorHAnsi" w:hAnsi="Lato-Bold" w:cstheme="minorBidi"/>
                <w:color w:val="242021"/>
                <w:sz w:val="16"/>
                <w:szCs w:val="16"/>
              </w:rPr>
              <w:t>R</w:t>
            </w:r>
            <w:r w:rsidR="003A55BF" w:rsidRPr="003A55BF">
              <w:rPr>
                <w:rFonts w:ascii="Lato-Bold" w:eastAsiaTheme="minorHAnsi" w:hAnsi="Lato-Bold" w:cstheme="minorBidi"/>
                <w:color w:val="242021"/>
                <w:sz w:val="16"/>
                <w:szCs w:val="16"/>
              </w:rPr>
              <w:t>ationale for collection of this KP</w:t>
            </w:r>
            <w:r>
              <w:rPr>
                <w:rFonts w:ascii="Lato-Bold" w:eastAsiaTheme="minorHAnsi" w:hAnsi="Lato-Bold" w:cstheme="minorBidi"/>
                <w:color w:val="242021"/>
                <w:sz w:val="16"/>
                <w:szCs w:val="16"/>
              </w:rPr>
              <w:t>I</w:t>
            </w:r>
          </w:p>
        </w:tc>
        <w:tc>
          <w:tcPr>
            <w:tcW w:w="2552" w:type="dxa"/>
          </w:tcPr>
          <w:p w14:paraId="143E9A6A" w14:textId="48A760AD" w:rsidR="003A55BF" w:rsidRPr="003A55BF" w:rsidRDefault="003A55BF" w:rsidP="003A55BF">
            <w:pPr>
              <w:tabs>
                <w:tab w:val="left" w:pos="80"/>
              </w:tabs>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16"/>
                <w:szCs w:val="16"/>
              </w:rPr>
            </w:pPr>
            <w:r w:rsidRPr="003A55BF">
              <w:rPr>
                <w:rFonts w:asciiTheme="minorHAnsi" w:eastAsia="Times New Roman" w:hAnsiTheme="minorHAnsi" w:cstheme="minorHAnsi"/>
                <w:color w:val="auto"/>
                <w:sz w:val="16"/>
                <w:szCs w:val="16"/>
              </w:rPr>
              <w:t>Potential benefits of data collection</w:t>
            </w:r>
          </w:p>
        </w:tc>
      </w:tr>
      <w:tr w:rsidR="003A55BF" w:rsidRPr="003A55BF" w14:paraId="3A94A8C7" w14:textId="77777777" w:rsidTr="00D5531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37C4C69D"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1</w:t>
            </w:r>
          </w:p>
        </w:tc>
        <w:tc>
          <w:tcPr>
            <w:tcW w:w="567" w:type="dxa"/>
            <w:noWrap/>
            <w:hideMark/>
          </w:tcPr>
          <w:p w14:paraId="13044416"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1</w:t>
            </w:r>
          </w:p>
        </w:tc>
        <w:tc>
          <w:tcPr>
            <w:tcW w:w="2410" w:type="dxa"/>
          </w:tcPr>
          <w:p w14:paraId="25B4CBAC"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The number of patients who died within 30 days of receiving any SACT treatment</w:t>
            </w:r>
          </w:p>
        </w:tc>
        <w:tc>
          <w:tcPr>
            <w:tcW w:w="4252" w:type="dxa"/>
          </w:tcPr>
          <w:p w14:paraId="475716BB" w14:textId="1A58393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Death within a short period after receipt of SACT can be</w:t>
            </w:r>
            <w:r>
              <w:rPr>
                <w:rFonts w:ascii="Calibri" w:hAnsi="Calibri" w:cs="Calibri"/>
                <w:sz w:val="16"/>
                <w:szCs w:val="16"/>
              </w:rPr>
              <w:t xml:space="preserve"> </w:t>
            </w:r>
            <w:r w:rsidRPr="00D5531D">
              <w:rPr>
                <w:rFonts w:ascii="Calibri" w:hAnsi="Calibri" w:cs="Calibri"/>
                <w:sz w:val="16"/>
                <w:szCs w:val="16"/>
              </w:rPr>
              <w:t>an indicator of futile aggressive treatment of patients,</w:t>
            </w:r>
            <w:r>
              <w:rPr>
                <w:rFonts w:ascii="Calibri" w:hAnsi="Calibri" w:cs="Calibri"/>
                <w:sz w:val="16"/>
                <w:szCs w:val="16"/>
              </w:rPr>
              <w:t xml:space="preserve"> </w:t>
            </w:r>
            <w:r w:rsidRPr="00D5531D">
              <w:rPr>
                <w:rFonts w:ascii="Calibri" w:hAnsi="Calibri" w:cs="Calibri"/>
                <w:sz w:val="16"/>
                <w:szCs w:val="16"/>
              </w:rPr>
              <w:t>leading to poor quality of life (Greer et al., 2013), toxicity</w:t>
            </w:r>
            <w:r>
              <w:rPr>
                <w:rFonts w:ascii="Calibri" w:hAnsi="Calibri" w:cs="Calibri"/>
                <w:sz w:val="16"/>
                <w:szCs w:val="16"/>
              </w:rPr>
              <w:t xml:space="preserve"> </w:t>
            </w:r>
            <w:r w:rsidRPr="00D5531D">
              <w:rPr>
                <w:rFonts w:ascii="Calibri" w:hAnsi="Calibri" w:cs="Calibri"/>
                <w:sz w:val="16"/>
                <w:szCs w:val="16"/>
              </w:rPr>
              <w:t>(Braga, 2011; NCEPOD, 2008), delayed access to hospice</w:t>
            </w:r>
            <w:r>
              <w:rPr>
                <w:rFonts w:ascii="Calibri" w:hAnsi="Calibri" w:cs="Calibri"/>
                <w:sz w:val="16"/>
                <w:szCs w:val="16"/>
              </w:rPr>
              <w:t xml:space="preserve"> </w:t>
            </w:r>
            <w:r w:rsidRPr="00D5531D">
              <w:rPr>
                <w:rFonts w:ascii="Calibri" w:hAnsi="Calibri" w:cs="Calibri"/>
                <w:sz w:val="16"/>
                <w:szCs w:val="16"/>
              </w:rPr>
              <w:t>care (Saito et al., 2011) and an impact on resources for</w:t>
            </w:r>
            <w:r>
              <w:rPr>
                <w:rFonts w:ascii="Calibri" w:hAnsi="Calibri" w:cs="Calibri"/>
                <w:sz w:val="16"/>
                <w:szCs w:val="16"/>
              </w:rPr>
              <w:t xml:space="preserve"> </w:t>
            </w:r>
            <w:r w:rsidRPr="00D5531D">
              <w:rPr>
                <w:rFonts w:ascii="Calibri" w:hAnsi="Calibri" w:cs="Calibri"/>
                <w:sz w:val="16"/>
                <w:szCs w:val="16"/>
              </w:rPr>
              <w:t>health services (</w:t>
            </w:r>
            <w:proofErr w:type="spellStart"/>
            <w:r w:rsidRPr="00D5531D">
              <w:rPr>
                <w:rFonts w:ascii="Calibri" w:hAnsi="Calibri" w:cs="Calibri"/>
                <w:sz w:val="16"/>
                <w:szCs w:val="16"/>
              </w:rPr>
              <w:t>Schnipper</w:t>
            </w:r>
            <w:proofErr w:type="spellEnd"/>
            <w:r w:rsidRPr="00D5531D">
              <w:rPr>
                <w:rFonts w:ascii="Calibri" w:hAnsi="Calibri" w:cs="Calibri"/>
                <w:sz w:val="16"/>
                <w:szCs w:val="16"/>
              </w:rPr>
              <w:t xml:space="preserve"> et al., 2012). It is estimated</w:t>
            </w:r>
            <w:r>
              <w:rPr>
                <w:rFonts w:ascii="Calibri" w:hAnsi="Calibri" w:cs="Calibri"/>
                <w:sz w:val="16"/>
                <w:szCs w:val="16"/>
              </w:rPr>
              <w:t xml:space="preserve"> </w:t>
            </w:r>
            <w:r w:rsidRPr="00D5531D">
              <w:rPr>
                <w:rFonts w:ascii="Calibri" w:hAnsi="Calibri" w:cs="Calibri"/>
                <w:sz w:val="16"/>
                <w:szCs w:val="16"/>
              </w:rPr>
              <w:t>that up to one fifth of cancer patients are treated with</w:t>
            </w:r>
            <w:r>
              <w:rPr>
                <w:rFonts w:ascii="Calibri" w:hAnsi="Calibri" w:cs="Calibri"/>
                <w:sz w:val="16"/>
                <w:szCs w:val="16"/>
              </w:rPr>
              <w:t xml:space="preserve"> </w:t>
            </w:r>
            <w:r w:rsidRPr="00D5531D">
              <w:rPr>
                <w:rFonts w:ascii="Calibri" w:hAnsi="Calibri" w:cs="Calibri"/>
                <w:sz w:val="16"/>
                <w:szCs w:val="16"/>
              </w:rPr>
              <w:t>chemotherapy in the last month of life without clear</w:t>
            </w:r>
            <w:r>
              <w:rPr>
                <w:rFonts w:ascii="Calibri" w:hAnsi="Calibri" w:cs="Calibri"/>
                <w:sz w:val="16"/>
                <w:szCs w:val="16"/>
              </w:rPr>
              <w:t xml:space="preserve"> </w:t>
            </w:r>
            <w:r w:rsidRPr="00D5531D">
              <w:rPr>
                <w:rFonts w:ascii="Calibri" w:hAnsi="Calibri" w:cs="Calibri"/>
                <w:sz w:val="16"/>
                <w:szCs w:val="16"/>
              </w:rPr>
              <w:t>benefits (Braga, 2011). One study of over 28,000</w:t>
            </w:r>
            <w:r>
              <w:rPr>
                <w:rFonts w:ascii="Calibri" w:hAnsi="Calibri" w:cs="Calibri"/>
                <w:sz w:val="16"/>
                <w:szCs w:val="16"/>
              </w:rPr>
              <w:t xml:space="preserve"> </w:t>
            </w:r>
            <w:r w:rsidRPr="00D5531D">
              <w:rPr>
                <w:rFonts w:ascii="Calibri" w:hAnsi="Calibri" w:cs="Calibri"/>
                <w:sz w:val="16"/>
                <w:szCs w:val="16"/>
              </w:rPr>
              <w:t>patients under the age of 65 with incurable cancer</w:t>
            </w:r>
            <w:r>
              <w:rPr>
                <w:rFonts w:ascii="Calibri" w:hAnsi="Calibri" w:cs="Calibri"/>
                <w:sz w:val="16"/>
                <w:szCs w:val="16"/>
              </w:rPr>
              <w:t xml:space="preserve"> </w:t>
            </w:r>
            <w:r w:rsidRPr="00D5531D">
              <w:rPr>
                <w:rFonts w:ascii="Calibri" w:hAnsi="Calibri" w:cs="Calibri"/>
                <w:sz w:val="16"/>
                <w:szCs w:val="16"/>
              </w:rPr>
              <w:t>found that 75% of them received aggressive cancer care</w:t>
            </w:r>
            <w:r>
              <w:rPr>
                <w:rFonts w:ascii="Calibri" w:hAnsi="Calibri" w:cs="Calibri"/>
                <w:sz w:val="16"/>
                <w:szCs w:val="16"/>
              </w:rPr>
              <w:t xml:space="preserve"> </w:t>
            </w:r>
            <w:r w:rsidRPr="00D5531D">
              <w:rPr>
                <w:rFonts w:ascii="Calibri" w:hAnsi="Calibri" w:cs="Calibri"/>
                <w:sz w:val="16"/>
                <w:szCs w:val="16"/>
              </w:rPr>
              <w:t>in the last 30 days of life (Chen et al., 2016). However,</w:t>
            </w:r>
          </w:p>
          <w:p w14:paraId="730FCF4F"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estimates of death shortly after SACT (1–2 months) are</w:t>
            </w:r>
          </w:p>
          <w:p w14:paraId="4090FF90"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variable, including 2% (n = 47,050) (NCEPOD, 2008), 4%</w:t>
            </w:r>
          </w:p>
          <w:p w14:paraId="15A90684"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(n = 31,183) (Khoja et al., 2015), 8% (n = 1,976) (O'Brien</w:t>
            </w:r>
          </w:p>
          <w:p w14:paraId="106BA935"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et al., 2006) and 23% (n = 374) (</w:t>
            </w:r>
            <w:proofErr w:type="spellStart"/>
            <w:r w:rsidRPr="00D5531D">
              <w:rPr>
                <w:rFonts w:ascii="Calibri" w:hAnsi="Calibri" w:cs="Calibri"/>
                <w:sz w:val="16"/>
                <w:szCs w:val="16"/>
              </w:rPr>
              <w:t>Näppä</w:t>
            </w:r>
            <w:proofErr w:type="spellEnd"/>
            <w:r w:rsidRPr="00D5531D">
              <w:rPr>
                <w:rFonts w:ascii="Calibri" w:hAnsi="Calibri" w:cs="Calibri"/>
                <w:sz w:val="16"/>
                <w:szCs w:val="16"/>
              </w:rPr>
              <w:t xml:space="preserve"> et al., 2011). Data</w:t>
            </w:r>
          </w:p>
          <w:p w14:paraId="0D471306"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on death within 14 and 30 days of SACT are collected in</w:t>
            </w:r>
          </w:p>
          <w:p w14:paraId="7AB18C91"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the US and UK, respectively (Neuss et al., 2005; The Royal</w:t>
            </w:r>
          </w:p>
          <w:p w14:paraId="086A8A25"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Marsden, 2015), and the inclusion of a quality measure on</w:t>
            </w:r>
          </w:p>
          <w:p w14:paraId="7A425D78"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death up to 60 days after SACT has been reported on in</w:t>
            </w:r>
          </w:p>
          <w:p w14:paraId="7322904D" w14:textId="5F08AEFE" w:rsidR="003A55BF"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the literature (Enright et al., 2017)</w:t>
            </w:r>
          </w:p>
        </w:tc>
        <w:tc>
          <w:tcPr>
            <w:tcW w:w="2552" w:type="dxa"/>
          </w:tcPr>
          <w:p w14:paraId="23F64A7F" w14:textId="74F1965E" w:rsidR="003A55BF" w:rsidRPr="003A55BF" w:rsidRDefault="003A55BF" w:rsidP="003A55BF">
            <w:pPr>
              <w:tabs>
                <w:tab w:val="left" w:pos="80"/>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Information about the quality and appropriateness of care in the time shortly before death.</w:t>
            </w:r>
          </w:p>
        </w:tc>
      </w:tr>
      <w:tr w:rsidR="003A55BF" w:rsidRPr="003A55BF" w14:paraId="3A78F032" w14:textId="77777777" w:rsidTr="00D5531D">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741BAE6F"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1</w:t>
            </w:r>
          </w:p>
        </w:tc>
        <w:tc>
          <w:tcPr>
            <w:tcW w:w="567" w:type="dxa"/>
            <w:noWrap/>
            <w:hideMark/>
          </w:tcPr>
          <w:p w14:paraId="64FFD7DA"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2</w:t>
            </w:r>
          </w:p>
        </w:tc>
        <w:tc>
          <w:tcPr>
            <w:tcW w:w="2410" w:type="dxa"/>
          </w:tcPr>
          <w:p w14:paraId="4608A607"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The proportion of patients starting a first-line SACT treatment regimen whose treatment was discussed at a multidisciplinary team meeting</w:t>
            </w:r>
          </w:p>
        </w:tc>
        <w:tc>
          <w:tcPr>
            <w:tcW w:w="4252" w:type="dxa"/>
          </w:tcPr>
          <w:p w14:paraId="0970B468"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MDMs facilitate communication, coordination and</w:t>
            </w:r>
          </w:p>
          <w:p w14:paraId="43C5A6D0"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decision-making amongst health professionals, resulting</w:t>
            </w:r>
          </w:p>
          <w:p w14:paraId="109D59C6"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in more consistent information for patients (</w:t>
            </w:r>
            <w:proofErr w:type="spellStart"/>
            <w:r w:rsidRPr="00D5531D">
              <w:rPr>
                <w:rFonts w:ascii="Calibri" w:hAnsi="Calibri" w:cs="Calibri"/>
                <w:sz w:val="16"/>
                <w:szCs w:val="16"/>
              </w:rPr>
              <w:t>Fleissig</w:t>
            </w:r>
            <w:proofErr w:type="spellEnd"/>
          </w:p>
          <w:p w14:paraId="7F89BD18"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et al., 2006), learning and development opportunities</w:t>
            </w:r>
          </w:p>
          <w:p w14:paraId="62283C73"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for health professionals (Taylor, 2010) and improved</w:t>
            </w:r>
          </w:p>
          <w:p w14:paraId="71D00363" w14:textId="6F8DC6ED" w:rsidR="003A55BF"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outcomes across a range of tumour types (Boxer</w:t>
            </w:r>
            <w:r>
              <w:rPr>
                <w:rFonts w:ascii="Calibri" w:hAnsi="Calibri" w:cs="Calibri"/>
                <w:sz w:val="16"/>
                <w:szCs w:val="16"/>
              </w:rPr>
              <w:t xml:space="preserve"> </w:t>
            </w:r>
            <w:r w:rsidRPr="00D5531D">
              <w:rPr>
                <w:rFonts w:ascii="Calibri" w:hAnsi="Calibri" w:cs="Calibri"/>
                <w:sz w:val="16"/>
                <w:szCs w:val="16"/>
              </w:rPr>
              <w:t xml:space="preserve">et al., 2011; </w:t>
            </w:r>
            <w:proofErr w:type="spellStart"/>
            <w:r w:rsidRPr="00D5531D">
              <w:rPr>
                <w:rFonts w:ascii="Calibri" w:hAnsi="Calibri" w:cs="Calibri"/>
                <w:sz w:val="16"/>
                <w:szCs w:val="16"/>
              </w:rPr>
              <w:t>Onukwugha</w:t>
            </w:r>
            <w:proofErr w:type="spellEnd"/>
            <w:r w:rsidRPr="00D5531D">
              <w:rPr>
                <w:rFonts w:ascii="Calibri" w:hAnsi="Calibri" w:cs="Calibri"/>
                <w:sz w:val="16"/>
                <w:szCs w:val="16"/>
              </w:rPr>
              <w:t xml:space="preserve"> et al., 2016)</w:t>
            </w:r>
          </w:p>
        </w:tc>
        <w:tc>
          <w:tcPr>
            <w:tcW w:w="2552" w:type="dxa"/>
          </w:tcPr>
          <w:p w14:paraId="54D64098" w14:textId="1006D96E" w:rsidR="003A55BF" w:rsidRPr="003A55BF" w:rsidRDefault="003A55BF" w:rsidP="003A55BF">
            <w:pPr>
              <w:tabs>
                <w:tab w:val="left" w:pos="80"/>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Identify deficiencies in MDM discussions, highlight the burden of MDM commitments on clinicians, contribute to clinical audit and highlight concerns regarding consistency and quality of treatment, which would ultimately benefit patient outcomes.</w:t>
            </w:r>
          </w:p>
        </w:tc>
      </w:tr>
      <w:tr w:rsidR="003A55BF" w:rsidRPr="003A55BF" w14:paraId="2C6E1EFE" w14:textId="77777777" w:rsidTr="00D5531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4CA373FF"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3</w:t>
            </w:r>
          </w:p>
        </w:tc>
        <w:tc>
          <w:tcPr>
            <w:tcW w:w="567" w:type="dxa"/>
            <w:noWrap/>
            <w:hideMark/>
          </w:tcPr>
          <w:p w14:paraId="35A5E291"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3</w:t>
            </w:r>
          </w:p>
        </w:tc>
        <w:tc>
          <w:tcPr>
            <w:tcW w:w="2410" w:type="dxa"/>
          </w:tcPr>
          <w:p w14:paraId="37F1A1DA"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Of patients on SACT with advanced cancer, the proportion who have their palliative care needs assessed</w:t>
            </w:r>
          </w:p>
        </w:tc>
        <w:tc>
          <w:tcPr>
            <w:tcW w:w="4252" w:type="dxa"/>
          </w:tcPr>
          <w:p w14:paraId="4B0ABEA8"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There is a growing awareness of the importance of</w:t>
            </w:r>
          </w:p>
          <w:p w14:paraId="7641078C"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palliative care, preservation of quality of life and</w:t>
            </w:r>
          </w:p>
          <w:p w14:paraId="37CB81DE"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symptom-directed care (Braga, 2011) but it is often</w:t>
            </w:r>
          </w:p>
          <w:p w14:paraId="1541ECCE"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incorrectly associated solely with end of life care (</w:t>
            </w:r>
            <w:proofErr w:type="spellStart"/>
            <w:r w:rsidRPr="00D5531D">
              <w:rPr>
                <w:rFonts w:ascii="Calibri" w:hAnsi="Calibri" w:cs="Calibri"/>
                <w:sz w:val="16"/>
                <w:szCs w:val="16"/>
              </w:rPr>
              <w:t>Bruera</w:t>
            </w:r>
            <w:proofErr w:type="spellEnd"/>
          </w:p>
          <w:p w14:paraId="1D26556F"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 xml:space="preserve">&amp; Hui, 2010; Smith et al., 2012; </w:t>
            </w:r>
            <w:proofErr w:type="spellStart"/>
            <w:r w:rsidRPr="00D5531D">
              <w:rPr>
                <w:rFonts w:ascii="Calibri" w:hAnsi="Calibri" w:cs="Calibri"/>
                <w:sz w:val="16"/>
                <w:szCs w:val="16"/>
              </w:rPr>
              <w:t>Wentlandt</w:t>
            </w:r>
            <w:proofErr w:type="spellEnd"/>
            <w:r w:rsidRPr="00D5531D">
              <w:rPr>
                <w:rFonts w:ascii="Calibri" w:hAnsi="Calibri" w:cs="Calibri"/>
                <w:sz w:val="16"/>
                <w:szCs w:val="16"/>
              </w:rPr>
              <w:t xml:space="preserve"> et al., 2012),</w:t>
            </w:r>
          </w:p>
          <w:p w14:paraId="62A83872"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which can act as a barrier to earlier referral (</w:t>
            </w:r>
            <w:proofErr w:type="spellStart"/>
            <w:r w:rsidRPr="00D5531D">
              <w:rPr>
                <w:rFonts w:ascii="Calibri" w:hAnsi="Calibri" w:cs="Calibri"/>
                <w:sz w:val="16"/>
                <w:szCs w:val="16"/>
              </w:rPr>
              <w:t>Carmo</w:t>
            </w:r>
            <w:proofErr w:type="spellEnd"/>
          </w:p>
          <w:p w14:paraId="6A8A654C"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et al., 2015). It is recommended that palliative care should</w:t>
            </w:r>
          </w:p>
          <w:p w14:paraId="5A5D066D"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be integrated into standard oncology practice when a</w:t>
            </w:r>
          </w:p>
          <w:p w14:paraId="3DCC5A11"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patient is diagnosed with metastatic or advanced cancer</w:t>
            </w:r>
          </w:p>
          <w:p w14:paraId="63A8092D"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or patients with high symptom burden (Smith et al., 2012).</w:t>
            </w:r>
          </w:p>
          <w:p w14:paraId="4074FCBB"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Patients are referred from SACT to palliative care at an</w:t>
            </w:r>
          </w:p>
          <w:p w14:paraId="3D24EE58" w14:textId="631075A9" w:rsidR="003A55BF"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average of 30–60 days before death (</w:t>
            </w:r>
            <w:proofErr w:type="spellStart"/>
            <w:r w:rsidRPr="00D5531D">
              <w:rPr>
                <w:rFonts w:ascii="Calibri" w:hAnsi="Calibri" w:cs="Calibri"/>
                <w:sz w:val="16"/>
                <w:szCs w:val="16"/>
              </w:rPr>
              <w:t>Bruera</w:t>
            </w:r>
            <w:proofErr w:type="spellEnd"/>
            <w:r w:rsidRPr="00D5531D">
              <w:rPr>
                <w:rFonts w:ascii="Calibri" w:hAnsi="Calibri" w:cs="Calibri"/>
                <w:sz w:val="16"/>
                <w:szCs w:val="16"/>
              </w:rPr>
              <w:t xml:space="preserve"> &amp; Hui, 2010)</w:t>
            </w:r>
          </w:p>
        </w:tc>
        <w:tc>
          <w:tcPr>
            <w:tcW w:w="2552" w:type="dxa"/>
          </w:tcPr>
          <w:p w14:paraId="4BDB057B" w14:textId="541ED02B" w:rsidR="003A55BF" w:rsidRPr="003A55BF" w:rsidRDefault="003A55BF" w:rsidP="003A55BF">
            <w:pPr>
              <w:tabs>
                <w:tab w:val="left" w:pos="80"/>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Highlight the importance of integrating SACT and palliative care.</w:t>
            </w:r>
          </w:p>
        </w:tc>
      </w:tr>
      <w:tr w:rsidR="003A55BF" w:rsidRPr="003A55BF" w14:paraId="5E45123A" w14:textId="77777777" w:rsidTr="00D5531D">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17A7D1EA"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lastRenderedPageBreak/>
              <w:t>4</w:t>
            </w:r>
          </w:p>
        </w:tc>
        <w:tc>
          <w:tcPr>
            <w:tcW w:w="567" w:type="dxa"/>
            <w:noWrap/>
            <w:hideMark/>
          </w:tcPr>
          <w:p w14:paraId="1C2CB71B"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4</w:t>
            </w:r>
          </w:p>
        </w:tc>
        <w:tc>
          <w:tcPr>
            <w:tcW w:w="2410" w:type="dxa"/>
          </w:tcPr>
          <w:p w14:paraId="7A794A04"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The proportion of SACT patients who received written details of their treatment plan and information about side effects specific to their treatment</w:t>
            </w:r>
          </w:p>
        </w:tc>
        <w:tc>
          <w:tcPr>
            <w:tcW w:w="4252" w:type="dxa"/>
          </w:tcPr>
          <w:p w14:paraId="2C742895" w14:textId="5E1F3D23"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P</w:t>
            </w:r>
            <w:r w:rsidRPr="00D5531D">
              <w:rPr>
                <w:rFonts w:ascii="Calibri" w:hAnsi="Calibri" w:cs="Calibri"/>
                <w:sz w:val="16"/>
                <w:szCs w:val="16"/>
              </w:rPr>
              <w:t>roviding information to patients about their condition has</w:t>
            </w:r>
          </w:p>
          <w:p w14:paraId="7F45A2B5"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a positive effect on emotional distress, feelings of control</w:t>
            </w:r>
          </w:p>
          <w:p w14:paraId="2D7FFE01"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(Mistry et al., 2010; Semple &amp; McGowan, 2002), their role</w:t>
            </w:r>
          </w:p>
          <w:p w14:paraId="224036C5"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in decision-making for their care and overall satisfaction</w:t>
            </w:r>
          </w:p>
          <w:p w14:paraId="1481E535"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with the care provided (Fitch &amp; McAndrew, 2011; Semple</w:t>
            </w:r>
          </w:p>
          <w:p w14:paraId="262536F9" w14:textId="5642DA39" w:rsidR="003A55BF"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&amp; McGowan, 2002)</w:t>
            </w:r>
          </w:p>
        </w:tc>
        <w:tc>
          <w:tcPr>
            <w:tcW w:w="2552" w:type="dxa"/>
          </w:tcPr>
          <w:p w14:paraId="1A197909" w14:textId="4CD86EF3" w:rsidR="003A55BF" w:rsidRPr="003A55BF" w:rsidRDefault="003A55BF" w:rsidP="003A55BF">
            <w:pPr>
              <w:tabs>
                <w:tab w:val="left" w:pos="80"/>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Assess whether this aspect of quality person-centred care is being provided.</w:t>
            </w:r>
          </w:p>
        </w:tc>
      </w:tr>
      <w:tr w:rsidR="003A55BF" w:rsidRPr="003A55BF" w14:paraId="373A563F" w14:textId="77777777" w:rsidTr="00D5531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1AD9319C"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5</w:t>
            </w:r>
          </w:p>
        </w:tc>
        <w:tc>
          <w:tcPr>
            <w:tcW w:w="567" w:type="dxa"/>
            <w:noWrap/>
            <w:hideMark/>
          </w:tcPr>
          <w:p w14:paraId="1950EECA"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5</w:t>
            </w:r>
          </w:p>
        </w:tc>
        <w:tc>
          <w:tcPr>
            <w:tcW w:w="2410" w:type="dxa"/>
          </w:tcPr>
          <w:p w14:paraId="50E568F0"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The percentage of all SACT patients who are admitted to hospital for Neutropenic sepsis at any point during treatment and/or within one month after completion of treatment</w:t>
            </w:r>
          </w:p>
        </w:tc>
        <w:tc>
          <w:tcPr>
            <w:tcW w:w="4252" w:type="dxa"/>
          </w:tcPr>
          <w:p w14:paraId="5515F2F7"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Neutropenic sepsis is a potentially fatal complication</w:t>
            </w:r>
          </w:p>
          <w:p w14:paraId="4616D9B4"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of systemic anti-cancer treatment. Incidence of</w:t>
            </w:r>
          </w:p>
          <w:p w14:paraId="75AA9E69"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chemotherapy-induced Neutropenic sepsis is 2%–13% of</w:t>
            </w:r>
          </w:p>
          <w:p w14:paraId="2D8C220C"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patients receiving SACT (Higgins &amp; Hill, 2012). Mortality</w:t>
            </w:r>
          </w:p>
          <w:p w14:paraId="74030298"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rates from Neutropenic sepsis are estimated at 2%–21%</w:t>
            </w:r>
          </w:p>
          <w:p w14:paraId="1FCBF506" w14:textId="32877210" w:rsidR="003A55BF"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w:t>
            </w:r>
            <w:proofErr w:type="spellStart"/>
            <w:r w:rsidRPr="00D5531D">
              <w:rPr>
                <w:rFonts w:ascii="Calibri" w:hAnsi="Calibri" w:cs="Calibri"/>
                <w:sz w:val="16"/>
                <w:szCs w:val="16"/>
              </w:rPr>
              <w:t>Kuderer</w:t>
            </w:r>
            <w:proofErr w:type="spellEnd"/>
            <w:r w:rsidRPr="00D5531D">
              <w:rPr>
                <w:rFonts w:ascii="Calibri" w:hAnsi="Calibri" w:cs="Calibri"/>
                <w:sz w:val="16"/>
                <w:szCs w:val="16"/>
              </w:rPr>
              <w:t xml:space="preserve"> et al., 2006)</w:t>
            </w:r>
          </w:p>
        </w:tc>
        <w:tc>
          <w:tcPr>
            <w:tcW w:w="2552" w:type="dxa"/>
          </w:tcPr>
          <w:p w14:paraId="0BF7A9D0" w14:textId="7CBAA800" w:rsidR="003A55BF" w:rsidRPr="003A55BF" w:rsidRDefault="003A55BF" w:rsidP="003A55BF">
            <w:pPr>
              <w:tabs>
                <w:tab w:val="left" w:pos="80"/>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Identify problems with the management of Neutropenic sepsis, such as urgent assessment, urgent treatment and avoidable deaths and inform improved patient care.</w:t>
            </w:r>
          </w:p>
        </w:tc>
      </w:tr>
      <w:tr w:rsidR="003A55BF" w:rsidRPr="003A55BF" w14:paraId="4A21CC87" w14:textId="77777777" w:rsidTr="00D5531D">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540B85E1"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6</w:t>
            </w:r>
          </w:p>
        </w:tc>
        <w:tc>
          <w:tcPr>
            <w:tcW w:w="567" w:type="dxa"/>
            <w:noWrap/>
            <w:hideMark/>
          </w:tcPr>
          <w:p w14:paraId="591BDE28"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6</w:t>
            </w:r>
          </w:p>
        </w:tc>
        <w:tc>
          <w:tcPr>
            <w:tcW w:w="2410" w:type="dxa"/>
          </w:tcPr>
          <w:p w14:paraId="1D268112"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 xml:space="preserve">The number of reported medication errors for SACT treatment for </w:t>
            </w:r>
            <w:proofErr w:type="spellStart"/>
            <w:r w:rsidRPr="003A55BF">
              <w:rPr>
                <w:rFonts w:asciiTheme="minorHAnsi" w:eastAsia="Times New Roman" w:hAnsiTheme="minorHAnsi" w:cstheme="minorHAnsi"/>
                <w:sz w:val="16"/>
                <w:szCs w:val="16"/>
              </w:rPr>
              <w:t>i</w:t>
            </w:r>
            <w:proofErr w:type="spellEnd"/>
            <w:r w:rsidRPr="003A55BF">
              <w:rPr>
                <w:rFonts w:asciiTheme="minorHAnsi" w:eastAsia="Times New Roman" w:hAnsiTheme="minorHAnsi" w:cstheme="minorHAnsi"/>
                <w:sz w:val="16"/>
                <w:szCs w:val="16"/>
              </w:rPr>
              <w:t>) oral chemotherapy, ii) IV, iii) subcutaneous, iv) intrathecal etc.</w:t>
            </w:r>
          </w:p>
        </w:tc>
        <w:tc>
          <w:tcPr>
            <w:tcW w:w="4252" w:type="dxa"/>
          </w:tcPr>
          <w:p w14:paraId="757BCB8C" w14:textId="77777777" w:rsidR="00D5531D"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In the United States, approximately 98,000 people die each</w:t>
            </w:r>
          </w:p>
          <w:p w14:paraId="4B7A5D90" w14:textId="293CAF20" w:rsidR="003A55BF" w:rsidRPr="00D5531D" w:rsidRDefault="00D5531D" w:rsidP="00D5531D">
            <w:pPr>
              <w:tabs>
                <w:tab w:val="left" w:pos="80"/>
              </w:tabs>
              <w:cnfStyle w:val="000000010000" w:firstRow="0" w:lastRow="0" w:firstColumn="0" w:lastColumn="0" w:oddVBand="0" w:evenVBand="0" w:oddHBand="0" w:evenHBand="1" w:firstRowFirstColumn="0" w:firstRowLastColumn="0" w:lastRowFirstColumn="0" w:lastRowLastColumn="0"/>
              <w:rPr>
                <w:rFonts w:ascii="Calibri" w:hAnsi="Calibri" w:cs="Calibri"/>
                <w:sz w:val="16"/>
                <w:szCs w:val="16"/>
              </w:rPr>
            </w:pPr>
            <w:r w:rsidRPr="00D5531D">
              <w:rPr>
                <w:rFonts w:ascii="Calibri" w:hAnsi="Calibri" w:cs="Calibri"/>
                <w:sz w:val="16"/>
                <w:szCs w:val="16"/>
              </w:rPr>
              <w:t>year due to medical errors (Kullberg et al., 2013)</w:t>
            </w:r>
          </w:p>
        </w:tc>
        <w:tc>
          <w:tcPr>
            <w:tcW w:w="2552" w:type="dxa"/>
          </w:tcPr>
          <w:p w14:paraId="69324F87" w14:textId="6E83A5BE" w:rsidR="003A55BF" w:rsidRPr="003A55BF" w:rsidRDefault="003A55BF" w:rsidP="003A55BF">
            <w:pPr>
              <w:tabs>
                <w:tab w:val="left" w:pos="80"/>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Identify existing and potential patient safety concerns with the SACT service.</w:t>
            </w:r>
          </w:p>
        </w:tc>
      </w:tr>
      <w:tr w:rsidR="003A55BF" w:rsidRPr="003A55BF" w14:paraId="13CC2D6F" w14:textId="77777777" w:rsidTr="00D5531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0DB032C2"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6</w:t>
            </w:r>
          </w:p>
        </w:tc>
        <w:tc>
          <w:tcPr>
            <w:tcW w:w="567" w:type="dxa"/>
            <w:noWrap/>
            <w:hideMark/>
          </w:tcPr>
          <w:p w14:paraId="3B97FC8A"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7</w:t>
            </w:r>
          </w:p>
        </w:tc>
        <w:tc>
          <w:tcPr>
            <w:tcW w:w="2410" w:type="dxa"/>
          </w:tcPr>
          <w:p w14:paraId="50C01F96" w14:textId="77777777" w:rsidR="003A55BF" w:rsidRPr="003A55BF" w:rsidRDefault="003A55BF" w:rsidP="003A55BF">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For patients referred for adjuvant treatment, the time from surgery to commencement of SACT, by tumour type</w:t>
            </w:r>
          </w:p>
        </w:tc>
        <w:tc>
          <w:tcPr>
            <w:tcW w:w="4252" w:type="dxa"/>
          </w:tcPr>
          <w:p w14:paraId="539B6A81"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Delays between surgery and adjuvant SACT have been</w:t>
            </w:r>
          </w:p>
          <w:p w14:paraId="0C51B042"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associated with worse overall survival in colorectal</w:t>
            </w:r>
          </w:p>
          <w:p w14:paraId="34E37BD7"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cancer (</w:t>
            </w:r>
            <w:proofErr w:type="spellStart"/>
            <w:r w:rsidRPr="00D5531D">
              <w:rPr>
                <w:rFonts w:ascii="Calibri" w:hAnsi="Calibri" w:cs="Calibri"/>
                <w:sz w:val="16"/>
                <w:szCs w:val="16"/>
              </w:rPr>
              <w:t>Biagi</w:t>
            </w:r>
            <w:proofErr w:type="spellEnd"/>
            <w:r w:rsidRPr="00D5531D">
              <w:rPr>
                <w:rFonts w:ascii="Calibri" w:hAnsi="Calibri" w:cs="Calibri"/>
                <w:sz w:val="16"/>
                <w:szCs w:val="16"/>
              </w:rPr>
              <w:t xml:space="preserve"> et al., 2011; Day, 2012; Des </w:t>
            </w:r>
            <w:proofErr w:type="spellStart"/>
            <w:r w:rsidRPr="00D5531D">
              <w:rPr>
                <w:rFonts w:ascii="Calibri" w:hAnsi="Calibri" w:cs="Calibri"/>
                <w:sz w:val="16"/>
                <w:szCs w:val="16"/>
              </w:rPr>
              <w:t>Guetz</w:t>
            </w:r>
            <w:proofErr w:type="spellEnd"/>
          </w:p>
          <w:p w14:paraId="1612B2DC"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et al., 2010), poorer disease-specific outcomes in breast</w:t>
            </w:r>
          </w:p>
          <w:p w14:paraId="66646DE6"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cancer (</w:t>
            </w:r>
            <w:proofErr w:type="spellStart"/>
            <w:r w:rsidRPr="00D5531D">
              <w:rPr>
                <w:rFonts w:ascii="Calibri" w:hAnsi="Calibri" w:cs="Calibri"/>
                <w:sz w:val="16"/>
                <w:szCs w:val="16"/>
              </w:rPr>
              <w:t>Gagliato</w:t>
            </w:r>
            <w:proofErr w:type="spellEnd"/>
            <w:r w:rsidRPr="00D5531D">
              <w:rPr>
                <w:rFonts w:ascii="Calibri" w:hAnsi="Calibri" w:cs="Calibri"/>
                <w:sz w:val="16"/>
                <w:szCs w:val="16"/>
              </w:rPr>
              <w:t xml:space="preserve"> et al., 2014; Vandergrift et al., 2013),</w:t>
            </w:r>
          </w:p>
          <w:p w14:paraId="35D8F170"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poorer overall survival in advanced serous ovarian</w:t>
            </w:r>
          </w:p>
          <w:p w14:paraId="5EB32A34"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cancer (Hofstetter et al., 2013) and poorer outcomes</w:t>
            </w:r>
          </w:p>
          <w:p w14:paraId="1A6708E6"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in pancreatic cancer (Murakami et al., 2013). Reasons</w:t>
            </w:r>
          </w:p>
          <w:p w14:paraId="7DCD2AA1"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for delays to SACT treatment following surgery include</w:t>
            </w:r>
          </w:p>
          <w:p w14:paraId="42E962D7"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post-operative complications, delays with healing</w:t>
            </w:r>
          </w:p>
          <w:p w14:paraId="0E81B1CB"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following surgery, patient choice and/or adherence</w:t>
            </w:r>
          </w:p>
          <w:p w14:paraId="208E6A80"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 xml:space="preserve">(Des </w:t>
            </w:r>
            <w:proofErr w:type="spellStart"/>
            <w:r w:rsidRPr="00D5531D">
              <w:rPr>
                <w:rFonts w:ascii="Calibri" w:hAnsi="Calibri" w:cs="Calibri"/>
                <w:sz w:val="16"/>
                <w:szCs w:val="16"/>
              </w:rPr>
              <w:t>Guetz</w:t>
            </w:r>
            <w:proofErr w:type="spellEnd"/>
            <w:r w:rsidRPr="00D5531D">
              <w:rPr>
                <w:rFonts w:ascii="Calibri" w:hAnsi="Calibri" w:cs="Calibri"/>
                <w:sz w:val="16"/>
                <w:szCs w:val="16"/>
              </w:rPr>
              <w:t xml:space="preserve"> et al., 2010). However, such delays may also</w:t>
            </w:r>
          </w:p>
          <w:p w14:paraId="12987B5B"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point to decreased pre-operative performance status,</w:t>
            </w:r>
          </w:p>
          <w:p w14:paraId="7EC11724"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particularly in patients with advanced cancer and/or comorbidities and may also highlight process issues with the</w:t>
            </w:r>
          </w:p>
          <w:p w14:paraId="50A1AC0D"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management of the service, including delays in referrals,</w:t>
            </w:r>
          </w:p>
          <w:p w14:paraId="65523ED2" w14:textId="77777777" w:rsidR="00D5531D"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pathology reports, consultations and imaging capacity</w:t>
            </w:r>
          </w:p>
          <w:p w14:paraId="102E9EA3" w14:textId="1F40DECD" w:rsidR="003A55BF" w:rsidRPr="00D5531D"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5531D">
              <w:rPr>
                <w:rFonts w:ascii="Calibri" w:hAnsi="Calibri" w:cs="Calibri"/>
                <w:sz w:val="16"/>
                <w:szCs w:val="16"/>
              </w:rPr>
              <w:t xml:space="preserve">(Des </w:t>
            </w:r>
            <w:proofErr w:type="spellStart"/>
            <w:r w:rsidRPr="00D5531D">
              <w:rPr>
                <w:rFonts w:ascii="Calibri" w:hAnsi="Calibri" w:cs="Calibri"/>
                <w:sz w:val="16"/>
                <w:szCs w:val="16"/>
              </w:rPr>
              <w:t>Guetz</w:t>
            </w:r>
            <w:proofErr w:type="spellEnd"/>
            <w:r w:rsidRPr="00D5531D">
              <w:rPr>
                <w:rFonts w:ascii="Calibri" w:hAnsi="Calibri" w:cs="Calibri"/>
                <w:sz w:val="16"/>
                <w:szCs w:val="16"/>
              </w:rPr>
              <w:t xml:space="preserve"> et al., 2010)</w:t>
            </w:r>
          </w:p>
        </w:tc>
        <w:tc>
          <w:tcPr>
            <w:tcW w:w="2552" w:type="dxa"/>
          </w:tcPr>
          <w:p w14:paraId="75889515" w14:textId="30643AC0" w:rsidR="003A55BF" w:rsidRPr="003A55BF" w:rsidRDefault="003A55BF" w:rsidP="003A55BF">
            <w:pPr>
              <w:tabs>
                <w:tab w:val="left" w:pos="80"/>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Identify problems in the patient pathway that can lead to delays in treatment.</w:t>
            </w:r>
          </w:p>
        </w:tc>
      </w:tr>
      <w:tr w:rsidR="003A55BF" w:rsidRPr="003A55BF" w14:paraId="0FD95AEA" w14:textId="77777777" w:rsidTr="00D5531D">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1AF7B6E5" w14:textId="77777777" w:rsidR="003A55BF" w:rsidRPr="003A55BF" w:rsidRDefault="003A55BF" w:rsidP="003A55BF">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8</w:t>
            </w:r>
          </w:p>
        </w:tc>
        <w:tc>
          <w:tcPr>
            <w:tcW w:w="567" w:type="dxa"/>
            <w:noWrap/>
            <w:hideMark/>
          </w:tcPr>
          <w:p w14:paraId="2C30322E"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8</w:t>
            </w:r>
          </w:p>
        </w:tc>
        <w:tc>
          <w:tcPr>
            <w:tcW w:w="2410" w:type="dxa"/>
          </w:tcPr>
          <w:p w14:paraId="5001D106" w14:textId="77777777" w:rsidR="003A55BF" w:rsidRPr="003A55BF" w:rsidRDefault="003A55BF" w:rsidP="003A55BF">
            <w:pPr>
              <w:tabs>
                <w:tab w:val="left" w:pos="-142"/>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i/>
                <w:sz w:val="16"/>
                <w:szCs w:val="16"/>
              </w:rPr>
            </w:pPr>
            <w:r w:rsidRPr="003A55BF">
              <w:rPr>
                <w:rFonts w:asciiTheme="minorHAnsi" w:eastAsia="Times New Roman" w:hAnsiTheme="minorHAnsi" w:cstheme="minorHAnsi"/>
                <w:sz w:val="16"/>
                <w:szCs w:val="16"/>
              </w:rPr>
              <w:t xml:space="preserve">Of the patients who received SACT in the hospital in the previous X period, the proportion who died as a result of Neutropenic sepsis.  </w:t>
            </w:r>
            <w:r w:rsidRPr="003A55BF">
              <w:rPr>
                <w:rFonts w:asciiTheme="minorHAnsi" w:eastAsia="Times New Roman" w:hAnsiTheme="minorHAnsi" w:cstheme="minorHAnsi"/>
                <w:i/>
                <w:sz w:val="16"/>
                <w:szCs w:val="16"/>
              </w:rPr>
              <w:t>(Period to be defined)</w:t>
            </w:r>
          </w:p>
        </w:tc>
        <w:tc>
          <w:tcPr>
            <w:tcW w:w="4252" w:type="dxa"/>
          </w:tcPr>
          <w:p w14:paraId="7AACD117" w14:textId="5079EF5D" w:rsidR="003A55BF" w:rsidRPr="00D5531D" w:rsidRDefault="00D5531D" w:rsidP="003A55BF">
            <w:pPr>
              <w:tabs>
                <w:tab w:val="left" w:pos="80"/>
              </w:tabs>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16"/>
                <w:szCs w:val="16"/>
              </w:rPr>
            </w:pPr>
            <w:r w:rsidRPr="00D5531D">
              <w:rPr>
                <w:rFonts w:asciiTheme="minorHAnsi" w:eastAsiaTheme="minorHAnsi" w:hAnsiTheme="minorHAnsi" w:cstheme="minorHAnsi"/>
                <w:color w:val="242021"/>
                <w:sz w:val="16"/>
                <w:szCs w:val="16"/>
              </w:rPr>
              <w:t>As indicated above in relation to KPI 5</w:t>
            </w:r>
          </w:p>
        </w:tc>
        <w:tc>
          <w:tcPr>
            <w:tcW w:w="2552" w:type="dxa"/>
          </w:tcPr>
          <w:p w14:paraId="70BCA380" w14:textId="6788803F" w:rsidR="003A55BF" w:rsidRPr="003A55BF" w:rsidRDefault="003A55BF" w:rsidP="003A55BF">
            <w:pPr>
              <w:tabs>
                <w:tab w:val="left" w:pos="80"/>
              </w:tabs>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Identify problems with the management of Neutropenic sepsis, such as urgent assessment, urgent treatment and avoidable deaths and inform improved patient care.</w:t>
            </w:r>
          </w:p>
        </w:tc>
      </w:tr>
      <w:tr w:rsidR="00D5531D" w:rsidRPr="003A55BF" w14:paraId="51C2817C" w14:textId="77777777" w:rsidTr="00D5531D">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75" w:type="dxa"/>
          </w:tcPr>
          <w:p w14:paraId="20818EC3" w14:textId="77777777" w:rsidR="00D5531D" w:rsidRPr="003A55BF" w:rsidRDefault="00D5531D" w:rsidP="00D5531D">
            <w:pPr>
              <w:tabs>
                <w:tab w:val="left" w:pos="-142"/>
              </w:tabs>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8</w:t>
            </w:r>
          </w:p>
        </w:tc>
        <w:tc>
          <w:tcPr>
            <w:tcW w:w="567" w:type="dxa"/>
            <w:noWrap/>
            <w:hideMark/>
          </w:tcPr>
          <w:p w14:paraId="254E9AD2" w14:textId="77777777" w:rsidR="00D5531D" w:rsidRPr="003A55BF" w:rsidRDefault="00D5531D" w:rsidP="00D5531D">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9</w:t>
            </w:r>
          </w:p>
        </w:tc>
        <w:tc>
          <w:tcPr>
            <w:tcW w:w="2410" w:type="dxa"/>
          </w:tcPr>
          <w:p w14:paraId="539624CF" w14:textId="77777777" w:rsidR="00D5531D" w:rsidRPr="003A55BF" w:rsidRDefault="00D5531D" w:rsidP="00D5531D">
            <w:pPr>
              <w:tabs>
                <w:tab w:val="left" w:pos="-142"/>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eastAsia="Times New Roman" w:hAnsiTheme="minorHAnsi" w:cstheme="minorHAnsi"/>
                <w:sz w:val="16"/>
                <w:szCs w:val="16"/>
              </w:rPr>
              <w:t xml:space="preserve">Of the patients who died within 30 days of receiving SACT, the proportion of patients for whom treatment intent was </w:t>
            </w:r>
            <w:proofErr w:type="spellStart"/>
            <w:r w:rsidRPr="003A55BF">
              <w:rPr>
                <w:rFonts w:asciiTheme="minorHAnsi" w:eastAsia="Times New Roman" w:hAnsiTheme="minorHAnsi" w:cstheme="minorHAnsi"/>
                <w:sz w:val="16"/>
                <w:szCs w:val="16"/>
              </w:rPr>
              <w:t>i</w:t>
            </w:r>
            <w:proofErr w:type="spellEnd"/>
            <w:r w:rsidRPr="003A55BF">
              <w:rPr>
                <w:rFonts w:asciiTheme="minorHAnsi" w:eastAsia="Times New Roman" w:hAnsiTheme="minorHAnsi" w:cstheme="minorHAnsi"/>
                <w:sz w:val="16"/>
                <w:szCs w:val="16"/>
              </w:rPr>
              <w:t>) curative or ii) palliative</w:t>
            </w:r>
          </w:p>
        </w:tc>
        <w:tc>
          <w:tcPr>
            <w:tcW w:w="4252" w:type="dxa"/>
          </w:tcPr>
          <w:p w14:paraId="395233B2" w14:textId="6E1C8737" w:rsidR="00D5531D" w:rsidRPr="003A55BF"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D5531D">
              <w:rPr>
                <w:rFonts w:asciiTheme="minorHAnsi" w:eastAsiaTheme="minorHAnsi" w:hAnsiTheme="minorHAnsi" w:cstheme="minorHAnsi"/>
                <w:color w:val="242021"/>
                <w:sz w:val="16"/>
                <w:szCs w:val="16"/>
              </w:rPr>
              <w:t xml:space="preserve">As indicated above in relation to KPI </w:t>
            </w:r>
            <w:r>
              <w:rPr>
                <w:rFonts w:asciiTheme="minorHAnsi" w:eastAsiaTheme="minorHAnsi" w:hAnsiTheme="minorHAnsi" w:cstheme="minorHAnsi"/>
                <w:color w:val="242021"/>
                <w:sz w:val="16"/>
                <w:szCs w:val="16"/>
              </w:rPr>
              <w:t>1</w:t>
            </w:r>
          </w:p>
        </w:tc>
        <w:tc>
          <w:tcPr>
            <w:tcW w:w="2552" w:type="dxa"/>
          </w:tcPr>
          <w:p w14:paraId="420EEDB8" w14:textId="52DE6840" w:rsidR="00D5531D" w:rsidRPr="003A55BF" w:rsidRDefault="00D5531D" w:rsidP="00D5531D">
            <w:pPr>
              <w:tabs>
                <w:tab w:val="left" w:pos="80"/>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6"/>
                <w:szCs w:val="16"/>
              </w:rPr>
            </w:pPr>
            <w:r w:rsidRPr="003A55BF">
              <w:rPr>
                <w:rFonts w:asciiTheme="minorHAnsi" w:hAnsiTheme="minorHAnsi" w:cstheme="minorHAnsi"/>
                <w:sz w:val="16"/>
                <w:szCs w:val="16"/>
              </w:rPr>
              <w:t>Information about the quality and appropriateness of care in the time shortly before death.</w:t>
            </w:r>
          </w:p>
        </w:tc>
      </w:tr>
    </w:tbl>
    <w:p w14:paraId="2DEE637D" w14:textId="77777777" w:rsidR="003A55BF" w:rsidRPr="003A55BF" w:rsidRDefault="003A55BF" w:rsidP="003A55BF">
      <w:pPr>
        <w:spacing w:after="0" w:line="240" w:lineRule="auto"/>
        <w:rPr>
          <w:rFonts w:cstheme="minorHAnsi"/>
          <w:sz w:val="20"/>
          <w:szCs w:val="20"/>
        </w:rPr>
      </w:pPr>
    </w:p>
    <w:p w14:paraId="2D6B8C67" w14:textId="77777777" w:rsidR="003A55BF" w:rsidRPr="003A55BF" w:rsidRDefault="003A55BF" w:rsidP="003A55BF">
      <w:pPr>
        <w:spacing w:after="0" w:line="240" w:lineRule="auto"/>
        <w:rPr>
          <w:rFonts w:cstheme="minorHAnsi"/>
          <w:sz w:val="20"/>
          <w:szCs w:val="20"/>
        </w:rPr>
      </w:pPr>
      <w:bookmarkStart w:id="4" w:name="_Toc333404639"/>
      <w:r w:rsidRPr="003A55BF">
        <w:rPr>
          <w:rFonts w:cstheme="minorHAnsi"/>
          <w:sz w:val="20"/>
          <w:szCs w:val="20"/>
        </w:rPr>
        <w:br w:type="page"/>
      </w:r>
    </w:p>
    <w:p w14:paraId="11F604AB" w14:textId="77777777" w:rsidR="003A55BF" w:rsidRPr="003A55BF" w:rsidRDefault="003A55BF" w:rsidP="003A55BF">
      <w:pPr>
        <w:rPr>
          <w:rFonts w:cstheme="minorHAnsi"/>
          <w:sz w:val="20"/>
          <w:szCs w:val="20"/>
        </w:rPr>
      </w:pPr>
      <w:r w:rsidRPr="003A55BF">
        <w:rPr>
          <w:rFonts w:cstheme="minorHAnsi"/>
          <w:sz w:val="20"/>
          <w:szCs w:val="20"/>
        </w:rPr>
        <w:lastRenderedPageBreak/>
        <w:t>Table 4. Ratings for validity, reliability, acceptability and feasibility for prioritised KPIs</w:t>
      </w:r>
      <w:bookmarkEnd w:id="4"/>
    </w:p>
    <w:tbl>
      <w:tblPr>
        <w:tblStyle w:val="MediumShading1-Accent1"/>
        <w:tblW w:w="0" w:type="auto"/>
        <w:tblLook w:val="04A0" w:firstRow="1" w:lastRow="0" w:firstColumn="1" w:lastColumn="0" w:noHBand="0" w:noVBand="1"/>
      </w:tblPr>
      <w:tblGrid>
        <w:gridCol w:w="908"/>
        <w:gridCol w:w="839"/>
        <w:gridCol w:w="722"/>
        <w:gridCol w:w="839"/>
        <w:gridCol w:w="720"/>
        <w:gridCol w:w="839"/>
        <w:gridCol w:w="725"/>
        <w:gridCol w:w="839"/>
        <w:gridCol w:w="721"/>
      </w:tblGrid>
      <w:tr w:rsidR="003A55BF" w:rsidRPr="003A55BF" w14:paraId="3A29C881" w14:textId="77777777" w:rsidTr="003A5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261DBEE8"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hAnsiTheme="minorHAnsi" w:cstheme="minorHAnsi"/>
                <w:sz w:val="20"/>
                <w:szCs w:val="20"/>
              </w:rPr>
              <w:t>KPI Number</w:t>
            </w:r>
          </w:p>
        </w:tc>
        <w:tc>
          <w:tcPr>
            <w:tcW w:w="1529" w:type="dxa"/>
            <w:gridSpan w:val="2"/>
          </w:tcPr>
          <w:p w14:paraId="5E319941"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Validity</w:t>
            </w:r>
          </w:p>
        </w:tc>
        <w:tc>
          <w:tcPr>
            <w:tcW w:w="1527" w:type="dxa"/>
            <w:gridSpan w:val="2"/>
          </w:tcPr>
          <w:p w14:paraId="2FD13DB0"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Reliability</w:t>
            </w:r>
          </w:p>
        </w:tc>
        <w:tc>
          <w:tcPr>
            <w:tcW w:w="1532" w:type="dxa"/>
            <w:gridSpan w:val="2"/>
          </w:tcPr>
          <w:p w14:paraId="09385212"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Acceptability</w:t>
            </w:r>
          </w:p>
        </w:tc>
        <w:tc>
          <w:tcPr>
            <w:tcW w:w="1528" w:type="dxa"/>
            <w:gridSpan w:val="2"/>
          </w:tcPr>
          <w:p w14:paraId="50B13ACE" w14:textId="77777777" w:rsidR="003A55BF" w:rsidRPr="003A55BF" w:rsidRDefault="003A55BF" w:rsidP="003A55B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Feasibility</w:t>
            </w:r>
          </w:p>
        </w:tc>
      </w:tr>
      <w:tr w:rsidR="003A55BF" w:rsidRPr="003A55BF" w14:paraId="6F254DEB"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6FFDC444" w14:textId="77777777" w:rsidR="003A55BF" w:rsidRPr="003A55BF" w:rsidRDefault="003A55BF" w:rsidP="003A55BF">
            <w:pPr>
              <w:tabs>
                <w:tab w:val="left" w:pos="-142"/>
              </w:tabs>
              <w:rPr>
                <w:rFonts w:asciiTheme="minorHAnsi" w:eastAsia="Times New Roman" w:hAnsiTheme="minorHAnsi" w:cstheme="minorHAnsi"/>
                <w:sz w:val="20"/>
                <w:szCs w:val="20"/>
              </w:rPr>
            </w:pPr>
          </w:p>
        </w:tc>
        <w:tc>
          <w:tcPr>
            <w:tcW w:w="807" w:type="dxa"/>
          </w:tcPr>
          <w:p w14:paraId="755F68E0"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722" w:type="dxa"/>
            <w:tcBorders>
              <w:right w:val="single" w:sz="8" w:space="0" w:color="7BA0CD" w:themeColor="accent1" w:themeTint="BF"/>
            </w:tcBorders>
          </w:tcPr>
          <w:p w14:paraId="68474319"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c>
          <w:tcPr>
            <w:tcW w:w="807" w:type="dxa"/>
            <w:tcBorders>
              <w:left w:val="single" w:sz="8" w:space="0" w:color="7BA0CD" w:themeColor="accent1" w:themeTint="BF"/>
            </w:tcBorders>
          </w:tcPr>
          <w:p w14:paraId="10E5FB50"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720" w:type="dxa"/>
            <w:tcBorders>
              <w:right w:val="single" w:sz="8" w:space="0" w:color="7BA0CD" w:themeColor="accent1" w:themeTint="BF"/>
            </w:tcBorders>
          </w:tcPr>
          <w:p w14:paraId="61E6EEBF"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c>
          <w:tcPr>
            <w:tcW w:w="807" w:type="dxa"/>
            <w:tcBorders>
              <w:left w:val="single" w:sz="8" w:space="0" w:color="7BA0CD" w:themeColor="accent1" w:themeTint="BF"/>
            </w:tcBorders>
          </w:tcPr>
          <w:p w14:paraId="7362088C"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725" w:type="dxa"/>
            <w:tcBorders>
              <w:right w:val="single" w:sz="8" w:space="0" w:color="7BA0CD" w:themeColor="accent1" w:themeTint="BF"/>
            </w:tcBorders>
          </w:tcPr>
          <w:p w14:paraId="12EEEA0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c>
          <w:tcPr>
            <w:tcW w:w="807" w:type="dxa"/>
            <w:tcBorders>
              <w:left w:val="single" w:sz="8" w:space="0" w:color="7BA0CD" w:themeColor="accent1" w:themeTint="BF"/>
            </w:tcBorders>
          </w:tcPr>
          <w:p w14:paraId="72950274"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Median</w:t>
            </w:r>
          </w:p>
        </w:tc>
        <w:tc>
          <w:tcPr>
            <w:tcW w:w="721" w:type="dxa"/>
          </w:tcPr>
          <w:p w14:paraId="598C1C44"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IQR</w:t>
            </w:r>
          </w:p>
        </w:tc>
      </w:tr>
      <w:tr w:rsidR="003A55BF" w:rsidRPr="003A55BF" w14:paraId="590FB424"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052B1BD2"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1</w:t>
            </w:r>
          </w:p>
        </w:tc>
        <w:tc>
          <w:tcPr>
            <w:tcW w:w="807" w:type="dxa"/>
          </w:tcPr>
          <w:p w14:paraId="61D70D0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121C6353"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661B1216"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0" w:type="dxa"/>
            <w:tcBorders>
              <w:right w:val="single" w:sz="8" w:space="0" w:color="7BA0CD" w:themeColor="accent1" w:themeTint="BF"/>
            </w:tcBorders>
          </w:tcPr>
          <w:p w14:paraId="3791B2E7"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6B892AB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5" w:type="dxa"/>
            <w:tcBorders>
              <w:right w:val="single" w:sz="8" w:space="0" w:color="7BA0CD" w:themeColor="accent1" w:themeTint="BF"/>
            </w:tcBorders>
          </w:tcPr>
          <w:p w14:paraId="0839D1A2"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2D2BEB3A"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1" w:type="dxa"/>
          </w:tcPr>
          <w:p w14:paraId="08EBCC77"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r>
      <w:tr w:rsidR="003A55BF" w:rsidRPr="003A55BF" w14:paraId="70A517ED"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4A7EAAC9"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2</w:t>
            </w:r>
          </w:p>
        </w:tc>
        <w:tc>
          <w:tcPr>
            <w:tcW w:w="807" w:type="dxa"/>
          </w:tcPr>
          <w:p w14:paraId="786AB576"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30C064E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5FEBE7A1"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0" w:type="dxa"/>
            <w:tcBorders>
              <w:right w:val="single" w:sz="8" w:space="0" w:color="7BA0CD" w:themeColor="accent1" w:themeTint="BF"/>
            </w:tcBorders>
          </w:tcPr>
          <w:p w14:paraId="7821F309"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4975A18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5" w:type="dxa"/>
            <w:tcBorders>
              <w:right w:val="single" w:sz="8" w:space="0" w:color="7BA0CD" w:themeColor="accent1" w:themeTint="BF"/>
            </w:tcBorders>
          </w:tcPr>
          <w:p w14:paraId="40C251E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79CC8B37"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1" w:type="dxa"/>
          </w:tcPr>
          <w:p w14:paraId="3705B2B2"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r>
      <w:tr w:rsidR="003A55BF" w:rsidRPr="003A55BF" w14:paraId="5B42B488"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0893C0F5"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3</w:t>
            </w:r>
          </w:p>
        </w:tc>
        <w:tc>
          <w:tcPr>
            <w:tcW w:w="807" w:type="dxa"/>
          </w:tcPr>
          <w:p w14:paraId="275E332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2" w:type="dxa"/>
            <w:tcBorders>
              <w:right w:val="single" w:sz="8" w:space="0" w:color="7BA0CD" w:themeColor="accent1" w:themeTint="BF"/>
            </w:tcBorders>
          </w:tcPr>
          <w:p w14:paraId="63DDF35A"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54CDB1C4"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0" w:type="dxa"/>
            <w:tcBorders>
              <w:right w:val="single" w:sz="8" w:space="0" w:color="7BA0CD" w:themeColor="accent1" w:themeTint="BF"/>
            </w:tcBorders>
          </w:tcPr>
          <w:p w14:paraId="72297F8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3D0E10E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5" w:type="dxa"/>
            <w:tcBorders>
              <w:right w:val="single" w:sz="8" w:space="0" w:color="7BA0CD" w:themeColor="accent1" w:themeTint="BF"/>
            </w:tcBorders>
          </w:tcPr>
          <w:p w14:paraId="5FABEE1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61DA100B"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c>
          <w:tcPr>
            <w:tcW w:w="721" w:type="dxa"/>
          </w:tcPr>
          <w:p w14:paraId="05A66378"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5</w:t>
            </w:r>
          </w:p>
        </w:tc>
      </w:tr>
      <w:tr w:rsidR="003A55BF" w:rsidRPr="003A55BF" w14:paraId="1BA36FC7"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29149941"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4</w:t>
            </w:r>
          </w:p>
        </w:tc>
        <w:tc>
          <w:tcPr>
            <w:tcW w:w="807" w:type="dxa"/>
          </w:tcPr>
          <w:p w14:paraId="16480FE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6597011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6D117F9B"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0" w:type="dxa"/>
            <w:tcBorders>
              <w:right w:val="single" w:sz="8" w:space="0" w:color="7BA0CD" w:themeColor="accent1" w:themeTint="BF"/>
            </w:tcBorders>
          </w:tcPr>
          <w:p w14:paraId="53595C9C"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2642BDE4"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5" w:type="dxa"/>
            <w:tcBorders>
              <w:right w:val="single" w:sz="8" w:space="0" w:color="7BA0CD" w:themeColor="accent1" w:themeTint="BF"/>
            </w:tcBorders>
          </w:tcPr>
          <w:p w14:paraId="697B98E9"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45A60E9E"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1" w:type="dxa"/>
          </w:tcPr>
          <w:p w14:paraId="0E8B936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r>
      <w:tr w:rsidR="003A55BF" w:rsidRPr="003A55BF" w14:paraId="598BC779"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6803DB17"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5</w:t>
            </w:r>
          </w:p>
        </w:tc>
        <w:tc>
          <w:tcPr>
            <w:tcW w:w="807" w:type="dxa"/>
          </w:tcPr>
          <w:p w14:paraId="76F8EB3A"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4665032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2C3715B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0" w:type="dxa"/>
            <w:tcBorders>
              <w:right w:val="single" w:sz="8" w:space="0" w:color="7BA0CD" w:themeColor="accent1" w:themeTint="BF"/>
            </w:tcBorders>
          </w:tcPr>
          <w:p w14:paraId="58499EF8"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1</w:t>
            </w:r>
          </w:p>
        </w:tc>
        <w:tc>
          <w:tcPr>
            <w:tcW w:w="807" w:type="dxa"/>
            <w:tcBorders>
              <w:left w:val="single" w:sz="8" w:space="0" w:color="7BA0CD" w:themeColor="accent1" w:themeTint="BF"/>
            </w:tcBorders>
          </w:tcPr>
          <w:p w14:paraId="1B64697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5" w:type="dxa"/>
            <w:tcBorders>
              <w:right w:val="single" w:sz="8" w:space="0" w:color="7BA0CD" w:themeColor="accent1" w:themeTint="BF"/>
            </w:tcBorders>
          </w:tcPr>
          <w:p w14:paraId="762F884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188BB12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1" w:type="dxa"/>
          </w:tcPr>
          <w:p w14:paraId="4219242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r>
      <w:tr w:rsidR="003A55BF" w:rsidRPr="003A55BF" w14:paraId="0A2E158A"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627063B7"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6</w:t>
            </w:r>
          </w:p>
        </w:tc>
        <w:tc>
          <w:tcPr>
            <w:tcW w:w="807" w:type="dxa"/>
          </w:tcPr>
          <w:p w14:paraId="0CAE5FD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18A068D8"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5CE2EBDA"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0" w:type="dxa"/>
            <w:tcBorders>
              <w:right w:val="single" w:sz="8" w:space="0" w:color="7BA0CD" w:themeColor="accent1" w:themeTint="BF"/>
            </w:tcBorders>
          </w:tcPr>
          <w:p w14:paraId="087EEBAE"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082431C1"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5" w:type="dxa"/>
            <w:tcBorders>
              <w:right w:val="single" w:sz="8" w:space="0" w:color="7BA0CD" w:themeColor="accent1" w:themeTint="BF"/>
            </w:tcBorders>
          </w:tcPr>
          <w:p w14:paraId="6F956DC9"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52A1AC7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c>
          <w:tcPr>
            <w:tcW w:w="721" w:type="dxa"/>
          </w:tcPr>
          <w:p w14:paraId="1F61E8D6"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r>
      <w:tr w:rsidR="003A55BF" w:rsidRPr="003A55BF" w14:paraId="1FA96631"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24FD00AA" w14:textId="77777777" w:rsidR="003A55BF" w:rsidRPr="003A55BF" w:rsidRDefault="003A55BF" w:rsidP="003A55BF">
            <w:pPr>
              <w:tabs>
                <w:tab w:val="left" w:pos="-142"/>
              </w:tabs>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7</w:t>
            </w:r>
          </w:p>
        </w:tc>
        <w:tc>
          <w:tcPr>
            <w:tcW w:w="807" w:type="dxa"/>
          </w:tcPr>
          <w:p w14:paraId="190F2FB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76A60433"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59FC036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0" w:type="dxa"/>
            <w:tcBorders>
              <w:right w:val="single" w:sz="8" w:space="0" w:color="7BA0CD" w:themeColor="accent1" w:themeTint="BF"/>
            </w:tcBorders>
          </w:tcPr>
          <w:p w14:paraId="341A549D"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712CE39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5" w:type="dxa"/>
            <w:tcBorders>
              <w:right w:val="single" w:sz="8" w:space="0" w:color="7BA0CD" w:themeColor="accent1" w:themeTint="BF"/>
            </w:tcBorders>
          </w:tcPr>
          <w:p w14:paraId="6224593E"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c>
          <w:tcPr>
            <w:tcW w:w="807" w:type="dxa"/>
            <w:tcBorders>
              <w:left w:val="single" w:sz="8" w:space="0" w:color="7BA0CD" w:themeColor="accent1" w:themeTint="BF"/>
            </w:tcBorders>
          </w:tcPr>
          <w:p w14:paraId="278098A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1" w:type="dxa"/>
          </w:tcPr>
          <w:p w14:paraId="0B6E4067"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r>
      <w:tr w:rsidR="003A55BF" w:rsidRPr="003A55BF" w14:paraId="49C78608" w14:textId="77777777" w:rsidTr="003A5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40C2372C"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KPI 8</w:t>
            </w:r>
          </w:p>
        </w:tc>
        <w:tc>
          <w:tcPr>
            <w:tcW w:w="807" w:type="dxa"/>
          </w:tcPr>
          <w:p w14:paraId="75CB76DC"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2" w:type="dxa"/>
            <w:tcBorders>
              <w:right w:val="single" w:sz="8" w:space="0" w:color="7BA0CD" w:themeColor="accent1" w:themeTint="BF"/>
            </w:tcBorders>
          </w:tcPr>
          <w:p w14:paraId="199BDAFF"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0B2D32E5"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0" w:type="dxa"/>
            <w:tcBorders>
              <w:right w:val="single" w:sz="8" w:space="0" w:color="7BA0CD" w:themeColor="accent1" w:themeTint="BF"/>
            </w:tcBorders>
          </w:tcPr>
          <w:p w14:paraId="60062EE4"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6841C767"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8</w:t>
            </w:r>
          </w:p>
        </w:tc>
        <w:tc>
          <w:tcPr>
            <w:tcW w:w="725" w:type="dxa"/>
            <w:tcBorders>
              <w:right w:val="single" w:sz="8" w:space="0" w:color="7BA0CD" w:themeColor="accent1" w:themeTint="BF"/>
            </w:tcBorders>
          </w:tcPr>
          <w:p w14:paraId="3E8BADCF"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0F97AD8D"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c>
          <w:tcPr>
            <w:tcW w:w="721" w:type="dxa"/>
          </w:tcPr>
          <w:p w14:paraId="48E9BB69" w14:textId="77777777" w:rsidR="003A55BF" w:rsidRPr="003A55BF" w:rsidRDefault="003A55BF" w:rsidP="003A55B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r>
      <w:tr w:rsidR="003A55BF" w:rsidRPr="003A55BF" w14:paraId="4125C827" w14:textId="77777777" w:rsidTr="003A55B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dxa"/>
          </w:tcPr>
          <w:p w14:paraId="066DC769" w14:textId="77777777" w:rsidR="003A55BF" w:rsidRPr="003A55BF" w:rsidRDefault="003A55BF" w:rsidP="003A55BF">
            <w:pPr>
              <w:tabs>
                <w:tab w:val="left" w:pos="-142"/>
              </w:tabs>
              <w:rPr>
                <w:rFonts w:asciiTheme="minorHAnsi" w:hAnsiTheme="minorHAnsi" w:cstheme="minorHAnsi"/>
                <w:sz w:val="20"/>
                <w:szCs w:val="20"/>
              </w:rPr>
            </w:pPr>
            <w:r w:rsidRPr="003A55BF">
              <w:rPr>
                <w:rFonts w:asciiTheme="minorHAnsi" w:eastAsia="Times New Roman" w:hAnsiTheme="minorHAnsi" w:cstheme="minorHAnsi"/>
                <w:sz w:val="20"/>
                <w:szCs w:val="20"/>
              </w:rPr>
              <w:t>KPI 9</w:t>
            </w:r>
          </w:p>
        </w:tc>
        <w:tc>
          <w:tcPr>
            <w:tcW w:w="807" w:type="dxa"/>
          </w:tcPr>
          <w:p w14:paraId="3C87CD34"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2" w:type="dxa"/>
            <w:tcBorders>
              <w:right w:val="single" w:sz="8" w:space="0" w:color="7BA0CD" w:themeColor="accent1" w:themeTint="BF"/>
            </w:tcBorders>
          </w:tcPr>
          <w:p w14:paraId="40D8175C"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3D050B99"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0" w:type="dxa"/>
            <w:tcBorders>
              <w:right w:val="single" w:sz="8" w:space="0" w:color="7BA0CD" w:themeColor="accent1" w:themeTint="BF"/>
            </w:tcBorders>
          </w:tcPr>
          <w:p w14:paraId="059ACAFF"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3</w:t>
            </w:r>
          </w:p>
        </w:tc>
        <w:tc>
          <w:tcPr>
            <w:tcW w:w="807" w:type="dxa"/>
            <w:tcBorders>
              <w:left w:val="single" w:sz="8" w:space="0" w:color="7BA0CD" w:themeColor="accent1" w:themeTint="BF"/>
            </w:tcBorders>
          </w:tcPr>
          <w:p w14:paraId="1E6A4705"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7</w:t>
            </w:r>
          </w:p>
        </w:tc>
        <w:tc>
          <w:tcPr>
            <w:tcW w:w="725" w:type="dxa"/>
            <w:tcBorders>
              <w:right w:val="single" w:sz="8" w:space="0" w:color="7BA0CD" w:themeColor="accent1" w:themeTint="BF"/>
            </w:tcBorders>
          </w:tcPr>
          <w:p w14:paraId="6E334F00"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2</w:t>
            </w:r>
          </w:p>
        </w:tc>
        <w:tc>
          <w:tcPr>
            <w:tcW w:w="807" w:type="dxa"/>
            <w:tcBorders>
              <w:left w:val="single" w:sz="8" w:space="0" w:color="7BA0CD" w:themeColor="accent1" w:themeTint="BF"/>
            </w:tcBorders>
          </w:tcPr>
          <w:p w14:paraId="416A9814"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6</w:t>
            </w:r>
          </w:p>
        </w:tc>
        <w:tc>
          <w:tcPr>
            <w:tcW w:w="721" w:type="dxa"/>
          </w:tcPr>
          <w:p w14:paraId="31591274" w14:textId="77777777" w:rsidR="003A55BF" w:rsidRPr="003A55BF" w:rsidRDefault="003A55BF" w:rsidP="003A55BF">
            <w:pPr>
              <w:tabs>
                <w:tab w:val="left" w:pos="-142"/>
              </w:tabs>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szCs w:val="20"/>
              </w:rPr>
            </w:pPr>
            <w:r w:rsidRPr="003A55BF">
              <w:rPr>
                <w:rFonts w:asciiTheme="minorHAnsi" w:hAnsiTheme="minorHAnsi" w:cstheme="minorHAnsi"/>
                <w:sz w:val="20"/>
                <w:szCs w:val="20"/>
              </w:rPr>
              <w:t>4</w:t>
            </w:r>
          </w:p>
        </w:tc>
      </w:tr>
    </w:tbl>
    <w:p w14:paraId="617C5C1A" w14:textId="77777777" w:rsidR="003A55BF" w:rsidRPr="003A55BF" w:rsidRDefault="003A55BF" w:rsidP="003A55BF">
      <w:pPr>
        <w:spacing w:after="0" w:line="240" w:lineRule="auto"/>
        <w:rPr>
          <w:rFonts w:eastAsia="MS Gothic" w:cstheme="minorHAnsi"/>
          <w:b/>
          <w:bCs/>
          <w:sz w:val="20"/>
          <w:szCs w:val="20"/>
        </w:rPr>
      </w:pPr>
      <w:r w:rsidRPr="003A55BF">
        <w:rPr>
          <w:rFonts w:cstheme="minorHAnsi"/>
          <w:sz w:val="20"/>
          <w:szCs w:val="20"/>
        </w:rPr>
        <w:br w:type="page"/>
      </w:r>
    </w:p>
    <w:p w14:paraId="7AE64CC6" w14:textId="77777777" w:rsidR="003A55BF" w:rsidRPr="003A55BF" w:rsidRDefault="003A55BF" w:rsidP="003A55BF">
      <w:pPr>
        <w:pStyle w:val="Heading1"/>
        <w:rPr>
          <w:rFonts w:asciiTheme="minorHAnsi" w:hAnsiTheme="minorHAnsi" w:cstheme="minorHAnsi"/>
          <w:sz w:val="20"/>
          <w:szCs w:val="20"/>
        </w:rPr>
      </w:pPr>
      <w:r w:rsidRPr="003A55BF">
        <w:rPr>
          <w:rFonts w:asciiTheme="minorHAnsi" w:hAnsiTheme="minorHAnsi" w:cstheme="minorHAnsi"/>
          <w:sz w:val="20"/>
          <w:szCs w:val="20"/>
        </w:rPr>
        <w:lastRenderedPageBreak/>
        <w:t>V. Figure Legends</w:t>
      </w:r>
    </w:p>
    <w:p w14:paraId="701C4761" w14:textId="1299E271" w:rsidR="003A55BF" w:rsidRPr="003A55BF" w:rsidRDefault="003A55BF" w:rsidP="003A55BF">
      <w:pPr>
        <w:pStyle w:val="Caption"/>
        <w:tabs>
          <w:tab w:val="left" w:pos="-142"/>
        </w:tabs>
        <w:jc w:val="both"/>
        <w:rPr>
          <w:rFonts w:asciiTheme="minorHAnsi" w:hAnsiTheme="minorHAnsi" w:cstheme="minorHAnsi"/>
          <w:sz w:val="20"/>
          <w:szCs w:val="20"/>
        </w:rPr>
      </w:pPr>
    </w:p>
    <w:p w14:paraId="07EB5365" w14:textId="77777777" w:rsidR="003A55BF" w:rsidRPr="003A55BF" w:rsidRDefault="003A55BF" w:rsidP="003A55BF">
      <w:pPr>
        <w:rPr>
          <w:rFonts w:cstheme="minorHAnsi"/>
          <w:sz w:val="20"/>
          <w:szCs w:val="20"/>
        </w:rPr>
      </w:pPr>
      <w:r w:rsidRPr="003A55BF">
        <w:rPr>
          <w:rFonts w:cstheme="minorHAnsi"/>
          <w:sz w:val="20"/>
          <w:szCs w:val="20"/>
        </w:rPr>
        <w:t>Fig. 1 Flow of participants through Delphi process</w:t>
      </w:r>
    </w:p>
    <w:p w14:paraId="69EB069B" w14:textId="77777777" w:rsidR="003A55BF" w:rsidRPr="003A55BF" w:rsidRDefault="003A55BF" w:rsidP="003A55BF">
      <w:pPr>
        <w:rPr>
          <w:rFonts w:cstheme="minorHAnsi"/>
          <w:sz w:val="20"/>
          <w:szCs w:val="20"/>
        </w:rPr>
      </w:pPr>
      <w:r w:rsidRPr="003A55BF">
        <w:rPr>
          <w:rFonts w:cstheme="minorHAnsi"/>
          <w:sz w:val="20"/>
          <w:szCs w:val="20"/>
        </w:rPr>
        <w:t>Fig. 2 Flowchart of KPIs through the Delphi rounds</w:t>
      </w:r>
    </w:p>
    <w:p w14:paraId="78695BFF" w14:textId="77777777" w:rsidR="003A55BF" w:rsidRPr="003A55BF" w:rsidRDefault="003A55BF" w:rsidP="003A55BF">
      <w:pPr>
        <w:rPr>
          <w:rFonts w:cstheme="minorHAnsi"/>
          <w:sz w:val="20"/>
          <w:szCs w:val="20"/>
        </w:rPr>
      </w:pPr>
      <w:r w:rsidRPr="003A55BF">
        <w:rPr>
          <w:rFonts w:cstheme="minorHAnsi"/>
          <w:sz w:val="20"/>
          <w:szCs w:val="20"/>
        </w:rPr>
        <w:t>Fig. 3 Distribution of barriers to implementation of KPIs in SACT services, by theme (Total number of mentions of each barrier across all KPIs)</w:t>
      </w:r>
    </w:p>
    <w:p w14:paraId="7CFB30DB" w14:textId="77777777" w:rsidR="003A55BF" w:rsidRPr="003A55BF" w:rsidRDefault="003A55BF" w:rsidP="003A55BF">
      <w:pPr>
        <w:rPr>
          <w:rFonts w:cstheme="minorHAnsi"/>
          <w:sz w:val="20"/>
          <w:szCs w:val="20"/>
        </w:rPr>
      </w:pPr>
      <w:r w:rsidRPr="003A55BF">
        <w:rPr>
          <w:rFonts w:cstheme="minorHAnsi"/>
          <w:sz w:val="20"/>
          <w:szCs w:val="20"/>
        </w:rPr>
        <w:t>Fig. 4 Relative ranking of outcome areas (number of participants who included KPI(s) in top 10, relative to the number of KPIs in each outcome area)</w:t>
      </w:r>
    </w:p>
    <w:p w14:paraId="4B8E3F10" w14:textId="77777777" w:rsidR="003A55BF" w:rsidRPr="003A55BF" w:rsidRDefault="003A55BF" w:rsidP="003A55BF">
      <w:pPr>
        <w:rPr>
          <w:rFonts w:cstheme="minorHAnsi"/>
          <w:sz w:val="20"/>
          <w:szCs w:val="20"/>
        </w:rPr>
      </w:pPr>
    </w:p>
    <w:p w14:paraId="2B162C3E" w14:textId="77777777" w:rsidR="003A55BF" w:rsidRPr="003A55BF" w:rsidRDefault="003A55BF" w:rsidP="003A55BF">
      <w:pPr>
        <w:rPr>
          <w:rFonts w:cstheme="minorHAnsi"/>
          <w:sz w:val="20"/>
          <w:szCs w:val="20"/>
        </w:rPr>
      </w:pPr>
    </w:p>
    <w:p w14:paraId="0CAC21CA" w14:textId="6E594E2B" w:rsidR="003A55BF" w:rsidRPr="003A55BF" w:rsidRDefault="003A55BF" w:rsidP="003A55BF">
      <w:pPr>
        <w:pStyle w:val="Heading1"/>
        <w:rPr>
          <w:rFonts w:asciiTheme="minorHAnsi" w:hAnsiTheme="minorHAnsi" w:cstheme="minorHAnsi"/>
          <w:sz w:val="20"/>
          <w:szCs w:val="20"/>
        </w:rPr>
      </w:pPr>
      <w:r w:rsidRPr="003A55BF">
        <w:rPr>
          <w:rFonts w:asciiTheme="minorHAnsi" w:hAnsiTheme="minorHAnsi" w:cstheme="minorHAnsi"/>
          <w:sz w:val="20"/>
          <w:szCs w:val="20"/>
        </w:rPr>
        <w:t>Appendices</w:t>
      </w:r>
    </w:p>
    <w:p w14:paraId="4298FF00" w14:textId="77777777" w:rsidR="003A55BF" w:rsidRPr="003A55BF" w:rsidRDefault="003A55BF" w:rsidP="003A55BF">
      <w:pPr>
        <w:rPr>
          <w:rFonts w:cstheme="minorHAnsi"/>
          <w:sz w:val="20"/>
          <w:szCs w:val="20"/>
        </w:rPr>
      </w:pPr>
      <w:r w:rsidRPr="003A55BF">
        <w:rPr>
          <w:rFonts w:cstheme="minorHAnsi"/>
          <w:sz w:val="20"/>
          <w:szCs w:val="20"/>
        </w:rPr>
        <w:t>Appendix 1: Prioritised list of KPIs after all rounds of the study</w:t>
      </w:r>
    </w:p>
    <w:tbl>
      <w:tblPr>
        <w:tblStyle w:val="MediumShading1-Accent1"/>
        <w:tblW w:w="8897" w:type="dxa"/>
        <w:tblLayout w:type="fixed"/>
        <w:tblLook w:val="04A0" w:firstRow="1" w:lastRow="0" w:firstColumn="1" w:lastColumn="0" w:noHBand="0" w:noVBand="1"/>
      </w:tblPr>
      <w:tblGrid>
        <w:gridCol w:w="959"/>
        <w:gridCol w:w="835"/>
        <w:gridCol w:w="7103"/>
      </w:tblGrid>
      <w:tr w:rsidR="003A55BF" w:rsidRPr="003A55BF" w14:paraId="7C474553" w14:textId="77777777" w:rsidTr="003A55BF">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27B7AD2"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Ranking</w:t>
            </w:r>
          </w:p>
        </w:tc>
        <w:tc>
          <w:tcPr>
            <w:tcW w:w="835" w:type="dxa"/>
            <w:noWrap/>
            <w:hideMark/>
          </w:tcPr>
          <w:p w14:paraId="56237945" w14:textId="77777777" w:rsidR="003A55BF" w:rsidRPr="003A55BF" w:rsidRDefault="003A55BF" w:rsidP="003A55BF">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No.</w:t>
            </w:r>
          </w:p>
        </w:tc>
        <w:tc>
          <w:tcPr>
            <w:tcW w:w="7103" w:type="dxa"/>
          </w:tcPr>
          <w:p w14:paraId="29F021A3" w14:textId="77777777" w:rsidR="003A55BF" w:rsidRPr="003A55BF" w:rsidRDefault="003A55BF" w:rsidP="003A55BF">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KPI Text</w:t>
            </w:r>
          </w:p>
        </w:tc>
      </w:tr>
      <w:tr w:rsidR="003A55BF" w:rsidRPr="003A55BF" w14:paraId="66265A15"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897" w:type="dxa"/>
            <w:gridSpan w:val="3"/>
            <w:shd w:val="clear" w:color="auto" w:fill="004080"/>
          </w:tcPr>
          <w:p w14:paraId="553B7C8F"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 xml:space="preserve">Top nine KPIs, in </w:t>
            </w:r>
            <w:proofErr w:type="spellStart"/>
            <w:r w:rsidRPr="003A55BF">
              <w:rPr>
                <w:rFonts w:asciiTheme="minorHAnsi" w:eastAsia="Times New Roman" w:hAnsiTheme="minorHAnsi" w:cstheme="minorHAnsi"/>
                <w:sz w:val="20"/>
                <w:szCs w:val="20"/>
              </w:rPr>
              <w:t>priorised</w:t>
            </w:r>
            <w:proofErr w:type="spellEnd"/>
            <w:r w:rsidRPr="003A55BF">
              <w:rPr>
                <w:rFonts w:asciiTheme="minorHAnsi" w:eastAsia="Times New Roman" w:hAnsiTheme="minorHAnsi" w:cstheme="minorHAnsi"/>
                <w:sz w:val="20"/>
                <w:szCs w:val="20"/>
              </w:rPr>
              <w:t xml:space="preserve"> order</w:t>
            </w:r>
          </w:p>
        </w:tc>
      </w:tr>
      <w:tr w:rsidR="003A55BF" w:rsidRPr="003A55BF" w14:paraId="6C5BA79B"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685AB330"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w:t>
            </w:r>
          </w:p>
        </w:tc>
        <w:tc>
          <w:tcPr>
            <w:tcW w:w="835" w:type="dxa"/>
            <w:noWrap/>
            <w:hideMark/>
          </w:tcPr>
          <w:p w14:paraId="7A99374A"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w:t>
            </w:r>
          </w:p>
        </w:tc>
        <w:tc>
          <w:tcPr>
            <w:tcW w:w="7103" w:type="dxa"/>
          </w:tcPr>
          <w:p w14:paraId="62EAFF93"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The number of patients who died within 30 days of receiving any SACT treatment</w:t>
            </w:r>
          </w:p>
        </w:tc>
      </w:tr>
      <w:tr w:rsidR="003A55BF" w:rsidRPr="003A55BF" w14:paraId="751A2142"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1339D328"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w:t>
            </w:r>
          </w:p>
        </w:tc>
        <w:tc>
          <w:tcPr>
            <w:tcW w:w="835" w:type="dxa"/>
            <w:noWrap/>
            <w:hideMark/>
          </w:tcPr>
          <w:p w14:paraId="2C666419"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w:t>
            </w:r>
          </w:p>
        </w:tc>
        <w:tc>
          <w:tcPr>
            <w:tcW w:w="7103" w:type="dxa"/>
          </w:tcPr>
          <w:p w14:paraId="6F1AE041"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The proportion of patients starting a first-line SACT treatment regimen whose treatment was discussed at a multidisciplinary team meeting</w:t>
            </w:r>
          </w:p>
        </w:tc>
      </w:tr>
      <w:tr w:rsidR="003A55BF" w:rsidRPr="003A55BF" w14:paraId="19BF2A66"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67AE6BA"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3</w:t>
            </w:r>
          </w:p>
        </w:tc>
        <w:tc>
          <w:tcPr>
            <w:tcW w:w="835" w:type="dxa"/>
            <w:noWrap/>
            <w:hideMark/>
          </w:tcPr>
          <w:p w14:paraId="33F229E3"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3</w:t>
            </w:r>
          </w:p>
        </w:tc>
        <w:tc>
          <w:tcPr>
            <w:tcW w:w="7103" w:type="dxa"/>
          </w:tcPr>
          <w:p w14:paraId="6C3DCBC5"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Of patients on SACT with advanced cancer, the proportion who have their palliative care needs assessed</w:t>
            </w:r>
          </w:p>
        </w:tc>
      </w:tr>
      <w:tr w:rsidR="003A55BF" w:rsidRPr="003A55BF" w14:paraId="736AE4D8"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55CA38D6"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4</w:t>
            </w:r>
          </w:p>
        </w:tc>
        <w:tc>
          <w:tcPr>
            <w:tcW w:w="835" w:type="dxa"/>
            <w:noWrap/>
            <w:hideMark/>
          </w:tcPr>
          <w:p w14:paraId="49F342E8"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4</w:t>
            </w:r>
          </w:p>
        </w:tc>
        <w:tc>
          <w:tcPr>
            <w:tcW w:w="7103" w:type="dxa"/>
          </w:tcPr>
          <w:p w14:paraId="145A9DF8"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The proportion of SACT patients who received written details of their treatment plan and information about side effects specific to their treatment</w:t>
            </w:r>
          </w:p>
        </w:tc>
      </w:tr>
      <w:tr w:rsidR="003A55BF" w:rsidRPr="003A55BF" w14:paraId="7E725A4B"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66DA23AF"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5</w:t>
            </w:r>
          </w:p>
        </w:tc>
        <w:tc>
          <w:tcPr>
            <w:tcW w:w="835" w:type="dxa"/>
            <w:noWrap/>
            <w:hideMark/>
          </w:tcPr>
          <w:p w14:paraId="5997DC18"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5</w:t>
            </w:r>
          </w:p>
        </w:tc>
        <w:tc>
          <w:tcPr>
            <w:tcW w:w="7103" w:type="dxa"/>
          </w:tcPr>
          <w:p w14:paraId="31E377A9"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The percentage of all SACT patients who are admitted to hospital for Neutropenic sepsis at any point during treatment and/or within one month after completion of treatment</w:t>
            </w:r>
          </w:p>
        </w:tc>
      </w:tr>
      <w:tr w:rsidR="003A55BF" w:rsidRPr="003A55BF" w14:paraId="584F110C"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3FEEF87"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6</w:t>
            </w:r>
          </w:p>
        </w:tc>
        <w:tc>
          <w:tcPr>
            <w:tcW w:w="835" w:type="dxa"/>
            <w:noWrap/>
            <w:hideMark/>
          </w:tcPr>
          <w:p w14:paraId="6637C051"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6</w:t>
            </w:r>
          </w:p>
        </w:tc>
        <w:tc>
          <w:tcPr>
            <w:tcW w:w="7103" w:type="dxa"/>
          </w:tcPr>
          <w:p w14:paraId="03D9DF10"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 xml:space="preserve">The number of reported medication errors for SACT treatment for </w:t>
            </w:r>
            <w:proofErr w:type="spellStart"/>
            <w:r w:rsidRPr="003A55BF">
              <w:rPr>
                <w:rFonts w:asciiTheme="minorHAnsi" w:eastAsia="Times New Roman" w:hAnsiTheme="minorHAnsi" w:cstheme="minorHAnsi"/>
                <w:sz w:val="20"/>
                <w:szCs w:val="20"/>
              </w:rPr>
              <w:t>i</w:t>
            </w:r>
            <w:proofErr w:type="spellEnd"/>
            <w:r w:rsidRPr="003A55BF">
              <w:rPr>
                <w:rFonts w:asciiTheme="minorHAnsi" w:eastAsia="Times New Roman" w:hAnsiTheme="minorHAnsi" w:cstheme="minorHAnsi"/>
                <w:sz w:val="20"/>
                <w:szCs w:val="20"/>
              </w:rPr>
              <w:t>) oral chemotherapy, ii) IV, iii) subcutaneous, iv) intrathecal etc.</w:t>
            </w:r>
          </w:p>
        </w:tc>
      </w:tr>
      <w:tr w:rsidR="003A55BF" w:rsidRPr="003A55BF" w14:paraId="4950DBA2"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6C4DE7F3"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6</w:t>
            </w:r>
          </w:p>
        </w:tc>
        <w:tc>
          <w:tcPr>
            <w:tcW w:w="835" w:type="dxa"/>
            <w:noWrap/>
            <w:hideMark/>
          </w:tcPr>
          <w:p w14:paraId="03C85961"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7</w:t>
            </w:r>
          </w:p>
        </w:tc>
        <w:tc>
          <w:tcPr>
            <w:tcW w:w="7103" w:type="dxa"/>
          </w:tcPr>
          <w:p w14:paraId="38199AB5"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For patients referred for adjuvant treatment, the time from surgery to commencement of SACT, by tumour type</w:t>
            </w:r>
          </w:p>
        </w:tc>
      </w:tr>
      <w:tr w:rsidR="003A55BF" w:rsidRPr="003A55BF" w14:paraId="055B9C33"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bottom w:val="single" w:sz="8" w:space="0" w:color="7BA0CD" w:themeColor="accent1" w:themeTint="BF"/>
            </w:tcBorders>
          </w:tcPr>
          <w:p w14:paraId="3E06B370"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8</w:t>
            </w:r>
          </w:p>
        </w:tc>
        <w:tc>
          <w:tcPr>
            <w:tcW w:w="835" w:type="dxa"/>
            <w:tcBorders>
              <w:bottom w:val="single" w:sz="8" w:space="0" w:color="7BA0CD" w:themeColor="accent1" w:themeTint="BF"/>
            </w:tcBorders>
            <w:noWrap/>
            <w:hideMark/>
          </w:tcPr>
          <w:p w14:paraId="221EA482"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8</w:t>
            </w:r>
          </w:p>
        </w:tc>
        <w:tc>
          <w:tcPr>
            <w:tcW w:w="7103" w:type="dxa"/>
            <w:tcBorders>
              <w:bottom w:val="single" w:sz="8" w:space="0" w:color="7BA0CD" w:themeColor="accent1" w:themeTint="BF"/>
            </w:tcBorders>
          </w:tcPr>
          <w:p w14:paraId="0C99DA62"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 xml:space="preserve">Of the patients who received SACT in the hospital in the previous X period, the proportion who died as a result of Neutropenic sepsis.  </w:t>
            </w:r>
            <w:r w:rsidRPr="003A55BF">
              <w:rPr>
                <w:rFonts w:asciiTheme="minorHAnsi" w:eastAsia="Times New Roman" w:hAnsiTheme="minorHAnsi" w:cstheme="minorHAnsi"/>
                <w:i/>
                <w:sz w:val="20"/>
                <w:szCs w:val="20"/>
              </w:rPr>
              <w:t>(Period to be defined)</w:t>
            </w:r>
          </w:p>
        </w:tc>
      </w:tr>
      <w:tr w:rsidR="003A55BF" w:rsidRPr="003A55BF" w14:paraId="5B43FC14"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bottom w:val="single" w:sz="8" w:space="0" w:color="7BA0CD" w:themeColor="accent1" w:themeTint="BF"/>
            </w:tcBorders>
          </w:tcPr>
          <w:p w14:paraId="268405A7"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8</w:t>
            </w:r>
          </w:p>
        </w:tc>
        <w:tc>
          <w:tcPr>
            <w:tcW w:w="835" w:type="dxa"/>
            <w:tcBorders>
              <w:bottom w:val="single" w:sz="8" w:space="0" w:color="7BA0CD" w:themeColor="accent1" w:themeTint="BF"/>
            </w:tcBorders>
            <w:noWrap/>
            <w:hideMark/>
          </w:tcPr>
          <w:p w14:paraId="31D9A931"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9</w:t>
            </w:r>
          </w:p>
        </w:tc>
        <w:tc>
          <w:tcPr>
            <w:tcW w:w="7103" w:type="dxa"/>
            <w:tcBorders>
              <w:bottom w:val="single" w:sz="8" w:space="0" w:color="7BA0CD" w:themeColor="accent1" w:themeTint="BF"/>
            </w:tcBorders>
          </w:tcPr>
          <w:p w14:paraId="063C8842"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 xml:space="preserve">Of the patients who died within 30 days of receiving SACT, the proportion of patients for whom treatment intent was </w:t>
            </w:r>
            <w:proofErr w:type="spellStart"/>
            <w:r w:rsidRPr="003A55BF">
              <w:rPr>
                <w:rFonts w:asciiTheme="minorHAnsi" w:eastAsia="Times New Roman" w:hAnsiTheme="minorHAnsi" w:cstheme="minorHAnsi"/>
                <w:sz w:val="20"/>
                <w:szCs w:val="20"/>
              </w:rPr>
              <w:t>i</w:t>
            </w:r>
            <w:proofErr w:type="spellEnd"/>
            <w:r w:rsidRPr="003A55BF">
              <w:rPr>
                <w:rFonts w:asciiTheme="minorHAnsi" w:eastAsia="Times New Roman" w:hAnsiTheme="minorHAnsi" w:cstheme="minorHAnsi"/>
                <w:sz w:val="20"/>
                <w:szCs w:val="20"/>
              </w:rPr>
              <w:t>) curative or ii) palliative</w:t>
            </w:r>
          </w:p>
        </w:tc>
      </w:tr>
      <w:tr w:rsidR="003A55BF" w:rsidRPr="003A55BF" w14:paraId="2AFC25E0"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8897" w:type="dxa"/>
            <w:gridSpan w:val="3"/>
            <w:tcBorders>
              <w:top w:val="single" w:sz="8" w:space="0" w:color="7BA0CD" w:themeColor="accent1" w:themeTint="BF"/>
              <w:bottom w:val="nil"/>
            </w:tcBorders>
            <w:shd w:val="clear" w:color="auto" w:fill="004080"/>
          </w:tcPr>
          <w:p w14:paraId="5A2A7CA1" w14:textId="77777777" w:rsidR="003A55BF" w:rsidRPr="003A55BF" w:rsidRDefault="003A55BF" w:rsidP="003A55BF">
            <w:pPr>
              <w:rPr>
                <w:rFonts w:asciiTheme="minorHAnsi" w:hAnsiTheme="minorHAnsi" w:cstheme="minorHAnsi"/>
                <w:sz w:val="20"/>
                <w:szCs w:val="20"/>
              </w:rPr>
            </w:pPr>
            <w:r w:rsidRPr="003A55BF">
              <w:rPr>
                <w:rFonts w:asciiTheme="minorHAnsi" w:hAnsiTheme="minorHAnsi" w:cstheme="minorHAnsi"/>
                <w:sz w:val="20"/>
                <w:szCs w:val="20"/>
              </w:rPr>
              <w:t>Other KPIs, in prioritised order</w:t>
            </w:r>
          </w:p>
        </w:tc>
      </w:tr>
      <w:tr w:rsidR="003A55BF" w:rsidRPr="003A55BF" w14:paraId="59A3739F"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top w:val="nil"/>
            </w:tcBorders>
          </w:tcPr>
          <w:p w14:paraId="2645BFBE"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10</w:t>
            </w:r>
          </w:p>
        </w:tc>
        <w:tc>
          <w:tcPr>
            <w:tcW w:w="835" w:type="dxa"/>
            <w:tcBorders>
              <w:top w:val="nil"/>
            </w:tcBorders>
            <w:noWrap/>
            <w:hideMark/>
          </w:tcPr>
          <w:p w14:paraId="5CD9ACCB"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10</w:t>
            </w:r>
          </w:p>
        </w:tc>
        <w:tc>
          <w:tcPr>
            <w:tcW w:w="7103" w:type="dxa"/>
            <w:tcBorders>
              <w:top w:val="nil"/>
            </w:tcBorders>
          </w:tcPr>
          <w:p w14:paraId="25C6E09B"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number of patients who died within14 days of receiving any SACT treatment</w:t>
            </w:r>
          </w:p>
        </w:tc>
      </w:tr>
      <w:tr w:rsidR="003A55BF" w:rsidRPr="003A55BF" w14:paraId="0BE147E2"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bottom w:val="single" w:sz="8" w:space="0" w:color="7BA0CD" w:themeColor="accent1" w:themeTint="BF"/>
            </w:tcBorders>
          </w:tcPr>
          <w:p w14:paraId="6E978861"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10</w:t>
            </w:r>
          </w:p>
        </w:tc>
        <w:tc>
          <w:tcPr>
            <w:tcW w:w="835" w:type="dxa"/>
            <w:tcBorders>
              <w:bottom w:val="single" w:sz="8" w:space="0" w:color="7BA0CD" w:themeColor="accent1" w:themeTint="BF"/>
            </w:tcBorders>
            <w:noWrap/>
            <w:hideMark/>
          </w:tcPr>
          <w:p w14:paraId="4657E77A"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11</w:t>
            </w:r>
          </w:p>
        </w:tc>
        <w:tc>
          <w:tcPr>
            <w:tcW w:w="7103" w:type="dxa"/>
            <w:tcBorders>
              <w:bottom w:val="single" w:sz="8" w:space="0" w:color="7BA0CD" w:themeColor="accent1" w:themeTint="BF"/>
            </w:tcBorders>
          </w:tcPr>
          <w:p w14:paraId="3557FF13"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Of the patients who died within 30 days of receiving SACT, the proportion of deaths that were directly related to toxicity from SACT treatment</w:t>
            </w:r>
          </w:p>
        </w:tc>
      </w:tr>
      <w:tr w:rsidR="003A55BF" w:rsidRPr="003A55BF" w14:paraId="194F1D8E"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bottom w:val="single" w:sz="8" w:space="0" w:color="7BA0CD" w:themeColor="accent1" w:themeTint="BF"/>
            </w:tcBorders>
          </w:tcPr>
          <w:p w14:paraId="5C8F639F"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10</w:t>
            </w:r>
          </w:p>
        </w:tc>
        <w:tc>
          <w:tcPr>
            <w:tcW w:w="835" w:type="dxa"/>
            <w:tcBorders>
              <w:bottom w:val="single" w:sz="8" w:space="0" w:color="7BA0CD" w:themeColor="accent1" w:themeTint="BF"/>
            </w:tcBorders>
            <w:noWrap/>
            <w:hideMark/>
          </w:tcPr>
          <w:p w14:paraId="03ED9F49"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12</w:t>
            </w:r>
          </w:p>
        </w:tc>
        <w:tc>
          <w:tcPr>
            <w:tcW w:w="7103" w:type="dxa"/>
            <w:tcBorders>
              <w:bottom w:val="single" w:sz="8" w:space="0" w:color="7BA0CD" w:themeColor="accent1" w:themeTint="BF"/>
            </w:tcBorders>
          </w:tcPr>
          <w:p w14:paraId="4E0462CC"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proportion of patients who received an individual education session prior to the first day of treatment</w:t>
            </w:r>
          </w:p>
        </w:tc>
      </w:tr>
      <w:tr w:rsidR="003A55BF" w:rsidRPr="003A55BF" w14:paraId="3D05F065"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Borders>
              <w:top w:val="single" w:sz="8" w:space="0" w:color="7BA0CD" w:themeColor="accent1" w:themeTint="BF"/>
            </w:tcBorders>
          </w:tcPr>
          <w:p w14:paraId="0B2D8437"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11</w:t>
            </w:r>
          </w:p>
        </w:tc>
        <w:tc>
          <w:tcPr>
            <w:tcW w:w="835" w:type="dxa"/>
            <w:tcBorders>
              <w:top w:val="single" w:sz="8" w:space="0" w:color="7BA0CD" w:themeColor="accent1" w:themeTint="BF"/>
            </w:tcBorders>
            <w:noWrap/>
            <w:hideMark/>
          </w:tcPr>
          <w:p w14:paraId="6C35EB39"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13</w:t>
            </w:r>
          </w:p>
        </w:tc>
        <w:tc>
          <w:tcPr>
            <w:tcW w:w="7103" w:type="dxa"/>
            <w:tcBorders>
              <w:top w:val="single" w:sz="8" w:space="0" w:color="7BA0CD" w:themeColor="accent1" w:themeTint="BF"/>
            </w:tcBorders>
          </w:tcPr>
          <w:p w14:paraId="6B8DE137"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Number of patients who received first antibiotic for suspected Neutropenic sepsis more than one hour after presentation at the hospital</w:t>
            </w:r>
          </w:p>
        </w:tc>
      </w:tr>
      <w:tr w:rsidR="003A55BF" w:rsidRPr="003A55BF" w14:paraId="08797437"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27E41E72"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14</w:t>
            </w:r>
          </w:p>
        </w:tc>
        <w:tc>
          <w:tcPr>
            <w:tcW w:w="835" w:type="dxa"/>
            <w:noWrap/>
            <w:hideMark/>
          </w:tcPr>
          <w:p w14:paraId="7570C763"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14</w:t>
            </w:r>
          </w:p>
        </w:tc>
        <w:tc>
          <w:tcPr>
            <w:tcW w:w="7103" w:type="dxa"/>
          </w:tcPr>
          <w:p w14:paraId="029E2837"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Of patients referred to SACT and for whom a suitable clinical trial is available, the proportion of those offered a clinical trial</w:t>
            </w:r>
          </w:p>
        </w:tc>
      </w:tr>
      <w:tr w:rsidR="003A55BF" w:rsidRPr="003A55BF" w14:paraId="2D2AC1B6"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366C183B"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14</w:t>
            </w:r>
          </w:p>
        </w:tc>
        <w:tc>
          <w:tcPr>
            <w:tcW w:w="835" w:type="dxa"/>
            <w:noWrap/>
            <w:hideMark/>
          </w:tcPr>
          <w:p w14:paraId="6BEA6D62"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15</w:t>
            </w:r>
          </w:p>
        </w:tc>
        <w:tc>
          <w:tcPr>
            <w:tcW w:w="7103" w:type="dxa"/>
          </w:tcPr>
          <w:p w14:paraId="1B7330FB"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proportion of SACT patients undergoing curative or adjuvant treatment who completed the planned number of cycles of treatment</w:t>
            </w:r>
          </w:p>
        </w:tc>
      </w:tr>
      <w:tr w:rsidR="003A55BF" w:rsidRPr="003A55BF" w14:paraId="522B5EFC"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5C562341"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14</w:t>
            </w:r>
          </w:p>
        </w:tc>
        <w:tc>
          <w:tcPr>
            <w:tcW w:w="835" w:type="dxa"/>
            <w:noWrap/>
            <w:hideMark/>
          </w:tcPr>
          <w:p w14:paraId="6F936108"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16</w:t>
            </w:r>
          </w:p>
        </w:tc>
        <w:tc>
          <w:tcPr>
            <w:tcW w:w="7103" w:type="dxa"/>
          </w:tcPr>
          <w:p w14:paraId="03FE69BE"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Time from referral to SACT service to first consultation, by tumour type</w:t>
            </w:r>
          </w:p>
        </w:tc>
      </w:tr>
      <w:tr w:rsidR="003A55BF" w:rsidRPr="003A55BF" w14:paraId="3C93C69E"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64E7D5E4"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lastRenderedPageBreak/>
              <w:t>14</w:t>
            </w:r>
          </w:p>
        </w:tc>
        <w:tc>
          <w:tcPr>
            <w:tcW w:w="835" w:type="dxa"/>
            <w:noWrap/>
            <w:hideMark/>
          </w:tcPr>
          <w:p w14:paraId="2D057EB2"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17</w:t>
            </w:r>
          </w:p>
        </w:tc>
        <w:tc>
          <w:tcPr>
            <w:tcW w:w="7103" w:type="dxa"/>
          </w:tcPr>
          <w:p w14:paraId="46DA3799"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proportion of patients who are eligible for a SACT clinical trial who are enrolled on the trial</w:t>
            </w:r>
          </w:p>
        </w:tc>
      </w:tr>
      <w:tr w:rsidR="003A55BF" w:rsidRPr="003A55BF" w14:paraId="1EDE9989"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C3773AB"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18</w:t>
            </w:r>
          </w:p>
        </w:tc>
        <w:tc>
          <w:tcPr>
            <w:tcW w:w="835" w:type="dxa"/>
            <w:noWrap/>
            <w:hideMark/>
          </w:tcPr>
          <w:p w14:paraId="465D198C"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18</w:t>
            </w:r>
          </w:p>
        </w:tc>
        <w:tc>
          <w:tcPr>
            <w:tcW w:w="7103" w:type="dxa"/>
          </w:tcPr>
          <w:p w14:paraId="7CA9F310"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proportion of patients experiencing Grade 3 or higher peripheral neuropathy</w:t>
            </w:r>
          </w:p>
        </w:tc>
      </w:tr>
      <w:tr w:rsidR="003A55BF" w:rsidRPr="003A55BF" w14:paraId="362DBF3A"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5CB4E5D3"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19</w:t>
            </w:r>
          </w:p>
        </w:tc>
        <w:tc>
          <w:tcPr>
            <w:tcW w:w="835" w:type="dxa"/>
            <w:noWrap/>
            <w:hideMark/>
          </w:tcPr>
          <w:p w14:paraId="22E1AD51"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19</w:t>
            </w:r>
          </w:p>
        </w:tc>
        <w:tc>
          <w:tcPr>
            <w:tcW w:w="7103" w:type="dxa"/>
          </w:tcPr>
          <w:p w14:paraId="46C2B1D9"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percentage of all SACT patients presenting with Neutropenic sepsis at any point during treatment and/or within one month after completion of treatment</w:t>
            </w:r>
          </w:p>
        </w:tc>
      </w:tr>
      <w:tr w:rsidR="003A55BF" w:rsidRPr="003A55BF" w14:paraId="692B3D80"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140DF568"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19</w:t>
            </w:r>
          </w:p>
        </w:tc>
        <w:tc>
          <w:tcPr>
            <w:tcW w:w="835" w:type="dxa"/>
            <w:noWrap/>
            <w:hideMark/>
          </w:tcPr>
          <w:p w14:paraId="768C4861"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20</w:t>
            </w:r>
          </w:p>
        </w:tc>
        <w:tc>
          <w:tcPr>
            <w:tcW w:w="7103" w:type="dxa"/>
          </w:tcPr>
          <w:p w14:paraId="7EC1BAE1"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proportion of all SACT patients who experienced delays in, or termination of, their treatment due to Neutropenia or Neutropenic sepsis</w:t>
            </w:r>
          </w:p>
        </w:tc>
      </w:tr>
      <w:tr w:rsidR="003A55BF" w:rsidRPr="003A55BF" w14:paraId="6D0C4C66"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3AE349C4"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21</w:t>
            </w:r>
          </w:p>
        </w:tc>
        <w:tc>
          <w:tcPr>
            <w:tcW w:w="835" w:type="dxa"/>
            <w:noWrap/>
            <w:hideMark/>
          </w:tcPr>
          <w:p w14:paraId="3C91BE1E"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21</w:t>
            </w:r>
          </w:p>
        </w:tc>
        <w:tc>
          <w:tcPr>
            <w:tcW w:w="7103" w:type="dxa"/>
          </w:tcPr>
          <w:p w14:paraId="3E375D8A"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Proportion of all SACT treatments that were delayed due to patients experiencing Neutropenia or Neutropenic sepsis</w:t>
            </w:r>
          </w:p>
        </w:tc>
      </w:tr>
      <w:tr w:rsidR="003A55BF" w:rsidRPr="003A55BF" w14:paraId="6989B15D"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BDBDA05"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21</w:t>
            </w:r>
          </w:p>
        </w:tc>
        <w:tc>
          <w:tcPr>
            <w:tcW w:w="835" w:type="dxa"/>
            <w:noWrap/>
            <w:hideMark/>
          </w:tcPr>
          <w:p w14:paraId="0C47BA20"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22</w:t>
            </w:r>
          </w:p>
        </w:tc>
        <w:tc>
          <w:tcPr>
            <w:tcW w:w="7103" w:type="dxa"/>
          </w:tcPr>
          <w:p w14:paraId="36BC1BF7"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 xml:space="preserve">Of SACT patients who had an unscheduled visit to hospital for care related to their treatment, the proportion who required treatment for </w:t>
            </w:r>
            <w:proofErr w:type="spellStart"/>
            <w:r w:rsidRPr="003A55BF">
              <w:rPr>
                <w:rFonts w:asciiTheme="minorHAnsi" w:hAnsiTheme="minorHAnsi" w:cstheme="minorHAnsi"/>
                <w:sz w:val="20"/>
                <w:szCs w:val="20"/>
              </w:rPr>
              <w:t>i</w:t>
            </w:r>
            <w:proofErr w:type="spellEnd"/>
            <w:r w:rsidRPr="003A55BF">
              <w:rPr>
                <w:rFonts w:asciiTheme="minorHAnsi" w:hAnsiTheme="minorHAnsi" w:cstheme="minorHAnsi"/>
                <w:sz w:val="20"/>
                <w:szCs w:val="20"/>
              </w:rPr>
              <w:t>) toxicity, ii) symptom management for disease control, iii) spinal cord compression, iv) unrelated to cancer treatment, v) no treatment required, vi) other</w:t>
            </w:r>
          </w:p>
        </w:tc>
      </w:tr>
      <w:tr w:rsidR="003A55BF" w:rsidRPr="003A55BF" w14:paraId="619EC782"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6266266F"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21</w:t>
            </w:r>
          </w:p>
        </w:tc>
        <w:tc>
          <w:tcPr>
            <w:tcW w:w="835" w:type="dxa"/>
            <w:noWrap/>
            <w:hideMark/>
          </w:tcPr>
          <w:p w14:paraId="03DD4E83"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23</w:t>
            </w:r>
          </w:p>
        </w:tc>
        <w:tc>
          <w:tcPr>
            <w:tcW w:w="7103" w:type="dxa"/>
          </w:tcPr>
          <w:p w14:paraId="5C19B76D"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number of patients undergoing SACT (and up to 6 months post-treatment) who experienced an adverse event ≥ Grade 3</w:t>
            </w:r>
          </w:p>
        </w:tc>
      </w:tr>
      <w:tr w:rsidR="003A55BF" w:rsidRPr="003A55BF" w14:paraId="3B36EF4E"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2358AA2F"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21</w:t>
            </w:r>
          </w:p>
        </w:tc>
        <w:tc>
          <w:tcPr>
            <w:tcW w:w="835" w:type="dxa"/>
            <w:noWrap/>
            <w:hideMark/>
          </w:tcPr>
          <w:p w14:paraId="1B858C64"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24</w:t>
            </w:r>
          </w:p>
        </w:tc>
        <w:tc>
          <w:tcPr>
            <w:tcW w:w="7103" w:type="dxa"/>
          </w:tcPr>
          <w:p w14:paraId="6D679E75"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number of extravasation events for SACT treatments in the previous month</w:t>
            </w:r>
          </w:p>
        </w:tc>
      </w:tr>
      <w:tr w:rsidR="003A55BF" w:rsidRPr="003A55BF" w14:paraId="73AB0EB2" w14:textId="77777777" w:rsidTr="003A55B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45876677"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22</w:t>
            </w:r>
          </w:p>
        </w:tc>
        <w:tc>
          <w:tcPr>
            <w:tcW w:w="835" w:type="dxa"/>
            <w:noWrap/>
            <w:hideMark/>
          </w:tcPr>
          <w:p w14:paraId="7672C8FB"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25</w:t>
            </w:r>
          </w:p>
        </w:tc>
        <w:tc>
          <w:tcPr>
            <w:tcW w:w="7103" w:type="dxa"/>
          </w:tcPr>
          <w:p w14:paraId="2C9538A6" w14:textId="77777777" w:rsidR="003A55BF" w:rsidRPr="003A55BF" w:rsidRDefault="003A55BF" w:rsidP="003A55BF">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 xml:space="preserve">Of the patients undergoing SACT treatment who had an unscheduled visit to hospital for care related to their SACT treatment, the number who were admitted to hospital to </w:t>
            </w:r>
            <w:proofErr w:type="spellStart"/>
            <w:r w:rsidRPr="003A55BF">
              <w:rPr>
                <w:rFonts w:asciiTheme="minorHAnsi" w:hAnsiTheme="minorHAnsi" w:cstheme="minorHAnsi"/>
                <w:sz w:val="20"/>
                <w:szCs w:val="20"/>
              </w:rPr>
              <w:t>i</w:t>
            </w:r>
            <w:proofErr w:type="spellEnd"/>
            <w:r w:rsidRPr="003A55BF">
              <w:rPr>
                <w:rFonts w:asciiTheme="minorHAnsi" w:hAnsiTheme="minorHAnsi" w:cstheme="minorHAnsi"/>
                <w:sz w:val="20"/>
                <w:szCs w:val="20"/>
              </w:rPr>
              <w:t>) day ward care or ii) inpatient care</w:t>
            </w:r>
          </w:p>
        </w:tc>
      </w:tr>
      <w:tr w:rsidR="003A55BF" w:rsidRPr="003A55BF" w14:paraId="01844EEF" w14:textId="77777777" w:rsidTr="003A55BF">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9" w:type="dxa"/>
          </w:tcPr>
          <w:p w14:paraId="045FAD11" w14:textId="77777777" w:rsidR="003A55BF" w:rsidRPr="003A55BF" w:rsidRDefault="003A55BF" w:rsidP="003A55BF">
            <w:pPr>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23</w:t>
            </w:r>
          </w:p>
        </w:tc>
        <w:tc>
          <w:tcPr>
            <w:tcW w:w="835" w:type="dxa"/>
            <w:noWrap/>
            <w:hideMark/>
          </w:tcPr>
          <w:p w14:paraId="657F15F4"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eastAsia="Times New Roman" w:hAnsiTheme="minorHAnsi" w:cstheme="minorHAnsi"/>
                <w:sz w:val="20"/>
                <w:szCs w:val="20"/>
              </w:rPr>
              <w:t>26</w:t>
            </w:r>
          </w:p>
        </w:tc>
        <w:tc>
          <w:tcPr>
            <w:tcW w:w="7103" w:type="dxa"/>
          </w:tcPr>
          <w:p w14:paraId="577A14FF" w14:textId="77777777" w:rsidR="003A55BF" w:rsidRPr="003A55BF" w:rsidRDefault="003A55BF" w:rsidP="003A55BF">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sz w:val="20"/>
                <w:szCs w:val="20"/>
              </w:rPr>
            </w:pPr>
            <w:r w:rsidRPr="003A55BF">
              <w:rPr>
                <w:rFonts w:asciiTheme="minorHAnsi" w:hAnsiTheme="minorHAnsi" w:cstheme="minorHAnsi"/>
                <w:sz w:val="20"/>
                <w:szCs w:val="20"/>
              </w:rPr>
              <w:t>The percentage of patients undergoing SACT treatment, or within 3 months of completion of treatment, who had an unscheduled readmission to any hospital for care that was related to their SACT treatment</w:t>
            </w:r>
          </w:p>
        </w:tc>
      </w:tr>
    </w:tbl>
    <w:p w14:paraId="4BD4E790" w14:textId="77777777" w:rsidR="003A55BF" w:rsidRPr="003A55BF" w:rsidRDefault="003A55BF" w:rsidP="003A55BF">
      <w:pPr>
        <w:rPr>
          <w:rFonts w:cstheme="minorHAnsi"/>
          <w:sz w:val="20"/>
          <w:szCs w:val="20"/>
        </w:rPr>
      </w:pPr>
    </w:p>
    <w:p w14:paraId="07330FD9" w14:textId="77777777" w:rsidR="003A55BF" w:rsidRPr="003A55BF" w:rsidRDefault="003A55BF" w:rsidP="003A55BF">
      <w:pPr>
        <w:tabs>
          <w:tab w:val="left" w:pos="7740"/>
        </w:tabs>
        <w:rPr>
          <w:rFonts w:cstheme="minorHAnsi"/>
          <w:sz w:val="20"/>
          <w:szCs w:val="20"/>
        </w:rPr>
      </w:pPr>
    </w:p>
    <w:sectPr w:rsidR="003A55BF" w:rsidRPr="003A55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C9A76" w14:textId="77777777" w:rsidR="003A55BF" w:rsidRDefault="003A55BF" w:rsidP="002E7703">
      <w:pPr>
        <w:spacing w:after="0" w:line="240" w:lineRule="auto"/>
      </w:pPr>
      <w:r>
        <w:separator/>
      </w:r>
    </w:p>
  </w:endnote>
  <w:endnote w:type="continuationSeparator" w:id="0">
    <w:p w14:paraId="5D4E8D3F" w14:textId="77777777" w:rsidR="003A55BF" w:rsidRDefault="003A55BF" w:rsidP="002E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ato-Bold">
    <w:altName w:val="Segoe UI"/>
    <w:panose1 w:val="00000000000000000000"/>
    <w:charset w:val="00"/>
    <w:family w:val="roman"/>
    <w:notTrueType/>
    <w:pitch w:val="default"/>
  </w:font>
  <w:font w:name="Lato-Regular">
    <w:altName w:val="Segoe UI"/>
    <w:panose1 w:val="00000000000000000000"/>
    <w:charset w:val="00"/>
    <w:family w:val="roman"/>
    <w:notTrueType/>
    <w:pitch w:val="default"/>
  </w:font>
  <w:font w:name="Lato-Italic">
    <w:altName w:val="Segoe U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5C7880" w14:textId="77777777" w:rsidR="003A55BF" w:rsidRDefault="003A55BF" w:rsidP="002E7703">
      <w:pPr>
        <w:spacing w:after="0" w:line="240" w:lineRule="auto"/>
      </w:pPr>
      <w:r>
        <w:separator/>
      </w:r>
    </w:p>
  </w:footnote>
  <w:footnote w:type="continuationSeparator" w:id="0">
    <w:p w14:paraId="6018106A" w14:textId="77777777" w:rsidR="003A55BF" w:rsidRDefault="003A55BF" w:rsidP="002E7703">
      <w:pPr>
        <w:spacing w:after="0" w:line="240" w:lineRule="auto"/>
      </w:pPr>
      <w:r>
        <w:continuationSeparator/>
      </w:r>
    </w:p>
  </w:footnote>
  <w:footnote w:id="1">
    <w:p w14:paraId="65BDFB9D" w14:textId="6534950F" w:rsidR="003A55BF" w:rsidRPr="002E7703" w:rsidRDefault="003A55BF" w:rsidP="002E7703">
      <w:pPr>
        <w:pStyle w:val="FootnoteText"/>
        <w:rPr>
          <w:sz w:val="16"/>
          <w:szCs w:val="16"/>
        </w:rPr>
      </w:pPr>
      <w:r>
        <w:rPr>
          <w:rStyle w:val="FootnoteReference"/>
        </w:rPr>
        <w:footnoteRef/>
      </w:r>
      <w:r>
        <w:t xml:space="preserve"> </w:t>
      </w:r>
      <w:r w:rsidRPr="002E7703">
        <w:rPr>
          <w:sz w:val="16"/>
          <w:szCs w:val="16"/>
        </w:rPr>
        <w:t>SACT includes those drugs with direct anti-tumour activity, targeted therapies and</w:t>
      </w:r>
      <w:r>
        <w:rPr>
          <w:sz w:val="16"/>
          <w:szCs w:val="16"/>
        </w:rPr>
        <w:t xml:space="preserve"> </w:t>
      </w:r>
      <w:r w:rsidRPr="002E7703">
        <w:rPr>
          <w:sz w:val="16"/>
          <w:szCs w:val="16"/>
        </w:rPr>
        <w:t>biologics used in the treatment of cancer, such as chemotherapy, immunotherapy,</w:t>
      </w:r>
      <w:r>
        <w:rPr>
          <w:sz w:val="16"/>
          <w:szCs w:val="16"/>
        </w:rPr>
        <w:t xml:space="preserve"> </w:t>
      </w:r>
      <w:r w:rsidRPr="002E7703">
        <w:rPr>
          <w:sz w:val="16"/>
          <w:szCs w:val="16"/>
        </w:rPr>
        <w:t>hormonal therapies and biological therapies.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45615A"/>
    <w:multiLevelType w:val="hybridMultilevel"/>
    <w:tmpl w:val="FE7C6D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D7B"/>
    <w:rsid w:val="000E2639"/>
    <w:rsid w:val="002E7703"/>
    <w:rsid w:val="002F4A68"/>
    <w:rsid w:val="003A55BF"/>
    <w:rsid w:val="00431085"/>
    <w:rsid w:val="004601B0"/>
    <w:rsid w:val="00530575"/>
    <w:rsid w:val="00754F3F"/>
    <w:rsid w:val="00764A49"/>
    <w:rsid w:val="00843B13"/>
    <w:rsid w:val="00906585"/>
    <w:rsid w:val="00A77228"/>
    <w:rsid w:val="00BC4475"/>
    <w:rsid w:val="00C865AC"/>
    <w:rsid w:val="00D03D7B"/>
    <w:rsid w:val="00D5531D"/>
    <w:rsid w:val="00E41B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07AE"/>
  <w15:chartTrackingRefBased/>
  <w15:docId w15:val="{53DF8E37-D1DB-4173-B9EB-9864252A9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5BF"/>
    <w:pPr>
      <w:keepNext/>
      <w:keepLines/>
      <w:spacing w:before="480" w:after="0" w:line="240" w:lineRule="auto"/>
      <w:outlineLvl w:val="0"/>
    </w:pPr>
    <w:rPr>
      <w:rFonts w:ascii="Arial" w:eastAsia="MS Gothic" w:hAnsi="Arial" w:cs="Times New Roman"/>
      <w:b/>
      <w:bCs/>
      <w:sz w:val="24"/>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03D7B"/>
    <w:rPr>
      <w:rFonts w:ascii="Lato-Bold" w:hAnsi="Lato-Bold" w:hint="default"/>
      <w:b/>
      <w:bCs/>
      <w:i w:val="0"/>
      <w:iCs w:val="0"/>
      <w:color w:val="242021"/>
      <w:sz w:val="20"/>
      <w:szCs w:val="20"/>
    </w:rPr>
  </w:style>
  <w:style w:type="character" w:customStyle="1" w:styleId="fontstyle21">
    <w:name w:val="fontstyle21"/>
    <w:basedOn w:val="DefaultParagraphFont"/>
    <w:rsid w:val="00D03D7B"/>
    <w:rPr>
      <w:rFonts w:ascii="Lato-Regular" w:hAnsi="Lato-Regular" w:hint="default"/>
      <w:b w:val="0"/>
      <w:bCs w:val="0"/>
      <w:i w:val="0"/>
      <w:iCs w:val="0"/>
      <w:color w:val="242021"/>
      <w:sz w:val="18"/>
      <w:szCs w:val="18"/>
    </w:rPr>
  </w:style>
  <w:style w:type="character" w:customStyle="1" w:styleId="fontstyle31">
    <w:name w:val="fontstyle31"/>
    <w:basedOn w:val="DefaultParagraphFont"/>
    <w:rsid w:val="00D03D7B"/>
    <w:rPr>
      <w:rFonts w:ascii="Lato-Italic" w:hAnsi="Lato-Italic" w:hint="default"/>
      <w:b w:val="0"/>
      <w:bCs w:val="0"/>
      <w:i/>
      <w:iCs/>
      <w:color w:val="242021"/>
      <w:sz w:val="18"/>
      <w:szCs w:val="18"/>
    </w:rPr>
  </w:style>
  <w:style w:type="character" w:customStyle="1" w:styleId="fontstyle11">
    <w:name w:val="fontstyle11"/>
    <w:basedOn w:val="DefaultParagraphFont"/>
    <w:rsid w:val="00D03D7B"/>
    <w:rPr>
      <w:rFonts w:ascii="Lato-Regular" w:hAnsi="Lato-Regular" w:hint="default"/>
      <w:b w:val="0"/>
      <w:bCs w:val="0"/>
      <w:i w:val="0"/>
      <w:iCs w:val="0"/>
      <w:color w:val="242021"/>
      <w:sz w:val="20"/>
      <w:szCs w:val="20"/>
    </w:rPr>
  </w:style>
  <w:style w:type="paragraph" w:styleId="BalloonText">
    <w:name w:val="Balloon Text"/>
    <w:basedOn w:val="Normal"/>
    <w:link w:val="BalloonTextChar"/>
    <w:uiPriority w:val="99"/>
    <w:semiHidden/>
    <w:unhideWhenUsed/>
    <w:rsid w:val="00BC4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475"/>
    <w:rPr>
      <w:rFonts w:ascii="Segoe UI" w:hAnsi="Segoe UI" w:cs="Segoe UI"/>
      <w:sz w:val="18"/>
      <w:szCs w:val="18"/>
    </w:rPr>
  </w:style>
  <w:style w:type="paragraph" w:styleId="FootnoteText">
    <w:name w:val="footnote text"/>
    <w:basedOn w:val="Normal"/>
    <w:link w:val="FootnoteTextChar"/>
    <w:uiPriority w:val="99"/>
    <w:semiHidden/>
    <w:unhideWhenUsed/>
    <w:rsid w:val="002E77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7703"/>
    <w:rPr>
      <w:sz w:val="20"/>
      <w:szCs w:val="20"/>
    </w:rPr>
  </w:style>
  <w:style w:type="character" w:styleId="FootnoteReference">
    <w:name w:val="footnote reference"/>
    <w:basedOn w:val="DefaultParagraphFont"/>
    <w:uiPriority w:val="99"/>
    <w:semiHidden/>
    <w:unhideWhenUsed/>
    <w:rsid w:val="002E7703"/>
    <w:rPr>
      <w:vertAlign w:val="superscript"/>
    </w:rPr>
  </w:style>
  <w:style w:type="paragraph" w:styleId="ListParagraph">
    <w:name w:val="List Paragraph"/>
    <w:basedOn w:val="Normal"/>
    <w:uiPriority w:val="34"/>
    <w:qFormat/>
    <w:rsid w:val="002E7703"/>
    <w:pPr>
      <w:ind w:left="720"/>
      <w:contextualSpacing/>
    </w:pPr>
  </w:style>
  <w:style w:type="character" w:styleId="Hyperlink">
    <w:name w:val="Hyperlink"/>
    <w:basedOn w:val="DefaultParagraphFont"/>
    <w:uiPriority w:val="99"/>
    <w:unhideWhenUsed/>
    <w:rsid w:val="00530575"/>
    <w:rPr>
      <w:color w:val="0000FF" w:themeColor="hyperlink"/>
      <w:u w:val="single"/>
    </w:rPr>
  </w:style>
  <w:style w:type="character" w:styleId="UnresolvedMention">
    <w:name w:val="Unresolved Mention"/>
    <w:basedOn w:val="DefaultParagraphFont"/>
    <w:uiPriority w:val="99"/>
    <w:semiHidden/>
    <w:unhideWhenUsed/>
    <w:rsid w:val="00530575"/>
    <w:rPr>
      <w:color w:val="605E5C"/>
      <w:shd w:val="clear" w:color="auto" w:fill="E1DFDD"/>
    </w:rPr>
  </w:style>
  <w:style w:type="character" w:customStyle="1" w:styleId="Heading1Char">
    <w:name w:val="Heading 1 Char"/>
    <w:basedOn w:val="DefaultParagraphFont"/>
    <w:link w:val="Heading1"/>
    <w:uiPriority w:val="9"/>
    <w:rsid w:val="003A55BF"/>
    <w:rPr>
      <w:rFonts w:ascii="Arial" w:eastAsia="MS Gothic" w:hAnsi="Arial" w:cs="Times New Roman"/>
      <w:b/>
      <w:bCs/>
      <w:sz w:val="24"/>
      <w:szCs w:val="32"/>
      <w:lang w:val="en-GB"/>
    </w:rPr>
  </w:style>
  <w:style w:type="paragraph" w:styleId="Caption">
    <w:name w:val="caption"/>
    <w:basedOn w:val="Normal"/>
    <w:next w:val="Normal"/>
    <w:uiPriority w:val="35"/>
    <w:unhideWhenUsed/>
    <w:qFormat/>
    <w:rsid w:val="003A55BF"/>
    <w:pPr>
      <w:spacing w:line="240" w:lineRule="auto"/>
    </w:pPr>
    <w:rPr>
      <w:rFonts w:ascii="Arial" w:eastAsia="MS Mincho" w:hAnsi="Arial" w:cs="Times New Roman"/>
      <w:bCs/>
      <w:sz w:val="18"/>
      <w:szCs w:val="18"/>
      <w:lang w:val="en-GB"/>
    </w:rPr>
  </w:style>
  <w:style w:type="table" w:styleId="TableGrid">
    <w:name w:val="Table Grid"/>
    <w:basedOn w:val="TableNormal"/>
    <w:uiPriority w:val="59"/>
    <w:rsid w:val="003A55BF"/>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1">
    <w:name w:val="Medium Shading 1 Accent 1"/>
    <w:basedOn w:val="TableNormal"/>
    <w:uiPriority w:val="63"/>
    <w:rsid w:val="003A55BF"/>
    <w:pPr>
      <w:spacing w:after="0" w:line="240" w:lineRule="auto"/>
    </w:pPr>
    <w:rPr>
      <w:rFonts w:ascii="Cambria" w:eastAsia="MS Mincho" w:hAnsi="Cambria" w:cs="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4383499">
      <w:bodyDiv w:val="1"/>
      <w:marLeft w:val="0"/>
      <w:marRight w:val="0"/>
      <w:marTop w:val="0"/>
      <w:marBottom w:val="0"/>
      <w:divBdr>
        <w:top w:val="none" w:sz="0" w:space="0" w:color="auto"/>
        <w:left w:val="none" w:sz="0" w:space="0" w:color="auto"/>
        <w:bottom w:val="none" w:sz="0" w:space="0" w:color="auto"/>
        <w:right w:val="none" w:sz="0" w:space="0" w:color="auto"/>
      </w:divBdr>
    </w:div>
    <w:div w:id="1446651126">
      <w:bodyDiv w:val="1"/>
      <w:marLeft w:val="0"/>
      <w:marRight w:val="0"/>
      <w:marTop w:val="0"/>
      <w:marBottom w:val="0"/>
      <w:divBdr>
        <w:top w:val="none" w:sz="0" w:space="0" w:color="auto"/>
        <w:left w:val="none" w:sz="0" w:space="0" w:color="auto"/>
        <w:bottom w:val="none" w:sz="0" w:space="0" w:color="auto"/>
        <w:right w:val="none" w:sz="0" w:space="0" w:color="auto"/>
      </w:divBdr>
    </w:div>
    <w:div w:id="18147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gov.ie/blog/publications/general-scheme-of-health-information-and-patient-safety-bil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yalmarsd" TargetMode="External"/><Relationship Id="rId5" Type="http://schemas.openxmlformats.org/officeDocument/2006/relationships/webSettings" Target="webSettings.xml"/><Relationship Id="rId10" Type="http://schemas.openxmlformats.org/officeDocument/2006/relationships/hyperlink" Target="https://hse.ie/eng/services/list/5/cancer/pubs/reports/7yearreport.pdf" TargetMode="External"/><Relationship Id="rId4" Type="http://schemas.openxmlformats.org/officeDocument/2006/relationships/settings" Target="settings.xml"/><Relationship Id="rId9" Type="http://schemas.openxmlformats.org/officeDocument/2006/relationships/hyperlink" Target="https://www.hiqa.ie/publications/guidance-developing-key-performance-indicators-kpis-and-minimum-data-setsmonitor-he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C325C-2871-4B38-90DF-B5B14F5DC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24</Pages>
  <Words>9522</Words>
  <Characters>54279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Mellett</dc:creator>
  <cp:keywords/>
  <dc:description/>
  <cp:lastModifiedBy>Ciara Mellett</cp:lastModifiedBy>
  <cp:revision>10</cp:revision>
  <dcterms:created xsi:type="dcterms:W3CDTF">2020-08-06T13:44:00Z</dcterms:created>
  <dcterms:modified xsi:type="dcterms:W3CDTF">2020-08-06T16:43:00Z</dcterms:modified>
</cp:coreProperties>
</file>