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4FD0B390" w:rsidR="004C6123" w:rsidRDefault="00A076BA">
      <w:pPr>
        <w:spacing w:before="0" w:after="0"/>
        <w:jc w:val="center"/>
        <w:rPr>
          <w:b/>
          <w:sz w:val="28"/>
          <w:szCs w:val="28"/>
        </w:rPr>
      </w:pPr>
      <w:r>
        <w:rPr>
          <w:b/>
          <w:sz w:val="28"/>
          <w:szCs w:val="28"/>
        </w:rPr>
        <w:t>Governing Global Higher Education and Science</w:t>
      </w:r>
      <w:r w:rsidR="009A6111">
        <w:rPr>
          <w:b/>
          <w:sz w:val="28"/>
          <w:szCs w:val="28"/>
        </w:rPr>
        <w:t>:</w:t>
      </w:r>
      <w:r>
        <w:rPr>
          <w:b/>
          <w:sz w:val="28"/>
          <w:szCs w:val="28"/>
        </w:rPr>
        <w:t xml:space="preserve"> IONAs and </w:t>
      </w:r>
      <w:r w:rsidR="009A6111">
        <w:rPr>
          <w:b/>
          <w:sz w:val="28"/>
          <w:szCs w:val="28"/>
        </w:rPr>
        <w:t>E</w:t>
      </w:r>
      <w:r>
        <w:rPr>
          <w:b/>
          <w:sz w:val="28"/>
          <w:szCs w:val="28"/>
        </w:rPr>
        <w:t>ver-</w:t>
      </w:r>
      <w:r w:rsidR="009A6111">
        <w:rPr>
          <w:b/>
          <w:sz w:val="28"/>
          <w:szCs w:val="28"/>
        </w:rPr>
        <w:t>R</w:t>
      </w:r>
      <w:r>
        <w:rPr>
          <w:b/>
          <w:sz w:val="28"/>
          <w:szCs w:val="28"/>
        </w:rPr>
        <w:t xml:space="preserve">enewing </w:t>
      </w:r>
      <w:r w:rsidR="009A6111">
        <w:rPr>
          <w:b/>
          <w:sz w:val="28"/>
          <w:szCs w:val="28"/>
        </w:rPr>
        <w:t>W</w:t>
      </w:r>
      <w:r>
        <w:rPr>
          <w:b/>
          <w:sz w:val="28"/>
          <w:szCs w:val="28"/>
        </w:rPr>
        <w:t xml:space="preserve">ebs of </w:t>
      </w:r>
      <w:r w:rsidR="009A6111">
        <w:rPr>
          <w:b/>
          <w:sz w:val="28"/>
          <w:szCs w:val="28"/>
        </w:rPr>
        <w:t>I</w:t>
      </w:r>
      <w:r>
        <w:rPr>
          <w:b/>
          <w:sz w:val="28"/>
          <w:szCs w:val="28"/>
        </w:rPr>
        <w:t>nterconnection</w:t>
      </w:r>
      <w:r w:rsidR="00C611AA">
        <w:rPr>
          <w:rStyle w:val="FootnoteReference"/>
          <w:b/>
          <w:sz w:val="28"/>
          <w:szCs w:val="28"/>
        </w:rPr>
        <w:footnoteReference w:id="1"/>
      </w:r>
    </w:p>
    <w:p w14:paraId="00000002" w14:textId="77777777" w:rsidR="004C6123" w:rsidRDefault="004C6123">
      <w:pPr>
        <w:spacing w:before="0" w:after="0"/>
        <w:jc w:val="center"/>
        <w:rPr>
          <w:b/>
          <w:sz w:val="28"/>
          <w:szCs w:val="28"/>
        </w:rPr>
      </w:pPr>
    </w:p>
    <w:p w14:paraId="00000003" w14:textId="77777777" w:rsidR="004C6123" w:rsidRPr="00AD261E" w:rsidRDefault="00A076BA">
      <w:pPr>
        <w:spacing w:before="0" w:after="0"/>
        <w:jc w:val="center"/>
        <w:rPr>
          <w:i/>
          <w:color w:val="000000"/>
        </w:rPr>
      </w:pPr>
      <w:r w:rsidRPr="00AD261E">
        <w:rPr>
          <w:i/>
          <w:color w:val="000000"/>
        </w:rPr>
        <w:t xml:space="preserve">Ellen Hazelkorn </w:t>
      </w:r>
    </w:p>
    <w:p w14:paraId="00000004" w14:textId="7E0D22F7" w:rsidR="004C6123" w:rsidRPr="00AD261E" w:rsidRDefault="008F342A">
      <w:pPr>
        <w:spacing w:before="0" w:after="0"/>
        <w:jc w:val="center"/>
        <w:rPr>
          <w:i/>
          <w:color w:val="000000"/>
        </w:rPr>
      </w:pPr>
      <w:r w:rsidRPr="00AD261E">
        <w:rPr>
          <w:i/>
          <w:color w:val="000000"/>
        </w:rPr>
        <w:t>Professor Emerita, Technological University Dublin, and BH Associates, Ireland</w:t>
      </w:r>
    </w:p>
    <w:p w14:paraId="00000005" w14:textId="77777777" w:rsidR="004C6123" w:rsidRPr="00AD261E" w:rsidRDefault="004C6123">
      <w:pPr>
        <w:spacing w:before="0" w:after="0"/>
        <w:jc w:val="center"/>
        <w:rPr>
          <w:i/>
          <w:color w:val="000000"/>
        </w:rPr>
      </w:pPr>
    </w:p>
    <w:p w14:paraId="00000006" w14:textId="77777777" w:rsidR="004C6123" w:rsidRPr="00AD261E" w:rsidRDefault="00A076BA">
      <w:pPr>
        <w:spacing w:before="0" w:after="0"/>
        <w:jc w:val="center"/>
        <w:rPr>
          <w:i/>
          <w:color w:val="000000"/>
        </w:rPr>
      </w:pPr>
      <w:r w:rsidRPr="00AD261E">
        <w:rPr>
          <w:i/>
          <w:color w:val="000000"/>
        </w:rPr>
        <w:t>Andrew Gibson</w:t>
      </w:r>
    </w:p>
    <w:p w14:paraId="3F4D6E63" w14:textId="071373A9" w:rsidR="00AD261E" w:rsidRPr="00AD261E" w:rsidRDefault="00AD261E">
      <w:pPr>
        <w:spacing w:before="0" w:after="0"/>
        <w:jc w:val="center"/>
        <w:rPr>
          <w:rFonts w:asciiTheme="minorHAnsi" w:hAnsiTheme="minorHAnsi" w:cstheme="minorHAnsi"/>
          <w:color w:val="333333"/>
          <w:shd w:val="clear" w:color="auto" w:fill="FFFFFF"/>
          <w:lang w:val="en-IE" w:eastAsia="en-GB"/>
        </w:rPr>
      </w:pPr>
      <w:r w:rsidRPr="00AD261E">
        <w:rPr>
          <w:rFonts w:asciiTheme="minorHAnsi" w:hAnsiTheme="minorHAnsi" w:cstheme="minorHAnsi"/>
          <w:i/>
          <w:iCs/>
          <w:color w:val="333333"/>
          <w:shd w:val="clear" w:color="auto" w:fill="FFFFFF"/>
          <w:lang w:val="en-IE" w:eastAsia="en-GB"/>
        </w:rPr>
        <w:t>Assistant Professor in Philosophy of Education, Trinity College Dublin, University of Dublin</w:t>
      </w:r>
    </w:p>
    <w:p w14:paraId="63B03E61" w14:textId="77777777" w:rsidR="00AD261E" w:rsidRPr="00AD261E" w:rsidRDefault="00AD261E">
      <w:pPr>
        <w:spacing w:before="0" w:after="0"/>
        <w:jc w:val="center"/>
      </w:pPr>
    </w:p>
    <w:p w14:paraId="00000008" w14:textId="77777777" w:rsidR="004C6123" w:rsidRDefault="00A076BA">
      <w:pPr>
        <w:pBdr>
          <w:top w:val="nil"/>
          <w:left w:val="nil"/>
          <w:bottom w:val="nil"/>
          <w:right w:val="nil"/>
          <w:between w:val="nil"/>
        </w:pBdr>
        <w:spacing w:after="240"/>
        <w:rPr>
          <w:rFonts w:ascii="Times New Roman" w:eastAsia="Times New Roman" w:hAnsi="Times New Roman" w:cs="Times New Roman"/>
          <w:b/>
          <w:color w:val="000000"/>
        </w:rPr>
      </w:pPr>
      <w:r>
        <w:rPr>
          <w:b/>
        </w:rPr>
        <w:t>Abstract</w:t>
      </w:r>
    </w:p>
    <w:p w14:paraId="00000009" w14:textId="704D9639" w:rsidR="004C6123" w:rsidRDefault="00A076BA">
      <w:pPr>
        <w:widowControl w:val="0"/>
        <w:rPr>
          <w:sz w:val="22"/>
          <w:szCs w:val="22"/>
        </w:rPr>
      </w:pPr>
      <w:r>
        <w:rPr>
          <w:sz w:val="22"/>
          <w:szCs w:val="22"/>
        </w:rPr>
        <w:t>To speak of the interconnectedness of our world has become a truism since the most recent pulse of “globalisation</w:t>
      </w:r>
      <w:r w:rsidR="00047720">
        <w:rPr>
          <w:sz w:val="22"/>
          <w:szCs w:val="22"/>
        </w:rPr>
        <w:t>.</w:t>
      </w:r>
      <w:r>
        <w:rPr>
          <w:sz w:val="22"/>
          <w:szCs w:val="22"/>
        </w:rPr>
        <w:t xml:space="preserve">” </w:t>
      </w:r>
      <w:r w:rsidR="00047720">
        <w:rPr>
          <w:sz w:val="22"/>
          <w:szCs w:val="22"/>
        </w:rPr>
        <w:t>The r</w:t>
      </w:r>
      <w:r>
        <w:rPr>
          <w:sz w:val="22"/>
          <w:szCs w:val="22"/>
        </w:rPr>
        <w:t>esponse to the pandemic has highlighted both the interconnectedness of the world as well as the interconnectedness of science. Indeed, in different ways, these events have challenged the nation</w:t>
      </w:r>
      <w:r w:rsidR="00047720">
        <w:rPr>
          <w:sz w:val="22"/>
          <w:szCs w:val="22"/>
        </w:rPr>
        <w:t>-</w:t>
      </w:r>
      <w:r>
        <w:rPr>
          <w:sz w:val="22"/>
          <w:szCs w:val="22"/>
        </w:rPr>
        <w:t>state’s ability to withstand or respond effectively to the global</w:t>
      </w:r>
      <w:r w:rsidR="00047720">
        <w:rPr>
          <w:sz w:val="22"/>
          <w:szCs w:val="22"/>
        </w:rPr>
        <w:t>,</w:t>
      </w:r>
      <w:r>
        <w:rPr>
          <w:sz w:val="22"/>
          <w:szCs w:val="22"/>
        </w:rPr>
        <w:t xml:space="preserve"> thus lending urgency to international forms of governance. As higher education and science are central to the challenges that face us as a planet, it is important to see in what ways international and global higher education and science are governed. </w:t>
      </w:r>
    </w:p>
    <w:p w14:paraId="0000000A" w14:textId="099FA145" w:rsidR="004C6123" w:rsidRDefault="00A076BA">
      <w:pPr>
        <w:widowControl w:val="0"/>
        <w:rPr>
          <w:sz w:val="22"/>
          <w:szCs w:val="22"/>
        </w:rPr>
      </w:pPr>
      <w:r>
        <w:rPr>
          <w:sz w:val="22"/>
          <w:szCs w:val="22"/>
        </w:rPr>
        <w:t xml:space="preserve">Since the late </w:t>
      </w:r>
      <w:r w:rsidR="00047720">
        <w:rPr>
          <w:sz w:val="22"/>
          <w:szCs w:val="22"/>
        </w:rPr>
        <w:t>eighteenth century,</w:t>
      </w:r>
      <w:r>
        <w:rPr>
          <w:sz w:val="22"/>
          <w:szCs w:val="22"/>
        </w:rPr>
        <w:t xml:space="preserve"> elites have sought to find ways to govern international connections, and in the </w:t>
      </w:r>
      <w:r w:rsidR="00047720">
        <w:rPr>
          <w:sz w:val="22"/>
          <w:szCs w:val="22"/>
        </w:rPr>
        <w:t xml:space="preserve">twentieth century </w:t>
      </w:r>
      <w:r>
        <w:rPr>
          <w:sz w:val="22"/>
          <w:szCs w:val="22"/>
        </w:rPr>
        <w:t xml:space="preserve">this led to </w:t>
      </w:r>
      <w:r w:rsidR="00B758D0">
        <w:rPr>
          <w:sz w:val="22"/>
          <w:szCs w:val="22"/>
        </w:rPr>
        <w:t>wide variety</w:t>
      </w:r>
      <w:r>
        <w:rPr>
          <w:sz w:val="22"/>
          <w:szCs w:val="22"/>
        </w:rPr>
        <w:t xml:space="preserve"> of organizations</w:t>
      </w:r>
      <w:r w:rsidR="00B758D0">
        <w:rPr>
          <w:sz w:val="22"/>
          <w:szCs w:val="22"/>
        </w:rPr>
        <w:t xml:space="preserve"> often distinguishable by their initials</w:t>
      </w:r>
      <w:r>
        <w:rPr>
          <w:sz w:val="22"/>
          <w:szCs w:val="22"/>
        </w:rPr>
        <w:t xml:space="preserve">. </w:t>
      </w:r>
      <w:r w:rsidR="0094176B">
        <w:rPr>
          <w:sz w:val="22"/>
          <w:szCs w:val="22"/>
        </w:rPr>
        <w:t>A</w:t>
      </w:r>
      <w:r>
        <w:rPr>
          <w:sz w:val="22"/>
          <w:szCs w:val="22"/>
        </w:rPr>
        <w:t>s higher education began to transform itself from being a local institution embedded in its community to one which has been understood by states as useful for global positioning</w:t>
      </w:r>
      <w:r w:rsidR="0094176B">
        <w:rPr>
          <w:sz w:val="22"/>
          <w:szCs w:val="22"/>
        </w:rPr>
        <w:t xml:space="preserve">, a key component of the process has been the internationalisation of research and science. </w:t>
      </w:r>
      <w:r>
        <w:rPr>
          <w:sz w:val="22"/>
          <w:szCs w:val="22"/>
        </w:rPr>
        <w:t xml:space="preserve"> </w:t>
      </w:r>
    </w:p>
    <w:p w14:paraId="0000000B" w14:textId="31AD0F83" w:rsidR="004C6123" w:rsidRDefault="00A076BA">
      <w:pPr>
        <w:widowControl w:val="0"/>
        <w:rPr>
          <w:sz w:val="22"/>
          <w:szCs w:val="22"/>
        </w:rPr>
      </w:pPr>
      <w:r>
        <w:rPr>
          <w:sz w:val="22"/>
          <w:szCs w:val="22"/>
        </w:rPr>
        <w:t>This chapter illustrates that the proliferation of international organisations, networks, and associations (IONA) central to governing global higher education, research, and development (HERD) has no signs of slowing, and that the constant renewal of such connections is central to what makes a dynamic process of international cooperation. This chapter shows that the existence of webs of international, cross-border organisations of higher education constituting global governance is itself radically overdetermined. However, the process of integration and occasionally even coordination is not as comprehensive or complete as this picture might lead us to believe</w:t>
      </w:r>
      <w:r w:rsidR="00047720">
        <w:rPr>
          <w:sz w:val="22"/>
          <w:szCs w:val="22"/>
        </w:rPr>
        <w:t>—</w:t>
      </w:r>
      <w:r>
        <w:rPr>
          <w:sz w:val="22"/>
          <w:szCs w:val="22"/>
        </w:rPr>
        <w:t xml:space="preserve">and </w:t>
      </w:r>
      <w:r w:rsidR="00047720">
        <w:rPr>
          <w:sz w:val="22"/>
          <w:szCs w:val="22"/>
        </w:rPr>
        <w:t xml:space="preserve">as </w:t>
      </w:r>
      <w:r>
        <w:rPr>
          <w:sz w:val="22"/>
          <w:szCs w:val="22"/>
        </w:rPr>
        <w:t xml:space="preserve">is often portrayed. </w:t>
      </w:r>
      <w:r w:rsidR="00822C0A">
        <w:rPr>
          <w:sz w:val="22"/>
          <w:szCs w:val="22"/>
        </w:rPr>
        <w:t xml:space="preserve">This is not a one-way, one-time vectored system but a dynamic two-way process driven by universities, academics/scholars and students as well as by the IONAs. </w:t>
      </w:r>
    </w:p>
    <w:p w14:paraId="0000000C" w14:textId="77777777" w:rsidR="004C6123" w:rsidRDefault="00A076BA">
      <w:pPr>
        <w:pBdr>
          <w:top w:val="nil"/>
          <w:left w:val="nil"/>
          <w:bottom w:val="nil"/>
          <w:right w:val="nil"/>
          <w:between w:val="nil"/>
        </w:pBdr>
        <w:spacing w:after="240"/>
        <w:rPr>
          <w:b/>
          <w:color w:val="000000"/>
        </w:rPr>
      </w:pPr>
      <w:r>
        <w:rPr>
          <w:b/>
          <w:color w:val="000000"/>
        </w:rPr>
        <w:t>Chapter Keywords</w:t>
      </w:r>
    </w:p>
    <w:p w14:paraId="0000000D" w14:textId="19108956" w:rsidR="004C6123" w:rsidRDefault="00A076BA">
      <w:r>
        <w:t xml:space="preserve">IONAs, Governance, Research, Interdisciplinary, </w:t>
      </w:r>
      <w:r w:rsidR="00047720">
        <w:t>C</w:t>
      </w:r>
      <w:r>
        <w:t>ollaborations</w:t>
      </w:r>
    </w:p>
    <w:p w14:paraId="0000000E" w14:textId="77777777" w:rsidR="004C6123" w:rsidRDefault="004C6123"/>
    <w:p w14:paraId="0000000F" w14:textId="77777777" w:rsidR="004C6123" w:rsidRDefault="004C6123"/>
    <w:p w14:paraId="00000010" w14:textId="77777777" w:rsidR="004C6123" w:rsidRDefault="004C6123"/>
    <w:p w14:paraId="00000011" w14:textId="77777777" w:rsidR="004C6123" w:rsidRDefault="004C6123"/>
    <w:p w14:paraId="00000014" w14:textId="77777777" w:rsidR="004C6123" w:rsidRDefault="00A076BA">
      <w:pPr>
        <w:pBdr>
          <w:top w:val="nil"/>
          <w:left w:val="nil"/>
          <w:bottom w:val="nil"/>
          <w:right w:val="nil"/>
          <w:between w:val="nil"/>
        </w:pBdr>
        <w:spacing w:after="240"/>
        <w:rPr>
          <w:rFonts w:ascii="Times New Roman" w:eastAsia="Times New Roman" w:hAnsi="Times New Roman" w:cs="Times New Roman"/>
          <w:b/>
          <w:color w:val="000000"/>
        </w:rPr>
      </w:pPr>
      <w:r>
        <w:rPr>
          <w:b/>
        </w:rPr>
        <w:lastRenderedPageBreak/>
        <w:t>Key Discussion Areas</w:t>
      </w:r>
    </w:p>
    <w:p w14:paraId="00000016" w14:textId="7221D32C" w:rsidR="004C6123" w:rsidRPr="000529CB" w:rsidRDefault="00047720" w:rsidP="000529CB">
      <w:pPr>
        <w:numPr>
          <w:ilvl w:val="0"/>
          <w:numId w:val="4"/>
        </w:numPr>
        <w:pBdr>
          <w:top w:val="nil"/>
          <w:left w:val="nil"/>
          <w:bottom w:val="nil"/>
          <w:right w:val="nil"/>
          <w:between w:val="nil"/>
        </w:pBdr>
        <w:ind w:left="714" w:hanging="357"/>
        <w:rPr>
          <w:color w:val="000000"/>
        </w:rPr>
      </w:pPr>
      <w:r w:rsidRPr="000529CB">
        <w:rPr>
          <w:color w:val="000000"/>
        </w:rPr>
        <w:t>T</w:t>
      </w:r>
      <w:r w:rsidR="00A076BA" w:rsidRPr="000529CB">
        <w:rPr>
          <w:color w:val="000000"/>
        </w:rPr>
        <w:t xml:space="preserve">he </w:t>
      </w:r>
      <w:r w:rsidRPr="000529CB">
        <w:rPr>
          <w:color w:val="000000"/>
        </w:rPr>
        <w:t xml:space="preserve">issues emerging from the </w:t>
      </w:r>
      <w:r w:rsidR="00A076BA" w:rsidRPr="000529CB">
        <w:rPr>
          <w:color w:val="000000"/>
        </w:rPr>
        <w:t>changing higher education and research landscape</w:t>
      </w:r>
      <w:r w:rsidRPr="000529CB" w:rsidDel="00047720">
        <w:rPr>
          <w:color w:val="000000"/>
        </w:rPr>
        <w:t xml:space="preserve"> </w:t>
      </w:r>
    </w:p>
    <w:p w14:paraId="00000017" w14:textId="4A7990EE" w:rsidR="004C6123" w:rsidRPr="000529CB" w:rsidRDefault="00047720" w:rsidP="000529CB">
      <w:pPr>
        <w:numPr>
          <w:ilvl w:val="0"/>
          <w:numId w:val="4"/>
        </w:numPr>
        <w:pBdr>
          <w:top w:val="nil"/>
          <w:left w:val="nil"/>
          <w:bottom w:val="nil"/>
          <w:right w:val="nil"/>
          <w:between w:val="nil"/>
        </w:pBdr>
        <w:ind w:left="714" w:hanging="357"/>
        <w:rPr>
          <w:color w:val="000000"/>
        </w:rPr>
      </w:pPr>
      <w:r w:rsidRPr="000529CB">
        <w:rPr>
          <w:color w:val="000000"/>
        </w:rPr>
        <w:t>G</w:t>
      </w:r>
      <w:r w:rsidR="00A076BA" w:rsidRPr="000529CB">
        <w:rPr>
          <w:color w:val="000000"/>
        </w:rPr>
        <w:t>overnance in international HERD as</w:t>
      </w:r>
      <w:r w:rsidR="000529CB">
        <w:rPr>
          <w:color w:val="000000"/>
        </w:rPr>
        <w:t xml:space="preserve"> process of</w:t>
      </w:r>
      <w:r w:rsidR="00A076BA" w:rsidRPr="000529CB">
        <w:rPr>
          <w:color w:val="000000"/>
        </w:rPr>
        <w:t xml:space="preserve"> coordination</w:t>
      </w:r>
      <w:r w:rsidR="000529CB">
        <w:rPr>
          <w:color w:val="000000"/>
        </w:rPr>
        <w:t xml:space="preserve"> between HEIs, government</w:t>
      </w:r>
      <w:r w:rsidR="004F6870">
        <w:rPr>
          <w:color w:val="000000"/>
        </w:rPr>
        <w:t xml:space="preserve"> (local, regional, national), and international organisations, networks and associations (IONAs)</w:t>
      </w:r>
    </w:p>
    <w:p w14:paraId="00000018" w14:textId="1BAF88DE" w:rsidR="004C6123" w:rsidRPr="000529CB" w:rsidRDefault="00047720" w:rsidP="000529CB">
      <w:pPr>
        <w:numPr>
          <w:ilvl w:val="0"/>
          <w:numId w:val="4"/>
        </w:numPr>
        <w:pBdr>
          <w:top w:val="nil"/>
          <w:left w:val="nil"/>
          <w:bottom w:val="nil"/>
          <w:right w:val="nil"/>
          <w:between w:val="nil"/>
        </w:pBdr>
        <w:ind w:left="714" w:hanging="357"/>
        <w:rPr>
          <w:color w:val="000000"/>
        </w:rPr>
      </w:pPr>
      <w:r w:rsidRPr="000529CB">
        <w:rPr>
          <w:color w:val="000000"/>
        </w:rPr>
        <w:t>P</w:t>
      </w:r>
      <w:r w:rsidR="00A076BA" w:rsidRPr="000529CB">
        <w:rPr>
          <w:color w:val="000000"/>
        </w:rPr>
        <w:t>erspectives on global governance of higher education and science</w:t>
      </w:r>
    </w:p>
    <w:p w14:paraId="23DE1FD8" w14:textId="38225B7B" w:rsidR="00047720" w:rsidRPr="000529CB" w:rsidRDefault="00047720" w:rsidP="000529CB">
      <w:pPr>
        <w:numPr>
          <w:ilvl w:val="0"/>
          <w:numId w:val="4"/>
        </w:numPr>
        <w:pBdr>
          <w:top w:val="nil"/>
          <w:left w:val="nil"/>
          <w:bottom w:val="nil"/>
          <w:right w:val="nil"/>
          <w:between w:val="nil"/>
        </w:pBdr>
        <w:ind w:left="714" w:hanging="357"/>
        <w:rPr>
          <w:color w:val="000000"/>
        </w:rPr>
      </w:pPr>
      <w:r w:rsidRPr="000529CB">
        <w:rPr>
          <w:color w:val="000000"/>
        </w:rPr>
        <w:t>Interconnected</w:t>
      </w:r>
      <w:r w:rsidR="00A076BA" w:rsidRPr="000529CB">
        <w:rPr>
          <w:color w:val="000000"/>
        </w:rPr>
        <w:t xml:space="preserve"> webs of IONAs and associated tools</w:t>
      </w:r>
    </w:p>
    <w:p w14:paraId="00000019" w14:textId="57ED56B8" w:rsidR="004C6123" w:rsidRPr="000529CB" w:rsidRDefault="00047720" w:rsidP="000529CB">
      <w:pPr>
        <w:numPr>
          <w:ilvl w:val="0"/>
          <w:numId w:val="4"/>
        </w:numPr>
        <w:pBdr>
          <w:top w:val="nil"/>
          <w:left w:val="nil"/>
          <w:bottom w:val="nil"/>
          <w:right w:val="nil"/>
          <w:between w:val="nil"/>
        </w:pBdr>
        <w:ind w:left="714" w:hanging="357"/>
        <w:rPr>
          <w:color w:val="000000"/>
        </w:rPr>
      </w:pPr>
      <w:r w:rsidRPr="000529CB">
        <w:rPr>
          <w:color w:val="000000"/>
        </w:rPr>
        <w:t>Developments in</w:t>
      </w:r>
      <w:r w:rsidR="00A076BA" w:rsidRPr="000529CB">
        <w:rPr>
          <w:color w:val="000000"/>
        </w:rPr>
        <w:t xml:space="preserve"> the contemporary ecosystem of governing higher education</w:t>
      </w:r>
    </w:p>
    <w:p w14:paraId="4724A750" w14:textId="77777777" w:rsidR="000529CB" w:rsidRPr="00047720" w:rsidRDefault="000529CB" w:rsidP="00E51A3A">
      <w:pPr>
        <w:pBdr>
          <w:top w:val="nil"/>
          <w:left w:val="nil"/>
          <w:bottom w:val="nil"/>
          <w:right w:val="nil"/>
          <w:between w:val="nil"/>
        </w:pBdr>
        <w:spacing w:before="0"/>
        <w:rPr>
          <w:color w:val="000000"/>
        </w:rPr>
      </w:pPr>
    </w:p>
    <w:p w14:paraId="0000001A" w14:textId="49B184FB" w:rsidR="004C6123" w:rsidRDefault="00A076BA">
      <w:pPr>
        <w:pStyle w:val="Heading1"/>
        <w:numPr>
          <w:ilvl w:val="0"/>
          <w:numId w:val="3"/>
        </w:numPr>
      </w:pPr>
      <w:r>
        <w:rPr>
          <w:rFonts w:ascii="Calibri" w:eastAsia="Calibri" w:hAnsi="Calibri" w:cs="Calibri"/>
        </w:rPr>
        <w:t xml:space="preserve">A </w:t>
      </w:r>
      <w:r w:rsidR="00047720">
        <w:rPr>
          <w:rFonts w:ascii="Calibri" w:eastAsia="Calibri" w:hAnsi="Calibri" w:cs="Calibri"/>
        </w:rPr>
        <w:t>C</w:t>
      </w:r>
      <w:r>
        <w:rPr>
          <w:rFonts w:ascii="Calibri" w:eastAsia="Calibri" w:hAnsi="Calibri" w:cs="Calibri"/>
        </w:rPr>
        <w:t xml:space="preserve">hanging </w:t>
      </w:r>
      <w:r w:rsidR="00047720">
        <w:rPr>
          <w:rFonts w:ascii="Calibri" w:eastAsia="Calibri" w:hAnsi="Calibri" w:cs="Calibri"/>
        </w:rPr>
        <w:t>H</w:t>
      </w:r>
      <w:r>
        <w:rPr>
          <w:rFonts w:ascii="Calibri" w:eastAsia="Calibri" w:hAnsi="Calibri" w:cs="Calibri"/>
        </w:rPr>
        <w:t xml:space="preserve">igher </w:t>
      </w:r>
      <w:r w:rsidR="00047720">
        <w:rPr>
          <w:rFonts w:ascii="Calibri" w:eastAsia="Calibri" w:hAnsi="Calibri" w:cs="Calibri"/>
        </w:rPr>
        <w:t>E</w:t>
      </w:r>
      <w:r>
        <w:rPr>
          <w:rFonts w:ascii="Calibri" w:eastAsia="Calibri" w:hAnsi="Calibri" w:cs="Calibri"/>
        </w:rPr>
        <w:t xml:space="preserve">ducation and </w:t>
      </w:r>
      <w:r w:rsidR="00047720">
        <w:rPr>
          <w:rFonts w:ascii="Calibri" w:eastAsia="Calibri" w:hAnsi="Calibri" w:cs="Calibri"/>
        </w:rPr>
        <w:t>R</w:t>
      </w:r>
      <w:r>
        <w:rPr>
          <w:rFonts w:ascii="Calibri" w:eastAsia="Calibri" w:hAnsi="Calibri" w:cs="Calibri"/>
        </w:rPr>
        <w:t xml:space="preserve">esearch </w:t>
      </w:r>
      <w:r w:rsidR="00047720">
        <w:rPr>
          <w:rFonts w:ascii="Calibri" w:eastAsia="Calibri" w:hAnsi="Calibri" w:cs="Calibri"/>
        </w:rPr>
        <w:t>W</w:t>
      </w:r>
      <w:r>
        <w:rPr>
          <w:rFonts w:ascii="Calibri" w:eastAsia="Calibri" w:hAnsi="Calibri" w:cs="Calibri"/>
        </w:rPr>
        <w:t>orld</w:t>
      </w:r>
      <w:r>
        <w:t xml:space="preserve"> </w:t>
      </w:r>
    </w:p>
    <w:p w14:paraId="0000001C" w14:textId="7ECBF83F" w:rsidR="004C6123" w:rsidRDefault="00A076BA">
      <w:r>
        <w:t xml:space="preserve">In today’s world, trade and movement of people are not </w:t>
      </w:r>
      <w:r w:rsidR="006F1EFF">
        <w:t xml:space="preserve">only </w:t>
      </w:r>
      <w:r>
        <w:t>oblivious to national boundaries, but actively creating many new goods and services, new ways of living and working, and tools for networking and policy</w:t>
      </w:r>
      <w:r w:rsidR="006F1EFF">
        <w:t>-</w:t>
      </w:r>
      <w:r>
        <w:t xml:space="preserve">making </w:t>
      </w:r>
      <w:r w:rsidR="006F1EFF">
        <w:t xml:space="preserve">that </w:t>
      </w:r>
      <w:r>
        <w:t>further integrate peoples and nations into an increasingly interconnected and interdependent world. This works both ways, of course</w:t>
      </w:r>
      <w:r w:rsidR="006F1EFF">
        <w:t>:</w:t>
      </w:r>
      <w:r>
        <w:t xml:space="preserve"> the world’s increasing interconnectedness means that countries, people</w:t>
      </w:r>
      <w:r w:rsidR="006F1EFF">
        <w:t>,</w:t>
      </w:r>
      <w:r>
        <w:t xml:space="preserve"> </w:t>
      </w:r>
      <w:r w:rsidR="006F1EFF">
        <w:t>and</w:t>
      </w:r>
      <w:r>
        <w:t xml:space="preserve"> issues </w:t>
      </w:r>
      <w:r w:rsidR="006F1EFF">
        <w:t xml:space="preserve">that </w:t>
      </w:r>
      <w:r>
        <w:t>were previously unfamiliar or distant can become immediate and challenging</w:t>
      </w:r>
      <w:r w:rsidR="00A60326">
        <w:t>. D</w:t>
      </w:r>
      <w:r>
        <w:t>isease</w:t>
      </w:r>
      <w:r w:rsidR="006F1EFF">
        <w:t>s</w:t>
      </w:r>
      <w:r>
        <w:t xml:space="preserve"> (e.g. C</w:t>
      </w:r>
      <w:r w:rsidR="006F1EFF">
        <w:t>ovid</w:t>
      </w:r>
      <w:r>
        <w:t>-19, Ebola</w:t>
      </w:r>
      <w:r w:rsidR="006F1EFF">
        <w:t>,</w:t>
      </w:r>
      <w:r>
        <w:t xml:space="preserve"> or Zika), migration (e.g. crossing the Mediterranean</w:t>
      </w:r>
      <w:r w:rsidR="006F1EFF">
        <w:t xml:space="preserve"> into</w:t>
      </w:r>
      <w:r>
        <w:t xml:space="preserve"> or from Central </w:t>
      </w:r>
      <w:r w:rsidR="006F1EFF">
        <w:t xml:space="preserve">to North </w:t>
      </w:r>
      <w:r>
        <w:t>America), politic</w:t>
      </w:r>
      <w:r w:rsidR="006F1EFF">
        <w:t>al</w:t>
      </w:r>
      <w:r>
        <w:t>-religious movements (e.g. jihadi extremism)</w:t>
      </w:r>
      <w:r w:rsidR="006F1EFF">
        <w:t>,</w:t>
      </w:r>
      <w:r>
        <w:t xml:space="preserve"> and financial crisis (1997 banking crisis in Thailand, collapse of the subprime mortgage market in 2007 in the U</w:t>
      </w:r>
      <w:r w:rsidR="006F1EFF">
        <w:t>nited States</w:t>
      </w:r>
      <w:r>
        <w:t>)</w:t>
      </w:r>
      <w:r w:rsidR="00A60326">
        <w:t xml:space="preserve"> and climate change/global warming are all powerful indicators of the extent to which the world is tied together by interests that transcend social, cultural, ethnic, and/or economic boundaries. The</w:t>
      </w:r>
      <w:r w:rsidR="008B2F35">
        <w:t xml:space="preserve"> Russian invasion of Ukraine </w:t>
      </w:r>
      <w:r w:rsidR="00A60326">
        <w:t xml:space="preserve">in early 2022 </w:t>
      </w:r>
      <w:r w:rsidR="008B2F35">
        <w:t>resulting</w:t>
      </w:r>
      <w:r w:rsidR="00A60326">
        <w:t xml:space="preserve"> in a global</w:t>
      </w:r>
      <w:r w:rsidR="008B2F35">
        <w:t xml:space="preserve"> energy crisis and projected </w:t>
      </w:r>
      <w:r w:rsidR="00572719">
        <w:t xml:space="preserve">global </w:t>
      </w:r>
      <w:r w:rsidR="008B2F35">
        <w:t xml:space="preserve">recession </w:t>
      </w:r>
      <w:r w:rsidR="00A60326">
        <w:t xml:space="preserve">have </w:t>
      </w:r>
      <w:r w:rsidR="008B2F35">
        <w:t>heightened</w:t>
      </w:r>
      <w:r w:rsidR="00A60326">
        <w:t xml:space="preserve"> the </w:t>
      </w:r>
      <w:r>
        <w:t>“we’re all in this together”</w:t>
      </w:r>
      <w:r w:rsidR="004C0EE6">
        <w:t xml:space="preserve"> </w:t>
      </w:r>
      <w:r w:rsidR="00572719" w:rsidRPr="00572719">
        <w:rPr>
          <w:lang w:val="en-US"/>
        </w:rPr>
        <w:t>frame</w:t>
      </w:r>
      <w:r w:rsidR="00572719">
        <w:rPr>
          <w:lang w:val="en-US"/>
        </w:rPr>
        <w:t>-</w:t>
      </w:r>
      <w:r w:rsidR="00572719" w:rsidRPr="00572719">
        <w:rPr>
          <w:lang w:val="en-US"/>
        </w:rPr>
        <w:t>of</w:t>
      </w:r>
      <w:r w:rsidR="00572719">
        <w:rPr>
          <w:lang w:val="en-US"/>
        </w:rPr>
        <w:t>-</w:t>
      </w:r>
      <w:r w:rsidR="00572719" w:rsidRPr="00572719">
        <w:rPr>
          <w:lang w:val="en-US"/>
        </w:rPr>
        <w:t>mind</w:t>
      </w:r>
      <w:r w:rsidR="008B2F35">
        <w:t>.</w:t>
      </w:r>
      <w:r>
        <w:t xml:space="preserve"> </w:t>
      </w:r>
      <w:r w:rsidR="002457BC">
        <w:t>In response, n</w:t>
      </w:r>
      <w:r>
        <w:t xml:space="preserve">eo-nationalism, </w:t>
      </w:r>
      <w:r w:rsidR="005D2DD1">
        <w:t xml:space="preserve">re-shoring and </w:t>
      </w:r>
      <w:r>
        <w:t>protectionism, and opposition to immigration</w:t>
      </w:r>
      <w:r w:rsidR="009A1838">
        <w:t>—</w:t>
      </w:r>
      <w:r>
        <w:t>alongside various “culture wars” articulations</w:t>
      </w:r>
      <w:r w:rsidR="009A1838">
        <w:t>—</w:t>
      </w:r>
      <w:r>
        <w:t xml:space="preserve">are angry reactions </w:t>
      </w:r>
      <w:r w:rsidR="0032121D">
        <w:t xml:space="preserve">to the challenges of </w:t>
      </w:r>
      <w:r>
        <w:t xml:space="preserve">interconnectedness </w:t>
      </w:r>
      <w:r w:rsidR="00827962">
        <w:fldChar w:fldCharType="begin" w:fldLock="1"/>
      </w:r>
      <w:r w:rsidR="002563B7">
        <w:instrText>ADDIN CSL_CITATION {"citationItems":[{"id":"ITEM-1","itemData":{"ISBN":"ID 2818659","abstract":"Rising support for populist parties has disrupted the politics of many Western societies. What explains this phenomenon? Two theories are examined here. Perhaps the most widely-held view of mass support for populism -- the economic insecurity perspective--emphasizes the consequences of profound changes transforming the workforce and society in post-industrial economies. Alternatively, the cultural backlash thesis suggests that support can be explained as a retro reaction by once-predominant sectors of the population to progressive value change. To consider these arguments, Part I develops the conceptual and theoretical framework. Part II of the study uses the 2014 Chapel Hill Expert Survey (CHES) to identify the ideological location of 268 political parties in 31 European countries. Part III compares the pattern of European party competition at national-level. Part IV uses the pooled European Social Survey 1-6 (2002-2014) to examine the cross-national evidence at individual level for the impact of the economic insecurity and cultural values as predictors of voting for populist parties. Part V summarizes the key findings and considers their implications. Overall, we find the most consistent evidence supporting the cultural backlash thesis.","author":[{"dropping-particle":"","family":"Inglehart","given":"Ronald F.","non-dropping-particle":"","parse-names":false,"suffix":""},{"dropping-particle":"","family":"Norris","given":"Pippa","non-dropping-particle":"","parse-names":false,"suffix":""}],"collection-title":"Harvard Kennedy School (HKS) Working Paper","id":"ITEM-1","issued":{"date-parts":[["2016"]]},"number":"No. RWP16-026","number-of-pages":"1-52","publisher-place":"Cambridge, MA","title":"Trump, Brexit, and the Rise of Populism: Economic Have-Nots and Cultural Backlash","type":"report"},"uris":["http://www.mendeley.com/documents/?uuid=1c569aa4-d0b0-4894-b0f2-ad49c7580419"]}],"mendeley":{"formattedCitation":"(Inglehart and Norris 2016)","plainTextFormattedCitation":"(Inglehart and Norris 2016)","previouslyFormattedCitation":"(Inglehart and Norris 2016)"},"properties":{"noteIndex":0},"schema":"https://github.com/citation-style-language/schema/raw/master/csl-citation.json"}</w:instrText>
      </w:r>
      <w:r w:rsidR="00827962">
        <w:fldChar w:fldCharType="separate"/>
      </w:r>
      <w:r w:rsidR="002563B7" w:rsidRPr="002563B7">
        <w:rPr>
          <w:noProof/>
        </w:rPr>
        <w:t>(Inglehart and Norris 2016)</w:t>
      </w:r>
      <w:r w:rsidR="00827962">
        <w:fldChar w:fldCharType="end"/>
      </w:r>
      <w:r>
        <w:t xml:space="preserve">. </w:t>
      </w:r>
    </w:p>
    <w:p w14:paraId="2D15D8A1" w14:textId="10C46FBB" w:rsidR="00A05173" w:rsidRDefault="00A076BA">
      <w:r>
        <w:t>Higher education, research, and development (HERD) has, along with the rest of society, been transformed by these developments. Its role with respect to talent maximi</w:t>
      </w:r>
      <w:r w:rsidR="004F2C6B">
        <w:t>z</w:t>
      </w:r>
      <w:r>
        <w:t xml:space="preserve">ation and knowledge production and exchange has been central to its mission. </w:t>
      </w:r>
      <w:r w:rsidR="00A05173">
        <w:t>Equally important, HERD’s</w:t>
      </w:r>
      <w:r>
        <w:t xml:space="preserve"> place in </w:t>
      </w:r>
      <w:r w:rsidR="00A05173">
        <w:t xml:space="preserve">the </w:t>
      </w:r>
      <w:r>
        <w:t>globali</w:t>
      </w:r>
      <w:r w:rsidR="004F2C6B">
        <w:t>z</w:t>
      </w:r>
      <w:r>
        <w:t xml:space="preserve">ed economy is well understood </w:t>
      </w:r>
      <w:r w:rsidR="00A05173">
        <w:t xml:space="preserve">and promulgated </w:t>
      </w:r>
      <w:r>
        <w:t xml:space="preserve">by policymakers </w:t>
      </w:r>
      <w:r w:rsidR="00A05173">
        <w:t xml:space="preserve">as being critical </w:t>
      </w:r>
      <w:r>
        <w:t xml:space="preserve">to effecting change in a dynamic and rapidly changing global landscape. Global diffusion of knowledge signifies a changed understanding of the role of </w:t>
      </w:r>
      <w:r w:rsidR="00A05173">
        <w:t xml:space="preserve">higher education and university-based research </w:t>
      </w:r>
      <w:r>
        <w:t xml:space="preserve">for </w:t>
      </w:r>
      <w:r w:rsidR="00047720">
        <w:t>nation-state</w:t>
      </w:r>
      <w:r>
        <w:t xml:space="preserve">s to build national </w:t>
      </w:r>
      <w:r w:rsidR="00A05173">
        <w:t xml:space="preserve">and human-capital </w:t>
      </w:r>
      <w:r>
        <w:t xml:space="preserve">capacity and capability and strengthen global positioning. </w:t>
      </w:r>
    </w:p>
    <w:p w14:paraId="0000001D" w14:textId="111B0AE5" w:rsidR="004C6123" w:rsidRDefault="00573350">
      <w:r w:rsidRPr="2CF0AEB1">
        <w:rPr>
          <w:rFonts w:asciiTheme="minorHAnsi" w:hAnsiTheme="minorHAnsi" w:cstheme="minorBidi"/>
          <w:color w:val="000000"/>
          <w:shd w:val="clear" w:color="auto" w:fill="FFFFFF"/>
        </w:rPr>
        <w:t>The earliest universities were strongly international</w:t>
      </w:r>
      <w:r w:rsidRPr="00573350">
        <w:t xml:space="preserve"> </w:t>
      </w:r>
      <w:r>
        <w:t>even before the emergence of nation-states</w:t>
      </w:r>
      <w:r w:rsidRPr="2CF0AEB1">
        <w:rPr>
          <w:rFonts w:asciiTheme="minorHAnsi" w:hAnsiTheme="minorHAnsi" w:cstheme="minorBidi"/>
          <w:color w:val="000000"/>
          <w:shd w:val="clear" w:color="auto" w:fill="FFFFFF"/>
        </w:rPr>
        <w:t xml:space="preserve">. As </w:t>
      </w:r>
      <w:r>
        <w:rPr>
          <w:rFonts w:asciiTheme="minorHAnsi" w:hAnsiTheme="minorHAnsi" w:cstheme="minorBidi"/>
          <w:color w:val="000000"/>
          <w:shd w:val="clear" w:color="auto" w:fill="FFFFFF"/>
        </w:rPr>
        <w:t xml:space="preserve">Philip </w:t>
      </w:r>
      <w:r w:rsidRPr="2CF0AEB1">
        <w:rPr>
          <w:rFonts w:asciiTheme="minorHAnsi" w:hAnsiTheme="minorHAnsi" w:cstheme="minorBidi"/>
          <w:color w:val="000000"/>
          <w:shd w:val="clear" w:color="auto" w:fill="FFFFFF"/>
        </w:rPr>
        <w:t>Altbach reminds us, “all universities in the world today, with the exception of the al-Azhar in Cairo, stem from the same historical roots – the medieval European university” including the non-Western world</w:t>
      </w:r>
      <w:r w:rsidR="002F0D65">
        <w:rPr>
          <w:rFonts w:asciiTheme="minorHAnsi" w:hAnsiTheme="minorHAnsi" w:cstheme="minorBidi"/>
          <w:color w:val="000000"/>
          <w:shd w:val="clear" w:color="auto" w:fill="FFFFFF"/>
        </w:rPr>
        <w:t xml:space="preserve"> </w:t>
      </w:r>
      <w:r w:rsidR="002F0D65">
        <w:rPr>
          <w:rFonts w:asciiTheme="minorHAnsi" w:hAnsiTheme="minorHAnsi" w:cstheme="minorBidi"/>
          <w:color w:val="000000"/>
          <w:shd w:val="clear" w:color="auto" w:fill="FFFFFF"/>
        </w:rPr>
        <w:fldChar w:fldCharType="begin" w:fldLock="1"/>
      </w:r>
      <w:r w:rsidR="002563B7">
        <w:rPr>
          <w:rFonts w:asciiTheme="minorHAnsi" w:hAnsiTheme="minorHAnsi" w:cstheme="minorBidi"/>
          <w:color w:val="000000"/>
          <w:shd w:val="clear" w:color="auto" w:fill="FFFFFF"/>
        </w:rPr>
        <w:instrText>ADDIN CSL_CITATION {"citationItems":[{"id":"ITEM-1","itemData":{"DOI":"10.1080/13583883.2004.9967114","ISSN":"15731936","abstract":"Much has been said about the impact of globalisation on higher education. Some have argued that globalisation, the Internet and the scientific community will level the playing field in the new age of knowledge interdependence. Others claim that globalisation means both worldwide inequality and the McDonaldisation of the university. It is argued that all of the contemporary pressures on higher education, from the pressures of massification to the growth of the private sector, are the results of globalisation. There is a grain of truth in all of these hypotheses - and a good deal of misinterpretation as well. The purpose of this essay is to “unpack” the realities of globalisation and internationalisation in higher education and to highlight some of the ways in which globalisation affects the university. Of special interest here is how globalisation is affecting higher education in developing countries - the nations that will experience the bulk of higher education expansion in the coming decades. © 2004, Taylor &amp; Francis Group, LLC. All rights reserved.","author":[{"dropping-particle":"","family":"Altbach","given":"Philip G.","non-dropping-particle":"","parse-names":false,"suffix":""}],"container-title":"Tertiary Education and Management","id":"ITEM-1","issue":"1","issued":{"date-parts":[["2004"]]},"page":"3-25","title":"Globalisation and the university: Myths and realities in an unequal world","type":"article-journal","volume":"10"},"uris":["http://www.mendeley.com/documents/?uuid=ea45c98b-ac77-4ef4-8b09-a9f26f9d6c08"]}],"mendeley":{"formattedCitation":"(Altbach 2004)","manualFormatting":"(Altbach, 2004, p4)","plainTextFormattedCitation":"(Altbach 2004)","previouslyFormattedCitation":"(Altbach 2004)"},"properties":{"noteIndex":0},"schema":"https://github.com/citation-style-language/schema/raw/master/csl-citation.json"}</w:instrText>
      </w:r>
      <w:r w:rsidR="002F0D65">
        <w:rPr>
          <w:rFonts w:asciiTheme="minorHAnsi" w:hAnsiTheme="minorHAnsi" w:cstheme="minorBidi"/>
          <w:color w:val="000000"/>
          <w:shd w:val="clear" w:color="auto" w:fill="FFFFFF"/>
        </w:rPr>
        <w:fldChar w:fldCharType="separate"/>
      </w:r>
      <w:r w:rsidR="002F0D65" w:rsidRPr="002F0D65">
        <w:rPr>
          <w:rFonts w:asciiTheme="minorHAnsi" w:hAnsiTheme="minorHAnsi" w:cstheme="minorBidi"/>
          <w:noProof/>
          <w:color w:val="000000"/>
          <w:shd w:val="clear" w:color="auto" w:fill="FFFFFF"/>
        </w:rPr>
        <w:t>(Altbach, 2004</w:t>
      </w:r>
      <w:r w:rsidR="002F0D65">
        <w:rPr>
          <w:rFonts w:asciiTheme="minorHAnsi" w:hAnsiTheme="minorHAnsi" w:cstheme="minorBidi"/>
          <w:noProof/>
          <w:color w:val="000000"/>
          <w:shd w:val="clear" w:color="auto" w:fill="FFFFFF"/>
        </w:rPr>
        <w:t>, p4</w:t>
      </w:r>
      <w:r w:rsidR="002F0D65" w:rsidRPr="002F0D65">
        <w:rPr>
          <w:rFonts w:asciiTheme="minorHAnsi" w:hAnsiTheme="minorHAnsi" w:cstheme="minorBidi"/>
          <w:noProof/>
          <w:color w:val="000000"/>
          <w:shd w:val="clear" w:color="auto" w:fill="FFFFFF"/>
        </w:rPr>
        <w:t>)</w:t>
      </w:r>
      <w:r w:rsidR="002F0D65">
        <w:rPr>
          <w:rFonts w:asciiTheme="minorHAnsi" w:hAnsiTheme="minorHAnsi" w:cstheme="minorBidi"/>
          <w:color w:val="000000"/>
          <w:shd w:val="clear" w:color="auto" w:fill="FFFFFF"/>
        </w:rPr>
        <w:fldChar w:fldCharType="end"/>
      </w:r>
      <w:r w:rsidR="002F0D65">
        <w:rPr>
          <w:rFonts w:asciiTheme="minorHAnsi" w:hAnsiTheme="minorHAnsi" w:cstheme="minorBidi"/>
          <w:color w:val="000000"/>
          <w:shd w:val="clear" w:color="auto" w:fill="FFFFFF"/>
        </w:rPr>
        <w:t>.</w:t>
      </w:r>
      <w:r w:rsidRPr="2CF0AEB1">
        <w:rPr>
          <w:rFonts w:asciiTheme="minorHAnsi" w:hAnsiTheme="minorHAnsi" w:cstheme="minorBidi"/>
          <w:color w:val="000000"/>
          <w:shd w:val="clear" w:color="auto" w:fill="FFFFFF"/>
        </w:rPr>
        <w:t xml:space="preserve"> </w:t>
      </w:r>
      <w:r w:rsidRPr="2CF0AEB1">
        <w:rPr>
          <w:rFonts w:asciiTheme="minorHAnsi" w:hAnsiTheme="minorHAnsi" w:cstheme="minorBidi"/>
        </w:rPr>
        <w:t xml:space="preserve">Known as </w:t>
      </w:r>
      <w:r w:rsidRPr="2CF0AEB1">
        <w:rPr>
          <w:rFonts w:asciiTheme="minorHAnsi" w:hAnsiTheme="minorHAnsi" w:cstheme="minorBidi"/>
          <w:i/>
          <w:iCs/>
        </w:rPr>
        <w:t>studia generalia</w:t>
      </w:r>
      <w:r w:rsidRPr="2CF0AEB1">
        <w:rPr>
          <w:rFonts w:asciiTheme="minorHAnsi" w:hAnsiTheme="minorHAnsi" w:cstheme="minorBidi"/>
        </w:rPr>
        <w:t xml:space="preserve">, they were places where </w:t>
      </w:r>
      <w:r w:rsidRPr="2CF0AEB1">
        <w:rPr>
          <w:rFonts w:asciiTheme="minorHAnsi" w:hAnsiTheme="minorHAnsi" w:cstheme="minorBidi"/>
        </w:rPr>
        <w:lastRenderedPageBreak/>
        <w:t xml:space="preserve">scholars from across Europe were encouraged to come and give lectures and share ideas; they were places of cosmopolitanism and a commitment to universal knowledge. </w:t>
      </w:r>
      <w:r w:rsidR="00A076BA">
        <w:t>Latin as a trans-European language of the academy</w:t>
      </w:r>
      <w:r w:rsidR="004C0EE6">
        <w:t>, science and scholarship</w:t>
      </w:r>
      <w:r w:rsidR="004F2C6B">
        <w:t xml:space="preserve"> and</w:t>
      </w:r>
      <w:r w:rsidR="00A076BA">
        <w:t xml:space="preserve"> </w:t>
      </w:r>
      <w:r w:rsidR="004F2C6B">
        <w:t xml:space="preserve">the </w:t>
      </w:r>
      <w:r w:rsidR="00A076BA">
        <w:t>mobility of scholars</w:t>
      </w:r>
      <w:r w:rsidR="004F2C6B">
        <w:t xml:space="preserve"> across Europe</w:t>
      </w:r>
      <w:r w:rsidR="004C0EE6">
        <w:t xml:space="preserve"> last</w:t>
      </w:r>
      <w:r>
        <w:t>ed</w:t>
      </w:r>
      <w:r w:rsidR="004C0EE6">
        <w:t xml:space="preserve"> well </w:t>
      </w:r>
      <w:r>
        <w:t>into</w:t>
      </w:r>
      <w:r w:rsidR="004C0EE6">
        <w:t xml:space="preserve"> the 18</w:t>
      </w:r>
      <w:r w:rsidR="004C0EE6" w:rsidRPr="00E51A3A">
        <w:rPr>
          <w:vertAlign w:val="superscript"/>
        </w:rPr>
        <w:t>th</w:t>
      </w:r>
      <w:r w:rsidR="004C0EE6">
        <w:t xml:space="preserve"> century</w:t>
      </w:r>
      <w:r w:rsidR="00A076BA">
        <w:t xml:space="preserve">. </w:t>
      </w:r>
      <w:r>
        <w:t>In the decades following World War II, the era of “global” higher education and science became visible</w:t>
      </w:r>
      <w:r>
        <w:rPr>
          <w:rFonts w:asciiTheme="minorHAnsi" w:hAnsiTheme="minorHAnsi" w:cstheme="minorBidi"/>
        </w:rPr>
        <w:t xml:space="preserve"> facilitat</w:t>
      </w:r>
      <w:r w:rsidR="00EF4F3B">
        <w:rPr>
          <w:rFonts w:asciiTheme="minorHAnsi" w:hAnsiTheme="minorHAnsi" w:cstheme="minorBidi"/>
        </w:rPr>
        <w:t>ed by</w:t>
      </w:r>
      <w:r>
        <w:rPr>
          <w:rFonts w:asciiTheme="minorHAnsi" w:hAnsiTheme="minorHAnsi" w:cstheme="minorBidi"/>
        </w:rPr>
        <w:t xml:space="preserve"> large research universities</w:t>
      </w:r>
      <w:r w:rsidR="00EF4F3B">
        <w:rPr>
          <w:rFonts w:asciiTheme="minorHAnsi" w:hAnsiTheme="minorHAnsi" w:cstheme="minorBidi"/>
        </w:rPr>
        <w:t xml:space="preserve">, </w:t>
      </w:r>
      <w:r w:rsidRPr="2CF0AEB1">
        <w:rPr>
          <w:rFonts w:asciiTheme="minorHAnsi" w:hAnsiTheme="minorHAnsi" w:cstheme="minorBidi"/>
          <w:color w:val="000000"/>
          <w:shd w:val="clear" w:color="auto" w:fill="FFFFFF"/>
        </w:rPr>
        <w:t>rising levels of student, faculty and graduate mobility, and a wider range and number of educational providers both public and private</w:t>
      </w:r>
      <w:r>
        <w:rPr>
          <w:rFonts w:asciiTheme="minorHAnsi" w:hAnsiTheme="minorHAnsi" w:cstheme="minorBidi"/>
          <w:color w:val="000000"/>
          <w:shd w:val="clear" w:color="auto" w:fill="FFFFFF"/>
        </w:rPr>
        <w:t xml:space="preserve">. </w:t>
      </w:r>
    </w:p>
    <w:p w14:paraId="0000001E" w14:textId="1D3DD11A" w:rsidR="004C6123" w:rsidRDefault="00EF4F3B">
      <w:r>
        <w:t xml:space="preserve">The </w:t>
      </w:r>
      <w:r w:rsidR="00A076BA">
        <w:t xml:space="preserve">Manhattan Project was a U.S.-led research initiative between 1939 and 1946, involving Canada and the United Kingdom, to build the first atomic bomb. </w:t>
      </w:r>
      <w:r w:rsidR="006A0CC6">
        <w:t>It</w:t>
      </w:r>
      <w:r w:rsidR="004F2C6B">
        <w:t xml:space="preserve"> underscored</w:t>
      </w:r>
      <w:r w:rsidR="00A076BA">
        <w:t xml:space="preserve"> the importance of international collaboration in undertaking “big science”</w:t>
      </w:r>
      <w:r w:rsidR="004F2C6B">
        <w:t>—</w:t>
      </w:r>
      <w:r w:rsidR="00A076BA">
        <w:t>projects requiring multiple partners, institutions, and often countries</w:t>
      </w:r>
      <w:r w:rsidR="004F2C6B">
        <w:t>—</w:t>
      </w:r>
      <w:r w:rsidR="00A076BA">
        <w:t xml:space="preserve">which has propelled a “global tendency for convergence” </w:t>
      </w:r>
      <w:r w:rsidR="00B76299">
        <w:t xml:space="preserve"> </w:t>
      </w:r>
      <w:r w:rsidR="00B76299">
        <w:fldChar w:fldCharType="begin" w:fldLock="1"/>
      </w:r>
      <w:r w:rsidR="002563B7">
        <w:instrText>ADDIN CSL_CITATION {"citationItems":[{"id":"ITEM-1","itemData":{"DOI":"10.1038/490335a","ISSN":"00280836","author":[{"dropping-particle":"","family":"Adams","given":"Jonathan","non-dropping-particle":"","parse-names":false,"suffix":""}],"container-title":"Nature","id":"ITEM-1","issue":"7420","issued":{"date-parts":[["2012"]]},"page":"335-336","title":"Collaborations: The rise of research networks","type":"article-journal","volume":"490"},"uris":["http://www.mendeley.com/documents/?uuid=53175d57-88c0-498f-90d4-a3a58a37464c"]}],"mendeley":{"formattedCitation":"(Adams 2012)","plainTextFormattedCitation":"(Adams 2012)","previouslyFormattedCitation":"(Adams 2012)"},"properties":{"noteIndex":0},"schema":"https://github.com/citation-style-language/schema/raw/master/csl-citation.json"}</w:instrText>
      </w:r>
      <w:r w:rsidR="00B76299">
        <w:fldChar w:fldCharType="separate"/>
      </w:r>
      <w:r w:rsidR="002563B7" w:rsidRPr="002563B7">
        <w:rPr>
          <w:noProof/>
        </w:rPr>
        <w:t>(Adams 2012)</w:t>
      </w:r>
      <w:r w:rsidR="00B76299">
        <w:fldChar w:fldCharType="end"/>
      </w:r>
      <w:r w:rsidR="00B76299">
        <w:t xml:space="preserve"> </w:t>
      </w:r>
      <w:r w:rsidR="00A076BA">
        <w:t>and collaboration. Subsequent decades have seen a realignment of research toward networked transnational collaboration responding to global challenges rather than those relating to war</w:t>
      </w:r>
      <w:r w:rsidR="00B76299">
        <w:t xml:space="preserve"> </w:t>
      </w:r>
      <w:r w:rsidR="00B76299">
        <w:fldChar w:fldCharType="begin" w:fldLock="1"/>
      </w:r>
      <w:r w:rsidR="002563B7">
        <w:instrText>ADDIN CSL_CITATION {"citationItems":[{"id":"ITEM-1","itemData":{"author":[{"dropping-particle":"","family":"Aebischer","given":"Patrick","non-dropping-particle":"","parse-names":false,"suffix":""}],"container-title":"Perspectives on emerging issues. UNESCO Science Report 2015","id":"ITEM-1","issued":{"date-parts":[["2016"]]},"page":"3-5","publisher":"UNESCO","publisher-place":"Paris","title":"Universities: increasingly global players","type":"chapter"},"uris":["http://www.mendeley.com/documents/?uuid=d7107a65-418c-47a1-96be-72b45e5d711f"]}],"mendeley":{"formattedCitation":"(Aebischer 2016)","plainTextFormattedCitation":"(Aebischer 2016)","previouslyFormattedCitation":"(Aebischer 2016)"},"properties":{"noteIndex":0},"schema":"https://github.com/citation-style-language/schema/raw/master/csl-citation.json"}</w:instrText>
      </w:r>
      <w:r w:rsidR="00B76299">
        <w:fldChar w:fldCharType="separate"/>
      </w:r>
      <w:r w:rsidR="002563B7" w:rsidRPr="002563B7">
        <w:rPr>
          <w:noProof/>
        </w:rPr>
        <w:t>(Aebischer 2016)</w:t>
      </w:r>
      <w:r w:rsidR="00B76299">
        <w:fldChar w:fldCharType="end"/>
      </w:r>
      <w:r w:rsidR="00B76299">
        <w:t xml:space="preserve">. </w:t>
      </w:r>
      <w:r w:rsidR="00A076BA">
        <w:t xml:space="preserve"> Today, while proximity remains a key enabler, open science systems and digital platforms, along with English as the current lingua franca for science</w:t>
      </w:r>
      <w:r w:rsidR="005E6CDF">
        <w:t xml:space="preserve"> </w:t>
      </w:r>
      <w:r w:rsidR="005E6CDF">
        <w:fldChar w:fldCharType="begin" w:fldLock="1"/>
      </w:r>
      <w:r w:rsidR="002563B7">
        <w:instrText>ADDIN CSL_CITATION {"citationItems":[{"id":"ITEM-1","itemData":{"author":[{"dropping-particle":"","family":"Montgomery","given":"Scott L.","non-dropping-particle":"","parse-names":false,"suffix":""}],"id":"ITEM-1","issued":{"date-parts":[["2013"]]},"publisher":"University of Chicago Press","publisher-place":"Chicago, Illinois","title":"Does Science Need a Global Language?","type":"book"},"uris":["http://www.mendeley.com/documents/?uuid=825603c4-2938-4f02-9b96-8e9da61d18c1"]}],"mendeley":{"formattedCitation":"(Montgomery 2013)","manualFormatting":"(Montgomery, 2013, p82-100)","plainTextFormattedCitation":"(Montgomery 2013)","previouslyFormattedCitation":"(Montgomery 2013)"},"properties":{"noteIndex":0},"schema":"https://github.com/citation-style-language/schema/raw/master/csl-citation.json"}</w:instrText>
      </w:r>
      <w:r w:rsidR="005E6CDF">
        <w:fldChar w:fldCharType="separate"/>
      </w:r>
      <w:r w:rsidR="005E6CDF" w:rsidRPr="005E6CDF">
        <w:rPr>
          <w:noProof/>
        </w:rPr>
        <w:t>(Montgomery, 2013</w:t>
      </w:r>
      <w:r w:rsidR="005E6CDF">
        <w:rPr>
          <w:noProof/>
        </w:rPr>
        <w:t>, p82-100</w:t>
      </w:r>
      <w:r w:rsidR="005E6CDF" w:rsidRPr="005E6CDF">
        <w:rPr>
          <w:noProof/>
        </w:rPr>
        <w:t>)</w:t>
      </w:r>
      <w:r w:rsidR="005E6CDF">
        <w:fldChar w:fldCharType="end"/>
      </w:r>
      <w:r w:rsidR="00A076BA">
        <w:t>, are driving the transformation of science into a global and cooperative enterprise</w:t>
      </w:r>
      <w:r w:rsidR="0032101B">
        <w:t xml:space="preserve">. </w:t>
      </w:r>
    </w:p>
    <w:p w14:paraId="0000001F" w14:textId="77021281" w:rsidR="004C6123" w:rsidRDefault="00A076BA">
      <w:r>
        <w:t xml:space="preserve">The </w:t>
      </w:r>
      <w:r w:rsidR="004F2C6B">
        <w:t>Manhattan Project also highlig</w:t>
      </w:r>
      <w:r w:rsidR="00B0455E">
        <w:t>h</w:t>
      </w:r>
      <w:r w:rsidR="004F2C6B">
        <w:t>ted</w:t>
      </w:r>
      <w:r>
        <w:t xml:space="preserve"> the U</w:t>
      </w:r>
      <w:r w:rsidR="004F2C6B">
        <w:t>.</w:t>
      </w:r>
      <w:r>
        <w:t>S</w:t>
      </w:r>
      <w:r w:rsidR="004F2C6B">
        <w:t>.</w:t>
      </w:r>
      <w:r>
        <w:t xml:space="preserve"> experience of “scientific advancement fully underwritten by the federal government and providing new knowledge to the rest of the world</w:t>
      </w:r>
      <w:r w:rsidR="00B34749">
        <w:t>,</w:t>
      </w:r>
      <w:r>
        <w:t xml:space="preserve">” </w:t>
      </w:r>
      <w:r w:rsidR="00B34749">
        <w:t xml:space="preserve">a </w:t>
      </w:r>
      <w:r>
        <w:t xml:space="preserve">concept promulgated by Vannevar Bush, </w:t>
      </w:r>
      <w:r w:rsidR="00B34749">
        <w:t>h</w:t>
      </w:r>
      <w:r>
        <w:t>ead of the U</w:t>
      </w:r>
      <w:r w:rsidR="00B34749">
        <w:t>.</w:t>
      </w:r>
      <w:r>
        <w:t>S</w:t>
      </w:r>
      <w:r w:rsidR="00B34749">
        <w:t>.</w:t>
      </w:r>
      <w:r>
        <w:t xml:space="preserve"> Office of Scientific Research and Development. His 1945 report to President </w:t>
      </w:r>
      <w:r w:rsidR="00B34749">
        <w:t xml:space="preserve">Franklin D. </w:t>
      </w:r>
      <w:r>
        <w:t xml:space="preserve">Roosevelt, </w:t>
      </w:r>
      <w:r w:rsidRPr="00B0455E">
        <w:rPr>
          <w:i/>
          <w:iCs/>
        </w:rPr>
        <w:t>Science: The Endless Frontier</w:t>
      </w:r>
      <w:r>
        <w:t xml:space="preserve">, asserted the fundamental relationship between science and the state as key to economic development and sustainability (Montgomery 2013, 74).  Science was no longer exclusively the </w:t>
      </w:r>
      <w:r w:rsidR="00B34749">
        <w:t xml:space="preserve">domain </w:t>
      </w:r>
      <w:r>
        <w:t xml:space="preserve">of the academy but </w:t>
      </w:r>
      <w:r w:rsidR="00B34749">
        <w:t xml:space="preserve">also </w:t>
      </w:r>
      <w:r>
        <w:t>a tool of international competition. This opened the door for science policy and moved research science</w:t>
      </w:r>
      <w:r w:rsidR="00B34749">
        <w:t xml:space="preserve"> “</w:t>
      </w:r>
      <w:r>
        <w:t>from the margins of policy to the normal business of the state”</w:t>
      </w:r>
      <w:r w:rsidR="00C11E1B">
        <w:t xml:space="preserve">  </w:t>
      </w:r>
      <w:r w:rsidR="00C11E1B">
        <w:fldChar w:fldCharType="begin" w:fldLock="1"/>
      </w:r>
      <w:r w:rsidR="002563B7">
        <w:instrText>ADDIN CSL_CITATION {"citationItems":[{"id":"ITEM-1","itemData":{"author":[{"dropping-particle":"","family":"Marginson","given":"Simon","non-dropping-particle":"","parse-names":false,"suffix":""}],"collection-title":"Centre for Global Higher Education working paper series","id":"ITEM-1","issue":"34","issued":{"date-parts":[["2018"]]},"number":"34","publisher-place":"London","title":"The new geopolitics of higher education","type":"report"},"uris":["http://www.mendeley.com/documents/?uuid=b39fed24-173c-49e6-bb17-1cfcac4edfb0"]},{"id":"ITEM-2","itemData":{"author":[{"dropping-particle":"","family":"Guston","given":"David H.","non-dropping-particle":"","parse-names":false,"suffix":""}],"id":"ITEM-2","issued":{"date-parts":[["2000"]]},"publisher":"Cambridge University Press","publisher-place":"Cambridge, England","title":"Between Politics and Science. Assuring the Integrity and Productivity of Research","type":"book"},"uris":["http://www.mendeley.com/documents/?uuid=ba43e734-be95-4182-a2b3-3ff8c5dfa24f"]}],"mendeley":{"formattedCitation":"(Marginson 2018; Guston 2000)","manualFormatting":"(Marginson, 2018, p6; Guston, 2000)","plainTextFormattedCitation":"(Marginson 2018; Guston 2000)","previouslyFormattedCitation":"(Marginson 2018; Guston 2000)"},"properties":{"noteIndex":0},"schema":"https://github.com/citation-style-language/schema/raw/master/csl-citation.json"}</w:instrText>
      </w:r>
      <w:r w:rsidR="00C11E1B">
        <w:fldChar w:fldCharType="separate"/>
      </w:r>
      <w:r w:rsidR="00C11E1B" w:rsidRPr="00C11E1B">
        <w:rPr>
          <w:noProof/>
        </w:rPr>
        <w:t>(Marginson, 2018</w:t>
      </w:r>
      <w:r w:rsidR="00C11E1B">
        <w:rPr>
          <w:noProof/>
        </w:rPr>
        <w:t xml:space="preserve">, p6; </w:t>
      </w:r>
      <w:r w:rsidR="00C11E1B" w:rsidRPr="00C11E1B">
        <w:rPr>
          <w:noProof/>
        </w:rPr>
        <w:t>Guston, 2000)</w:t>
      </w:r>
      <w:r w:rsidR="00C11E1B">
        <w:fldChar w:fldCharType="end"/>
      </w:r>
      <w:r w:rsidR="00C11E1B">
        <w:t>.</w:t>
      </w:r>
      <w:r>
        <w:t xml:space="preserve"> This </w:t>
      </w:r>
      <w:r w:rsidR="00B34749">
        <w:t xml:space="preserve">development </w:t>
      </w:r>
      <w:r>
        <w:t>helps explain why research (often interpreted in Anglophone terms as “scientific research</w:t>
      </w:r>
      <w:r w:rsidR="00B34749">
        <w:t>,</w:t>
      </w:r>
      <w:r>
        <w:t xml:space="preserve">” thus </w:t>
      </w:r>
      <w:r w:rsidR="006A0CC6">
        <w:t>side-lining</w:t>
      </w:r>
      <w:r>
        <w:t xml:space="preserve"> the humanities and social</w:t>
      </w:r>
      <w:r w:rsidR="00B34749">
        <w:t xml:space="preserve"> sciences</w:t>
      </w:r>
      <w:r>
        <w:t xml:space="preserve">) is regularly assigned to the purview of ministries of business and/or the economy, as distinct from higher education in many countries. </w:t>
      </w:r>
      <w:r w:rsidR="006A0CC6">
        <w:t>As a result, i</w:t>
      </w:r>
      <w:r>
        <w:t>ndicators of investment</w:t>
      </w:r>
      <w:r w:rsidR="00B34749">
        <w:t>,</w:t>
      </w:r>
      <w:r>
        <w:t xml:space="preserve"> especially in the bio-sciences and technology</w:t>
      </w:r>
      <w:r w:rsidR="00B34749">
        <w:t>,</w:t>
      </w:r>
      <w:r>
        <w:t xml:space="preserve"> have become powerful drivers of resource-intensive competition and government policy and international benchmarking</w:t>
      </w:r>
      <w:r w:rsidR="006A0CC6">
        <w:t>. As a consequence, metrics of innovation</w:t>
      </w:r>
      <w:r w:rsidR="00EE74CA">
        <w:t>,</w:t>
      </w:r>
      <w:r w:rsidR="006A0CC6">
        <w:t xml:space="preserve"> e.g., R&amp;D spend, new products, start-ups etc</w:t>
      </w:r>
      <w:r>
        <w:t xml:space="preserve">, </w:t>
      </w:r>
      <w:r w:rsidR="006A0CC6">
        <w:t xml:space="preserve">have taken precedence over </w:t>
      </w:r>
      <w:r>
        <w:t>the academy’s definition of scientific excellence</w:t>
      </w:r>
      <w:r w:rsidR="00F81E9D">
        <w:t xml:space="preserve"> based on peer-review</w:t>
      </w:r>
      <w:r w:rsidR="00DF73C7">
        <w:t>.</w:t>
      </w:r>
      <w:r w:rsidR="00F81E9D">
        <w:t xml:space="preserve"> </w:t>
      </w:r>
    </w:p>
    <w:p w14:paraId="00000020" w14:textId="6114BBDF" w:rsidR="004C6123" w:rsidRDefault="00361948">
      <w:r>
        <w:t xml:space="preserve">In the decades </w:t>
      </w:r>
      <w:r w:rsidR="00B11C15">
        <w:t>following</w:t>
      </w:r>
      <w:r>
        <w:t>, e</w:t>
      </w:r>
      <w:r w:rsidR="00A076BA">
        <w:t>xamples of cooperation in “big science”</w:t>
      </w:r>
      <w:r w:rsidR="005305FA">
        <w:t xml:space="preserve"> </w:t>
      </w:r>
      <w:r w:rsidR="005305FA">
        <w:fldChar w:fldCharType="begin" w:fldLock="1"/>
      </w:r>
      <w:r w:rsidR="002563B7">
        <w:instrText>ADDIN CSL_CITATION {"citationItems":[{"id":"ITEM-1","itemData":{"author":[{"dropping-particle":"","family":"Solla Price","given":"Derek J","non-dropping-particle":"de","parse-names":false,"suffix":""}],"id":"ITEM-1","issued":{"date-parts":[["1963"]]},"publisher":"Columbia University Press","publisher-place":"New York","title":"Little Science, Big Science","type":"book"},"uris":["http://www.mendeley.com/documents/?uuid=194558e5-ddf2-4c2c-be11-d6cdde256d8c"]}],"mendeley":{"formattedCitation":"(de Solla Price 1963)","plainTextFormattedCitation":"(de Solla Price 1963)","previouslyFormattedCitation":"(de Solla Price 1963)"},"properties":{"noteIndex":0},"schema":"https://github.com/citation-style-language/schema/raw/master/csl-citation.json"}</w:instrText>
      </w:r>
      <w:r w:rsidR="005305FA">
        <w:fldChar w:fldCharType="separate"/>
      </w:r>
      <w:r w:rsidR="002563B7" w:rsidRPr="002563B7">
        <w:rPr>
          <w:noProof/>
        </w:rPr>
        <w:t>(de Solla Price 1963)</w:t>
      </w:r>
      <w:r w:rsidR="005305FA">
        <w:fldChar w:fldCharType="end"/>
      </w:r>
      <w:r w:rsidR="00A076BA">
        <w:t xml:space="preserve"> have come quick and fast, and represent one of the primary models of how science is conducted today. </w:t>
      </w:r>
      <w:r w:rsidR="006E2A31">
        <w:t>The</w:t>
      </w:r>
      <w:r w:rsidR="00A076BA">
        <w:t xml:space="preserve"> intensification of international collaboration is well illustrated by the Human Genome Project</w:t>
      </w:r>
      <w:r w:rsidR="00B34749">
        <w:t>,</w:t>
      </w:r>
      <w:r w:rsidR="00A076BA">
        <w:t xml:space="preserve"> formally launched in October 1990</w:t>
      </w:r>
      <w:r w:rsidR="006E2A31">
        <w:t xml:space="preserve">. It </w:t>
      </w:r>
      <w:r w:rsidR="00A076BA">
        <w:t>remains the world’s largest biological project involving twenty universities and research centres in</w:t>
      </w:r>
      <w:r w:rsidR="00B34749">
        <w:t xml:space="preserve"> China, France, Germany, Japan,</w:t>
      </w:r>
      <w:r w:rsidR="00A076BA">
        <w:t xml:space="preserve"> the </w:t>
      </w:r>
      <w:r w:rsidR="000E2AD5">
        <w:t>United Kingdom</w:t>
      </w:r>
      <w:r w:rsidR="000E2AD5">
        <w:rPr>
          <w:rStyle w:val="CommentReference"/>
        </w:rPr>
        <w:t xml:space="preserve"> </w:t>
      </w:r>
      <w:r w:rsidR="000E2AD5">
        <w:t xml:space="preserve">and the </w:t>
      </w:r>
      <w:r w:rsidR="00A076BA">
        <w:t>U</w:t>
      </w:r>
      <w:r w:rsidR="00B34749">
        <w:t xml:space="preserve">nited </w:t>
      </w:r>
      <w:r w:rsidR="00A076BA">
        <w:t>S</w:t>
      </w:r>
      <w:r w:rsidR="00B34749">
        <w:t>tates</w:t>
      </w:r>
      <w:r w:rsidR="00A076BA">
        <w:t>,</w:t>
      </w:r>
      <w:r w:rsidR="000E2AD5">
        <w:t xml:space="preserve"> </w:t>
      </w:r>
      <w:r w:rsidR="00A076BA">
        <w:t xml:space="preserve">setting a model for multilateral collaboration in pursuit of </w:t>
      </w:r>
      <w:r w:rsidR="006E2A31">
        <w:t xml:space="preserve">the </w:t>
      </w:r>
      <w:r w:rsidR="00A076BA">
        <w:t>common good</w:t>
      </w:r>
      <w:r w:rsidR="00A959F7">
        <w:t xml:space="preserve">. </w:t>
      </w:r>
      <w:r w:rsidR="00A076BA">
        <w:t xml:space="preserve">The UN adoption of the </w:t>
      </w:r>
      <w:r w:rsidR="00A076BA" w:rsidRPr="00E51A3A">
        <w:rPr>
          <w:i/>
          <w:iCs/>
        </w:rPr>
        <w:t>2030 Agenda for Sustainable Development</w:t>
      </w:r>
      <w:r w:rsidR="00A076BA">
        <w:t xml:space="preserve"> in 2015 </w:t>
      </w:r>
      <w:r w:rsidR="006E2A31">
        <w:t xml:space="preserve">publicly acknowledged </w:t>
      </w:r>
      <w:r w:rsidR="00A076BA">
        <w:t xml:space="preserve">societal problems are territorially blind, and that no country has the knowledge or research capacity or capability to solve such challenges on their own. High levels of collaboration </w:t>
      </w:r>
      <w:r w:rsidR="00255641">
        <w:t xml:space="preserve">were </w:t>
      </w:r>
      <w:r w:rsidR="00A076BA">
        <w:t xml:space="preserve">also evident in the search for a vaccine for </w:t>
      </w:r>
      <w:r w:rsidR="00B34749">
        <w:t>Covid</w:t>
      </w:r>
      <w:r w:rsidR="00A076BA">
        <w:t>-19</w:t>
      </w:r>
      <w:r w:rsidR="00B34749">
        <w:t>,</w:t>
      </w:r>
      <w:r w:rsidR="00A076BA">
        <w:t xml:space="preserve"> which involved many </w:t>
      </w:r>
      <w:r w:rsidR="00A076BA">
        <w:lastRenderedPageBreak/>
        <w:t>different research teams from around the world, facilitated by early publication and sharing of a machine-readable genome of the novel coronavirus virus by Chinese scientists</w:t>
      </w:r>
      <w:r w:rsidR="00DD4718">
        <w:t xml:space="preserve"> </w:t>
      </w:r>
      <w:r w:rsidR="00DD4718">
        <w:fldChar w:fldCharType="begin" w:fldLock="1"/>
      </w:r>
      <w:r w:rsidR="002563B7">
        <w:instrText>ADDIN CSL_CITATION {"citationItems":[{"id":"ITEM-1","itemData":{"author":[{"dropping-particle":"","family":"Richardson","given":"Louise","non-dropping-particle":"","parse-names":false,"suffix":""}],"container-title":"Foreign Affairs","id":"ITEM-1","issued":{"date-parts":[["2020","4"]]},"title":"Universities Fill the Void","type":"article-magazine"},"uris":["http://www.mendeley.com/documents/?uuid=d9a91950-ec07-42d4-9d41-2780452717f9"]},{"id":"ITEM-2","itemData":{"author":[{"dropping-particle":"","family":"Xu","given":"Xin","non-dropping-particle":"","parse-names":false,"suffix":""}],"container-title":"University World News","id":"ITEM-2","issued":{"date-parts":[["2020","3","21"]]},"title":"Hunt for coronavirus cure is making science more open","type":"article-newspaper"},"uris":["http://www.mendeley.com/documents/?uuid=f4d56e87-ba0b-43ce-88bd-266a8844f217"]}],"mendeley":{"formattedCitation":"(Richardson 2020; Xu 2020)","plainTextFormattedCitation":"(Richardson 2020; Xu 2020)","previouslyFormattedCitation":"(Richardson 2020; Xu 2020)"},"properties":{"noteIndex":0},"schema":"https://github.com/citation-style-language/schema/raw/master/csl-citation.json"}</w:instrText>
      </w:r>
      <w:r w:rsidR="00DD4718">
        <w:fldChar w:fldCharType="separate"/>
      </w:r>
      <w:r w:rsidR="002563B7" w:rsidRPr="002563B7">
        <w:rPr>
          <w:noProof/>
        </w:rPr>
        <w:t>(Richardson 2020; Xu 2020)</w:t>
      </w:r>
      <w:r w:rsidR="00DD4718">
        <w:fldChar w:fldCharType="end"/>
      </w:r>
      <w:r w:rsidR="00DD4718">
        <w:t>.</w:t>
      </w:r>
    </w:p>
    <w:p w14:paraId="08434B71" w14:textId="1064C496" w:rsidR="009071ED" w:rsidRDefault="009238AE" w:rsidP="009071ED">
      <w:r>
        <w:t>Today,</w:t>
      </w:r>
      <w:r w:rsidR="009071ED">
        <w:t xml:space="preserve"> there is a dynamic and expansive web of HERD organisations, associations, alliances, consortia, networks, leagues, federations, societies, groups, and councils</w:t>
      </w:r>
      <w:r w:rsidR="00A074FB">
        <w:t xml:space="preserve">  </w:t>
      </w:r>
      <w:r w:rsidR="00A074FB">
        <w:fldChar w:fldCharType="begin" w:fldLock="1"/>
      </w:r>
      <w:r w:rsidR="002563B7">
        <w:instrText>ADDIN CSL_CITATION {"citationItems":[{"id":"ITEM-1","itemData":{"ISBN":"3932306376","author":[{"dropping-particle":"","family":"Wächter","given":"Bernd","non-dropping-particle":"","parse-names":false,"suffix":""}],"id":"ITEM-1","issued":{"date-parts":[["2000"]]},"publisher":"Lemmens Verlags- &amp; Mediengesellschaft mbH","publisher-place":"Bonn","title":"Handbook of European Associations. A Practical guide to Academic Networks in Europe and Beyond","type":"book"},"uris":["http://www.mendeley.com/documents/?uuid=3d69f226-14c6-4426-81c3-109fee8183c3"]},{"id":"ITEM-2","itemData":{"DOI":"10.1080/13583883.2002.9967086","ISSN":"15731936","abstract":"This article attempts to provide clarity in the maze of international inter- organisational arrangements in higher education. Developments that fuel the establishment of such linkages are identified. First, the changes in the production of knowledge, changes in resource dependencies and increased opportunities for interaction through new technologies, demand interaction with other universities and organisations, in activities that previously took place within the organisational boundaries of the university. In addition, universities increasingly cross national borders. Students, scholars and employers demand and value the experience gained through international experiences. Liberalisation of trade markets and new modes of delivery expand opportunities for transnational education and the need for inter-organisational interaction. On the basis of several classifications of cooperation in higher education and using concepts from organisational and management studies, we develop a multidimensional typology of international inter-organisational cooperation. Critical dimensions identified in this typology are size, scope, nature of integration and intensity. © 2002, Taylor &amp; Francis Group, LLC. All rights reserved.","author":[{"dropping-particle":"","family":"Beerkens","given":"Eric","non-dropping-particle":"","parse-names":false,"suffix":""}],"container-title":"Tertiary Education and Management","id":"ITEM-2","issue":"4","issued":{"date-parts":[["2002"]]},"page":"297-316","title":"International inter-organisational arrangements in higher education: Towards a typology","type":"article-journal","volume":"8"},"uris":["http://www.mendeley.com/documents/?uuid=7b7bc267-86c2-4c39-bd72-9c72afd2f93e"]}],"mendeley":{"formattedCitation":"(Wächter 2000; Beerkens 2002)","manualFormatting":"(Beerkens, 2002, p297; Wächter, 2000, p127, 169)","plainTextFormattedCitation":"(Wächter 2000; Beerkens 2002)","previouslyFormattedCitation":"(Wächter 2000; Beerkens 2002)"},"properties":{"noteIndex":0},"schema":"https://github.com/citation-style-language/schema/raw/master/csl-citation.json"}</w:instrText>
      </w:r>
      <w:r w:rsidR="00A074FB">
        <w:fldChar w:fldCharType="separate"/>
      </w:r>
      <w:r w:rsidR="00A074FB" w:rsidRPr="00A074FB">
        <w:rPr>
          <w:noProof/>
        </w:rPr>
        <w:t>(Beerkens, 2002</w:t>
      </w:r>
      <w:r w:rsidR="00A074FB">
        <w:rPr>
          <w:noProof/>
        </w:rPr>
        <w:t>, p297</w:t>
      </w:r>
      <w:r w:rsidR="00A074FB" w:rsidRPr="00A074FB">
        <w:rPr>
          <w:noProof/>
        </w:rPr>
        <w:t>; Wächter, 2000</w:t>
      </w:r>
      <w:r w:rsidR="00F67A13">
        <w:rPr>
          <w:noProof/>
        </w:rPr>
        <w:t>, p127, 169</w:t>
      </w:r>
      <w:r w:rsidR="00A074FB" w:rsidRPr="00A074FB">
        <w:rPr>
          <w:noProof/>
        </w:rPr>
        <w:t>)</w:t>
      </w:r>
      <w:r w:rsidR="00A074FB">
        <w:fldChar w:fldCharType="end"/>
      </w:r>
      <w:r w:rsidR="00A074FB">
        <w:t xml:space="preserve"> </w:t>
      </w:r>
      <w:r w:rsidR="003F4160">
        <w:t xml:space="preserve">(see </w:t>
      </w:r>
      <w:r w:rsidR="002A7955">
        <w:t>Appendix</w:t>
      </w:r>
      <w:r w:rsidR="003F4160">
        <w:t>)</w:t>
      </w:r>
      <w:r w:rsidR="00441DD5">
        <w:t>.</w:t>
      </w:r>
      <w:r w:rsidR="009071ED">
        <w:t xml:space="preserve"> They include “assessing, ranking and accreditation bodies; academic associations, scholarly societies and student unions; rectors’ conferences; networks of </w:t>
      </w:r>
      <w:r w:rsidR="00322036">
        <w:t xml:space="preserve">higher education institutions (HEI) </w:t>
      </w:r>
      <w:r w:rsidR="009071ED">
        <w:t>and umbrella organizations; global think-tanks etc. in the transnational mediation and circulation of ideas in the global university field”</w:t>
      </w:r>
      <w:r w:rsidR="00C214FA">
        <w:t xml:space="preserve"> </w:t>
      </w:r>
      <w:r w:rsidR="00C214FA">
        <w:fldChar w:fldCharType="begin" w:fldLock="1"/>
      </w:r>
      <w:r w:rsidR="00EE3231">
        <w:instrText>ADDIN CSL_CITATION {"citationItems":[{"id":"ITEM-1","itemData":{"author":[{"dropping-particle":"","family":"Reuter","given":"Marta","non-dropping-particle":"","parse-names":false,"suffix":""},{"dropping-particle":"","family":"Oberg","given":"Achim","non-dropping-particle":"","parse-names":false,"suffix":""},{"dropping-particle":"","family":"Wijkström","given":"Filip","non-dropping-particle":"","parse-names":false,"suffix":""}],"container-title":"Paper prepared for the 13th ISTR conference","id":"ITEM-1","issue":"July","issued":{"date-parts":[["2018"]]},"page":"1-28","publisher-place":"Amsterdam, NL","title":"Governing a Transnational Field: Civil Society Organizations as Intermediaries in Global University Governance","type":"paper-conference"},"uris":["http://www.mendeley.com/documents/?uuid=885e0997-5b8e-4ca2-b692-ce6c010c86dd"]}],"mendeley":{"formattedCitation":"(Reuter, Oberg, and Wijkström 2018)","plainTextFormattedCitation":"(Reuter, Oberg, and Wijkström 2018)","previouslyFormattedCitation":"(Reuter, Oberg, and Wijkström 2018)"},"properties":{"noteIndex":0},"schema":"https://github.com/citation-style-language/schema/raw/master/csl-citation.json"}</w:instrText>
      </w:r>
      <w:r w:rsidR="00C214FA">
        <w:fldChar w:fldCharType="separate"/>
      </w:r>
      <w:r w:rsidR="002563B7" w:rsidRPr="002563B7">
        <w:rPr>
          <w:noProof/>
        </w:rPr>
        <w:t>(Reuter, Oberg, and Wijkström 2018)</w:t>
      </w:r>
      <w:r w:rsidR="00C214FA">
        <w:fldChar w:fldCharType="end"/>
      </w:r>
      <w:r w:rsidR="009071ED">
        <w:t>. In Europe, their origins largely coincided with the launch of the first large-scale EU programs in the mid-1980s</w:t>
      </w:r>
      <w:r w:rsidR="00857F11">
        <w:t xml:space="preserve"> </w:t>
      </w:r>
      <w:r w:rsidR="00857F11">
        <w:fldChar w:fldCharType="begin" w:fldLock="1"/>
      </w:r>
      <w:r w:rsidR="002563B7">
        <w:instrText>ADDIN CSL_CITATION {"citationItems":[{"id":"ITEM-1","itemData":{"DOI":"10.1023/A:1022996713945","ISSN":"1386-8349","author":[{"dropping-particle":"","family":"Wächter","given":"Bernd","non-dropping-particle":"","parse-names":false,"suffix":""}],"container-title":"European Journal for Education Law and Policy","id":"ITEM-1","issue":"2","issued":{"date-parts":[["1999"]]},"page":"127-131","title":"European Associations in Higher Education","type":"article-journal","volume":"3"},"uris":["http://www.mendeley.com/documents/?uuid=72613967-fc02-4f65-890c-f67d9833d3c4"]}],"mendeley":{"formattedCitation":"(Wächter 1999)","manualFormatting":"(Wächter, 1999, p130-131)","plainTextFormattedCitation":"(Wächter 1999)","previouslyFormattedCitation":"(Wächter 1999)"},"properties":{"noteIndex":0},"schema":"https://github.com/citation-style-language/schema/raw/master/csl-citation.json"}</w:instrText>
      </w:r>
      <w:r w:rsidR="00857F11">
        <w:fldChar w:fldCharType="separate"/>
      </w:r>
      <w:r w:rsidR="00857F11" w:rsidRPr="00857F11">
        <w:rPr>
          <w:noProof/>
        </w:rPr>
        <w:t>(Wächter, 1999</w:t>
      </w:r>
      <w:r w:rsidR="00857F11">
        <w:rPr>
          <w:noProof/>
        </w:rPr>
        <w:t>, p130-131</w:t>
      </w:r>
      <w:r w:rsidR="00857F11" w:rsidRPr="00857F11">
        <w:rPr>
          <w:noProof/>
        </w:rPr>
        <w:t>)</w:t>
      </w:r>
      <w:r w:rsidR="00857F11">
        <w:fldChar w:fldCharType="end"/>
      </w:r>
      <w:r w:rsidR="009071ED">
        <w:t>. Their objectives include cooperation, sharing resources, student and staff mobility, policy advocacy, and reputation enhancing activities</w:t>
      </w:r>
      <w:r w:rsidR="00D547D9">
        <w:t xml:space="preserve"> </w:t>
      </w:r>
      <w:r w:rsidR="00CE6ED2">
        <w:fldChar w:fldCharType="begin" w:fldLock="1"/>
      </w:r>
      <w:r w:rsidR="002563B7">
        <w:instrText>ADDIN CSL_CITATION {"citationItems":[{"id":"ITEM-1","itemData":{"DOI":"10.4324/9780203016534","ISBN":"020301653X","author":[{"dropping-particle":"","family":"Beerkens","given":"Eric","non-dropping-particle":"","parse-names":false,"suffix":""}],"container-title":"Transnational European Union: Towards a Common Political Space?","editor":[{"dropping-particle":"","family":"W. Kaiser","given":"","non-dropping-particle":"","parse-names":false,"suffix":""},{"dropping-particle":"","family":"Starie","given":"P.","non-dropping-particle":"","parse-names":false,"suffix":""}],"id":"ITEM-1","issued":{"date-parts":[["2005"]]},"page":"170-190","publisher":"Routledge","title":"Transnational actors in the European higher Education Area: European opportunities and institutional embeddedness","type":"chapter"},"uris":["http://www.mendeley.com/documents/?uuid=da00c7b1-717e-4d79-9cb2-460bcee5f65b"]},{"id":"ITEM-2","itemData":{"DOI":"10.1108/S0733-558X20180000057010","ISBN":"2018000005701","ISSN":"0733558X","abstract":"How do organizational associations affect extra-organizational boundaries? This paper addresses this question by looking into the long-established practice among universities to form associations. In order to examine how associations delineate boundaries in universities’ institutional environment, the paper draws on the scholarly work on categories and conceptualizes associations as metaorganizations. The article finds that category-based identities, but also other organizational characteristics, enacted to demarcate members from non-members play a central role in this process. In following these lines of demarcation on a sample of 185 national and international university associations a typology emerges, accompanied by a global diffusion pattern. Three sets of institutional conditions are then identified as being conducive to this process: (a) the 20th century university expansion and the consolidation of national higher education fields, (b) the intensification of cross-border interaction and the advent of international institutions and, finally, (c) the formation of a global field and the rise of competition as an ideological imperative.","author":[{"dropping-particle":"","family":"Brankovic","given":"Jelena","non-dropping-particle":"","parse-names":false,"suffix":""}],"container-title":"Towards Permeable Boundaries of Organizations?","edition":"Book serie","editor":[{"dropping-particle":"","family":"Ringel","given":"L.","non-dropping-particle":"","parse-names":false,"suffix":""},{"dropping-particle":"","family":"Hiller","given":"P.","non-dropping-particle":"","parse-names":false,"suffix":""},{"dropping-particle":"","family":"Zietsma","given":"C.","non-dropping-particle":"","parse-names":false,"suffix":""}],"id":"ITEM-2","issue":"August","issued":{"date-parts":[["2018"]]},"page":"259-281","publisher":"Emerald Publishing Limited","publisher-place":"Bingley","title":"How do meta-organizations affect extra-organizational boundaries? The case of University Associations","type":"chapter","volume":"57"},"uris":["http://www.mendeley.com/documents/?uuid=a5d49535-f691-4250-979d-c2f5f1670e2a"]},{"id":"ITEM-3","itemData":{"DOI":"10.1177/1474904117724572","ISSN":"14749041","abstract":"Several university alliances have been established in Europe in an attempt to influence the development of policies in research and education. As such, these alliances can be seen as being new players in the increasingly complex multi-actor, multi-level governance in this policy domain. The paper compares two key university alliances in Europe; in particular, how membership differences are related to their positions in the policy arena, their policy agendas and their policy formation and lobbying practices. The study contributes to understanding of, first, the role of university alliances in European level policy processes concerning higher education and research; and, second, the implications their involvement might have for future shaping of European initiatives in the knowledge domain.","author":[{"dropping-particle":"","family":"Vukasovic","given":"Martina","non-dropping-particle":"","parse-names":false,"suffix":""},{"dropping-particle":"","family":"Stensaker","given":"Bjørn","non-dropping-particle":"","parse-names":false,"suffix":""}],"container-title":"European Educational Research Journal","id":"ITEM-3","issue":"3","issued":{"date-parts":[["2018"]]},"page":"349-364","title":"University alliances in the Europe of knowledge: Positions, agendas and practices in policy processes","type":"article-journal","volume":"17"},"uris":["http://www.mendeley.com/documents/?uuid=ff5d3d6b-69b9-4af6-a04f-6069d646bd15"]}],"mendeley":{"formattedCitation":"(Beerkens 2005; Brankovic 2018; Vukasovic and Stensaker 2018)","plainTextFormattedCitation":"(Beerkens 2005; Brankovic 2018; Vukasovic and Stensaker 2018)","previouslyFormattedCitation":"(Beerkens 2005; Brankovic 2018; Vukasovic and Stensaker 2018)"},"properties":{"noteIndex":0},"schema":"https://github.com/citation-style-language/schema/raw/master/csl-citation.json"}</w:instrText>
      </w:r>
      <w:r w:rsidR="00CE6ED2">
        <w:fldChar w:fldCharType="separate"/>
      </w:r>
      <w:r w:rsidR="002563B7" w:rsidRPr="002563B7">
        <w:rPr>
          <w:noProof/>
        </w:rPr>
        <w:t>(Beerkens 2005; Brankovic 2018; Vukasovic and Stensaker 2018)</w:t>
      </w:r>
      <w:r w:rsidR="00CE6ED2">
        <w:fldChar w:fldCharType="end"/>
      </w:r>
      <w:r w:rsidR="009071ED">
        <w:t xml:space="preserve">—and the focus of attention </w:t>
      </w:r>
      <w:r w:rsidR="00E51A3A">
        <w:t>can</w:t>
      </w:r>
      <w:r w:rsidR="009071ED">
        <w:t xml:space="preserve"> vary between national governments or international organizations although the latter’s activities are itself a major factor in the growth of such associations. </w:t>
      </w:r>
    </w:p>
    <w:p w14:paraId="6731DF2F" w14:textId="0914A4F0" w:rsidR="00E32B14" w:rsidRDefault="009071ED" w:rsidP="009071ED">
      <w:r>
        <w:t xml:space="preserve">The Union of International Associations—itself an international organization formed after World War I to provide services to and study IOs—maintains information and statistics about these organizations. Its </w:t>
      </w:r>
      <w:r w:rsidRPr="00E51A3A">
        <w:rPr>
          <w:i/>
          <w:iCs/>
        </w:rPr>
        <w:t>Yearbook of International Organizations</w:t>
      </w:r>
      <w:r>
        <w:t xml:space="preserve"> records IOs from 300 countries and territories; approximately 1,200 new organizations are added annually</w:t>
      </w:r>
      <w:r w:rsidR="00DD34F2">
        <w:t xml:space="preserve"> </w:t>
      </w:r>
      <w:r w:rsidR="00DD34F2">
        <w:fldChar w:fldCharType="begin" w:fldLock="1"/>
      </w:r>
      <w:r w:rsidR="002563B7">
        <w:instrText>ADDIN CSL_CITATION {"citationItems":[{"id":"ITEM-1","itemData":{"ISBN":"9789004393028","editor":[{"dropping-particle":"","family":"Shumate","given":"Michelle","non-dropping-particle":"","parse-names":false,"suffix":""},{"dropping-particle":"","family":"Pilny","given":"Andrew","non-dropping-particle":"","parse-names":false,"suffix":""},{"dropping-particle":"","family":"Cooper","given":"Katherine R","non-dropping-particle":"","parse-names":false,"suffix":""},{"dropping-particle":"","family":"Atouba","given":"Yannick","non-dropping-particle":"","parse-names":false,"suffix":""}],"id":"ITEM-1","issued":{"date-parts":[["2019"]]},"number-of-pages":"1-13","publisher":"Union of International Associations and Brill Publishers","publisher-place":"Leiden, Netherlands","title":"Yearbook of International Organizations, 2019-2020. Guide to Global Civil Society Networks. Volume 5: Statistics, Visualizations and Patterns","type":"book"},"uris":["http://www.mendeley.com/documents/?uuid=666f686d-91dc-474a-aa12-b6944da05dc2"]}],"mendeley":{"formattedCitation":"(Shumate et al. 2019)","manualFormatting":"(Shumate, Pilny, Cooper, &amp; Atouba, 2019, p27)","plainTextFormattedCitation":"(Shumate et al. 2019)","previouslyFormattedCitation":"(Shumate et al. 2019)"},"properties":{"noteIndex":0},"schema":"https://github.com/citation-style-language/schema/raw/master/csl-citation.json"}</w:instrText>
      </w:r>
      <w:r w:rsidR="00DD34F2">
        <w:fldChar w:fldCharType="separate"/>
      </w:r>
      <w:r w:rsidR="00DD34F2" w:rsidRPr="00DD34F2">
        <w:rPr>
          <w:noProof/>
        </w:rPr>
        <w:t>(Shumate, Pilny, Cooper, &amp; Atouba, 2019</w:t>
      </w:r>
      <w:r w:rsidR="00DD34F2">
        <w:rPr>
          <w:noProof/>
        </w:rPr>
        <w:t>, p27</w:t>
      </w:r>
      <w:r w:rsidR="00DD34F2" w:rsidRPr="00DD34F2">
        <w:rPr>
          <w:noProof/>
        </w:rPr>
        <w:t>)</w:t>
      </w:r>
      <w:r w:rsidR="00DD34F2">
        <w:fldChar w:fldCharType="end"/>
      </w:r>
      <w:r>
        <w:t xml:space="preserve">. It lists 1,719 organizations relating to “education,” and 2,912 for “research” out of almost 70,000 international nongovernmental organizations and intergovernmental organizations. The United Nations records 5,161 nongovernmental organizations, of which 90 have “education” officially in the title (Economic and Social Council 2018). </w:t>
      </w:r>
      <w:r w:rsidR="00CE1559">
        <w:t xml:space="preserve">Jelena </w:t>
      </w:r>
      <w:r>
        <w:t>Brankovic</w:t>
      </w:r>
      <w:r w:rsidR="00EF25A2">
        <w:t xml:space="preserve"> </w:t>
      </w:r>
      <w:r>
        <w:t>(2018) identifies 185 national and international university associations established since the end of the nineteenth century</w:t>
      </w:r>
      <w:r w:rsidR="00CE1559">
        <w:t>.</w:t>
      </w:r>
      <w:r>
        <w:t xml:space="preserve"> A World Bank report </w:t>
      </w:r>
      <w:r w:rsidR="00CE1559">
        <w:t>identifies</w:t>
      </w:r>
      <w:r>
        <w:t xml:space="preserve"> 13 international and 48 regional tertiary education networks, promoting networking, facilitating staff/student exchanges, and organizing activities of different degrees of formality </w:t>
      </w:r>
      <w:r w:rsidR="00192314">
        <w:fldChar w:fldCharType="begin" w:fldLock="1"/>
      </w:r>
      <w:r w:rsidR="00EE3231">
        <w:instrText>ADDIN CSL_CITATION {"citationItems":[{"id":"ITEM-1","itemData":{"author":[{"dropping-particle":"","family":"Henard","given":"Fabrice","non-dropping-particle":"","parse-names":false,"suffix":""}],"id":"ITEM-1","issued":{"date-parts":[["2020"]]},"number-of-pages":"1-41","publisher":"The World Bank","publisher-place":"Washington D.C","title":"Collaborating to Compete. The Global Landscape of International Tertiary Education Networks","type":"book"},"uris":["http://www.mendeley.com/documents/?uuid=bf9f32bd-4258-4c81-a946-6e5e8606f390"]}],"mendeley":{"formattedCitation":"(Henard 2020)","plainTextFormattedCitation":"(Henard 2020)","previouslyFormattedCitation":"(Henard 2020)"},"properties":{"noteIndex":0},"schema":"https://github.com/citation-style-language/schema/raw/master/csl-citation.json"}</w:instrText>
      </w:r>
      <w:r w:rsidR="00192314">
        <w:fldChar w:fldCharType="separate"/>
      </w:r>
      <w:r w:rsidR="002563B7" w:rsidRPr="002563B7">
        <w:rPr>
          <w:noProof/>
        </w:rPr>
        <w:t>(Henard 2020)</w:t>
      </w:r>
      <w:r w:rsidR="00192314">
        <w:fldChar w:fldCharType="end"/>
      </w:r>
      <w:r>
        <w:t xml:space="preserve">. Our own research has identified a list of over 1,000 IONAs with a remit for higher education and research—and this is by no means a full or finished picture. </w:t>
      </w:r>
      <w:r w:rsidR="00E32B14">
        <w:t xml:space="preserve">Caroline </w:t>
      </w:r>
      <w:r>
        <w:t>Wagner’s network analysis of global science shows an increasing density of interconnection in what she calls the “new invisible college,” with no sign of slowing in this process of integration, communication, and collaboration</w:t>
      </w:r>
      <w:r w:rsidR="00192314">
        <w:t xml:space="preserve"> </w:t>
      </w:r>
      <w:r w:rsidR="00192314">
        <w:fldChar w:fldCharType="begin" w:fldLock="1"/>
      </w:r>
      <w:r w:rsidR="002563B7">
        <w:instrText>ADDIN CSL_CITATION {"citationItems":[{"id":"ITEM-1","itemData":{"ISBN":"0815792131 9780815792130","author":[{"dropping-particle":"","family":"Wagner","given":"Caroline","non-dropping-particle":"","parse-names":false,"suffix":""}],"id":"ITEM-1","issued":{"date-parts":[["2008"]]},"publisher":"Brookings Institution Press","publisher-place":"Washington D.C","title":"The New Invisible College: Science for Development","type":"report"},"uris":["http://www.mendeley.com/documents/?uuid=9edfaffd-83dd-4eb6-b706-a9c3db9e9273"]}],"mendeley":{"formattedCitation":"(Wagner 2008)","plainTextFormattedCitation":"(Wagner 2008)","previouslyFormattedCitation":"(Wagner 2008)"},"properties":{"noteIndex":0},"schema":"https://github.com/citation-style-language/schema/raw/master/csl-citation.json"}</w:instrText>
      </w:r>
      <w:r w:rsidR="00192314">
        <w:fldChar w:fldCharType="separate"/>
      </w:r>
      <w:r w:rsidR="002563B7" w:rsidRPr="002563B7">
        <w:rPr>
          <w:noProof/>
        </w:rPr>
        <w:t>(Wagner 2008)</w:t>
      </w:r>
      <w:r w:rsidR="00192314">
        <w:fldChar w:fldCharType="end"/>
      </w:r>
      <w:r>
        <w:t xml:space="preserve">. </w:t>
      </w:r>
    </w:p>
    <w:p w14:paraId="04E231E5" w14:textId="1B79A8AD" w:rsidR="00361948" w:rsidRDefault="00E32B14" w:rsidP="00361948">
      <w:r>
        <w:t>While</w:t>
      </w:r>
      <w:r w:rsidR="009071ED">
        <w:t xml:space="preserve"> evidence </w:t>
      </w:r>
      <w:r>
        <w:t>suggests the</w:t>
      </w:r>
      <w:r w:rsidR="009071ED">
        <w:t xml:space="preserve"> process </w:t>
      </w:r>
      <w:r>
        <w:t xml:space="preserve">of internationalisation </w:t>
      </w:r>
      <w:r w:rsidR="009071ED">
        <w:t xml:space="preserve">is </w:t>
      </w:r>
      <w:r>
        <w:t>n</w:t>
      </w:r>
      <w:r w:rsidR="005D3134">
        <w:t>either</w:t>
      </w:r>
      <w:r>
        <w:t xml:space="preserve"> </w:t>
      </w:r>
      <w:r w:rsidR="009071ED">
        <w:t xml:space="preserve">slowing down </w:t>
      </w:r>
      <w:r w:rsidR="005D3134">
        <w:t>n</w:t>
      </w:r>
      <w:r w:rsidR="009071ED">
        <w:t>or reducing—</w:t>
      </w:r>
      <w:r>
        <w:t>r</w:t>
      </w:r>
      <w:r w:rsidR="00361948">
        <w:t>ecent events have exposed the limits of multi-polar collaboration and global science</w:t>
      </w:r>
      <w:r w:rsidR="008B0A98">
        <w:t xml:space="preserve">. </w:t>
      </w:r>
      <w:r w:rsidR="00361948">
        <w:t xml:space="preserve">The </w:t>
      </w:r>
      <w:r w:rsidR="001E6540">
        <w:t xml:space="preserve">Covid experience highlighted great differences </w:t>
      </w:r>
      <w:r w:rsidR="00B67FB8">
        <w:t xml:space="preserve">between </w:t>
      </w:r>
      <w:r w:rsidR="001E6540">
        <w:t>the global north and global south with respect to vaccine access and procurement</w:t>
      </w:r>
      <w:r w:rsidR="008C7FD9">
        <w:t>,</w:t>
      </w:r>
      <w:r w:rsidR="00FB55B8">
        <w:t xml:space="preserve"> </w:t>
      </w:r>
      <w:r w:rsidR="008C7FD9">
        <w:t>and the</w:t>
      </w:r>
      <w:r w:rsidR="00FB55B8">
        <w:t xml:space="preserve"> effects of climate change </w:t>
      </w:r>
      <w:r w:rsidR="002D3E54">
        <w:t xml:space="preserve">continue to be borne </w:t>
      </w:r>
      <w:r w:rsidR="006F06FE">
        <w:t>most</w:t>
      </w:r>
      <w:r w:rsidR="00FB55B8">
        <w:t xml:space="preserve"> heavily by poorer countries</w:t>
      </w:r>
      <w:r w:rsidR="002D3E54">
        <w:t>.</w:t>
      </w:r>
      <w:r w:rsidR="000023B5">
        <w:t xml:space="preserve"> The Russian invasion of Ukraine has forced the </w:t>
      </w:r>
      <w:r w:rsidR="00957AF5">
        <w:t>expulsion</w:t>
      </w:r>
      <w:r w:rsidR="000023B5">
        <w:t xml:space="preserve"> of Russia and Russian </w:t>
      </w:r>
      <w:r w:rsidR="00512950">
        <w:t xml:space="preserve">higher education institutions </w:t>
      </w:r>
      <w:r w:rsidR="000023B5">
        <w:t xml:space="preserve"> and academics from myriad international arrangements, includ</w:t>
      </w:r>
      <w:r w:rsidR="00E51A3A">
        <w:t>ing</w:t>
      </w:r>
      <w:r w:rsidR="000023B5">
        <w:t xml:space="preserve"> Bologna, ERASMUS, Horizon Europe, EUA,  </w:t>
      </w:r>
      <w:r w:rsidR="00957AF5">
        <w:t xml:space="preserve">the Council of Europe, </w:t>
      </w:r>
      <w:r w:rsidR="000023B5">
        <w:t>etc.</w:t>
      </w:r>
      <w:r w:rsidR="003224AE">
        <w:t xml:space="preserve"> </w:t>
      </w:r>
      <w:r w:rsidR="003224AE">
        <w:fldChar w:fldCharType="begin" w:fldLock="1"/>
      </w:r>
      <w:r w:rsidR="002563B7">
        <w:instrText>ADDIN CSL_CITATION {"citationItems":[{"id":"ITEM-1","itemData":{"author":[{"dropping-particle":"","family":"O'Mally","given":"Brendan","non-dropping-particle":"","parse-names":false,"suffix":""}],"container-title":"University World News","id":"ITEM-1","issued":{"date-parts":[["2022","3","5"]]},"title":"European Union halts scientific cooperation with Russia","type":"article-newspaper"},"uris":["http://www.mendeley.com/documents/?uuid=f7fdc0f1-8ef2-4c10-8e73-d4cfa2e727f3"]}],"mendeley":{"formattedCitation":"(O’Mally 2022)","plainTextFormattedCitation":"(O’Mally 2022)","previouslyFormattedCitation":"(O’Mally 2022)"},"properties":{"noteIndex":0},"schema":"https://github.com/citation-style-language/schema/raw/master/csl-citation.json"}</w:instrText>
      </w:r>
      <w:r w:rsidR="003224AE">
        <w:fldChar w:fldCharType="separate"/>
      </w:r>
      <w:r w:rsidR="002563B7" w:rsidRPr="002563B7">
        <w:rPr>
          <w:noProof/>
        </w:rPr>
        <w:t>(O’Mally 2022)</w:t>
      </w:r>
      <w:r w:rsidR="003224AE">
        <w:fldChar w:fldCharType="end"/>
      </w:r>
      <w:r w:rsidR="000023B5">
        <w:t xml:space="preserve"> </w:t>
      </w:r>
      <w:r w:rsidR="00060D46">
        <w:t xml:space="preserve">while </w:t>
      </w:r>
      <w:r w:rsidR="00957AF5">
        <w:t xml:space="preserve">Brexit has had a similar effect on scholarly relations between the UK and the EU. </w:t>
      </w:r>
      <w:r w:rsidR="00060D46">
        <w:t xml:space="preserve">In turn both countries are seeking to (re)erect their own systems. </w:t>
      </w:r>
      <w:r w:rsidR="00F44EB9">
        <w:t>Rising g</w:t>
      </w:r>
      <w:r w:rsidR="002D3E54">
        <w:t>eopolitical tensions</w:t>
      </w:r>
      <w:r w:rsidR="00DA1D21">
        <w:t xml:space="preserve"> </w:t>
      </w:r>
      <w:r w:rsidR="00E47ECA">
        <w:t xml:space="preserve">sparked by unease over trade flows and </w:t>
      </w:r>
      <w:r w:rsidR="00DA1D21">
        <w:t xml:space="preserve">scientific and technological </w:t>
      </w:r>
      <w:r w:rsidR="00E47ECA">
        <w:t>know-how</w:t>
      </w:r>
      <w:r w:rsidR="00DA1D21">
        <w:t xml:space="preserve"> have given rise to security concerns </w:t>
      </w:r>
      <w:r w:rsidR="00E47ECA">
        <w:t>about</w:t>
      </w:r>
      <w:r w:rsidR="00DA1D21">
        <w:t xml:space="preserve"> </w:t>
      </w:r>
      <w:r w:rsidR="002D3E54">
        <w:t xml:space="preserve">higher education and scientific collaboration and </w:t>
      </w:r>
      <w:r w:rsidR="002D3E54">
        <w:lastRenderedPageBreak/>
        <w:t>data sharing, most particularly between the US/Europe and China</w:t>
      </w:r>
      <w:r w:rsidR="00B97B04">
        <w:t xml:space="preserve"> </w:t>
      </w:r>
      <w:r w:rsidR="00B97B04">
        <w:fldChar w:fldCharType="begin" w:fldLock="1"/>
      </w:r>
      <w:r w:rsidR="002563B7">
        <w:instrText>ADDIN CSL_CITATION {"citationItems":[{"id":"ITEM-1","itemData":{"author":[{"dropping-particle":"","family":"Allison","given":"Graham","non-dropping-particle":"","parse-names":false,"suffix":""},{"dropping-particle":"","family":"Klyman","given":"Kevin","non-dropping-particle":"","parse-names":false,"suffix":""},{"dropping-particle":"","family":"Barbesino","given":"Karina","non-dropping-particle":"","parse-names":false,"suffix":""},{"dropping-particle":"","family":"Yen","given":"Hugo","non-dropping-particle":"","parse-names":false,"suffix":""}],"id":"ITEM-1","issue":"December","issued":{"date-parts":[["2021"]]},"number-of-pages":"1-43","publisher-place":"Boston","title":"The Great Tech Rivalry: China vs the U.S.","type":"report"},"uris":["http://www.mendeley.com/documents/?uuid=1593bd93-4f13-41b7-8b14-c793a4fa2bff"]}],"mendeley":{"formattedCitation":"(Allison et al. 2021)","plainTextFormattedCitation":"(Allison et al. 2021)","previouslyFormattedCitation":"(Allison et al. 2021)"},"properties":{"noteIndex":0},"schema":"https://github.com/citation-style-language/schema/raw/master/csl-citation.json"}</w:instrText>
      </w:r>
      <w:r w:rsidR="00B97B04">
        <w:fldChar w:fldCharType="separate"/>
      </w:r>
      <w:r w:rsidR="002563B7" w:rsidRPr="002563B7">
        <w:rPr>
          <w:noProof/>
        </w:rPr>
        <w:t>(Allison et al. 2021)</w:t>
      </w:r>
      <w:r w:rsidR="00B97B04">
        <w:fldChar w:fldCharType="end"/>
      </w:r>
      <w:r w:rsidR="002D3E54">
        <w:t xml:space="preserve">. </w:t>
      </w:r>
      <w:r w:rsidR="00361948">
        <w:t xml:space="preserve">Global rankings have tracked these great power rivalries as China </w:t>
      </w:r>
      <w:r w:rsidR="00512950">
        <w:t>HEIs</w:t>
      </w:r>
      <w:r w:rsidR="00361948">
        <w:t xml:space="preserve"> grew in stature and the US/Europe lost ground proportionally to the point where the Chinese have recently indicated their intention to withdraw from global rankings and using “western” indicators  </w:t>
      </w:r>
      <w:r w:rsidR="00361948">
        <w:fldChar w:fldCharType="begin" w:fldLock="1"/>
      </w:r>
      <w:r w:rsidR="002563B7">
        <w:instrText>ADDIN CSL_CITATION {"citationItems":[{"id":"ITEM-1","itemData":{"author":[{"dropping-particle":"","family":"Hazelkorn","given":"Ellen","non-dropping-particle":"","parse-names":false,"suffix":""}],"container-title":"U.S. Power in International Higher Education","editor":[{"dropping-particle":"","family":"Lee","given":"Jenny J.","non-dropping-particle":"","parse-names":false,"suffix":""}],"id":"ITEM-1","issued":{"date-parts":[["2021"]]},"publisher":"Rutgers University Press","publisher-place":"New Brunswick and London","title":"What do Global University Rankings Tell Us About US Geopolitics in Higher Education?","type":"chapter"},"uris":["http://www.mendeley.com/documents/?uuid=bb155514-b658-4124-8652-aa2d4e950f5f"]},{"id":"ITEM-2","itemData":{"author":[{"dropping-particle":"","family":"Usher","given":"Alex","non-dropping-particle":"","parse-names":false,"suffix":""}],"container-title":"HESA Blog","id":"ITEM-2","issued":{"date-parts":[["2022","5","19"]]},"page":"2022","title":"The Fracturing of Global Rankings","type":"article-newspaper"},"uris":["http://www.mendeley.com/documents/?uuid=ebccb0e1-2820-4c7e-a94a-c2036bc27f0c"]}],"mendeley":{"formattedCitation":"(Hazelkorn 2021; Usher 2022)","manualFormatting":"(Hazelkorn, 2021)","plainTextFormattedCitation":"(Hazelkorn 2021; Usher 2022)","previouslyFormattedCitation":"(Hazelkorn 2021; Usher 2022)"},"properties":{"noteIndex":0},"schema":"https://github.com/citation-style-language/schema/raw/master/csl-citation.json"}</w:instrText>
      </w:r>
      <w:r w:rsidR="00361948">
        <w:fldChar w:fldCharType="separate"/>
      </w:r>
      <w:r w:rsidR="00361948" w:rsidRPr="00F51001">
        <w:rPr>
          <w:noProof/>
        </w:rPr>
        <w:t>(Hazelkorn, 2021)</w:t>
      </w:r>
      <w:r w:rsidR="00361948">
        <w:fldChar w:fldCharType="end"/>
      </w:r>
      <w:r w:rsidR="00361948">
        <w:t xml:space="preserve">. No doubt, </w:t>
      </w:r>
      <w:r w:rsidR="008B0A98">
        <w:t>rankings</w:t>
      </w:r>
      <w:r w:rsidR="00361948">
        <w:t xml:space="preserve"> are a controversial measure of quality but they expose the geopolitical tensions underpinning scientific and academic performance</w:t>
      </w:r>
      <w:r w:rsidR="00D57E45">
        <w:t>. The resulting</w:t>
      </w:r>
      <w:r w:rsidR="008B0A98">
        <w:t xml:space="preserve"> “fracturing” the global system according to Alex Usher </w:t>
      </w:r>
      <w:r w:rsidR="008B0A98">
        <w:rPr>
          <w:noProof/>
        </w:rPr>
        <w:fldChar w:fldCharType="begin" w:fldLock="1"/>
      </w:r>
      <w:r w:rsidR="002563B7">
        <w:rPr>
          <w:noProof/>
        </w:rPr>
        <w:instrText>ADDIN CSL_CITATION {"citationItems":[{"id":"ITEM-1","itemData":{"author":[{"dropping-particle":"","family":"Usher","given":"Alex","non-dropping-particle":"","parse-names":false,"suffix":""}],"container-title":"HESA Blog","id":"ITEM-1","issued":{"date-parts":[["2022","5","19"]]},"page":"2022","title":"The Fracturing of Global Rankings","type":"article-newspaper"},"uris":["http://www.mendeley.com/documents/?uuid=ebccb0e1-2820-4c7e-a94a-c2036bc27f0c"]}],"mendeley":{"formattedCitation":"(Usher 2022)","plainTextFormattedCitation":"(Usher 2022)","previouslyFormattedCitation":"(Usher 2022)"},"properties":{"noteIndex":0},"schema":"https://github.com/citation-style-language/schema/raw/master/csl-citation.json"}</w:instrText>
      </w:r>
      <w:r w:rsidR="008B0A98">
        <w:rPr>
          <w:noProof/>
        </w:rPr>
        <w:fldChar w:fldCharType="separate"/>
      </w:r>
      <w:r w:rsidR="002563B7" w:rsidRPr="002563B7">
        <w:rPr>
          <w:noProof/>
        </w:rPr>
        <w:t>(2022)</w:t>
      </w:r>
      <w:r w:rsidR="008B0A98">
        <w:rPr>
          <w:noProof/>
        </w:rPr>
        <w:fldChar w:fldCharType="end"/>
      </w:r>
      <w:r w:rsidR="008B0A98">
        <w:rPr>
          <w:noProof/>
        </w:rPr>
        <w:t xml:space="preserve"> </w:t>
      </w:r>
      <w:r w:rsidR="00D57E45">
        <w:rPr>
          <w:noProof/>
        </w:rPr>
        <w:t>or questioning of</w:t>
      </w:r>
      <w:r w:rsidR="008B0A98">
        <w:t xml:space="preserve"> the “system of the world” according to Noah Smith </w:t>
      </w:r>
      <w:r w:rsidR="008B0A98">
        <w:fldChar w:fldCharType="begin" w:fldLock="1"/>
      </w:r>
      <w:r w:rsidR="002563B7">
        <w:instrText>ADDIN CSL_CITATION {"citationItems":[{"id":"ITEM-1","itemData":{"DOI":"10.7560/319352-025","ISSN":"0046385X","author":[{"dropping-particle":"","family":"Smith","given":"Noah","non-dropping-particle":"","parse-names":false,"suffix":""}],"container-title":"Noahpinion","id":"ITEM-1","issued":{"date-parts":[["2022","10","26"]]},"title":"The end of the world?","type":"article-newspaper"},"uris":["http://www.mendeley.com/documents/?uuid=ae5de542-bf96-4fb0-8e2a-c736490e3d46"]}],"mendeley":{"formattedCitation":"(Smith 2022)","plainTextFormattedCitation":"(Smith 2022)","previouslyFormattedCitation":"(Smith 2022)"},"properties":{"noteIndex":0},"schema":"https://github.com/citation-style-language/schema/raw/master/csl-citation.json"}</w:instrText>
      </w:r>
      <w:r w:rsidR="008B0A98">
        <w:fldChar w:fldCharType="separate"/>
      </w:r>
      <w:r w:rsidR="002563B7" w:rsidRPr="002563B7">
        <w:rPr>
          <w:noProof/>
        </w:rPr>
        <w:t>(2022)</w:t>
      </w:r>
      <w:r w:rsidR="008B0A98">
        <w:fldChar w:fldCharType="end"/>
      </w:r>
      <w:r w:rsidR="00D57E45">
        <w:t xml:space="preserve"> highlight the significant </w:t>
      </w:r>
      <w:r w:rsidR="008C0083">
        <w:t xml:space="preserve">and complex </w:t>
      </w:r>
      <w:r w:rsidR="00D57E45">
        <w:t>role played by the international organisation, networks and associations</w:t>
      </w:r>
      <w:r w:rsidR="0013799B">
        <w:t xml:space="preserve"> as multilateral agents</w:t>
      </w:r>
      <w:r w:rsidR="00D57E45">
        <w:t xml:space="preserve">.  </w:t>
      </w:r>
    </w:p>
    <w:p w14:paraId="00000021" w14:textId="2C7A88B4" w:rsidR="004C6123" w:rsidRDefault="00A076BA">
      <w:pPr>
        <w:pStyle w:val="Heading1"/>
        <w:numPr>
          <w:ilvl w:val="0"/>
          <w:numId w:val="3"/>
        </w:numPr>
        <w:rPr>
          <w:rFonts w:ascii="Calibri" w:eastAsia="Calibri" w:hAnsi="Calibri" w:cs="Calibri"/>
        </w:rPr>
      </w:pPr>
      <w:r>
        <w:rPr>
          <w:rFonts w:ascii="Calibri" w:eastAsia="Calibri" w:hAnsi="Calibri" w:cs="Calibri"/>
        </w:rPr>
        <w:t>IONAs</w:t>
      </w:r>
      <w:r w:rsidR="00B17436">
        <w:rPr>
          <w:rFonts w:ascii="Calibri" w:eastAsia="Calibri" w:hAnsi="Calibri" w:cs="Calibri"/>
        </w:rPr>
        <w:t>—G</w:t>
      </w:r>
      <w:r>
        <w:rPr>
          <w:rFonts w:ascii="Calibri" w:eastAsia="Calibri" w:hAnsi="Calibri" w:cs="Calibri"/>
        </w:rPr>
        <w:t xml:space="preserve">overnance as </w:t>
      </w:r>
      <w:r w:rsidR="00B17436">
        <w:rPr>
          <w:rFonts w:ascii="Calibri" w:eastAsia="Calibri" w:hAnsi="Calibri" w:cs="Calibri"/>
        </w:rPr>
        <w:t>C</w:t>
      </w:r>
      <w:r>
        <w:rPr>
          <w:rFonts w:ascii="Calibri" w:eastAsia="Calibri" w:hAnsi="Calibri" w:cs="Calibri"/>
        </w:rPr>
        <w:t>oordination</w:t>
      </w:r>
    </w:p>
    <w:p w14:paraId="0431FEAE" w14:textId="67B0A373" w:rsidR="00C9350E" w:rsidRDefault="006501C0">
      <w:r>
        <w:t>I</w:t>
      </w:r>
      <w:r w:rsidR="00B17436">
        <w:t xml:space="preserve">nternational </w:t>
      </w:r>
      <w:r w:rsidR="00A076BA">
        <w:t>collaboration</w:t>
      </w:r>
      <w:r>
        <w:t>s</w:t>
      </w:r>
      <w:r w:rsidR="00A076BA">
        <w:t xml:space="preserve"> in science</w:t>
      </w:r>
      <w:r w:rsidR="00B17436">
        <w:t>—</w:t>
      </w:r>
      <w:r w:rsidR="00A076BA">
        <w:t>and in education</w:t>
      </w:r>
      <w:r w:rsidR="00B17436">
        <w:t>—</w:t>
      </w:r>
      <w:r w:rsidR="00A076BA">
        <w:t>doesn’t just happen</w:t>
      </w:r>
      <w:r w:rsidR="00B17436">
        <w:t>;</w:t>
      </w:r>
      <w:r w:rsidR="00A076BA">
        <w:t xml:space="preserve"> </w:t>
      </w:r>
      <w:r w:rsidR="00B17436">
        <w:t>i</w:t>
      </w:r>
      <w:r w:rsidR="00A076BA">
        <w:t>t needs coordination</w:t>
      </w:r>
      <w:r w:rsidR="00B17436">
        <w:t>.</w:t>
      </w:r>
      <w:r w:rsidR="00A076BA">
        <w:t xml:space="preserve"> </w:t>
      </w:r>
      <w:r w:rsidR="00B17436">
        <w:t>I</w:t>
      </w:r>
      <w:r w:rsidR="00A076BA">
        <w:t>nternational organi</w:t>
      </w:r>
      <w:r w:rsidR="00B17436">
        <w:t>z</w:t>
      </w:r>
      <w:r w:rsidR="00A076BA">
        <w:t>ations, networks, and associations (IONAs) are the effective nodes of coordination and connection in international higher education and global science. While historically the focus was on local and within</w:t>
      </w:r>
      <w:r w:rsidR="00B17436">
        <w:t>-</w:t>
      </w:r>
      <w:r w:rsidR="00A076BA">
        <w:t xml:space="preserve">nation-state activities, governance concerns have necessarily become more complex in the global age and expanded beyond national borders </w:t>
      </w:r>
      <w:r w:rsidR="00C71BA0">
        <w:fldChar w:fldCharType="begin" w:fldLock="1"/>
      </w:r>
      <w:r w:rsidR="002563B7">
        <w:instrText>ADDIN CSL_CITATION {"citationItems":[{"id":"ITEM-1","itemData":{"DOI":"10.1057/s41599-017-0011-6","ISSN":"2055-1045","abstract":"Science has always operated in a competitive environment, but the globalisation of knowledge and the rising popularity and use of global rankings have elevated this competition to a new level. The quality, performance and productivity of higher education and university-based research have become a national differentiator in the global knowledge economy. Global rankings essentially measure levels of wealth and investment in higher education, and they reflect the realisation that national pre-eminence is no longer sufficient. These developments also correspond with increased public scrutiny and calls for greater transparency, underpinned by growing necessity to demonstrate value, impact and benefit. Despite on-going criticism of methodologies, and scepticism about their overall role, rankings are informing and influencing policy-making, academic behaviour, stakeholder opinions—and our collective understanding of science. This article examines the inter-relationship and tensions between the national and the global in the context of the influences between higher education and global university rankings. It starts with a discussion of the globalisation of knowledge and the rise of rankings. It then moves on to consider rankings in the context of wider discourse relating to quality and measuring scholarly activity, both within academia and by governments. The next section examines the relationship and tensions between research assessment and rankings, in policy and practice. It concludes by discussing the broader implications for higher education and university-based research.","author":[{"dropping-particle":"","family":"Hazelkorn","given":"Ellen","non-dropping-particle":"","parse-names":false,"suffix":""},{"dropping-particle":"","family":"Gibson","given":"Andrew","non-dropping-particle":"","parse-names":false,"suffix":""}],"container-title":"Palgrave Communications","id":"ITEM-1","issue":"1","issued":{"date-parts":[["2017"]]},"page":"21","title":"Global science, national research, and the question of university rankings","type":"article-journal","volume":"3"},"uris":["http://www.mendeley.com/documents/?uuid=378d1a95-a6b3-49fb-8a37-685b5698ffd5"]}],"mendeley":{"formattedCitation":"(Hazelkorn and Gibson 2017)","plainTextFormattedCitation":"(Hazelkorn and Gibson 2017)","previouslyFormattedCitation":"(Hazelkorn and Gibson 2017)"},"properties":{"noteIndex":0},"schema":"https://github.com/citation-style-language/schema/raw/master/csl-citation.json"}</w:instrText>
      </w:r>
      <w:r w:rsidR="00C71BA0">
        <w:fldChar w:fldCharType="separate"/>
      </w:r>
      <w:r w:rsidR="002563B7" w:rsidRPr="002563B7">
        <w:rPr>
          <w:noProof/>
        </w:rPr>
        <w:t>(Hazelkorn and Gibson 2017)</w:t>
      </w:r>
      <w:r w:rsidR="00C71BA0">
        <w:fldChar w:fldCharType="end"/>
      </w:r>
      <w:r w:rsidR="00A076BA">
        <w:t xml:space="preserve">. While the </w:t>
      </w:r>
      <w:r w:rsidR="00B17436">
        <w:t xml:space="preserve">nineteenth </w:t>
      </w:r>
      <w:r w:rsidR="00A076BA">
        <w:t xml:space="preserve">century is credited with the birth of international arrangements, the </w:t>
      </w:r>
      <w:r w:rsidR="00B17436">
        <w:t xml:space="preserve">twentieth </w:t>
      </w:r>
      <w:r w:rsidR="00A076BA">
        <w:t>century saw significant growth in an institutionali</w:t>
      </w:r>
      <w:r w:rsidR="00B17436">
        <w:t>z</w:t>
      </w:r>
      <w:r w:rsidR="00A076BA">
        <w:t>ed multilateral system</w:t>
      </w:r>
      <w:r w:rsidR="001928D3">
        <w:t xml:space="preserve"> </w:t>
      </w:r>
      <w:r w:rsidR="001928D3">
        <w:fldChar w:fldCharType="begin" w:fldLock="1"/>
      </w:r>
      <w:r w:rsidR="002563B7">
        <w:instrText>ADDIN CSL_CITATION {"citationItems":[{"id":"ITEM-1","itemData":{"DOI":"10.1017/S0020818315000338","ISSN":"15315088","abstract":"The institutions of global governance have changed dramatically in recent years. New organizational forms-including informal institutions, transgovernmental networks, and private transnational regulatory organizations (PTROs)-have expanded rapidly, while the growth of formal intergovernmental organizations has slowed. Organizational ecology provides an insightful framework for understanding these changing patterns of growth. Organizational ecology is primarily a structural theory, emphasizing the influence of institutional environments, especially their organizational density and resource availability, on organizational behavior and viability. To demonstrate the explanatory value of organizational ecology, we analyze the proliferation of PTROs compared with the relative stasis of intergovernmental organizations (IGOs). Continued growth of IGOs is constrained by crowding in their dense institutional environment, but PTROs benefit from organizational flexibility and low entry costs, which allow them to enter niches with limited resource competition. We probe the plausibility of our analysis by examining contemporary climate governance.","author":[{"dropping-particle":"","family":"Abbott","given":"Kenneth W.","non-dropping-particle":"","parse-names":false,"suffix":""},{"dropping-particle":"","family":"Green","given":"Jessica F.","non-dropping-particle":"","parse-names":false,"suffix":""},{"dropping-particle":"","family":"Keohane","given":"Robert O.","non-dropping-particle":"","parse-names":false,"suffix":""}],"container-title":"International Organization","id":"ITEM-1","issue":"2","issued":{"date-parts":[["2016"]]},"page":"247-277","title":"Organizational Ecology and Institutional Change in Global Governance","type":"article-journal","volume":"70"},"uris":["http://www.mendeley.com/documents/?uuid=bee05c73-997e-4970-8102-9b9ee9ba0599"]}],"mendeley":{"formattedCitation":"(Abbott, Green, and Keohane 2016)","plainTextFormattedCitation":"(Abbott, Green, and Keohane 2016)","previouslyFormattedCitation":"(Abbott, Green, and Keohane 2016)"},"properties":{"noteIndex":0},"schema":"https://github.com/citation-style-language/schema/raw/master/csl-citation.json"}</w:instrText>
      </w:r>
      <w:r w:rsidR="001928D3">
        <w:fldChar w:fldCharType="separate"/>
      </w:r>
      <w:r w:rsidR="002563B7" w:rsidRPr="002563B7">
        <w:rPr>
          <w:noProof/>
        </w:rPr>
        <w:t>(Abbott, Green, and Keohane 2016)</w:t>
      </w:r>
      <w:r w:rsidR="001928D3">
        <w:fldChar w:fldCharType="end"/>
      </w:r>
      <w:r w:rsidR="00A076BA">
        <w:t>. The initial Western desire and need for international cooperation in the wake of World War II laid the groundwork for the evolution of multilateralism in the form of membership of international institutions and organi</w:t>
      </w:r>
      <w:r w:rsidR="00B17436">
        <w:t>z</w:t>
      </w:r>
      <w:r w:rsidR="00A076BA">
        <w:t>ations. The role of multilateral arrangements and international organisations (IO) as coordinators arose from the complexity of global developments and decision-making</w:t>
      </w:r>
      <w:r w:rsidR="008B7F9E">
        <w:t xml:space="preserve"> </w:t>
      </w:r>
      <w:r w:rsidR="008B7F9E">
        <w:fldChar w:fldCharType="begin" w:fldLock="1"/>
      </w:r>
      <w:r w:rsidR="002563B7">
        <w:instrText>ADDIN CSL_CITATION {"citationItems":[{"id":"ITEM-1","itemData":{"author":[{"dropping-particle":"","family":"Held","given":"David","non-dropping-particle":"","parse-names":false,"suffix":""},{"dropping-particle":"","family":"McGrew","given":"Anthony","non-dropping-particle":"","parse-names":false,"suffix":""}],"container-title":"Governing Globalization: Power, Authority and Global Governance","editor":[{"dropping-particle":"","family":"Held","given":"David","non-dropping-particle":"","parse-names":false,"suffix":""},{"dropping-particle":"","family":"McGrew","given":"Anthony","non-dropping-particle":"","parse-names":false,"suffix":""}],"id":"ITEM-1","issued":{"date-parts":[["2002"]]},"page":"1-21","publisher":"Polity Press","publisher-place":"Cambridge, UK","title":"Introduction","type":"chapter"},"uris":["http://www.mendeley.com/documents/?uuid=c06372ea-da93-4cc5-a867-8d89a42afe19"]}],"mendeley":{"formattedCitation":"(Held and McGrew 2002)","manualFormatting":"(Held &amp; McGrew, 2002, p12)","plainTextFormattedCitation":"(Held and McGrew 2002)","previouslyFormattedCitation":"(Held and McGrew 2002)"},"properties":{"noteIndex":0},"schema":"https://github.com/citation-style-language/schema/raw/master/csl-citation.json"}</w:instrText>
      </w:r>
      <w:r w:rsidR="008B7F9E">
        <w:fldChar w:fldCharType="separate"/>
      </w:r>
      <w:r w:rsidR="008B7F9E" w:rsidRPr="008B7F9E">
        <w:rPr>
          <w:noProof/>
        </w:rPr>
        <w:t>(Held &amp; McGrew, 2002</w:t>
      </w:r>
      <w:r w:rsidR="008B7F9E">
        <w:rPr>
          <w:noProof/>
        </w:rPr>
        <w:t>, p12</w:t>
      </w:r>
      <w:r w:rsidR="008B7F9E" w:rsidRPr="008B7F9E">
        <w:rPr>
          <w:noProof/>
        </w:rPr>
        <w:t>)</w:t>
      </w:r>
      <w:r w:rsidR="008B7F9E">
        <w:fldChar w:fldCharType="end"/>
      </w:r>
      <w:r w:rsidR="000416B4">
        <w:t xml:space="preserve">. </w:t>
      </w:r>
      <w:r w:rsidR="00A076BA">
        <w:t xml:space="preserve">International institutions are “complexes of rules and norms, identifiable in space and time” creating what </w:t>
      </w:r>
      <w:r w:rsidR="00624504">
        <w:t xml:space="preserve">Joseph </w:t>
      </w:r>
      <w:r w:rsidR="00A076BA">
        <w:t xml:space="preserve">Nye and </w:t>
      </w:r>
      <w:r w:rsidR="00624504">
        <w:t xml:space="preserve">Robert </w:t>
      </w:r>
      <w:r w:rsidR="00A076BA">
        <w:t>Keohane term “complex interdependence”</w:t>
      </w:r>
      <w:r w:rsidR="00C10CD2">
        <w:t xml:space="preserve"> </w:t>
      </w:r>
      <w:r w:rsidR="00C10CD2">
        <w:fldChar w:fldCharType="begin" w:fldLock="1"/>
      </w:r>
      <w:r w:rsidR="002563B7">
        <w:instrText>ADDIN CSL_CITATION {"citationItems":[{"id":"ITEM-1","itemData":{"author":[{"dropping-particle":"","family":"Nye Jr","given":"Joseph S","non-dropping-particle":"","parse-names":false,"suffix":""},{"dropping-particle":"","family":"Keohane","given":"Robert O","non-dropping-particle":"","parse-names":false,"suffix":""}],"container-title":"Foreign Affairs","id":"ITEM-1","issued":{"date-parts":[["1998"]]},"page":"81-94","title":"Power and Interdependence in the Information Age","type":"article-journal","volume":"September/"},"uris":["http://www.mendeley.com/documents/?uuid=805cdb65-4a48-4f73-8ec8-1296aedcea09"]}],"mendeley":{"formattedCitation":"(Nye Jr and Keohane 1998)","manualFormatting":"(Nye Jr &amp; Keohane, 1998, p83)","plainTextFormattedCitation":"(Nye Jr and Keohane 1998)","previouslyFormattedCitation":"(Nye Jr and Keohane 1998)"},"properties":{"noteIndex":0},"schema":"https://github.com/citation-style-language/schema/raw/master/csl-citation.json"}</w:instrText>
      </w:r>
      <w:r w:rsidR="00C10CD2">
        <w:fldChar w:fldCharType="separate"/>
      </w:r>
      <w:r w:rsidR="00C10CD2" w:rsidRPr="00C10CD2">
        <w:rPr>
          <w:noProof/>
        </w:rPr>
        <w:t>(Nye Jr &amp; Keohane, 1998</w:t>
      </w:r>
      <w:r w:rsidR="00C10CD2">
        <w:rPr>
          <w:noProof/>
        </w:rPr>
        <w:t>, p83</w:t>
      </w:r>
      <w:r w:rsidR="00C10CD2" w:rsidRPr="00C10CD2">
        <w:rPr>
          <w:noProof/>
        </w:rPr>
        <w:t>)</w:t>
      </w:r>
      <w:r w:rsidR="00C10CD2">
        <w:fldChar w:fldCharType="end"/>
      </w:r>
      <w:r w:rsidR="00C10CD2">
        <w:t xml:space="preserve"> </w:t>
      </w:r>
      <w:r w:rsidR="003E154F">
        <w:t>with “consequences that are global in scope”</w:t>
      </w:r>
      <w:r w:rsidR="00C10CD2">
        <w:t xml:space="preserve"> </w:t>
      </w:r>
      <w:r w:rsidR="00C10CD2">
        <w:fldChar w:fldCharType="begin" w:fldLock="1"/>
      </w:r>
      <w:r w:rsidR="00EE3231">
        <w:instrText>ADDIN CSL_CITATION {"citationItems":[{"id":"ITEM-1","itemData":{"author":[{"dropping-particle":"","family":"Rosenau","given":"James N.","non-dropping-particle":"","parse-names":false,"suffix":""}],"chapter-number":"3","container-title":"Governing Globalization. Power, Authority and Global Governance","editor":[{"dropping-particle":"","family":"McGrew","given":"Anthony","non-dropping-particle":"","parse-names":false,"suffix":""},{"dropping-particle":"","family":"Held","given":"David","non-dropping-particle":"","parse-names":false,"suffix":""}],"id":"ITEM-1","issued":{"date-parts":[["2002"]]},"page":"70-86","publisher":"Polity Press","publisher-place":"Cambridge, UK","title":"Governance in a New Global Order","type":"chapter"},"uris":["http://www.mendeley.com/documents/?uuid=4a2166af-1b2f-4ada-b3e4-55014b640a0c"]}],"mendeley":{"formattedCitation":"(Rosenau 2002)","manualFormatting":"(Rosenau, 2002, p72)","plainTextFormattedCitation":"(Rosenau 2002)","previouslyFormattedCitation":"(Rosenau 2002)"},"properties":{"noteIndex":0},"schema":"https://github.com/citation-style-language/schema/raw/master/csl-citation.json"}</w:instrText>
      </w:r>
      <w:r w:rsidR="00C10CD2">
        <w:fldChar w:fldCharType="separate"/>
      </w:r>
      <w:r w:rsidR="00C10CD2" w:rsidRPr="00C10CD2">
        <w:rPr>
          <w:noProof/>
        </w:rPr>
        <w:t>(Rosenau, 2002</w:t>
      </w:r>
      <w:r w:rsidR="00C10CD2">
        <w:rPr>
          <w:noProof/>
        </w:rPr>
        <w:t>, p72</w:t>
      </w:r>
      <w:r w:rsidR="00C10CD2" w:rsidRPr="00C10CD2">
        <w:rPr>
          <w:noProof/>
        </w:rPr>
        <w:t>)</w:t>
      </w:r>
      <w:r w:rsidR="00C10CD2">
        <w:fldChar w:fldCharType="end"/>
      </w:r>
      <w:r w:rsidR="00C10CD2">
        <w:t xml:space="preserve">. </w:t>
      </w:r>
    </w:p>
    <w:p w14:paraId="5C78BB40" w14:textId="777ACEC5" w:rsidR="00C427D0" w:rsidRDefault="00C427D0" w:rsidP="00C427D0">
      <w:r>
        <w:t>When thinking of transnational governance, we usually think of a group of multilateral intergovernmental and field specific international organisations or IOs</w:t>
      </w:r>
      <w:r w:rsidR="000416B4" w:rsidRPr="000416B4">
        <w:t xml:space="preserve"> </w:t>
      </w:r>
      <w:r w:rsidR="000416B4">
        <w:t xml:space="preserve">such as the United Nations and its extended family of agencies, </w:t>
      </w:r>
      <w:r w:rsidR="00943EA3">
        <w:t xml:space="preserve">the </w:t>
      </w:r>
      <w:r w:rsidR="00943EA3" w:rsidRPr="0011277F">
        <w:t xml:space="preserve">Organization for Economic Co-operation and Development </w:t>
      </w:r>
      <w:r w:rsidR="00943EA3">
        <w:t>(OECD)</w:t>
      </w:r>
      <w:r w:rsidR="000416B4">
        <w:t>, the World Bank</w:t>
      </w:r>
      <w:r w:rsidR="00943EA3">
        <w:t xml:space="preserve"> (WB)</w:t>
      </w:r>
      <w:r w:rsidR="000416B4">
        <w:t>, the North Atlantic Treaty Organization</w:t>
      </w:r>
      <w:r w:rsidR="00943EA3">
        <w:t xml:space="preserve"> (NATO)</w:t>
      </w:r>
      <w:r w:rsidR="000416B4">
        <w:t>, the International Monetary Fund</w:t>
      </w:r>
      <w:r w:rsidR="00943EA3">
        <w:t xml:space="preserve"> (IMF)</w:t>
      </w:r>
      <w:r w:rsidR="000416B4">
        <w:t>, the World Trade Organization</w:t>
      </w:r>
      <w:r w:rsidR="00943EA3">
        <w:t xml:space="preserve"> (WTO)</w:t>
      </w:r>
      <w:r w:rsidR="000416B4">
        <w:t xml:space="preserve"> and their prescribed regulatory regimes (Henry et al. 2001).</w:t>
      </w:r>
      <w:r>
        <w:t xml:space="preserve"> Between 1900 and 2000, the number of IOs rose from thirty-seven to over four hundred</w:t>
      </w:r>
      <w:r w:rsidR="00307E5D">
        <w:t xml:space="preserve"> </w:t>
      </w:r>
      <w:r w:rsidR="00307E5D">
        <w:fldChar w:fldCharType="begin" w:fldLock="1"/>
      </w:r>
      <w:r w:rsidR="002563B7">
        <w:instrText>ADDIN CSL_CITATION {"citationItems":[{"id":"ITEM-1","itemData":{"author":[{"dropping-particle":"","family":"Telò","given":"Mario","non-dropping-particle":"","parse-names":false,"suffix":""}],"container-title":"Globalisation, Multilateralism, Europe. Towards a Better Global Governance?","editor":[{"dropping-particle":"","family":"Telò","given":"Mario","non-dropping-particle":"","parse-names":false,"suffix":""}],"id":"ITEM-1","issued":{"date-parts":[["2013"]]},"page":"1-14","publisher":"Ashgate Publishing","publisher-place":"Farnham, UK","title":"Introduction","type":"chapter"},"uris":["http://www.mendeley.com/documents/?uuid=da0c042c-c88c-4b4a-8672-83d17c74faf6"]}],"mendeley":{"formattedCitation":"(Telò 2013)","manualFormatting":"(Telò, 2013, p34-35)","plainTextFormattedCitation":"(Telò 2013)","previouslyFormattedCitation":"(Telò 2013)"},"properties":{"noteIndex":0},"schema":"https://github.com/citation-style-language/schema/raw/master/csl-citation.json"}</w:instrText>
      </w:r>
      <w:r w:rsidR="00307E5D">
        <w:fldChar w:fldCharType="separate"/>
      </w:r>
      <w:r w:rsidR="00307E5D" w:rsidRPr="00307E5D">
        <w:rPr>
          <w:noProof/>
        </w:rPr>
        <w:t>(Telò, 2013</w:t>
      </w:r>
      <w:r w:rsidR="00307E5D">
        <w:rPr>
          <w:noProof/>
        </w:rPr>
        <w:t>, p34-35</w:t>
      </w:r>
      <w:r w:rsidR="00307E5D" w:rsidRPr="00307E5D">
        <w:rPr>
          <w:noProof/>
        </w:rPr>
        <w:t>)</w:t>
      </w:r>
      <w:r w:rsidR="00307E5D">
        <w:fldChar w:fldCharType="end"/>
      </w:r>
      <w:r w:rsidR="00307E5D">
        <w:t>.</w:t>
      </w:r>
      <w:r>
        <w:t xml:space="preserve"> The OECD says the number of nongovernmental organisations involved in international policymaking increased from 41 in 1945 to roughly 4,200 in 2015</w:t>
      </w:r>
      <w:r w:rsidR="00A64277">
        <w:t xml:space="preserve"> </w:t>
      </w:r>
      <w:r w:rsidR="00A64277">
        <w:fldChar w:fldCharType="begin" w:fldLock="1"/>
      </w:r>
      <w:r w:rsidR="002563B7">
        <w:instrText>ADDIN CSL_CITATION {"citationItems":[{"id":"ITEM-1","itemData":{"ISBN":"9789264263055","author":[{"dropping-particle":"","family":"OECD","given":"","non-dropping-particle":"","parse-names":false,"suffix":""}],"container-title":"OECD Science, Technology and Innovation Outlook 2016","id":"ITEM-1","issued":{"date-parts":[["2016"]]},"page":"18","publisher":"OECD Publishing","publisher-place":"Paris","title":"Megatrends affecting science, technology and innovation","type":"article"},"uris":["http://www.mendeley.com/documents/?uuid=bf0c0981-2e04-4106-8d46-aa31977af30e"]}],"mendeley":{"formattedCitation":"(OECD 2016)","manualFormatting":"(OECD, 2016, p8)","plainTextFormattedCitation":"(OECD 2016)","previouslyFormattedCitation":"(OECD 2016)"},"properties":{"noteIndex":0},"schema":"https://github.com/citation-style-language/schema/raw/master/csl-citation.json"}</w:instrText>
      </w:r>
      <w:r w:rsidR="00A64277">
        <w:fldChar w:fldCharType="separate"/>
      </w:r>
      <w:r w:rsidR="00A64277" w:rsidRPr="00A64277">
        <w:rPr>
          <w:noProof/>
        </w:rPr>
        <w:t>(OECD, 2016</w:t>
      </w:r>
      <w:r w:rsidR="00A64277">
        <w:rPr>
          <w:noProof/>
        </w:rPr>
        <w:t>, p8</w:t>
      </w:r>
      <w:r w:rsidR="00A64277" w:rsidRPr="00A64277">
        <w:rPr>
          <w:noProof/>
        </w:rPr>
        <w:t>)</w:t>
      </w:r>
      <w:r w:rsidR="00A64277">
        <w:fldChar w:fldCharType="end"/>
      </w:r>
      <w:r>
        <w:t>. Indicative of this increase is the number of international treaties which has also expanded</w:t>
      </w:r>
      <w:r w:rsidR="00822409">
        <w:t xml:space="preserve"> </w:t>
      </w:r>
      <w:r w:rsidR="004049E6">
        <w:fldChar w:fldCharType="begin" w:fldLock="1"/>
      </w:r>
      <w:r w:rsidR="002563B7">
        <w:instrText>ADDIN CSL_CITATION {"citationItems":[{"id":"ITEM-1","itemData":{"DOI":"10.1017/S1537592703000380","ISSN":"15410986","abstract":"American foreign policy appears to have taken a sharp unilateral turn. A half century of U.S. leadership in constructing an international order organized around multilateral institutions, rule-based agreements, and alliance partnerships seems to be giving way to an assertive unilateralism. But how deeply rooted is this unilateral turn? Is it an inevitable feature of America's rising global power position? This article argues that the United States is not doomed to shed its multilateral orientation. Unipolar power provides new opportunities for the United States to act unilaterally, but the incentives are actually quite complex and cross-cutting; and these incentives arguably make multilateralism more rather than less desirable for Washington in many policy areas. © 2003, by the American Political Science Association. All rights reserved.","author":[{"dropping-particle":"","family":"lkenberry","given":"G. John","non-dropping-particle":"","parse-names":false,"suffix":""}],"container-title":"Perspectives on Politics","id":"ITEM-1","issue":"3","issued":{"date-parts":[["2003"]]},"page":"533-550","title":"Is American Multilateralism in Decline?","type":"article-journal","volume":"1"},"uris":["http://www.mendeley.com/documents/?uuid=f1a9cd05-bb01-49e8-81a9-a5d6635f5d70"]}],"mendeley":{"formattedCitation":"(lkenberry 2003)","manualFormatting":"(lkenberry, 2003, p536-537)","plainTextFormattedCitation":"(lkenberry 2003)","previouslyFormattedCitation":"(lkenberry 2003)"},"properties":{"noteIndex":0},"schema":"https://github.com/citation-style-language/schema/raw/master/csl-citation.json"}</w:instrText>
      </w:r>
      <w:r w:rsidR="004049E6">
        <w:fldChar w:fldCharType="separate"/>
      </w:r>
      <w:r w:rsidR="004049E6" w:rsidRPr="004049E6">
        <w:rPr>
          <w:noProof/>
        </w:rPr>
        <w:t>(lkenberry, 2003</w:t>
      </w:r>
      <w:r w:rsidR="004049E6">
        <w:rPr>
          <w:noProof/>
        </w:rPr>
        <w:t>, p536-537</w:t>
      </w:r>
      <w:r w:rsidR="004049E6" w:rsidRPr="004049E6">
        <w:rPr>
          <w:noProof/>
        </w:rPr>
        <w:t>)</w:t>
      </w:r>
      <w:r w:rsidR="004049E6">
        <w:fldChar w:fldCharType="end"/>
      </w:r>
      <w:r w:rsidR="00822409">
        <w:t xml:space="preserve">  </w:t>
      </w:r>
      <w:r w:rsidR="004049E6">
        <w:fldChar w:fldCharType="begin" w:fldLock="1"/>
      </w:r>
      <w:r w:rsidR="002563B7">
        <w:instrText>ADDIN CSL_CITATION {"citationItems":[{"id":"ITEM-1","itemData":{"author":[{"dropping-particle":"","family":"Peterson","given":"John","non-dropping-particle":"","parse-names":false,"suffix":""},{"dropping-particle":"","family":"Bouchard","given":"Caroline","non-dropping-particle":"","parse-names":false,"suffix":""}],"chapter-number":"2","container-title":"Multilateralism in the 21st Century. Europe's Quest for Effetiveness","editor":[{"dropping-particle":"","family":"Bouchard","given":"Caroline","non-dropping-particle":"","parse-names":false,"suffix":""},{"dropping-particle":"","family":"Peterson","given":"John","non-dropping-particle":"","parse-names":false,"suffix":""},{"dropping-particle":"","family":"Tocci","given":"Nathalie","non-dropping-particle":"","parse-names":false,"suffix":""}],"id":"ITEM-1","issued":{"date-parts":[["2014"]]},"page":"13-38","publisher":"Routledge","publisher-place":"London and New York","title":"Making Multilateralism Effective. Modernising global governance","type":"chapter"},"uris":["http://www.mendeley.com/documents/?uuid=7778cae2-8a09-4c1c-8705-634d325eed52"]}],"mendeley":{"formattedCitation":"(Peterson and Bouchard 2014)","manualFormatting":"(Peterson &amp; Bouchard, 2014, p18)","plainTextFormattedCitation":"(Peterson and Bouchard 2014)","previouslyFormattedCitation":"(Peterson and Bouchard 2014)"},"properties":{"noteIndex":0},"schema":"https://github.com/citation-style-language/schema/raw/master/csl-citation.json"}</w:instrText>
      </w:r>
      <w:r w:rsidR="004049E6">
        <w:fldChar w:fldCharType="separate"/>
      </w:r>
      <w:r w:rsidR="004049E6" w:rsidRPr="004049E6">
        <w:rPr>
          <w:noProof/>
        </w:rPr>
        <w:t>(Peterson &amp; Bouchard, 2014</w:t>
      </w:r>
      <w:r w:rsidR="004049E6">
        <w:rPr>
          <w:noProof/>
        </w:rPr>
        <w:t>, p18</w:t>
      </w:r>
      <w:r w:rsidR="004049E6" w:rsidRPr="004049E6">
        <w:rPr>
          <w:noProof/>
        </w:rPr>
        <w:t>)</w:t>
      </w:r>
      <w:r w:rsidR="004049E6">
        <w:fldChar w:fldCharType="end"/>
      </w:r>
      <w:r w:rsidR="00943EA3">
        <w:t>. A</w:t>
      </w:r>
      <w:r>
        <w:t>ccording to the United Nations, 339 multilateral treaties were lodged with the Secretary-General as of May 2016</w:t>
      </w:r>
      <w:r w:rsidR="00A31117">
        <w:t xml:space="preserve">  </w:t>
      </w:r>
      <w:r w:rsidR="00A31117">
        <w:fldChar w:fldCharType="begin" w:fldLock="1"/>
      </w:r>
      <w:r w:rsidR="002563B7">
        <w:instrText>ADDIN CSL_CITATION {"citationItems":[{"id":"ITEM-1","itemData":{"author":[{"dropping-particle":"","family":"United Nations","given":"","non-dropping-particle":"","parse-names":false,"suffix":""}],"id":"ITEM-1","issued":{"date-parts":[["2016"]]},"publisher-place":"New York","title":"Multilateral Treaties deposited with the Secretary-General, as of 27 May 2016","type":"report"},"uris":["http://www.mendeley.com/documents/?uuid=ddafbb80-ba68-4405-afc2-4bf0856c2f25"]}],"mendeley":{"formattedCitation":"(United Nations 2016)","manualFormatting":"(United Nations, 2016; see also ","plainTextFormattedCitation":"(United Nations 2016)","previouslyFormattedCitation":"(United Nations 2016)"},"properties":{"noteIndex":0},"schema":"https://github.com/citation-style-language/schema/raw/master/csl-citation.json"}</w:instrText>
      </w:r>
      <w:r w:rsidR="00A31117">
        <w:fldChar w:fldCharType="separate"/>
      </w:r>
      <w:r w:rsidR="00A31117" w:rsidRPr="00A31117">
        <w:rPr>
          <w:noProof/>
        </w:rPr>
        <w:t>(United Nations, 2016</w:t>
      </w:r>
      <w:r w:rsidR="00A31117">
        <w:rPr>
          <w:noProof/>
        </w:rPr>
        <w:t xml:space="preserve">; see also </w:t>
      </w:r>
      <w:r w:rsidR="00A31117">
        <w:fldChar w:fldCharType="end"/>
      </w:r>
      <w:r w:rsidR="00A31117">
        <w:fldChar w:fldCharType="begin" w:fldLock="1"/>
      </w:r>
      <w:r w:rsidR="002563B7">
        <w:instrText>ADDIN CSL_CITATION {"citationItems":[{"id":"ITEM-1","itemData":{"DOI":"10.1163/ej.9789004180048.i-962.115","author":[{"dropping-particle":"","family":"Economic and Social Council","given":"","non-dropping-particle":"","parse-names":false,"suffix":""}],"id":"ITEM-1","issued":{"date-parts":[["2018"]]},"publisher":"United Nations","publisher-place":"New York","title":"List of non-governmental organizations in consultative status with the Economic and Social Council as of 1 September 2018","type":"book"},"uris":["http://www.mendeley.com/documents/?uuid=0938a46d-fc50-4842-a80a-42e1d196fd0c"]}],"mendeley":{"formattedCitation":"(Economic and Social Council 2018)","manualFormatting":"Economic and Social Council, 2018)","plainTextFormattedCitation":"(Economic and Social Council 2018)","previouslyFormattedCitation":"(Economic and Social Council 2018)"},"properties":{"noteIndex":0},"schema":"https://github.com/citation-style-language/schema/raw/master/csl-citation.json"}</w:instrText>
      </w:r>
      <w:r w:rsidR="00A31117">
        <w:fldChar w:fldCharType="separate"/>
      </w:r>
      <w:r w:rsidR="00A31117" w:rsidRPr="00A31117">
        <w:rPr>
          <w:noProof/>
        </w:rPr>
        <w:t>Economic and Social Council, 2018)</w:t>
      </w:r>
      <w:r w:rsidR="00A31117">
        <w:fldChar w:fldCharType="end"/>
      </w:r>
      <w:r w:rsidR="00A31117">
        <w:t>.</w:t>
      </w:r>
    </w:p>
    <w:p w14:paraId="1B1AB68C" w14:textId="4352A5A1" w:rsidR="003E07EC" w:rsidRDefault="00EF10E1" w:rsidP="003E07EC">
      <w:r w:rsidRPr="00EF10E1">
        <w:rPr>
          <w:rFonts w:asciiTheme="minorHAnsi" w:hAnsiTheme="minorHAnsi" w:cstheme="minorHAnsi"/>
          <w:color w:val="000000" w:themeColor="text1"/>
          <w:lang w:eastAsia="en-IE"/>
        </w:rPr>
        <w:t xml:space="preserve">As transnationalism became an embedded aspect of international political and economic relations, the development of strategies, institutions and regulations to oversee, manage, regulate and monitor international engagement has progressed. </w:t>
      </w:r>
      <w:r w:rsidRPr="00EF10E1">
        <w:rPr>
          <w:rFonts w:asciiTheme="minorHAnsi" w:hAnsiTheme="minorHAnsi" w:cstheme="minorHAnsi"/>
          <w:bCs/>
        </w:rPr>
        <w:t xml:space="preserve">The intention was to put in place </w:t>
      </w:r>
      <w:r w:rsidRPr="00EF10E1">
        <w:rPr>
          <w:rFonts w:asciiTheme="minorHAnsi" w:hAnsiTheme="minorHAnsi" w:cstheme="minorHAnsi"/>
          <w:bCs/>
        </w:rPr>
        <w:lastRenderedPageBreak/>
        <w:t>an assemblage of active and inclusive arrangements that could transcend states and societies, and intervene when necessary</w:t>
      </w:r>
      <w:r w:rsidRPr="00EF10E1">
        <w:rPr>
          <w:rFonts w:asciiTheme="minorHAnsi" w:hAnsiTheme="minorHAnsi" w:cstheme="minorHAnsi"/>
        </w:rPr>
        <w:t xml:space="preserve">. The signature objective was to establish mechanisms of inter-state relations, fostering the rise of </w:t>
      </w:r>
      <w:r w:rsidRPr="00EF10E1">
        <w:rPr>
          <w:rFonts w:asciiTheme="minorHAnsi" w:hAnsiTheme="minorHAnsi" w:cstheme="minorHAnsi"/>
          <w:bCs/>
        </w:rPr>
        <w:t xml:space="preserve">rule-making systems and processes capable of responding to issues of multi-lateral cooperation and the provision of global public goods, including financial stability, peace and security, public health, human rights, climate and environmental protection, etc. </w:t>
      </w:r>
      <w:r w:rsidRPr="00EF10E1">
        <w:rPr>
          <w:rFonts w:asciiTheme="minorHAnsi" w:hAnsiTheme="minorHAnsi" w:cstheme="minorHAnsi"/>
          <w:bCs/>
        </w:rPr>
        <w:fldChar w:fldCharType="begin" w:fldLock="1"/>
      </w:r>
      <w:r w:rsidR="002563B7">
        <w:rPr>
          <w:rFonts w:asciiTheme="minorHAnsi" w:hAnsiTheme="minorHAnsi" w:cstheme="minorHAnsi"/>
          <w:bCs/>
        </w:rPr>
        <w:instrText>ADDIN CSL_CITATION {"citationItems":[{"id":"ITEM-1","itemData":{"author":[{"dropping-particle":"","family":"Held","given":"David","non-dropping-particle":"","parse-names":false,"suffix":""},{"dropping-particle":"","family":"McGrew","given":"Anthony","non-dropping-particle":"","parse-names":false,"suffix":""}],"container-title":"Governing Globalization: Power, Authority and Global Governance","editor":[{"dropping-particle":"","family":"Held","given":"David","non-dropping-particle":"","parse-names":false,"suffix":""},{"dropping-particle":"","family":"McGrew","given":"Anthony","non-dropping-particle":"","parse-names":false,"suffix":""}],"id":"ITEM-1","issued":{"date-parts":[["2002"]]},"page":"1-21","publisher":"Polity Press","publisher-place":"Cambridge, UK","title":"Introduction","type":"chapter"},"uris":["http://www.mendeley.com/documents/?uuid=c06372ea-da93-4cc5-a867-8d89a42afe19"]}],"mendeley":{"formattedCitation":"(Held and McGrew 2002)","plainTextFormattedCitation":"(Held and McGrew 2002)","previouslyFormattedCitation":"(Held and McGrew 2002)"},"properties":{"noteIndex":0},"schema":"https://github.com/citation-style-language/schema/raw/master/csl-citation.json"}</w:instrText>
      </w:r>
      <w:r w:rsidRPr="00EF10E1">
        <w:rPr>
          <w:rFonts w:asciiTheme="minorHAnsi" w:hAnsiTheme="minorHAnsi" w:cstheme="minorHAnsi"/>
          <w:bCs/>
        </w:rPr>
        <w:fldChar w:fldCharType="separate"/>
      </w:r>
      <w:r w:rsidR="002563B7" w:rsidRPr="002563B7">
        <w:rPr>
          <w:rFonts w:asciiTheme="minorHAnsi" w:hAnsiTheme="minorHAnsi" w:cstheme="minorHAnsi"/>
          <w:bCs/>
          <w:noProof/>
        </w:rPr>
        <w:t>(Held and McGrew 2002)</w:t>
      </w:r>
      <w:r w:rsidRPr="00EF10E1">
        <w:rPr>
          <w:rFonts w:asciiTheme="minorHAnsi" w:hAnsiTheme="minorHAnsi" w:cstheme="minorHAnsi"/>
          <w:bCs/>
        </w:rPr>
        <w:fldChar w:fldCharType="end"/>
      </w:r>
      <w:r w:rsidRPr="00EF10E1">
        <w:rPr>
          <w:rFonts w:asciiTheme="minorHAnsi" w:hAnsiTheme="minorHAnsi" w:cstheme="minorHAnsi"/>
          <w:bCs/>
        </w:rPr>
        <w:t xml:space="preserve">. </w:t>
      </w:r>
      <w:r w:rsidR="003E07EC" w:rsidRPr="00EF10E1">
        <w:t xml:space="preserve">As </w:t>
      </w:r>
      <w:r w:rsidR="00E51A3A">
        <w:t xml:space="preserve">Andrew </w:t>
      </w:r>
      <w:r w:rsidR="003E07EC" w:rsidRPr="00EF10E1">
        <w:t>Gamble argues, the more</w:t>
      </w:r>
      <w:r w:rsidR="003E07EC">
        <w:t xml:space="preserve"> </w:t>
      </w:r>
    </w:p>
    <w:p w14:paraId="6AD9CA4F" w14:textId="45F9F724" w:rsidR="003E07EC" w:rsidRDefault="003E07EC" w:rsidP="003E07EC">
      <w:pPr>
        <w:ind w:left="720"/>
      </w:pPr>
      <w:r>
        <w:t>the world approaches an integrated international economy through international flows of capital, goods, and labour, the more the need for some kind of multilateral regulation of these flows intensifies, further the need for the evolution of a global polity to complement this global economy and global civil society</w:t>
      </w:r>
      <w:r w:rsidR="00A31117">
        <w:t xml:space="preserve"> </w:t>
      </w:r>
      <w:r w:rsidR="00A31117">
        <w:fldChar w:fldCharType="begin" w:fldLock="1"/>
      </w:r>
      <w:r w:rsidR="002563B7">
        <w:instrText>ADDIN CSL_CITATION {"citationItems":[{"id":"ITEM-1","itemData":{"author":[{"dropping-particle":"","family":"Gamble","given":"Andrew","non-dropping-particle":"","parse-names":false,"suffix":""}],"container-title":"Globalisation, Multilateralism, Europe. Towards a Better Global Governance?","editor":[{"dropping-particle":"","family":"Telò","given":"Mario","non-dropping-particle":"","parse-names":false,"suffix":""}],"id":"ITEM-1","issued":{"date-parts":[["2013"]]},"page":"xxxiii-xxxvi","publisher":"Ashgate Publishing","publisher-place":"Farnham, UK","title":"Foreward","type":"chapter"},"uris":["http://www.mendeley.com/documents/?uuid=995e3eba-b2bf-4223-a945-dfdf11ee56c3"]}],"mendeley":{"formattedCitation":"(Gamble 2013)","manualFormatting":"(Gamble, 2013, p.xxxv)","plainTextFormattedCitation":"(Gamble 2013)","previouslyFormattedCitation":"(Gamble 2013)"},"properties":{"noteIndex":0},"schema":"https://github.com/citation-style-language/schema/raw/master/csl-citation.json"}</w:instrText>
      </w:r>
      <w:r w:rsidR="00A31117">
        <w:fldChar w:fldCharType="separate"/>
      </w:r>
      <w:r w:rsidR="00A31117" w:rsidRPr="00A31117">
        <w:rPr>
          <w:noProof/>
        </w:rPr>
        <w:t>(Gamble, 2013</w:t>
      </w:r>
      <w:r w:rsidR="00A31117">
        <w:rPr>
          <w:noProof/>
        </w:rPr>
        <w:t>, p.xxxv</w:t>
      </w:r>
      <w:r w:rsidR="00A31117" w:rsidRPr="00A31117">
        <w:rPr>
          <w:noProof/>
        </w:rPr>
        <w:t>)</w:t>
      </w:r>
      <w:r w:rsidR="00A31117">
        <w:fldChar w:fldCharType="end"/>
      </w:r>
      <w:r w:rsidR="00A31117">
        <w:t xml:space="preserve">. </w:t>
      </w:r>
      <w:r>
        <w:t xml:space="preserve"> </w:t>
      </w:r>
    </w:p>
    <w:p w14:paraId="69246DC8" w14:textId="29F1DEB5" w:rsidR="00943EA3" w:rsidRDefault="00A47B79" w:rsidP="00943EA3">
      <w:r>
        <w:t xml:space="preserve">As a result, the complexity of the global world has witnessed an upsurge in informal as well as formal frameworks and rules-based systems and processes across many fields of life and dimensions: national, regional, institutional and/or professional. Governing mechanisms are usually promoted and sustained by a web of governments, policymakers, and nonstate and societal actors. </w:t>
      </w:r>
      <w:r w:rsidR="00943EA3">
        <w:rPr>
          <w:rFonts w:asciiTheme="minorHAnsi" w:hAnsiTheme="minorHAnsi" w:cstheme="minorHAnsi"/>
          <w:color w:val="202124"/>
        </w:rPr>
        <w:t xml:space="preserve">They </w:t>
      </w:r>
      <w:r w:rsidR="00943EA3" w:rsidRPr="00943EA3">
        <w:rPr>
          <w:rFonts w:asciiTheme="minorHAnsi" w:hAnsiTheme="minorHAnsi" w:cstheme="minorHAnsi"/>
        </w:rPr>
        <w:t xml:space="preserve">may employ a combination of formal mechanisms </w:t>
      </w:r>
      <w:r w:rsidR="0084088A" w:rsidRPr="00501D30">
        <w:rPr>
          <w:rFonts w:asciiTheme="minorHAnsi" w:hAnsiTheme="minorHAnsi" w:cstheme="minorHAnsi"/>
        </w:rPr>
        <w:t xml:space="preserve">often regarded as “hard governance,” </w:t>
      </w:r>
      <w:r w:rsidR="0084088A">
        <w:rPr>
          <w:rFonts w:asciiTheme="minorHAnsi" w:hAnsiTheme="minorHAnsi" w:cstheme="minorHAnsi"/>
        </w:rPr>
        <w:t xml:space="preserve">with </w:t>
      </w:r>
      <w:r w:rsidR="0084088A" w:rsidRPr="00501D30">
        <w:rPr>
          <w:rFonts w:asciiTheme="minorHAnsi" w:hAnsiTheme="minorHAnsi" w:cstheme="minorHAnsi"/>
        </w:rPr>
        <w:t>decisions mandated by constitution</w:t>
      </w:r>
      <w:r w:rsidR="0084088A">
        <w:t xml:space="preserve"> or by law</w:t>
      </w:r>
      <w:r w:rsidR="0084088A" w:rsidRPr="0084088A">
        <w:t xml:space="preserve"> </w:t>
      </w:r>
      <w:r w:rsidR="0084088A">
        <w:t xml:space="preserve"> with decisions having binding legal force, with regulations or directives introduced to provide additional strength to policy decisions or set out guidelines as to implementation. At the other end there is a spectrum of </w:t>
      </w:r>
      <w:r w:rsidR="00943EA3" w:rsidRPr="00943EA3">
        <w:rPr>
          <w:rFonts w:asciiTheme="minorHAnsi" w:hAnsiTheme="minorHAnsi" w:cstheme="minorHAnsi"/>
        </w:rPr>
        <w:t>soft law instruments such as guidelines, protocols, benchmarking, and peer learning with varying degrees of</w:t>
      </w:r>
      <w:r w:rsidR="00943EA3">
        <w:t xml:space="preserve"> delegated authority and powers of representation</w:t>
      </w:r>
      <w:r w:rsidR="000838EF">
        <w:t xml:space="preserve">  </w:t>
      </w:r>
      <w:r w:rsidR="000838EF">
        <w:fldChar w:fldCharType="begin" w:fldLock="1"/>
      </w:r>
      <w:r w:rsidR="002563B7">
        <w:instrText>ADDIN CSL_CITATION {"citationItems":[{"id":"ITEM-1","itemData":{"DOI":"10.1057/9781137283559","ISBN":"9781137283559","abstract":"The study of global governance has often led separate lives within the respective camps of International Political Economy and Foucauldian Studies. Guzzini and Neumann combine these to look at an increasingly global politics with a growing number of agents, recognising the emergence of a global polity.","author":[{"dropping-particle":"","family":"Guzzini","given":"Stefano","non-dropping-particle":"","parse-names":false,"suffix":""}],"container-title":"International Political Economy meets Foucault","id":"ITEM-1","issued":{"date-parts":[["2012"]]},"page":"1-36","title":"The Ambivalent ‘Diffusion of Power’ in Global Governance","type":"chapter"},"uris":["http://www.mendeley.com/documents/?uuid=352162a5-6acc-4c70-b5fe-f130ebef6dd0"]}],"mendeley":{"formattedCitation":"(Guzzini 2012)","manualFormatting":"(Guzzini, 2012; ","plainTextFormattedCitation":"(Guzzini 2012)","previouslyFormattedCitation":"(Guzzini 2012)"},"properties":{"noteIndex":0},"schema":"https://github.com/citation-style-language/schema/raw/master/csl-citation.json"}</w:instrText>
      </w:r>
      <w:r w:rsidR="000838EF">
        <w:fldChar w:fldCharType="separate"/>
      </w:r>
      <w:r w:rsidR="000838EF" w:rsidRPr="000838EF">
        <w:rPr>
          <w:noProof/>
        </w:rPr>
        <w:t>(Guzzini, 2012</w:t>
      </w:r>
      <w:r w:rsidR="000838EF">
        <w:rPr>
          <w:noProof/>
        </w:rPr>
        <w:t xml:space="preserve">; </w:t>
      </w:r>
      <w:r w:rsidR="000838EF">
        <w:fldChar w:fldCharType="end"/>
      </w:r>
      <w:r w:rsidR="00943EA3">
        <w:t>Held and McGrew 2002). For example, UN decision-making relies upon each member state exercising a vote whereas the European Union works via consensus and a process called the open method of coordination or voluntary cooperation, using guidelines and peer-learning and sharing best practice</w:t>
      </w:r>
      <w:r w:rsidR="00A469FD">
        <w:t xml:space="preserve"> </w:t>
      </w:r>
      <w:r w:rsidR="00A469FD">
        <w:fldChar w:fldCharType="begin" w:fldLock="1"/>
      </w:r>
      <w:r w:rsidR="002563B7">
        <w:instrText>ADDIN CSL_CITATION {"citationItems":[{"id":"ITEM-1","itemData":{"author":[{"dropping-particle":"","family":"Gornitzka","given":"Åse","non-dropping-particle":"","parse-names":false,"suffix":""}],"container-title":"Working Paper","id":"ITEM-1","issue":"16","issued":{"date-parts":[["2005"]]},"publisher":"Arena. Centre for European Studies, University of Oslo, Norway","title":"Coordinating policies for a “Europe of knowledge”. Emerging practices of the “Open Method of Coordination” in education and research","type":"report"},"uris":["http://www.mendeley.com/documents/?uuid=b02d3554-8b71-4d80-874d-7e461e7ae691"]}],"mendeley":{"formattedCitation":"(Gornitzka 2005)","plainTextFormattedCitation":"(Gornitzka 2005)","previouslyFormattedCitation":"(Gornitzka 2005)"},"properties":{"noteIndex":0},"schema":"https://github.com/citation-style-language/schema/raw/master/csl-citation.json"}</w:instrText>
      </w:r>
      <w:r w:rsidR="00A469FD">
        <w:fldChar w:fldCharType="separate"/>
      </w:r>
      <w:r w:rsidR="002563B7" w:rsidRPr="002563B7">
        <w:rPr>
          <w:noProof/>
        </w:rPr>
        <w:t>(Gornitzka 2005)</w:t>
      </w:r>
      <w:r w:rsidR="00A469FD">
        <w:fldChar w:fldCharType="end"/>
      </w:r>
      <w:r w:rsidR="00A469FD">
        <w:t xml:space="preserve">. </w:t>
      </w:r>
      <w:r>
        <w:rPr>
          <w:rFonts w:asciiTheme="minorHAnsi" w:hAnsiTheme="minorHAnsi" w:cstheme="minorHAnsi"/>
          <w:color w:val="202124"/>
        </w:rPr>
        <w:t xml:space="preserve">While </w:t>
      </w:r>
      <w:r>
        <w:t>governance at the international level can no longer be the preserve of national states</w:t>
      </w:r>
      <w:r w:rsidR="00A469FD">
        <w:t xml:space="preserve"> </w:t>
      </w:r>
      <w:r w:rsidR="00A469FD">
        <w:fldChar w:fldCharType="begin" w:fldLock="1"/>
      </w:r>
      <w:r w:rsidR="002563B7">
        <w:instrText>ADDIN CSL_CITATION {"citationItems":[{"id":"ITEM-1","itemData":{"author":[{"dropping-particle":"","family":"King","given":"Roger","non-dropping-particle":"","parse-names":false,"suffix":""}],"id":"ITEM-1","issued":{"date-parts":[["2009"]]},"publisher":"Edward Elgar Publishing","publisher-place":"Cheltenham; Gloustershire","title":"Governing Universities Globally. Organizations, Regulation and Rankings","type":"book"},"uris":["http://www.mendeley.com/documents/?uuid=05ff673d-5ddb-40ee-8420-7e9bd3d14af1"]}],"mendeley":{"formattedCitation":"(King 2009)","manualFormatting":"(King, 2009, p7)","plainTextFormattedCitation":"(King 2009)","previouslyFormattedCitation":"(King 2009)"},"properties":{"noteIndex":0},"schema":"https://github.com/citation-style-language/schema/raw/master/csl-citation.json"}</w:instrText>
      </w:r>
      <w:r w:rsidR="00A469FD">
        <w:fldChar w:fldCharType="separate"/>
      </w:r>
      <w:r w:rsidR="00A469FD" w:rsidRPr="00A469FD">
        <w:rPr>
          <w:noProof/>
        </w:rPr>
        <w:t>(King, 2009</w:t>
      </w:r>
      <w:r w:rsidR="00A469FD">
        <w:rPr>
          <w:noProof/>
        </w:rPr>
        <w:t>, p7</w:t>
      </w:r>
      <w:r w:rsidR="00A469FD" w:rsidRPr="00A469FD">
        <w:rPr>
          <w:noProof/>
        </w:rPr>
        <w:t>)</w:t>
      </w:r>
      <w:r w:rsidR="00A469FD">
        <w:fldChar w:fldCharType="end"/>
      </w:r>
      <w:r>
        <w:t>, neither can it be ignorant of nation-states, policy, culture, and values.</w:t>
      </w:r>
    </w:p>
    <w:p w14:paraId="3F7B66AF" w14:textId="739645C6" w:rsidR="005E11FA" w:rsidRDefault="00D213AF" w:rsidP="005E11FA">
      <w:r>
        <w:t>As more people become involved in making decisions about their lives, the process</w:t>
      </w:r>
      <w:r w:rsidR="007840EA">
        <w:t xml:space="preserve"> of decision-making</w:t>
      </w:r>
      <w:r>
        <w:t xml:space="preserve"> is </w:t>
      </w:r>
      <w:r w:rsidR="007840EA">
        <w:t xml:space="preserve">itself </w:t>
      </w:r>
      <w:r>
        <w:t xml:space="preserve">transformed. </w:t>
      </w:r>
      <w:r w:rsidR="00AA7C53">
        <w:t xml:space="preserve">Today, in addition to </w:t>
      </w:r>
      <w:r w:rsidR="0082690F">
        <w:t xml:space="preserve">IOs, there are a multitude of networks and associations. Grouping them under one broad term of international organization cloaks the sheer scale and diversity of activity—the number, scope and relevance of international and multilateral organizations, networks, and associations—that has expanded dramatically. </w:t>
      </w:r>
      <w:r w:rsidR="00377F72">
        <w:t xml:space="preserve">The internationalisation of HERD has led to an explosion in the number and role of associated international organisations, </w:t>
      </w:r>
      <w:r w:rsidR="005E11FA" w:rsidRPr="00E51A3A">
        <w:t xml:space="preserve"> n</w:t>
      </w:r>
      <w:r w:rsidR="005E11FA" w:rsidRPr="0032513B">
        <w:t>etworks</w:t>
      </w:r>
      <w:r w:rsidR="005E11FA">
        <w:t xml:space="preserve"> and associations (IONAs)</w:t>
      </w:r>
      <w:r w:rsidR="00377F72">
        <w:t xml:space="preserve">. Accordingly, HERD has been a </w:t>
      </w:r>
      <w:r w:rsidR="00936A52">
        <w:t xml:space="preserve">contributor to, </w:t>
      </w:r>
      <w:r w:rsidR="000C0022">
        <w:t xml:space="preserve">dependent upon, </w:t>
      </w:r>
      <w:r w:rsidR="00936A52">
        <w:t>and a beneficiary of</w:t>
      </w:r>
      <w:r w:rsidR="00377F72">
        <w:t xml:space="preserve"> international interdepen</w:t>
      </w:r>
      <w:r w:rsidR="00366D3C">
        <w:t>den</w:t>
      </w:r>
      <w:r w:rsidR="00377F72">
        <w:t>cy</w:t>
      </w:r>
      <w:r w:rsidR="00366D3C">
        <w:t xml:space="preserve"> and the birth of an institutionalised multilateral system</w:t>
      </w:r>
      <w:r w:rsidR="00377F72">
        <w:t xml:space="preserve">. </w:t>
      </w:r>
    </w:p>
    <w:p w14:paraId="155114BD" w14:textId="62AD0763" w:rsidR="005A75AF" w:rsidRDefault="000C0022" w:rsidP="005A75AF">
      <w:r>
        <w:t xml:space="preserve">Today, </w:t>
      </w:r>
      <w:r w:rsidR="00E01845">
        <w:t>IONAs</w:t>
      </w:r>
      <w:r>
        <w:t xml:space="preserve"> cover all areas of HERD</w:t>
      </w:r>
      <w:r w:rsidR="00350286">
        <w:t xml:space="preserve"> – their geographic and thematic breadth is broad and varied as illustrated in the Appendix</w:t>
      </w:r>
      <w:r w:rsidR="00E01845">
        <w:t xml:space="preserve">. They include </w:t>
      </w:r>
      <w:r>
        <w:t>quality assurance and accreditation; mutual recognition of academic qualifications and credentials; cross-border student, graduate, and professional mobility; transnational education and cross-border provision; and research</w:t>
      </w:r>
      <w:r w:rsidR="00E01845">
        <w:t xml:space="preserve"> </w:t>
      </w:r>
      <w:r>
        <w:t>protocols and RDI activity including scientific methods and clinical trials, researcher careers, funding and dissemination, and intellectual property. Some have formal structures with articles of association or constitution</w:t>
      </w:r>
      <w:r w:rsidR="00E51A3A">
        <w:t>s</w:t>
      </w:r>
      <w:r>
        <w:t xml:space="preserve">, membership fees, administrative support, and provision of </w:t>
      </w:r>
      <w:r>
        <w:lastRenderedPageBreak/>
        <w:t xml:space="preserve">various services essential to sustain global supply chains for knowledge development and talent mobility while others are lose associations which </w:t>
      </w:r>
      <w:r w:rsidR="005A75AF">
        <w:t>respond to particular issues and then dissolve</w:t>
      </w:r>
      <w:r>
        <w:t xml:space="preserve">. </w:t>
      </w:r>
      <w:r w:rsidR="005A75AF">
        <w:t xml:space="preserve">Unlike IOs, networks and alliances are evolving and dynamic, and while capable of being “strategically planned,” they are not necessarily centrally coordinated. They seek to amplify and secure HERD interests while learning to compete and collaborate often with academics and researchers previously unknown or less considered. </w:t>
      </w:r>
    </w:p>
    <w:p w14:paraId="0000002A" w14:textId="3BEF2EC4" w:rsidR="004C6123" w:rsidRDefault="005A75AF">
      <w:r>
        <w:t>Beneath the headline activities, there is a complex multi-layered web of alliances, bilateral partnerships, and formal agreements across the full range of activities. They</w:t>
      </w:r>
      <w:r w:rsidR="00A076BA">
        <w:t xml:space="preserve"> transcend boundaries</w:t>
      </w:r>
      <w:r w:rsidR="00722BC2">
        <w:t xml:space="preserve">, </w:t>
      </w:r>
      <w:r w:rsidR="00A076BA">
        <w:t>operat</w:t>
      </w:r>
      <w:r w:rsidR="00722BC2">
        <w:t>ing</w:t>
      </w:r>
      <w:r w:rsidR="00A076BA">
        <w:t xml:space="preserve"> according to different logics and with different goals to those of governmental and inter-governmental organisations: </w:t>
      </w:r>
    </w:p>
    <w:p w14:paraId="0000002B" w14:textId="61E1F5B6" w:rsidR="004C6123" w:rsidRDefault="00A076BA" w:rsidP="00B0455E">
      <w:pPr>
        <w:ind w:left="720"/>
      </w:pPr>
      <w:r>
        <w:t>Self-organizing networks that span the globe are the most notable feature of science today. These networks constitute an invisible college of researchers who collaborate not because they are told to but because they want to, who work together not because they share a laboratory or even a discipline but because they can offer each other complementary insight, knowledge, or skills</w:t>
      </w:r>
      <w:r w:rsidR="007B1E33">
        <w:t xml:space="preserve"> </w:t>
      </w:r>
      <w:r w:rsidR="007B1E33">
        <w:fldChar w:fldCharType="begin" w:fldLock="1"/>
      </w:r>
      <w:r w:rsidR="002563B7">
        <w:instrText>ADDIN CSL_CITATION {"citationItems":[{"id":"ITEM-1","itemData":{"ISBN":"0815792131 9780815792130","author":[{"dropping-particle":"","family":"Wagner","given":"Caroline","non-dropping-particle":"","parse-names":false,"suffix":""}],"id":"ITEM-1","issued":{"date-parts":[["2008"]]},"publisher":"Brookings Institution Press","publisher-place":"Washington D.C","title":"The New Invisible College: Science for Development","type":"report"},"uris":["http://www.mendeley.com/documents/?uuid=9edfaffd-83dd-4eb6-b706-a9c3db9e9273"]}],"mendeley":{"formattedCitation":"(Wagner 2008)","manualFormatting":"(Wagner, 2008, p2)","plainTextFormattedCitation":"(Wagner 2008)","previouslyFormattedCitation":"(Wagner 2008)"},"properties":{"noteIndex":0},"schema":"https://github.com/citation-style-language/schema/raw/master/csl-citation.json"}</w:instrText>
      </w:r>
      <w:r w:rsidR="007B1E33">
        <w:fldChar w:fldCharType="separate"/>
      </w:r>
      <w:r w:rsidR="007B1E33" w:rsidRPr="007B1E33">
        <w:rPr>
          <w:noProof/>
        </w:rPr>
        <w:t>(Wagner, 2008</w:t>
      </w:r>
      <w:r w:rsidR="007B1E33">
        <w:rPr>
          <w:noProof/>
        </w:rPr>
        <w:t>, p2</w:t>
      </w:r>
      <w:r w:rsidR="007B1E33" w:rsidRPr="007B1E33">
        <w:rPr>
          <w:noProof/>
        </w:rPr>
        <w:t>)</w:t>
      </w:r>
      <w:r w:rsidR="007B1E33">
        <w:fldChar w:fldCharType="end"/>
      </w:r>
      <w:r w:rsidR="007B1E33">
        <w:t>.</w:t>
      </w:r>
      <w:r>
        <w:t xml:space="preserve"> </w:t>
      </w:r>
    </w:p>
    <w:p w14:paraId="0000002C" w14:textId="15E96930" w:rsidR="004C6123" w:rsidRDefault="00722BC2">
      <w:r>
        <w:t>The</w:t>
      </w:r>
      <w:r w:rsidR="00A076BA">
        <w:t xml:space="preserve"> burgeoning </w:t>
      </w:r>
      <w:r>
        <w:t xml:space="preserve">number </w:t>
      </w:r>
      <w:r w:rsidR="00A076BA">
        <w:t>of transnational networks and frameworks</w:t>
      </w:r>
      <w:r>
        <w:t xml:space="preserve">, often </w:t>
      </w:r>
      <w:r w:rsidR="00A076BA">
        <w:t xml:space="preserve">with the support of </w:t>
      </w:r>
      <w:r w:rsidR="00047720">
        <w:t>nation-state</w:t>
      </w:r>
      <w:r w:rsidR="00A076BA">
        <w:t>s and/or international organisations, have been responsible and effective for pushing higher education and research toward greater international involvement. They have enabled the sharing of ideas and identification of new solutions. In addition, the growing use of social media, conferencing tools</w:t>
      </w:r>
      <w:r w:rsidR="00E70FE9">
        <w:t>,</w:t>
      </w:r>
      <w:r w:rsidR="00A076BA">
        <w:t xml:space="preserve"> and open science platforms are contributing hugely to their proliferation</w:t>
      </w:r>
      <w:r w:rsidR="00E70FE9">
        <w:t>—</w:t>
      </w:r>
      <w:r w:rsidR="00A076BA">
        <w:t>especially since</w:t>
      </w:r>
      <w:r w:rsidR="00AF5472">
        <w:t xml:space="preserve"> the</w:t>
      </w:r>
      <w:r w:rsidR="00A076BA">
        <w:t xml:space="preserve"> Covid-19 pandemic.</w:t>
      </w:r>
    </w:p>
    <w:p w14:paraId="0000002E" w14:textId="64BE1A43" w:rsidR="004C6123" w:rsidRDefault="00A076BA">
      <w:r>
        <w:t xml:space="preserve">The global order of the </w:t>
      </w:r>
      <w:r w:rsidR="00E70FE9">
        <w:t xml:space="preserve">twenty-first </w:t>
      </w:r>
      <w:r>
        <w:t>century is a complex and competitive space with “new international agreements and arrangements drawn up to manage global interactions”</w:t>
      </w:r>
      <w:r w:rsidR="001C56AF">
        <w:t xml:space="preserve"> </w:t>
      </w:r>
      <w:r w:rsidR="001C56AF">
        <w:fldChar w:fldCharType="begin" w:fldLock="1"/>
      </w:r>
      <w:r w:rsidR="002563B7">
        <w:instrText>ADDIN CSL_CITATION {"citationItems":[{"id":"ITEM-1","itemData":{"DOI":"10.1080/13583883.2004.9967114","ISSN":"15731936","abstract":"Much has been said about the impact of globalisation on higher education. Some have argued that globalisation, the Internet and the scientific community will level the playing field in the new age of knowledge interdependence. Others claim that globalisation means both worldwide inequality and the McDonaldisation of the university. It is argued that all of the contemporary pressures on higher education, from the pressures of massification to the growth of the private sector, are the results of globalisation. There is a grain of truth in all of these hypotheses - and a good deal of misinterpretation as well. The purpose of this essay is to “unpack” the realities of globalisation and internationalisation in higher education and to highlight some of the ways in which globalisation affects the university. Of special interest here is how globalisation is affecting higher education in developing countries - the nations that will experience the bulk of higher education expansion in the coming decades. © 2004, Taylor &amp; Francis Group, LLC. All rights reserved.","author":[{"dropping-particle":"","family":"Altbach","given":"Philip G.","non-dropping-particle":"","parse-names":false,"suffix":""}],"container-title":"Tertiary Education and Management","id":"ITEM-1","issue":"1","issued":{"date-parts":[["2004"]]},"page":"3-25","title":"Globalisation and the university: Myths and realities in an unequal world","type":"article-journal","volume":"10"},"uris":["http://www.mendeley.com/documents/?uuid=ea45c98b-ac77-4ef4-8b09-a9f26f9d6c08"]}],"mendeley":{"formattedCitation":"(Altbach 2004)","manualFormatting":"(Altbach, 2004, p21)","plainTextFormattedCitation":"(Altbach 2004)","previouslyFormattedCitation":"(Altbach 2004)"},"properties":{"noteIndex":0},"schema":"https://github.com/citation-style-language/schema/raw/master/csl-citation.json"}</w:instrText>
      </w:r>
      <w:r w:rsidR="001C56AF">
        <w:fldChar w:fldCharType="separate"/>
      </w:r>
      <w:r w:rsidR="001C56AF" w:rsidRPr="001C56AF">
        <w:rPr>
          <w:noProof/>
        </w:rPr>
        <w:t>(Altbach, 2004</w:t>
      </w:r>
      <w:r w:rsidR="001C56AF">
        <w:rPr>
          <w:noProof/>
        </w:rPr>
        <w:t>, p21</w:t>
      </w:r>
      <w:r w:rsidR="001C56AF" w:rsidRPr="001C56AF">
        <w:rPr>
          <w:noProof/>
        </w:rPr>
        <w:t>)</w:t>
      </w:r>
      <w:r w:rsidR="001C56AF">
        <w:fldChar w:fldCharType="end"/>
      </w:r>
      <w:r w:rsidR="001C56AF">
        <w:t xml:space="preserve">. </w:t>
      </w:r>
      <w:r>
        <w:t>HERD organisations and institutions operate across blurring global, national</w:t>
      </w:r>
      <w:r w:rsidR="00E70FE9">
        <w:t>,</w:t>
      </w:r>
      <w:r>
        <w:t xml:space="preserve"> and local boundaries</w:t>
      </w:r>
      <w:r w:rsidR="00E70FE9">
        <w:t>,</w:t>
      </w:r>
      <w:r>
        <w:t xml:space="preserve"> pursuing policies and priority-setting that respond to and reflect requirements and demands </w:t>
      </w:r>
      <w:r w:rsidR="00E70FE9">
        <w:t xml:space="preserve">that </w:t>
      </w:r>
      <w:r>
        <w:t xml:space="preserve">may often (appear to) “contradict the internal rationality of bureaucratic or collegial arrangements” </w:t>
      </w:r>
      <w:r w:rsidR="00E04A71">
        <w:fldChar w:fldCharType="begin" w:fldLock="1"/>
      </w:r>
      <w:r w:rsidR="002563B7">
        <w:instrText>ADDIN CSL_CITATION {"citationItems":[{"id":"ITEM-1","itemData":{"author":[{"dropping-particle":"","family":"Ordorika","given":"Imanol","non-dropping-particle":"","parse-names":false,"suffix":""},{"dropping-particle":"","family":"Lloyd","given":"Marion","non-dropping-particle":"","parse-names":false,"suffix":""}],"chapter-number":"6","container-title":"Critical Apporaches to the Study of Higher Education. A Practical Introduction","editor":[{"dropping-particle":"","family":"Martinez-Alemán","given":"Ana M.","non-dropping-particle":"","parse-names":false,"suffix":""},{"dropping-particle":"","family":"Pusser","given":"Brian","non-dropping-particle":"","parse-names":false,"suffix":""},{"dropping-particle":"","family":"Bensimon","given":"Estela Mara","non-dropping-particle":"","parse-names":false,"suffix":""}],"id":"ITEM-1","issued":{"date-parts":[["2015"]]},"page":"130-152","publisher":"Johns Hopkins University Press","publisher-place":"Baltimore, MA","title":"The State and Contest in Higher Education in the Globalized Era. Critical Perspectives","type":"chapter"},"uris":["http://www.mendeley.com/documents/?uuid=6fc94e38-4a00-48ff-9d98-f1a3fb39c080"]}],"mendeley":{"formattedCitation":"(Ordorika and Lloyd 2015)","manualFormatting":"(Ordorika &amp; Lloyd, 2015, p136)","plainTextFormattedCitation":"(Ordorika and Lloyd 2015)","previouslyFormattedCitation":"(Ordorika and Lloyd 2015)"},"properties":{"noteIndex":0},"schema":"https://github.com/citation-style-language/schema/raw/master/csl-citation.json"}</w:instrText>
      </w:r>
      <w:r w:rsidR="00E04A71">
        <w:fldChar w:fldCharType="separate"/>
      </w:r>
      <w:r w:rsidR="00E04A71" w:rsidRPr="00E04A71">
        <w:rPr>
          <w:noProof/>
        </w:rPr>
        <w:t>(Ordorika &amp; Lloyd, 2015</w:t>
      </w:r>
      <w:r w:rsidR="00E04A71">
        <w:rPr>
          <w:noProof/>
        </w:rPr>
        <w:t>, p136</w:t>
      </w:r>
      <w:r w:rsidR="00E04A71" w:rsidRPr="00E04A71">
        <w:rPr>
          <w:noProof/>
        </w:rPr>
        <w:t>)</w:t>
      </w:r>
      <w:r w:rsidR="00E04A71">
        <w:fldChar w:fldCharType="end"/>
      </w:r>
      <w:r>
        <w:t xml:space="preserve"> or academic ideals</w:t>
      </w:r>
      <w:r w:rsidR="00E04A71">
        <w:t xml:space="preserve"> </w:t>
      </w:r>
      <w:r w:rsidR="00E04A71">
        <w:fldChar w:fldCharType="begin" w:fldLock="1"/>
      </w:r>
      <w:r w:rsidR="002563B7">
        <w:instrText>ADDIN CSL_CITATION {"citationItems":[{"id":"ITEM-1","itemData":{"author":[{"dropping-particle":"","family":"Readings","given":"Bill","non-dropping-particle":"","parse-names":false,"suffix":""}],"id":"ITEM-1","issued":{"date-parts":[["1996"]]},"publisher":"Harvard University Press","publisher-place":"Cambridge, MA. and London","title":"The University in Ruins","type":"book"},"uris":["http://www.mendeley.com/documents/?uuid=39b94a4a-8106-4c81-9b5a-3c76a821ecd9"]}],"mendeley":{"formattedCitation":"(Readings 1996)","plainTextFormattedCitation":"(Readings 1996)","previouslyFormattedCitation":"(Readings 1996)"},"properties":{"noteIndex":0},"schema":"https://github.com/citation-style-language/schema/raw/master/csl-citation.json"}</w:instrText>
      </w:r>
      <w:r w:rsidR="00E04A71">
        <w:fldChar w:fldCharType="separate"/>
      </w:r>
      <w:r w:rsidR="002563B7" w:rsidRPr="002563B7">
        <w:rPr>
          <w:noProof/>
        </w:rPr>
        <w:t>(Readings 1996)</w:t>
      </w:r>
      <w:r w:rsidR="00E04A71">
        <w:fldChar w:fldCharType="end"/>
      </w:r>
      <w:r w:rsidR="00E70FE9">
        <w:t>,</w:t>
      </w:r>
      <w:r>
        <w:t xml:space="preserve"> while in effect strengthening their role and effectiveness. The formation of transnational networks and alliances operating across boundaries and borders have become particularly significant and influential actors at the global level. Transnational university alliances play an increasing role</w:t>
      </w:r>
      <w:r w:rsidR="00E70FE9">
        <w:t xml:space="preserve"> in</w:t>
      </w:r>
      <w:r>
        <w:t xml:space="preserve"> strengthening teaching</w:t>
      </w:r>
      <w:r w:rsidR="00E70FE9">
        <w:t>,</w:t>
      </w:r>
      <w:r>
        <w:t xml:space="preserve"> learning</w:t>
      </w:r>
      <w:r w:rsidR="00E70FE9">
        <w:t>,</w:t>
      </w:r>
      <w:r>
        <w:t xml:space="preserve"> and especially research activities</w:t>
      </w:r>
      <w:r w:rsidR="00E70FE9">
        <w:t>,</w:t>
      </w:r>
      <w:r>
        <w:t xml:space="preserve"> as well as in advocacy seeking to influence regional and international policy (Vukasovic </w:t>
      </w:r>
      <w:r w:rsidR="006D0A97">
        <w:t>and</w:t>
      </w:r>
      <w:r>
        <w:t xml:space="preserve"> Stensaker 2018). </w:t>
      </w:r>
    </w:p>
    <w:p w14:paraId="693474DC" w14:textId="2548A913" w:rsidR="00F2403E" w:rsidRDefault="007840EA" w:rsidP="00F2403E">
      <w:r>
        <w:t xml:space="preserve">Understanding governance as “coordination” emphasizes a “softer” voluntary, purposeful and mutualized </w:t>
      </w:r>
      <w:r w:rsidR="00501D30">
        <w:t xml:space="preserve">aspect </w:t>
      </w:r>
      <w:r>
        <w:t>in contrast to government</w:t>
      </w:r>
      <w:r w:rsidR="00501D30">
        <w:t>al engagement</w:t>
      </w:r>
      <w:r>
        <w:t xml:space="preserve"> which usually </w:t>
      </w:r>
      <w:r w:rsidR="00501D30">
        <w:t>relies on</w:t>
      </w:r>
      <w:r>
        <w:t xml:space="preserve"> formal administration of power and authority. </w:t>
      </w:r>
      <w:r w:rsidR="00501D30">
        <w:t>The concept of g</w:t>
      </w:r>
      <w:r>
        <w:t xml:space="preserve">overnance indicates the myriad ways </w:t>
      </w:r>
      <w:r w:rsidR="00501D30">
        <w:t xml:space="preserve">by </w:t>
      </w:r>
      <w:r>
        <w:t xml:space="preserve">which an organisation or association makes decisions and takes actions ranging from hierarchical structures that impose directives on members to co-managing, collaborative or membership arrangements based upon mutual or shared interests or policy agendas. </w:t>
      </w:r>
      <w:r w:rsidR="00F2403E">
        <w:t xml:space="preserve">Such instances are limited with regard to global HERD. Instead, governance of international science and higher education operates in broader terms as coordination of what is a fragmented, disparate ecosystem of simultaneously competing and collaborating institutions and other commensurate interests. </w:t>
      </w:r>
    </w:p>
    <w:p w14:paraId="33519EF9" w14:textId="6F8B0887" w:rsidR="00EA0D15" w:rsidRPr="00F2403E" w:rsidRDefault="00501D30" w:rsidP="001F0D6D">
      <w:pPr>
        <w:rPr>
          <w:rFonts w:asciiTheme="minorHAnsi" w:hAnsiTheme="minorHAnsi" w:cstheme="minorHAnsi"/>
        </w:rPr>
      </w:pPr>
      <w:r w:rsidRPr="00501D30">
        <w:rPr>
          <w:rFonts w:asciiTheme="minorHAnsi" w:hAnsiTheme="minorHAnsi" w:cstheme="minorHAnsi"/>
        </w:rPr>
        <w:lastRenderedPageBreak/>
        <w:t xml:space="preserve">While the </w:t>
      </w:r>
      <w:r w:rsidR="005A75AF" w:rsidRPr="00501D30">
        <w:rPr>
          <w:rFonts w:asciiTheme="minorHAnsi" w:hAnsiTheme="minorHAnsi" w:cstheme="minorHAnsi"/>
        </w:rPr>
        <w:t xml:space="preserve">big IOs </w:t>
      </w:r>
      <w:r w:rsidRPr="00501D30">
        <w:rPr>
          <w:rFonts w:asciiTheme="minorHAnsi" w:hAnsiTheme="minorHAnsi" w:cstheme="minorHAnsi"/>
        </w:rPr>
        <w:t xml:space="preserve">(especially UNESCO, </w:t>
      </w:r>
      <w:r w:rsidR="00540D4A">
        <w:rPr>
          <w:rFonts w:asciiTheme="minorHAnsi" w:hAnsiTheme="minorHAnsi" w:cstheme="minorHAnsi"/>
        </w:rPr>
        <w:t xml:space="preserve">World Bank and </w:t>
      </w:r>
      <w:r w:rsidRPr="00501D30">
        <w:rPr>
          <w:rFonts w:asciiTheme="minorHAnsi" w:hAnsiTheme="minorHAnsi" w:cstheme="minorHAnsi"/>
        </w:rPr>
        <w:t xml:space="preserve">OECD) </w:t>
      </w:r>
      <w:r w:rsidR="005A75AF" w:rsidRPr="00501D30">
        <w:rPr>
          <w:rFonts w:asciiTheme="minorHAnsi" w:hAnsiTheme="minorHAnsi" w:cstheme="minorHAnsi"/>
        </w:rPr>
        <w:t xml:space="preserve">dominate the headlines </w:t>
      </w:r>
      <w:r w:rsidR="00FB3722" w:rsidRPr="00501D30">
        <w:rPr>
          <w:rFonts w:asciiTheme="minorHAnsi" w:hAnsiTheme="minorHAnsi" w:cstheme="minorHAnsi"/>
        </w:rPr>
        <w:t xml:space="preserve">and the academic discourse and commentary </w:t>
      </w:r>
      <w:r w:rsidRPr="00501D30">
        <w:rPr>
          <w:rFonts w:asciiTheme="minorHAnsi" w:hAnsiTheme="minorHAnsi" w:cstheme="minorHAnsi"/>
        </w:rPr>
        <w:t>this</w:t>
      </w:r>
      <w:r w:rsidR="00FB3722" w:rsidRPr="00501D30">
        <w:rPr>
          <w:rFonts w:asciiTheme="minorHAnsi" w:hAnsiTheme="minorHAnsi" w:cstheme="minorHAnsi"/>
        </w:rPr>
        <w:t xml:space="preserve"> is not the full story</w:t>
      </w:r>
      <w:r w:rsidR="00A20F7B">
        <w:rPr>
          <w:rFonts w:asciiTheme="minorHAnsi" w:hAnsiTheme="minorHAnsi" w:cstheme="minorHAnsi"/>
        </w:rPr>
        <w:t xml:space="preserve"> – as discussed in more fully in the next section</w:t>
      </w:r>
      <w:r w:rsidR="00FB3722" w:rsidRPr="00501D30">
        <w:rPr>
          <w:rFonts w:asciiTheme="minorHAnsi" w:hAnsiTheme="minorHAnsi" w:cstheme="minorHAnsi"/>
        </w:rPr>
        <w:t xml:space="preserve">. </w:t>
      </w:r>
      <w:r w:rsidRPr="00501D30">
        <w:rPr>
          <w:rFonts w:asciiTheme="minorHAnsi" w:hAnsiTheme="minorHAnsi" w:cstheme="minorHAnsi"/>
        </w:rPr>
        <w:t>In doing so, there is a tendency to mis-represent or over-</w:t>
      </w:r>
      <w:r w:rsidRPr="00F2403E">
        <w:rPr>
          <w:rFonts w:asciiTheme="minorHAnsi" w:hAnsiTheme="minorHAnsi" w:cstheme="minorHAnsi"/>
        </w:rPr>
        <w:t xml:space="preserve">exaggerate their role as </w:t>
      </w:r>
      <w:r w:rsidRPr="00AF5472">
        <w:rPr>
          <w:rFonts w:asciiTheme="minorHAnsi" w:hAnsiTheme="minorHAnsi" w:cstheme="minorHAnsi"/>
        </w:rPr>
        <w:t xml:space="preserve">promulgating a hegemonic order. </w:t>
      </w:r>
      <w:r w:rsidRPr="00F2403E">
        <w:rPr>
          <w:rFonts w:asciiTheme="minorHAnsi" w:hAnsiTheme="minorHAnsi" w:cstheme="minorHAnsi"/>
        </w:rPr>
        <w:t xml:space="preserve">This approach ignores </w:t>
      </w:r>
      <w:r w:rsidR="00F2403E" w:rsidRPr="00F2403E">
        <w:rPr>
          <w:rFonts w:asciiTheme="minorHAnsi" w:hAnsiTheme="minorHAnsi" w:cstheme="minorHAnsi"/>
          <w:lang w:val="en-US"/>
        </w:rPr>
        <w:t>sizeable</w:t>
      </w:r>
      <w:r w:rsidRPr="00F2403E">
        <w:rPr>
          <w:rFonts w:asciiTheme="minorHAnsi" w:hAnsiTheme="minorHAnsi" w:cstheme="minorHAnsi"/>
        </w:rPr>
        <w:t xml:space="preserve"> international engagement in/with these IOs by academics and non-state actors as the role played by</w:t>
      </w:r>
      <w:r w:rsidR="00FB3722" w:rsidRPr="00F2403E">
        <w:rPr>
          <w:rFonts w:asciiTheme="minorHAnsi" w:hAnsiTheme="minorHAnsi" w:cstheme="minorHAnsi"/>
        </w:rPr>
        <w:t xml:space="preserve"> </w:t>
      </w:r>
      <w:r w:rsidR="00B05A12" w:rsidRPr="00F2403E">
        <w:rPr>
          <w:rFonts w:asciiTheme="minorHAnsi" w:hAnsiTheme="minorHAnsi" w:cstheme="minorHAnsi"/>
        </w:rPr>
        <w:t xml:space="preserve">smaller less </w:t>
      </w:r>
      <w:r w:rsidR="0020130A">
        <w:rPr>
          <w:rFonts w:asciiTheme="minorHAnsi" w:hAnsiTheme="minorHAnsi" w:cstheme="minorHAnsi"/>
        </w:rPr>
        <w:t>visible</w:t>
      </w:r>
      <w:r w:rsidRPr="00F2403E">
        <w:rPr>
          <w:rFonts w:asciiTheme="minorHAnsi" w:hAnsiTheme="minorHAnsi" w:cstheme="minorHAnsi"/>
        </w:rPr>
        <w:t xml:space="preserve"> </w:t>
      </w:r>
      <w:r w:rsidR="00B05A12" w:rsidRPr="00F2403E">
        <w:rPr>
          <w:rFonts w:asciiTheme="minorHAnsi" w:hAnsiTheme="minorHAnsi" w:cstheme="minorHAnsi"/>
        </w:rPr>
        <w:t xml:space="preserve">well-organised </w:t>
      </w:r>
      <w:r w:rsidR="001F0D6D" w:rsidRPr="00F2403E">
        <w:rPr>
          <w:rFonts w:asciiTheme="minorHAnsi" w:hAnsiTheme="minorHAnsi" w:cstheme="minorHAnsi"/>
        </w:rPr>
        <w:t xml:space="preserve">or PR-conscious </w:t>
      </w:r>
      <w:r w:rsidR="005A75AF" w:rsidRPr="00F2403E">
        <w:rPr>
          <w:rFonts w:asciiTheme="minorHAnsi" w:hAnsiTheme="minorHAnsi" w:cstheme="minorHAnsi"/>
        </w:rPr>
        <w:t>networks and associations</w:t>
      </w:r>
      <w:r w:rsidR="0020130A">
        <w:rPr>
          <w:rFonts w:asciiTheme="minorHAnsi" w:hAnsiTheme="minorHAnsi" w:cstheme="minorHAnsi"/>
        </w:rPr>
        <w:t xml:space="preserve">. It is important also to keep in mind that, </w:t>
      </w:r>
      <w:r w:rsidR="0020130A">
        <w:rPr>
          <w:rFonts w:cstheme="minorHAnsi"/>
          <w:color w:val="000000"/>
          <w:lang w:val="en-GB"/>
        </w:rPr>
        <w:t>as Angel Calderon asserts, “</w:t>
      </w:r>
      <w:r w:rsidR="0020130A" w:rsidRPr="00A30BD4">
        <w:rPr>
          <w:rFonts w:cstheme="minorHAnsi"/>
          <w:color w:val="000000"/>
          <w:lang w:val="en-GB"/>
        </w:rPr>
        <w:t>not all university networks stand equal</w:t>
      </w:r>
      <w:r w:rsidR="0020130A">
        <w:rPr>
          <w:rFonts w:cstheme="minorHAnsi"/>
          <w:color w:val="000000"/>
          <w:lang w:val="en-GB"/>
        </w:rPr>
        <w:t>”</w:t>
      </w:r>
      <w:r w:rsidR="0020130A" w:rsidRPr="00A30BD4">
        <w:rPr>
          <w:rFonts w:cstheme="minorHAnsi"/>
          <w:color w:val="000000"/>
          <w:lang w:val="en-GB"/>
        </w:rPr>
        <w:t xml:space="preserve">. Networks </w:t>
      </w:r>
      <w:r w:rsidR="0020130A">
        <w:rPr>
          <w:rFonts w:cstheme="minorHAnsi"/>
          <w:color w:val="000000"/>
          <w:lang w:val="en-GB"/>
        </w:rPr>
        <w:t>comprising</w:t>
      </w:r>
      <w:r w:rsidR="0020130A" w:rsidRPr="00A30BD4">
        <w:rPr>
          <w:rFonts w:cstheme="minorHAnsi"/>
          <w:color w:val="000000"/>
          <w:lang w:val="en-GB"/>
        </w:rPr>
        <w:t xml:space="preserve"> </w:t>
      </w:r>
      <w:r w:rsidR="0020130A">
        <w:rPr>
          <w:rFonts w:cstheme="minorHAnsi"/>
          <w:color w:val="000000"/>
          <w:lang w:val="en-GB"/>
        </w:rPr>
        <w:t xml:space="preserve">high ranked </w:t>
      </w:r>
      <w:r w:rsidR="0020130A" w:rsidRPr="00A30BD4">
        <w:rPr>
          <w:rFonts w:cstheme="minorHAnsi"/>
          <w:color w:val="000000"/>
          <w:lang w:val="en-GB"/>
        </w:rPr>
        <w:t xml:space="preserve">research-intensive and well-resourced universities </w:t>
      </w:r>
      <w:r w:rsidR="0020130A">
        <w:rPr>
          <w:rFonts w:cstheme="minorHAnsi"/>
          <w:color w:val="000000"/>
          <w:lang w:val="en-GB"/>
        </w:rPr>
        <w:t xml:space="preserve">dominate whereas the global south is poorly represented </w:t>
      </w:r>
      <w:r w:rsidR="0020130A">
        <w:rPr>
          <w:rFonts w:cstheme="minorHAnsi"/>
          <w:color w:val="000000"/>
          <w:lang w:val="en-GB"/>
        </w:rPr>
        <w:fldChar w:fldCharType="begin" w:fldLock="1"/>
      </w:r>
      <w:r w:rsidR="002563B7">
        <w:rPr>
          <w:rFonts w:cstheme="minorHAnsi"/>
          <w:color w:val="000000"/>
          <w:lang w:val="en-GB"/>
        </w:rPr>
        <w:instrText>ADDIN CSL_CITATION {"citationItems":[{"id":"ITEM-1","itemData":{"author":[{"dropping-particle":"","family":"Calderon","given":"Angel","non-dropping-particle":"","parse-names":false,"suffix":""}],"container-title":"Research Handbook on University Rankings: History, Methodology, Influence and Impact","editor":[{"dropping-particle":"","family":"Hazelkorn","given":"Ellen","non-dropping-particle":"","parse-names":false,"suffix":""},{"dropping-particle":"","family":"Mihut","given":"Georgiana","non-dropping-particle":"","parse-names":false,"suffix":""}],"id":"ITEM-1","issued":{"date-parts":[["2021"]]},"publisher":"Edward Elgar Publishing","publisher-place":"Cheltenham, UK","title":"The Geopolitics of University Rankings: Not all regions and university networks stand equal","type":"chapter"},"uris":["http://www.mendeley.com/documents/?uuid=76cbfab6-6ada-4f53-ab4d-dbd055a71526"]}],"mendeley":{"formattedCitation":"(Calderon 2021)","manualFormatting":"(Calderon, 2021; ","plainTextFormattedCitation":"(Calderon 2021)","previouslyFormattedCitation":"(Calderon 2021)"},"properties":{"noteIndex":0},"schema":"https://github.com/citation-style-language/schema/raw/master/csl-citation.json"}</w:instrText>
      </w:r>
      <w:r w:rsidR="0020130A">
        <w:rPr>
          <w:rFonts w:cstheme="minorHAnsi"/>
          <w:color w:val="000000"/>
          <w:lang w:val="en-GB"/>
        </w:rPr>
        <w:fldChar w:fldCharType="separate"/>
      </w:r>
      <w:r w:rsidR="0020130A" w:rsidRPr="0020130A">
        <w:rPr>
          <w:rFonts w:cstheme="minorHAnsi"/>
          <w:noProof/>
          <w:color w:val="000000"/>
          <w:lang w:val="en-GB"/>
        </w:rPr>
        <w:t>(Calderon, 2021</w:t>
      </w:r>
      <w:r w:rsidR="0020130A">
        <w:rPr>
          <w:rFonts w:cstheme="minorHAnsi"/>
          <w:noProof/>
          <w:color w:val="000000"/>
          <w:lang w:val="en-GB"/>
        </w:rPr>
        <w:t xml:space="preserve">; </w:t>
      </w:r>
      <w:r w:rsidR="0020130A">
        <w:rPr>
          <w:rFonts w:cstheme="minorHAnsi"/>
          <w:color w:val="000000"/>
          <w:lang w:val="en-GB"/>
        </w:rPr>
        <w:fldChar w:fldCharType="end"/>
      </w:r>
      <w:r w:rsidR="0020130A">
        <w:rPr>
          <w:rFonts w:asciiTheme="minorHAnsi" w:hAnsiTheme="minorHAnsi" w:cstheme="minorHAnsi"/>
        </w:rPr>
        <w:fldChar w:fldCharType="begin" w:fldLock="1"/>
      </w:r>
      <w:r w:rsidR="002563B7">
        <w:rPr>
          <w:rFonts w:asciiTheme="minorHAnsi" w:hAnsiTheme="minorHAnsi" w:cstheme="minorHAnsi"/>
        </w:rPr>
        <w:instrText>ADDIN CSL_CITATION {"citationItems":[{"id":"ITEM-1","itemData":{"DOI":"10.1177/0308518X15619175","ISSN":"14723409","abstract":"This article opens up debates about the deepening uneven geographies of higher education through a critical analysis of transregional university alliances. Focusing on the formation of research consortia and Doctoral Training Centres, we reveal the emergence of over 50 transregional alliances between United Kingdom universities. Despite each consortium operating at a variously defined regional scale there has been no explicit attempt to account for their geographical basis. Providing the first-ever analysis of this unfolding phenomenon, we demonstrate how the rise of transregional alliances is indicative of, and a response to, universities operating in an intensely neoliberalised political economy. Bringing together emergent theories of regionalism with emerging worlds of (neoliberal) higher education, our article reveals how, why and where universities are engaging in more intensively targeted, exclusive approaches to regional development. We argue that higher education is conducive to the weakening of fixed regional territories, and propose the metaphor of ‘regional constellations’ for interpreting transregional geographies. Finally, our analysis suggests that while high-performing research institutions may compete better by forming consortia, transregional alliances lead to a more unequal and divided university sector.","author":[{"dropping-particle":"","family":"Harrison","given":"John","non-dropping-particle":"","parse-names":false,"suffix":""},{"dropping-particle":"","family":"Smith","given":"Darren P.","non-dropping-particle":"","parse-names":false,"suffix":""},{"dropping-particle":"","family":"Kinton","given":"Chloe","non-dropping-particle":"","parse-names":false,"suffix":""}],"container-title":"Environment and Planning A","id":"ITEM-1","issue":"5","issued":{"date-parts":[["2015"]]},"page":"910-936","title":"New institutional geographies of higher education: The rise of transregional university alliances","type":"article-journal","volume":"48"},"uris":["http://www.mendeley.com/documents/?uuid=91eaf84b-ec03-4f75-bd5a-e1f16845ef6d"]}],"mendeley":{"formattedCitation":"(Harrison, Smith, and Kinton 2015)","manualFormatting":"Harrison, Smith, &amp; Kinton, 2015)","plainTextFormattedCitation":"(Harrison, Smith, and Kinton 2015)","previouslyFormattedCitation":"(Harrison, Smith, and Kinton 2015)"},"properties":{"noteIndex":0},"schema":"https://github.com/citation-style-language/schema/raw/master/csl-citation.json"}</w:instrText>
      </w:r>
      <w:r w:rsidR="0020130A">
        <w:rPr>
          <w:rFonts w:asciiTheme="minorHAnsi" w:hAnsiTheme="minorHAnsi" w:cstheme="minorHAnsi"/>
        </w:rPr>
        <w:fldChar w:fldCharType="separate"/>
      </w:r>
      <w:r w:rsidR="0020130A" w:rsidRPr="0020130A">
        <w:rPr>
          <w:rFonts w:asciiTheme="minorHAnsi" w:hAnsiTheme="minorHAnsi" w:cstheme="minorHAnsi"/>
          <w:noProof/>
        </w:rPr>
        <w:t>Harrison, Smith, &amp; Kinton, 2015)</w:t>
      </w:r>
      <w:r w:rsidR="0020130A">
        <w:rPr>
          <w:rFonts w:asciiTheme="minorHAnsi" w:hAnsiTheme="minorHAnsi" w:cstheme="minorHAnsi"/>
        </w:rPr>
        <w:fldChar w:fldCharType="end"/>
      </w:r>
      <w:r w:rsidRPr="00F2403E">
        <w:rPr>
          <w:rFonts w:asciiTheme="minorHAnsi" w:hAnsiTheme="minorHAnsi" w:cstheme="minorHAnsi"/>
        </w:rPr>
        <w:t xml:space="preserve">. </w:t>
      </w:r>
      <w:r w:rsidR="0020130A">
        <w:rPr>
          <w:rFonts w:asciiTheme="minorHAnsi" w:hAnsiTheme="minorHAnsi" w:cstheme="minorHAnsi"/>
        </w:rPr>
        <w:t>Nonetheless, t</w:t>
      </w:r>
      <w:r w:rsidR="00F2403E">
        <w:rPr>
          <w:rFonts w:asciiTheme="minorHAnsi" w:hAnsiTheme="minorHAnsi" w:cstheme="minorHAnsi"/>
        </w:rPr>
        <w:t>he</w:t>
      </w:r>
      <w:r w:rsidR="001F0D6D" w:rsidRPr="00AF5472">
        <w:rPr>
          <w:rFonts w:asciiTheme="minorHAnsi" w:hAnsiTheme="minorHAnsi" w:cstheme="minorHAnsi"/>
        </w:rPr>
        <w:t xml:space="preserve"> </w:t>
      </w:r>
      <w:r w:rsidR="008D7FE4">
        <w:rPr>
          <w:rFonts w:asciiTheme="minorHAnsi" w:hAnsiTheme="minorHAnsi" w:cstheme="minorHAnsi"/>
        </w:rPr>
        <w:t xml:space="preserve">key point is that the </w:t>
      </w:r>
      <w:r w:rsidR="001F0D6D" w:rsidRPr="00AF5472">
        <w:rPr>
          <w:rFonts w:asciiTheme="minorHAnsi" w:hAnsiTheme="minorHAnsi" w:cstheme="minorHAnsi"/>
        </w:rPr>
        <w:t>aggregate of diverse IONAs</w:t>
      </w:r>
      <w:r w:rsidR="005A75AF" w:rsidRPr="00AF5472">
        <w:rPr>
          <w:rFonts w:asciiTheme="minorHAnsi" w:hAnsiTheme="minorHAnsi" w:cstheme="minorHAnsi"/>
        </w:rPr>
        <w:t xml:space="preserve"> </w:t>
      </w:r>
      <w:r w:rsidR="00EA0D15" w:rsidRPr="00AF5472">
        <w:rPr>
          <w:rFonts w:asciiTheme="minorHAnsi" w:hAnsiTheme="minorHAnsi" w:cstheme="minorHAnsi"/>
        </w:rPr>
        <w:t xml:space="preserve">should be acknowledged as </w:t>
      </w:r>
      <w:r w:rsidR="001F0D6D" w:rsidRPr="00AF5472">
        <w:rPr>
          <w:rFonts w:asciiTheme="minorHAnsi" w:hAnsiTheme="minorHAnsi" w:cstheme="minorHAnsi"/>
        </w:rPr>
        <w:t>creat</w:t>
      </w:r>
      <w:r w:rsidR="00EA0D15" w:rsidRPr="00AF5472">
        <w:rPr>
          <w:rFonts w:asciiTheme="minorHAnsi" w:hAnsiTheme="minorHAnsi" w:cstheme="minorHAnsi"/>
        </w:rPr>
        <w:t>ing</w:t>
      </w:r>
      <w:r w:rsidR="001F0D6D" w:rsidRPr="00AF5472">
        <w:rPr>
          <w:rFonts w:asciiTheme="minorHAnsi" w:hAnsiTheme="minorHAnsi" w:cstheme="minorHAnsi"/>
        </w:rPr>
        <w:t xml:space="preserve"> a dynamic </w:t>
      </w:r>
      <w:r w:rsidR="00EA0D15" w:rsidRPr="00AF5472">
        <w:rPr>
          <w:rFonts w:asciiTheme="minorHAnsi" w:hAnsiTheme="minorHAnsi" w:cstheme="minorHAnsi"/>
        </w:rPr>
        <w:t>web</w:t>
      </w:r>
      <w:r w:rsidR="001F0D6D" w:rsidRPr="00AF5472">
        <w:rPr>
          <w:rFonts w:asciiTheme="minorHAnsi" w:hAnsiTheme="minorHAnsi" w:cstheme="minorHAnsi"/>
        </w:rPr>
        <w:t xml:space="preserve"> that is deeply and necessarily </w:t>
      </w:r>
      <w:r w:rsidR="00F2403E">
        <w:rPr>
          <w:rFonts w:asciiTheme="minorHAnsi" w:hAnsiTheme="minorHAnsi" w:cstheme="minorHAnsi"/>
        </w:rPr>
        <w:t xml:space="preserve">integral and </w:t>
      </w:r>
      <w:r w:rsidR="005A75AF" w:rsidRPr="00AF5472">
        <w:rPr>
          <w:rFonts w:asciiTheme="minorHAnsi" w:hAnsiTheme="minorHAnsi" w:cstheme="minorHAnsi"/>
        </w:rPr>
        <w:t>indispensable to enabling</w:t>
      </w:r>
      <w:r w:rsidR="001F0D6D" w:rsidRPr="00AF5472">
        <w:rPr>
          <w:rFonts w:asciiTheme="minorHAnsi" w:hAnsiTheme="minorHAnsi" w:cstheme="minorHAnsi"/>
        </w:rPr>
        <w:t>, supporting</w:t>
      </w:r>
      <w:r w:rsidR="005A75AF" w:rsidRPr="00AF5472">
        <w:rPr>
          <w:rFonts w:asciiTheme="minorHAnsi" w:hAnsiTheme="minorHAnsi" w:cstheme="minorHAnsi"/>
        </w:rPr>
        <w:t xml:space="preserve"> and strengthening HERD in a global world. </w:t>
      </w:r>
      <w:r w:rsidR="00B8590C">
        <w:t>This creates a much more diverse multifaceted picture</w:t>
      </w:r>
      <w:r w:rsidR="00B8590C" w:rsidRPr="00B8590C">
        <w:rPr>
          <w:rFonts w:asciiTheme="minorHAnsi" w:hAnsiTheme="minorHAnsi" w:cstheme="minorHAnsi"/>
        </w:rPr>
        <w:t xml:space="preserve"> </w:t>
      </w:r>
      <w:r w:rsidR="00B8590C">
        <w:rPr>
          <w:rFonts w:asciiTheme="minorHAnsi" w:hAnsiTheme="minorHAnsi" w:cstheme="minorHAnsi"/>
        </w:rPr>
        <w:t>of the global HERD architecture, more comp</w:t>
      </w:r>
      <w:r w:rsidR="00B8590C" w:rsidRPr="00AF5472">
        <w:rPr>
          <w:rFonts w:asciiTheme="minorHAnsi" w:hAnsiTheme="minorHAnsi" w:cstheme="minorHAnsi"/>
        </w:rPr>
        <w:t>lex rather than merely complicated</w:t>
      </w:r>
      <w:r w:rsidR="00B8590C">
        <w:rPr>
          <w:rFonts w:asciiTheme="minorHAnsi" w:hAnsiTheme="minorHAnsi" w:cstheme="minorHAnsi"/>
        </w:rPr>
        <w:t xml:space="preserve">.  </w:t>
      </w:r>
    </w:p>
    <w:p w14:paraId="00000030" w14:textId="39BE0C56" w:rsidR="004C6123" w:rsidRDefault="00A076BA">
      <w:pPr>
        <w:pStyle w:val="Heading1"/>
        <w:numPr>
          <w:ilvl w:val="0"/>
          <w:numId w:val="3"/>
        </w:numPr>
      </w:pPr>
      <w:r>
        <w:t xml:space="preserve">Theories of </w:t>
      </w:r>
      <w:r w:rsidR="009B5E61">
        <w:t>T</w:t>
      </w:r>
      <w:r>
        <w:t xml:space="preserve">ransaction: </w:t>
      </w:r>
      <w:r w:rsidR="009B5E61">
        <w:t>P</w:t>
      </w:r>
      <w:r>
        <w:t xml:space="preserve">erspectives on </w:t>
      </w:r>
      <w:r w:rsidR="009B5E61">
        <w:t>G</w:t>
      </w:r>
      <w:r>
        <w:t xml:space="preserve">lobal </w:t>
      </w:r>
      <w:r w:rsidR="009B5E61">
        <w:t>H</w:t>
      </w:r>
      <w:r>
        <w:t xml:space="preserve">igher </w:t>
      </w:r>
      <w:r w:rsidR="009B5E61">
        <w:t>E</w:t>
      </w:r>
      <w:r>
        <w:t xml:space="preserve">ducation and </w:t>
      </w:r>
      <w:r w:rsidR="009B5E61">
        <w:t>S</w:t>
      </w:r>
      <w:r>
        <w:t>cience</w:t>
      </w:r>
    </w:p>
    <w:p w14:paraId="00000031" w14:textId="77777777" w:rsidR="004C6123" w:rsidRDefault="00A076BA">
      <w:r>
        <w:t xml:space="preserve">The governance of global HERD has been theorised by two broad schools of thought: i) functional theories such as institutionalism and global interdependencies, and ii) conflict theories on structures of power. </w:t>
      </w:r>
    </w:p>
    <w:p w14:paraId="00000032" w14:textId="72B54C24" w:rsidR="004C6123" w:rsidRDefault="00A076BA">
      <w:r>
        <w:t>Functionalist, institutional approaches to the governance of global higher education and science derive from the political science and international relations literature and as such tend to focus on matters of organi</w:t>
      </w:r>
      <w:r w:rsidR="005E693E">
        <w:t>z</w:t>
      </w:r>
      <w:r>
        <w:t>ation and administration between nation-states. It speaks primarily of global governance and regulation in terms of intergovernmental IOs addressing what can be understood as “state failure</w:t>
      </w:r>
      <w:r w:rsidR="005E693E">
        <w:t>,</w:t>
      </w:r>
      <w:r>
        <w:t>” and a perceived necessity of institutions enforcing political norms. Nation</w:t>
      </w:r>
      <w:r w:rsidR="00047720">
        <w:t>-</w:t>
      </w:r>
      <w:r>
        <w:t>states are seen as significant policy actors, but their activities are coordinated by IOs as transnational, international, intermediary intergovernmental organi</w:t>
      </w:r>
      <w:r w:rsidR="005E693E">
        <w:t>z</w:t>
      </w:r>
      <w:r>
        <w:t>ations. IOs are portrayed as helping to negotiate the means by which multiple nations and stakeholders can seek to coordinate, anticipate</w:t>
      </w:r>
      <w:r w:rsidR="005E693E">
        <w:t>,</w:t>
      </w:r>
      <w:r>
        <w:t xml:space="preserve"> and better respond to global tensions and challenges. Rather than individual policy actions, international structures and networks are regarded as </w:t>
      </w:r>
      <w:r w:rsidR="005E693E">
        <w:t xml:space="preserve">mutualizing </w:t>
      </w:r>
      <w:r>
        <w:t xml:space="preserve">interests out of common interest as well as necessity. In this scenario, IOs are vehicles of multilateralism and international collaboration. </w:t>
      </w:r>
    </w:p>
    <w:p w14:paraId="00000033" w14:textId="367E510E" w:rsidR="004C6123" w:rsidRDefault="00A076BA">
      <w:r>
        <w:t xml:space="preserve">In such approaches, HERD is just one sector like any other, and </w:t>
      </w:r>
      <w:r w:rsidR="005E693E">
        <w:t xml:space="preserve">higher education institutions </w:t>
      </w:r>
      <w:r>
        <w:t>are just like firms or corporations. Ideas leading to system and policy change are often embraced and shared as “rational” responses to the reali</w:t>
      </w:r>
      <w:r w:rsidR="005E693E">
        <w:t>z</w:t>
      </w:r>
      <w:r>
        <w:t>ation that countries and institutions face similar sets of problems</w:t>
      </w:r>
      <w:r w:rsidR="00B61342">
        <w:t xml:space="preserve"> </w:t>
      </w:r>
      <w:r w:rsidR="00B61342">
        <w:fldChar w:fldCharType="begin" w:fldLock="1"/>
      </w:r>
      <w:r w:rsidR="002563B7">
        <w:instrText>ADDIN CSL_CITATION {"citationItems":[{"id":"ITEM-1","itemData":{"author":[{"dropping-particle":"","family":"Pierre","given":"Jon","non-dropping-particle":"","parse-names":false,"suffix":""}],"id":"ITEM-1","issued":{"date-parts":[["2013"]]},"publisher":"Edward Elgar Publishing","publisher-place":"Cheltenham, UK","title":"Globalization and Governance","type":"book"},"uris":["http://www.mendeley.com/documents/?uuid=3ab436ca-b011-491e-8a49-eedb05e91352"]}],"mendeley":{"formattedCitation":"(Pierre 2013)","manualFormatting":"(Pierre, 2013, p21)","plainTextFormattedCitation":"(Pierre 2013)","previouslyFormattedCitation":"(Pierre 2013)"},"properties":{"noteIndex":0},"schema":"https://github.com/citation-style-language/schema/raw/master/csl-citation.json"}</w:instrText>
      </w:r>
      <w:r w:rsidR="00B61342">
        <w:fldChar w:fldCharType="separate"/>
      </w:r>
      <w:r w:rsidR="00B61342" w:rsidRPr="00B61342">
        <w:rPr>
          <w:noProof/>
        </w:rPr>
        <w:t>(Pierre, 2013</w:t>
      </w:r>
      <w:r w:rsidR="00B61342">
        <w:rPr>
          <w:noProof/>
        </w:rPr>
        <w:t>, p21</w:t>
      </w:r>
      <w:r w:rsidR="00B61342" w:rsidRPr="00B61342">
        <w:rPr>
          <w:noProof/>
        </w:rPr>
        <w:t>)</w:t>
      </w:r>
      <w:r w:rsidR="00B61342">
        <w:fldChar w:fldCharType="end"/>
      </w:r>
      <w:r>
        <w:t xml:space="preserve">. Compromise and mediation, and </w:t>
      </w:r>
      <w:r w:rsidR="00E41B98">
        <w:t xml:space="preserve">benchmarking and </w:t>
      </w:r>
      <w:r>
        <w:t xml:space="preserve">peer-learning are contemporary expressions for sharing experiences as to what works, </w:t>
      </w:r>
      <w:r w:rsidR="00E41B98">
        <w:t xml:space="preserve">a process </w:t>
      </w:r>
      <w:r>
        <w:t xml:space="preserve">which </w:t>
      </w:r>
      <w:r w:rsidR="00E41B98">
        <w:t>has become a</w:t>
      </w:r>
      <w:r>
        <w:t xml:space="preserve"> cornerstone of institutionalists’ position. Despite different approaches to governance, IOs are </w:t>
      </w:r>
      <w:r w:rsidR="00E41B98">
        <w:t xml:space="preserve">often portrayed as sharing an </w:t>
      </w:r>
      <w:r>
        <w:t>ideological harmony</w:t>
      </w:r>
      <w:r w:rsidR="005E693E">
        <w:t>—</w:t>
      </w:r>
      <w:r>
        <w:t xml:space="preserve">especially with respect to overall objectives of collaboration. The main focus is tracing structural “gaps” </w:t>
      </w:r>
      <w:r w:rsidR="00E41B98">
        <w:t xml:space="preserve">in policy coordination </w:t>
      </w:r>
      <w:r>
        <w:t>and how they might be addressed.</w:t>
      </w:r>
    </w:p>
    <w:p w14:paraId="00000034" w14:textId="7070EABE" w:rsidR="004C6123" w:rsidRDefault="00A076BA">
      <w:r>
        <w:t>In contrast, conflict and structures of power perspectives consider IOs to be hegemonic drivers of globali</w:t>
      </w:r>
      <w:r w:rsidR="005E693E">
        <w:t>z</w:t>
      </w:r>
      <w:r>
        <w:t>ation and harmoni</w:t>
      </w:r>
      <w:r w:rsidR="005E693E">
        <w:t>z</w:t>
      </w:r>
      <w:r>
        <w:t xml:space="preserve">ation. As intergovernmental organisations, IOs practice both “hard” and “soft” forms of governance in order to overcome “capability gaps” between the </w:t>
      </w:r>
      <w:r w:rsidR="00047720">
        <w:t>nation-state</w:t>
      </w:r>
      <w:r>
        <w:t xml:space="preserve"> </w:t>
      </w:r>
      <w:r>
        <w:lastRenderedPageBreak/>
        <w:t>and the “global</w:t>
      </w:r>
      <w:r w:rsidR="005E693E">
        <w:t>.</w:t>
      </w:r>
      <w:r>
        <w:t>” However, the over-determining roles and rules of IOs reflect the “hegemonic market-oriented logic of governance</w:t>
      </w:r>
      <w:r w:rsidR="005E693E">
        <w:t>,</w:t>
      </w:r>
      <w:r>
        <w:t xml:space="preserve">” which Gramsci and others (Ordorika </w:t>
      </w:r>
      <w:r w:rsidR="006D0A97">
        <w:t>and</w:t>
      </w:r>
      <w:r>
        <w:t xml:space="preserve"> Lloyd, 2015, p. 131) suggest act as agents of globali</w:t>
      </w:r>
      <w:r w:rsidR="005E693E">
        <w:t>z</w:t>
      </w:r>
      <w:r>
        <w:t xml:space="preserve">ation </w:t>
      </w:r>
      <w:r w:rsidR="005E693E">
        <w:t xml:space="preserve">that </w:t>
      </w:r>
      <w:r>
        <w:t>promulgate the</w:t>
      </w:r>
      <w:r w:rsidR="00DE6DAE">
        <w:t xml:space="preserve"> (neo)</w:t>
      </w:r>
      <w:r>
        <w:t>liberal order and liberal capitalism</w:t>
      </w:r>
      <w:r w:rsidR="00AE0FF3">
        <w:t xml:space="preserve"> </w:t>
      </w:r>
      <w:r w:rsidR="00AE0FF3">
        <w:fldChar w:fldCharType="begin" w:fldLock="1"/>
      </w:r>
      <w:r w:rsidR="002563B7">
        <w:instrText>ADDIN CSL_CITATION {"citationItems":[{"id":"ITEM-1","itemData":{"author":[{"dropping-particle":"","family":"Pratt","given":"Dick","non-dropping-particle":"","parse-names":false,"suffix":""}],"chapter-number":"9","container-title":"Fairness, Globalization, and Public Institutions. East Asia and Beyond","editor":[{"dropping-particle":"","family":"Dator","given":"Jim","non-dropping-particle":"","parse-names":false,"suffix":""},{"dropping-particle":"","family":"Pratt","given":"Dick","non-dropping-particle":"","parse-names":false,"suffix":""},{"dropping-particle":"","family":"Seo","given":"Yongseok","non-dropping-particle":"","parse-names":false,"suffix":""}],"id":"ITEM-1","issued":{"date-parts":[["2006"]]},"page":"101-112","publisher":"University of Hawai'i Press","title":"New Public Management, Globalization, and Public Administration Reform","type":"chapter"},"uris":["http://www.mendeley.com/documents/?uuid=441953d7-8512-4bc9-a5a9-69ab2e20b6ef"]}],"mendeley":{"formattedCitation":"(Pratt 2006)","manualFormatting":"(Pratt, 2006, p101)","plainTextFormattedCitation":"(Pratt 2006)","previouslyFormattedCitation":"(Pratt 2006)"},"properties":{"noteIndex":0},"schema":"https://github.com/citation-style-language/schema/raw/master/csl-citation.json"}</w:instrText>
      </w:r>
      <w:r w:rsidR="00AE0FF3">
        <w:fldChar w:fldCharType="separate"/>
      </w:r>
      <w:r w:rsidR="00AE0FF3" w:rsidRPr="00AE0FF3">
        <w:rPr>
          <w:noProof/>
        </w:rPr>
        <w:t>(Pratt, 2006</w:t>
      </w:r>
      <w:r w:rsidR="00AE0FF3">
        <w:rPr>
          <w:noProof/>
        </w:rPr>
        <w:t>, p101</w:t>
      </w:r>
      <w:r w:rsidR="00AE0FF3" w:rsidRPr="00AE0FF3">
        <w:rPr>
          <w:noProof/>
        </w:rPr>
        <w:t>)</w:t>
      </w:r>
      <w:r w:rsidR="00AE0FF3">
        <w:fldChar w:fldCharType="end"/>
      </w:r>
      <w:r>
        <w:t xml:space="preserve">. For example, pursuance of the </w:t>
      </w:r>
      <w:r w:rsidR="00DE6DAE">
        <w:t xml:space="preserve">higher education </w:t>
      </w:r>
      <w:r>
        <w:t>moderni</w:t>
      </w:r>
      <w:r w:rsidR="00D2131C">
        <w:t>z</w:t>
      </w:r>
      <w:r>
        <w:t>ation and accountability agendas</w:t>
      </w:r>
      <w:r w:rsidR="00DE6DAE">
        <w:rPr>
          <w:rStyle w:val="FootnoteReference"/>
        </w:rPr>
        <w:footnoteReference w:id="2"/>
      </w:r>
      <w:r w:rsidR="00DE6DAE">
        <w:t xml:space="preserve"> </w:t>
      </w:r>
      <w:r>
        <w:t>at a national and institutional level are seen as a challenge and/or threat to traditional academic values and purposes</w:t>
      </w:r>
      <w:r w:rsidR="00D2131C">
        <w:t>,</w:t>
      </w:r>
      <w:r>
        <w:t xml:space="preserve"> which are nation-bounded. As such IOs, purposefully or not, </w:t>
      </w:r>
      <w:r w:rsidR="00BD4BA8">
        <w:t xml:space="preserve">are seen to </w:t>
      </w:r>
      <w:r>
        <w:t>undermine or displace the nation-state. While functionalism regards policy sharing or borrowing as relatively unproblematic</w:t>
      </w:r>
      <w:r w:rsidR="00D2131C">
        <w:t>,</w:t>
      </w:r>
      <w:r>
        <w:t xml:space="preserve"> conflict theory critiques </w:t>
      </w:r>
      <w:r w:rsidR="00D2131C">
        <w:t xml:space="preserve">functionalism </w:t>
      </w:r>
      <w:r>
        <w:t>as evidence of hegemonic or “imperialist” logic</w:t>
      </w:r>
      <w:r w:rsidR="000C28B8">
        <w:t xml:space="preserve"> </w:t>
      </w:r>
      <w:r w:rsidR="000C28B8">
        <w:fldChar w:fldCharType="begin" w:fldLock="1"/>
      </w:r>
      <w:r w:rsidR="002563B7">
        <w:instrText>ADDIN CSL_CITATION {"citationItems":[{"id":"ITEM-1","itemData":{"DOI":"10.1080/14767721003776098","ISSN":"14767732","author":[{"dropping-particle":"","family":"Hartmann","given":"Eva","non-dropping-particle":"","parse-names":false,"suffix":""}],"container-title":"Globalisation, Societies and Education","id":"ITEM-1","issue":"2","issued":{"date-parts":[["2010"]]},"page":"169-173","title":"The new research agenda in critical higher education studies","type":"article-journal","volume":"8"},"uris":["http://www.mendeley.com/documents/?uuid=4798feeb-a5c7-4ba1-b0b1-20860101d594"]}],"mendeley":{"formattedCitation":"(Hartmann 2010)","plainTextFormattedCitation":"(Hartmann 2010)","previouslyFormattedCitation":"(Hartmann 2010)"},"properties":{"noteIndex":0},"schema":"https://github.com/citation-style-language/schema/raw/master/csl-citation.json"}</w:instrText>
      </w:r>
      <w:r w:rsidR="000C28B8">
        <w:fldChar w:fldCharType="separate"/>
      </w:r>
      <w:r w:rsidR="002563B7" w:rsidRPr="002563B7">
        <w:rPr>
          <w:noProof/>
        </w:rPr>
        <w:t>(Hartmann 2010)</w:t>
      </w:r>
      <w:r w:rsidR="000C28B8">
        <w:fldChar w:fldCharType="end"/>
      </w:r>
      <w:r>
        <w:t>. As global outlooks and norms influence and/or overtake thinking, decisions</w:t>
      </w:r>
      <w:r w:rsidR="00D2131C">
        <w:t>,</w:t>
      </w:r>
      <w:r>
        <w:t xml:space="preserve"> and processes</w:t>
      </w:r>
      <w:r w:rsidR="00A67DC5">
        <w:t xml:space="preserve"> </w:t>
      </w:r>
      <w:r w:rsidR="00A67DC5">
        <w:fldChar w:fldCharType="begin" w:fldLock="1"/>
      </w:r>
      <w:r w:rsidR="002563B7">
        <w:instrText>ADDIN CSL_CITATION {"citationItems":[{"id":"ITEM-1","itemData":{"author":[{"dropping-particle":"","family":"Hameiri","given":"Shahar","non-dropping-particle":"","parse-names":false,"suffix":""}],"id":"ITEM-1","issued":{"date-parts":[["2010"]]},"publisher":"Palgrave Macmillan","publisher-place":"Basingstoke, UK","title":"Regulating Statehood. State building and the transformation of the global order","type":"book"},"uris":["http://www.mendeley.com/documents/?uuid=e316b198-1dde-45e2-b336-be5e7a680a35"]}],"mendeley":{"formattedCitation":"(Hameiri 2010)","manualFormatting":"(Hameiri, 2010, p23-24)","plainTextFormattedCitation":"(Hameiri 2010)","previouslyFormattedCitation":"(Hameiri 2010)"},"properties":{"noteIndex":0},"schema":"https://github.com/citation-style-language/schema/raw/master/csl-citation.json"}</w:instrText>
      </w:r>
      <w:r w:rsidR="00A67DC5">
        <w:fldChar w:fldCharType="separate"/>
      </w:r>
      <w:r w:rsidR="00A67DC5" w:rsidRPr="00A67DC5">
        <w:rPr>
          <w:noProof/>
        </w:rPr>
        <w:t>(Hameiri, 2010</w:t>
      </w:r>
      <w:r w:rsidR="00A67DC5">
        <w:rPr>
          <w:noProof/>
        </w:rPr>
        <w:t>, p23-24</w:t>
      </w:r>
      <w:r w:rsidR="00A67DC5" w:rsidRPr="00A67DC5">
        <w:rPr>
          <w:noProof/>
        </w:rPr>
        <w:t>)</w:t>
      </w:r>
      <w:r w:rsidR="00A67DC5">
        <w:fldChar w:fldCharType="end"/>
      </w:r>
      <w:r>
        <w:t>, myriad IOs and “transboundary processes and actors” emerge within an interstate system</w:t>
      </w:r>
      <w:r w:rsidR="00A67DC5">
        <w:t xml:space="preserve"> </w:t>
      </w:r>
      <w:r w:rsidR="00A67DC5">
        <w:fldChar w:fldCharType="begin" w:fldLock="1"/>
      </w:r>
      <w:r w:rsidR="002563B7">
        <w:instrText>ADDIN CSL_CITATION {"citationItems":[{"id":"ITEM-1","itemData":{"DOI":"10.1177/1354066114523655","ISSN":"14603713","abstract":"This article analyses the phenomenon of rising powers from a historical materialist perspective. It (1) elaborates the key concepts of historical structures of world order, state–society complexes and transnational class formation, and (2) applies them to Brazil, Russia, India, China and other so-called ‘rising powers’ to account for the nature and extent of the challenge they pose to the existing institutions of global governance. A double argument is advanced: first, the integration of rising powers into the historical structure of global capitalism has reduced traditional sources of great power conflict, and made rising powers heavily dependent on the existing institutional framework established by the liberal West. This facilitates their integration into the existing governance order. However, within the limits of the existing order, two factors lend a heartland–contender cleavage to the politics of global governance: the rising powers’ relatively more statist, less market-driven forms of state, and their subsequent failure to be integrated into emergent transnational capitalist class structures. Consequently, it is not the global governance order itself, but its most liberal features, that are contested by rising powers. The result is that, in contrast to realist pessimism and liberal optimism, the rise of new powers is leading to a hybrid governance order that is both transnationally integrated and less liberal.","author":[{"dropping-particle":"","family":"Stephen","given":"Matthew D.","non-dropping-particle":"","parse-names":false,"suffix":""}],"container-title":"European Journal of International Relations","id":"ITEM-1","issue":"4","issued":{"date-parts":[["2014"]]},"page":"912-938","title":"Rising powers, global capitalism and liberal global governance: A historical materialist account of the BRICs challenge","type":"article-journal","volume":"20"},"uris":["http://www.mendeley.com/documents/?uuid=6de3a88f-e1d9-407b-b499-eb856a64d34f"]}],"mendeley":{"formattedCitation":"(Stephen 2014)","manualFormatting":"(Stephen, 2014, p915)","plainTextFormattedCitation":"(Stephen 2014)","previouslyFormattedCitation":"(Stephen 2014)"},"properties":{"noteIndex":0},"schema":"https://github.com/citation-style-language/schema/raw/master/csl-citation.json"}</w:instrText>
      </w:r>
      <w:r w:rsidR="00A67DC5">
        <w:fldChar w:fldCharType="separate"/>
      </w:r>
      <w:r w:rsidR="00A67DC5" w:rsidRPr="00A67DC5">
        <w:rPr>
          <w:noProof/>
        </w:rPr>
        <w:t>(Stephen, 2014</w:t>
      </w:r>
      <w:r w:rsidR="00A67DC5">
        <w:rPr>
          <w:noProof/>
        </w:rPr>
        <w:t>, p915</w:t>
      </w:r>
      <w:r w:rsidR="00A67DC5" w:rsidRPr="00A67DC5">
        <w:rPr>
          <w:noProof/>
        </w:rPr>
        <w:t>)</w:t>
      </w:r>
      <w:r w:rsidR="00A67DC5">
        <w:fldChar w:fldCharType="end"/>
      </w:r>
      <w:r>
        <w:t xml:space="preserve">. </w:t>
      </w:r>
    </w:p>
    <w:p w14:paraId="00000035" w14:textId="31FA950F" w:rsidR="004C6123" w:rsidRDefault="00A076BA">
      <w:r>
        <w:t>A key difference between the two approaches is that functional institutionalists look primarily at the historical and structural basis for international decision-making</w:t>
      </w:r>
      <w:r w:rsidR="00D2131C">
        <w:t>,</w:t>
      </w:r>
      <w:r>
        <w:t xml:space="preserve"> while the latter looks at the “impact of ideas once they become institutionalized”</w:t>
      </w:r>
      <w:r w:rsidR="00ED3AD3">
        <w:t xml:space="preserve"> </w:t>
      </w:r>
      <w:r w:rsidR="00ED3AD3">
        <w:fldChar w:fldCharType="begin" w:fldLock="1"/>
      </w:r>
      <w:r w:rsidR="002563B7">
        <w:instrText>ADDIN CSL_CITATION {"citationItems":[{"id":"ITEM-1","itemData":{"ISSN":"EISSN-1523-1615","abstract":"Globalization is profoundly altering the education policy landscape. It introduces new problems in education agendas, compresses time and space in policy processes, and revitalizes the role of a range of supra-national players in educational reform. This deterritorialization of the education policy process has important theoretical and epistemological implications. Among others, it is forcing comparative education scholars to pay more attention to the politics and dynamics involved in the \"policy adoption\" stage. Policy adoption is a moment that has acquired a great deal of strategic significance in current education reforms. Looking at the adoption stage has the potential to introduce new perspectives in the study of global education policy (GEP), as well as to disentangle several aspects of the global policy debate that, in comparative education, have been often captured by the convergence-divergence dilemma. In the first section of this article, author Antoni Verger reviews the different traditions in education and globalization studies, and justifies the necessity of looking more explicitly and systematically at the policy adoption stage. In the second section, he reviews how different theoretical approaches in social sciences can contribute to analyze the role of ideas in GEP change, and in policy adoption in particular. In the third section, he systematizes a range of contextual dimensions that are more decisive in processes of education policy adoption.","author":[{"dropping-particle":"","family":"Verger","given":"Antoni","non-dropping-particle":"","parse-names":false,"suffix":""}],"container-title":"Current Issues in Comparative Education","id":"ITEM-1","issue":"2","issued":{"date-parts":[["2014"]]},"page":"14-29","title":"Why do Policy-makers Adopt Global Education Policies? Toward a Research Framework on the Varying Role of Ideas in Education Reform","type":"article-journal","volume":"16"},"uris":["http://www.mendeley.com/documents/?uuid=04aa5434-4525-45d5-8dc7-09bb8a78ea9a"]}],"mendeley":{"formattedCitation":"(Verger 2014)","manualFormatting":"(Verger, 2014, p17)","plainTextFormattedCitation":"(Verger 2014)","previouslyFormattedCitation":"(Verger 2014)"},"properties":{"noteIndex":0},"schema":"https://github.com/citation-style-language/schema/raw/master/csl-citation.json"}</w:instrText>
      </w:r>
      <w:r w:rsidR="00ED3AD3">
        <w:fldChar w:fldCharType="separate"/>
      </w:r>
      <w:r w:rsidR="00ED3AD3" w:rsidRPr="00ED3AD3">
        <w:rPr>
          <w:noProof/>
        </w:rPr>
        <w:t>(Verger, 2014</w:t>
      </w:r>
      <w:r w:rsidR="00ED3AD3">
        <w:rPr>
          <w:noProof/>
        </w:rPr>
        <w:t>, p17</w:t>
      </w:r>
      <w:r w:rsidR="00ED3AD3" w:rsidRPr="00ED3AD3">
        <w:rPr>
          <w:noProof/>
        </w:rPr>
        <w:t>)</w:t>
      </w:r>
      <w:r w:rsidR="00ED3AD3">
        <w:fldChar w:fldCharType="end"/>
      </w:r>
      <w:r>
        <w:t>. They also draw on and emerge from different literatures: the former primarily looks to political science and international relations, international law, international regime theory, political economy, and international economics, while the latter draws on theoretical and critical perspectives in history, sociology, educational studies, geography, and political economy. Accordingly, functional institutionalists typically emphasize rationales and mechanics, and focus on matters of finance, trade, environmental, energy, poverty reduction and international development, health, the internet, and migration</w:t>
      </w:r>
      <w:r w:rsidR="00D2131C">
        <w:t>—</w:t>
      </w:r>
      <w:r>
        <w:t xml:space="preserve">but rarely say anything about higher education or research. In contrast, conflict theorists present and </w:t>
      </w:r>
      <w:r w:rsidR="00422429">
        <w:t>analyse</w:t>
      </w:r>
      <w:r w:rsidR="00D2131C">
        <w:t xml:space="preserve"> </w:t>
      </w:r>
      <w:r>
        <w:t>HERD as the prevailing theoretical construct for their studies. Indeed, the field of higher education studies have by and large viewed the emergence and role of IOs, and correspondingly the myriad international arrangements, as an extension of power relations to a global level. Notably these two bodies of thought rarely intertwine or draw from each other’s perspectives or experiences.</w:t>
      </w:r>
    </w:p>
    <w:p w14:paraId="00000036" w14:textId="51F36A9D" w:rsidR="004C6123" w:rsidRDefault="00A076BA">
      <w:r>
        <w:t xml:space="preserve">To some extent both schools of thought exude zero-sum perspectives on how and why global HERD is coordinated. Broadly speaking, they assume that interactions through IOs are transactional (viewing this as either a positive or a negative). The functional </w:t>
      </w:r>
      <w:r w:rsidR="00422429">
        <w:t>institutionalist</w:t>
      </w:r>
      <w:r>
        <w:t xml:space="preserve"> view is that international forms of coordination and interaction exist to share information in order to harmoni</w:t>
      </w:r>
      <w:r w:rsidR="00D2131C">
        <w:t>z</w:t>
      </w:r>
      <w:r>
        <w:t>e approaches</w:t>
      </w:r>
      <w:r w:rsidR="00422429">
        <w:t xml:space="preserve"> </w:t>
      </w:r>
      <w:r>
        <w:t>or borrow policies. From a conflict perspective this process is regarded as leading to forms of “epistemic governance”</w:t>
      </w:r>
      <w:r w:rsidR="00491F7B">
        <w:t xml:space="preserve">  </w:t>
      </w:r>
      <w:r w:rsidR="00491F7B">
        <w:fldChar w:fldCharType="begin" w:fldLock="1"/>
      </w:r>
      <w:r w:rsidR="002563B7">
        <w:instrText>ADDIN CSL_CITATION {"citationItems":[{"id":"ITEM-1","itemData":{"DOI":"10.1080/23254823.2014.887986","ISSN":"23254815","abstract":"The aim of this paper is to make a meta-theoretical contribution to conceptions of how power and governance operate in contemporary policy-making. Most approaches to governance generally brush aside the actual mechanics of how influence is wielded and social change effected. To fill this gap we argue that society is managed increasingly through epistemic governance, which works on actors' perceptions of the world and its current challenges. Our point is that regardless of which actors we assume to be influential in affecting public policies, they operate by utilizing a limited number of strategies, in broad paradigmatic as well as in focused practical dimensions. The epistemic work actors are engaged in focuses on three aspects of the social world: (1) ontology of the environment, (2) actor identifications, and (3) norms and ideals, or constructions of what the world is, who we are, and what is good or desirable. As such, we suggest ways to move beyond more or less structuralist explanations of sources and forms of power to reveal the strategies of power at play in attempts to influence policy change in the contemporary world.","author":[{"dropping-particle":"","family":"Alasuutari","given":"Pertti","non-dropping-particle":"","parse-names":false,"suffix":""},{"dropping-particle":"","family":"Qadir","given":"Ali","non-dropping-particle":"","parse-names":false,"suffix":""}],"container-title":"European Journal of Cultural and Political Sociology","id":"ITEM-1","issue":"1","issued":{"date-parts":[["2014"]]},"page":"67-84","publisher":"Taylor &amp; Francis","title":"Epistemic governance: an approach to the politics of policy-making","type":"article-journal","volume":"1"},"uris":["http://www.mendeley.com/documents/?uuid=3ff6ca1e-1edb-47ef-8aa2-72002606d95d"]}],"mendeley":{"formattedCitation":"(Alasuutari and Qadir 2014)","plainTextFormattedCitation":"(Alasuutari and Qadir 2014)","previouslyFormattedCitation":"(Alasuutari and Qadir 2014)"},"properties":{"noteIndex":0},"schema":"https://github.com/citation-style-language/schema/raw/master/csl-citation.json"}</w:instrText>
      </w:r>
      <w:r w:rsidR="00491F7B">
        <w:fldChar w:fldCharType="separate"/>
      </w:r>
      <w:r w:rsidR="002563B7" w:rsidRPr="002563B7">
        <w:rPr>
          <w:noProof/>
        </w:rPr>
        <w:t>(Alasuutari and Qadir 2014)</w:t>
      </w:r>
      <w:r w:rsidR="00491F7B">
        <w:fldChar w:fldCharType="end"/>
      </w:r>
      <w:r>
        <w:t xml:space="preserve"> </w:t>
      </w:r>
      <w:r w:rsidR="00422429">
        <w:t>via</w:t>
      </w:r>
      <w:r>
        <w:t xml:space="preserve"> a top-down external force which pre-determines or narrows policy options. Both stances note the significance of the “three most important” IOs in global HERD</w:t>
      </w:r>
      <w:r w:rsidR="006D7DFF">
        <w:t xml:space="preserve"> </w:t>
      </w:r>
      <w:r w:rsidR="006D7DFF">
        <w:fldChar w:fldCharType="begin" w:fldLock="1"/>
      </w:r>
      <w:r w:rsidR="002563B7">
        <w:instrText>ADDIN CSL_CITATION {"citationItems":[{"id":"ITEM-1","itemData":{"DOI":"10.1080/03057925.2019.1702503","ISSN":"14693623","abstract":"International organisations’ (IOs) legitimacy in global educational governance is commonly seen as a function of their regulative or normative power. By contrast, this paper stresses the increasing importance of scientific research and policy-relevant knowledge and its strategic production, dissemination and transfer by IOs. The article examines knowledge work at OECD, UNESCO and World Bank based on novel data from publication analyses, archival work and a number of interviews. Drawing on sociological institutionalism and constructivist international relations scholarship, this study is interested in the rationales, resources and capacities for knowledge production, the strategies of dissemination and transfer as well as the implications of science production for IOs’ position and relevance in global governance. Findings emphasise the authority of science as the primary source of legitimacy–and even survival–in an increasingly crowded and competitive field of global education governance.","author":[{"dropping-particle":"","family":"Zapp","given":"Mike","non-dropping-particle":"","parse-names":false,"suffix":""}],"container-title":"Compare","id":"ITEM-1","issue":"00","issued":{"date-parts":[["2020"]]},"page":"1-20","publisher":"Routledge","title":"The authority of science and the legitimacy of international organisations: OECD, UNESCO and World Bank in global education governance","type":"article-journal","volume":"00"},"uris":["http://www.mendeley.com/documents/?uuid=ddf23801-4d7c-4649-8d79-e29b090d4a50"]}],"mendeley":{"formattedCitation":"(Zapp 2020)","plainTextFormattedCitation":"(Zapp 2020)","previouslyFormattedCitation":"(Zapp 2020)"},"properties":{"noteIndex":0},"schema":"https://github.com/citation-style-language/schema/raw/master/csl-citation.json"}</w:instrText>
      </w:r>
      <w:r w:rsidR="006D7DFF">
        <w:fldChar w:fldCharType="separate"/>
      </w:r>
      <w:r w:rsidR="002563B7" w:rsidRPr="002563B7">
        <w:rPr>
          <w:noProof/>
        </w:rPr>
        <w:t>(Zapp 2020)</w:t>
      </w:r>
      <w:r w:rsidR="006D7DFF">
        <w:fldChar w:fldCharType="end"/>
      </w:r>
      <w:r>
        <w:t>, namely the OECD, World Bank, and UNESCO</w:t>
      </w:r>
      <w:r w:rsidR="00D2131C">
        <w:t>—</w:t>
      </w:r>
      <w:r>
        <w:t xml:space="preserve">about which most </w:t>
      </w:r>
      <w:r w:rsidR="00D2131C">
        <w:t xml:space="preserve">research </w:t>
      </w:r>
      <w:r>
        <w:t>has been written. Both approaches understand and explain the structural position of such IOs from historical perspectives but more often as static elements in what is purported to be a “structure” of global governance of international higher education, research</w:t>
      </w:r>
      <w:r w:rsidR="00D2131C">
        <w:t>,</w:t>
      </w:r>
      <w:r>
        <w:t xml:space="preserve"> and development. </w:t>
      </w:r>
    </w:p>
    <w:p w14:paraId="00000037" w14:textId="70DA024E" w:rsidR="004C6123" w:rsidRDefault="00A076BA">
      <w:r>
        <w:lastRenderedPageBreak/>
        <w:t>A key problem with both perspectives is that the “structure” of globalized higher education governance is a theoretical construct, and does not adequately represent the role of international organisations in national or institutional settings. Even in the realm of international economic integration,</w:t>
      </w:r>
      <w:r w:rsidR="00505F06">
        <w:t xml:space="preserve"> </w:t>
      </w:r>
      <w:r w:rsidR="004B3A84">
        <w:t xml:space="preserve">Dani </w:t>
      </w:r>
      <w:r>
        <w:t xml:space="preserve">Rodrik </w:t>
      </w:r>
      <w:r w:rsidR="00505F06">
        <w:fldChar w:fldCharType="begin" w:fldLock="1"/>
      </w:r>
      <w:r w:rsidR="002563B7">
        <w:instrText>ADDIN CSL_CITATION {"citationItems":[{"id":"ITEM-1","itemData":{"abstract":"This article speculates about the future of the world economy 100 years from now. It argues that the spread of markets is restrictred by the reach of jurisdictional economic integration. The political trilemma of the world economy is that international economic integration, the nation-state, and mass politics cannot co-exist. We have to pick two out of three. The article predicts that it will be the nation-state system that disappers, with global federalism taking its place","author":[{"dropping-particle":"","family":"Rodrik","given":"Dani","non-dropping-particle":"","parse-names":false,"suffix":""}],"container-title":"Journal of Economic Perspectives","id":"ITEM-1","issue":"1","issued":{"date-parts":[["2000"]]},"page":"177-186","title":"How Far Will Economic Integration Go ?","type":"article-journal","volume":"14"},"uris":["http://www.mendeley.com/documents/?uuid=a0c26003-a7cf-4183-8214-f21be75413a6"]}],"mendeley":{"formattedCitation":"(Rodrik 2000)","manualFormatting":"(Rodrik, 2000, p178)","plainTextFormattedCitation":"(Rodrik 2000)","previouslyFormattedCitation":"(Rodrik 2000)"},"properties":{"noteIndex":0},"schema":"https://github.com/citation-style-language/schema/raw/master/csl-citation.json"}</w:instrText>
      </w:r>
      <w:r w:rsidR="00505F06">
        <w:fldChar w:fldCharType="separate"/>
      </w:r>
      <w:r w:rsidR="00505F06" w:rsidRPr="00505F06">
        <w:rPr>
          <w:noProof/>
        </w:rPr>
        <w:t>(Rodrik, 2000</w:t>
      </w:r>
      <w:r w:rsidR="00505F06">
        <w:rPr>
          <w:noProof/>
        </w:rPr>
        <w:t>, p178</w:t>
      </w:r>
      <w:r w:rsidR="00505F06" w:rsidRPr="00505F06">
        <w:rPr>
          <w:noProof/>
        </w:rPr>
        <w:t>)</w:t>
      </w:r>
      <w:r w:rsidR="00505F06">
        <w:fldChar w:fldCharType="end"/>
      </w:r>
      <w:r w:rsidR="00505F06">
        <w:t xml:space="preserve"> </w:t>
      </w:r>
      <w:r>
        <w:t xml:space="preserve">throws cold water on the extent to which globalization </w:t>
      </w:r>
      <w:r w:rsidR="00D2131C">
        <w:t xml:space="preserve">actually </w:t>
      </w:r>
      <w:r>
        <w:t>happened</w:t>
      </w:r>
      <w:r w:rsidR="00D2131C">
        <w:t>,</w:t>
      </w:r>
      <w:r>
        <w:t xml:space="preserve"> believing it “remains remarkably limited</w:t>
      </w:r>
      <w:r w:rsidR="00D2131C">
        <w:t>.</w:t>
      </w:r>
      <w:r>
        <w:t>” A second problem is that the focus on IOs often overlooks the historical, sociological, and disciplinary significance of international networks and associations in higher education. On the rare occasion these networks and associations are considered, their emergence and role are not contextualised nor is the long history of networked interactions in higher education and science given due attention. Yet, these networks and associations are actively building and expanding upon national and regional relationships</w:t>
      </w:r>
      <w:r w:rsidR="00D2131C">
        <w:t>,</w:t>
      </w:r>
      <w:r>
        <w:t xml:space="preserve"> thereby illustrating the extent to which collaboration is intrinsic to HERD, as Wagner (2008) convincingly argues. A third deficit concerns the limitations of seeing IONA networking as a static (i.e., once off rather than an ongoing process) and narrow understanding of governance as rules and regulations. In other words, seeing </w:t>
      </w:r>
      <w:r w:rsidR="00D2131C">
        <w:t xml:space="preserve">the </w:t>
      </w:r>
      <w:r>
        <w:t xml:space="preserve">membership of a network or association as simply a transactional way to address an informational gap or meet another need fails to make sense of </w:t>
      </w:r>
      <w:r w:rsidR="00D2131C">
        <w:t xml:space="preserve">higher education institutions </w:t>
      </w:r>
      <w:r>
        <w:t xml:space="preserve">being promiscuous members of multiple and diverse networks and associations simultaneously. </w:t>
      </w:r>
    </w:p>
    <w:p w14:paraId="00000038" w14:textId="7B274B32" w:rsidR="004C6123" w:rsidRDefault="00A076BA">
      <w:r>
        <w:t xml:space="preserve">From a macro perspective, neither functionalist institutionalism </w:t>
      </w:r>
      <w:r w:rsidR="00D2131C">
        <w:t>n</w:t>
      </w:r>
      <w:r>
        <w:t>or conflict theories can fully account for the fact there are thousands of IONAs with significance for higher education and research</w:t>
      </w:r>
      <w:r w:rsidR="00D2131C">
        <w:t>—</w:t>
      </w:r>
      <w:r>
        <w:t xml:space="preserve">and their number is mushrooming. </w:t>
      </w:r>
      <w:r w:rsidR="00D2131C">
        <w:t xml:space="preserve">Expanding </w:t>
      </w:r>
      <w:r>
        <w:t>attention beyond the intergovernmental formulations of IOs would facilitate a deeper understanding of these forms of HERD collaboration and coordination. As such, there is a disconnect in understanding how HERD functions</w:t>
      </w:r>
      <w:r w:rsidR="00D2131C">
        <w:t>,</w:t>
      </w:r>
      <w:r>
        <w:t xml:space="preserve"> due to conceptuali</w:t>
      </w:r>
      <w:r w:rsidR="00D2131C">
        <w:t>z</w:t>
      </w:r>
      <w:r>
        <w:t>ing spaces as discrete levels</w:t>
      </w:r>
      <w:r w:rsidR="00D2131C">
        <w:t>—</w:t>
      </w:r>
      <w:r>
        <w:t xml:space="preserve">regional, national, </w:t>
      </w:r>
      <w:r w:rsidR="00D2131C">
        <w:t>or global</w:t>
      </w:r>
      <w:r>
        <w:t xml:space="preserve">. In addition, fixation on the big three IOs is </w:t>
      </w:r>
      <w:r w:rsidR="00D2131C">
        <w:t xml:space="preserve">disproportionate </w:t>
      </w:r>
      <w:r>
        <w:t>both in their effect and their breadth. Taking a wider lens, over fifty research and higher education training consortia were formed in the United Kingdom in a period of just ten years</w:t>
      </w:r>
      <w:r w:rsidR="00B05C21">
        <w:t xml:space="preserve"> </w:t>
      </w:r>
      <w:r w:rsidR="00B05C21">
        <w:fldChar w:fldCharType="begin" w:fldLock="1"/>
      </w:r>
      <w:r w:rsidR="002563B7">
        <w:instrText>ADDIN CSL_CITATION {"citationItems":[{"id":"ITEM-1","itemData":{"DOI":"10.1177/0308518X15619175","ISSN":"14723409","abstract":"This article opens up debates about the deepening uneven geographies of higher education through a critical analysis of transregional university alliances. Focusing on the formation of research consortia and Doctoral Training Centres, we reveal the emergence of over 50 transregional alliances between United Kingdom universities. Despite each consortium operating at a variously defined regional scale there has been no explicit attempt to account for their geographical basis. Providing the first-ever analysis of this unfolding phenomenon, we demonstrate how the rise of transregional alliances is indicative of, and a response to, universities operating in an intensely neoliberalised political economy. Bringing together emergent theories of regionalism with emerging worlds of (neoliberal) higher education, our article reveals how, why and where universities are engaging in more intensively targeted, exclusive approaches to regional development. We argue that higher education is conducive to the weakening of fixed regional territories, and propose the metaphor of ‘regional constellations’ for interpreting transregional geographies. Finally, our analysis suggests that while high-performing research institutions may compete better by forming consortia, transregional alliances lead to a more unequal and divided university sector.","author":[{"dropping-particle":"","family":"Harrison","given":"John","non-dropping-particle":"","parse-names":false,"suffix":""},{"dropping-particle":"","family":"Smith","given":"Darren P.","non-dropping-particle":"","parse-names":false,"suffix":""},{"dropping-particle":"","family":"Kinton","given":"Chloe","non-dropping-particle":"","parse-names":false,"suffix":""}],"container-title":"Environment and Planning A","id":"ITEM-1","issue":"5","issued":{"date-parts":[["2015"]]},"page":"910-936","title":"New institutional geographies of higher education: The rise of transregional university alliances","type":"article-journal","volume":"48"},"uris":["http://www.mendeley.com/documents/?uuid=91eaf84b-ec03-4f75-bd5a-e1f16845ef6d"]}],"mendeley":{"formattedCitation":"(Harrison, Smith, and Kinton 2015)","plainTextFormattedCitation":"(Harrison, Smith, and Kinton 2015)","previouslyFormattedCitation":"(Harrison, Smith, and Kinton 2015)"},"properties":{"noteIndex":0},"schema":"https://github.com/citation-style-language/schema/raw/master/csl-citation.json"}</w:instrText>
      </w:r>
      <w:r w:rsidR="00B05C21">
        <w:fldChar w:fldCharType="separate"/>
      </w:r>
      <w:r w:rsidR="002563B7" w:rsidRPr="002563B7">
        <w:rPr>
          <w:noProof/>
        </w:rPr>
        <w:t>(Harrison, Smith, and Kinton 2015)</w:t>
      </w:r>
      <w:r w:rsidR="00B05C21">
        <w:fldChar w:fldCharType="end"/>
      </w:r>
      <w:r w:rsidR="00D2131C">
        <w:t>—</w:t>
      </w:r>
      <w:r>
        <w:t xml:space="preserve">and this represents only a small </w:t>
      </w:r>
      <w:r w:rsidR="00AF5472">
        <w:t>snapshot</w:t>
      </w:r>
      <w:r>
        <w:t xml:space="preserve"> of the IONA landscape. </w:t>
      </w:r>
    </w:p>
    <w:p w14:paraId="00000039" w14:textId="7EB48A2B" w:rsidR="004C6123" w:rsidRDefault="00A076BA">
      <w:r>
        <w:t>In contrast to both of these perspectives,</w:t>
      </w:r>
      <w:r w:rsidR="00B05C21">
        <w:t xml:space="preserve"> </w:t>
      </w:r>
      <w:r>
        <w:t>global governance should be understood as coordination rather than as a government imposing top-down rules and regulations. The interplay between world society, a global economy, the production and circulation of knowledge goods and talent, and institutional and organi</w:t>
      </w:r>
      <w:r w:rsidR="00152767">
        <w:t>z</w:t>
      </w:r>
      <w:r>
        <w:t xml:space="preserve">ational behaviour and logics reflects and responds to </w:t>
      </w:r>
    </w:p>
    <w:p w14:paraId="0000003A" w14:textId="63CFD0D0" w:rsidR="004C6123" w:rsidRDefault="00A076BA" w:rsidP="00DC7621">
      <w:pPr>
        <w:ind w:left="720"/>
      </w:pPr>
      <w:r>
        <w:t>the complex, tangled, and interwoven nature of the relevant political relations, which include important horizontal and transversal linkages</w:t>
      </w:r>
      <w:r w:rsidR="00152767">
        <w:t>—</w:t>
      </w:r>
      <w:r>
        <w:t>indicated in notions such as “network state” or “network polity”</w:t>
      </w:r>
      <w:r w:rsidR="00152767">
        <w:t>—</w:t>
      </w:r>
      <w:r>
        <w:t>as well as the vertical linkages implied in multilevel governance</w:t>
      </w:r>
      <w:r w:rsidR="00EC6B92">
        <w:t xml:space="preserve"> </w:t>
      </w:r>
      <w:r w:rsidR="00EC6B92">
        <w:fldChar w:fldCharType="begin" w:fldLock="1"/>
      </w:r>
      <w:r w:rsidR="002563B7">
        <w:instrText>ADDIN CSL_CITATION {"citationItems":[{"id":"ITEM-1","itemData":{"DOI":"10.1177/0010836712443172","ISBN":"0010-8367","ISSN":"00108367","abstract":"This article explores the obstacles to the development and operation of a world state that are rooted in functional differentiation of modern societies, the ecological dominance of the broadly capitalist world market, and the inherent tendencies of all forms of governance to fail. It also highlights the challenges to the temporal as well as territorial sovereignty of states, whatever their scale of operation, due to the acceleration as well as globalization of social relations. Combining insights from Niklas Luhmann and Karl Marx, the article develops some novel arguments about multi-spatial metagovernance as an alternative approach to the problems posed by a world state as the guarantor of global social order.","author":[{"dropping-particle":"","family":"Jessop","given":"Bob","non-dropping-particle":"","parse-names":false,"suffix":""}],"container-title":"Cooperation and Conflict","id":"ITEM-1","issue":"2","issued":{"date-parts":[["2012"]]},"page":"200-219","title":"Obstacles to a world state in the shadow of the world market","type":"article-journal","volume":"47"},"uris":["http://www.mendeley.com/documents/?uuid=b8a5f552-6289-4e3d-b49d-936472bb9501"]}],"mendeley":{"formattedCitation":"(Jessop 2012)","manualFormatting":"(Jessop, 2012, p20)","plainTextFormattedCitation":"(Jessop 2012)","previouslyFormattedCitation":"(Jessop 2012)"},"properties":{"noteIndex":0},"schema":"https://github.com/citation-style-language/schema/raw/master/csl-citation.json"}</w:instrText>
      </w:r>
      <w:r w:rsidR="00EC6B92">
        <w:fldChar w:fldCharType="separate"/>
      </w:r>
      <w:r w:rsidR="00EC6B92" w:rsidRPr="00EC6B92">
        <w:rPr>
          <w:noProof/>
        </w:rPr>
        <w:t>(Jessop, 2012</w:t>
      </w:r>
      <w:r w:rsidR="00D41A2B">
        <w:rPr>
          <w:noProof/>
        </w:rPr>
        <w:t>, p20</w:t>
      </w:r>
      <w:r w:rsidR="00EC6B92" w:rsidRPr="00EC6B92">
        <w:rPr>
          <w:noProof/>
        </w:rPr>
        <w:t>)</w:t>
      </w:r>
      <w:r w:rsidR="00EC6B92">
        <w:fldChar w:fldCharType="end"/>
      </w:r>
      <w:r w:rsidR="00D41A2B">
        <w:t xml:space="preserve">. </w:t>
      </w:r>
    </w:p>
    <w:p w14:paraId="0000003C" w14:textId="3CA7655E" w:rsidR="004C6123" w:rsidRDefault="00A076BA" w:rsidP="0037738B">
      <w:r>
        <w:t>These relationships are expressed in a variety of institutional forms and respond to a dizzying array of  interests</w:t>
      </w:r>
      <w:r w:rsidR="00152767">
        <w:t>—that is,</w:t>
      </w:r>
      <w:r>
        <w:t xml:space="preserve"> IONAs. Relationships may be formal but are frequently informal, nonformal</w:t>
      </w:r>
      <w:r w:rsidR="00152767">
        <w:t>,</w:t>
      </w:r>
      <w:r>
        <w:t xml:space="preserve"> voluntary, bilateral</w:t>
      </w:r>
      <w:r w:rsidR="00152767">
        <w:t>,</w:t>
      </w:r>
      <w:r>
        <w:t xml:space="preserve"> and multilateral forms of coordination or exchange</w:t>
      </w:r>
      <w:r w:rsidR="00086526" w:rsidRPr="00086526">
        <w:t xml:space="preserve"> </w:t>
      </w:r>
      <w:r w:rsidR="00086526">
        <w:t xml:space="preserve">moving along a continuum of formality from informal agreements, declarations, networks, alliances, frameworks and memoranda of understanding, </w:t>
      </w:r>
      <w:r w:rsidR="00086526" w:rsidRPr="00501D30">
        <w:rPr>
          <w:rFonts w:asciiTheme="minorHAnsi" w:hAnsiTheme="minorHAnsi" w:cstheme="minorHAnsi"/>
        </w:rPr>
        <w:t>standards and protocols, benchmarking and rankings, regulations and laws</w:t>
      </w:r>
      <w:r>
        <w:t xml:space="preserve">. </w:t>
      </w:r>
      <w:r w:rsidR="00086526">
        <w:t xml:space="preserve">IONAs are essential to increasing and sustaining global </w:t>
      </w:r>
      <w:r w:rsidR="00086526">
        <w:lastRenderedPageBreak/>
        <w:t xml:space="preserve">interconnectedness and interdependence. </w:t>
      </w:r>
      <w:r w:rsidR="00086526" w:rsidRPr="00E83585">
        <w:rPr>
          <w:rFonts w:asciiTheme="minorHAnsi" w:hAnsiTheme="minorHAnsi" w:cstheme="minorHAnsi"/>
          <w:color w:val="000000"/>
          <w:lang w:val="en-GB"/>
        </w:rPr>
        <w:t>International cooperation and coordination in HERD did not start with</w:t>
      </w:r>
      <w:r w:rsidR="00086526">
        <w:rPr>
          <w:rFonts w:asciiTheme="minorHAnsi" w:hAnsiTheme="minorHAnsi" w:cstheme="minorHAnsi"/>
          <w:color w:val="000000"/>
          <w:lang w:val="en-GB"/>
        </w:rPr>
        <w:t xml:space="preserve"> the IOs </w:t>
      </w:r>
      <w:r w:rsidR="00086526" w:rsidRPr="00E83585">
        <w:rPr>
          <w:rFonts w:asciiTheme="minorHAnsi" w:hAnsiTheme="minorHAnsi" w:cstheme="minorHAnsi"/>
          <w:color w:val="000000"/>
          <w:lang w:val="en-GB"/>
        </w:rPr>
        <w:t xml:space="preserve">—nor does it end there today. </w:t>
      </w:r>
      <w:r w:rsidR="00086526">
        <w:rPr>
          <w:rFonts w:asciiTheme="minorHAnsi" w:hAnsiTheme="minorHAnsi" w:cstheme="minorHAnsi"/>
          <w:color w:val="000000"/>
          <w:lang w:val="en-GB"/>
        </w:rPr>
        <w:t>It</w:t>
      </w:r>
      <w:r w:rsidR="00086526" w:rsidRPr="00E83585">
        <w:rPr>
          <w:rFonts w:asciiTheme="minorHAnsi" w:hAnsiTheme="minorHAnsi" w:cstheme="minorHAnsi"/>
          <w:color w:val="000000"/>
          <w:lang w:val="en-GB"/>
        </w:rPr>
        <w:t xml:space="preserve"> is </w:t>
      </w:r>
      <w:r w:rsidR="00086526">
        <w:rPr>
          <w:rFonts w:asciiTheme="minorHAnsi" w:hAnsiTheme="minorHAnsi" w:cstheme="minorHAnsi"/>
          <w:color w:val="000000"/>
          <w:lang w:val="en-GB"/>
        </w:rPr>
        <w:t xml:space="preserve">therefore </w:t>
      </w:r>
      <w:r w:rsidR="00086526" w:rsidRPr="00E83585">
        <w:rPr>
          <w:rFonts w:asciiTheme="minorHAnsi" w:hAnsiTheme="minorHAnsi" w:cstheme="minorHAnsi"/>
          <w:color w:val="000000"/>
          <w:lang w:val="en-GB"/>
        </w:rPr>
        <w:t xml:space="preserve">important not to focus simply on the commonly referenced IOs but to </w:t>
      </w:r>
      <w:r w:rsidR="00086526">
        <w:rPr>
          <w:rFonts w:asciiTheme="minorHAnsi" w:hAnsiTheme="minorHAnsi" w:cstheme="minorHAnsi"/>
          <w:color w:val="000000"/>
          <w:lang w:val="en-GB"/>
        </w:rPr>
        <w:t>acknowledge the role play</w:t>
      </w:r>
      <w:r w:rsidR="00AF5472">
        <w:rPr>
          <w:rFonts w:asciiTheme="minorHAnsi" w:hAnsiTheme="minorHAnsi" w:cstheme="minorHAnsi"/>
          <w:color w:val="000000"/>
          <w:lang w:val="en-GB"/>
        </w:rPr>
        <w:t>ed</w:t>
      </w:r>
      <w:r w:rsidR="00086526">
        <w:rPr>
          <w:rFonts w:asciiTheme="minorHAnsi" w:hAnsiTheme="minorHAnsi" w:cstheme="minorHAnsi"/>
          <w:color w:val="000000"/>
          <w:lang w:val="en-GB"/>
        </w:rPr>
        <w:t xml:space="preserve"> by </w:t>
      </w:r>
      <w:r w:rsidR="00086526" w:rsidRPr="00E83585">
        <w:rPr>
          <w:rFonts w:asciiTheme="minorHAnsi" w:hAnsiTheme="minorHAnsi" w:cstheme="minorHAnsi"/>
          <w:color w:val="000000"/>
          <w:lang w:val="en-GB"/>
        </w:rPr>
        <w:t>networks and associations.</w:t>
      </w:r>
      <w:r w:rsidR="00086526" w:rsidRPr="00EA0D15">
        <w:t xml:space="preserve"> </w:t>
      </w:r>
    </w:p>
    <w:p w14:paraId="0000003F" w14:textId="21E77A06" w:rsidR="004C6123" w:rsidRDefault="00A076BA">
      <w:r>
        <w:t xml:space="preserve">Aspects of internationality and knowledge exchange have been present since the formative years of </w:t>
      </w:r>
      <w:r w:rsidR="00512950">
        <w:t>HEIs</w:t>
      </w:r>
      <w:r>
        <w:t>, and have accelerat</w:t>
      </w:r>
      <w:r w:rsidR="00AF5472">
        <w:t>ed</w:t>
      </w:r>
      <w:r>
        <w:t xml:space="preserve"> in pace with globali</w:t>
      </w:r>
      <w:r w:rsidR="006832C9">
        <w:t>z</w:t>
      </w:r>
      <w:r>
        <w:t>ation. Rather than classifying organi</w:t>
      </w:r>
      <w:r w:rsidR="006832C9">
        <w:t>z</w:t>
      </w:r>
      <w:r>
        <w:t xml:space="preserve">ations and networks, several key characteristics </w:t>
      </w:r>
      <w:r w:rsidR="00575C80">
        <w:t>point to</w:t>
      </w:r>
      <w:r>
        <w:t xml:space="preserve"> the growth and increasing importance of governance for international higher education and global science. IONAs </w:t>
      </w:r>
      <w:r w:rsidR="00695A7B">
        <w:t>should</w:t>
      </w:r>
      <w:r>
        <w:t xml:space="preserve"> be contextuali</w:t>
      </w:r>
      <w:r w:rsidR="00295B3C">
        <w:t>z</w:t>
      </w:r>
      <w:r>
        <w:t xml:space="preserve">ed in the light of six </w:t>
      </w:r>
      <w:r w:rsidR="00695A7B">
        <w:t>macro-</w:t>
      </w:r>
      <w:r>
        <w:t>trends. First, the spirit of internationali</w:t>
      </w:r>
      <w:r w:rsidR="00295B3C">
        <w:t>z</w:t>
      </w:r>
      <w:r>
        <w:t xml:space="preserve">ation and scientific exchange has been intrinsic to </w:t>
      </w:r>
      <w:r w:rsidR="00512950">
        <w:t>HEIs</w:t>
      </w:r>
      <w:r>
        <w:t xml:space="preserve"> and the spread of and discourse around ideas since the foundation of Bologna University</w:t>
      </w:r>
      <w:r w:rsidR="00695A7B">
        <w:t xml:space="preserve"> (the oldest university in continuous operation in the world and the first as a degree-awarding institution) in 1088</w:t>
      </w:r>
      <w:r w:rsidR="00295B3C">
        <w:t>—</w:t>
      </w:r>
      <w:r>
        <w:t xml:space="preserve">and long before this in other settings of higher learning, in other cultures and civilizations. Second, since World War II, there has been an ever-closer affinity of higher education with the </w:t>
      </w:r>
      <w:r w:rsidR="00047720">
        <w:t>nation-state</w:t>
      </w:r>
      <w:r w:rsidR="00947E69">
        <w:t xml:space="preserve"> </w:t>
      </w:r>
      <w:r w:rsidR="00947E69">
        <w:fldChar w:fldCharType="begin" w:fldLock="1"/>
      </w:r>
      <w:r w:rsidR="002563B7">
        <w:instrText>ADDIN CSL_CITATION {"citationItems":[{"id":"ITEM-1","itemData":{"ISBN":"9780521361088","editor":[{"dropping-particle":"","family":"Ruegg","given":"Walter","non-dropping-particle":"","parse-names":false,"suffix":""}],"id":"ITEM-1","issued":{"date-parts":[["2012"]]},"publisher":"Cambridge University Press","publisher-place":"Cambridge","title":"A History of the University in Europe Volume IV: Universities since 1945","type":"book"},"uris":["http://www.mendeley.com/documents/?uuid=019da548-81e1-4a2f-bb38-0552edafb7bf"]}],"mendeley":{"formattedCitation":"(Ruegg 2012)","manualFormatting":"(see Ruegg, 2012","plainTextFormattedCitation":"(Ruegg 2012)","previouslyFormattedCitation":"(Ruegg 2012)"},"properties":{"noteIndex":0},"schema":"https://github.com/citation-style-language/schema/raw/master/csl-citation.json"}</w:instrText>
      </w:r>
      <w:r w:rsidR="00947E69">
        <w:fldChar w:fldCharType="separate"/>
      </w:r>
      <w:r w:rsidR="00947E69" w:rsidRPr="00947E69">
        <w:rPr>
          <w:noProof/>
        </w:rPr>
        <w:t>(</w:t>
      </w:r>
      <w:r w:rsidR="00947E69">
        <w:rPr>
          <w:noProof/>
        </w:rPr>
        <w:t xml:space="preserve">see </w:t>
      </w:r>
      <w:r w:rsidR="00947E69" w:rsidRPr="00947E69">
        <w:rPr>
          <w:noProof/>
        </w:rPr>
        <w:t>Ruegg, 2012</w:t>
      </w:r>
      <w:r w:rsidR="00947E69">
        <w:fldChar w:fldCharType="end"/>
      </w:r>
      <w:r w:rsidR="00947E69">
        <w:t xml:space="preserve"> </w:t>
      </w:r>
      <w:r>
        <w:t>for a variety of perspectives on this). Third, increasing economic and political integration at the global level</w:t>
      </w:r>
      <w:r w:rsidR="00295B3C">
        <w:t>,</w:t>
      </w:r>
      <w:r>
        <w:t xml:space="preserve"> as well as financial and other support from multilateral or governmental organi</w:t>
      </w:r>
      <w:r w:rsidR="00295B3C">
        <w:t>z</w:t>
      </w:r>
      <w:r>
        <w:t xml:space="preserve">ations/agencies, </w:t>
      </w:r>
      <w:r w:rsidR="00295B3C">
        <w:t xml:space="preserve">has </w:t>
      </w:r>
      <w:r>
        <w:t>been a critical stimulus for the formation of higher education research and development organi</w:t>
      </w:r>
      <w:r w:rsidR="00295B3C">
        <w:t>z</w:t>
      </w:r>
      <w:r>
        <w:t xml:space="preserve">ations and networks. Fourth, talent is the essential oil of the global knowledge-based society. </w:t>
      </w:r>
      <w:r w:rsidR="00695A7B">
        <w:t>The global economy</w:t>
      </w:r>
      <w:r>
        <w:t xml:space="preserve"> relies absolutely on international graduate and professional mobility</w:t>
      </w:r>
      <w:r w:rsidR="00295B3C">
        <w:t>,</w:t>
      </w:r>
      <w:r>
        <w:t xml:space="preserve"> which itself is dependent upon systems and practices </w:t>
      </w:r>
      <w:r w:rsidR="00295B3C">
        <w:t xml:space="preserve">that </w:t>
      </w:r>
      <w:r>
        <w:t>provide mutual recognition of academic qualifications and credentials. Quality assurance and other bilateral arrangements, including mutual recognition of qualifications, are the essential lubricant</w:t>
      </w:r>
      <w:r w:rsidR="000E0CC8">
        <w:t xml:space="preserve">  </w:t>
      </w:r>
      <w:r>
        <w:t xml:space="preserve"> (e.g., </w:t>
      </w:r>
      <w:r w:rsidR="000E0CC8">
        <w:fldChar w:fldCharType="begin" w:fldLock="1"/>
      </w:r>
      <w:r w:rsidR="002563B7">
        <w:instrText>ADDIN CSL_CITATION {"citationItems":[{"id":"ITEM-1","itemData":{"author":[{"dropping-particle":"","family":"UNESCO","given":"","non-dropping-particle":"","parse-names":false,"suffix":""}],"id":"ITEM-1","issue":"September","issued":{"date-parts":[["2019"]]},"publisher":"UNESCO","publisher-place":"Paris","title":"Global Convention on the Recognition of Qualifications Concerning Higher Education","type":"article"},"uris":["http://www.mendeley.com/documents/?uuid=2885efc9-58d4-402b-a313-61985916abe2"]}],"mendeley":{"formattedCitation":"(UNESCO 2019)","manualFormatting":"UNESCO, 2019)","plainTextFormattedCitation":"(UNESCO 2019)","previouslyFormattedCitation":"(UNESCO 2019)"},"properties":{"noteIndex":0},"schema":"https://github.com/citation-style-language/schema/raw/master/csl-citation.json"}</w:instrText>
      </w:r>
      <w:r w:rsidR="000E0CC8">
        <w:fldChar w:fldCharType="separate"/>
      </w:r>
      <w:r w:rsidR="000E0CC8" w:rsidRPr="000E0CC8">
        <w:rPr>
          <w:noProof/>
        </w:rPr>
        <w:t>UNESCO, 2019)</w:t>
      </w:r>
      <w:r w:rsidR="000E0CC8">
        <w:fldChar w:fldCharType="end"/>
      </w:r>
      <w:r>
        <w:t>. Fifth, accessing and buttressing resources, laboratories</w:t>
      </w:r>
      <w:r w:rsidR="00295B3C">
        <w:t>,</w:t>
      </w:r>
      <w:r>
        <w:t xml:space="preserve"> and expertise, especially for research</w:t>
      </w:r>
      <w:r w:rsidR="00295B3C">
        <w:t>,</w:t>
      </w:r>
      <w:r>
        <w:t xml:space="preserve"> are a trigger for the formation of and membership in IONAs. In turn, collaboration</w:t>
      </w:r>
      <w:r w:rsidR="00295B3C">
        <w:t>—</w:t>
      </w:r>
      <w:r>
        <w:t>especially collaborative publications</w:t>
      </w:r>
      <w:r w:rsidR="00295B3C">
        <w:t>—</w:t>
      </w:r>
      <w:r>
        <w:t>have become key indicators of excellence. Finally, in a global world, international comparability is king</w:t>
      </w:r>
      <w:r w:rsidR="00295B3C">
        <w:t>—</w:t>
      </w:r>
      <w:r>
        <w:t>serving as an indicator of geopolitical potency, status, and reputation for countries and for HERD as well as a criterion for IONA membership</w:t>
      </w:r>
      <w:r w:rsidR="000E0CC8">
        <w:t xml:space="preserve"> </w:t>
      </w:r>
      <w:r w:rsidR="00FA6F26">
        <w:t xml:space="preserve"> </w:t>
      </w:r>
      <w:r w:rsidR="00FA6F26">
        <w:fldChar w:fldCharType="begin" w:fldLock="1"/>
      </w:r>
      <w:r w:rsidR="002563B7">
        <w:instrText>ADDIN CSL_CITATION {"citationItems":[{"id":"ITEM-1","itemData":{"author":[{"dropping-particle":"","family":"Hazelkorn","given":"Ellen","non-dropping-particle":"","parse-names":false,"suffix":""}],"container-title":"The Internationalization of Higher Education Institutions","editor":[{"dropping-particle":"","family":"Engwall","given":"Lars","non-dropping-particle":"","parse-names":false,"suffix":""}],"id":"ITEM-1","issued":{"date-parts":[["2023"]]},"publisher":"Springer","title":"Putting Global University Rankings in Context: Internationalising Comparability and the Geo-politicisation of Higher Education and Science","type":"chapter"},"uris":["http://www.mendeley.com/documents/?uuid=a5b10063-f0af-43da-81b1-675c210b7d58"]}],"mendeley":{"formattedCitation":"(Hazelkorn 2023)","plainTextFormattedCitation":"(Hazelkorn 2023)","previouslyFormattedCitation":"(Hazelkorn 2023)"},"properties":{"noteIndex":0},"schema":"https://github.com/citation-style-language/schema/raw/master/csl-citation.json"}</w:instrText>
      </w:r>
      <w:r w:rsidR="00FA6F26">
        <w:fldChar w:fldCharType="separate"/>
      </w:r>
      <w:r w:rsidR="002563B7" w:rsidRPr="002563B7">
        <w:rPr>
          <w:noProof/>
        </w:rPr>
        <w:t>(Hazelkorn 2023)</w:t>
      </w:r>
      <w:r w:rsidR="00FA6F26">
        <w:fldChar w:fldCharType="end"/>
      </w:r>
      <w:r>
        <w:t>. Ironically, the absence of “international rules or international institutions, let alone governance” along with internationally agreed data definitions, indicators</w:t>
      </w:r>
      <w:r w:rsidR="00295B3C">
        <w:t>,</w:t>
      </w:r>
      <w:r>
        <w:t xml:space="preserve"> and data has enabled commercial rankings to take hold and prosper </w:t>
      </w:r>
      <w:r w:rsidR="000E0CC8">
        <w:fldChar w:fldCharType="begin" w:fldLock="1"/>
      </w:r>
      <w:r w:rsidR="002563B7">
        <w:instrText>ADDIN CSL_CITATION {"citationItems":[{"id":"ITEM-1","itemData":{"author":[{"dropping-particle":"","family":"Nayyar","given":"Deepak","non-dropping-particle":"","parse-names":false,"suffix":""}],"chapter-number":"14","container-title":"Governing Globalization: Issues and Institutions","editor":[{"dropping-particle":"","family":"Nayyar","given":"Deepak","non-dropping-particle":"","parse-names":false,"suffix":""}],"id":"ITEM-1","issued":{"date-parts":[["2002"]]},"page":"356-384","publisher":"Oxford University Press","publisher-place":"Oxford and New York","title":"The Existing System and the Missing Institutions","type":"chapter"},"uris":["http://www.mendeley.com/documents/?uuid=745d5190-51e8-46e5-b895-73bd7b58aeb0"]}],"mendeley":{"formattedCitation":"(Nayyar 2002)","plainTextFormattedCitation":"(Nayyar 2002)","previouslyFormattedCitation":"(Nayyar 2002)"},"properties":{"noteIndex":0},"schema":"https://github.com/citation-style-language/schema/raw/master/csl-citation.json"}</w:instrText>
      </w:r>
      <w:r w:rsidR="000E0CC8">
        <w:fldChar w:fldCharType="separate"/>
      </w:r>
      <w:r w:rsidR="002563B7" w:rsidRPr="002563B7">
        <w:rPr>
          <w:noProof/>
        </w:rPr>
        <w:t>(Nayyar 2002)</w:t>
      </w:r>
      <w:r w:rsidR="000E0CC8">
        <w:fldChar w:fldCharType="end"/>
      </w:r>
      <w:r>
        <w:t xml:space="preserve">. </w:t>
      </w:r>
    </w:p>
    <w:p w14:paraId="6B7BC6D2" w14:textId="7F8327D8" w:rsidR="0037738B" w:rsidRDefault="00A076BA" w:rsidP="0037738B">
      <w:r>
        <w:t>These characteristics speak to different components of the web of governance that IONAs comprise. IOs have much to do with the second, third, and fourth, and to a lesser extent the fifth characteristic. But this misses the whole picture</w:t>
      </w:r>
      <w:r w:rsidR="00295B3C">
        <w:t>—</w:t>
      </w:r>
      <w:r>
        <w:t xml:space="preserve">most of the </w:t>
      </w:r>
      <w:r w:rsidRPr="00C65FA5">
        <w:t>organi</w:t>
      </w:r>
      <w:r w:rsidR="00295B3C" w:rsidRPr="00C65FA5">
        <w:t>z</w:t>
      </w:r>
      <w:r w:rsidRPr="00C65FA5">
        <w:t xml:space="preserve">ations and associations doing the actual work are not the IOs but the </w:t>
      </w:r>
      <w:r w:rsidR="00AF5472">
        <w:t>networks and association</w:t>
      </w:r>
      <w:r w:rsidRPr="00C65FA5">
        <w:t xml:space="preserve">s. </w:t>
      </w:r>
      <w:r w:rsidR="008E6D65" w:rsidRPr="00C65FA5">
        <w:t xml:space="preserve">Nations and </w:t>
      </w:r>
      <w:r w:rsidR="00C65FA5">
        <w:t>HEIs</w:t>
      </w:r>
      <w:r w:rsidR="00FA6F26" w:rsidRPr="00C65FA5">
        <w:t xml:space="preserve"> are ce</w:t>
      </w:r>
      <w:r w:rsidRPr="00C65FA5">
        <w:t>ntral players, but they are outnumbered by a vast number of people</w:t>
      </w:r>
      <w:r w:rsidR="000C6BEC" w:rsidRPr="00C65FA5">
        <w:t xml:space="preserve"> – individual  academics/scholars and students – </w:t>
      </w:r>
      <w:r w:rsidRPr="00C65FA5">
        <w:t xml:space="preserve"> from across the full expanse of the</w:t>
      </w:r>
      <w:r>
        <w:t xml:space="preserve"> HERD landscape who officially, unofficially</w:t>
      </w:r>
      <w:r w:rsidR="00295B3C">
        <w:t>,</w:t>
      </w:r>
      <w:r>
        <w:t xml:space="preserve"> and voluntarily help to ensure that international higher education and global science works as a coordinated system. </w:t>
      </w:r>
      <w:r w:rsidR="0037738B">
        <w:t xml:space="preserve">As a totality, IONAs underpin an evolving loosely coupled web that supports and enables international education and global science. They involve not just IOs and nation-states, but increasingly innumerable coalitions, consortia, and higher education institutions. </w:t>
      </w:r>
    </w:p>
    <w:p w14:paraId="00000041" w14:textId="041C9C04" w:rsidR="004C6123" w:rsidRDefault="00397487">
      <w:pPr>
        <w:pStyle w:val="Heading1"/>
        <w:numPr>
          <w:ilvl w:val="0"/>
          <w:numId w:val="3"/>
        </w:numPr>
      </w:pPr>
      <w:r>
        <w:t xml:space="preserve">Conclusion: </w:t>
      </w:r>
      <w:r w:rsidR="00A076BA">
        <w:t xml:space="preserve">Competing </w:t>
      </w:r>
      <w:r w:rsidR="00295B3C">
        <w:t>L</w:t>
      </w:r>
      <w:r w:rsidR="00A076BA">
        <w:t xml:space="preserve">ogics of </w:t>
      </w:r>
      <w:r w:rsidR="00295B3C">
        <w:t>G</w:t>
      </w:r>
      <w:r w:rsidR="00A076BA">
        <w:t>overnance</w:t>
      </w:r>
    </w:p>
    <w:p w14:paraId="00000042" w14:textId="0A67571F" w:rsidR="004C6123" w:rsidRDefault="00A076BA">
      <w:r>
        <w:lastRenderedPageBreak/>
        <w:t>Networks and associations highlight the significance not just of transaction</w:t>
      </w:r>
      <w:r w:rsidR="00295B3C">
        <w:t>—</w:t>
      </w:r>
      <w:r>
        <w:t>as portrayed by international organisations</w:t>
      </w:r>
      <w:r w:rsidR="00295B3C">
        <w:t>—</w:t>
      </w:r>
      <w:r>
        <w:t xml:space="preserve">but also of mutually beneficial collaboration and interaction, the maintenance and continual reestablishment of connections. This characteristic illustrates why such transnational connections are not simply a one-way or top-down vector, a new form of imperialism whereby countries or HERD are pawns in a geopolitical game (Hartmann 2008). This is not to ignore the fact that higher education and science are used and interpreted as  indicators of geopolitical prowess, and that “excellence” is used as a geopolitical instrument. But the web of IONAs </w:t>
      </w:r>
      <w:r w:rsidR="00295B3C">
        <w:t xml:space="preserve">that </w:t>
      </w:r>
      <w:r>
        <w:t>holds international HERD together is much more than that</w:t>
      </w:r>
      <w:r w:rsidR="00295B3C">
        <w:t>—</w:t>
      </w:r>
      <w:r>
        <w:t xml:space="preserve">and to suggest we can explain the global landscape by </w:t>
      </w:r>
      <w:r w:rsidR="00295B3C">
        <w:t xml:space="preserve">excessive </w:t>
      </w:r>
      <w:r>
        <w:t xml:space="preserve">concentration on three IOs is a reductionist argument. </w:t>
      </w:r>
    </w:p>
    <w:p w14:paraId="00000044" w14:textId="75760C55" w:rsidR="004C6123" w:rsidRDefault="00A076BA">
      <w:r>
        <w:t xml:space="preserve">Another way this point might be made is through reflection on Susan </w:t>
      </w:r>
      <w:proofErr w:type="spellStart"/>
      <w:r>
        <w:t>Strange’s</w:t>
      </w:r>
      <w:proofErr w:type="spellEnd"/>
      <w:r>
        <w:t xml:space="preserve"> observation on the four values animating the international political economy. Of these, autonomy is the highest value in the political economy of HERD</w:t>
      </w:r>
      <w:r w:rsidR="00295B3C">
        <w:t>—</w:t>
      </w:r>
      <w:r>
        <w:t xml:space="preserve">overriding the other three values of efficiency (which institutional perspectives prize), equity (which often features as a primary concern of conflict perspectives), and security (which enters the fray only occasionally). This exposes a tension inherent </w:t>
      </w:r>
      <w:r w:rsidR="00295B3C">
        <w:t>to</w:t>
      </w:r>
      <w:r>
        <w:t xml:space="preserve"> international higher education and global science: </w:t>
      </w:r>
      <w:r w:rsidR="00295B3C">
        <w:t>“</w:t>
      </w:r>
      <w:r>
        <w:t>Modern science is without doubt an emergent social process that is international in scope and cannot be effectively controlled by governments. And yet it is the taxpayers of different nation-states who are asked to fund this process</w:t>
      </w:r>
      <w:r w:rsidR="00295B3C">
        <w:t>”</w:t>
      </w:r>
      <w:r>
        <w:t xml:space="preserve"> (</w:t>
      </w:r>
      <w:r w:rsidR="00182BFB">
        <w:t xml:space="preserve">Fukuyama in </w:t>
      </w:r>
      <w:r>
        <w:t>Wagner, 2008</w:t>
      </w:r>
      <w:r w:rsidR="00182BFB">
        <w:t>, p</w:t>
      </w:r>
      <w:r w:rsidR="00ED51FF">
        <w:t>.</w:t>
      </w:r>
      <w:r w:rsidR="00D34304">
        <w:t>ix</w:t>
      </w:r>
      <w:r>
        <w:t xml:space="preserve">). </w:t>
      </w:r>
    </w:p>
    <w:p w14:paraId="00000045" w14:textId="141FCA80" w:rsidR="004C6123" w:rsidRDefault="00A076BA">
      <w:r>
        <w:t>IOs and states, concerned as they are with expenditure, focus on efficiencies</w:t>
      </w:r>
      <w:r w:rsidR="00295B3C">
        <w:t>—</w:t>
      </w:r>
      <w:r>
        <w:t>but scientists and their networks are most focused on doing good science, and thus having the autonomy to do so. Using the lens of IONAs helps us to better understand how such competing values and interests overlap and interact. It also allows for a perspective that sees dispute and disagreement as necessary and generative within HERD</w:t>
      </w:r>
      <w:r w:rsidR="008849FE">
        <w:t>—</w:t>
      </w:r>
      <w:r>
        <w:t>and not something that needs to be explained or finessed away into an artificial and premature “consensus</w:t>
      </w:r>
      <w:r w:rsidR="008849FE">
        <w:t>.</w:t>
      </w:r>
      <w:r>
        <w:t xml:space="preserve">” </w:t>
      </w:r>
    </w:p>
    <w:p w14:paraId="00000046" w14:textId="1089454B" w:rsidR="004C6123" w:rsidRDefault="00A076BA">
      <w:r>
        <w:t>Cross-border interaction is not only about closing gaps of “coverage” in a system of governance</w:t>
      </w:r>
      <w:r w:rsidR="008849FE">
        <w:t>,</w:t>
      </w:r>
      <w:r>
        <w:t xml:space="preserve"> nor is it a tale only of hegemonic power</w:t>
      </w:r>
      <w:r w:rsidR="008849FE">
        <w:t>—</w:t>
      </w:r>
      <w:r>
        <w:t>though it can be these things</w:t>
      </w:r>
      <w:r w:rsidR="008849FE">
        <w:t>,</w:t>
      </w:r>
      <w:r>
        <w:t xml:space="preserve"> in part. </w:t>
      </w:r>
      <w:r w:rsidR="008849FE">
        <w:t xml:space="preserve">Two </w:t>
      </w:r>
      <w:r>
        <w:t xml:space="preserve">of our initial questions </w:t>
      </w:r>
      <w:r w:rsidR="008849FE">
        <w:t xml:space="preserve">were </w:t>
      </w:r>
      <w:r>
        <w:t>why there are so many IONAs in international higher education and global science, and why many more are established every year. Part of the explanation is that, per Rodrik, globalization is not complete, and perhaps never will be. It is also not unidirectional and must be reinvigorated and engaged continually. Networks and associations exemplify the never-to-be-complete aspect of the international governance of HERD</w:t>
      </w:r>
      <w:r w:rsidR="008849FE">
        <w:t>—</w:t>
      </w:r>
      <w:r>
        <w:t>often pulling in another direction to IOs and/or articulating different arguments but very often working complementari</w:t>
      </w:r>
      <w:r w:rsidR="008849FE">
        <w:t>l</w:t>
      </w:r>
      <w:r>
        <w:t xml:space="preserve">y and in partnership pursuing a common agenda. There is considerable sharing of expertise across IONAs and with the big-three IOs. This is a much more dynamic landscape </w:t>
      </w:r>
      <w:r w:rsidR="008849FE">
        <w:t xml:space="preserve">that </w:t>
      </w:r>
      <w:r>
        <w:t>necessitates a process rather than a static view, such that it makes more sense to speak of moving toward governing international higher education and global science rather than achieving aspirational governance.</w:t>
      </w:r>
    </w:p>
    <w:p w14:paraId="00000047" w14:textId="69909EAD" w:rsidR="004C6123" w:rsidRDefault="00A076BA">
      <w:r>
        <w:t>Because the governance of HERD requires constant renewal, new IONAs</w:t>
      </w:r>
      <w:r w:rsidR="008849FE">
        <w:t xml:space="preserve"> will continue to proliferate</w:t>
      </w:r>
      <w:r>
        <w:t>. In the wake of the 2020 pandemic, there were noticeable calls for more multilateralism</w:t>
      </w:r>
      <w:r w:rsidR="00182BFB">
        <w:t xml:space="preserve"> </w:t>
      </w:r>
      <w:r w:rsidR="00182BFB">
        <w:fldChar w:fldCharType="begin" w:fldLock="1"/>
      </w:r>
      <w:r w:rsidR="002563B7">
        <w:instrText>ADDIN CSL_CITATION {"citationItems":[{"id":"ITEM-1","itemData":{"author":[{"dropping-particle":"","family":"Hazelkorn","given":"Ellen","non-dropping-particle":"","parse-names":false,"suffix":""}],"container-title":"Univeristy World News","id":"ITEM-1","issued":{"date-parts":[["2020","4","27"]]},"title":"Time to strengthen multilateralism in higher education","type":"article-newspaper"},"uris":["http://www.mendeley.com/documents/?uuid=beadc879-4a56-4990-89fe-14ef89bd9f1d"]}],"mendeley":{"formattedCitation":"(Hazelkorn 2020)","plainTextFormattedCitation":"(Hazelkorn 2020)","previouslyFormattedCitation":"(Hazelkorn 2020)"},"properties":{"noteIndex":0},"schema":"https://github.com/citation-style-language/schema/raw/master/csl-citation.json"}</w:instrText>
      </w:r>
      <w:r w:rsidR="00182BFB">
        <w:fldChar w:fldCharType="separate"/>
      </w:r>
      <w:r w:rsidR="002563B7" w:rsidRPr="002563B7">
        <w:rPr>
          <w:noProof/>
        </w:rPr>
        <w:t>(Hazelkorn 2020)</w:t>
      </w:r>
      <w:r w:rsidR="00182BFB">
        <w:fldChar w:fldCharType="end"/>
      </w:r>
      <w:r>
        <w:t xml:space="preserve">, a  “healthier multilateralism” </w:t>
      </w:r>
      <w:r w:rsidR="00ED51FF">
        <w:fldChar w:fldCharType="begin" w:fldLock="1"/>
      </w:r>
      <w:r w:rsidR="002563B7">
        <w:instrText>ADDIN CSL_CITATION {"citationItems":[{"id":"ITEM-1","itemData":{"author":[{"dropping-particle":"","family":"Satti","given":"Saad Javid","non-dropping-particle":"","parse-names":false,"suffix":""}],"container-title":"The Nation","id":"ITEM-1","issued":{"date-parts":[["2020","3"]]},"title":"The need for healthier multilateralism","type":"article-magazine"},"uris":["http://www.mendeley.com/documents/?uuid=e76b5a00-c09c-4a7a-8ab3-4f5d19a2a1f7"]}],"mendeley":{"formattedCitation":"(Satti 2020)","plainTextFormattedCitation":"(Satti 2020)","previouslyFormattedCitation":"(Satti 2020)"},"properties":{"noteIndex":0},"schema":"https://github.com/citation-style-language/schema/raw/master/csl-citation.json"}</w:instrText>
      </w:r>
      <w:r w:rsidR="00ED51FF">
        <w:fldChar w:fldCharType="separate"/>
      </w:r>
      <w:r w:rsidR="002563B7" w:rsidRPr="002563B7">
        <w:rPr>
          <w:noProof/>
        </w:rPr>
        <w:t>(Satti 2020)</w:t>
      </w:r>
      <w:r w:rsidR="00ED51FF">
        <w:fldChar w:fldCharType="end"/>
      </w:r>
      <w:r>
        <w:t>, a global health security agenda</w:t>
      </w:r>
      <w:r w:rsidR="00ED51FF">
        <w:t xml:space="preserve"> </w:t>
      </w:r>
      <w:r w:rsidR="00ED51FF">
        <w:fldChar w:fldCharType="begin" w:fldLock="1"/>
      </w:r>
      <w:r w:rsidR="002563B7">
        <w:instrText>ADDIN CSL_CITATION {"citationItems":[{"id":"ITEM-1","itemData":{"author":[{"dropping-particle":"","family":"Satti","given":"Saad Javid","non-dropping-particle":"","parse-names":false,"suffix":""}],"container-title":"The Nation","id":"ITEM-1","issued":{"date-parts":[["2020","3"]]},"title":"The need for healthier multilateralism","type":"article-magazine"},"uris":["http://www.mendeley.com/documents/?uuid=e76b5a00-c09c-4a7a-8ab3-4f5d19a2a1f7"]}],"mendeley":{"formattedCitation":"(Satti 2020)","plainTextFormattedCitation":"(Satti 2020)","previouslyFormattedCitation":"(Satti 2020)"},"properties":{"noteIndex":0},"schema":"https://github.com/citation-style-language/schema/raw/master/csl-citation.json"}</w:instrText>
      </w:r>
      <w:r w:rsidR="00ED51FF">
        <w:fldChar w:fldCharType="separate"/>
      </w:r>
      <w:r w:rsidR="002563B7" w:rsidRPr="002563B7">
        <w:rPr>
          <w:noProof/>
        </w:rPr>
        <w:t>(Satti 2020)</w:t>
      </w:r>
      <w:r w:rsidR="00ED51FF">
        <w:fldChar w:fldCharType="end"/>
      </w:r>
      <w:r>
        <w:t>, a viral Manhattan Project</w:t>
      </w:r>
      <w:r w:rsidR="00ED51FF">
        <w:t xml:space="preserve"> </w:t>
      </w:r>
      <w:r>
        <w:t xml:space="preserve">(Grove 2020) and a new Marshall Plan </w:t>
      </w:r>
      <w:r w:rsidR="00ED51FF">
        <w:fldChar w:fldCharType="begin" w:fldLock="1"/>
      </w:r>
      <w:r w:rsidR="002563B7">
        <w:instrText>ADDIN CSL_CITATION {"citationItems":[{"id":"ITEM-1","itemData":{"author":[{"dropping-particle":"","family":"Teferra","given":"Damtew","non-dropping-particle":"","parse-names":false,"suffix":""}],"container-title":"University World News","id":"ITEM-1","issued":{"date-parts":[["2020","4","2"]]},"title":"COVID-19 – A vindictive messenger for multilateralism","type":"article-newspaper"},"uris":["http://www.mendeley.com/documents/?uuid=783f09a4-b78b-4d21-bd0f-50cf034465a0"]}],"mendeley":{"formattedCitation":"(Teferra 2020)","plainTextFormattedCitation":"(Teferra 2020)","previouslyFormattedCitation":"(Teferra 2020)"},"properties":{"noteIndex":0},"schema":"https://github.com/citation-style-language/schema/raw/master/csl-citation.json"}</w:instrText>
      </w:r>
      <w:r w:rsidR="00ED51FF">
        <w:fldChar w:fldCharType="separate"/>
      </w:r>
      <w:r w:rsidR="002563B7" w:rsidRPr="002563B7">
        <w:rPr>
          <w:noProof/>
        </w:rPr>
        <w:t>(Teferra 2020)</w:t>
      </w:r>
      <w:r w:rsidR="00ED51FF">
        <w:fldChar w:fldCharType="end"/>
      </w:r>
      <w:r>
        <w:t xml:space="preserve">. Nevertheless, </w:t>
      </w:r>
      <w:r w:rsidR="009F50F1">
        <w:t xml:space="preserve">Paul </w:t>
      </w:r>
      <w:r>
        <w:t xml:space="preserve">Hirst and </w:t>
      </w:r>
      <w:r w:rsidR="009F50F1">
        <w:t xml:space="preserve">Grahame </w:t>
      </w:r>
      <w:r>
        <w:t xml:space="preserve">Thompson issue a note of caution, </w:t>
      </w:r>
      <w:r>
        <w:lastRenderedPageBreak/>
        <w:t xml:space="preserve">suggesting there is no “inherent dynamic that prevails over all countervailing forces” </w:t>
      </w:r>
      <w:r w:rsidR="009F50F1">
        <w:fldChar w:fldCharType="begin" w:fldLock="1"/>
      </w:r>
      <w:r w:rsidR="002563B7">
        <w:instrText>ADDIN CSL_CITATION {"citationItems":[{"id":"ITEM-1","itemData":{"ISBN":"9781788118606","author":[{"dropping-particle":"","family":"Hirst","given":"Paul","non-dropping-particle":"","parse-names":false,"suffix":""},{"dropping-particle":"","family":"Thompson","given":"Grahame","non-dropping-particle":"","parse-names":false,"suffix":""}],"chapter-number":"1","container-title":"The Handbook of Globalisation","edition":"3rd","editor":[{"dropping-particle":"","family":"Michie","given":"Jonathan","non-dropping-particle":"","parse-names":false,"suffix":""}],"id":"ITEM-1","issued":{"date-parts":[["2019"]]},"page":"16-31","publisher":"Edward Elgar Publishing","publisher-place":"Cheltenham, UK","title":"The future of globalisation","type":"chapter"},"uris":["http://www.mendeley.com/documents/?uuid=32c261fd-03d5-4530-b180-a1d2c5202d35"]}],"mendeley":{"formattedCitation":"(Hirst and Thompson 2019)","manualFormatting":"(Hirst &amp; Thompson, 2019, p16)","plainTextFormattedCitation":"(Hirst and Thompson 2019)","previouslyFormattedCitation":"(Hirst and Thompson 2019)"},"properties":{"noteIndex":0},"schema":"https://github.com/citation-style-language/schema/raw/master/csl-citation.json"}</w:instrText>
      </w:r>
      <w:r w:rsidR="009F50F1">
        <w:fldChar w:fldCharType="separate"/>
      </w:r>
      <w:r w:rsidR="009F50F1" w:rsidRPr="009F50F1">
        <w:rPr>
          <w:noProof/>
        </w:rPr>
        <w:t>(Hirst &amp; Thompson, 2019</w:t>
      </w:r>
      <w:r w:rsidR="00ED51FF">
        <w:rPr>
          <w:noProof/>
        </w:rPr>
        <w:t>, p16</w:t>
      </w:r>
      <w:r w:rsidR="009F50F1" w:rsidRPr="009F50F1">
        <w:rPr>
          <w:noProof/>
        </w:rPr>
        <w:t>)</w:t>
      </w:r>
      <w:r w:rsidR="009F50F1">
        <w:fldChar w:fldCharType="end"/>
      </w:r>
      <w:r>
        <w:t xml:space="preserve">. This can be understood analytically </w:t>
      </w:r>
      <w:r w:rsidR="008849FE">
        <w:t xml:space="preserve">as </w:t>
      </w:r>
      <w:r>
        <w:t>saying there is no single logic nor one theory that can capture everything. But there is a call to action</w:t>
      </w:r>
      <w:r w:rsidR="008849FE">
        <w:t>—</w:t>
      </w:r>
      <w:r>
        <w:t xml:space="preserve">an ongoing need to make cooperation in international higher education and global science happen. </w:t>
      </w:r>
      <w:r w:rsidR="008849FE">
        <w:t>This need will not be met</w:t>
      </w:r>
      <w:r>
        <w:t xml:space="preserve"> without active and continued engagement. </w:t>
      </w:r>
    </w:p>
    <w:p w14:paraId="00000048" w14:textId="6E5CE74F" w:rsidR="004C6123" w:rsidRDefault="00A076BA">
      <w:r>
        <w:t xml:space="preserve">The IONA framework allows us all to see that states and intergovernmental actors are not the engines of coordination, and that individuals, disciplines, institutions, </w:t>
      </w:r>
      <w:r w:rsidR="008849FE">
        <w:t xml:space="preserve">and </w:t>
      </w:r>
      <w:r>
        <w:t xml:space="preserve">communities have a constitutive role in erecting and maintaining the webbing of global governance. Strengthening global governance along with its myriad multilateral institutions requires reforms </w:t>
      </w:r>
      <w:r w:rsidR="008849FE">
        <w:t xml:space="preserve">that </w:t>
      </w:r>
      <w:r>
        <w:t>better recognise tensions around global common goods, favouring a more pluralist and “open and social multilateralism”</w:t>
      </w:r>
      <w:r w:rsidR="00ED51FF">
        <w:t xml:space="preserve"> </w:t>
      </w:r>
      <w:r w:rsidR="00ED51FF">
        <w:fldChar w:fldCharType="begin" w:fldLock="1"/>
      </w:r>
      <w:r w:rsidR="002563B7">
        <w:instrText>ADDIN CSL_CITATION {"citationItems":[{"id":"ITEM-1","itemData":{"author":[{"dropping-particle":"","family":"Badie","given":"Bertrand","non-dropping-particle":"","parse-names":false,"suffix":""}],"chapter-number":"2","container-title":"Still a Western World? Continuity and change in global order","editor":[{"dropping-particle":"","family":"Fabbrini","given":"Sergio","non-dropping-particle":"","parse-names":false,"suffix":""},{"dropping-particle":"","family":"Marchetti","given":"Raffaele","non-dropping-particle":"","parse-names":false,"suffix":""}],"id":"ITEM-1","issued":{"date-parts":[["2017"]]},"page":"23-32","publisher":"Routledge","publisher-place":"Abingdon and New York","title":"Uncertain global governance","type":"chapter"},"uris":["http://www.mendeley.com/documents/?uuid=6202e107-60d2-420b-baae-7009e42bbc60"]}],"mendeley":{"formattedCitation":"(Badie 2017)","manualFormatting":"(Badie, 2017, p30-32; ","plainTextFormattedCitation":"(Badie 2017)","previouslyFormattedCitation":"(Badie 2017)"},"properties":{"noteIndex":0},"schema":"https://github.com/citation-style-language/schema/raw/master/csl-citation.json"}</w:instrText>
      </w:r>
      <w:r w:rsidR="00ED51FF">
        <w:fldChar w:fldCharType="separate"/>
      </w:r>
      <w:r w:rsidR="00ED51FF" w:rsidRPr="00ED51FF">
        <w:rPr>
          <w:noProof/>
        </w:rPr>
        <w:t>(Badie, 2017</w:t>
      </w:r>
      <w:r w:rsidR="00ED51FF">
        <w:rPr>
          <w:noProof/>
        </w:rPr>
        <w:t xml:space="preserve">, p30-32; </w:t>
      </w:r>
      <w:r w:rsidR="00ED51FF">
        <w:fldChar w:fldCharType="end"/>
      </w:r>
      <w:r w:rsidR="00ED51FF">
        <w:fldChar w:fldCharType="begin" w:fldLock="1"/>
      </w:r>
      <w:r w:rsidR="002563B7">
        <w:instrText>ADDIN CSL_CITATION {"citationItems":[{"id":"ITEM-1","itemData":{"author":[{"dropping-particle":"","family":"Keohane","given":"Robert O.","non-dropping-particle":"","parse-names":false,"suffix":""}],"chapter-number":"16","container-title":"Governing Globalization. Power, Authority and Global Governance","id":"ITEM-1","issued":{"date-parts":[["2002"]]},"page":"325-247","publisher":"Polity Press","publisher-place":"Cambridge, UK","title":"Governance in a Partially Globalized World","type":"chapter"},"uris":["http://www.mendeley.com/documents/?uuid=a400dd52-f18a-491f-aec1-addb8ef53d45"]}],"mendeley":{"formattedCitation":"(Keohane 2002)","manualFormatting":"Keohane, 2002)","plainTextFormattedCitation":"(Keohane 2002)","previouslyFormattedCitation":"(Keohane 2002)"},"properties":{"noteIndex":0},"schema":"https://github.com/citation-style-language/schema/raw/master/csl-citation.json"}</w:instrText>
      </w:r>
      <w:r w:rsidR="00ED51FF">
        <w:fldChar w:fldCharType="separate"/>
      </w:r>
      <w:r w:rsidR="00ED51FF" w:rsidRPr="00ED51FF">
        <w:rPr>
          <w:noProof/>
        </w:rPr>
        <w:t>Keohane, 2002)</w:t>
      </w:r>
      <w:r w:rsidR="00ED51FF">
        <w:fldChar w:fldCharType="end"/>
      </w:r>
      <w:r w:rsidR="008849FE">
        <w:t>—</w:t>
      </w:r>
      <w:r>
        <w:t xml:space="preserve">but the best way to move this forward is to broaden our conceptual frameworks so we can correctly </w:t>
      </w:r>
      <w:r w:rsidR="008849FE">
        <w:t xml:space="preserve">identify </w:t>
      </w:r>
      <w:r>
        <w:t xml:space="preserve">what and who is involved. </w:t>
      </w:r>
    </w:p>
    <w:p w14:paraId="0416C210" w14:textId="77777777" w:rsidR="00A129E3" w:rsidRDefault="00A129E3" w:rsidP="00A129E3"/>
    <w:p w14:paraId="781F93BC" w14:textId="4573FD22" w:rsidR="00A129E3" w:rsidRPr="008B2DF6" w:rsidRDefault="001D41ED" w:rsidP="00A129E3">
      <w:pPr>
        <w:spacing w:line="276" w:lineRule="auto"/>
        <w:rPr>
          <w:rFonts w:asciiTheme="minorHAnsi" w:hAnsiTheme="minorHAnsi" w:cstheme="minorHAnsi"/>
          <w:b/>
        </w:rPr>
      </w:pPr>
      <w:bookmarkStart w:id="0" w:name="_Toc16493980"/>
      <w:r>
        <w:rPr>
          <w:rFonts w:asciiTheme="minorHAnsi" w:hAnsiTheme="minorHAnsi" w:cstheme="minorHAnsi"/>
          <w:b/>
        </w:rPr>
        <w:t>Appendix</w:t>
      </w:r>
      <w:r w:rsidR="00A129E3">
        <w:rPr>
          <w:rFonts w:asciiTheme="minorHAnsi" w:hAnsiTheme="minorHAnsi" w:cstheme="minorHAnsi"/>
          <w:b/>
        </w:rPr>
        <w:t xml:space="preserve">.  </w:t>
      </w:r>
      <w:r w:rsidR="00A129E3" w:rsidRPr="00235886">
        <w:rPr>
          <w:rFonts w:asciiTheme="minorHAnsi" w:hAnsiTheme="minorHAnsi" w:cstheme="minorHAnsi"/>
          <w:b/>
        </w:rPr>
        <w:t xml:space="preserve"> </w:t>
      </w:r>
      <w:bookmarkEnd w:id="0"/>
      <w:r w:rsidR="00A129E3" w:rsidRPr="00235886">
        <w:rPr>
          <w:rFonts w:asciiTheme="minorHAnsi" w:hAnsiTheme="minorHAnsi" w:cstheme="minorHAnsi"/>
          <w:b/>
          <w:color w:val="000000"/>
        </w:rPr>
        <w:t>Select Dates in the History of HERD IONAs</w:t>
      </w:r>
    </w:p>
    <w:tbl>
      <w:tblPr>
        <w:tblStyle w:val="TableGrid"/>
        <w:tblpPr w:leftFromText="180" w:rightFromText="180" w:vertAnchor="text" w:tblpY="1"/>
        <w:tblOverlap w:val="never"/>
        <w:tblW w:w="5189" w:type="pct"/>
        <w:tblLook w:val="04A0" w:firstRow="1" w:lastRow="0" w:firstColumn="1" w:lastColumn="0" w:noHBand="0" w:noVBand="1"/>
      </w:tblPr>
      <w:tblGrid>
        <w:gridCol w:w="943"/>
        <w:gridCol w:w="2323"/>
        <w:gridCol w:w="2888"/>
        <w:gridCol w:w="3549"/>
      </w:tblGrid>
      <w:tr w:rsidR="00B4598B" w:rsidRPr="00420640" w14:paraId="49B9A3D7" w14:textId="77777777" w:rsidTr="002B5001">
        <w:tc>
          <w:tcPr>
            <w:tcW w:w="486" w:type="pct"/>
            <w:shd w:val="clear" w:color="auto" w:fill="D9E2F3" w:themeFill="accent1" w:themeFillTint="33"/>
            <w:vAlign w:val="center"/>
          </w:tcPr>
          <w:p w14:paraId="6E738EC7"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DATE</w:t>
            </w:r>
          </w:p>
        </w:tc>
        <w:tc>
          <w:tcPr>
            <w:tcW w:w="1197" w:type="pct"/>
            <w:shd w:val="clear" w:color="auto" w:fill="D9E2F3" w:themeFill="accent1" w:themeFillTint="33"/>
            <w:vAlign w:val="center"/>
          </w:tcPr>
          <w:p w14:paraId="62394F51" w14:textId="77777777" w:rsidR="00A129E3" w:rsidRPr="00DA0FFF" w:rsidRDefault="00A129E3" w:rsidP="002B5001">
            <w:pPr>
              <w:spacing w:after="40"/>
              <w:rPr>
                <w:rFonts w:cstheme="minorHAnsi"/>
                <w:b/>
                <w:sz w:val="20"/>
                <w:szCs w:val="20"/>
              </w:rPr>
            </w:pPr>
            <w:r w:rsidRPr="00DA0FFF">
              <w:rPr>
                <w:rFonts w:cstheme="minorHAnsi"/>
                <w:b/>
                <w:sz w:val="20"/>
                <w:szCs w:val="20"/>
              </w:rPr>
              <w:t>KEY EVENTS</w:t>
            </w:r>
          </w:p>
        </w:tc>
        <w:tc>
          <w:tcPr>
            <w:tcW w:w="1488" w:type="pct"/>
            <w:shd w:val="clear" w:color="auto" w:fill="D9E2F3" w:themeFill="accent1" w:themeFillTint="33"/>
            <w:vAlign w:val="center"/>
          </w:tcPr>
          <w:p w14:paraId="4BA4CD56" w14:textId="77777777" w:rsidR="00A129E3" w:rsidRPr="00DA0FFF" w:rsidRDefault="00A129E3" w:rsidP="002B5001">
            <w:pPr>
              <w:spacing w:after="40"/>
              <w:rPr>
                <w:rFonts w:cstheme="minorHAnsi"/>
                <w:b/>
                <w:sz w:val="20"/>
                <w:szCs w:val="20"/>
              </w:rPr>
            </w:pPr>
            <w:r w:rsidRPr="00DA0FFF">
              <w:rPr>
                <w:rFonts w:cstheme="minorHAnsi"/>
                <w:b/>
                <w:sz w:val="20"/>
                <w:szCs w:val="20"/>
              </w:rPr>
              <w:t>INTERNATIONAL ORGANISATIONS</w:t>
            </w:r>
          </w:p>
        </w:tc>
        <w:tc>
          <w:tcPr>
            <w:tcW w:w="1829" w:type="pct"/>
            <w:shd w:val="clear" w:color="auto" w:fill="D9E2F3" w:themeFill="accent1" w:themeFillTint="33"/>
            <w:vAlign w:val="center"/>
          </w:tcPr>
          <w:p w14:paraId="0C664033" w14:textId="77777777" w:rsidR="00A129E3" w:rsidRPr="00DA0FFF" w:rsidRDefault="00A129E3" w:rsidP="002B5001">
            <w:pPr>
              <w:spacing w:after="40"/>
              <w:rPr>
                <w:rFonts w:cstheme="minorHAnsi"/>
                <w:b/>
                <w:sz w:val="20"/>
                <w:szCs w:val="20"/>
              </w:rPr>
            </w:pPr>
            <w:r w:rsidRPr="00DA0FFF">
              <w:rPr>
                <w:rFonts w:cstheme="minorHAnsi"/>
                <w:b/>
                <w:sz w:val="20"/>
                <w:szCs w:val="20"/>
              </w:rPr>
              <w:t>NETWORKS &amp; ASSOCIATIONS</w:t>
            </w:r>
          </w:p>
        </w:tc>
      </w:tr>
      <w:tr w:rsidR="00B4598B" w:rsidRPr="00420640" w14:paraId="18E01F0B" w14:textId="77777777" w:rsidTr="002B5001">
        <w:trPr>
          <w:trHeight w:val="313"/>
        </w:trPr>
        <w:tc>
          <w:tcPr>
            <w:tcW w:w="486" w:type="pct"/>
            <w:vAlign w:val="center"/>
          </w:tcPr>
          <w:p w14:paraId="71CF5B99"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1876</w:t>
            </w:r>
          </w:p>
        </w:tc>
        <w:tc>
          <w:tcPr>
            <w:tcW w:w="1197" w:type="pct"/>
            <w:vAlign w:val="center"/>
          </w:tcPr>
          <w:p w14:paraId="3AF9FD62" w14:textId="77777777" w:rsidR="00A129E3" w:rsidRPr="00DA0FFF" w:rsidRDefault="00A129E3" w:rsidP="002B5001">
            <w:pPr>
              <w:spacing w:after="40"/>
              <w:rPr>
                <w:rFonts w:cstheme="minorHAnsi"/>
                <w:sz w:val="20"/>
                <w:szCs w:val="20"/>
                <w:highlight w:val="yellow"/>
              </w:rPr>
            </w:pPr>
            <w:r w:rsidRPr="00DA0FFF">
              <w:rPr>
                <w:rFonts w:cstheme="minorHAnsi"/>
                <w:sz w:val="20"/>
                <w:szCs w:val="20"/>
              </w:rPr>
              <w:t>International Conference on Education in Philadelphia</w:t>
            </w:r>
          </w:p>
        </w:tc>
        <w:tc>
          <w:tcPr>
            <w:tcW w:w="1488" w:type="pct"/>
            <w:vAlign w:val="center"/>
          </w:tcPr>
          <w:p w14:paraId="237A7BBC" w14:textId="77777777" w:rsidR="00A129E3" w:rsidRPr="00DA0FFF" w:rsidRDefault="00A129E3" w:rsidP="002B5001">
            <w:pPr>
              <w:spacing w:after="40"/>
              <w:rPr>
                <w:rFonts w:cstheme="minorHAnsi"/>
                <w:b/>
                <w:sz w:val="20"/>
                <w:szCs w:val="20"/>
              </w:rPr>
            </w:pPr>
          </w:p>
        </w:tc>
        <w:tc>
          <w:tcPr>
            <w:tcW w:w="1829" w:type="pct"/>
            <w:vAlign w:val="center"/>
          </w:tcPr>
          <w:p w14:paraId="2CE99AB0" w14:textId="77777777" w:rsidR="00A129E3" w:rsidRPr="00DA0FFF" w:rsidRDefault="00A129E3" w:rsidP="002B5001">
            <w:pPr>
              <w:spacing w:after="40"/>
              <w:rPr>
                <w:rFonts w:cstheme="minorHAnsi"/>
                <w:sz w:val="20"/>
                <w:szCs w:val="20"/>
                <w:highlight w:val="yellow"/>
              </w:rPr>
            </w:pPr>
          </w:p>
        </w:tc>
      </w:tr>
      <w:tr w:rsidR="00A129E3" w:rsidRPr="00420640" w14:paraId="39643224" w14:textId="77777777" w:rsidTr="002B5001">
        <w:trPr>
          <w:trHeight w:val="313"/>
        </w:trPr>
        <w:tc>
          <w:tcPr>
            <w:tcW w:w="486" w:type="pct"/>
            <w:vAlign w:val="center"/>
          </w:tcPr>
          <w:p w14:paraId="691398F3"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1885</w:t>
            </w:r>
          </w:p>
        </w:tc>
        <w:tc>
          <w:tcPr>
            <w:tcW w:w="1197" w:type="pct"/>
            <w:vAlign w:val="center"/>
          </w:tcPr>
          <w:p w14:paraId="2FDF85B5" w14:textId="77777777" w:rsidR="00A129E3" w:rsidRPr="00DA0FFF" w:rsidRDefault="00A129E3" w:rsidP="002B5001">
            <w:pPr>
              <w:spacing w:after="40"/>
              <w:rPr>
                <w:rFonts w:cstheme="minorHAnsi"/>
                <w:sz w:val="20"/>
                <w:szCs w:val="20"/>
              </w:rPr>
            </w:pPr>
          </w:p>
        </w:tc>
        <w:tc>
          <w:tcPr>
            <w:tcW w:w="1488" w:type="pct"/>
            <w:vAlign w:val="center"/>
          </w:tcPr>
          <w:p w14:paraId="2D194C05" w14:textId="77777777" w:rsidR="00A129E3" w:rsidRPr="00DA0FFF" w:rsidRDefault="00A129E3" w:rsidP="002B5001">
            <w:pPr>
              <w:spacing w:after="40"/>
              <w:rPr>
                <w:rFonts w:cstheme="minorHAnsi"/>
                <w:b/>
                <w:sz w:val="20"/>
                <w:szCs w:val="20"/>
              </w:rPr>
            </w:pPr>
          </w:p>
        </w:tc>
        <w:tc>
          <w:tcPr>
            <w:tcW w:w="1829" w:type="pct"/>
            <w:vAlign w:val="center"/>
          </w:tcPr>
          <w:p w14:paraId="3E86186F" w14:textId="77777777" w:rsidR="00A129E3" w:rsidRPr="00DA0FFF" w:rsidRDefault="00A129E3" w:rsidP="002B5001">
            <w:pPr>
              <w:spacing w:after="40"/>
              <w:rPr>
                <w:rFonts w:cstheme="minorHAnsi"/>
                <w:sz w:val="20"/>
                <w:szCs w:val="20"/>
                <w:highlight w:val="yellow"/>
              </w:rPr>
            </w:pPr>
            <w:r w:rsidRPr="00DA0FFF">
              <w:rPr>
                <w:rFonts w:cstheme="minorHAnsi"/>
                <w:sz w:val="20"/>
                <w:szCs w:val="20"/>
              </w:rPr>
              <w:t>The Coimbra Group (CG)</w:t>
            </w:r>
          </w:p>
        </w:tc>
      </w:tr>
      <w:tr w:rsidR="00B4598B" w:rsidRPr="00420640" w14:paraId="1134E94A" w14:textId="77777777" w:rsidTr="002B5001">
        <w:trPr>
          <w:trHeight w:val="313"/>
        </w:trPr>
        <w:tc>
          <w:tcPr>
            <w:tcW w:w="486" w:type="pct"/>
            <w:vAlign w:val="center"/>
          </w:tcPr>
          <w:p w14:paraId="53E4646C"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1900</w:t>
            </w:r>
          </w:p>
        </w:tc>
        <w:tc>
          <w:tcPr>
            <w:tcW w:w="1197" w:type="pct"/>
            <w:vAlign w:val="center"/>
          </w:tcPr>
          <w:p w14:paraId="7BED58CD" w14:textId="77777777" w:rsidR="00A129E3" w:rsidRPr="00DA0FFF" w:rsidRDefault="00A129E3" w:rsidP="002B5001">
            <w:pPr>
              <w:spacing w:after="40"/>
              <w:rPr>
                <w:rFonts w:cstheme="minorHAnsi"/>
                <w:sz w:val="20"/>
                <w:szCs w:val="20"/>
              </w:rPr>
            </w:pPr>
          </w:p>
        </w:tc>
        <w:tc>
          <w:tcPr>
            <w:tcW w:w="1488" w:type="pct"/>
            <w:vAlign w:val="center"/>
          </w:tcPr>
          <w:p w14:paraId="5B749AF2" w14:textId="77777777" w:rsidR="00A129E3" w:rsidRPr="00DA0FFF" w:rsidRDefault="00A129E3" w:rsidP="002B5001">
            <w:pPr>
              <w:spacing w:after="40"/>
              <w:rPr>
                <w:rFonts w:cstheme="minorHAnsi"/>
                <w:sz w:val="20"/>
                <w:szCs w:val="20"/>
              </w:rPr>
            </w:pPr>
          </w:p>
        </w:tc>
        <w:tc>
          <w:tcPr>
            <w:tcW w:w="1829" w:type="pct"/>
            <w:vAlign w:val="center"/>
          </w:tcPr>
          <w:p w14:paraId="2369141A" w14:textId="77777777" w:rsidR="00A129E3" w:rsidRPr="00DA0FFF" w:rsidRDefault="00A129E3" w:rsidP="002B5001">
            <w:pPr>
              <w:spacing w:after="40"/>
              <w:rPr>
                <w:rFonts w:cstheme="minorHAnsi"/>
                <w:sz w:val="20"/>
                <w:szCs w:val="20"/>
              </w:rPr>
            </w:pPr>
            <w:r w:rsidRPr="00DA0FFF">
              <w:rPr>
                <w:rFonts w:cstheme="minorHAnsi"/>
                <w:sz w:val="20"/>
                <w:szCs w:val="20"/>
              </w:rPr>
              <w:t>American Association of Universities (AAU)</w:t>
            </w:r>
          </w:p>
        </w:tc>
      </w:tr>
      <w:tr w:rsidR="00A129E3" w:rsidRPr="00420640" w14:paraId="5BDAEB0D" w14:textId="77777777" w:rsidTr="002B5001">
        <w:trPr>
          <w:trHeight w:val="313"/>
        </w:trPr>
        <w:tc>
          <w:tcPr>
            <w:tcW w:w="486" w:type="pct"/>
            <w:vAlign w:val="center"/>
          </w:tcPr>
          <w:p w14:paraId="35E66612"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2011</w:t>
            </w:r>
          </w:p>
        </w:tc>
        <w:tc>
          <w:tcPr>
            <w:tcW w:w="1197" w:type="pct"/>
            <w:vAlign w:val="center"/>
          </w:tcPr>
          <w:p w14:paraId="62E67E21" w14:textId="77777777" w:rsidR="00A129E3" w:rsidRPr="00DA0FFF" w:rsidRDefault="00A129E3" w:rsidP="002B5001">
            <w:pPr>
              <w:spacing w:after="40"/>
              <w:rPr>
                <w:rFonts w:cstheme="minorHAnsi"/>
                <w:sz w:val="20"/>
                <w:szCs w:val="20"/>
              </w:rPr>
            </w:pPr>
          </w:p>
        </w:tc>
        <w:tc>
          <w:tcPr>
            <w:tcW w:w="1488" w:type="pct"/>
            <w:vAlign w:val="center"/>
          </w:tcPr>
          <w:p w14:paraId="3F819DAB" w14:textId="77777777" w:rsidR="00A129E3" w:rsidRPr="00DA0FFF" w:rsidRDefault="00A129E3" w:rsidP="002B5001">
            <w:pPr>
              <w:spacing w:after="40"/>
              <w:rPr>
                <w:rFonts w:cstheme="minorHAnsi"/>
                <w:sz w:val="20"/>
                <w:szCs w:val="20"/>
              </w:rPr>
            </w:pPr>
          </w:p>
        </w:tc>
        <w:tc>
          <w:tcPr>
            <w:tcW w:w="1829" w:type="pct"/>
            <w:vAlign w:val="center"/>
          </w:tcPr>
          <w:p w14:paraId="6A8A6F40" w14:textId="77777777" w:rsidR="00A129E3" w:rsidRPr="00DA0FFF" w:rsidRDefault="00A129E3" w:rsidP="002B5001">
            <w:pPr>
              <w:spacing w:after="40"/>
              <w:rPr>
                <w:rFonts w:cstheme="minorHAnsi"/>
                <w:sz w:val="20"/>
                <w:szCs w:val="20"/>
              </w:rPr>
            </w:pPr>
            <w:r w:rsidRPr="00DA0FFF">
              <w:rPr>
                <w:rFonts w:cstheme="minorHAnsi"/>
                <w:sz w:val="20"/>
                <w:szCs w:val="20"/>
              </w:rPr>
              <w:t>Association of Universities and Colleges of Canada (AUCC)</w:t>
            </w:r>
          </w:p>
        </w:tc>
      </w:tr>
      <w:tr w:rsidR="00B4598B" w:rsidRPr="00420640" w14:paraId="2B84B38A" w14:textId="77777777" w:rsidTr="002B5001">
        <w:trPr>
          <w:trHeight w:val="313"/>
        </w:trPr>
        <w:tc>
          <w:tcPr>
            <w:tcW w:w="486" w:type="pct"/>
            <w:vAlign w:val="center"/>
          </w:tcPr>
          <w:p w14:paraId="787834C6"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1913</w:t>
            </w:r>
          </w:p>
        </w:tc>
        <w:tc>
          <w:tcPr>
            <w:tcW w:w="1197" w:type="pct"/>
            <w:vAlign w:val="center"/>
          </w:tcPr>
          <w:p w14:paraId="368D9514" w14:textId="77777777" w:rsidR="00A129E3" w:rsidRPr="00DA0FFF" w:rsidRDefault="00A129E3" w:rsidP="002B5001">
            <w:pPr>
              <w:spacing w:after="40"/>
              <w:rPr>
                <w:rFonts w:cstheme="minorHAnsi"/>
                <w:sz w:val="20"/>
                <w:szCs w:val="20"/>
              </w:rPr>
            </w:pPr>
          </w:p>
        </w:tc>
        <w:tc>
          <w:tcPr>
            <w:tcW w:w="1488" w:type="pct"/>
            <w:vAlign w:val="center"/>
          </w:tcPr>
          <w:p w14:paraId="709CF18F" w14:textId="77777777" w:rsidR="00A129E3" w:rsidRPr="00DA0FFF" w:rsidRDefault="00A129E3" w:rsidP="002B5001">
            <w:pPr>
              <w:spacing w:after="40"/>
              <w:rPr>
                <w:rFonts w:cstheme="minorHAnsi"/>
                <w:sz w:val="20"/>
                <w:szCs w:val="20"/>
              </w:rPr>
            </w:pPr>
          </w:p>
        </w:tc>
        <w:tc>
          <w:tcPr>
            <w:tcW w:w="1829" w:type="pct"/>
            <w:vAlign w:val="center"/>
          </w:tcPr>
          <w:p w14:paraId="4FEBFE39" w14:textId="77777777" w:rsidR="00A129E3" w:rsidRPr="00DA0FFF" w:rsidRDefault="00A129E3" w:rsidP="002B5001">
            <w:pPr>
              <w:spacing w:after="40"/>
              <w:rPr>
                <w:rFonts w:cstheme="minorHAnsi"/>
                <w:sz w:val="20"/>
                <w:szCs w:val="20"/>
              </w:rPr>
            </w:pPr>
            <w:r w:rsidRPr="00DA0FFF">
              <w:rPr>
                <w:rFonts w:cstheme="minorHAnsi"/>
                <w:sz w:val="20"/>
                <w:szCs w:val="20"/>
              </w:rPr>
              <w:t>Association of Commonwealth Universities (ACU)</w:t>
            </w:r>
          </w:p>
        </w:tc>
      </w:tr>
      <w:tr w:rsidR="00B4598B" w:rsidRPr="00420640" w14:paraId="7B840563" w14:textId="77777777" w:rsidTr="002B5001">
        <w:trPr>
          <w:trHeight w:val="313"/>
        </w:trPr>
        <w:tc>
          <w:tcPr>
            <w:tcW w:w="486" w:type="pct"/>
            <w:vAlign w:val="center"/>
          </w:tcPr>
          <w:p w14:paraId="1CE87F04"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1918</w:t>
            </w:r>
          </w:p>
        </w:tc>
        <w:tc>
          <w:tcPr>
            <w:tcW w:w="1197" w:type="pct"/>
            <w:vAlign w:val="center"/>
          </w:tcPr>
          <w:p w14:paraId="1E5D73AD" w14:textId="77777777" w:rsidR="00A129E3" w:rsidRPr="00DA0FFF" w:rsidRDefault="00A129E3" w:rsidP="002B5001">
            <w:pPr>
              <w:spacing w:after="40"/>
              <w:rPr>
                <w:rFonts w:cstheme="minorHAnsi"/>
                <w:sz w:val="20"/>
                <w:szCs w:val="20"/>
              </w:rPr>
            </w:pPr>
          </w:p>
        </w:tc>
        <w:tc>
          <w:tcPr>
            <w:tcW w:w="1488" w:type="pct"/>
            <w:vAlign w:val="center"/>
          </w:tcPr>
          <w:p w14:paraId="022B88AC" w14:textId="77777777" w:rsidR="00A129E3" w:rsidRPr="00DA0FFF" w:rsidRDefault="00A129E3" w:rsidP="002B5001">
            <w:pPr>
              <w:spacing w:after="40"/>
              <w:rPr>
                <w:rFonts w:cstheme="minorHAnsi"/>
                <w:sz w:val="20"/>
                <w:szCs w:val="20"/>
              </w:rPr>
            </w:pPr>
          </w:p>
        </w:tc>
        <w:tc>
          <w:tcPr>
            <w:tcW w:w="1829" w:type="pct"/>
            <w:vAlign w:val="center"/>
          </w:tcPr>
          <w:p w14:paraId="5B26D346" w14:textId="77777777" w:rsidR="00A129E3" w:rsidRPr="00DA0FFF" w:rsidRDefault="00A129E3" w:rsidP="002B5001">
            <w:pPr>
              <w:spacing w:after="40"/>
              <w:rPr>
                <w:rFonts w:cstheme="minorHAnsi"/>
                <w:sz w:val="20"/>
                <w:szCs w:val="20"/>
              </w:rPr>
            </w:pPr>
            <w:r w:rsidRPr="00DA0FFF">
              <w:rPr>
                <w:rFonts w:cstheme="minorHAnsi"/>
                <w:sz w:val="20"/>
                <w:szCs w:val="20"/>
              </w:rPr>
              <w:t>American Council on Education (ACE)</w:t>
            </w:r>
          </w:p>
        </w:tc>
      </w:tr>
      <w:tr w:rsidR="00B4598B" w:rsidRPr="00420640" w14:paraId="4E042147" w14:textId="77777777" w:rsidTr="002B5001">
        <w:trPr>
          <w:trHeight w:val="313"/>
        </w:trPr>
        <w:tc>
          <w:tcPr>
            <w:tcW w:w="486" w:type="pct"/>
            <w:vAlign w:val="center"/>
          </w:tcPr>
          <w:p w14:paraId="12CF9975"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1919</w:t>
            </w:r>
          </w:p>
        </w:tc>
        <w:tc>
          <w:tcPr>
            <w:tcW w:w="1197" w:type="pct"/>
            <w:vAlign w:val="center"/>
          </w:tcPr>
          <w:p w14:paraId="413EE5F6" w14:textId="77777777" w:rsidR="00A129E3" w:rsidRPr="00DA0FFF" w:rsidRDefault="00A129E3" w:rsidP="002B5001">
            <w:pPr>
              <w:spacing w:after="40"/>
              <w:rPr>
                <w:rFonts w:cstheme="minorHAnsi"/>
                <w:sz w:val="20"/>
                <w:szCs w:val="20"/>
              </w:rPr>
            </w:pPr>
          </w:p>
        </w:tc>
        <w:tc>
          <w:tcPr>
            <w:tcW w:w="1488" w:type="pct"/>
            <w:vAlign w:val="center"/>
          </w:tcPr>
          <w:p w14:paraId="2508DAA5" w14:textId="77777777" w:rsidR="00A129E3" w:rsidRPr="00DA0FFF" w:rsidRDefault="00A129E3" w:rsidP="002B5001">
            <w:pPr>
              <w:spacing w:after="40"/>
              <w:rPr>
                <w:rFonts w:cstheme="minorHAnsi"/>
                <w:sz w:val="20"/>
                <w:szCs w:val="20"/>
              </w:rPr>
            </w:pPr>
          </w:p>
        </w:tc>
        <w:tc>
          <w:tcPr>
            <w:tcW w:w="1829" w:type="pct"/>
            <w:vAlign w:val="center"/>
          </w:tcPr>
          <w:p w14:paraId="5FB8C255" w14:textId="77777777" w:rsidR="00A129E3" w:rsidRPr="00DA0FFF" w:rsidRDefault="00A129E3" w:rsidP="002B5001">
            <w:pPr>
              <w:spacing w:after="40"/>
              <w:rPr>
                <w:rFonts w:cstheme="minorHAnsi"/>
                <w:sz w:val="20"/>
                <w:szCs w:val="20"/>
              </w:rPr>
            </w:pPr>
            <w:r w:rsidRPr="00DA0FFF">
              <w:rPr>
                <w:rFonts w:cstheme="minorHAnsi"/>
                <w:sz w:val="20"/>
                <w:szCs w:val="20"/>
              </w:rPr>
              <w:t>Institute of International Education (IIE)</w:t>
            </w:r>
          </w:p>
        </w:tc>
      </w:tr>
      <w:tr w:rsidR="00B4598B" w:rsidRPr="00420640" w14:paraId="28BE51AC" w14:textId="77777777" w:rsidTr="002B5001">
        <w:tc>
          <w:tcPr>
            <w:tcW w:w="486" w:type="pct"/>
            <w:vAlign w:val="center"/>
          </w:tcPr>
          <w:p w14:paraId="0F7D77F0"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1920</w:t>
            </w:r>
          </w:p>
        </w:tc>
        <w:tc>
          <w:tcPr>
            <w:tcW w:w="1197" w:type="pct"/>
            <w:vAlign w:val="center"/>
          </w:tcPr>
          <w:p w14:paraId="5B6EEF2E" w14:textId="77777777" w:rsidR="00A129E3" w:rsidRPr="00DA0FFF" w:rsidRDefault="00A129E3" w:rsidP="002B5001">
            <w:pPr>
              <w:spacing w:after="40"/>
              <w:rPr>
                <w:rFonts w:cstheme="minorHAnsi"/>
                <w:sz w:val="20"/>
                <w:szCs w:val="20"/>
              </w:rPr>
            </w:pPr>
            <w:r w:rsidRPr="00DA0FFF">
              <w:rPr>
                <w:rFonts w:cstheme="minorHAnsi"/>
                <w:sz w:val="20"/>
                <w:szCs w:val="20"/>
              </w:rPr>
              <w:t>League of Nations</w:t>
            </w:r>
          </w:p>
        </w:tc>
        <w:tc>
          <w:tcPr>
            <w:tcW w:w="1488" w:type="pct"/>
            <w:vAlign w:val="center"/>
          </w:tcPr>
          <w:p w14:paraId="49DA8C01" w14:textId="77777777" w:rsidR="00A129E3" w:rsidRPr="00DA0FFF" w:rsidRDefault="00A129E3" w:rsidP="002B5001">
            <w:pPr>
              <w:spacing w:after="40"/>
              <w:rPr>
                <w:rFonts w:cstheme="minorHAnsi"/>
                <w:b/>
                <w:sz w:val="20"/>
                <w:szCs w:val="20"/>
              </w:rPr>
            </w:pPr>
          </w:p>
        </w:tc>
        <w:tc>
          <w:tcPr>
            <w:tcW w:w="1829" w:type="pct"/>
            <w:vAlign w:val="center"/>
          </w:tcPr>
          <w:p w14:paraId="6039E977" w14:textId="77777777" w:rsidR="00A129E3" w:rsidRPr="00DA0FFF" w:rsidRDefault="00A129E3" w:rsidP="002B5001">
            <w:pPr>
              <w:spacing w:after="40"/>
              <w:rPr>
                <w:rFonts w:cstheme="minorHAnsi"/>
                <w:sz w:val="20"/>
                <w:szCs w:val="20"/>
              </w:rPr>
            </w:pPr>
          </w:p>
        </w:tc>
      </w:tr>
      <w:tr w:rsidR="00B4598B" w:rsidRPr="00420640" w14:paraId="04C0A4AB" w14:textId="77777777" w:rsidTr="002B5001">
        <w:tc>
          <w:tcPr>
            <w:tcW w:w="486" w:type="pct"/>
            <w:vAlign w:val="center"/>
          </w:tcPr>
          <w:p w14:paraId="28500C5A"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1930</w:t>
            </w:r>
          </w:p>
        </w:tc>
        <w:tc>
          <w:tcPr>
            <w:tcW w:w="1197" w:type="pct"/>
            <w:vAlign w:val="center"/>
          </w:tcPr>
          <w:p w14:paraId="21F69C82"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0CDEE977" w14:textId="77777777" w:rsidR="00A129E3" w:rsidRPr="00DA0FFF" w:rsidRDefault="00A129E3" w:rsidP="002B5001">
            <w:pPr>
              <w:spacing w:after="40"/>
              <w:rPr>
                <w:rFonts w:cstheme="minorHAnsi"/>
                <w:sz w:val="20"/>
                <w:szCs w:val="20"/>
              </w:rPr>
            </w:pPr>
          </w:p>
        </w:tc>
        <w:tc>
          <w:tcPr>
            <w:tcW w:w="1829" w:type="pct"/>
            <w:vAlign w:val="center"/>
          </w:tcPr>
          <w:p w14:paraId="5EAF4395" w14:textId="77777777"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Committee of Vice-Chancellors and Principals (CVCP), UK</w:t>
            </w:r>
          </w:p>
        </w:tc>
      </w:tr>
      <w:tr w:rsidR="00B4598B" w:rsidRPr="00420640" w14:paraId="66AE74A3" w14:textId="77777777" w:rsidTr="002B5001">
        <w:tc>
          <w:tcPr>
            <w:tcW w:w="486" w:type="pct"/>
            <w:vAlign w:val="center"/>
          </w:tcPr>
          <w:p w14:paraId="6D79D90F" w14:textId="77777777" w:rsidR="00A129E3" w:rsidRPr="00DA0FFF" w:rsidRDefault="00A129E3" w:rsidP="00CE4313">
            <w:pPr>
              <w:spacing w:after="40"/>
              <w:jc w:val="center"/>
              <w:rPr>
                <w:rFonts w:cstheme="minorHAnsi"/>
                <w:sz w:val="20"/>
                <w:szCs w:val="20"/>
              </w:rPr>
            </w:pPr>
            <w:r w:rsidRPr="00DA0FFF">
              <w:rPr>
                <w:rFonts w:cstheme="minorHAnsi"/>
                <w:b/>
                <w:sz w:val="20"/>
                <w:szCs w:val="20"/>
              </w:rPr>
              <w:t>1945</w:t>
            </w:r>
          </w:p>
        </w:tc>
        <w:tc>
          <w:tcPr>
            <w:tcW w:w="1197" w:type="pct"/>
            <w:vAlign w:val="center"/>
          </w:tcPr>
          <w:p w14:paraId="76890357"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01521A38" w14:textId="2E187316"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 xml:space="preserve">International Monetary </w:t>
            </w:r>
            <w:r w:rsidR="00D029F8" w:rsidRPr="00DA0FFF">
              <w:rPr>
                <w:rFonts w:cstheme="minorHAnsi"/>
                <w:color w:val="000000" w:themeColor="text1"/>
                <w:sz w:val="20"/>
                <w:szCs w:val="20"/>
              </w:rPr>
              <w:t>Fund (</w:t>
            </w:r>
            <w:r w:rsidRPr="00DA0FFF">
              <w:rPr>
                <w:rFonts w:cstheme="minorHAnsi"/>
                <w:color w:val="000000" w:themeColor="text1"/>
                <w:sz w:val="20"/>
                <w:szCs w:val="20"/>
              </w:rPr>
              <w:t>IMF)</w:t>
            </w:r>
          </w:p>
          <w:p w14:paraId="45C48254" w14:textId="77777777"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United Nations (UN)</w:t>
            </w:r>
          </w:p>
          <w:p w14:paraId="1EC89BE6" w14:textId="77777777"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World Bank (WB)</w:t>
            </w:r>
          </w:p>
        </w:tc>
        <w:tc>
          <w:tcPr>
            <w:tcW w:w="1829" w:type="pct"/>
            <w:vAlign w:val="center"/>
          </w:tcPr>
          <w:p w14:paraId="11117B28" w14:textId="77777777" w:rsidR="00A129E3" w:rsidRPr="00DA0FFF" w:rsidRDefault="00A129E3" w:rsidP="002B5001">
            <w:pPr>
              <w:spacing w:after="40"/>
              <w:rPr>
                <w:rFonts w:cstheme="minorHAnsi"/>
                <w:color w:val="000000" w:themeColor="text1"/>
                <w:sz w:val="20"/>
                <w:szCs w:val="20"/>
              </w:rPr>
            </w:pPr>
          </w:p>
        </w:tc>
      </w:tr>
      <w:tr w:rsidR="00B4598B" w:rsidRPr="00420640" w14:paraId="06137517" w14:textId="77777777" w:rsidTr="002B5001">
        <w:tc>
          <w:tcPr>
            <w:tcW w:w="486" w:type="pct"/>
            <w:vAlign w:val="center"/>
          </w:tcPr>
          <w:p w14:paraId="4DBD7984"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1946</w:t>
            </w:r>
          </w:p>
        </w:tc>
        <w:tc>
          <w:tcPr>
            <w:tcW w:w="1197" w:type="pct"/>
            <w:vAlign w:val="center"/>
          </w:tcPr>
          <w:p w14:paraId="78EB90CB" w14:textId="77777777" w:rsidR="00A129E3" w:rsidRPr="00DA0FFF" w:rsidRDefault="00A129E3" w:rsidP="002B5001">
            <w:pPr>
              <w:spacing w:after="40"/>
              <w:rPr>
                <w:rFonts w:cstheme="minorHAnsi"/>
                <w:color w:val="000000" w:themeColor="text1"/>
                <w:sz w:val="20"/>
                <w:szCs w:val="20"/>
                <w:shd w:val="clear" w:color="auto" w:fill="FFFFFF"/>
              </w:rPr>
            </w:pPr>
          </w:p>
        </w:tc>
        <w:tc>
          <w:tcPr>
            <w:tcW w:w="1488" w:type="pct"/>
            <w:vAlign w:val="center"/>
          </w:tcPr>
          <w:p w14:paraId="001EC5C5" w14:textId="77777777" w:rsidR="00A129E3" w:rsidRPr="00DA0FFF" w:rsidRDefault="00A129E3" w:rsidP="002B5001">
            <w:pPr>
              <w:spacing w:after="40"/>
              <w:rPr>
                <w:rFonts w:cstheme="minorHAnsi"/>
                <w:b/>
                <w:color w:val="000000" w:themeColor="text1"/>
                <w:sz w:val="20"/>
                <w:szCs w:val="20"/>
              </w:rPr>
            </w:pPr>
            <w:r w:rsidRPr="00DA0FFF">
              <w:rPr>
                <w:rFonts w:cstheme="minorHAnsi"/>
                <w:color w:val="000000" w:themeColor="text1"/>
                <w:sz w:val="20"/>
                <w:szCs w:val="20"/>
                <w:shd w:val="clear" w:color="auto" w:fill="FFFFFF"/>
              </w:rPr>
              <w:t>The United Nations Educational, Scientific and Cultural Organisation</w:t>
            </w:r>
            <w:r w:rsidRPr="00DA0FFF">
              <w:rPr>
                <w:rFonts w:cstheme="minorHAnsi"/>
                <w:color w:val="000000" w:themeColor="text1"/>
                <w:sz w:val="20"/>
                <w:szCs w:val="20"/>
              </w:rPr>
              <w:t xml:space="preserve"> (UNESCO)</w:t>
            </w:r>
          </w:p>
        </w:tc>
        <w:tc>
          <w:tcPr>
            <w:tcW w:w="1829" w:type="pct"/>
            <w:vAlign w:val="center"/>
          </w:tcPr>
          <w:p w14:paraId="3795BA28" w14:textId="77777777" w:rsidR="00A129E3" w:rsidRPr="00DA0FFF" w:rsidRDefault="00A129E3" w:rsidP="002B5001">
            <w:pPr>
              <w:spacing w:after="40"/>
              <w:rPr>
                <w:rFonts w:cstheme="minorHAnsi"/>
                <w:color w:val="000000" w:themeColor="text1"/>
                <w:sz w:val="20"/>
                <w:szCs w:val="20"/>
                <w:shd w:val="clear" w:color="auto" w:fill="FFFFFF"/>
              </w:rPr>
            </w:pPr>
          </w:p>
        </w:tc>
      </w:tr>
      <w:tr w:rsidR="00B4598B" w:rsidRPr="00420640" w14:paraId="1F3C8577" w14:textId="77777777" w:rsidTr="002B5001">
        <w:tc>
          <w:tcPr>
            <w:tcW w:w="486" w:type="pct"/>
            <w:vAlign w:val="center"/>
          </w:tcPr>
          <w:p w14:paraId="0ECA1FBA"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1948</w:t>
            </w:r>
          </w:p>
        </w:tc>
        <w:tc>
          <w:tcPr>
            <w:tcW w:w="1197" w:type="pct"/>
            <w:vAlign w:val="center"/>
          </w:tcPr>
          <w:p w14:paraId="7B2FCDBA" w14:textId="52081771" w:rsidR="00A129E3" w:rsidRPr="00DA0FFF" w:rsidRDefault="00A57AA8" w:rsidP="002B5001">
            <w:pPr>
              <w:spacing w:after="40"/>
              <w:rPr>
                <w:rFonts w:cstheme="minorHAnsi"/>
                <w:sz w:val="20"/>
                <w:szCs w:val="20"/>
              </w:rPr>
            </w:pPr>
            <w:r w:rsidRPr="00DA0FFF">
              <w:rPr>
                <w:rFonts w:cstheme="minorHAnsi"/>
                <w:sz w:val="20"/>
                <w:szCs w:val="20"/>
              </w:rPr>
              <w:t>General Agreement on Tariffs and Trade (GATT)</w:t>
            </w:r>
          </w:p>
        </w:tc>
        <w:tc>
          <w:tcPr>
            <w:tcW w:w="1488" w:type="pct"/>
            <w:vAlign w:val="center"/>
          </w:tcPr>
          <w:p w14:paraId="73F44A62" w14:textId="77777777" w:rsidR="00A129E3" w:rsidRPr="00DA0FFF" w:rsidRDefault="00A129E3" w:rsidP="002B5001">
            <w:pPr>
              <w:spacing w:after="40"/>
              <w:rPr>
                <w:rFonts w:cstheme="minorHAnsi"/>
                <w:b/>
                <w:sz w:val="20"/>
                <w:szCs w:val="20"/>
              </w:rPr>
            </w:pPr>
            <w:r w:rsidRPr="00DA0FFF">
              <w:rPr>
                <w:rFonts w:cstheme="minorHAnsi"/>
                <w:sz w:val="20"/>
                <w:szCs w:val="20"/>
              </w:rPr>
              <w:t>Organisation for European Economic Cooperation (OEEC)</w:t>
            </w:r>
          </w:p>
          <w:p w14:paraId="7DD68E81" w14:textId="77777777" w:rsidR="00A129E3" w:rsidRPr="00DA0FFF" w:rsidRDefault="00A129E3" w:rsidP="002B5001">
            <w:pPr>
              <w:spacing w:after="40"/>
              <w:rPr>
                <w:rFonts w:cstheme="minorHAnsi"/>
                <w:b/>
                <w:sz w:val="20"/>
                <w:szCs w:val="20"/>
              </w:rPr>
            </w:pPr>
            <w:r w:rsidRPr="00DA0FFF">
              <w:rPr>
                <w:rFonts w:cstheme="minorHAnsi"/>
                <w:sz w:val="20"/>
                <w:szCs w:val="20"/>
              </w:rPr>
              <w:t>International Congress of Representatives of Universities, in Utrecht (UNESCO)</w:t>
            </w:r>
          </w:p>
        </w:tc>
        <w:tc>
          <w:tcPr>
            <w:tcW w:w="1829" w:type="pct"/>
            <w:vAlign w:val="center"/>
          </w:tcPr>
          <w:p w14:paraId="2B25E346" w14:textId="77777777" w:rsidR="00A129E3" w:rsidRPr="00DA0FFF" w:rsidRDefault="00A129E3" w:rsidP="002B5001">
            <w:pPr>
              <w:spacing w:after="40"/>
              <w:rPr>
                <w:rFonts w:cstheme="minorHAnsi"/>
                <w:sz w:val="20"/>
                <w:szCs w:val="20"/>
              </w:rPr>
            </w:pPr>
            <w:r w:rsidRPr="00DA0FFF">
              <w:rPr>
                <w:rFonts w:cstheme="minorHAnsi"/>
                <w:sz w:val="20"/>
                <w:szCs w:val="20"/>
              </w:rPr>
              <w:t>Association of International Educators (NAFSA)</w:t>
            </w:r>
          </w:p>
          <w:p w14:paraId="678CCA5F" w14:textId="77777777" w:rsidR="00A129E3" w:rsidRPr="00DA0FFF" w:rsidRDefault="00A129E3" w:rsidP="002B5001">
            <w:pPr>
              <w:spacing w:after="40"/>
              <w:rPr>
                <w:rFonts w:cstheme="minorHAnsi"/>
                <w:sz w:val="20"/>
                <w:szCs w:val="20"/>
              </w:rPr>
            </w:pPr>
            <w:r w:rsidRPr="00DA0FFF">
              <w:rPr>
                <w:rFonts w:cstheme="minorHAnsi"/>
                <w:sz w:val="20"/>
                <w:szCs w:val="20"/>
              </w:rPr>
              <w:t>Global University Network for Innovation (CSUECA)</w:t>
            </w:r>
          </w:p>
        </w:tc>
      </w:tr>
      <w:tr w:rsidR="00B4598B" w:rsidRPr="00420640" w14:paraId="55D014D2" w14:textId="77777777" w:rsidTr="002B5001">
        <w:tc>
          <w:tcPr>
            <w:tcW w:w="486" w:type="pct"/>
            <w:vAlign w:val="center"/>
          </w:tcPr>
          <w:p w14:paraId="6FD8EFBC"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lastRenderedPageBreak/>
              <w:t>1949</w:t>
            </w:r>
          </w:p>
        </w:tc>
        <w:tc>
          <w:tcPr>
            <w:tcW w:w="1197" w:type="pct"/>
            <w:vAlign w:val="center"/>
          </w:tcPr>
          <w:p w14:paraId="7071E067" w14:textId="77777777" w:rsidR="00A129E3" w:rsidRPr="00DA0FFF" w:rsidRDefault="00A129E3" w:rsidP="002B5001">
            <w:pPr>
              <w:spacing w:after="40"/>
              <w:rPr>
                <w:rFonts w:cstheme="minorHAnsi"/>
                <w:sz w:val="20"/>
                <w:szCs w:val="20"/>
              </w:rPr>
            </w:pPr>
          </w:p>
        </w:tc>
        <w:tc>
          <w:tcPr>
            <w:tcW w:w="1488" w:type="pct"/>
            <w:vAlign w:val="center"/>
          </w:tcPr>
          <w:p w14:paraId="5BBAB8D7" w14:textId="77777777" w:rsidR="00A129E3" w:rsidRPr="00DA0FFF" w:rsidRDefault="00A129E3" w:rsidP="002B5001">
            <w:pPr>
              <w:spacing w:after="40"/>
              <w:rPr>
                <w:rFonts w:cstheme="minorHAnsi"/>
                <w:sz w:val="20"/>
                <w:szCs w:val="20"/>
              </w:rPr>
            </w:pPr>
            <w:r w:rsidRPr="00DA0FFF">
              <w:rPr>
                <w:rFonts w:cstheme="minorHAnsi"/>
                <w:sz w:val="20"/>
                <w:szCs w:val="20"/>
              </w:rPr>
              <w:t>Council of Europe</w:t>
            </w:r>
          </w:p>
        </w:tc>
        <w:tc>
          <w:tcPr>
            <w:tcW w:w="1829" w:type="pct"/>
            <w:vAlign w:val="center"/>
          </w:tcPr>
          <w:p w14:paraId="2551FFD3" w14:textId="77777777" w:rsidR="00A129E3" w:rsidRPr="00DA0FFF" w:rsidRDefault="00A129E3" w:rsidP="002B5001">
            <w:pPr>
              <w:spacing w:after="40"/>
              <w:rPr>
                <w:rFonts w:cstheme="minorHAnsi"/>
                <w:sz w:val="20"/>
                <w:szCs w:val="20"/>
              </w:rPr>
            </w:pPr>
            <w:r w:rsidRPr="00DA0FFF">
              <w:rPr>
                <w:rFonts w:cstheme="minorHAnsi"/>
                <w:sz w:val="20"/>
                <w:szCs w:val="20"/>
              </w:rPr>
              <w:t>Unión de Universidades de América Latina y el Caribe (UDUAL)</w:t>
            </w:r>
          </w:p>
        </w:tc>
      </w:tr>
      <w:tr w:rsidR="00B4598B" w:rsidRPr="00420640" w14:paraId="254F8DDA" w14:textId="77777777" w:rsidTr="002B5001">
        <w:tc>
          <w:tcPr>
            <w:tcW w:w="486" w:type="pct"/>
            <w:vAlign w:val="center"/>
          </w:tcPr>
          <w:p w14:paraId="2ABBADF5"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1950</w:t>
            </w:r>
          </w:p>
        </w:tc>
        <w:tc>
          <w:tcPr>
            <w:tcW w:w="1197" w:type="pct"/>
            <w:vAlign w:val="center"/>
          </w:tcPr>
          <w:p w14:paraId="7D0D5888" w14:textId="77777777" w:rsidR="00A129E3" w:rsidRPr="00DA0FFF" w:rsidRDefault="00A129E3" w:rsidP="002B5001">
            <w:pPr>
              <w:spacing w:after="40"/>
              <w:rPr>
                <w:rFonts w:cstheme="minorHAnsi"/>
                <w:sz w:val="20"/>
                <w:szCs w:val="20"/>
              </w:rPr>
            </w:pPr>
          </w:p>
        </w:tc>
        <w:tc>
          <w:tcPr>
            <w:tcW w:w="1488" w:type="pct"/>
            <w:vAlign w:val="center"/>
          </w:tcPr>
          <w:p w14:paraId="040A5305" w14:textId="77777777" w:rsidR="00A129E3" w:rsidRPr="00DA0FFF" w:rsidRDefault="00A129E3" w:rsidP="002B5001">
            <w:pPr>
              <w:spacing w:after="40"/>
              <w:rPr>
                <w:rFonts w:cstheme="minorHAnsi"/>
                <w:b/>
                <w:sz w:val="20"/>
                <w:szCs w:val="20"/>
              </w:rPr>
            </w:pPr>
          </w:p>
        </w:tc>
        <w:tc>
          <w:tcPr>
            <w:tcW w:w="1829" w:type="pct"/>
            <w:vAlign w:val="center"/>
          </w:tcPr>
          <w:p w14:paraId="1B1F92CD" w14:textId="77777777" w:rsidR="00A129E3" w:rsidRPr="00DA0FFF" w:rsidRDefault="00A129E3" w:rsidP="002B5001">
            <w:pPr>
              <w:spacing w:after="40"/>
              <w:rPr>
                <w:rFonts w:cstheme="minorHAnsi"/>
                <w:sz w:val="20"/>
                <w:szCs w:val="20"/>
              </w:rPr>
            </w:pPr>
            <w:r w:rsidRPr="00DA0FFF">
              <w:rPr>
                <w:rFonts w:cstheme="minorHAnsi"/>
                <w:sz w:val="20"/>
                <w:szCs w:val="20"/>
              </w:rPr>
              <w:t>International Association of Universities (IAU)</w:t>
            </w:r>
          </w:p>
        </w:tc>
      </w:tr>
      <w:tr w:rsidR="00B4598B" w:rsidRPr="00420640" w14:paraId="5824D9FE" w14:textId="77777777" w:rsidTr="002B5001">
        <w:tc>
          <w:tcPr>
            <w:tcW w:w="486" w:type="pct"/>
            <w:vAlign w:val="center"/>
          </w:tcPr>
          <w:p w14:paraId="7801B3B1"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1951</w:t>
            </w:r>
          </w:p>
        </w:tc>
        <w:tc>
          <w:tcPr>
            <w:tcW w:w="1197" w:type="pct"/>
            <w:vAlign w:val="center"/>
          </w:tcPr>
          <w:p w14:paraId="745782C9" w14:textId="77777777" w:rsidR="00A129E3" w:rsidRPr="00DA0FFF" w:rsidRDefault="00A129E3" w:rsidP="002B5001">
            <w:pPr>
              <w:spacing w:after="40"/>
              <w:rPr>
                <w:rFonts w:cstheme="minorHAnsi"/>
                <w:sz w:val="20"/>
                <w:szCs w:val="20"/>
              </w:rPr>
            </w:pPr>
          </w:p>
        </w:tc>
        <w:tc>
          <w:tcPr>
            <w:tcW w:w="1488" w:type="pct"/>
            <w:vAlign w:val="center"/>
          </w:tcPr>
          <w:p w14:paraId="5C415207" w14:textId="77777777" w:rsidR="00A129E3" w:rsidRPr="00DA0FFF" w:rsidRDefault="00A129E3" w:rsidP="002B5001">
            <w:pPr>
              <w:spacing w:after="40"/>
              <w:rPr>
                <w:rFonts w:cstheme="minorHAnsi"/>
                <w:b/>
                <w:sz w:val="20"/>
                <w:szCs w:val="20"/>
              </w:rPr>
            </w:pPr>
            <w:r w:rsidRPr="00DA0FFF">
              <w:rPr>
                <w:rFonts w:cstheme="minorHAnsi"/>
                <w:sz w:val="20"/>
                <w:szCs w:val="20"/>
              </w:rPr>
              <w:t>European Coal and Steel Community &amp; Treaty of Paris (origin of European Union)</w:t>
            </w:r>
          </w:p>
        </w:tc>
        <w:tc>
          <w:tcPr>
            <w:tcW w:w="1829" w:type="pct"/>
            <w:vAlign w:val="center"/>
          </w:tcPr>
          <w:p w14:paraId="50F4BDDE" w14:textId="77777777" w:rsidR="00A129E3" w:rsidRPr="00DA0FFF" w:rsidRDefault="00A129E3" w:rsidP="002B5001">
            <w:pPr>
              <w:spacing w:after="40"/>
              <w:rPr>
                <w:rFonts w:cstheme="minorHAnsi"/>
                <w:sz w:val="20"/>
                <w:szCs w:val="20"/>
              </w:rPr>
            </w:pPr>
          </w:p>
        </w:tc>
      </w:tr>
      <w:tr w:rsidR="00A129E3" w:rsidRPr="00420640" w14:paraId="2888FD9F" w14:textId="77777777" w:rsidTr="002B5001">
        <w:tc>
          <w:tcPr>
            <w:tcW w:w="486" w:type="pct"/>
            <w:vAlign w:val="center"/>
          </w:tcPr>
          <w:p w14:paraId="18CBD824"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1956</w:t>
            </w:r>
          </w:p>
        </w:tc>
        <w:tc>
          <w:tcPr>
            <w:tcW w:w="1197" w:type="pct"/>
            <w:vAlign w:val="center"/>
          </w:tcPr>
          <w:p w14:paraId="5F2FA203" w14:textId="77777777" w:rsidR="00A129E3" w:rsidRPr="00DA0FFF" w:rsidRDefault="00A129E3" w:rsidP="002B5001">
            <w:pPr>
              <w:spacing w:after="40"/>
              <w:rPr>
                <w:rFonts w:cstheme="minorHAnsi"/>
                <w:sz w:val="20"/>
                <w:szCs w:val="20"/>
              </w:rPr>
            </w:pPr>
          </w:p>
        </w:tc>
        <w:tc>
          <w:tcPr>
            <w:tcW w:w="1488" w:type="pct"/>
            <w:vAlign w:val="center"/>
          </w:tcPr>
          <w:p w14:paraId="41672B20" w14:textId="77777777" w:rsidR="00A129E3" w:rsidRPr="00DA0FFF" w:rsidRDefault="00A129E3" w:rsidP="002B5001">
            <w:pPr>
              <w:spacing w:after="40"/>
              <w:rPr>
                <w:rFonts w:cstheme="minorHAnsi"/>
                <w:b/>
                <w:sz w:val="20"/>
                <w:szCs w:val="20"/>
              </w:rPr>
            </w:pPr>
          </w:p>
        </w:tc>
        <w:tc>
          <w:tcPr>
            <w:tcW w:w="1829" w:type="pct"/>
            <w:vAlign w:val="center"/>
          </w:tcPr>
          <w:p w14:paraId="2DEE42E4" w14:textId="77777777" w:rsidR="00A129E3" w:rsidRPr="00DA0FFF" w:rsidRDefault="00A129E3" w:rsidP="002B5001">
            <w:pPr>
              <w:spacing w:after="40"/>
              <w:rPr>
                <w:rFonts w:cstheme="minorHAnsi"/>
                <w:sz w:val="20"/>
                <w:szCs w:val="20"/>
              </w:rPr>
            </w:pPr>
            <w:r w:rsidRPr="00DA0FFF">
              <w:rPr>
                <w:rFonts w:cstheme="minorHAnsi"/>
                <w:sz w:val="20"/>
                <w:szCs w:val="20"/>
              </w:rPr>
              <w:t>Association of South East Asian Institutions of Higher Leaning (ASAIHL)</w:t>
            </w:r>
          </w:p>
        </w:tc>
      </w:tr>
      <w:tr w:rsidR="00B4598B" w:rsidRPr="00420640" w14:paraId="0CD7A4A0" w14:textId="77777777" w:rsidTr="002B5001">
        <w:tc>
          <w:tcPr>
            <w:tcW w:w="486" w:type="pct"/>
            <w:vAlign w:val="center"/>
          </w:tcPr>
          <w:p w14:paraId="2A76799B"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1959</w:t>
            </w:r>
          </w:p>
        </w:tc>
        <w:tc>
          <w:tcPr>
            <w:tcW w:w="1197" w:type="pct"/>
            <w:vAlign w:val="center"/>
          </w:tcPr>
          <w:p w14:paraId="1E23F5AB"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64946A19"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2CB73E24" w14:textId="10C229DC"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 xml:space="preserve">Conférence des </w:t>
            </w:r>
            <w:r w:rsidR="00D029F8" w:rsidRPr="00DA0FFF">
              <w:rPr>
                <w:rFonts w:cstheme="minorHAnsi"/>
                <w:color w:val="000000" w:themeColor="text1"/>
                <w:sz w:val="20"/>
                <w:szCs w:val="20"/>
              </w:rPr>
              <w:t xml:space="preserve">Recteurs Européens </w:t>
            </w:r>
            <w:r w:rsidRPr="00DA0FFF">
              <w:rPr>
                <w:rFonts w:cstheme="minorHAnsi"/>
                <w:color w:val="000000" w:themeColor="text1"/>
                <w:sz w:val="20"/>
                <w:szCs w:val="20"/>
              </w:rPr>
              <w:t>(CRE)</w:t>
            </w:r>
          </w:p>
        </w:tc>
      </w:tr>
      <w:tr w:rsidR="00A129E3" w:rsidRPr="00420640" w14:paraId="544931E3" w14:textId="77777777" w:rsidTr="002B5001">
        <w:tc>
          <w:tcPr>
            <w:tcW w:w="486" w:type="pct"/>
            <w:vAlign w:val="center"/>
          </w:tcPr>
          <w:p w14:paraId="47D354C8"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1961</w:t>
            </w:r>
          </w:p>
        </w:tc>
        <w:tc>
          <w:tcPr>
            <w:tcW w:w="1197" w:type="pct"/>
            <w:vAlign w:val="center"/>
          </w:tcPr>
          <w:p w14:paraId="11686183"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6C71A4CC"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5ECC0784" w14:textId="77777777" w:rsidR="00A129E3" w:rsidRPr="00DA0FFF" w:rsidRDefault="00A129E3" w:rsidP="002B5001">
            <w:pPr>
              <w:spacing w:after="40"/>
              <w:rPr>
                <w:rFonts w:cstheme="minorHAnsi"/>
                <w:color w:val="000000" w:themeColor="text1"/>
                <w:sz w:val="20"/>
                <w:szCs w:val="20"/>
              </w:rPr>
            </w:pPr>
            <w:r w:rsidRPr="00DA0FFF">
              <w:rPr>
                <w:rFonts w:cstheme="minorHAnsi"/>
                <w:sz w:val="20"/>
                <w:szCs w:val="20"/>
              </w:rPr>
              <w:t>Agence Universitaire de la Francophonie (AUF)</w:t>
            </w:r>
          </w:p>
        </w:tc>
      </w:tr>
      <w:tr w:rsidR="00A129E3" w:rsidRPr="00420640" w14:paraId="5A2346A6" w14:textId="77777777" w:rsidTr="002B5001">
        <w:tc>
          <w:tcPr>
            <w:tcW w:w="486" w:type="pct"/>
            <w:vAlign w:val="center"/>
          </w:tcPr>
          <w:p w14:paraId="170BB0A0" w14:textId="66296443" w:rsidR="00A129E3" w:rsidRPr="00DA0FFF" w:rsidRDefault="005936EA" w:rsidP="00CE4313">
            <w:pPr>
              <w:spacing w:after="40"/>
              <w:jc w:val="center"/>
              <w:rPr>
                <w:rFonts w:cstheme="minorHAnsi"/>
                <w:b/>
                <w:sz w:val="20"/>
                <w:szCs w:val="20"/>
              </w:rPr>
            </w:pPr>
            <w:r>
              <w:rPr>
                <w:rFonts w:cstheme="minorHAnsi"/>
                <w:b/>
                <w:sz w:val="20"/>
                <w:szCs w:val="20"/>
              </w:rPr>
              <w:t>1964</w:t>
            </w:r>
          </w:p>
        </w:tc>
        <w:tc>
          <w:tcPr>
            <w:tcW w:w="1197" w:type="pct"/>
            <w:vAlign w:val="center"/>
          </w:tcPr>
          <w:p w14:paraId="3683B7D4"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7630015A"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2AB0C286" w14:textId="77777777" w:rsidR="00A129E3" w:rsidRPr="00DA0FFF" w:rsidRDefault="00A129E3" w:rsidP="002B5001">
            <w:pPr>
              <w:spacing w:after="40"/>
              <w:rPr>
                <w:rFonts w:cstheme="minorHAnsi"/>
                <w:sz w:val="20"/>
                <w:szCs w:val="20"/>
              </w:rPr>
            </w:pPr>
            <w:r w:rsidRPr="00DA0FFF">
              <w:rPr>
                <w:rFonts w:cstheme="minorHAnsi"/>
                <w:sz w:val="20"/>
                <w:szCs w:val="20"/>
              </w:rPr>
              <w:t>Association of Arab Universities (AARU)</w:t>
            </w:r>
          </w:p>
        </w:tc>
      </w:tr>
      <w:tr w:rsidR="00B4598B" w:rsidRPr="00420640" w14:paraId="36AA076C" w14:textId="77777777" w:rsidTr="002B5001">
        <w:tc>
          <w:tcPr>
            <w:tcW w:w="486" w:type="pct"/>
            <w:vAlign w:val="center"/>
          </w:tcPr>
          <w:p w14:paraId="165A4272"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1965</w:t>
            </w:r>
          </w:p>
        </w:tc>
        <w:tc>
          <w:tcPr>
            <w:tcW w:w="1197" w:type="pct"/>
            <w:vAlign w:val="center"/>
          </w:tcPr>
          <w:p w14:paraId="1FB3D7B9" w14:textId="77777777" w:rsidR="00A129E3" w:rsidRPr="00DA0FFF" w:rsidRDefault="00A129E3" w:rsidP="002B5001">
            <w:pPr>
              <w:pStyle w:val="NormalWeb"/>
              <w:spacing w:before="0" w:beforeAutospacing="0" w:after="40" w:afterAutospacing="0"/>
              <w:rPr>
                <w:rFonts w:asciiTheme="minorHAnsi" w:hAnsiTheme="minorHAnsi" w:cstheme="minorHAnsi"/>
                <w:sz w:val="20"/>
                <w:szCs w:val="20"/>
                <w:lang w:val="en-IE"/>
              </w:rPr>
            </w:pPr>
          </w:p>
        </w:tc>
        <w:tc>
          <w:tcPr>
            <w:tcW w:w="1488" w:type="pct"/>
            <w:vAlign w:val="center"/>
          </w:tcPr>
          <w:p w14:paraId="5167928C" w14:textId="77777777" w:rsidR="00A129E3" w:rsidRPr="00DA0FFF" w:rsidRDefault="00A129E3" w:rsidP="002B5001">
            <w:pPr>
              <w:pStyle w:val="NormalWeb"/>
              <w:spacing w:before="0" w:beforeAutospacing="0" w:after="40" w:afterAutospacing="0"/>
              <w:rPr>
                <w:rFonts w:asciiTheme="minorHAnsi" w:hAnsiTheme="minorHAnsi" w:cstheme="minorHAnsi"/>
                <w:sz w:val="20"/>
                <w:szCs w:val="20"/>
                <w:lang w:val="en-IE"/>
              </w:rPr>
            </w:pPr>
          </w:p>
        </w:tc>
        <w:tc>
          <w:tcPr>
            <w:tcW w:w="1829" w:type="pct"/>
            <w:vAlign w:val="center"/>
          </w:tcPr>
          <w:p w14:paraId="0D6DE37F" w14:textId="08238D81" w:rsidR="00A129E3" w:rsidRPr="00DA0FFF" w:rsidRDefault="00A129E3" w:rsidP="002B5001">
            <w:pPr>
              <w:pStyle w:val="NormalWeb"/>
              <w:spacing w:before="0" w:beforeAutospacing="0" w:after="40" w:afterAutospacing="0"/>
              <w:rPr>
                <w:rFonts w:asciiTheme="minorHAnsi" w:hAnsiTheme="minorHAnsi" w:cstheme="minorHAnsi"/>
                <w:sz w:val="20"/>
                <w:szCs w:val="20"/>
                <w:lang w:val="en-IE"/>
              </w:rPr>
            </w:pPr>
            <w:r w:rsidRPr="00DA0FFF">
              <w:rPr>
                <w:rFonts w:asciiTheme="minorHAnsi" w:hAnsiTheme="minorHAnsi" w:cstheme="minorHAnsi"/>
                <w:sz w:val="20"/>
                <w:szCs w:val="20"/>
                <w:lang w:val="en-IE"/>
              </w:rPr>
              <w:t>Regional Centre for Higher Education and Development (SEAMEO RIHED),</w:t>
            </w:r>
          </w:p>
          <w:p w14:paraId="4BBD426C" w14:textId="77777777" w:rsidR="00A129E3" w:rsidRPr="00DA0FFF" w:rsidRDefault="00A129E3" w:rsidP="002B5001">
            <w:pPr>
              <w:pStyle w:val="NormalWeb"/>
              <w:spacing w:before="0" w:beforeAutospacing="0" w:after="40" w:afterAutospacing="0"/>
              <w:rPr>
                <w:rFonts w:asciiTheme="minorHAnsi" w:hAnsiTheme="minorHAnsi" w:cstheme="minorHAnsi"/>
                <w:sz w:val="20"/>
                <w:szCs w:val="20"/>
                <w:lang w:val="en-IE"/>
              </w:rPr>
            </w:pPr>
            <w:r w:rsidRPr="00DA0FFF">
              <w:rPr>
                <w:rFonts w:asciiTheme="minorHAnsi" w:hAnsiTheme="minorHAnsi" w:cstheme="minorHAnsi"/>
                <w:sz w:val="20"/>
                <w:szCs w:val="20"/>
                <w:shd w:val="clear" w:color="auto" w:fill="FFFFFF"/>
              </w:rPr>
              <w:t>Association of Southeast Asian Nations</w:t>
            </w:r>
            <w:r w:rsidRPr="00DA0FFF">
              <w:rPr>
                <w:rFonts w:asciiTheme="minorHAnsi" w:hAnsiTheme="minorHAnsi" w:cstheme="minorHAnsi"/>
                <w:sz w:val="20"/>
                <w:szCs w:val="20"/>
                <w:lang w:val="en-IE"/>
              </w:rPr>
              <w:t xml:space="preserve"> (ASEAN)</w:t>
            </w:r>
          </w:p>
        </w:tc>
      </w:tr>
      <w:tr w:rsidR="005936EA" w:rsidRPr="00420640" w14:paraId="241DA9E9" w14:textId="77777777" w:rsidTr="002B5001">
        <w:trPr>
          <w:trHeight w:val="920"/>
        </w:trPr>
        <w:tc>
          <w:tcPr>
            <w:tcW w:w="486" w:type="pct"/>
            <w:vAlign w:val="center"/>
          </w:tcPr>
          <w:p w14:paraId="33EB7A13" w14:textId="77777777" w:rsidR="005936EA" w:rsidRPr="00DA0FFF" w:rsidRDefault="005936EA" w:rsidP="00CE4313">
            <w:pPr>
              <w:spacing w:after="40"/>
              <w:jc w:val="center"/>
              <w:rPr>
                <w:rFonts w:cstheme="minorHAnsi"/>
                <w:b/>
                <w:sz w:val="20"/>
                <w:szCs w:val="20"/>
              </w:rPr>
            </w:pPr>
            <w:r w:rsidRPr="00DA0FFF">
              <w:rPr>
                <w:rFonts w:cstheme="minorHAnsi"/>
                <w:b/>
                <w:sz w:val="20"/>
                <w:szCs w:val="20"/>
              </w:rPr>
              <w:t>1967</w:t>
            </w:r>
          </w:p>
        </w:tc>
        <w:tc>
          <w:tcPr>
            <w:tcW w:w="1197" w:type="pct"/>
            <w:vAlign w:val="center"/>
          </w:tcPr>
          <w:p w14:paraId="6BB6FB73" w14:textId="77777777" w:rsidR="005936EA" w:rsidRPr="00DA0FFF" w:rsidRDefault="005936EA" w:rsidP="002B5001">
            <w:pPr>
              <w:spacing w:after="40"/>
              <w:rPr>
                <w:rFonts w:cstheme="minorHAnsi"/>
                <w:color w:val="000000" w:themeColor="text1"/>
                <w:sz w:val="20"/>
                <w:szCs w:val="20"/>
              </w:rPr>
            </w:pPr>
          </w:p>
        </w:tc>
        <w:tc>
          <w:tcPr>
            <w:tcW w:w="1488" w:type="pct"/>
            <w:vAlign w:val="center"/>
          </w:tcPr>
          <w:p w14:paraId="65D94EBB" w14:textId="77777777" w:rsidR="005936EA" w:rsidRPr="00DA0FFF" w:rsidRDefault="005936EA" w:rsidP="002B5001">
            <w:pPr>
              <w:spacing w:after="40"/>
              <w:rPr>
                <w:rFonts w:cstheme="minorHAnsi"/>
                <w:color w:val="000000" w:themeColor="text1"/>
                <w:sz w:val="20"/>
                <w:szCs w:val="20"/>
              </w:rPr>
            </w:pPr>
            <w:r w:rsidRPr="00DA0FFF">
              <w:rPr>
                <w:rFonts w:cstheme="minorHAnsi"/>
                <w:color w:val="000000" w:themeColor="text1"/>
                <w:sz w:val="20"/>
                <w:szCs w:val="20"/>
              </w:rPr>
              <w:t>European Economic Community</w:t>
            </w:r>
          </w:p>
        </w:tc>
        <w:tc>
          <w:tcPr>
            <w:tcW w:w="1829" w:type="pct"/>
            <w:vAlign w:val="center"/>
          </w:tcPr>
          <w:p w14:paraId="1EDAF323" w14:textId="77777777" w:rsidR="005936EA" w:rsidRPr="00DA0FFF" w:rsidRDefault="005936EA" w:rsidP="002B5001">
            <w:pPr>
              <w:spacing w:after="40"/>
              <w:rPr>
                <w:rFonts w:cstheme="minorHAnsi"/>
                <w:color w:val="222222"/>
                <w:sz w:val="20"/>
                <w:szCs w:val="20"/>
                <w:shd w:val="clear" w:color="auto" w:fill="FFFFFF"/>
              </w:rPr>
            </w:pPr>
            <w:r w:rsidRPr="00DA0FFF">
              <w:rPr>
                <w:rFonts w:cstheme="minorHAnsi"/>
                <w:bCs/>
                <w:color w:val="222222"/>
                <w:sz w:val="20"/>
                <w:szCs w:val="20"/>
              </w:rPr>
              <w:t>Association</w:t>
            </w:r>
            <w:r w:rsidRPr="00DA0FFF">
              <w:rPr>
                <w:rStyle w:val="apple-converted-space"/>
                <w:rFonts w:cstheme="minorHAnsi"/>
                <w:color w:val="222222"/>
                <w:sz w:val="20"/>
                <w:szCs w:val="20"/>
                <w:shd w:val="clear" w:color="auto" w:fill="FFFFFF"/>
              </w:rPr>
              <w:t> </w:t>
            </w:r>
            <w:r w:rsidRPr="00DA0FFF">
              <w:rPr>
                <w:rFonts w:cstheme="minorHAnsi"/>
                <w:color w:val="222222"/>
                <w:sz w:val="20"/>
                <w:szCs w:val="20"/>
                <w:shd w:val="clear" w:color="auto" w:fill="FFFFFF"/>
              </w:rPr>
              <w:t>of</w:t>
            </w:r>
            <w:r w:rsidRPr="00DA0FFF">
              <w:rPr>
                <w:rStyle w:val="apple-converted-space"/>
                <w:rFonts w:cstheme="minorHAnsi"/>
                <w:color w:val="222222"/>
                <w:sz w:val="20"/>
                <w:szCs w:val="20"/>
                <w:shd w:val="clear" w:color="auto" w:fill="FFFFFF"/>
              </w:rPr>
              <w:t> </w:t>
            </w:r>
            <w:r w:rsidRPr="00DA0FFF">
              <w:rPr>
                <w:rFonts w:cstheme="minorHAnsi"/>
                <w:bCs/>
                <w:color w:val="222222"/>
                <w:sz w:val="20"/>
                <w:szCs w:val="20"/>
              </w:rPr>
              <w:t>African Universities</w:t>
            </w:r>
            <w:r w:rsidRPr="00DA0FFF">
              <w:rPr>
                <w:rStyle w:val="apple-converted-space"/>
                <w:rFonts w:cstheme="minorHAnsi"/>
                <w:color w:val="222222"/>
                <w:sz w:val="20"/>
                <w:szCs w:val="20"/>
                <w:shd w:val="clear" w:color="auto" w:fill="FFFFFF"/>
              </w:rPr>
              <w:t> </w:t>
            </w:r>
            <w:r w:rsidRPr="00DA0FFF">
              <w:rPr>
                <w:rFonts w:cstheme="minorHAnsi"/>
                <w:color w:val="222222"/>
                <w:sz w:val="20"/>
                <w:szCs w:val="20"/>
                <w:shd w:val="clear" w:color="auto" w:fill="FFFFFF"/>
              </w:rPr>
              <w:t>(AAU)</w:t>
            </w:r>
          </w:p>
          <w:p w14:paraId="5CAE41C2" w14:textId="50AE4611" w:rsidR="005936EA" w:rsidRPr="00DA0FFF" w:rsidRDefault="005936EA" w:rsidP="002B5001">
            <w:pPr>
              <w:spacing w:after="40"/>
              <w:rPr>
                <w:rFonts w:cstheme="minorHAnsi"/>
                <w:color w:val="000000" w:themeColor="text1"/>
                <w:sz w:val="20"/>
                <w:szCs w:val="20"/>
              </w:rPr>
            </w:pPr>
            <w:r w:rsidRPr="00DA0FFF">
              <w:rPr>
                <w:rFonts w:cstheme="minorHAnsi"/>
                <w:sz w:val="20"/>
                <w:szCs w:val="20"/>
              </w:rPr>
              <w:t>European Consortium of Innovative Universities (ECIU)</w:t>
            </w:r>
          </w:p>
        </w:tc>
      </w:tr>
      <w:tr w:rsidR="002B5001" w:rsidRPr="00420640" w14:paraId="2E1BD836" w14:textId="77777777" w:rsidTr="002B5001">
        <w:trPr>
          <w:trHeight w:val="499"/>
        </w:trPr>
        <w:tc>
          <w:tcPr>
            <w:tcW w:w="486" w:type="pct"/>
            <w:vAlign w:val="center"/>
          </w:tcPr>
          <w:p w14:paraId="1ADF459A"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1973</w:t>
            </w:r>
          </w:p>
        </w:tc>
        <w:tc>
          <w:tcPr>
            <w:tcW w:w="1197" w:type="pct"/>
            <w:vAlign w:val="center"/>
          </w:tcPr>
          <w:p w14:paraId="027DF26D" w14:textId="77777777" w:rsidR="00A129E3" w:rsidRPr="00DA0FFF" w:rsidRDefault="00A129E3" w:rsidP="002B5001">
            <w:pPr>
              <w:spacing w:after="40"/>
              <w:rPr>
                <w:rFonts w:cstheme="minorHAnsi"/>
                <w:color w:val="000000" w:themeColor="text1"/>
                <w:sz w:val="20"/>
                <w:szCs w:val="20"/>
                <w:shd w:val="clear" w:color="auto" w:fill="FFFFFF"/>
              </w:rPr>
            </w:pPr>
            <w:r w:rsidRPr="00DA0FFF">
              <w:rPr>
                <w:rFonts w:cstheme="minorHAnsi"/>
                <w:color w:val="000000" w:themeColor="text1"/>
                <w:sz w:val="20"/>
                <w:szCs w:val="20"/>
                <w:shd w:val="clear" w:color="auto" w:fill="FFFFFF"/>
              </w:rPr>
              <w:t>Erasmus Programme</w:t>
            </w:r>
          </w:p>
        </w:tc>
        <w:tc>
          <w:tcPr>
            <w:tcW w:w="1488" w:type="pct"/>
            <w:vAlign w:val="center"/>
          </w:tcPr>
          <w:p w14:paraId="34C9EC08"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4170BDBC" w14:textId="02F65CE6" w:rsidR="00A129E3" w:rsidRPr="00DA0FFF" w:rsidRDefault="00A129E3" w:rsidP="002B5001">
            <w:pPr>
              <w:spacing w:after="40"/>
              <w:rPr>
                <w:rFonts w:cstheme="minorHAnsi"/>
                <w:color w:val="000000" w:themeColor="text1"/>
                <w:sz w:val="20"/>
                <w:szCs w:val="20"/>
                <w:shd w:val="clear" w:color="auto" w:fill="FFFFFF"/>
              </w:rPr>
            </w:pPr>
            <w:r w:rsidRPr="00DA0FFF">
              <w:rPr>
                <w:rFonts w:cstheme="minorHAnsi"/>
                <w:color w:val="000000" w:themeColor="text1"/>
                <w:sz w:val="20"/>
                <w:szCs w:val="20"/>
                <w:shd w:val="clear" w:color="auto" w:fill="FFFFFF"/>
              </w:rPr>
              <w:t xml:space="preserve">Conferences des </w:t>
            </w:r>
            <w:r w:rsidR="00D029F8">
              <w:rPr>
                <w:rFonts w:cstheme="minorHAnsi"/>
                <w:color w:val="000000" w:themeColor="text1"/>
                <w:sz w:val="20"/>
                <w:szCs w:val="20"/>
                <w:shd w:val="clear" w:color="auto" w:fill="FFFFFF"/>
              </w:rPr>
              <w:t>R</w:t>
            </w:r>
            <w:r w:rsidRPr="00DA0FFF">
              <w:rPr>
                <w:rFonts w:cstheme="minorHAnsi"/>
                <w:color w:val="000000" w:themeColor="text1"/>
                <w:sz w:val="20"/>
                <w:szCs w:val="20"/>
                <w:shd w:val="clear" w:color="auto" w:fill="FFFFFF"/>
              </w:rPr>
              <w:t xml:space="preserve">ecteurs de l’Union </w:t>
            </w:r>
            <w:r w:rsidR="00D029F8">
              <w:rPr>
                <w:rFonts w:cstheme="minorHAnsi"/>
                <w:color w:val="000000" w:themeColor="text1"/>
                <w:sz w:val="20"/>
                <w:szCs w:val="20"/>
                <w:shd w:val="clear" w:color="auto" w:fill="FFFFFF"/>
              </w:rPr>
              <w:t>E</w:t>
            </w:r>
            <w:r w:rsidRPr="00DA0FFF">
              <w:rPr>
                <w:rFonts w:cstheme="minorHAnsi"/>
                <w:color w:val="000000" w:themeColor="text1"/>
                <w:sz w:val="20"/>
                <w:szCs w:val="20"/>
                <w:shd w:val="clear" w:color="auto" w:fill="FFFFFF"/>
              </w:rPr>
              <w:t>uropéenne (CRE)</w:t>
            </w:r>
          </w:p>
          <w:p w14:paraId="1D2BA313" w14:textId="77777777" w:rsidR="00A129E3" w:rsidRPr="00DA0FFF" w:rsidRDefault="00A129E3" w:rsidP="002B5001">
            <w:pPr>
              <w:spacing w:after="40"/>
              <w:rPr>
                <w:rFonts w:cstheme="minorHAnsi"/>
                <w:color w:val="000000" w:themeColor="text1"/>
                <w:sz w:val="20"/>
                <w:szCs w:val="20"/>
                <w:shd w:val="clear" w:color="auto" w:fill="FFFFFF"/>
              </w:rPr>
            </w:pPr>
            <w:r w:rsidRPr="00DA0FFF">
              <w:rPr>
                <w:rFonts w:cstheme="minorHAnsi"/>
                <w:sz w:val="20"/>
                <w:szCs w:val="20"/>
              </w:rPr>
              <w:t>European Society for Engineering Education (SEFI)</w:t>
            </w:r>
          </w:p>
        </w:tc>
      </w:tr>
      <w:tr w:rsidR="00B4598B" w:rsidRPr="00420640" w14:paraId="6ACF038E" w14:textId="77777777" w:rsidTr="002B5001">
        <w:tc>
          <w:tcPr>
            <w:tcW w:w="486" w:type="pct"/>
            <w:vAlign w:val="center"/>
          </w:tcPr>
          <w:p w14:paraId="7D424DF4"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1976</w:t>
            </w:r>
          </w:p>
        </w:tc>
        <w:tc>
          <w:tcPr>
            <w:tcW w:w="1197" w:type="pct"/>
            <w:vAlign w:val="center"/>
          </w:tcPr>
          <w:p w14:paraId="73B58EA3" w14:textId="77777777" w:rsidR="00A129E3" w:rsidRPr="00DA0FFF" w:rsidRDefault="00A129E3" w:rsidP="002B5001">
            <w:pPr>
              <w:spacing w:after="40"/>
              <w:rPr>
                <w:rFonts w:cstheme="minorHAnsi"/>
                <w:color w:val="000000" w:themeColor="text1"/>
                <w:sz w:val="20"/>
                <w:szCs w:val="20"/>
              </w:rPr>
            </w:pPr>
            <w:bookmarkStart w:id="1" w:name="OLE_LINK3"/>
            <w:bookmarkStart w:id="2" w:name="OLE_LINK4"/>
            <w:r w:rsidRPr="00DA0FFF">
              <w:rPr>
                <w:rFonts w:cstheme="minorHAnsi"/>
                <w:color w:val="000000" w:themeColor="text1"/>
                <w:sz w:val="20"/>
                <w:szCs w:val="20"/>
              </w:rPr>
              <w:t>International Standard Classification of Education (ISCED</w:t>
            </w:r>
            <w:bookmarkEnd w:id="1"/>
            <w:bookmarkEnd w:id="2"/>
            <w:r w:rsidRPr="00DA0FFF">
              <w:rPr>
                <w:rFonts w:cstheme="minorHAnsi"/>
                <w:color w:val="000000" w:themeColor="text1"/>
                <w:sz w:val="20"/>
                <w:szCs w:val="20"/>
              </w:rPr>
              <w:t>) (UNESCO)</w:t>
            </w:r>
          </w:p>
        </w:tc>
        <w:tc>
          <w:tcPr>
            <w:tcW w:w="1488" w:type="pct"/>
            <w:vAlign w:val="center"/>
          </w:tcPr>
          <w:p w14:paraId="172DECF1"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57E7986A" w14:textId="77777777" w:rsidR="00A129E3" w:rsidRPr="00DA0FFF" w:rsidRDefault="00A129E3" w:rsidP="002B5001">
            <w:pPr>
              <w:spacing w:after="40"/>
              <w:rPr>
                <w:rFonts w:cstheme="minorHAnsi"/>
                <w:color w:val="000000" w:themeColor="text1"/>
                <w:sz w:val="20"/>
                <w:szCs w:val="20"/>
              </w:rPr>
            </w:pPr>
          </w:p>
        </w:tc>
      </w:tr>
      <w:tr w:rsidR="00A129E3" w:rsidRPr="00420640" w14:paraId="3EE36BA9" w14:textId="77777777" w:rsidTr="002B5001">
        <w:tc>
          <w:tcPr>
            <w:tcW w:w="486" w:type="pct"/>
            <w:vAlign w:val="center"/>
          </w:tcPr>
          <w:p w14:paraId="22C851C1"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1980</w:t>
            </w:r>
          </w:p>
        </w:tc>
        <w:tc>
          <w:tcPr>
            <w:tcW w:w="1197" w:type="pct"/>
            <w:vAlign w:val="center"/>
          </w:tcPr>
          <w:p w14:paraId="79F513A1"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49FF025F"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570ACC27" w14:textId="77777777" w:rsidR="00A129E3" w:rsidRPr="00DA0FFF" w:rsidRDefault="00A129E3" w:rsidP="002B5001">
            <w:pPr>
              <w:spacing w:after="40"/>
              <w:rPr>
                <w:rFonts w:cstheme="minorHAnsi"/>
                <w:sz w:val="20"/>
                <w:szCs w:val="20"/>
              </w:rPr>
            </w:pPr>
            <w:r w:rsidRPr="00DA0FFF">
              <w:rPr>
                <w:rFonts w:cstheme="minorHAnsi"/>
                <w:sz w:val="20"/>
                <w:szCs w:val="20"/>
              </w:rPr>
              <w:t>Inter-American Organisation for Higher Education (OHE/OUI)</w:t>
            </w:r>
          </w:p>
          <w:p w14:paraId="5446E59C" w14:textId="77777777" w:rsidR="00A129E3" w:rsidRPr="00DA0FFF" w:rsidRDefault="00A129E3" w:rsidP="002B5001">
            <w:pPr>
              <w:spacing w:after="40"/>
              <w:rPr>
                <w:rFonts w:cstheme="minorHAnsi"/>
                <w:color w:val="000000" w:themeColor="text1"/>
                <w:sz w:val="20"/>
                <w:szCs w:val="20"/>
              </w:rPr>
            </w:pPr>
            <w:r w:rsidRPr="00DA0FFF">
              <w:rPr>
                <w:rFonts w:cstheme="minorHAnsi"/>
                <w:sz w:val="20"/>
                <w:szCs w:val="20"/>
              </w:rPr>
              <w:t>Inter-University Council for East Africa (IUCEA)</w:t>
            </w:r>
          </w:p>
        </w:tc>
      </w:tr>
      <w:tr w:rsidR="00B4598B" w:rsidRPr="00420640" w14:paraId="4C9B7859" w14:textId="77777777" w:rsidTr="002B5001">
        <w:tc>
          <w:tcPr>
            <w:tcW w:w="486" w:type="pct"/>
            <w:vAlign w:val="center"/>
          </w:tcPr>
          <w:p w14:paraId="35A61201"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1982</w:t>
            </w:r>
          </w:p>
        </w:tc>
        <w:tc>
          <w:tcPr>
            <w:tcW w:w="1197" w:type="pct"/>
            <w:vAlign w:val="center"/>
          </w:tcPr>
          <w:p w14:paraId="3F0D8183"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042E4D91"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7F627862" w14:textId="77777777"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European Student Information Bureau (ESIB), now European Students Union (ESU)</w:t>
            </w:r>
          </w:p>
          <w:p w14:paraId="7FB13717" w14:textId="77777777" w:rsidR="00A129E3" w:rsidRPr="00DA0FFF" w:rsidRDefault="00A129E3" w:rsidP="002B5001">
            <w:pPr>
              <w:spacing w:after="40"/>
              <w:rPr>
                <w:rFonts w:cstheme="minorHAnsi"/>
                <w:color w:val="000000" w:themeColor="text1"/>
                <w:sz w:val="20"/>
                <w:szCs w:val="20"/>
              </w:rPr>
            </w:pPr>
            <w:r w:rsidRPr="00DA0FFF">
              <w:rPr>
                <w:rFonts w:cstheme="minorHAnsi"/>
                <w:sz w:val="20"/>
                <w:szCs w:val="20"/>
              </w:rPr>
              <w:t>Nordic Association of Universities (NUAS)</w:t>
            </w:r>
          </w:p>
        </w:tc>
      </w:tr>
      <w:tr w:rsidR="00B4598B" w:rsidRPr="00420640" w14:paraId="740DE049" w14:textId="77777777" w:rsidTr="002B5001">
        <w:tc>
          <w:tcPr>
            <w:tcW w:w="486" w:type="pct"/>
            <w:vAlign w:val="center"/>
          </w:tcPr>
          <w:p w14:paraId="0364C614"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1983</w:t>
            </w:r>
          </w:p>
        </w:tc>
        <w:tc>
          <w:tcPr>
            <w:tcW w:w="1197" w:type="pct"/>
            <w:vAlign w:val="center"/>
          </w:tcPr>
          <w:p w14:paraId="4C0F9547" w14:textId="659C834D"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 xml:space="preserve">Adoption of </w:t>
            </w:r>
            <w:r w:rsidR="005936EA">
              <w:rPr>
                <w:rFonts w:cstheme="minorHAnsi"/>
                <w:color w:val="000000" w:themeColor="text1"/>
                <w:sz w:val="20"/>
                <w:szCs w:val="20"/>
              </w:rPr>
              <w:t>1</w:t>
            </w:r>
            <w:r w:rsidR="005936EA" w:rsidRPr="005936EA">
              <w:rPr>
                <w:rFonts w:cstheme="minorHAnsi"/>
                <w:color w:val="000000" w:themeColor="text1"/>
                <w:sz w:val="20"/>
                <w:szCs w:val="20"/>
                <w:vertAlign w:val="superscript"/>
              </w:rPr>
              <w:t>st</w:t>
            </w:r>
            <w:r w:rsidR="005936EA">
              <w:rPr>
                <w:rFonts w:cstheme="minorHAnsi"/>
                <w:color w:val="000000" w:themeColor="text1"/>
                <w:sz w:val="20"/>
                <w:szCs w:val="20"/>
              </w:rPr>
              <w:t xml:space="preserve"> </w:t>
            </w:r>
            <w:r w:rsidRPr="00DA0FFF">
              <w:rPr>
                <w:rFonts w:cstheme="minorHAnsi"/>
                <w:color w:val="000000" w:themeColor="text1"/>
                <w:sz w:val="20"/>
                <w:szCs w:val="20"/>
              </w:rPr>
              <w:t>European Framework Programme</w:t>
            </w:r>
          </w:p>
        </w:tc>
        <w:tc>
          <w:tcPr>
            <w:tcW w:w="1488" w:type="pct"/>
            <w:vAlign w:val="center"/>
          </w:tcPr>
          <w:p w14:paraId="0CDE9E7C"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5372BEC8" w14:textId="77777777" w:rsidR="00A129E3" w:rsidRPr="00DA0FFF" w:rsidRDefault="00A129E3" w:rsidP="002B5001">
            <w:pPr>
              <w:spacing w:after="40"/>
              <w:rPr>
                <w:rFonts w:cstheme="minorHAnsi"/>
                <w:color w:val="000000" w:themeColor="text1"/>
                <w:sz w:val="20"/>
                <w:szCs w:val="20"/>
              </w:rPr>
            </w:pPr>
          </w:p>
        </w:tc>
      </w:tr>
      <w:tr w:rsidR="00F12672" w:rsidRPr="00420640" w14:paraId="4EA634FF" w14:textId="77777777" w:rsidTr="002B5001">
        <w:tc>
          <w:tcPr>
            <w:tcW w:w="486" w:type="pct"/>
            <w:vAlign w:val="center"/>
          </w:tcPr>
          <w:p w14:paraId="5362445C"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1985</w:t>
            </w:r>
          </w:p>
        </w:tc>
        <w:tc>
          <w:tcPr>
            <w:tcW w:w="1197" w:type="pct"/>
            <w:vAlign w:val="center"/>
          </w:tcPr>
          <w:p w14:paraId="7BE5505D"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274902E9"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370179B0" w14:textId="09B875EB" w:rsidR="00A129E3" w:rsidRPr="00DA0FFF" w:rsidRDefault="00A129E3" w:rsidP="002B5001">
            <w:pPr>
              <w:spacing w:after="40"/>
              <w:rPr>
                <w:rFonts w:cstheme="minorHAnsi"/>
                <w:sz w:val="20"/>
                <w:szCs w:val="20"/>
              </w:rPr>
            </w:pPr>
            <w:r w:rsidRPr="00DA0FFF">
              <w:rPr>
                <w:rFonts w:cstheme="minorHAnsi"/>
                <w:sz w:val="20"/>
                <w:szCs w:val="20"/>
              </w:rPr>
              <w:t xml:space="preserve">Asociacion de les </w:t>
            </w:r>
            <w:r w:rsidR="00D029F8">
              <w:rPr>
                <w:rFonts w:cstheme="minorHAnsi"/>
                <w:sz w:val="20"/>
                <w:szCs w:val="20"/>
              </w:rPr>
              <w:t>U</w:t>
            </w:r>
            <w:r w:rsidRPr="00DA0FFF">
              <w:rPr>
                <w:rFonts w:cstheme="minorHAnsi"/>
                <w:sz w:val="20"/>
                <w:szCs w:val="20"/>
              </w:rPr>
              <w:t xml:space="preserve">niversidades </w:t>
            </w:r>
            <w:r w:rsidR="00D029F8">
              <w:rPr>
                <w:rFonts w:cstheme="minorHAnsi"/>
                <w:sz w:val="20"/>
                <w:szCs w:val="20"/>
              </w:rPr>
              <w:t>C</w:t>
            </w:r>
            <w:r w:rsidRPr="00DA0FFF">
              <w:rPr>
                <w:rFonts w:cstheme="minorHAnsi"/>
                <w:sz w:val="20"/>
                <w:szCs w:val="20"/>
              </w:rPr>
              <w:t xml:space="preserve">onfiadas a la </w:t>
            </w:r>
            <w:r w:rsidR="00D029F8">
              <w:rPr>
                <w:rFonts w:cstheme="minorHAnsi"/>
                <w:sz w:val="20"/>
                <w:szCs w:val="20"/>
              </w:rPr>
              <w:t>C</w:t>
            </w:r>
            <w:r w:rsidRPr="00DA0FFF">
              <w:rPr>
                <w:rFonts w:cstheme="minorHAnsi"/>
                <w:sz w:val="20"/>
                <w:szCs w:val="20"/>
              </w:rPr>
              <w:t>ompañía de Jesus (AUSIAL)</w:t>
            </w:r>
          </w:p>
        </w:tc>
      </w:tr>
      <w:tr w:rsidR="00A129E3" w:rsidRPr="00420640" w14:paraId="02F91879" w14:textId="77777777" w:rsidTr="002B5001">
        <w:tc>
          <w:tcPr>
            <w:tcW w:w="486" w:type="pct"/>
            <w:vAlign w:val="center"/>
          </w:tcPr>
          <w:p w14:paraId="594BEF3B"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1986</w:t>
            </w:r>
          </w:p>
        </w:tc>
        <w:tc>
          <w:tcPr>
            <w:tcW w:w="1197" w:type="pct"/>
            <w:vAlign w:val="center"/>
          </w:tcPr>
          <w:p w14:paraId="5125870B"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27BA9E51"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3D5863CA" w14:textId="65CFB586" w:rsidR="00A129E3" w:rsidRPr="00DA0FFF" w:rsidRDefault="00A129E3" w:rsidP="002B5001">
            <w:pPr>
              <w:spacing w:after="40"/>
              <w:rPr>
                <w:rFonts w:cstheme="minorHAnsi"/>
                <w:color w:val="000000" w:themeColor="text1"/>
                <w:sz w:val="20"/>
                <w:szCs w:val="20"/>
              </w:rPr>
            </w:pPr>
            <w:r w:rsidRPr="00DA0FFF">
              <w:rPr>
                <w:rFonts w:cstheme="minorHAnsi"/>
                <w:sz w:val="20"/>
                <w:szCs w:val="20"/>
              </w:rPr>
              <w:t xml:space="preserve">Associação das </w:t>
            </w:r>
            <w:r w:rsidR="00D029F8" w:rsidRPr="00DA0FFF">
              <w:rPr>
                <w:rFonts w:cstheme="minorHAnsi"/>
                <w:sz w:val="20"/>
                <w:szCs w:val="20"/>
              </w:rPr>
              <w:t xml:space="preserve">Universidades </w:t>
            </w:r>
            <w:r w:rsidR="00D029F8">
              <w:rPr>
                <w:rFonts w:cstheme="minorHAnsi"/>
                <w:sz w:val="20"/>
                <w:szCs w:val="20"/>
              </w:rPr>
              <w:t>d</w:t>
            </w:r>
            <w:r w:rsidR="00D029F8" w:rsidRPr="00DA0FFF">
              <w:rPr>
                <w:rFonts w:cstheme="minorHAnsi"/>
                <w:sz w:val="20"/>
                <w:szCs w:val="20"/>
              </w:rPr>
              <w:t>e Língua Portuguesa</w:t>
            </w:r>
            <w:r w:rsidRPr="00DA0FFF">
              <w:rPr>
                <w:rFonts w:cstheme="minorHAnsi"/>
                <w:sz w:val="20"/>
                <w:szCs w:val="20"/>
              </w:rPr>
              <w:t xml:space="preserve"> (AULP)</w:t>
            </w:r>
          </w:p>
        </w:tc>
      </w:tr>
      <w:tr w:rsidR="00B4598B" w:rsidRPr="00420640" w14:paraId="30C436B2" w14:textId="77777777" w:rsidTr="002B5001">
        <w:tc>
          <w:tcPr>
            <w:tcW w:w="486" w:type="pct"/>
            <w:vAlign w:val="center"/>
          </w:tcPr>
          <w:p w14:paraId="292C9680"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1988</w:t>
            </w:r>
          </w:p>
        </w:tc>
        <w:tc>
          <w:tcPr>
            <w:tcW w:w="1197" w:type="pct"/>
            <w:vAlign w:val="center"/>
          </w:tcPr>
          <w:p w14:paraId="2E967D5A" w14:textId="77777777" w:rsidR="00A129E3" w:rsidRPr="00DA0FFF" w:rsidRDefault="00A129E3" w:rsidP="002B5001">
            <w:pPr>
              <w:pStyle w:val="NormalWeb"/>
              <w:spacing w:before="0" w:beforeAutospacing="0" w:after="40" w:afterAutospacing="0"/>
              <w:rPr>
                <w:rFonts w:asciiTheme="minorHAnsi" w:hAnsiTheme="minorHAnsi" w:cstheme="minorHAnsi"/>
                <w:color w:val="000000" w:themeColor="text1"/>
                <w:sz w:val="20"/>
                <w:szCs w:val="20"/>
              </w:rPr>
            </w:pPr>
          </w:p>
        </w:tc>
        <w:tc>
          <w:tcPr>
            <w:tcW w:w="1488" w:type="pct"/>
            <w:vAlign w:val="center"/>
          </w:tcPr>
          <w:p w14:paraId="5E53AFCC"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4B8C1799" w14:textId="77777777" w:rsidR="00A129E3" w:rsidRPr="00DA0FFF" w:rsidRDefault="00A129E3" w:rsidP="002B5001">
            <w:pPr>
              <w:spacing w:after="40"/>
              <w:rPr>
                <w:rFonts w:cstheme="minorHAnsi"/>
                <w:sz w:val="20"/>
                <w:szCs w:val="20"/>
              </w:rPr>
            </w:pPr>
            <w:r w:rsidRPr="00DA0FFF">
              <w:rPr>
                <w:rFonts w:cstheme="minorHAnsi"/>
                <w:sz w:val="20"/>
                <w:szCs w:val="20"/>
              </w:rPr>
              <w:t>Magna Charta Universitatum (MCU)</w:t>
            </w:r>
          </w:p>
          <w:p w14:paraId="58723766" w14:textId="77777777" w:rsidR="00A129E3" w:rsidRPr="00DA0FFF" w:rsidRDefault="00A129E3" w:rsidP="002B5001">
            <w:pPr>
              <w:spacing w:after="40"/>
              <w:rPr>
                <w:rFonts w:cstheme="minorHAnsi"/>
                <w:color w:val="000000" w:themeColor="text1"/>
                <w:sz w:val="20"/>
                <w:szCs w:val="20"/>
              </w:rPr>
            </w:pPr>
            <w:r w:rsidRPr="00DA0FFF">
              <w:rPr>
                <w:rFonts w:cstheme="minorHAnsi"/>
                <w:sz w:val="20"/>
                <w:szCs w:val="20"/>
              </w:rPr>
              <w:t>Association for the Development of Education in Africa (ADEA)</w:t>
            </w:r>
          </w:p>
        </w:tc>
      </w:tr>
      <w:tr w:rsidR="00A129E3" w:rsidRPr="00420640" w14:paraId="1BBE500B" w14:textId="77777777" w:rsidTr="002B5001">
        <w:tc>
          <w:tcPr>
            <w:tcW w:w="486" w:type="pct"/>
            <w:vAlign w:val="center"/>
          </w:tcPr>
          <w:p w14:paraId="7273210E"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lastRenderedPageBreak/>
              <w:t>1989</w:t>
            </w:r>
          </w:p>
        </w:tc>
        <w:tc>
          <w:tcPr>
            <w:tcW w:w="1197" w:type="pct"/>
            <w:vAlign w:val="center"/>
          </w:tcPr>
          <w:p w14:paraId="45C8007C" w14:textId="77777777" w:rsidR="00A129E3" w:rsidRPr="00DA0FFF" w:rsidRDefault="00A129E3" w:rsidP="002B5001">
            <w:pPr>
              <w:pStyle w:val="NormalWeb"/>
              <w:spacing w:before="0" w:beforeAutospacing="0" w:after="40" w:afterAutospacing="0"/>
              <w:rPr>
                <w:rFonts w:asciiTheme="minorHAnsi" w:hAnsiTheme="minorHAnsi" w:cstheme="minorHAnsi"/>
                <w:color w:val="000000" w:themeColor="text1"/>
                <w:sz w:val="20"/>
                <w:szCs w:val="20"/>
              </w:rPr>
            </w:pPr>
          </w:p>
        </w:tc>
        <w:tc>
          <w:tcPr>
            <w:tcW w:w="1488" w:type="pct"/>
            <w:vAlign w:val="center"/>
          </w:tcPr>
          <w:p w14:paraId="24C76C31"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118E50CC" w14:textId="77777777" w:rsidR="00A129E3" w:rsidRPr="00DA0FFF" w:rsidRDefault="00A129E3" w:rsidP="002B5001">
            <w:pPr>
              <w:spacing w:after="40"/>
              <w:rPr>
                <w:rFonts w:cstheme="minorHAnsi"/>
                <w:sz w:val="20"/>
                <w:szCs w:val="20"/>
              </w:rPr>
            </w:pPr>
            <w:r w:rsidRPr="00DA0FFF">
              <w:rPr>
                <w:rFonts w:cstheme="minorHAnsi"/>
                <w:sz w:val="20"/>
                <w:szCs w:val="20"/>
              </w:rPr>
              <w:t>European Association for International Education (EAIE)</w:t>
            </w:r>
          </w:p>
        </w:tc>
      </w:tr>
      <w:tr w:rsidR="00B4598B" w:rsidRPr="00420640" w14:paraId="021237A5" w14:textId="77777777" w:rsidTr="002B5001">
        <w:tc>
          <w:tcPr>
            <w:tcW w:w="486" w:type="pct"/>
            <w:vAlign w:val="center"/>
          </w:tcPr>
          <w:p w14:paraId="6F1176BB"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1990</w:t>
            </w:r>
          </w:p>
        </w:tc>
        <w:tc>
          <w:tcPr>
            <w:tcW w:w="1197" w:type="pct"/>
            <w:vAlign w:val="center"/>
          </w:tcPr>
          <w:p w14:paraId="0C04E1BE" w14:textId="77777777" w:rsidR="00A129E3" w:rsidRPr="00DA0FFF" w:rsidRDefault="00A129E3" w:rsidP="002B5001">
            <w:pPr>
              <w:spacing w:after="40"/>
              <w:rPr>
                <w:rFonts w:cstheme="minorHAnsi"/>
                <w:color w:val="000000" w:themeColor="text1"/>
                <w:sz w:val="20"/>
                <w:szCs w:val="20"/>
              </w:rPr>
            </w:pPr>
          </w:p>
        </w:tc>
        <w:tc>
          <w:tcPr>
            <w:tcW w:w="1488" w:type="pct"/>
            <w:vAlign w:val="center"/>
          </w:tcPr>
          <w:p w14:paraId="3254E89A" w14:textId="77777777" w:rsidR="00A129E3" w:rsidRPr="00DA0FFF" w:rsidRDefault="00A129E3" w:rsidP="002B5001">
            <w:pPr>
              <w:spacing w:after="40"/>
              <w:rPr>
                <w:rFonts w:cstheme="minorHAnsi"/>
                <w:color w:val="000000" w:themeColor="text1"/>
                <w:sz w:val="20"/>
                <w:szCs w:val="20"/>
              </w:rPr>
            </w:pPr>
          </w:p>
        </w:tc>
        <w:tc>
          <w:tcPr>
            <w:tcW w:w="1829" w:type="pct"/>
            <w:vAlign w:val="center"/>
          </w:tcPr>
          <w:p w14:paraId="7E6C26B8" w14:textId="77777777"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European Association of Institutions in Higher Education (EURASHE)</w:t>
            </w:r>
          </w:p>
          <w:p w14:paraId="16166BB0" w14:textId="77777777" w:rsidR="00A129E3" w:rsidRPr="00DA0FFF" w:rsidRDefault="00A129E3" w:rsidP="002B5001">
            <w:pPr>
              <w:spacing w:after="40"/>
              <w:rPr>
                <w:rFonts w:cstheme="minorHAnsi"/>
                <w:sz w:val="20"/>
                <w:szCs w:val="20"/>
              </w:rPr>
            </w:pPr>
            <w:r w:rsidRPr="00DA0FFF">
              <w:rPr>
                <w:rFonts w:cstheme="minorHAnsi"/>
                <w:sz w:val="20"/>
                <w:szCs w:val="20"/>
              </w:rPr>
              <w:t>The Conference of European Schools for Advanced Engineering Education and Research (CESAEER)</w:t>
            </w:r>
          </w:p>
          <w:p w14:paraId="752E08BD" w14:textId="77777777" w:rsidR="00A129E3" w:rsidRPr="00DA0FFF" w:rsidRDefault="00A129E3" w:rsidP="002B5001">
            <w:pPr>
              <w:spacing w:after="40"/>
              <w:rPr>
                <w:rFonts w:cstheme="minorHAnsi"/>
                <w:color w:val="000000" w:themeColor="text1"/>
                <w:sz w:val="20"/>
                <w:szCs w:val="20"/>
              </w:rPr>
            </w:pPr>
            <w:r w:rsidRPr="00DA0FFF">
              <w:rPr>
                <w:rFonts w:cstheme="minorHAnsi"/>
                <w:sz w:val="20"/>
                <w:szCs w:val="20"/>
              </w:rPr>
              <w:t>Network of Universities from the Capitals of Europe (UNICA)</w:t>
            </w:r>
          </w:p>
        </w:tc>
      </w:tr>
      <w:tr w:rsidR="00B4598B" w:rsidRPr="00420640" w14:paraId="3E9FD904" w14:textId="77777777" w:rsidTr="002B5001">
        <w:tc>
          <w:tcPr>
            <w:tcW w:w="486" w:type="pct"/>
            <w:vAlign w:val="center"/>
          </w:tcPr>
          <w:p w14:paraId="0FED6785"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1991</w:t>
            </w:r>
          </w:p>
        </w:tc>
        <w:tc>
          <w:tcPr>
            <w:tcW w:w="1197" w:type="pct"/>
            <w:vAlign w:val="center"/>
          </w:tcPr>
          <w:p w14:paraId="21A92419" w14:textId="77777777" w:rsidR="00A129E3" w:rsidRPr="00DA0FFF" w:rsidRDefault="00A129E3" w:rsidP="002B5001">
            <w:pPr>
              <w:spacing w:after="40"/>
              <w:rPr>
                <w:rFonts w:cstheme="minorHAnsi"/>
                <w:sz w:val="20"/>
                <w:szCs w:val="20"/>
              </w:rPr>
            </w:pPr>
          </w:p>
        </w:tc>
        <w:tc>
          <w:tcPr>
            <w:tcW w:w="1488" w:type="pct"/>
            <w:vAlign w:val="center"/>
          </w:tcPr>
          <w:p w14:paraId="70DAA833" w14:textId="77777777" w:rsidR="00A129E3" w:rsidRPr="00DA0FFF" w:rsidRDefault="00A129E3" w:rsidP="002B5001">
            <w:pPr>
              <w:spacing w:after="40"/>
              <w:rPr>
                <w:rFonts w:cstheme="minorHAnsi"/>
                <w:sz w:val="20"/>
                <w:szCs w:val="20"/>
              </w:rPr>
            </w:pPr>
          </w:p>
        </w:tc>
        <w:tc>
          <w:tcPr>
            <w:tcW w:w="1829" w:type="pct"/>
            <w:vAlign w:val="center"/>
          </w:tcPr>
          <w:p w14:paraId="0F73938F" w14:textId="77777777" w:rsidR="00A129E3" w:rsidRPr="00DA0FFF" w:rsidRDefault="00A129E3" w:rsidP="002B5001">
            <w:pPr>
              <w:spacing w:after="40"/>
              <w:rPr>
                <w:rFonts w:cstheme="minorHAnsi"/>
                <w:sz w:val="20"/>
                <w:szCs w:val="20"/>
              </w:rPr>
            </w:pPr>
            <w:r w:rsidRPr="00DA0FFF">
              <w:rPr>
                <w:rFonts w:cstheme="minorHAnsi"/>
                <w:sz w:val="20"/>
                <w:szCs w:val="20"/>
              </w:rPr>
              <w:t>International Network for Quality Assurance Agencies in Higher Education (INQAAHE)</w:t>
            </w:r>
          </w:p>
          <w:p w14:paraId="5FF07F22" w14:textId="77777777" w:rsidR="00A129E3" w:rsidRPr="00DA0FFF" w:rsidRDefault="00A129E3" w:rsidP="002B5001">
            <w:pPr>
              <w:spacing w:after="40"/>
              <w:rPr>
                <w:rFonts w:cstheme="minorHAnsi"/>
                <w:sz w:val="20"/>
                <w:szCs w:val="20"/>
              </w:rPr>
            </w:pPr>
            <w:r w:rsidRPr="00DA0FFF">
              <w:rPr>
                <w:rFonts w:cstheme="minorHAnsi"/>
                <w:sz w:val="20"/>
                <w:szCs w:val="20"/>
              </w:rPr>
              <w:t>Asociación de Universidades Grupo Montevideo (AUGM)</w:t>
            </w:r>
          </w:p>
          <w:p w14:paraId="284A1F4F" w14:textId="77777777" w:rsidR="00A129E3" w:rsidRPr="00DA0FFF" w:rsidRDefault="00A129E3" w:rsidP="002B5001">
            <w:pPr>
              <w:spacing w:after="40"/>
              <w:rPr>
                <w:rFonts w:cstheme="minorHAnsi"/>
                <w:sz w:val="20"/>
                <w:szCs w:val="20"/>
              </w:rPr>
            </w:pPr>
            <w:r w:rsidRPr="00DA0FFF">
              <w:rPr>
                <w:rFonts w:cstheme="minorHAnsi"/>
                <w:sz w:val="20"/>
                <w:szCs w:val="20"/>
              </w:rPr>
              <w:t>Consortium Linking Universities of Science and Technology for Education and Research (CLUSTER)</w:t>
            </w:r>
          </w:p>
        </w:tc>
      </w:tr>
      <w:tr w:rsidR="00A129E3" w:rsidRPr="00420640" w14:paraId="42AD4A62" w14:textId="77777777" w:rsidTr="002B5001">
        <w:tc>
          <w:tcPr>
            <w:tcW w:w="486" w:type="pct"/>
            <w:vAlign w:val="center"/>
          </w:tcPr>
          <w:p w14:paraId="15553497"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1992</w:t>
            </w:r>
          </w:p>
        </w:tc>
        <w:tc>
          <w:tcPr>
            <w:tcW w:w="1197" w:type="pct"/>
            <w:vAlign w:val="center"/>
          </w:tcPr>
          <w:p w14:paraId="00CF38EF" w14:textId="717E93C2" w:rsidR="00A129E3" w:rsidRPr="00DA0FFF" w:rsidRDefault="005936EA" w:rsidP="002B5001">
            <w:pPr>
              <w:spacing w:after="40"/>
              <w:rPr>
                <w:rFonts w:cstheme="minorHAnsi"/>
                <w:sz w:val="20"/>
                <w:szCs w:val="20"/>
              </w:rPr>
            </w:pPr>
            <w:r w:rsidRPr="00DA0FFF">
              <w:rPr>
                <w:rFonts w:cstheme="minorHAnsi"/>
                <w:sz w:val="20"/>
                <w:szCs w:val="20"/>
              </w:rPr>
              <w:t xml:space="preserve">Recommendation on the Recognition of Studies and Qualifications in Higher Education </w:t>
            </w:r>
            <w:r>
              <w:rPr>
                <w:rFonts w:cstheme="minorHAnsi"/>
                <w:sz w:val="20"/>
                <w:szCs w:val="20"/>
              </w:rPr>
              <w:t>(UNESCO)</w:t>
            </w:r>
          </w:p>
        </w:tc>
        <w:tc>
          <w:tcPr>
            <w:tcW w:w="1488" w:type="pct"/>
            <w:vAlign w:val="center"/>
          </w:tcPr>
          <w:p w14:paraId="28C7E585" w14:textId="18F25356" w:rsidR="00A129E3" w:rsidRPr="00DA0FFF" w:rsidRDefault="00A129E3" w:rsidP="002B5001">
            <w:pPr>
              <w:spacing w:after="40"/>
              <w:rPr>
                <w:rFonts w:cstheme="minorHAnsi"/>
                <w:sz w:val="20"/>
                <w:szCs w:val="20"/>
              </w:rPr>
            </w:pPr>
          </w:p>
        </w:tc>
        <w:tc>
          <w:tcPr>
            <w:tcW w:w="1829" w:type="pct"/>
            <w:vAlign w:val="center"/>
          </w:tcPr>
          <w:p w14:paraId="17BCD7BE" w14:textId="77777777" w:rsidR="00A129E3" w:rsidRPr="00DA0FFF" w:rsidRDefault="00A129E3" w:rsidP="002B5001">
            <w:pPr>
              <w:spacing w:after="40"/>
              <w:rPr>
                <w:rFonts w:cstheme="minorHAnsi"/>
                <w:sz w:val="20"/>
                <w:szCs w:val="20"/>
              </w:rPr>
            </w:pPr>
            <w:r w:rsidRPr="00DA0FFF">
              <w:rPr>
                <w:rFonts w:cstheme="minorHAnsi"/>
                <w:sz w:val="20"/>
                <w:szCs w:val="20"/>
              </w:rPr>
              <w:t>Consortium for North American Tertiary Education Collaboration (CONAHEC)</w:t>
            </w:r>
          </w:p>
        </w:tc>
      </w:tr>
      <w:tr w:rsidR="00A129E3" w:rsidRPr="00420640" w14:paraId="24465561" w14:textId="77777777" w:rsidTr="002B5001">
        <w:tc>
          <w:tcPr>
            <w:tcW w:w="486" w:type="pct"/>
            <w:vAlign w:val="center"/>
          </w:tcPr>
          <w:p w14:paraId="0D0B7632"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1993</w:t>
            </w:r>
          </w:p>
        </w:tc>
        <w:tc>
          <w:tcPr>
            <w:tcW w:w="1197" w:type="pct"/>
            <w:vAlign w:val="center"/>
          </w:tcPr>
          <w:p w14:paraId="0BC21D35" w14:textId="77777777" w:rsidR="00A129E3" w:rsidRPr="00DA0FFF" w:rsidRDefault="00A129E3" w:rsidP="002B5001">
            <w:pPr>
              <w:spacing w:after="40"/>
              <w:rPr>
                <w:rFonts w:cstheme="minorHAnsi"/>
                <w:color w:val="222222"/>
                <w:sz w:val="20"/>
                <w:szCs w:val="20"/>
                <w:shd w:val="clear" w:color="auto" w:fill="FFFFFF"/>
              </w:rPr>
            </w:pPr>
          </w:p>
        </w:tc>
        <w:tc>
          <w:tcPr>
            <w:tcW w:w="1488" w:type="pct"/>
            <w:vAlign w:val="center"/>
          </w:tcPr>
          <w:p w14:paraId="30E720D8" w14:textId="77777777" w:rsidR="00A129E3" w:rsidRPr="00DA0FFF" w:rsidRDefault="00A129E3" w:rsidP="002B5001">
            <w:pPr>
              <w:spacing w:after="40"/>
              <w:rPr>
                <w:rFonts w:cstheme="minorHAnsi"/>
                <w:sz w:val="20"/>
                <w:szCs w:val="20"/>
              </w:rPr>
            </w:pPr>
          </w:p>
        </w:tc>
        <w:tc>
          <w:tcPr>
            <w:tcW w:w="1829" w:type="pct"/>
            <w:vAlign w:val="center"/>
          </w:tcPr>
          <w:p w14:paraId="2DE3C6DA" w14:textId="77777777" w:rsidR="00A129E3" w:rsidRPr="00DA0FFF" w:rsidRDefault="00A129E3" w:rsidP="002B5001">
            <w:pPr>
              <w:spacing w:after="40"/>
              <w:rPr>
                <w:rFonts w:cstheme="minorHAnsi"/>
                <w:sz w:val="20"/>
                <w:szCs w:val="20"/>
              </w:rPr>
            </w:pPr>
            <w:r w:rsidRPr="00DA0FFF">
              <w:rPr>
                <w:rFonts w:cstheme="minorHAnsi"/>
                <w:sz w:val="20"/>
                <w:szCs w:val="20"/>
              </w:rPr>
              <w:t>Matariki Network of Universities (MNU)</w:t>
            </w:r>
          </w:p>
          <w:p w14:paraId="16505E82" w14:textId="77777777" w:rsidR="00A129E3" w:rsidRPr="00DA0FFF" w:rsidRDefault="00A129E3" w:rsidP="002B5001">
            <w:pPr>
              <w:spacing w:after="40"/>
              <w:rPr>
                <w:rFonts w:cstheme="minorHAnsi"/>
                <w:color w:val="222222"/>
                <w:sz w:val="20"/>
                <w:szCs w:val="20"/>
                <w:shd w:val="clear" w:color="auto" w:fill="FFFFFF"/>
              </w:rPr>
            </w:pPr>
            <w:r w:rsidRPr="00DA0FFF">
              <w:rPr>
                <w:rFonts w:cstheme="minorHAnsi"/>
                <w:sz w:val="20"/>
                <w:szCs w:val="20"/>
              </w:rPr>
              <w:t>Academic Cooperation Association (ACA)</w:t>
            </w:r>
          </w:p>
        </w:tc>
      </w:tr>
      <w:tr w:rsidR="00A129E3" w:rsidRPr="00420640" w14:paraId="6A9CE9CD" w14:textId="77777777" w:rsidTr="002B5001">
        <w:tc>
          <w:tcPr>
            <w:tcW w:w="486" w:type="pct"/>
            <w:vAlign w:val="center"/>
          </w:tcPr>
          <w:p w14:paraId="39462DE6"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1994</w:t>
            </w:r>
          </w:p>
        </w:tc>
        <w:tc>
          <w:tcPr>
            <w:tcW w:w="1197" w:type="pct"/>
            <w:vAlign w:val="center"/>
          </w:tcPr>
          <w:p w14:paraId="545BAB38" w14:textId="77777777" w:rsidR="00A129E3" w:rsidRPr="00DA0FFF" w:rsidRDefault="00A129E3" w:rsidP="002B5001">
            <w:pPr>
              <w:spacing w:after="40"/>
              <w:rPr>
                <w:rFonts w:cstheme="minorHAnsi"/>
                <w:color w:val="222222"/>
                <w:sz w:val="20"/>
                <w:szCs w:val="20"/>
                <w:shd w:val="clear" w:color="auto" w:fill="FFFFFF"/>
              </w:rPr>
            </w:pPr>
          </w:p>
        </w:tc>
        <w:tc>
          <w:tcPr>
            <w:tcW w:w="1488" w:type="pct"/>
            <w:vAlign w:val="center"/>
          </w:tcPr>
          <w:p w14:paraId="5BC454F0" w14:textId="77777777" w:rsidR="00A129E3" w:rsidRPr="00DA0FFF" w:rsidRDefault="00A129E3" w:rsidP="002B5001">
            <w:pPr>
              <w:spacing w:after="40"/>
              <w:rPr>
                <w:rFonts w:cstheme="minorHAnsi"/>
                <w:sz w:val="20"/>
                <w:szCs w:val="20"/>
              </w:rPr>
            </w:pPr>
          </w:p>
        </w:tc>
        <w:tc>
          <w:tcPr>
            <w:tcW w:w="1829" w:type="pct"/>
            <w:vAlign w:val="center"/>
          </w:tcPr>
          <w:p w14:paraId="15FB73FA" w14:textId="77777777" w:rsidR="00A129E3" w:rsidRPr="00DA0FFF" w:rsidRDefault="00A129E3" w:rsidP="002B5001">
            <w:pPr>
              <w:spacing w:after="40"/>
              <w:rPr>
                <w:rFonts w:cstheme="minorHAnsi"/>
                <w:color w:val="222222"/>
                <w:sz w:val="20"/>
                <w:szCs w:val="20"/>
                <w:shd w:val="clear" w:color="auto" w:fill="FFFFFF"/>
              </w:rPr>
            </w:pPr>
            <w:r w:rsidRPr="00DA0FFF">
              <w:rPr>
                <w:rFonts w:cstheme="minorHAnsi"/>
                <w:sz w:val="20"/>
                <w:szCs w:val="20"/>
              </w:rPr>
              <w:t>Compostela Group of Universities (CGU)</w:t>
            </w:r>
          </w:p>
        </w:tc>
      </w:tr>
      <w:tr w:rsidR="00B4598B" w:rsidRPr="00420640" w14:paraId="71954938" w14:textId="77777777" w:rsidTr="002B5001">
        <w:tc>
          <w:tcPr>
            <w:tcW w:w="486" w:type="pct"/>
            <w:vAlign w:val="center"/>
          </w:tcPr>
          <w:p w14:paraId="20C24F37"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1995</w:t>
            </w:r>
          </w:p>
        </w:tc>
        <w:tc>
          <w:tcPr>
            <w:tcW w:w="1197" w:type="pct"/>
            <w:vAlign w:val="center"/>
          </w:tcPr>
          <w:p w14:paraId="5965C07A" w14:textId="77777777" w:rsidR="00A129E3" w:rsidRPr="00DA0FFF" w:rsidRDefault="00A129E3" w:rsidP="002B5001">
            <w:pPr>
              <w:spacing w:after="40"/>
              <w:rPr>
                <w:rFonts w:cstheme="minorHAnsi"/>
                <w:sz w:val="20"/>
                <w:szCs w:val="20"/>
              </w:rPr>
            </w:pPr>
          </w:p>
        </w:tc>
        <w:tc>
          <w:tcPr>
            <w:tcW w:w="1488" w:type="pct"/>
            <w:vAlign w:val="center"/>
          </w:tcPr>
          <w:p w14:paraId="2F95FDCF" w14:textId="175A2DD4" w:rsidR="00A129E3" w:rsidRPr="00DA0FFF" w:rsidRDefault="00A129E3" w:rsidP="002B5001">
            <w:pPr>
              <w:spacing w:after="40"/>
              <w:rPr>
                <w:rFonts w:cstheme="minorHAnsi"/>
                <w:sz w:val="20"/>
                <w:szCs w:val="20"/>
              </w:rPr>
            </w:pPr>
            <w:r w:rsidRPr="00DA0FFF">
              <w:rPr>
                <w:rFonts w:cstheme="minorHAnsi"/>
                <w:sz w:val="20"/>
                <w:szCs w:val="20"/>
              </w:rPr>
              <w:t xml:space="preserve">World Trade Organisation </w:t>
            </w:r>
            <w:r w:rsidR="00A57AA8">
              <w:rPr>
                <w:rFonts w:cstheme="minorHAnsi"/>
                <w:sz w:val="20"/>
                <w:szCs w:val="20"/>
              </w:rPr>
              <w:t>(WTO)</w:t>
            </w:r>
          </w:p>
        </w:tc>
        <w:tc>
          <w:tcPr>
            <w:tcW w:w="1829" w:type="pct"/>
            <w:vAlign w:val="center"/>
          </w:tcPr>
          <w:p w14:paraId="2836C0D9" w14:textId="77777777" w:rsidR="00A129E3" w:rsidRPr="00DA0FFF" w:rsidRDefault="00A129E3" w:rsidP="002B5001">
            <w:pPr>
              <w:spacing w:after="40"/>
              <w:rPr>
                <w:rFonts w:cstheme="minorHAnsi"/>
                <w:sz w:val="20"/>
                <w:szCs w:val="20"/>
              </w:rPr>
            </w:pPr>
            <w:r w:rsidRPr="00DA0FFF">
              <w:rPr>
                <w:rFonts w:cstheme="minorHAnsi"/>
                <w:sz w:val="20"/>
                <w:szCs w:val="20"/>
              </w:rPr>
              <w:t>Association of Universities of Asia and the Pacific (AUAP)</w:t>
            </w:r>
          </w:p>
          <w:p w14:paraId="579105B8" w14:textId="77777777" w:rsidR="00A129E3" w:rsidRPr="00DA0FFF" w:rsidRDefault="00A129E3" w:rsidP="002B5001">
            <w:pPr>
              <w:spacing w:after="40"/>
              <w:rPr>
                <w:rFonts w:cstheme="minorHAnsi"/>
                <w:sz w:val="20"/>
                <w:szCs w:val="20"/>
              </w:rPr>
            </w:pPr>
            <w:r w:rsidRPr="00DA0FFF">
              <w:rPr>
                <w:rFonts w:cstheme="minorHAnsi"/>
                <w:sz w:val="20"/>
                <w:szCs w:val="20"/>
              </w:rPr>
              <w:t>ASEAN University Network (AUN)</w:t>
            </w:r>
          </w:p>
        </w:tc>
      </w:tr>
      <w:tr w:rsidR="00A129E3" w:rsidRPr="00420640" w14:paraId="074E935A" w14:textId="77777777" w:rsidTr="002B5001">
        <w:tc>
          <w:tcPr>
            <w:tcW w:w="486" w:type="pct"/>
            <w:vAlign w:val="center"/>
          </w:tcPr>
          <w:p w14:paraId="0726E055"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1996</w:t>
            </w:r>
          </w:p>
        </w:tc>
        <w:tc>
          <w:tcPr>
            <w:tcW w:w="1197" w:type="pct"/>
            <w:vAlign w:val="center"/>
          </w:tcPr>
          <w:p w14:paraId="7978E16F" w14:textId="77777777" w:rsidR="00A129E3" w:rsidRPr="00DA0FFF" w:rsidRDefault="00A129E3" w:rsidP="002B5001">
            <w:pPr>
              <w:spacing w:after="40"/>
              <w:rPr>
                <w:rFonts w:cstheme="minorHAnsi"/>
                <w:bCs/>
                <w:color w:val="222222"/>
                <w:sz w:val="20"/>
                <w:szCs w:val="20"/>
              </w:rPr>
            </w:pPr>
          </w:p>
        </w:tc>
        <w:tc>
          <w:tcPr>
            <w:tcW w:w="1488" w:type="pct"/>
            <w:vAlign w:val="center"/>
          </w:tcPr>
          <w:p w14:paraId="2D6D673F" w14:textId="77777777" w:rsidR="00A129E3" w:rsidRPr="00DA0FFF" w:rsidRDefault="00A129E3" w:rsidP="002B5001">
            <w:pPr>
              <w:spacing w:after="40"/>
              <w:rPr>
                <w:rFonts w:cstheme="minorHAnsi"/>
                <w:sz w:val="20"/>
                <w:szCs w:val="20"/>
              </w:rPr>
            </w:pPr>
          </w:p>
        </w:tc>
        <w:tc>
          <w:tcPr>
            <w:tcW w:w="1829" w:type="pct"/>
            <w:vAlign w:val="center"/>
          </w:tcPr>
          <w:p w14:paraId="591EA28B" w14:textId="77777777" w:rsidR="00A129E3" w:rsidRPr="00DA0FFF" w:rsidRDefault="00A129E3" w:rsidP="002B5001">
            <w:pPr>
              <w:spacing w:after="40"/>
              <w:rPr>
                <w:rFonts w:cstheme="minorHAnsi"/>
                <w:bCs/>
                <w:color w:val="222222"/>
                <w:sz w:val="20"/>
                <w:szCs w:val="20"/>
              </w:rPr>
            </w:pPr>
            <w:r w:rsidRPr="00DA0FFF">
              <w:rPr>
                <w:rFonts w:cstheme="minorHAnsi"/>
                <w:bCs/>
                <w:color w:val="222222"/>
                <w:sz w:val="20"/>
                <w:szCs w:val="20"/>
              </w:rPr>
              <w:t>Council for Higher Education Accreditation</w:t>
            </w:r>
            <w:r w:rsidRPr="00DA0FFF">
              <w:rPr>
                <w:rStyle w:val="apple-converted-space"/>
                <w:rFonts w:cstheme="minorHAnsi"/>
                <w:color w:val="222222"/>
                <w:sz w:val="20"/>
                <w:szCs w:val="20"/>
                <w:shd w:val="clear" w:color="auto" w:fill="FFFFFF"/>
              </w:rPr>
              <w:t> </w:t>
            </w:r>
            <w:r w:rsidRPr="00DA0FFF">
              <w:rPr>
                <w:rFonts w:cstheme="minorHAnsi"/>
                <w:color w:val="222222"/>
                <w:sz w:val="20"/>
                <w:szCs w:val="20"/>
                <w:shd w:val="clear" w:color="auto" w:fill="FFFFFF"/>
              </w:rPr>
              <w:t>(</w:t>
            </w:r>
            <w:r w:rsidRPr="00DA0FFF">
              <w:rPr>
                <w:rFonts w:cstheme="minorHAnsi"/>
                <w:bCs/>
                <w:color w:val="222222"/>
                <w:sz w:val="20"/>
                <w:szCs w:val="20"/>
              </w:rPr>
              <w:t>CHEA</w:t>
            </w:r>
            <w:r w:rsidRPr="00DA0FFF">
              <w:rPr>
                <w:rFonts w:cstheme="minorHAnsi"/>
                <w:color w:val="222222"/>
                <w:sz w:val="20"/>
                <w:szCs w:val="20"/>
                <w:shd w:val="clear" w:color="auto" w:fill="FFFFFF"/>
              </w:rPr>
              <w:t>)</w:t>
            </w:r>
          </w:p>
        </w:tc>
      </w:tr>
      <w:tr w:rsidR="00B4598B" w:rsidRPr="00420640" w14:paraId="3ADC8F5A" w14:textId="77777777" w:rsidTr="002B5001">
        <w:tc>
          <w:tcPr>
            <w:tcW w:w="486" w:type="pct"/>
            <w:vAlign w:val="center"/>
          </w:tcPr>
          <w:p w14:paraId="6C77A9E7" w14:textId="77777777" w:rsidR="00A129E3" w:rsidRPr="00DA0FFF" w:rsidRDefault="00A129E3" w:rsidP="00A57AA8">
            <w:pPr>
              <w:spacing w:after="40"/>
              <w:jc w:val="center"/>
              <w:rPr>
                <w:rFonts w:cstheme="minorHAnsi"/>
                <w:b/>
                <w:sz w:val="20"/>
                <w:szCs w:val="20"/>
              </w:rPr>
            </w:pPr>
            <w:r w:rsidRPr="00DA0FFF">
              <w:rPr>
                <w:rFonts w:cstheme="minorHAnsi"/>
                <w:b/>
                <w:sz w:val="20"/>
                <w:szCs w:val="20"/>
              </w:rPr>
              <w:t>1997</w:t>
            </w:r>
          </w:p>
        </w:tc>
        <w:tc>
          <w:tcPr>
            <w:tcW w:w="1197" w:type="pct"/>
            <w:vAlign w:val="center"/>
          </w:tcPr>
          <w:p w14:paraId="45BDE453" w14:textId="77777777" w:rsidR="00A129E3" w:rsidRPr="00DA0FFF" w:rsidRDefault="00A129E3" w:rsidP="002B5001">
            <w:pPr>
              <w:spacing w:after="40"/>
              <w:rPr>
                <w:rFonts w:cstheme="minorHAnsi"/>
                <w:sz w:val="20"/>
                <w:szCs w:val="20"/>
              </w:rPr>
            </w:pPr>
          </w:p>
        </w:tc>
        <w:tc>
          <w:tcPr>
            <w:tcW w:w="1488" w:type="pct"/>
            <w:vAlign w:val="center"/>
          </w:tcPr>
          <w:p w14:paraId="20ED2317" w14:textId="77777777" w:rsidR="00A129E3" w:rsidRPr="00DA0FFF" w:rsidRDefault="00A129E3" w:rsidP="002B5001">
            <w:pPr>
              <w:spacing w:after="40"/>
              <w:rPr>
                <w:rFonts w:cstheme="minorHAnsi"/>
                <w:sz w:val="20"/>
                <w:szCs w:val="20"/>
              </w:rPr>
            </w:pPr>
            <w:r w:rsidRPr="00DA0FFF">
              <w:rPr>
                <w:rFonts w:cstheme="minorHAnsi"/>
                <w:sz w:val="20"/>
                <w:szCs w:val="20"/>
              </w:rPr>
              <w:t>Programme on Institutional Management in Higher Education (IMHE) (OECD)</w:t>
            </w:r>
          </w:p>
        </w:tc>
        <w:tc>
          <w:tcPr>
            <w:tcW w:w="1829" w:type="pct"/>
            <w:vAlign w:val="center"/>
          </w:tcPr>
          <w:p w14:paraId="4467E227" w14:textId="77777777" w:rsidR="00A129E3" w:rsidRPr="00DA0FFF" w:rsidRDefault="00A129E3" w:rsidP="002B5001">
            <w:pPr>
              <w:spacing w:after="40"/>
              <w:rPr>
                <w:rFonts w:cstheme="minorHAnsi"/>
                <w:sz w:val="20"/>
                <w:szCs w:val="20"/>
              </w:rPr>
            </w:pPr>
            <w:r w:rsidRPr="00DA0FFF">
              <w:rPr>
                <w:rFonts w:cstheme="minorHAnsi"/>
                <w:sz w:val="20"/>
                <w:szCs w:val="20"/>
              </w:rPr>
              <w:t>Association of Pacific Rim Universities (APRU)</w:t>
            </w:r>
          </w:p>
          <w:p w14:paraId="605BBFDE" w14:textId="77777777" w:rsidR="00A129E3" w:rsidRPr="00DA0FFF" w:rsidRDefault="00A129E3" w:rsidP="002B5001">
            <w:pPr>
              <w:spacing w:after="40"/>
              <w:rPr>
                <w:rFonts w:cstheme="minorHAnsi"/>
                <w:sz w:val="20"/>
                <w:szCs w:val="20"/>
              </w:rPr>
            </w:pPr>
            <w:r w:rsidRPr="00DA0FFF">
              <w:rPr>
                <w:rFonts w:cstheme="minorHAnsi"/>
                <w:sz w:val="20"/>
                <w:szCs w:val="20"/>
              </w:rPr>
              <w:t>Heads of University Management &amp; Administration Network (HUMANE)</w:t>
            </w:r>
          </w:p>
        </w:tc>
      </w:tr>
      <w:tr w:rsidR="00B4598B" w:rsidRPr="00420640" w14:paraId="5C73FB6B" w14:textId="77777777" w:rsidTr="002B5001">
        <w:tc>
          <w:tcPr>
            <w:tcW w:w="486" w:type="pct"/>
            <w:vAlign w:val="center"/>
          </w:tcPr>
          <w:p w14:paraId="3A743228"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1998</w:t>
            </w:r>
          </w:p>
        </w:tc>
        <w:tc>
          <w:tcPr>
            <w:tcW w:w="1197" w:type="pct"/>
            <w:vAlign w:val="center"/>
          </w:tcPr>
          <w:p w14:paraId="16B506CB" w14:textId="77777777" w:rsidR="00A129E3" w:rsidRPr="00DA0FFF" w:rsidRDefault="00A129E3" w:rsidP="002B5001">
            <w:pPr>
              <w:spacing w:after="40"/>
              <w:rPr>
                <w:rFonts w:cstheme="minorHAnsi"/>
                <w:sz w:val="20"/>
                <w:szCs w:val="20"/>
              </w:rPr>
            </w:pPr>
          </w:p>
        </w:tc>
        <w:tc>
          <w:tcPr>
            <w:tcW w:w="1488" w:type="pct"/>
            <w:vAlign w:val="center"/>
          </w:tcPr>
          <w:p w14:paraId="39D2608E" w14:textId="77777777" w:rsidR="00A129E3" w:rsidRPr="00DA0FFF" w:rsidRDefault="00A129E3" w:rsidP="002B5001">
            <w:pPr>
              <w:spacing w:after="40"/>
              <w:rPr>
                <w:rFonts w:cstheme="minorHAnsi"/>
                <w:sz w:val="20"/>
                <w:szCs w:val="20"/>
              </w:rPr>
            </w:pPr>
            <w:r w:rsidRPr="00DA0FFF">
              <w:rPr>
                <w:rFonts w:cstheme="minorHAnsi"/>
                <w:sz w:val="20"/>
                <w:szCs w:val="20"/>
              </w:rPr>
              <w:t>World Conference on Higher Education (UNESCO)</w:t>
            </w:r>
          </w:p>
        </w:tc>
        <w:tc>
          <w:tcPr>
            <w:tcW w:w="1829" w:type="pct"/>
            <w:vAlign w:val="center"/>
          </w:tcPr>
          <w:p w14:paraId="56CEF403" w14:textId="77777777" w:rsidR="00A129E3" w:rsidRPr="00DA0FFF" w:rsidRDefault="00A129E3" w:rsidP="002B5001">
            <w:pPr>
              <w:spacing w:after="40"/>
              <w:rPr>
                <w:rFonts w:cstheme="minorHAnsi"/>
                <w:sz w:val="20"/>
                <w:szCs w:val="20"/>
              </w:rPr>
            </w:pPr>
            <w:r w:rsidRPr="00DA0FFF">
              <w:rPr>
                <w:rFonts w:cstheme="minorHAnsi"/>
                <w:sz w:val="20"/>
                <w:szCs w:val="20"/>
              </w:rPr>
              <w:t>The Global Alliance in management of Education (CEMS)</w:t>
            </w:r>
          </w:p>
        </w:tc>
      </w:tr>
      <w:tr w:rsidR="00B4598B" w:rsidRPr="00420640" w14:paraId="6151603E" w14:textId="77777777" w:rsidTr="002B5001">
        <w:tc>
          <w:tcPr>
            <w:tcW w:w="486" w:type="pct"/>
            <w:vAlign w:val="center"/>
          </w:tcPr>
          <w:p w14:paraId="68811A06"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1999</w:t>
            </w:r>
          </w:p>
        </w:tc>
        <w:tc>
          <w:tcPr>
            <w:tcW w:w="1197" w:type="pct"/>
            <w:vAlign w:val="center"/>
          </w:tcPr>
          <w:p w14:paraId="3BD0566F" w14:textId="266410A9" w:rsidR="00A129E3" w:rsidRPr="00DA0FFF" w:rsidRDefault="005936EA" w:rsidP="002B5001">
            <w:pPr>
              <w:spacing w:after="40"/>
              <w:rPr>
                <w:rFonts w:cstheme="minorHAnsi"/>
                <w:sz w:val="20"/>
                <w:szCs w:val="20"/>
              </w:rPr>
            </w:pPr>
            <w:r w:rsidRPr="00DA0FFF">
              <w:rPr>
                <w:rFonts w:cstheme="minorHAnsi"/>
                <w:sz w:val="20"/>
                <w:szCs w:val="20"/>
              </w:rPr>
              <w:t>Bologna Declaration</w:t>
            </w:r>
          </w:p>
        </w:tc>
        <w:tc>
          <w:tcPr>
            <w:tcW w:w="1488" w:type="pct"/>
            <w:vAlign w:val="center"/>
          </w:tcPr>
          <w:p w14:paraId="4290BCA3" w14:textId="67EA6651" w:rsidR="00A129E3" w:rsidRPr="00DA0FFF" w:rsidRDefault="00A129E3" w:rsidP="002B5001">
            <w:pPr>
              <w:spacing w:after="40"/>
              <w:rPr>
                <w:rFonts w:cstheme="minorHAnsi"/>
                <w:sz w:val="20"/>
                <w:szCs w:val="20"/>
              </w:rPr>
            </w:pPr>
          </w:p>
        </w:tc>
        <w:tc>
          <w:tcPr>
            <w:tcW w:w="1829" w:type="pct"/>
            <w:vAlign w:val="center"/>
          </w:tcPr>
          <w:p w14:paraId="45A18AA9" w14:textId="77777777" w:rsidR="00A129E3" w:rsidRPr="00DA0FFF" w:rsidRDefault="00A129E3" w:rsidP="002B5001">
            <w:pPr>
              <w:spacing w:after="40"/>
              <w:rPr>
                <w:rFonts w:cstheme="minorHAnsi"/>
                <w:sz w:val="20"/>
                <w:szCs w:val="20"/>
              </w:rPr>
            </w:pPr>
            <w:r w:rsidRPr="00DA0FFF">
              <w:rPr>
                <w:rFonts w:cstheme="minorHAnsi"/>
                <w:sz w:val="20"/>
                <w:szCs w:val="20"/>
              </w:rPr>
              <w:t>Global University Network for Innovation (GUNi)</w:t>
            </w:r>
          </w:p>
        </w:tc>
      </w:tr>
      <w:tr w:rsidR="002B5001" w:rsidRPr="00420640" w14:paraId="35F586E0" w14:textId="77777777" w:rsidTr="002B5001">
        <w:trPr>
          <w:trHeight w:val="1257"/>
        </w:trPr>
        <w:tc>
          <w:tcPr>
            <w:tcW w:w="486" w:type="pct"/>
            <w:vAlign w:val="center"/>
          </w:tcPr>
          <w:p w14:paraId="09E6051E"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2000</w:t>
            </w:r>
          </w:p>
        </w:tc>
        <w:tc>
          <w:tcPr>
            <w:tcW w:w="1197" w:type="pct"/>
            <w:vAlign w:val="center"/>
          </w:tcPr>
          <w:p w14:paraId="585EF42A" w14:textId="769062AA" w:rsidR="00A129E3" w:rsidRPr="00DA0FFF" w:rsidRDefault="00AF5472" w:rsidP="002B5001">
            <w:pPr>
              <w:spacing w:after="40"/>
              <w:rPr>
                <w:rFonts w:cstheme="minorHAnsi"/>
                <w:sz w:val="20"/>
                <w:szCs w:val="20"/>
              </w:rPr>
            </w:pPr>
            <w:r>
              <w:rPr>
                <w:rFonts w:cstheme="minorHAnsi"/>
                <w:sz w:val="20"/>
                <w:szCs w:val="20"/>
              </w:rPr>
              <w:t>Lisbon Strategy?</w:t>
            </w:r>
          </w:p>
        </w:tc>
        <w:tc>
          <w:tcPr>
            <w:tcW w:w="1488" w:type="pct"/>
            <w:vAlign w:val="center"/>
          </w:tcPr>
          <w:p w14:paraId="4DC9C5CD" w14:textId="575DE51E" w:rsidR="00A129E3" w:rsidRPr="00DA0FFF" w:rsidRDefault="00A129E3" w:rsidP="002B5001">
            <w:pPr>
              <w:spacing w:after="40"/>
              <w:rPr>
                <w:rFonts w:cstheme="minorHAnsi"/>
                <w:sz w:val="20"/>
                <w:szCs w:val="20"/>
              </w:rPr>
            </w:pPr>
            <w:r w:rsidRPr="00DA0FFF">
              <w:rPr>
                <w:rFonts w:cstheme="minorHAnsi"/>
                <w:sz w:val="20"/>
                <w:szCs w:val="20"/>
              </w:rPr>
              <w:t>Programme for International Student Assessment (PISA) (OECD)</w:t>
            </w:r>
          </w:p>
        </w:tc>
        <w:tc>
          <w:tcPr>
            <w:tcW w:w="1829" w:type="pct"/>
            <w:vAlign w:val="center"/>
          </w:tcPr>
          <w:p w14:paraId="50B61B72" w14:textId="56F830C7" w:rsidR="00A129E3" w:rsidRPr="00DA0FFF" w:rsidRDefault="00A129E3" w:rsidP="002B5001">
            <w:pPr>
              <w:spacing w:after="40"/>
              <w:rPr>
                <w:rFonts w:cstheme="minorHAnsi"/>
                <w:sz w:val="20"/>
                <w:szCs w:val="20"/>
              </w:rPr>
            </w:pPr>
            <w:r w:rsidRPr="00DA0FFF">
              <w:rPr>
                <w:rFonts w:cstheme="minorHAnsi"/>
                <w:sz w:val="20"/>
                <w:szCs w:val="20"/>
              </w:rPr>
              <w:t>European Network for Quality Assurance in Higher Education (ENQA)</w:t>
            </w:r>
          </w:p>
          <w:p w14:paraId="7547B350" w14:textId="77777777" w:rsidR="00A129E3" w:rsidRPr="00DA0FFF" w:rsidRDefault="00A129E3" w:rsidP="002B5001">
            <w:pPr>
              <w:spacing w:after="40"/>
              <w:rPr>
                <w:rFonts w:cstheme="minorHAnsi"/>
                <w:sz w:val="20"/>
                <w:szCs w:val="20"/>
              </w:rPr>
            </w:pPr>
            <w:r w:rsidRPr="00DA0FFF">
              <w:rPr>
                <w:rFonts w:cstheme="minorHAnsi"/>
                <w:sz w:val="20"/>
                <w:szCs w:val="20"/>
              </w:rPr>
              <w:t>Universities UK (UUK)</w:t>
            </w:r>
          </w:p>
          <w:p w14:paraId="5AB6E82A" w14:textId="77777777" w:rsidR="00A129E3" w:rsidRPr="00DA0FFF" w:rsidRDefault="00A129E3" w:rsidP="002B5001">
            <w:pPr>
              <w:spacing w:after="40"/>
              <w:rPr>
                <w:rFonts w:cstheme="minorHAnsi"/>
                <w:sz w:val="20"/>
                <w:szCs w:val="20"/>
              </w:rPr>
            </w:pPr>
            <w:r w:rsidRPr="00DA0FFF">
              <w:rPr>
                <w:rFonts w:cstheme="minorHAnsi"/>
                <w:sz w:val="20"/>
                <w:szCs w:val="20"/>
              </w:rPr>
              <w:t>The Worldwide University Network (WUN)</w:t>
            </w:r>
          </w:p>
        </w:tc>
      </w:tr>
      <w:tr w:rsidR="00B4598B" w:rsidRPr="00420640" w14:paraId="574E34D2" w14:textId="77777777" w:rsidTr="002B5001">
        <w:tc>
          <w:tcPr>
            <w:tcW w:w="486" w:type="pct"/>
            <w:vAlign w:val="center"/>
          </w:tcPr>
          <w:p w14:paraId="2743FD45"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2001</w:t>
            </w:r>
          </w:p>
        </w:tc>
        <w:tc>
          <w:tcPr>
            <w:tcW w:w="1197" w:type="pct"/>
            <w:vAlign w:val="center"/>
          </w:tcPr>
          <w:p w14:paraId="7657F4E3" w14:textId="77777777" w:rsidR="00A129E3" w:rsidRPr="00DA0FFF" w:rsidRDefault="00A129E3" w:rsidP="002B5001">
            <w:pPr>
              <w:spacing w:after="40"/>
              <w:rPr>
                <w:rFonts w:cstheme="minorHAnsi"/>
                <w:sz w:val="20"/>
                <w:szCs w:val="20"/>
              </w:rPr>
            </w:pPr>
          </w:p>
        </w:tc>
        <w:tc>
          <w:tcPr>
            <w:tcW w:w="1488" w:type="pct"/>
            <w:vAlign w:val="center"/>
          </w:tcPr>
          <w:p w14:paraId="275AAAD8" w14:textId="77777777" w:rsidR="00A129E3" w:rsidRPr="00DA0FFF" w:rsidRDefault="00A129E3" w:rsidP="002B5001">
            <w:pPr>
              <w:spacing w:after="40"/>
              <w:rPr>
                <w:rFonts w:cstheme="minorHAnsi"/>
                <w:sz w:val="20"/>
                <w:szCs w:val="20"/>
              </w:rPr>
            </w:pPr>
          </w:p>
        </w:tc>
        <w:tc>
          <w:tcPr>
            <w:tcW w:w="1829" w:type="pct"/>
            <w:vAlign w:val="center"/>
          </w:tcPr>
          <w:p w14:paraId="5C58D60B" w14:textId="77777777" w:rsidR="00A129E3" w:rsidRPr="00DA0FFF" w:rsidRDefault="00A129E3" w:rsidP="002B5001">
            <w:pPr>
              <w:spacing w:after="40"/>
              <w:rPr>
                <w:rFonts w:cstheme="minorHAnsi"/>
                <w:sz w:val="20"/>
                <w:szCs w:val="20"/>
              </w:rPr>
            </w:pPr>
            <w:r w:rsidRPr="00DA0FFF">
              <w:rPr>
                <w:rFonts w:cstheme="minorHAnsi"/>
                <w:sz w:val="20"/>
                <w:szCs w:val="20"/>
              </w:rPr>
              <w:t>European University Association (EUA)</w:t>
            </w:r>
          </w:p>
          <w:p w14:paraId="571838F7" w14:textId="52D448B7" w:rsidR="00A129E3" w:rsidRPr="00DA0FFF" w:rsidRDefault="00D029F8" w:rsidP="002B5001">
            <w:pPr>
              <w:spacing w:after="40"/>
              <w:rPr>
                <w:rFonts w:cstheme="minorHAnsi"/>
                <w:sz w:val="20"/>
                <w:szCs w:val="20"/>
              </w:rPr>
            </w:pPr>
            <w:r w:rsidRPr="00DA0FFF">
              <w:rPr>
                <w:rFonts w:cstheme="minorHAnsi"/>
                <w:sz w:val="20"/>
                <w:szCs w:val="20"/>
              </w:rPr>
              <w:t>Southeast</w:t>
            </w:r>
            <w:r w:rsidR="00A129E3" w:rsidRPr="00DA0FFF">
              <w:rPr>
                <w:rFonts w:cstheme="minorHAnsi"/>
                <w:sz w:val="20"/>
                <w:szCs w:val="20"/>
              </w:rPr>
              <w:t xml:space="preserve"> Asian Association for Institutional Research (SEAAIR)</w:t>
            </w:r>
          </w:p>
        </w:tc>
      </w:tr>
      <w:tr w:rsidR="00A129E3" w:rsidRPr="00420640" w14:paraId="359E9200" w14:textId="77777777" w:rsidTr="002B5001">
        <w:tc>
          <w:tcPr>
            <w:tcW w:w="486" w:type="pct"/>
            <w:vAlign w:val="center"/>
          </w:tcPr>
          <w:p w14:paraId="6E4D3500"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lastRenderedPageBreak/>
              <w:t>2002</w:t>
            </w:r>
          </w:p>
        </w:tc>
        <w:tc>
          <w:tcPr>
            <w:tcW w:w="1197" w:type="pct"/>
            <w:vAlign w:val="center"/>
          </w:tcPr>
          <w:p w14:paraId="22F7439A" w14:textId="77777777" w:rsidR="00A129E3" w:rsidRPr="00DA0FFF" w:rsidRDefault="00A129E3" w:rsidP="002B5001">
            <w:pPr>
              <w:spacing w:after="40"/>
              <w:rPr>
                <w:rFonts w:cstheme="minorHAnsi"/>
                <w:sz w:val="20"/>
                <w:szCs w:val="20"/>
              </w:rPr>
            </w:pPr>
          </w:p>
        </w:tc>
        <w:tc>
          <w:tcPr>
            <w:tcW w:w="1488" w:type="pct"/>
            <w:vAlign w:val="center"/>
          </w:tcPr>
          <w:p w14:paraId="02E93581" w14:textId="77777777" w:rsidR="00A129E3" w:rsidRPr="00DA0FFF" w:rsidRDefault="00A129E3" w:rsidP="002B5001">
            <w:pPr>
              <w:spacing w:after="40"/>
              <w:rPr>
                <w:rFonts w:cstheme="minorHAnsi"/>
                <w:sz w:val="20"/>
                <w:szCs w:val="20"/>
              </w:rPr>
            </w:pPr>
            <w:r w:rsidRPr="00DA0FFF">
              <w:rPr>
                <w:rFonts w:cstheme="minorHAnsi"/>
                <w:sz w:val="20"/>
                <w:szCs w:val="20"/>
              </w:rPr>
              <w:t>World Bank Higher Education Strategy (Constructing Knowledge Societies)</w:t>
            </w:r>
          </w:p>
        </w:tc>
        <w:tc>
          <w:tcPr>
            <w:tcW w:w="1829" w:type="pct"/>
            <w:vAlign w:val="center"/>
          </w:tcPr>
          <w:p w14:paraId="47B63F13" w14:textId="77777777" w:rsidR="00A129E3" w:rsidRPr="00DA0FFF" w:rsidRDefault="00A129E3" w:rsidP="002B5001">
            <w:pPr>
              <w:spacing w:after="40"/>
              <w:rPr>
                <w:rFonts w:cstheme="minorHAnsi"/>
                <w:sz w:val="20"/>
                <w:szCs w:val="20"/>
              </w:rPr>
            </w:pPr>
            <w:r w:rsidRPr="00DA0FFF">
              <w:rPr>
                <w:rFonts w:cstheme="minorHAnsi"/>
                <w:sz w:val="20"/>
                <w:szCs w:val="20"/>
              </w:rPr>
              <w:t>The League of European Research Universities (LERU)</w:t>
            </w:r>
          </w:p>
        </w:tc>
      </w:tr>
      <w:tr w:rsidR="002B5001" w:rsidRPr="00420640" w14:paraId="10002999" w14:textId="77777777" w:rsidTr="002B5001">
        <w:trPr>
          <w:trHeight w:val="2820"/>
        </w:trPr>
        <w:tc>
          <w:tcPr>
            <w:tcW w:w="486" w:type="pct"/>
            <w:vAlign w:val="center"/>
          </w:tcPr>
          <w:p w14:paraId="1F53C92B"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2003</w:t>
            </w:r>
          </w:p>
        </w:tc>
        <w:tc>
          <w:tcPr>
            <w:tcW w:w="1197" w:type="pct"/>
            <w:vAlign w:val="center"/>
          </w:tcPr>
          <w:p w14:paraId="6C592ED1" w14:textId="77777777" w:rsidR="00A129E3" w:rsidRPr="00DA0FFF" w:rsidRDefault="00A129E3" w:rsidP="002B5001">
            <w:pPr>
              <w:pStyle w:val="Heading1"/>
              <w:numPr>
                <w:ilvl w:val="0"/>
                <w:numId w:val="0"/>
              </w:numPr>
              <w:spacing w:before="0" w:after="40"/>
              <w:rPr>
                <w:rStyle w:val="Strong"/>
                <w:rFonts w:asciiTheme="minorHAnsi" w:hAnsiTheme="minorHAnsi" w:cstheme="minorHAnsi"/>
                <w:color w:val="000000" w:themeColor="text1"/>
                <w:sz w:val="20"/>
                <w:szCs w:val="20"/>
                <w:lang w:val="en-IE"/>
              </w:rPr>
            </w:pPr>
          </w:p>
        </w:tc>
        <w:tc>
          <w:tcPr>
            <w:tcW w:w="1488" w:type="pct"/>
            <w:vAlign w:val="center"/>
          </w:tcPr>
          <w:p w14:paraId="3465EA9B" w14:textId="77777777" w:rsidR="00A129E3" w:rsidRPr="00DA0FFF" w:rsidRDefault="00A129E3" w:rsidP="002B5001">
            <w:pPr>
              <w:pStyle w:val="Heading1"/>
              <w:numPr>
                <w:ilvl w:val="0"/>
                <w:numId w:val="0"/>
              </w:numPr>
              <w:spacing w:before="0" w:after="40"/>
              <w:rPr>
                <w:rFonts w:asciiTheme="minorHAnsi" w:hAnsiTheme="minorHAnsi" w:cstheme="minorHAnsi"/>
                <w:sz w:val="20"/>
                <w:szCs w:val="20"/>
                <w:lang w:val="en-IE"/>
              </w:rPr>
            </w:pPr>
          </w:p>
        </w:tc>
        <w:tc>
          <w:tcPr>
            <w:tcW w:w="1829" w:type="pct"/>
            <w:vAlign w:val="center"/>
          </w:tcPr>
          <w:p w14:paraId="44E61EB1" w14:textId="77777777" w:rsidR="00A129E3" w:rsidRPr="00DA0FFF" w:rsidRDefault="00A129E3" w:rsidP="002B5001">
            <w:pPr>
              <w:pStyle w:val="Heading1"/>
              <w:numPr>
                <w:ilvl w:val="0"/>
                <w:numId w:val="0"/>
              </w:numPr>
              <w:spacing w:before="0" w:after="40"/>
              <w:rPr>
                <w:rStyle w:val="Strong"/>
                <w:rFonts w:asciiTheme="minorHAnsi" w:hAnsiTheme="minorHAnsi" w:cstheme="minorHAnsi"/>
                <w:color w:val="000000" w:themeColor="text1"/>
                <w:sz w:val="20"/>
                <w:szCs w:val="20"/>
                <w:lang w:val="en-IE"/>
              </w:rPr>
            </w:pPr>
            <w:bookmarkStart w:id="3" w:name="_Toc17214274"/>
            <w:r w:rsidRPr="00DA0FFF">
              <w:rPr>
                <w:rStyle w:val="Strong"/>
                <w:rFonts w:asciiTheme="minorHAnsi" w:hAnsiTheme="minorHAnsi" w:cstheme="minorHAnsi"/>
                <w:color w:val="000000" w:themeColor="text1"/>
                <w:sz w:val="20"/>
                <w:szCs w:val="20"/>
                <w:lang w:val="en-IE"/>
              </w:rPr>
              <w:t>Asia Pacific Quality Network (APQN)</w:t>
            </w:r>
          </w:p>
          <w:bookmarkEnd w:id="3"/>
          <w:p w14:paraId="4B3432BC" w14:textId="0A7434DD"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 xml:space="preserve">European Consortium for Accreditation in </w:t>
            </w:r>
            <w:r w:rsidR="005936EA" w:rsidRPr="00DA0FFF">
              <w:rPr>
                <w:rFonts w:cstheme="minorHAnsi"/>
                <w:color w:val="000000" w:themeColor="text1"/>
                <w:sz w:val="20"/>
                <w:szCs w:val="20"/>
              </w:rPr>
              <w:t xml:space="preserve">Higher Education </w:t>
            </w:r>
            <w:r w:rsidRPr="00DA0FFF">
              <w:rPr>
                <w:rFonts w:cstheme="minorHAnsi"/>
                <w:color w:val="000000" w:themeColor="text1"/>
                <w:sz w:val="20"/>
                <w:szCs w:val="20"/>
              </w:rPr>
              <w:t>(ECA)</w:t>
            </w:r>
          </w:p>
          <w:p w14:paraId="2C8B263F" w14:textId="77777777"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rPr>
              <w:t>Academic Ranking of World Universities (ARWU), Shanghai</w:t>
            </w:r>
          </w:p>
          <w:p w14:paraId="71471174" w14:textId="4CE1479D" w:rsidR="00A129E3" w:rsidRPr="00DA0FFF" w:rsidRDefault="00A129E3" w:rsidP="002B5001">
            <w:pPr>
              <w:spacing w:after="40"/>
              <w:rPr>
                <w:rFonts w:cstheme="minorHAnsi"/>
                <w:color w:val="000000" w:themeColor="text1"/>
                <w:sz w:val="20"/>
                <w:szCs w:val="20"/>
              </w:rPr>
            </w:pPr>
            <w:r w:rsidRPr="00DA0FFF">
              <w:rPr>
                <w:rFonts w:cstheme="minorHAnsi"/>
                <w:color w:val="000000" w:themeColor="text1"/>
                <w:sz w:val="20"/>
                <w:szCs w:val="20"/>
                <w:shd w:val="clear" w:color="auto" w:fill="F7F7F7"/>
              </w:rPr>
              <w:t>La</w:t>
            </w:r>
            <w:r w:rsidRPr="00DA0FFF">
              <w:rPr>
                <w:rStyle w:val="apple-converted-space"/>
                <w:rFonts w:cstheme="minorHAnsi"/>
                <w:color w:val="000000" w:themeColor="text1"/>
                <w:sz w:val="20"/>
                <w:szCs w:val="20"/>
                <w:shd w:val="clear" w:color="auto" w:fill="F7F7F7"/>
              </w:rPr>
              <w:t> </w:t>
            </w:r>
            <w:r w:rsidR="00AF5472" w:rsidRPr="00AF5472">
              <w:rPr>
                <w:rFonts w:cstheme="minorHAnsi"/>
                <w:sz w:val="20"/>
                <w:szCs w:val="20"/>
              </w:rPr>
              <w:t xml:space="preserve">Red </w:t>
            </w:r>
            <w:proofErr w:type="spellStart"/>
            <w:r w:rsidR="00AF5472" w:rsidRPr="00AF5472">
              <w:rPr>
                <w:rFonts w:cstheme="minorHAnsi"/>
                <w:sz w:val="20"/>
                <w:szCs w:val="20"/>
              </w:rPr>
              <w:t>Iberoamericana</w:t>
            </w:r>
            <w:proofErr w:type="spellEnd"/>
            <w:r w:rsidR="00AF5472" w:rsidRPr="00AF5472">
              <w:rPr>
                <w:rFonts w:cstheme="minorHAnsi"/>
                <w:sz w:val="20"/>
                <w:szCs w:val="20"/>
              </w:rPr>
              <w:t xml:space="preserve"> para </w:t>
            </w:r>
            <w:proofErr w:type="spellStart"/>
            <w:r w:rsidR="00AF5472" w:rsidRPr="00AF5472">
              <w:rPr>
                <w:rFonts w:cstheme="minorHAnsi"/>
                <w:sz w:val="20"/>
                <w:szCs w:val="20"/>
              </w:rPr>
              <w:t>el</w:t>
            </w:r>
            <w:proofErr w:type="spellEnd"/>
            <w:r w:rsidR="00AF5472" w:rsidRPr="00AF5472">
              <w:rPr>
                <w:rFonts w:cstheme="minorHAnsi"/>
                <w:sz w:val="20"/>
                <w:szCs w:val="20"/>
              </w:rPr>
              <w:t xml:space="preserve"> </w:t>
            </w:r>
            <w:proofErr w:type="spellStart"/>
            <w:r w:rsidR="00AF5472" w:rsidRPr="00AF5472">
              <w:rPr>
                <w:rFonts w:cstheme="minorHAnsi"/>
                <w:sz w:val="20"/>
                <w:szCs w:val="20"/>
              </w:rPr>
              <w:t>Aseguramiento</w:t>
            </w:r>
            <w:proofErr w:type="spellEnd"/>
            <w:r w:rsidR="00AF5472" w:rsidRPr="00AF5472">
              <w:rPr>
                <w:rFonts w:cstheme="minorHAnsi"/>
                <w:sz w:val="20"/>
                <w:szCs w:val="20"/>
              </w:rPr>
              <w:t xml:space="preserve"> de la Calidad </w:t>
            </w:r>
            <w:proofErr w:type="spellStart"/>
            <w:r w:rsidR="00AF5472" w:rsidRPr="00AF5472">
              <w:rPr>
                <w:rFonts w:cstheme="minorHAnsi"/>
                <w:sz w:val="20"/>
                <w:szCs w:val="20"/>
              </w:rPr>
              <w:t>en</w:t>
            </w:r>
            <w:proofErr w:type="spellEnd"/>
            <w:r w:rsidR="00AF5472" w:rsidRPr="00AF5472">
              <w:rPr>
                <w:rFonts w:cstheme="minorHAnsi"/>
                <w:sz w:val="20"/>
                <w:szCs w:val="20"/>
              </w:rPr>
              <w:t xml:space="preserve"> la </w:t>
            </w:r>
            <w:proofErr w:type="spellStart"/>
            <w:r w:rsidR="00AF5472" w:rsidRPr="00AF5472">
              <w:rPr>
                <w:rFonts w:cstheme="minorHAnsi"/>
                <w:sz w:val="20"/>
                <w:szCs w:val="20"/>
              </w:rPr>
              <w:t>Educación</w:t>
            </w:r>
            <w:proofErr w:type="spellEnd"/>
            <w:r w:rsidR="00AF5472" w:rsidRPr="00AF5472">
              <w:rPr>
                <w:rFonts w:cstheme="minorHAnsi"/>
                <w:sz w:val="20"/>
                <w:szCs w:val="20"/>
              </w:rPr>
              <w:t xml:space="preserve"> Superior</w:t>
            </w:r>
            <w:r w:rsidRPr="00DA0FFF">
              <w:rPr>
                <w:rStyle w:val="apple-converted-space"/>
                <w:rFonts w:cstheme="minorHAnsi"/>
                <w:color w:val="000000" w:themeColor="text1"/>
                <w:sz w:val="20"/>
                <w:szCs w:val="20"/>
                <w:shd w:val="clear" w:color="auto" w:fill="F7F7F7"/>
              </w:rPr>
              <w:t> </w:t>
            </w:r>
            <w:r w:rsidRPr="00DA0FFF">
              <w:rPr>
                <w:rFonts w:cstheme="minorHAnsi"/>
                <w:color w:val="000000" w:themeColor="text1"/>
                <w:sz w:val="20"/>
                <w:szCs w:val="20"/>
                <w:shd w:val="clear" w:color="auto" w:fill="F7F7F7"/>
              </w:rPr>
              <w:t>(RIACES)/</w:t>
            </w:r>
            <w:proofErr w:type="spellStart"/>
            <w:r w:rsidRPr="00DA0FFF">
              <w:rPr>
                <w:rFonts w:cstheme="minorHAnsi"/>
                <w:color w:val="000000" w:themeColor="text1"/>
                <w:sz w:val="20"/>
                <w:szCs w:val="20"/>
              </w:rPr>
              <w:t>Ibero</w:t>
            </w:r>
            <w:proofErr w:type="spellEnd"/>
            <w:r w:rsidRPr="00DA0FFF">
              <w:rPr>
                <w:rFonts w:cstheme="minorHAnsi"/>
                <w:color w:val="000000" w:themeColor="text1"/>
                <w:sz w:val="20"/>
                <w:szCs w:val="20"/>
              </w:rPr>
              <w:t>-American Network for Quality Assurance in Higher Education</w:t>
            </w:r>
          </w:p>
          <w:p w14:paraId="4E7595C9" w14:textId="77777777" w:rsidR="00A129E3" w:rsidRPr="00DA0FFF" w:rsidRDefault="00A129E3" w:rsidP="002B5001">
            <w:pPr>
              <w:spacing w:after="40"/>
              <w:rPr>
                <w:rStyle w:val="Strong"/>
                <w:rFonts w:cstheme="minorHAnsi"/>
                <w:color w:val="000000" w:themeColor="text1"/>
                <w:sz w:val="20"/>
                <w:szCs w:val="20"/>
                <w:lang w:val="en-IE"/>
              </w:rPr>
            </w:pPr>
            <w:r w:rsidRPr="00DA0FFF">
              <w:rPr>
                <w:rFonts w:cstheme="minorHAnsi"/>
                <w:sz w:val="20"/>
                <w:szCs w:val="20"/>
              </w:rPr>
              <w:t>European Foundation for Management Development (EFMD)</w:t>
            </w:r>
          </w:p>
        </w:tc>
      </w:tr>
      <w:tr w:rsidR="002B5001" w:rsidRPr="00420640" w14:paraId="6849ED1E" w14:textId="77777777" w:rsidTr="002B5001">
        <w:trPr>
          <w:trHeight w:val="2307"/>
        </w:trPr>
        <w:tc>
          <w:tcPr>
            <w:tcW w:w="486" w:type="pct"/>
            <w:tcBorders>
              <w:bottom w:val="single" w:sz="4" w:space="0" w:color="auto"/>
            </w:tcBorders>
            <w:vAlign w:val="center"/>
          </w:tcPr>
          <w:p w14:paraId="7148836F"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2004</w:t>
            </w:r>
          </w:p>
        </w:tc>
        <w:tc>
          <w:tcPr>
            <w:tcW w:w="1197" w:type="pct"/>
            <w:tcBorders>
              <w:bottom w:val="single" w:sz="4" w:space="0" w:color="auto"/>
            </w:tcBorders>
            <w:vAlign w:val="center"/>
          </w:tcPr>
          <w:p w14:paraId="05E723A7" w14:textId="77777777" w:rsidR="00A129E3" w:rsidRPr="00DA0FFF" w:rsidRDefault="00A129E3" w:rsidP="002B5001">
            <w:pPr>
              <w:spacing w:after="40"/>
              <w:rPr>
                <w:rFonts w:cstheme="minorHAnsi"/>
                <w:sz w:val="20"/>
                <w:szCs w:val="20"/>
              </w:rPr>
            </w:pPr>
          </w:p>
        </w:tc>
        <w:tc>
          <w:tcPr>
            <w:tcW w:w="1488" w:type="pct"/>
            <w:vAlign w:val="center"/>
          </w:tcPr>
          <w:p w14:paraId="0F4F678E" w14:textId="77777777" w:rsidR="00A129E3" w:rsidRPr="00DA0FFF" w:rsidRDefault="00A129E3" w:rsidP="002B5001">
            <w:pPr>
              <w:spacing w:after="40"/>
              <w:rPr>
                <w:rFonts w:cstheme="minorHAnsi"/>
                <w:b/>
                <w:sz w:val="20"/>
                <w:szCs w:val="20"/>
              </w:rPr>
            </w:pPr>
          </w:p>
        </w:tc>
        <w:tc>
          <w:tcPr>
            <w:tcW w:w="1829" w:type="pct"/>
            <w:tcBorders>
              <w:bottom w:val="single" w:sz="4" w:space="0" w:color="auto"/>
            </w:tcBorders>
            <w:vAlign w:val="center"/>
          </w:tcPr>
          <w:p w14:paraId="74447AAA" w14:textId="77777777" w:rsidR="00A129E3" w:rsidRPr="00DA0FFF" w:rsidRDefault="00A129E3" w:rsidP="002B5001">
            <w:pPr>
              <w:spacing w:after="40"/>
              <w:rPr>
                <w:rFonts w:cstheme="minorHAnsi"/>
                <w:sz w:val="20"/>
                <w:szCs w:val="20"/>
              </w:rPr>
            </w:pPr>
            <w:r w:rsidRPr="00DA0FFF">
              <w:rPr>
                <w:rFonts w:cstheme="minorHAnsi"/>
                <w:sz w:val="20"/>
                <w:szCs w:val="20"/>
              </w:rPr>
              <w:t>European Association for Quality Assurance in Higher Education (ENQA)</w:t>
            </w:r>
          </w:p>
          <w:p w14:paraId="0222C1ED" w14:textId="77777777" w:rsidR="00A129E3" w:rsidRPr="00DA0FFF" w:rsidRDefault="00A129E3" w:rsidP="002B5001">
            <w:pPr>
              <w:spacing w:after="40"/>
              <w:rPr>
                <w:rFonts w:cstheme="minorHAnsi"/>
                <w:color w:val="000000" w:themeColor="text1"/>
                <w:sz w:val="20"/>
                <w:szCs w:val="20"/>
                <w:shd w:val="clear" w:color="auto" w:fill="FFFFFF"/>
              </w:rPr>
            </w:pPr>
            <w:r w:rsidRPr="00DA0FFF">
              <w:rPr>
                <w:rFonts w:cstheme="minorHAnsi"/>
                <w:color w:val="000000" w:themeColor="text1"/>
                <w:sz w:val="20"/>
                <w:szCs w:val="20"/>
                <w:shd w:val="clear" w:color="auto" w:fill="FFFFFF"/>
              </w:rPr>
              <w:t>Caribbean Area Network for Quality Assurance in Tertiary Education </w:t>
            </w:r>
            <w:r w:rsidRPr="00DA0FFF">
              <w:rPr>
                <w:rStyle w:val="Strong"/>
                <w:rFonts w:cstheme="minorHAnsi"/>
                <w:b w:val="0"/>
                <w:bCs w:val="0"/>
                <w:color w:val="000000" w:themeColor="text1"/>
                <w:sz w:val="20"/>
                <w:szCs w:val="20"/>
              </w:rPr>
              <w:t>(CANQATE)</w:t>
            </w:r>
          </w:p>
          <w:p w14:paraId="0A763F72" w14:textId="77777777" w:rsidR="00A129E3" w:rsidRPr="00DA0FFF" w:rsidRDefault="00A129E3" w:rsidP="002B5001">
            <w:pPr>
              <w:pStyle w:val="NormalWeb"/>
              <w:spacing w:before="0" w:beforeAutospacing="0" w:after="40" w:afterAutospacing="0"/>
              <w:rPr>
                <w:rFonts w:asciiTheme="minorHAnsi" w:hAnsiTheme="minorHAnsi" w:cstheme="minorHAnsi"/>
                <w:bCs/>
                <w:color w:val="000000" w:themeColor="text1"/>
                <w:sz w:val="20"/>
                <w:szCs w:val="20"/>
                <w:lang w:val="en-IE"/>
              </w:rPr>
            </w:pPr>
            <w:r w:rsidRPr="00DA0FFF">
              <w:rPr>
                <w:rFonts w:asciiTheme="minorHAnsi" w:hAnsiTheme="minorHAnsi" w:cstheme="minorHAnsi"/>
                <w:bCs/>
                <w:color w:val="000000" w:themeColor="text1"/>
                <w:sz w:val="20"/>
                <w:szCs w:val="20"/>
                <w:lang w:val="en-IE"/>
              </w:rPr>
              <w:t>Eurasian Quality Assurance Network (EAQAN)</w:t>
            </w:r>
          </w:p>
          <w:p w14:paraId="756CC18B" w14:textId="77777777" w:rsidR="00A129E3" w:rsidRPr="00DA0FFF" w:rsidRDefault="00A129E3" w:rsidP="002B5001">
            <w:pPr>
              <w:spacing w:after="40"/>
              <w:rPr>
                <w:rFonts w:cstheme="minorHAnsi"/>
                <w:sz w:val="20"/>
                <w:szCs w:val="20"/>
              </w:rPr>
            </w:pPr>
            <w:r w:rsidRPr="00DA0FFF">
              <w:rPr>
                <w:rFonts w:cstheme="minorHAnsi"/>
                <w:color w:val="000000" w:themeColor="text1"/>
                <w:sz w:val="20"/>
                <w:szCs w:val="20"/>
                <w:shd w:val="clear" w:color="auto" w:fill="FFFFFF"/>
              </w:rPr>
              <w:t>Times Higher Education/QS World University Rankings</w:t>
            </w:r>
          </w:p>
        </w:tc>
      </w:tr>
      <w:tr w:rsidR="00A129E3" w:rsidRPr="00420640" w14:paraId="1E567E7E" w14:textId="77777777" w:rsidTr="002B5001">
        <w:trPr>
          <w:trHeight w:val="613"/>
        </w:trPr>
        <w:tc>
          <w:tcPr>
            <w:tcW w:w="486" w:type="pct"/>
            <w:tcBorders>
              <w:bottom w:val="single" w:sz="4" w:space="0" w:color="auto"/>
            </w:tcBorders>
            <w:vAlign w:val="center"/>
          </w:tcPr>
          <w:p w14:paraId="771A7DB9"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2006</w:t>
            </w:r>
          </w:p>
        </w:tc>
        <w:tc>
          <w:tcPr>
            <w:tcW w:w="1197" w:type="pct"/>
            <w:tcBorders>
              <w:bottom w:val="single" w:sz="4" w:space="0" w:color="auto"/>
            </w:tcBorders>
            <w:vAlign w:val="center"/>
          </w:tcPr>
          <w:p w14:paraId="4E561CA4" w14:textId="77777777" w:rsidR="00A129E3" w:rsidRPr="00DA0FFF" w:rsidRDefault="00A129E3" w:rsidP="002B5001">
            <w:pPr>
              <w:spacing w:after="40"/>
              <w:rPr>
                <w:rFonts w:cstheme="minorHAnsi"/>
                <w:sz w:val="20"/>
                <w:szCs w:val="20"/>
              </w:rPr>
            </w:pPr>
          </w:p>
        </w:tc>
        <w:tc>
          <w:tcPr>
            <w:tcW w:w="1488" w:type="pct"/>
            <w:vAlign w:val="center"/>
          </w:tcPr>
          <w:p w14:paraId="589591EC" w14:textId="77777777" w:rsidR="00A129E3" w:rsidRPr="00DA0FFF" w:rsidRDefault="00A129E3" w:rsidP="002B5001">
            <w:pPr>
              <w:spacing w:after="40"/>
              <w:rPr>
                <w:rFonts w:cstheme="minorHAnsi"/>
                <w:b/>
                <w:sz w:val="20"/>
                <w:szCs w:val="20"/>
              </w:rPr>
            </w:pPr>
          </w:p>
        </w:tc>
        <w:tc>
          <w:tcPr>
            <w:tcW w:w="1829" w:type="pct"/>
            <w:tcBorders>
              <w:bottom w:val="single" w:sz="4" w:space="0" w:color="auto"/>
            </w:tcBorders>
            <w:vAlign w:val="center"/>
          </w:tcPr>
          <w:p w14:paraId="7D0BFC79" w14:textId="77777777" w:rsidR="00A129E3" w:rsidRPr="00DA0FFF" w:rsidRDefault="00A129E3" w:rsidP="002B5001">
            <w:pPr>
              <w:spacing w:after="40"/>
              <w:rPr>
                <w:rFonts w:cstheme="minorHAnsi"/>
                <w:sz w:val="20"/>
                <w:szCs w:val="20"/>
              </w:rPr>
            </w:pPr>
            <w:r w:rsidRPr="00DA0FFF">
              <w:rPr>
                <w:rFonts w:cstheme="minorHAnsi"/>
                <w:sz w:val="20"/>
                <w:szCs w:val="20"/>
              </w:rPr>
              <w:t>Asia Pacific Association for international education (APAIE)</w:t>
            </w:r>
          </w:p>
          <w:p w14:paraId="4FE1A3D2" w14:textId="77777777" w:rsidR="00A129E3" w:rsidRPr="00DA0FFF" w:rsidRDefault="00A129E3" w:rsidP="002B5001">
            <w:pPr>
              <w:spacing w:after="40"/>
              <w:rPr>
                <w:rFonts w:cstheme="minorHAnsi"/>
                <w:sz w:val="20"/>
                <w:szCs w:val="20"/>
              </w:rPr>
            </w:pPr>
            <w:r w:rsidRPr="00DA0FFF">
              <w:rPr>
                <w:rFonts w:cstheme="minorHAnsi"/>
                <w:sz w:val="20"/>
                <w:szCs w:val="20"/>
              </w:rPr>
              <w:t>International Research Universities Network (IRUN)</w:t>
            </w:r>
          </w:p>
        </w:tc>
      </w:tr>
      <w:tr w:rsidR="00CE4313" w:rsidRPr="00420640" w14:paraId="5B2871BB" w14:textId="77777777" w:rsidTr="002B5001">
        <w:trPr>
          <w:trHeight w:val="742"/>
        </w:trPr>
        <w:tc>
          <w:tcPr>
            <w:tcW w:w="486" w:type="pct"/>
            <w:vAlign w:val="center"/>
          </w:tcPr>
          <w:p w14:paraId="773F5B05" w14:textId="77777777" w:rsidR="00CE4313" w:rsidRPr="00DA0FFF" w:rsidRDefault="00CE4313" w:rsidP="00CE4313">
            <w:pPr>
              <w:spacing w:after="40"/>
              <w:jc w:val="center"/>
              <w:rPr>
                <w:rFonts w:cstheme="minorHAnsi"/>
                <w:b/>
                <w:sz w:val="20"/>
                <w:szCs w:val="20"/>
              </w:rPr>
            </w:pPr>
            <w:r w:rsidRPr="00DA0FFF">
              <w:rPr>
                <w:rFonts w:cstheme="minorHAnsi"/>
                <w:b/>
                <w:sz w:val="20"/>
                <w:szCs w:val="20"/>
              </w:rPr>
              <w:t>2007</w:t>
            </w:r>
          </w:p>
        </w:tc>
        <w:tc>
          <w:tcPr>
            <w:tcW w:w="1197" w:type="pct"/>
            <w:vAlign w:val="center"/>
          </w:tcPr>
          <w:p w14:paraId="5493D84F" w14:textId="77777777" w:rsidR="00CE4313" w:rsidRPr="00DA0FFF" w:rsidRDefault="00CE4313" w:rsidP="002B5001">
            <w:pPr>
              <w:spacing w:after="40"/>
              <w:rPr>
                <w:rFonts w:cstheme="minorHAnsi"/>
                <w:sz w:val="20"/>
                <w:szCs w:val="20"/>
              </w:rPr>
            </w:pPr>
            <w:r w:rsidRPr="00DA0FFF">
              <w:rPr>
                <w:rFonts w:cstheme="minorHAnsi"/>
                <w:sz w:val="20"/>
                <w:szCs w:val="20"/>
              </w:rPr>
              <w:t>European Research Council (ERC) (European Union)</w:t>
            </w:r>
          </w:p>
        </w:tc>
        <w:tc>
          <w:tcPr>
            <w:tcW w:w="1488" w:type="pct"/>
            <w:vAlign w:val="center"/>
          </w:tcPr>
          <w:p w14:paraId="46DE3487" w14:textId="77777777" w:rsidR="00CE4313" w:rsidRPr="00DA0FFF" w:rsidRDefault="00CE4313" w:rsidP="002B5001">
            <w:pPr>
              <w:spacing w:after="40"/>
              <w:rPr>
                <w:rFonts w:cstheme="minorHAnsi"/>
                <w:sz w:val="20"/>
                <w:szCs w:val="20"/>
              </w:rPr>
            </w:pPr>
          </w:p>
        </w:tc>
        <w:tc>
          <w:tcPr>
            <w:tcW w:w="1829" w:type="pct"/>
            <w:vAlign w:val="center"/>
          </w:tcPr>
          <w:p w14:paraId="5591F31D" w14:textId="444055F7" w:rsidR="00CE4313" w:rsidRPr="00DA0FFF" w:rsidRDefault="00CE4313" w:rsidP="002B5001">
            <w:pPr>
              <w:spacing w:after="40"/>
              <w:rPr>
                <w:rFonts w:cstheme="minorHAnsi"/>
                <w:sz w:val="20"/>
                <w:szCs w:val="20"/>
              </w:rPr>
            </w:pPr>
            <w:r w:rsidRPr="00DA0FFF">
              <w:rPr>
                <w:rFonts w:cstheme="minorHAnsi"/>
                <w:bCs/>
                <w:color w:val="222222"/>
                <w:sz w:val="20"/>
                <w:szCs w:val="20"/>
              </w:rPr>
              <w:t>Arab Network for Quality Assurance in Higher Education</w:t>
            </w:r>
            <w:r w:rsidRPr="00DA0FFF">
              <w:rPr>
                <w:rStyle w:val="apple-converted-space"/>
                <w:rFonts w:cstheme="minorHAnsi"/>
                <w:color w:val="222222"/>
                <w:sz w:val="20"/>
                <w:szCs w:val="20"/>
                <w:shd w:val="clear" w:color="auto" w:fill="FFFFFF"/>
              </w:rPr>
              <w:t> </w:t>
            </w:r>
            <w:r w:rsidRPr="00DA0FFF">
              <w:rPr>
                <w:rFonts w:cstheme="minorHAnsi"/>
                <w:color w:val="222222"/>
                <w:sz w:val="20"/>
                <w:szCs w:val="20"/>
                <w:shd w:val="clear" w:color="auto" w:fill="FFFFFF"/>
              </w:rPr>
              <w:t>(</w:t>
            </w:r>
            <w:r w:rsidRPr="00DA0FFF">
              <w:rPr>
                <w:rFonts w:cstheme="minorHAnsi"/>
                <w:bCs/>
                <w:color w:val="222222"/>
                <w:sz w:val="20"/>
                <w:szCs w:val="20"/>
              </w:rPr>
              <w:t>ANQAHE</w:t>
            </w:r>
            <w:r w:rsidRPr="00DA0FFF">
              <w:rPr>
                <w:rFonts w:cstheme="minorHAnsi"/>
                <w:color w:val="222222"/>
                <w:sz w:val="20"/>
                <w:szCs w:val="20"/>
                <w:shd w:val="clear" w:color="auto" w:fill="FFFFFF"/>
              </w:rPr>
              <w:t>)</w:t>
            </w:r>
          </w:p>
        </w:tc>
      </w:tr>
      <w:tr w:rsidR="004A6558" w:rsidRPr="00420640" w14:paraId="4B061C8B" w14:textId="77777777" w:rsidTr="00A546BB">
        <w:trPr>
          <w:trHeight w:val="812"/>
        </w:trPr>
        <w:tc>
          <w:tcPr>
            <w:tcW w:w="486" w:type="pct"/>
            <w:vAlign w:val="center"/>
          </w:tcPr>
          <w:p w14:paraId="7A0332BC" w14:textId="77777777" w:rsidR="004A6558" w:rsidRPr="00DA0FFF" w:rsidRDefault="004A6558" w:rsidP="00CE4313">
            <w:pPr>
              <w:spacing w:after="40"/>
              <w:jc w:val="center"/>
              <w:rPr>
                <w:rFonts w:cstheme="minorHAnsi"/>
                <w:b/>
                <w:sz w:val="20"/>
                <w:szCs w:val="20"/>
              </w:rPr>
            </w:pPr>
            <w:r w:rsidRPr="00DA0FFF">
              <w:rPr>
                <w:rFonts w:cstheme="minorHAnsi"/>
                <w:b/>
                <w:sz w:val="20"/>
                <w:szCs w:val="20"/>
              </w:rPr>
              <w:t>2008</w:t>
            </w:r>
          </w:p>
        </w:tc>
        <w:tc>
          <w:tcPr>
            <w:tcW w:w="1197" w:type="pct"/>
            <w:vAlign w:val="center"/>
          </w:tcPr>
          <w:p w14:paraId="67BE4604" w14:textId="3AADE240" w:rsidR="004A6558" w:rsidRPr="00DA0FFF" w:rsidRDefault="00AF5472" w:rsidP="002B5001">
            <w:pPr>
              <w:spacing w:after="40"/>
              <w:rPr>
                <w:rFonts w:cstheme="minorHAnsi"/>
                <w:sz w:val="20"/>
                <w:szCs w:val="20"/>
              </w:rPr>
            </w:pPr>
            <w:r>
              <w:rPr>
                <w:rFonts w:cstheme="minorHAnsi"/>
                <w:sz w:val="20"/>
                <w:szCs w:val="20"/>
              </w:rPr>
              <w:t>European Qualifications Framework?</w:t>
            </w:r>
          </w:p>
        </w:tc>
        <w:tc>
          <w:tcPr>
            <w:tcW w:w="1488" w:type="pct"/>
            <w:vAlign w:val="center"/>
          </w:tcPr>
          <w:p w14:paraId="0990E63E" w14:textId="184EE0E1" w:rsidR="004A6558" w:rsidRPr="00DA0FFF" w:rsidRDefault="004A6558" w:rsidP="002B5001">
            <w:pPr>
              <w:spacing w:after="40"/>
              <w:rPr>
                <w:rFonts w:cstheme="minorHAnsi"/>
                <w:b/>
                <w:sz w:val="20"/>
                <w:szCs w:val="20"/>
              </w:rPr>
            </w:pPr>
          </w:p>
        </w:tc>
        <w:tc>
          <w:tcPr>
            <w:tcW w:w="1829" w:type="pct"/>
            <w:vAlign w:val="center"/>
          </w:tcPr>
          <w:p w14:paraId="3E731803" w14:textId="77777777" w:rsidR="004A6558" w:rsidRPr="00DA0FFF" w:rsidRDefault="004A6558" w:rsidP="002B5001">
            <w:pPr>
              <w:spacing w:after="40"/>
              <w:rPr>
                <w:rFonts w:cstheme="minorHAnsi"/>
                <w:sz w:val="20"/>
                <w:szCs w:val="20"/>
              </w:rPr>
            </w:pPr>
            <w:r w:rsidRPr="00DA0FFF">
              <w:rPr>
                <w:rFonts w:cstheme="minorHAnsi"/>
                <w:sz w:val="20"/>
                <w:szCs w:val="20"/>
              </w:rPr>
              <w:t>European Quality Assurance Register for Higher Education (EQAR)</w:t>
            </w:r>
          </w:p>
          <w:p w14:paraId="16DD8363" w14:textId="606CFEDC" w:rsidR="004A6558" w:rsidRPr="00DA0FFF" w:rsidRDefault="004A6558" w:rsidP="00BB51E1">
            <w:pPr>
              <w:spacing w:after="40"/>
              <w:rPr>
                <w:rFonts w:cstheme="minorHAnsi"/>
                <w:sz w:val="20"/>
                <w:szCs w:val="20"/>
              </w:rPr>
            </w:pPr>
            <w:r w:rsidRPr="00DA0FFF">
              <w:rPr>
                <w:rFonts w:cstheme="minorHAnsi"/>
                <w:color w:val="000000" w:themeColor="text1"/>
                <w:sz w:val="20"/>
                <w:szCs w:val="20"/>
                <w:shd w:val="clear" w:color="auto" w:fill="FFFFFF"/>
              </w:rPr>
              <w:t>ASEAN Quality Assurance Network</w:t>
            </w:r>
          </w:p>
        </w:tc>
      </w:tr>
      <w:tr w:rsidR="00B4598B" w:rsidRPr="00420640" w14:paraId="4F020AC5" w14:textId="77777777" w:rsidTr="002B5001">
        <w:trPr>
          <w:trHeight w:val="558"/>
        </w:trPr>
        <w:tc>
          <w:tcPr>
            <w:tcW w:w="486" w:type="pct"/>
            <w:vAlign w:val="center"/>
          </w:tcPr>
          <w:p w14:paraId="6048DB1E"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2009</w:t>
            </w:r>
          </w:p>
        </w:tc>
        <w:tc>
          <w:tcPr>
            <w:tcW w:w="1197" w:type="pct"/>
            <w:vAlign w:val="center"/>
          </w:tcPr>
          <w:p w14:paraId="660AFF90" w14:textId="77777777" w:rsidR="00A129E3" w:rsidRPr="00DA0FFF" w:rsidRDefault="00A129E3" w:rsidP="002B5001">
            <w:pPr>
              <w:pStyle w:val="Heading3"/>
              <w:numPr>
                <w:ilvl w:val="0"/>
                <w:numId w:val="0"/>
              </w:numPr>
              <w:spacing w:before="0" w:after="40"/>
              <w:rPr>
                <w:rFonts w:asciiTheme="minorHAnsi" w:hAnsiTheme="minorHAnsi" w:cstheme="minorHAnsi"/>
                <w:bCs w:val="0"/>
                <w:color w:val="222222"/>
                <w:sz w:val="20"/>
                <w:szCs w:val="20"/>
              </w:rPr>
            </w:pPr>
          </w:p>
        </w:tc>
        <w:tc>
          <w:tcPr>
            <w:tcW w:w="1488" w:type="pct"/>
            <w:vAlign w:val="center"/>
          </w:tcPr>
          <w:p w14:paraId="4EFB2635" w14:textId="77777777" w:rsidR="00A129E3" w:rsidRPr="00DA0FFF" w:rsidRDefault="00A129E3" w:rsidP="002B5001">
            <w:pPr>
              <w:pStyle w:val="Heading3"/>
              <w:numPr>
                <w:ilvl w:val="0"/>
                <w:numId w:val="0"/>
              </w:numPr>
              <w:spacing w:before="0" w:after="40"/>
              <w:rPr>
                <w:rFonts w:asciiTheme="minorHAnsi" w:hAnsiTheme="minorHAnsi" w:cstheme="minorHAnsi"/>
                <w:sz w:val="20"/>
                <w:szCs w:val="20"/>
              </w:rPr>
            </w:pPr>
          </w:p>
        </w:tc>
        <w:tc>
          <w:tcPr>
            <w:tcW w:w="1829" w:type="pct"/>
            <w:vAlign w:val="center"/>
          </w:tcPr>
          <w:p w14:paraId="13F59281" w14:textId="77777777" w:rsidR="00A129E3" w:rsidRPr="00E10E5F" w:rsidRDefault="00A129E3" w:rsidP="002B5001">
            <w:pPr>
              <w:pStyle w:val="Heading3"/>
              <w:numPr>
                <w:ilvl w:val="0"/>
                <w:numId w:val="0"/>
              </w:numPr>
              <w:spacing w:before="0" w:after="40"/>
              <w:rPr>
                <w:rFonts w:asciiTheme="minorHAnsi" w:hAnsiTheme="minorHAnsi" w:cstheme="minorHAnsi"/>
                <w:b w:val="0"/>
                <w:bCs w:val="0"/>
                <w:color w:val="222222"/>
                <w:sz w:val="20"/>
                <w:szCs w:val="20"/>
              </w:rPr>
            </w:pPr>
            <w:bookmarkStart w:id="4" w:name="_Toc17214275"/>
            <w:r w:rsidRPr="00E10E5F">
              <w:rPr>
                <w:rFonts w:asciiTheme="minorHAnsi" w:hAnsiTheme="minorHAnsi" w:cstheme="minorHAnsi"/>
                <w:b w:val="0"/>
                <w:bCs w:val="0"/>
                <w:color w:val="222222"/>
                <w:sz w:val="20"/>
                <w:szCs w:val="20"/>
              </w:rPr>
              <w:t>Quality Assurance Network for African Higher Education</w:t>
            </w:r>
            <w:bookmarkEnd w:id="4"/>
            <w:r w:rsidRPr="00E10E5F">
              <w:rPr>
                <w:rFonts w:asciiTheme="minorHAnsi" w:hAnsiTheme="minorHAnsi" w:cstheme="minorHAnsi"/>
                <w:b w:val="0"/>
                <w:bCs w:val="0"/>
                <w:color w:val="222222"/>
                <w:sz w:val="20"/>
                <w:szCs w:val="20"/>
              </w:rPr>
              <w:t xml:space="preserve"> </w:t>
            </w:r>
            <w:r w:rsidRPr="00E10E5F">
              <w:rPr>
                <w:rFonts w:asciiTheme="minorHAnsi" w:hAnsiTheme="minorHAnsi" w:cstheme="minorHAnsi"/>
                <w:b w:val="0"/>
                <w:bCs w:val="0"/>
                <w:color w:val="222222"/>
                <w:sz w:val="20"/>
                <w:szCs w:val="20"/>
                <w:shd w:val="clear" w:color="auto" w:fill="FFFFFF"/>
              </w:rPr>
              <w:t>(AfriQAN)</w:t>
            </w:r>
          </w:p>
        </w:tc>
      </w:tr>
      <w:tr w:rsidR="00E10E5F" w:rsidRPr="00420640" w14:paraId="05886E00" w14:textId="77777777" w:rsidTr="002B5001">
        <w:trPr>
          <w:trHeight w:val="977"/>
        </w:trPr>
        <w:tc>
          <w:tcPr>
            <w:tcW w:w="486" w:type="pct"/>
            <w:vAlign w:val="center"/>
          </w:tcPr>
          <w:p w14:paraId="1C641257" w14:textId="77777777" w:rsidR="00E10E5F" w:rsidRPr="00DA0FFF" w:rsidRDefault="00E10E5F" w:rsidP="00CE4313">
            <w:pPr>
              <w:spacing w:after="40"/>
              <w:jc w:val="center"/>
              <w:rPr>
                <w:rFonts w:cstheme="minorHAnsi"/>
                <w:b/>
                <w:sz w:val="20"/>
                <w:szCs w:val="20"/>
              </w:rPr>
            </w:pPr>
            <w:r w:rsidRPr="00DA0FFF">
              <w:rPr>
                <w:rFonts w:cstheme="minorHAnsi"/>
                <w:b/>
                <w:sz w:val="20"/>
                <w:szCs w:val="20"/>
              </w:rPr>
              <w:t>2010</w:t>
            </w:r>
          </w:p>
        </w:tc>
        <w:tc>
          <w:tcPr>
            <w:tcW w:w="1197" w:type="pct"/>
            <w:vAlign w:val="center"/>
          </w:tcPr>
          <w:p w14:paraId="4620673A" w14:textId="6A98FC59" w:rsidR="00E10E5F" w:rsidRPr="00DA0FFF" w:rsidRDefault="00E10E5F" w:rsidP="002B5001">
            <w:pPr>
              <w:spacing w:after="40"/>
              <w:rPr>
                <w:rFonts w:cstheme="minorHAnsi"/>
                <w:bCs/>
                <w:sz w:val="20"/>
                <w:szCs w:val="20"/>
              </w:rPr>
            </w:pPr>
            <w:r w:rsidRPr="00DA0FFF">
              <w:rPr>
                <w:rFonts w:cstheme="minorHAnsi"/>
                <w:bCs/>
                <w:sz w:val="20"/>
                <w:szCs w:val="20"/>
              </w:rPr>
              <w:t>Assessment of Learning Outcomes in Higher Education (AHELO) [OECD]</w:t>
            </w:r>
          </w:p>
        </w:tc>
        <w:tc>
          <w:tcPr>
            <w:tcW w:w="1488" w:type="pct"/>
            <w:vAlign w:val="center"/>
          </w:tcPr>
          <w:p w14:paraId="6424EAD1" w14:textId="6B4F87A0" w:rsidR="00E10E5F" w:rsidRPr="00DA0FFF" w:rsidRDefault="00E10E5F" w:rsidP="002B5001">
            <w:pPr>
              <w:spacing w:after="40"/>
              <w:rPr>
                <w:rFonts w:cstheme="minorHAnsi"/>
                <w:b/>
                <w:sz w:val="20"/>
                <w:szCs w:val="20"/>
              </w:rPr>
            </w:pPr>
            <w:r w:rsidRPr="00DA0FFF">
              <w:rPr>
                <w:rFonts w:cstheme="minorHAnsi"/>
                <w:bCs/>
                <w:sz w:val="20"/>
                <w:szCs w:val="20"/>
              </w:rPr>
              <w:t>U-Multirank (European Union)</w:t>
            </w:r>
          </w:p>
        </w:tc>
        <w:tc>
          <w:tcPr>
            <w:tcW w:w="1829" w:type="pct"/>
            <w:vAlign w:val="center"/>
          </w:tcPr>
          <w:p w14:paraId="77515074" w14:textId="77777777" w:rsidR="00E10E5F" w:rsidRPr="00DA0FFF" w:rsidRDefault="00E10E5F" w:rsidP="002B5001">
            <w:pPr>
              <w:spacing w:after="40"/>
              <w:rPr>
                <w:rFonts w:cstheme="minorHAnsi"/>
                <w:bCs/>
                <w:sz w:val="20"/>
                <w:szCs w:val="20"/>
              </w:rPr>
            </w:pPr>
            <w:r w:rsidRPr="00DA0FFF">
              <w:rPr>
                <w:rFonts w:cstheme="minorHAnsi"/>
                <w:sz w:val="20"/>
                <w:szCs w:val="20"/>
              </w:rPr>
              <w:t>Observatory of Borderless Education (OBE)</w:t>
            </w:r>
          </w:p>
        </w:tc>
      </w:tr>
      <w:tr w:rsidR="00B4598B" w:rsidRPr="00420640" w14:paraId="5ECA7B98" w14:textId="77777777" w:rsidTr="002B5001">
        <w:tc>
          <w:tcPr>
            <w:tcW w:w="486" w:type="pct"/>
            <w:vAlign w:val="center"/>
          </w:tcPr>
          <w:p w14:paraId="6EBED6AD"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2011</w:t>
            </w:r>
          </w:p>
        </w:tc>
        <w:tc>
          <w:tcPr>
            <w:tcW w:w="1197" w:type="pct"/>
            <w:vAlign w:val="center"/>
          </w:tcPr>
          <w:p w14:paraId="2A3E9972" w14:textId="77777777" w:rsidR="00A129E3" w:rsidRPr="00DA0FFF" w:rsidRDefault="00A129E3" w:rsidP="002B5001">
            <w:pPr>
              <w:spacing w:after="40"/>
              <w:rPr>
                <w:rFonts w:cstheme="minorHAnsi"/>
                <w:color w:val="000000" w:themeColor="text1"/>
                <w:sz w:val="20"/>
                <w:szCs w:val="20"/>
                <w:shd w:val="clear" w:color="auto" w:fill="FFFFFF"/>
              </w:rPr>
            </w:pPr>
          </w:p>
        </w:tc>
        <w:tc>
          <w:tcPr>
            <w:tcW w:w="1488" w:type="pct"/>
            <w:vAlign w:val="center"/>
          </w:tcPr>
          <w:p w14:paraId="3E9161C9" w14:textId="77777777" w:rsidR="00A129E3" w:rsidRPr="00DA0FFF" w:rsidRDefault="00A129E3" w:rsidP="002B5001">
            <w:pPr>
              <w:spacing w:after="40"/>
              <w:rPr>
                <w:rFonts w:cstheme="minorHAnsi"/>
                <w:bCs/>
                <w:sz w:val="20"/>
                <w:szCs w:val="20"/>
              </w:rPr>
            </w:pPr>
          </w:p>
        </w:tc>
        <w:tc>
          <w:tcPr>
            <w:tcW w:w="1829" w:type="pct"/>
            <w:vAlign w:val="center"/>
          </w:tcPr>
          <w:p w14:paraId="6A613EC6" w14:textId="77777777" w:rsidR="00A129E3" w:rsidRPr="00DA0FFF" w:rsidRDefault="00A129E3" w:rsidP="002B5001">
            <w:pPr>
              <w:spacing w:after="40"/>
              <w:rPr>
                <w:rFonts w:cstheme="minorHAnsi"/>
                <w:color w:val="222222"/>
                <w:sz w:val="20"/>
                <w:szCs w:val="20"/>
                <w:shd w:val="clear" w:color="auto" w:fill="FFFFFF"/>
              </w:rPr>
            </w:pPr>
            <w:r w:rsidRPr="00DA0FFF">
              <w:rPr>
                <w:rFonts w:cstheme="minorHAnsi"/>
                <w:color w:val="000000" w:themeColor="text1"/>
                <w:sz w:val="20"/>
                <w:szCs w:val="20"/>
                <w:shd w:val="clear" w:color="auto" w:fill="FFFFFF"/>
              </w:rPr>
              <w:t>Central and Eastern European Network of Quality Assurance Agencies in Higher Education (</w:t>
            </w:r>
            <w:r w:rsidRPr="00DA0FFF">
              <w:rPr>
                <w:rFonts w:cstheme="minorHAnsi"/>
                <w:color w:val="222222"/>
                <w:sz w:val="20"/>
                <w:szCs w:val="20"/>
                <w:shd w:val="clear" w:color="auto" w:fill="FFFFFF"/>
              </w:rPr>
              <w:t>CEENQA)</w:t>
            </w:r>
          </w:p>
          <w:p w14:paraId="2FB21B35" w14:textId="77777777" w:rsidR="00A129E3" w:rsidRPr="00DA0FFF" w:rsidRDefault="00A129E3" w:rsidP="002B5001">
            <w:pPr>
              <w:spacing w:after="40"/>
              <w:rPr>
                <w:rFonts w:cstheme="minorHAnsi"/>
                <w:color w:val="000000" w:themeColor="text1"/>
                <w:sz w:val="20"/>
                <w:szCs w:val="20"/>
                <w:shd w:val="clear" w:color="auto" w:fill="FFFFFF"/>
              </w:rPr>
            </w:pPr>
            <w:r w:rsidRPr="00DA0FFF">
              <w:rPr>
                <w:rFonts w:cstheme="minorHAnsi"/>
                <w:sz w:val="20"/>
                <w:szCs w:val="20"/>
              </w:rPr>
              <w:t>Regional Universities Network (RUN)</w:t>
            </w:r>
          </w:p>
        </w:tc>
      </w:tr>
      <w:tr w:rsidR="00B4598B" w:rsidRPr="00420640" w14:paraId="21D4BE2D" w14:textId="77777777" w:rsidTr="002B5001">
        <w:tc>
          <w:tcPr>
            <w:tcW w:w="486" w:type="pct"/>
            <w:vAlign w:val="center"/>
          </w:tcPr>
          <w:p w14:paraId="18F47107"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2011</w:t>
            </w:r>
          </w:p>
        </w:tc>
        <w:tc>
          <w:tcPr>
            <w:tcW w:w="1197" w:type="pct"/>
            <w:vAlign w:val="center"/>
          </w:tcPr>
          <w:p w14:paraId="74A0E837" w14:textId="77777777" w:rsidR="00A129E3" w:rsidRPr="00DA0FFF" w:rsidRDefault="00A129E3" w:rsidP="002B5001">
            <w:pPr>
              <w:spacing w:after="40"/>
              <w:rPr>
                <w:rFonts w:cstheme="minorHAnsi"/>
                <w:sz w:val="20"/>
                <w:szCs w:val="20"/>
              </w:rPr>
            </w:pPr>
          </w:p>
        </w:tc>
        <w:tc>
          <w:tcPr>
            <w:tcW w:w="1488" w:type="pct"/>
            <w:vAlign w:val="center"/>
          </w:tcPr>
          <w:p w14:paraId="5BF97B8B" w14:textId="77777777" w:rsidR="00A129E3" w:rsidRPr="00DA0FFF" w:rsidRDefault="00A129E3" w:rsidP="002B5001">
            <w:pPr>
              <w:spacing w:after="40"/>
              <w:rPr>
                <w:rFonts w:cstheme="minorHAnsi"/>
                <w:color w:val="000000" w:themeColor="text1"/>
                <w:sz w:val="20"/>
                <w:szCs w:val="20"/>
                <w:shd w:val="clear" w:color="auto" w:fill="FFFFFF"/>
              </w:rPr>
            </w:pPr>
          </w:p>
        </w:tc>
        <w:tc>
          <w:tcPr>
            <w:tcW w:w="1829" w:type="pct"/>
            <w:vAlign w:val="center"/>
          </w:tcPr>
          <w:p w14:paraId="0D055D30" w14:textId="2DC0ADE2" w:rsidR="00A129E3" w:rsidRPr="00DA0FFF" w:rsidRDefault="00AF5472" w:rsidP="002B5001">
            <w:pPr>
              <w:spacing w:after="40"/>
              <w:rPr>
                <w:rFonts w:cstheme="minorHAnsi"/>
                <w:sz w:val="20"/>
                <w:szCs w:val="20"/>
              </w:rPr>
            </w:pPr>
            <w:r w:rsidRPr="00A23520">
              <w:t>Association of QA Agencies of the Islamic World</w:t>
            </w:r>
          </w:p>
        </w:tc>
      </w:tr>
      <w:tr w:rsidR="00A129E3" w:rsidRPr="00420640" w14:paraId="3940591E" w14:textId="77777777" w:rsidTr="002B5001">
        <w:tc>
          <w:tcPr>
            <w:tcW w:w="486" w:type="pct"/>
            <w:vAlign w:val="center"/>
          </w:tcPr>
          <w:p w14:paraId="79907F9D"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2012</w:t>
            </w:r>
          </w:p>
        </w:tc>
        <w:tc>
          <w:tcPr>
            <w:tcW w:w="1197" w:type="pct"/>
            <w:vAlign w:val="center"/>
          </w:tcPr>
          <w:p w14:paraId="377C9DE0" w14:textId="77777777" w:rsidR="00A129E3" w:rsidRPr="00DA0FFF" w:rsidRDefault="00A129E3" w:rsidP="002B5001">
            <w:pPr>
              <w:spacing w:after="40"/>
              <w:rPr>
                <w:rFonts w:cstheme="minorHAnsi"/>
                <w:sz w:val="20"/>
                <w:szCs w:val="20"/>
              </w:rPr>
            </w:pPr>
          </w:p>
        </w:tc>
        <w:tc>
          <w:tcPr>
            <w:tcW w:w="1488" w:type="pct"/>
            <w:vAlign w:val="center"/>
          </w:tcPr>
          <w:p w14:paraId="42C16D52" w14:textId="77777777" w:rsidR="00A129E3" w:rsidRPr="00DA0FFF" w:rsidRDefault="00A129E3" w:rsidP="002B5001">
            <w:pPr>
              <w:spacing w:after="40"/>
              <w:rPr>
                <w:rFonts w:cstheme="minorHAnsi"/>
                <w:color w:val="000000" w:themeColor="text1"/>
                <w:sz w:val="20"/>
                <w:szCs w:val="20"/>
                <w:shd w:val="clear" w:color="auto" w:fill="FFFFFF"/>
              </w:rPr>
            </w:pPr>
          </w:p>
        </w:tc>
        <w:tc>
          <w:tcPr>
            <w:tcW w:w="1829" w:type="pct"/>
            <w:vAlign w:val="center"/>
          </w:tcPr>
          <w:p w14:paraId="118BBF8E" w14:textId="77777777" w:rsidR="00A129E3" w:rsidRPr="00DA0FFF" w:rsidRDefault="00A129E3" w:rsidP="002B5001">
            <w:pPr>
              <w:spacing w:after="40"/>
              <w:rPr>
                <w:rFonts w:cstheme="minorHAnsi"/>
                <w:sz w:val="20"/>
                <w:szCs w:val="20"/>
              </w:rPr>
            </w:pPr>
            <w:r w:rsidRPr="00DA0FFF">
              <w:rPr>
                <w:rFonts w:cstheme="minorHAnsi"/>
                <w:sz w:val="20"/>
                <w:szCs w:val="20"/>
              </w:rPr>
              <w:t>CHEA International Quality Group (CIQG)</w:t>
            </w:r>
          </w:p>
        </w:tc>
      </w:tr>
      <w:tr w:rsidR="00A129E3" w:rsidRPr="00420640" w14:paraId="65CFF3E1" w14:textId="77777777" w:rsidTr="002B5001">
        <w:tc>
          <w:tcPr>
            <w:tcW w:w="486" w:type="pct"/>
            <w:vAlign w:val="center"/>
          </w:tcPr>
          <w:p w14:paraId="74A7A604"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lastRenderedPageBreak/>
              <w:t>2013</w:t>
            </w:r>
          </w:p>
        </w:tc>
        <w:tc>
          <w:tcPr>
            <w:tcW w:w="1197" w:type="pct"/>
            <w:vAlign w:val="center"/>
          </w:tcPr>
          <w:p w14:paraId="5E98EAA7" w14:textId="77777777" w:rsidR="00A129E3" w:rsidRPr="00DA0FFF" w:rsidRDefault="00A129E3" w:rsidP="002B5001">
            <w:pPr>
              <w:spacing w:after="40"/>
              <w:rPr>
                <w:rFonts w:cstheme="minorHAnsi"/>
                <w:sz w:val="20"/>
                <w:szCs w:val="20"/>
              </w:rPr>
            </w:pPr>
          </w:p>
        </w:tc>
        <w:tc>
          <w:tcPr>
            <w:tcW w:w="1488" w:type="pct"/>
            <w:vAlign w:val="center"/>
          </w:tcPr>
          <w:p w14:paraId="2B6EE49B" w14:textId="77777777" w:rsidR="00A129E3" w:rsidRPr="00DA0FFF" w:rsidRDefault="00A129E3" w:rsidP="002B5001">
            <w:pPr>
              <w:spacing w:after="40"/>
              <w:rPr>
                <w:rFonts w:cstheme="minorHAnsi"/>
                <w:color w:val="000000" w:themeColor="text1"/>
                <w:sz w:val="20"/>
                <w:szCs w:val="20"/>
                <w:shd w:val="clear" w:color="auto" w:fill="FFFFFF"/>
              </w:rPr>
            </w:pPr>
          </w:p>
        </w:tc>
        <w:tc>
          <w:tcPr>
            <w:tcW w:w="1829" w:type="pct"/>
            <w:vAlign w:val="center"/>
          </w:tcPr>
          <w:p w14:paraId="5844E347" w14:textId="77777777" w:rsidR="00A129E3" w:rsidRPr="00DA0FFF" w:rsidRDefault="00A129E3" w:rsidP="002B5001">
            <w:pPr>
              <w:spacing w:after="40"/>
              <w:rPr>
                <w:rFonts w:cstheme="minorHAnsi"/>
                <w:sz w:val="20"/>
                <w:szCs w:val="20"/>
              </w:rPr>
            </w:pPr>
            <w:r w:rsidRPr="00DA0FFF">
              <w:rPr>
                <w:rFonts w:cstheme="minorHAnsi"/>
                <w:sz w:val="20"/>
                <w:szCs w:val="20"/>
              </w:rPr>
              <w:t>Australia-Africa Universities Network (AAUN)</w:t>
            </w:r>
          </w:p>
        </w:tc>
      </w:tr>
      <w:tr w:rsidR="00B4598B" w:rsidRPr="00420640" w14:paraId="58EC33CE" w14:textId="77777777" w:rsidTr="002B5001">
        <w:tc>
          <w:tcPr>
            <w:tcW w:w="486" w:type="pct"/>
            <w:vAlign w:val="center"/>
          </w:tcPr>
          <w:p w14:paraId="75CBFDD0" w14:textId="77777777" w:rsidR="00A129E3" w:rsidRPr="00DA0FFF" w:rsidRDefault="00A129E3" w:rsidP="00CE4313">
            <w:pPr>
              <w:spacing w:after="40"/>
              <w:jc w:val="center"/>
              <w:rPr>
                <w:rFonts w:cstheme="minorHAnsi"/>
                <w:b/>
                <w:sz w:val="20"/>
                <w:szCs w:val="20"/>
              </w:rPr>
            </w:pPr>
            <w:r w:rsidRPr="00DA0FFF">
              <w:rPr>
                <w:rFonts w:cstheme="minorHAnsi"/>
                <w:b/>
                <w:sz w:val="20"/>
                <w:szCs w:val="20"/>
              </w:rPr>
              <w:t>2017</w:t>
            </w:r>
          </w:p>
        </w:tc>
        <w:tc>
          <w:tcPr>
            <w:tcW w:w="1197" w:type="pct"/>
            <w:vAlign w:val="center"/>
          </w:tcPr>
          <w:p w14:paraId="2DD5172A" w14:textId="77777777" w:rsidR="00A129E3" w:rsidRPr="00DA0FFF" w:rsidRDefault="00A129E3" w:rsidP="002B5001">
            <w:pPr>
              <w:spacing w:after="40"/>
              <w:rPr>
                <w:rFonts w:cstheme="minorHAnsi"/>
                <w:color w:val="000000" w:themeColor="text1"/>
                <w:sz w:val="20"/>
                <w:szCs w:val="20"/>
                <w:shd w:val="clear" w:color="auto" w:fill="FFFFFF"/>
              </w:rPr>
            </w:pPr>
          </w:p>
        </w:tc>
        <w:tc>
          <w:tcPr>
            <w:tcW w:w="1488" w:type="pct"/>
            <w:vAlign w:val="center"/>
          </w:tcPr>
          <w:p w14:paraId="62E670CF" w14:textId="77777777" w:rsidR="00A129E3" w:rsidRPr="00DA0FFF" w:rsidRDefault="00A129E3" w:rsidP="002B5001">
            <w:pPr>
              <w:spacing w:after="40"/>
              <w:rPr>
                <w:rFonts w:cstheme="minorHAnsi"/>
                <w:sz w:val="20"/>
                <w:szCs w:val="20"/>
              </w:rPr>
            </w:pPr>
          </w:p>
        </w:tc>
        <w:tc>
          <w:tcPr>
            <w:tcW w:w="1829" w:type="pct"/>
            <w:vAlign w:val="center"/>
          </w:tcPr>
          <w:p w14:paraId="3D82AB23" w14:textId="77777777" w:rsidR="00A129E3" w:rsidRPr="00DA0FFF" w:rsidRDefault="00A129E3" w:rsidP="002B5001">
            <w:pPr>
              <w:spacing w:after="40"/>
              <w:rPr>
                <w:rFonts w:cstheme="minorHAnsi"/>
                <w:color w:val="000000" w:themeColor="text1"/>
                <w:sz w:val="20"/>
                <w:szCs w:val="20"/>
                <w:shd w:val="clear" w:color="auto" w:fill="FFFFFF"/>
              </w:rPr>
            </w:pPr>
            <w:r w:rsidRPr="00DA0FFF">
              <w:rPr>
                <w:rFonts w:cstheme="minorHAnsi"/>
                <w:color w:val="000000" w:themeColor="text1"/>
                <w:sz w:val="20"/>
                <w:szCs w:val="20"/>
                <w:shd w:val="clear" w:color="auto" w:fill="FFFFFF"/>
              </w:rPr>
              <w:t>Pakistan Network of Quality Assurance in Higher Education (PNQAHE)</w:t>
            </w:r>
          </w:p>
        </w:tc>
      </w:tr>
    </w:tbl>
    <w:p w14:paraId="0000004A" w14:textId="737843CF" w:rsidR="004C6123" w:rsidRPr="00E51A3A" w:rsidRDefault="00A129E3" w:rsidP="00E51A3A">
      <w:pPr>
        <w:pStyle w:val="CommentText"/>
        <w:spacing w:line="276" w:lineRule="auto"/>
        <w:rPr>
          <w:rFonts w:asciiTheme="minorHAnsi" w:hAnsiTheme="minorHAnsi" w:cstheme="minorHAnsi"/>
        </w:rPr>
      </w:pPr>
      <w:r w:rsidRPr="00500DDA">
        <w:rPr>
          <w:rFonts w:asciiTheme="minorHAnsi" w:hAnsiTheme="minorHAnsi" w:cstheme="minorHAnsi"/>
        </w:rPr>
        <w:t xml:space="preserve">Sources: Authors; </w:t>
      </w:r>
      <w:r w:rsidRPr="00500DDA">
        <w:rPr>
          <w:rFonts w:asciiTheme="minorHAnsi" w:hAnsiTheme="minorHAnsi" w:cstheme="minorHAnsi"/>
        </w:rPr>
        <w:fldChar w:fldCharType="begin" w:fldLock="1"/>
      </w:r>
      <w:r w:rsidR="00EE3231">
        <w:rPr>
          <w:rFonts w:asciiTheme="minorHAnsi" w:hAnsiTheme="minorHAnsi" w:cstheme="minorHAnsi"/>
        </w:rPr>
        <w:instrText>ADDIN CSL_CITATION {"citationItems":[{"id":"ITEM-1","itemData":{"author":[{"dropping-particle":"","family":"Henard","given":"Fabrice","non-dropping-particle":"","parse-names":false,"suffix":""}],"id":"ITEM-1","issued":{"date-parts":[["2020"]]},"number-of-pages":"1-41","publisher":"The World Bank","publisher-place":"Washington D.C","title":"Collaborating to Compete. The Global Landscape of International Tertiary Education Networks","type":"book"},"uris":["http://www.mendeley.com/documents/?uuid=bf9f32bd-4258-4c81-a946-6e5e8606f390"]}],"mendeley":{"formattedCitation":"(Henard 2020)","manualFormatting":"Henard, 2020","plainTextFormattedCitation":"(Henard 2020)","previouslyFormattedCitation":"(Henard 2020)"},"properties":{"noteIndex":0},"schema":"https://github.com/citation-style-language/schema/raw/master/csl-citation.json"}</w:instrText>
      </w:r>
      <w:r w:rsidRPr="00500DDA">
        <w:rPr>
          <w:rFonts w:asciiTheme="minorHAnsi" w:hAnsiTheme="minorHAnsi" w:cstheme="minorHAnsi"/>
        </w:rPr>
        <w:fldChar w:fldCharType="separate"/>
      </w:r>
      <w:r w:rsidRPr="00500DDA">
        <w:rPr>
          <w:rFonts w:asciiTheme="minorHAnsi" w:hAnsiTheme="minorHAnsi" w:cstheme="minorHAnsi"/>
          <w:noProof/>
        </w:rPr>
        <w:t>Henard, 2020</w:t>
      </w:r>
      <w:r w:rsidRPr="00500DDA">
        <w:rPr>
          <w:rFonts w:asciiTheme="minorHAnsi" w:hAnsiTheme="minorHAnsi" w:cstheme="minorHAnsi"/>
        </w:rPr>
        <w:fldChar w:fldCharType="end"/>
      </w:r>
      <w:r w:rsidR="00A076BA">
        <w:br w:type="page"/>
      </w:r>
    </w:p>
    <w:p w14:paraId="76BEAAE2" w14:textId="77777777" w:rsidR="006779C8" w:rsidRDefault="006779C8">
      <w:pPr>
        <w:spacing w:before="0" w:after="160" w:line="259" w:lineRule="auto"/>
        <w:jc w:val="left"/>
        <w:rPr>
          <w:rFonts w:ascii="Times New Roman" w:eastAsia="Times New Roman" w:hAnsi="Times New Roman" w:cs="Times New Roman"/>
          <w:b/>
        </w:rPr>
      </w:pPr>
    </w:p>
    <w:p w14:paraId="0000004B" w14:textId="77777777" w:rsidR="004C6123" w:rsidRDefault="00A076BA">
      <w:pPr>
        <w:pBdr>
          <w:top w:val="nil"/>
          <w:left w:val="nil"/>
          <w:bottom w:val="nil"/>
          <w:right w:val="nil"/>
          <w:between w:val="nil"/>
        </w:pBdr>
        <w:spacing w:after="240"/>
        <w:rPr>
          <w:rFonts w:ascii="Times New Roman" w:eastAsia="Times New Roman" w:hAnsi="Times New Roman" w:cs="Times New Roman"/>
          <w:b/>
          <w:color w:val="000000"/>
        </w:rPr>
      </w:pPr>
      <w:r>
        <w:rPr>
          <w:rFonts w:ascii="Times New Roman" w:eastAsia="Times New Roman" w:hAnsi="Times New Roman" w:cs="Times New Roman"/>
          <w:b/>
          <w:color w:val="000000"/>
        </w:rPr>
        <w:t>References</w:t>
      </w:r>
    </w:p>
    <w:p w14:paraId="282DF662" w14:textId="23B89A74" w:rsidR="00EE3231" w:rsidRPr="003F1B2A" w:rsidRDefault="002563B7"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eastAsia="Times New Roman" w:hAnsiTheme="minorHAnsi" w:cstheme="minorHAnsi"/>
          <w:b/>
          <w:color w:val="000000"/>
        </w:rPr>
        <w:fldChar w:fldCharType="begin" w:fldLock="1"/>
      </w:r>
      <w:r w:rsidRPr="003F1B2A">
        <w:rPr>
          <w:rFonts w:asciiTheme="minorHAnsi" w:eastAsia="Times New Roman" w:hAnsiTheme="minorHAnsi" w:cstheme="minorHAnsi"/>
          <w:b/>
          <w:color w:val="000000"/>
        </w:rPr>
        <w:instrText xml:space="preserve">ADDIN Mendeley Bibliography CSL_BIBLIOGRAPHY </w:instrText>
      </w:r>
      <w:r w:rsidRPr="003F1B2A">
        <w:rPr>
          <w:rFonts w:asciiTheme="minorHAnsi" w:eastAsia="Times New Roman" w:hAnsiTheme="minorHAnsi" w:cstheme="minorHAnsi"/>
          <w:b/>
          <w:color w:val="000000"/>
        </w:rPr>
        <w:fldChar w:fldCharType="separate"/>
      </w:r>
      <w:r w:rsidR="00EE3231" w:rsidRPr="003F1B2A">
        <w:rPr>
          <w:rFonts w:asciiTheme="minorHAnsi" w:hAnsiTheme="minorHAnsi" w:cstheme="minorHAnsi"/>
          <w:noProof/>
          <w:lang w:val="en-GB"/>
        </w:rPr>
        <w:t xml:space="preserve">Abbott, Kenneth W., Jessica F. Green, and Robert O. Keohane. 2016. “Organizational Ecology and Institutional Change in Global Governance.” </w:t>
      </w:r>
      <w:r w:rsidR="00EE3231" w:rsidRPr="003F1B2A">
        <w:rPr>
          <w:rFonts w:asciiTheme="minorHAnsi" w:hAnsiTheme="minorHAnsi" w:cstheme="minorHAnsi"/>
          <w:i/>
          <w:iCs/>
          <w:noProof/>
          <w:lang w:val="en-GB"/>
        </w:rPr>
        <w:t>International Organization</w:t>
      </w:r>
      <w:r w:rsidR="00EE3231" w:rsidRPr="003F1B2A">
        <w:rPr>
          <w:rFonts w:asciiTheme="minorHAnsi" w:hAnsiTheme="minorHAnsi" w:cstheme="minorHAnsi"/>
          <w:noProof/>
          <w:lang w:val="en-GB"/>
        </w:rPr>
        <w:t xml:space="preserve"> 70 (2): 247–77. https://doi.org/10.1017/S0020818315000338.</w:t>
      </w:r>
    </w:p>
    <w:p w14:paraId="0651E233"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Adams, Jonathan. 2012. “Collaborations: The Rise of Research Networks.” </w:t>
      </w:r>
      <w:r w:rsidRPr="003F1B2A">
        <w:rPr>
          <w:rFonts w:asciiTheme="minorHAnsi" w:hAnsiTheme="minorHAnsi" w:cstheme="minorHAnsi"/>
          <w:i/>
          <w:iCs/>
          <w:noProof/>
          <w:lang w:val="en-GB"/>
        </w:rPr>
        <w:t>Nature</w:t>
      </w:r>
      <w:r w:rsidRPr="003F1B2A">
        <w:rPr>
          <w:rFonts w:asciiTheme="minorHAnsi" w:hAnsiTheme="minorHAnsi" w:cstheme="minorHAnsi"/>
          <w:noProof/>
          <w:lang w:val="en-GB"/>
        </w:rPr>
        <w:t xml:space="preserve"> 490 (7420): 335–36. https://doi.org/10.1038/490335a.</w:t>
      </w:r>
    </w:p>
    <w:p w14:paraId="0E5F74C7"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Aebischer, Patrick. 2016. “Universities: Increasingly Global Players.” In </w:t>
      </w:r>
      <w:r w:rsidRPr="003F1B2A">
        <w:rPr>
          <w:rFonts w:asciiTheme="minorHAnsi" w:hAnsiTheme="minorHAnsi" w:cstheme="minorHAnsi"/>
          <w:i/>
          <w:iCs/>
          <w:noProof/>
          <w:lang w:val="en-GB"/>
        </w:rPr>
        <w:t>Perspectives on Emerging Issues. UNESCO Science Report 2015</w:t>
      </w:r>
      <w:r w:rsidRPr="003F1B2A">
        <w:rPr>
          <w:rFonts w:asciiTheme="minorHAnsi" w:hAnsiTheme="minorHAnsi" w:cstheme="minorHAnsi"/>
          <w:noProof/>
          <w:lang w:val="en-GB"/>
        </w:rPr>
        <w:t>, 3–5. Paris: UNESCO. https://en.unesco.org/sites/default/files/usr15_perspectives_on_emerging_issues.pdf.</w:t>
      </w:r>
    </w:p>
    <w:p w14:paraId="7F0FBD3F"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Alasuutari, Pertti, and Ali Qadir. 2014. “Epistemic Governance: An Approach to the Politics of Policy-Making.” </w:t>
      </w:r>
      <w:r w:rsidRPr="003F1B2A">
        <w:rPr>
          <w:rFonts w:asciiTheme="minorHAnsi" w:hAnsiTheme="minorHAnsi" w:cstheme="minorHAnsi"/>
          <w:i/>
          <w:iCs/>
          <w:noProof/>
          <w:lang w:val="en-GB"/>
        </w:rPr>
        <w:t>European Journal of Cultural and Political Sociology</w:t>
      </w:r>
      <w:r w:rsidRPr="003F1B2A">
        <w:rPr>
          <w:rFonts w:asciiTheme="minorHAnsi" w:hAnsiTheme="minorHAnsi" w:cstheme="minorHAnsi"/>
          <w:noProof/>
          <w:lang w:val="en-GB"/>
        </w:rPr>
        <w:t xml:space="preserve"> 1 (1): 67–84. https://doi.org/10.1080/23254823.2014.887986.</w:t>
      </w:r>
    </w:p>
    <w:p w14:paraId="19DC1A9E"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Allison, Graham, Kevin Klyman, Karina Barbesino, and Hugo Yen. 2021. “The Great Tech Rivalry: China vs the U.S.” Boston. www.belfercenter.org.</w:t>
      </w:r>
    </w:p>
    <w:p w14:paraId="2BF5D546"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Altbach, Philip G. 2004. “Globalisation and the University: Myths and Realities in an Unequal World.” </w:t>
      </w:r>
      <w:r w:rsidRPr="003F1B2A">
        <w:rPr>
          <w:rFonts w:asciiTheme="minorHAnsi" w:hAnsiTheme="minorHAnsi" w:cstheme="minorHAnsi"/>
          <w:i/>
          <w:iCs/>
          <w:noProof/>
          <w:lang w:val="en-GB"/>
        </w:rPr>
        <w:t>Tertiary Education and Management</w:t>
      </w:r>
      <w:r w:rsidRPr="003F1B2A">
        <w:rPr>
          <w:rFonts w:asciiTheme="minorHAnsi" w:hAnsiTheme="minorHAnsi" w:cstheme="minorHAnsi"/>
          <w:noProof/>
          <w:lang w:val="en-GB"/>
        </w:rPr>
        <w:t xml:space="preserve"> 10 (1): 3–25. https://doi.org/10.1080/13583883.2004.9967114.</w:t>
      </w:r>
    </w:p>
    <w:p w14:paraId="1103A8E9"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Badie, Bertrand. 2017. “Uncertain Global Governance.” In </w:t>
      </w:r>
      <w:r w:rsidRPr="003F1B2A">
        <w:rPr>
          <w:rFonts w:asciiTheme="minorHAnsi" w:hAnsiTheme="minorHAnsi" w:cstheme="minorHAnsi"/>
          <w:i/>
          <w:iCs/>
          <w:noProof/>
          <w:lang w:val="en-GB"/>
        </w:rPr>
        <w:t>Still a Western World? Continuity and Change in Global Order</w:t>
      </w:r>
      <w:r w:rsidRPr="003F1B2A">
        <w:rPr>
          <w:rFonts w:asciiTheme="minorHAnsi" w:hAnsiTheme="minorHAnsi" w:cstheme="minorHAnsi"/>
          <w:noProof/>
          <w:lang w:val="en-GB"/>
        </w:rPr>
        <w:t>, edited by Sergio Fabbrini and Raffaele Marchetti, 23–32. Abingdon and New York: Routledge.</w:t>
      </w:r>
    </w:p>
    <w:p w14:paraId="5473BB40"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Beerkens, Eric. 2002. “International Inter-Organisational Arrangements in Higher Education: Towards a Typology.” </w:t>
      </w:r>
      <w:r w:rsidRPr="003F1B2A">
        <w:rPr>
          <w:rFonts w:asciiTheme="minorHAnsi" w:hAnsiTheme="minorHAnsi" w:cstheme="minorHAnsi"/>
          <w:i/>
          <w:iCs/>
          <w:noProof/>
          <w:lang w:val="en-GB"/>
        </w:rPr>
        <w:t>Tertiary Education and Management</w:t>
      </w:r>
      <w:r w:rsidRPr="003F1B2A">
        <w:rPr>
          <w:rFonts w:asciiTheme="minorHAnsi" w:hAnsiTheme="minorHAnsi" w:cstheme="minorHAnsi"/>
          <w:noProof/>
          <w:lang w:val="en-GB"/>
        </w:rPr>
        <w:t xml:space="preserve"> 8 (4): 297–316. https://doi.org/10.1080/13583883.2002.9967086.</w:t>
      </w:r>
    </w:p>
    <w:p w14:paraId="76E36076"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 2005. “Transnational Actors in the European Higher Education Area: European Opportunities and Institutional Embeddedness.” In </w:t>
      </w:r>
      <w:r w:rsidRPr="003F1B2A">
        <w:rPr>
          <w:rFonts w:asciiTheme="minorHAnsi" w:hAnsiTheme="minorHAnsi" w:cstheme="minorHAnsi"/>
          <w:i/>
          <w:iCs/>
          <w:noProof/>
          <w:lang w:val="en-GB"/>
        </w:rPr>
        <w:t>Transnational European Union: Towards a Common Political Space?</w:t>
      </w:r>
      <w:r w:rsidRPr="003F1B2A">
        <w:rPr>
          <w:rFonts w:asciiTheme="minorHAnsi" w:hAnsiTheme="minorHAnsi" w:cstheme="minorHAnsi"/>
          <w:noProof/>
          <w:lang w:val="en-GB"/>
        </w:rPr>
        <w:t>, edited by W. Kaiser and P. Starie, 170–90. Routledge. https://doi.org/10.4324/9780203016534.</w:t>
      </w:r>
    </w:p>
    <w:p w14:paraId="57D50B76"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Brankovic, Jelena. 2018. “How Do Meta-Organizations Affect Extra-Organizational Boundaries? The Case of University Associations.” In </w:t>
      </w:r>
      <w:r w:rsidRPr="003F1B2A">
        <w:rPr>
          <w:rFonts w:asciiTheme="minorHAnsi" w:hAnsiTheme="minorHAnsi" w:cstheme="minorHAnsi"/>
          <w:i/>
          <w:iCs/>
          <w:noProof/>
          <w:lang w:val="en-GB"/>
        </w:rPr>
        <w:t>Towards Permeable Boundaries of Organizations?</w:t>
      </w:r>
      <w:r w:rsidRPr="003F1B2A">
        <w:rPr>
          <w:rFonts w:asciiTheme="minorHAnsi" w:hAnsiTheme="minorHAnsi" w:cstheme="minorHAnsi"/>
          <w:noProof/>
          <w:lang w:val="en-GB"/>
        </w:rPr>
        <w:t>, edited by L. Ringel, P. Hiller, and C. Zietsma, Book serie, 57:259–81. Bingley: Emerald Publishing Limited. https://doi.org/10.1108/S0733-558X20180000057010.</w:t>
      </w:r>
    </w:p>
    <w:p w14:paraId="232584F0"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Calderon, Angel. 2021. “The Geopolitics of University Rankings: Not All Regions and University Networks Stand Equal.” In </w:t>
      </w:r>
      <w:r w:rsidRPr="003F1B2A">
        <w:rPr>
          <w:rFonts w:asciiTheme="minorHAnsi" w:hAnsiTheme="minorHAnsi" w:cstheme="minorHAnsi"/>
          <w:i/>
          <w:iCs/>
          <w:noProof/>
          <w:lang w:val="en-GB"/>
        </w:rPr>
        <w:t xml:space="preserve">Research Handbook on University Rankings: History, </w:t>
      </w:r>
      <w:r w:rsidRPr="003F1B2A">
        <w:rPr>
          <w:rFonts w:asciiTheme="minorHAnsi" w:hAnsiTheme="minorHAnsi" w:cstheme="minorHAnsi"/>
          <w:i/>
          <w:iCs/>
          <w:noProof/>
          <w:lang w:val="en-GB"/>
        </w:rPr>
        <w:lastRenderedPageBreak/>
        <w:t>Methodology, Influence and Impact</w:t>
      </w:r>
      <w:r w:rsidRPr="003F1B2A">
        <w:rPr>
          <w:rFonts w:asciiTheme="minorHAnsi" w:hAnsiTheme="minorHAnsi" w:cstheme="minorHAnsi"/>
          <w:noProof/>
          <w:lang w:val="en-GB"/>
        </w:rPr>
        <w:t>, edited by Ellen Hazelkorn and Georgiana Mihut. Cheltenham, UK: Edward Elgar Publishing. https://www.e-elgar.com/shop/gbp/research-handbook-on-university-rankings-9781788974974.html.</w:t>
      </w:r>
    </w:p>
    <w:p w14:paraId="7169A135"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Economic and Social Council. 2018. </w:t>
      </w:r>
      <w:r w:rsidRPr="003F1B2A">
        <w:rPr>
          <w:rFonts w:asciiTheme="minorHAnsi" w:hAnsiTheme="minorHAnsi" w:cstheme="minorHAnsi"/>
          <w:i/>
          <w:iCs/>
          <w:noProof/>
          <w:lang w:val="en-GB"/>
        </w:rPr>
        <w:t>List of Non-Governmental Organizations in Consultative Status with the Economic and Social Council as of 1 September 2018</w:t>
      </w:r>
      <w:r w:rsidRPr="003F1B2A">
        <w:rPr>
          <w:rFonts w:asciiTheme="minorHAnsi" w:hAnsiTheme="minorHAnsi" w:cstheme="minorHAnsi"/>
          <w:noProof/>
          <w:lang w:val="en-GB"/>
        </w:rPr>
        <w:t>. New York: United Nations. https://doi.org/10.1163/ej.9789004180048.i-962.115.</w:t>
      </w:r>
    </w:p>
    <w:p w14:paraId="7C5A6D07"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Gamble, Andrew. 2013. “Foreward.” In </w:t>
      </w:r>
      <w:r w:rsidRPr="003F1B2A">
        <w:rPr>
          <w:rFonts w:asciiTheme="minorHAnsi" w:hAnsiTheme="minorHAnsi" w:cstheme="minorHAnsi"/>
          <w:i/>
          <w:iCs/>
          <w:noProof/>
          <w:lang w:val="en-GB"/>
        </w:rPr>
        <w:t>Globalisation, Multilateralism, Europe. Towards a Better Global Governance?</w:t>
      </w:r>
      <w:r w:rsidRPr="003F1B2A">
        <w:rPr>
          <w:rFonts w:asciiTheme="minorHAnsi" w:hAnsiTheme="minorHAnsi" w:cstheme="minorHAnsi"/>
          <w:noProof/>
          <w:lang w:val="en-GB"/>
        </w:rPr>
        <w:t>, edited by Mario Telò, xxxiii–xxxvi. Farnham, UK: Ashgate Publishing.</w:t>
      </w:r>
    </w:p>
    <w:p w14:paraId="3415B2A2"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Gornitzka, Åse. 2005. “Coordinating Policies for a ‘Europe of Knowledge’. Emerging Practices of the ‘Open Method of Coordination’ in Education and Research.” </w:t>
      </w:r>
      <w:r w:rsidRPr="003F1B2A">
        <w:rPr>
          <w:rFonts w:asciiTheme="minorHAnsi" w:hAnsiTheme="minorHAnsi" w:cstheme="minorHAnsi"/>
          <w:i/>
          <w:iCs/>
          <w:noProof/>
          <w:lang w:val="en-GB"/>
        </w:rPr>
        <w:t>Working Paper</w:t>
      </w:r>
      <w:r w:rsidRPr="003F1B2A">
        <w:rPr>
          <w:rFonts w:asciiTheme="minorHAnsi" w:hAnsiTheme="minorHAnsi" w:cstheme="minorHAnsi"/>
          <w:noProof/>
          <w:lang w:val="en-GB"/>
        </w:rPr>
        <w:t>. Arena. Centre for European Studies, University of Oslo, Norway. http://eucenter.wisc.edu/OMC/Papers/Other/gornitzka.pdf.</w:t>
      </w:r>
    </w:p>
    <w:p w14:paraId="3F72CBE4"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Guston, David H. 2000. </w:t>
      </w:r>
      <w:r w:rsidRPr="003F1B2A">
        <w:rPr>
          <w:rFonts w:asciiTheme="minorHAnsi" w:hAnsiTheme="minorHAnsi" w:cstheme="minorHAnsi"/>
          <w:i/>
          <w:iCs/>
          <w:noProof/>
          <w:lang w:val="en-GB"/>
        </w:rPr>
        <w:t>Between Politics and Science. Assuring the Integrity and Productivity of Research</w:t>
      </w:r>
      <w:r w:rsidRPr="003F1B2A">
        <w:rPr>
          <w:rFonts w:asciiTheme="minorHAnsi" w:hAnsiTheme="minorHAnsi" w:cstheme="minorHAnsi"/>
          <w:noProof/>
          <w:lang w:val="en-GB"/>
        </w:rPr>
        <w:t>. Cambridge, England: Cambridge University Press.</w:t>
      </w:r>
    </w:p>
    <w:p w14:paraId="3204B7E8"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Guzzini, Stefano. 2012. “The Ambivalent ‘Diffusion of Power’ in Global Governance.” In </w:t>
      </w:r>
      <w:r w:rsidRPr="003F1B2A">
        <w:rPr>
          <w:rFonts w:asciiTheme="minorHAnsi" w:hAnsiTheme="minorHAnsi" w:cstheme="minorHAnsi"/>
          <w:i/>
          <w:iCs/>
          <w:noProof/>
          <w:lang w:val="en-GB"/>
        </w:rPr>
        <w:t>International Political Economy Meets Foucault</w:t>
      </w:r>
      <w:r w:rsidRPr="003F1B2A">
        <w:rPr>
          <w:rFonts w:asciiTheme="minorHAnsi" w:hAnsiTheme="minorHAnsi" w:cstheme="minorHAnsi"/>
          <w:noProof/>
          <w:lang w:val="en-GB"/>
        </w:rPr>
        <w:t>, 1–36. https://doi.org/10.1057/9781137283559.</w:t>
      </w:r>
    </w:p>
    <w:p w14:paraId="7A0FFD18"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Hameiri, Shahar. 2010. </w:t>
      </w:r>
      <w:r w:rsidRPr="003F1B2A">
        <w:rPr>
          <w:rFonts w:asciiTheme="minorHAnsi" w:hAnsiTheme="minorHAnsi" w:cstheme="minorHAnsi"/>
          <w:i/>
          <w:iCs/>
          <w:noProof/>
          <w:lang w:val="en-GB"/>
        </w:rPr>
        <w:t>Regulating Statehood. State Building and the Transformation of the Global Order</w:t>
      </w:r>
      <w:r w:rsidRPr="003F1B2A">
        <w:rPr>
          <w:rFonts w:asciiTheme="minorHAnsi" w:hAnsiTheme="minorHAnsi" w:cstheme="minorHAnsi"/>
          <w:noProof/>
          <w:lang w:val="en-GB"/>
        </w:rPr>
        <w:t>. Basingstoke, UK: Palgrave Macmillan.</w:t>
      </w:r>
    </w:p>
    <w:p w14:paraId="526D7C4D"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Harrison, John, Darren P. Smith, and Chloe Kinton. 2015. “New Institutional Geographies of Higher Education: The Rise of Transregional University Alliances.” </w:t>
      </w:r>
      <w:r w:rsidRPr="003F1B2A">
        <w:rPr>
          <w:rFonts w:asciiTheme="minorHAnsi" w:hAnsiTheme="minorHAnsi" w:cstheme="minorHAnsi"/>
          <w:i/>
          <w:iCs/>
          <w:noProof/>
          <w:lang w:val="en-GB"/>
        </w:rPr>
        <w:t>Environment and Planning A</w:t>
      </w:r>
      <w:r w:rsidRPr="003F1B2A">
        <w:rPr>
          <w:rFonts w:asciiTheme="minorHAnsi" w:hAnsiTheme="minorHAnsi" w:cstheme="minorHAnsi"/>
          <w:noProof/>
          <w:lang w:val="en-GB"/>
        </w:rPr>
        <w:t xml:space="preserve"> 48 (5): 910–36. https://doi.org/10.1177/0308518X15619175.</w:t>
      </w:r>
    </w:p>
    <w:p w14:paraId="4D46761B"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Hartmann, Eva. 2010. “The New Research Agenda in Critical Higher Education Studies.” </w:t>
      </w:r>
      <w:r w:rsidRPr="003F1B2A">
        <w:rPr>
          <w:rFonts w:asciiTheme="minorHAnsi" w:hAnsiTheme="minorHAnsi" w:cstheme="minorHAnsi"/>
          <w:i/>
          <w:iCs/>
          <w:noProof/>
          <w:lang w:val="en-GB"/>
        </w:rPr>
        <w:t>Globalisation, Societies and Education</w:t>
      </w:r>
      <w:r w:rsidRPr="003F1B2A">
        <w:rPr>
          <w:rFonts w:asciiTheme="minorHAnsi" w:hAnsiTheme="minorHAnsi" w:cstheme="minorHAnsi"/>
          <w:noProof/>
          <w:lang w:val="en-GB"/>
        </w:rPr>
        <w:t xml:space="preserve"> 8 (2): 169–73. https://doi.org/10.1080/14767721003776098.</w:t>
      </w:r>
    </w:p>
    <w:p w14:paraId="232DC560"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Hazelkorn, Ellen. 2020. “Time to Strengthen Multilateralism in Higher Education.” </w:t>
      </w:r>
      <w:r w:rsidRPr="003F1B2A">
        <w:rPr>
          <w:rFonts w:asciiTheme="minorHAnsi" w:hAnsiTheme="minorHAnsi" w:cstheme="minorHAnsi"/>
          <w:i/>
          <w:iCs/>
          <w:noProof/>
          <w:lang w:val="en-GB"/>
        </w:rPr>
        <w:t>Univeristy World News</w:t>
      </w:r>
      <w:r w:rsidRPr="003F1B2A">
        <w:rPr>
          <w:rFonts w:asciiTheme="minorHAnsi" w:hAnsiTheme="minorHAnsi" w:cstheme="minorHAnsi"/>
          <w:noProof/>
          <w:lang w:val="en-GB"/>
        </w:rPr>
        <w:t>, April 27, 2020. https://www.universityworldnews.com/post.php?story=20200427100841585.</w:t>
      </w:r>
    </w:p>
    <w:p w14:paraId="2DF9A601"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 2021. “What Do Global University Rankings Tell Us About US Geopolitics in Higher Education?” In </w:t>
      </w:r>
      <w:r w:rsidRPr="003F1B2A">
        <w:rPr>
          <w:rFonts w:asciiTheme="minorHAnsi" w:hAnsiTheme="minorHAnsi" w:cstheme="minorHAnsi"/>
          <w:i/>
          <w:iCs/>
          <w:noProof/>
          <w:lang w:val="en-GB"/>
        </w:rPr>
        <w:t>U.S. Power in International Higher Education</w:t>
      </w:r>
      <w:r w:rsidRPr="003F1B2A">
        <w:rPr>
          <w:rFonts w:asciiTheme="minorHAnsi" w:hAnsiTheme="minorHAnsi" w:cstheme="minorHAnsi"/>
          <w:noProof/>
          <w:lang w:val="en-GB"/>
        </w:rPr>
        <w:t>, edited by Jenny J. Lee. New Brunswick and London: Rutgers University Press.</w:t>
      </w:r>
    </w:p>
    <w:p w14:paraId="5D623BB2"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 2023. “Putting Global University Rankings in Context: Internationalising Comparability and the Geo-Politicisation of Higher Education and Science.” In </w:t>
      </w:r>
      <w:r w:rsidRPr="003F1B2A">
        <w:rPr>
          <w:rFonts w:asciiTheme="minorHAnsi" w:hAnsiTheme="minorHAnsi" w:cstheme="minorHAnsi"/>
          <w:i/>
          <w:iCs/>
          <w:noProof/>
          <w:lang w:val="en-GB"/>
        </w:rPr>
        <w:t>The Internationalization of Higher Education Institutions</w:t>
      </w:r>
      <w:r w:rsidRPr="003F1B2A">
        <w:rPr>
          <w:rFonts w:asciiTheme="minorHAnsi" w:hAnsiTheme="minorHAnsi" w:cstheme="minorHAnsi"/>
          <w:noProof/>
          <w:lang w:val="en-GB"/>
        </w:rPr>
        <w:t>, edited by Lars Engwall. Springer.</w:t>
      </w:r>
    </w:p>
    <w:p w14:paraId="1C98F282"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lastRenderedPageBreak/>
        <w:t xml:space="preserve">Hazelkorn, Ellen, Hamish Coates, and Alexander C McCormick. 2018. “Quality, Performance and Accountability: Emergent Challenges in the Global Era.” In </w:t>
      </w:r>
      <w:r w:rsidRPr="003F1B2A">
        <w:rPr>
          <w:rFonts w:asciiTheme="minorHAnsi" w:hAnsiTheme="minorHAnsi" w:cstheme="minorHAnsi"/>
          <w:i/>
          <w:iCs/>
          <w:noProof/>
          <w:lang w:val="en-GB"/>
        </w:rPr>
        <w:t>Research Handbook on Quality, Performance and Accountability</w:t>
      </w:r>
      <w:r w:rsidRPr="003F1B2A">
        <w:rPr>
          <w:rFonts w:asciiTheme="minorHAnsi" w:hAnsiTheme="minorHAnsi" w:cstheme="minorHAnsi"/>
          <w:noProof/>
          <w:lang w:val="en-GB"/>
        </w:rPr>
        <w:t>, edited by Ellen Hazelkorn, Hamish Coates, and Alexander C McCormick, 3–12. Cheltenham: Edward Elgar Publishing.</w:t>
      </w:r>
    </w:p>
    <w:p w14:paraId="329C2CB6"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Hazelkorn, Ellen, and Andrew Gibson. 2017. “Global Science, National Research, and the Question of University Rankings.” </w:t>
      </w:r>
      <w:r w:rsidRPr="003F1B2A">
        <w:rPr>
          <w:rFonts w:asciiTheme="minorHAnsi" w:hAnsiTheme="minorHAnsi" w:cstheme="minorHAnsi"/>
          <w:i/>
          <w:iCs/>
          <w:noProof/>
          <w:lang w:val="en-GB"/>
        </w:rPr>
        <w:t>Palgrave Communications</w:t>
      </w:r>
      <w:r w:rsidRPr="003F1B2A">
        <w:rPr>
          <w:rFonts w:asciiTheme="minorHAnsi" w:hAnsiTheme="minorHAnsi" w:cstheme="minorHAnsi"/>
          <w:noProof/>
          <w:lang w:val="en-GB"/>
        </w:rPr>
        <w:t xml:space="preserve"> 3 (1): 21. https://doi.org/10.1057/s41599-017-0011-6.</w:t>
      </w:r>
    </w:p>
    <w:p w14:paraId="2C6C0089"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Held, David, and Anthony McGrew. 2002. “Introduction.” In </w:t>
      </w:r>
      <w:r w:rsidRPr="003F1B2A">
        <w:rPr>
          <w:rFonts w:asciiTheme="minorHAnsi" w:hAnsiTheme="minorHAnsi" w:cstheme="minorHAnsi"/>
          <w:i/>
          <w:iCs/>
          <w:noProof/>
          <w:lang w:val="en-GB"/>
        </w:rPr>
        <w:t>Governing Globalization: Power, Authority and Global Governance</w:t>
      </w:r>
      <w:r w:rsidRPr="003F1B2A">
        <w:rPr>
          <w:rFonts w:asciiTheme="minorHAnsi" w:hAnsiTheme="minorHAnsi" w:cstheme="minorHAnsi"/>
          <w:noProof/>
          <w:lang w:val="en-GB"/>
        </w:rPr>
        <w:t>, edited by David Held and Anthony McGrew, 1–21. Cambridge, UK: Polity Press.</w:t>
      </w:r>
    </w:p>
    <w:p w14:paraId="465D4702"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Henard, Fabrice. 2020. </w:t>
      </w:r>
      <w:r w:rsidRPr="003F1B2A">
        <w:rPr>
          <w:rFonts w:asciiTheme="minorHAnsi" w:hAnsiTheme="minorHAnsi" w:cstheme="minorHAnsi"/>
          <w:i/>
          <w:iCs/>
          <w:noProof/>
          <w:lang w:val="en-GB"/>
        </w:rPr>
        <w:t>Collaborating to Compete. The Global Landscape of International Tertiary Education Networks</w:t>
      </w:r>
      <w:r w:rsidRPr="003F1B2A">
        <w:rPr>
          <w:rFonts w:asciiTheme="minorHAnsi" w:hAnsiTheme="minorHAnsi" w:cstheme="minorHAnsi"/>
          <w:noProof/>
          <w:lang w:val="en-GB"/>
        </w:rPr>
        <w:t>. Washington D.C: The World Bank.</w:t>
      </w:r>
    </w:p>
    <w:p w14:paraId="0379FD42"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Hirst, Paul, and Grahame Thompson. 2019. “The Future of Globalisation.” In </w:t>
      </w:r>
      <w:r w:rsidRPr="003F1B2A">
        <w:rPr>
          <w:rFonts w:asciiTheme="minorHAnsi" w:hAnsiTheme="minorHAnsi" w:cstheme="minorHAnsi"/>
          <w:i/>
          <w:iCs/>
          <w:noProof/>
          <w:lang w:val="en-GB"/>
        </w:rPr>
        <w:t>The Handbook of Globalisation</w:t>
      </w:r>
      <w:r w:rsidRPr="003F1B2A">
        <w:rPr>
          <w:rFonts w:asciiTheme="minorHAnsi" w:hAnsiTheme="minorHAnsi" w:cstheme="minorHAnsi"/>
          <w:noProof/>
          <w:lang w:val="en-GB"/>
        </w:rPr>
        <w:t>, edited by Jonathan Michie, 3rd ed., 16–31. Cheltenham, UK: Edward Elgar Publishing.</w:t>
      </w:r>
    </w:p>
    <w:p w14:paraId="79F5852B"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Inglehart, Ronald F., and Pippa Norris. 2016. “Trump, Brexit, and the Rise of Populism: Economic Have-Nots and Cultural Backlash.” No. RWP16-026. Harvard Kennedy School (HKS) Working Paper. Cambridge, MA. https://papers.ssrn.com/sol3/papers.cfm?abstract_id=2818659.</w:t>
      </w:r>
    </w:p>
    <w:p w14:paraId="5B02CBAA"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Jessop, Bob. 2012. “Obstacles to a World State in the Shadow of the World Market.” </w:t>
      </w:r>
      <w:r w:rsidRPr="003F1B2A">
        <w:rPr>
          <w:rFonts w:asciiTheme="minorHAnsi" w:hAnsiTheme="minorHAnsi" w:cstheme="minorHAnsi"/>
          <w:i/>
          <w:iCs/>
          <w:noProof/>
          <w:lang w:val="en-GB"/>
        </w:rPr>
        <w:t>Cooperation and Conflict</w:t>
      </w:r>
      <w:r w:rsidRPr="003F1B2A">
        <w:rPr>
          <w:rFonts w:asciiTheme="minorHAnsi" w:hAnsiTheme="minorHAnsi" w:cstheme="minorHAnsi"/>
          <w:noProof/>
          <w:lang w:val="en-GB"/>
        </w:rPr>
        <w:t xml:space="preserve"> 47 (2): 200–219. https://doi.org/10.1177/0010836712443172.</w:t>
      </w:r>
    </w:p>
    <w:p w14:paraId="154C1B24"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Keohane, Robert O. 2002. “Governance in a Partially Globalized World.” In </w:t>
      </w:r>
      <w:r w:rsidRPr="003F1B2A">
        <w:rPr>
          <w:rFonts w:asciiTheme="minorHAnsi" w:hAnsiTheme="minorHAnsi" w:cstheme="minorHAnsi"/>
          <w:i/>
          <w:iCs/>
          <w:noProof/>
          <w:lang w:val="en-GB"/>
        </w:rPr>
        <w:t>Governing Globalization. Power, Authority and Global Governance</w:t>
      </w:r>
      <w:r w:rsidRPr="003F1B2A">
        <w:rPr>
          <w:rFonts w:asciiTheme="minorHAnsi" w:hAnsiTheme="minorHAnsi" w:cstheme="minorHAnsi"/>
          <w:noProof/>
          <w:lang w:val="en-GB"/>
        </w:rPr>
        <w:t>, 325–247. Cambridge, UK: Polity Press.</w:t>
      </w:r>
    </w:p>
    <w:p w14:paraId="23B9FA83"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King, Roger. 2009. </w:t>
      </w:r>
      <w:r w:rsidRPr="003F1B2A">
        <w:rPr>
          <w:rFonts w:asciiTheme="minorHAnsi" w:hAnsiTheme="minorHAnsi" w:cstheme="minorHAnsi"/>
          <w:i/>
          <w:iCs/>
          <w:noProof/>
          <w:lang w:val="en-GB"/>
        </w:rPr>
        <w:t>Governing Universities Globally. Organizations, Regulation and Rankings</w:t>
      </w:r>
      <w:r w:rsidRPr="003F1B2A">
        <w:rPr>
          <w:rFonts w:asciiTheme="minorHAnsi" w:hAnsiTheme="minorHAnsi" w:cstheme="minorHAnsi"/>
          <w:noProof/>
          <w:lang w:val="en-GB"/>
        </w:rPr>
        <w:t>. Cheltenham; Gloustershire: Edward Elgar Publishing.</w:t>
      </w:r>
    </w:p>
    <w:p w14:paraId="30CC438A"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lkenberry, G. John. 2003. “Is American Multilateralism in Decline?” </w:t>
      </w:r>
      <w:r w:rsidRPr="003F1B2A">
        <w:rPr>
          <w:rFonts w:asciiTheme="minorHAnsi" w:hAnsiTheme="minorHAnsi" w:cstheme="minorHAnsi"/>
          <w:i/>
          <w:iCs/>
          <w:noProof/>
          <w:lang w:val="en-GB"/>
        </w:rPr>
        <w:t>Perspectives on Politics</w:t>
      </w:r>
      <w:r w:rsidRPr="003F1B2A">
        <w:rPr>
          <w:rFonts w:asciiTheme="minorHAnsi" w:hAnsiTheme="minorHAnsi" w:cstheme="minorHAnsi"/>
          <w:noProof/>
          <w:lang w:val="en-GB"/>
        </w:rPr>
        <w:t xml:space="preserve"> 1 (3): 533–50. https://doi.org/10.1017/S1537592703000380.</w:t>
      </w:r>
    </w:p>
    <w:p w14:paraId="2747D7B5"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Marginson, Simon. 2018. “The New Geopolitics of Higher Education.” 34. Centre for Global Higher Education Working Paper Series. London. http://www.researchcghe.org/perch/resources/publications/wp34final.pdf.</w:t>
      </w:r>
    </w:p>
    <w:p w14:paraId="0A2AF4AD"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Montgomery, Scott L. 2013. </w:t>
      </w:r>
      <w:r w:rsidRPr="003F1B2A">
        <w:rPr>
          <w:rFonts w:asciiTheme="minorHAnsi" w:hAnsiTheme="minorHAnsi" w:cstheme="minorHAnsi"/>
          <w:i/>
          <w:iCs/>
          <w:noProof/>
          <w:lang w:val="en-GB"/>
        </w:rPr>
        <w:t>Does Science Need a Global Language?</w:t>
      </w:r>
      <w:r w:rsidRPr="003F1B2A">
        <w:rPr>
          <w:rFonts w:asciiTheme="minorHAnsi" w:hAnsiTheme="minorHAnsi" w:cstheme="minorHAnsi"/>
          <w:noProof/>
          <w:lang w:val="en-GB"/>
        </w:rPr>
        <w:t xml:space="preserve"> Chicago, Illinois: University of Chicago Press.</w:t>
      </w:r>
    </w:p>
    <w:p w14:paraId="2CF953FC"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Nayyar, Deepak. 2002. “The Existing System and the Missing Institutions.” In </w:t>
      </w:r>
      <w:r w:rsidRPr="003F1B2A">
        <w:rPr>
          <w:rFonts w:asciiTheme="minorHAnsi" w:hAnsiTheme="minorHAnsi" w:cstheme="minorHAnsi"/>
          <w:i/>
          <w:iCs/>
          <w:noProof/>
          <w:lang w:val="en-GB"/>
        </w:rPr>
        <w:t xml:space="preserve">Governing </w:t>
      </w:r>
      <w:r w:rsidRPr="003F1B2A">
        <w:rPr>
          <w:rFonts w:asciiTheme="minorHAnsi" w:hAnsiTheme="minorHAnsi" w:cstheme="minorHAnsi"/>
          <w:i/>
          <w:iCs/>
          <w:noProof/>
          <w:lang w:val="en-GB"/>
        </w:rPr>
        <w:lastRenderedPageBreak/>
        <w:t>Globalization: Issues and Institutions</w:t>
      </w:r>
      <w:r w:rsidRPr="003F1B2A">
        <w:rPr>
          <w:rFonts w:asciiTheme="minorHAnsi" w:hAnsiTheme="minorHAnsi" w:cstheme="minorHAnsi"/>
          <w:noProof/>
          <w:lang w:val="en-GB"/>
        </w:rPr>
        <w:t>, edited by Deepak Nayyar, 356–84. Oxford and New York: Oxford University Press.</w:t>
      </w:r>
    </w:p>
    <w:p w14:paraId="7417BACB"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Nye Jr, Joseph S, and Robert O Keohane. 1998. “Power and Interdependence in the Information Age.” </w:t>
      </w:r>
      <w:r w:rsidRPr="003F1B2A">
        <w:rPr>
          <w:rFonts w:asciiTheme="minorHAnsi" w:hAnsiTheme="minorHAnsi" w:cstheme="minorHAnsi"/>
          <w:i/>
          <w:iCs/>
          <w:noProof/>
          <w:lang w:val="en-GB"/>
        </w:rPr>
        <w:t>Foreign Affairs</w:t>
      </w:r>
      <w:r w:rsidRPr="003F1B2A">
        <w:rPr>
          <w:rFonts w:asciiTheme="minorHAnsi" w:hAnsiTheme="minorHAnsi" w:cstheme="minorHAnsi"/>
          <w:noProof/>
          <w:lang w:val="en-GB"/>
        </w:rPr>
        <w:t xml:space="preserve"> September/: 81–94.</w:t>
      </w:r>
    </w:p>
    <w:p w14:paraId="4D65EC31"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O’Mally, Brendan. 2022. “European Union Halts Scientific Cooperation with Russia.” </w:t>
      </w:r>
      <w:r w:rsidRPr="003F1B2A">
        <w:rPr>
          <w:rFonts w:asciiTheme="minorHAnsi" w:hAnsiTheme="minorHAnsi" w:cstheme="minorHAnsi"/>
          <w:i/>
          <w:iCs/>
          <w:noProof/>
          <w:lang w:val="en-GB"/>
        </w:rPr>
        <w:t>University World News</w:t>
      </w:r>
      <w:r w:rsidRPr="003F1B2A">
        <w:rPr>
          <w:rFonts w:asciiTheme="minorHAnsi" w:hAnsiTheme="minorHAnsi" w:cstheme="minorHAnsi"/>
          <w:noProof/>
          <w:lang w:val="en-GB"/>
        </w:rPr>
        <w:t>, March 5, 2022. https://www.universityworldnews.com/post.php?story=20220305125136996.</w:t>
      </w:r>
    </w:p>
    <w:p w14:paraId="5A22E3BF"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OECD. 2016. “Megatrends Affecting Science, Technology and Innovation.” </w:t>
      </w:r>
      <w:r w:rsidRPr="003F1B2A">
        <w:rPr>
          <w:rFonts w:asciiTheme="minorHAnsi" w:hAnsiTheme="minorHAnsi" w:cstheme="minorHAnsi"/>
          <w:i/>
          <w:iCs/>
          <w:noProof/>
          <w:lang w:val="en-GB"/>
        </w:rPr>
        <w:t>OECD Science, Technology and Innovation Outlook 2016</w:t>
      </w:r>
      <w:r w:rsidRPr="003F1B2A">
        <w:rPr>
          <w:rFonts w:asciiTheme="minorHAnsi" w:hAnsiTheme="minorHAnsi" w:cstheme="minorHAnsi"/>
          <w:noProof/>
          <w:lang w:val="en-GB"/>
        </w:rPr>
        <w:t>. Paris: OECD Publishing. https://www.oecd.org/sti/Megatrends affecting science, technology and innovation.pdf.</w:t>
      </w:r>
    </w:p>
    <w:p w14:paraId="07880F53"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Ordorika, Imanol, and Marion Lloyd. 2015. “The State and Contest in Higher Education in the Globalized Era. Critical Perspectives.” In </w:t>
      </w:r>
      <w:r w:rsidRPr="003F1B2A">
        <w:rPr>
          <w:rFonts w:asciiTheme="minorHAnsi" w:hAnsiTheme="minorHAnsi" w:cstheme="minorHAnsi"/>
          <w:i/>
          <w:iCs/>
          <w:noProof/>
          <w:lang w:val="en-GB"/>
        </w:rPr>
        <w:t>Critical Apporaches to the Study of Higher Education. A Practical Introduction</w:t>
      </w:r>
      <w:r w:rsidRPr="003F1B2A">
        <w:rPr>
          <w:rFonts w:asciiTheme="minorHAnsi" w:hAnsiTheme="minorHAnsi" w:cstheme="minorHAnsi"/>
          <w:noProof/>
          <w:lang w:val="en-GB"/>
        </w:rPr>
        <w:t>, edited by Ana M. Martinez-Alemán, Brian Pusser, and Estela Mara Bensimon, 130–52. Baltimore, MA: Johns Hopkins University Press.</w:t>
      </w:r>
    </w:p>
    <w:p w14:paraId="09C09D13"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Peterson, John, and Caroline Bouchard. 2014. “Making Multilateralism Effective. Modernising Global Governance.” In </w:t>
      </w:r>
      <w:r w:rsidRPr="003F1B2A">
        <w:rPr>
          <w:rFonts w:asciiTheme="minorHAnsi" w:hAnsiTheme="minorHAnsi" w:cstheme="minorHAnsi"/>
          <w:i/>
          <w:iCs/>
          <w:noProof/>
          <w:lang w:val="en-GB"/>
        </w:rPr>
        <w:t>Multilateralism in the 21st Century. Europe’s Quest for Effetiveness</w:t>
      </w:r>
      <w:r w:rsidRPr="003F1B2A">
        <w:rPr>
          <w:rFonts w:asciiTheme="minorHAnsi" w:hAnsiTheme="minorHAnsi" w:cstheme="minorHAnsi"/>
          <w:noProof/>
          <w:lang w:val="en-GB"/>
        </w:rPr>
        <w:t>, edited by Caroline Bouchard, John Peterson, and Nathalie Tocci, 13–38. London and New York: Routledge.</w:t>
      </w:r>
    </w:p>
    <w:p w14:paraId="3D56A50A"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Pierre, Jon. 2013. </w:t>
      </w:r>
      <w:r w:rsidRPr="003F1B2A">
        <w:rPr>
          <w:rFonts w:asciiTheme="minorHAnsi" w:hAnsiTheme="minorHAnsi" w:cstheme="minorHAnsi"/>
          <w:i/>
          <w:iCs/>
          <w:noProof/>
          <w:lang w:val="en-GB"/>
        </w:rPr>
        <w:t>Globalization and Governance</w:t>
      </w:r>
      <w:r w:rsidRPr="003F1B2A">
        <w:rPr>
          <w:rFonts w:asciiTheme="minorHAnsi" w:hAnsiTheme="minorHAnsi" w:cstheme="minorHAnsi"/>
          <w:noProof/>
          <w:lang w:val="en-GB"/>
        </w:rPr>
        <w:t>. Cheltenham, UK: Edward Elgar Publishing.</w:t>
      </w:r>
    </w:p>
    <w:p w14:paraId="400640E2"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Pratt, Dick. 2006. “New Public Management, Globalization, and Public Administration Reform.” In </w:t>
      </w:r>
      <w:r w:rsidRPr="003F1B2A">
        <w:rPr>
          <w:rFonts w:asciiTheme="minorHAnsi" w:hAnsiTheme="minorHAnsi" w:cstheme="minorHAnsi"/>
          <w:i/>
          <w:iCs/>
          <w:noProof/>
          <w:lang w:val="en-GB"/>
        </w:rPr>
        <w:t>Fairness, Globalization, and Public Institutions. East Asia and Beyond</w:t>
      </w:r>
      <w:r w:rsidRPr="003F1B2A">
        <w:rPr>
          <w:rFonts w:asciiTheme="minorHAnsi" w:hAnsiTheme="minorHAnsi" w:cstheme="minorHAnsi"/>
          <w:noProof/>
          <w:lang w:val="en-GB"/>
        </w:rPr>
        <w:t>, edited by Jim Dator, Dick Pratt, and Yongseok Seo, 101–12. University of Hawai’i Press.</w:t>
      </w:r>
    </w:p>
    <w:p w14:paraId="4AF3E62F"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Readings, Bill. 1996. </w:t>
      </w:r>
      <w:r w:rsidRPr="003F1B2A">
        <w:rPr>
          <w:rFonts w:asciiTheme="minorHAnsi" w:hAnsiTheme="minorHAnsi" w:cstheme="minorHAnsi"/>
          <w:i/>
          <w:iCs/>
          <w:noProof/>
          <w:lang w:val="en-GB"/>
        </w:rPr>
        <w:t>The University in Ruins</w:t>
      </w:r>
      <w:r w:rsidRPr="003F1B2A">
        <w:rPr>
          <w:rFonts w:asciiTheme="minorHAnsi" w:hAnsiTheme="minorHAnsi" w:cstheme="minorHAnsi"/>
          <w:noProof/>
          <w:lang w:val="en-GB"/>
        </w:rPr>
        <w:t>. Cambridge, MA. and London: Harvard University Press.</w:t>
      </w:r>
    </w:p>
    <w:p w14:paraId="09D268E0"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Reuter, Marta, Achim Oberg, and Filip Wijkström. 2018. “Governing a Transnational Field: Civil Society Organizations as Intermediaries in Global University Governance.” In </w:t>
      </w:r>
      <w:r w:rsidRPr="003F1B2A">
        <w:rPr>
          <w:rFonts w:asciiTheme="minorHAnsi" w:hAnsiTheme="minorHAnsi" w:cstheme="minorHAnsi"/>
          <w:i/>
          <w:iCs/>
          <w:noProof/>
          <w:lang w:val="en-GB"/>
        </w:rPr>
        <w:t>Paper Prepared for the 13th ISTR Conference</w:t>
      </w:r>
      <w:r w:rsidRPr="003F1B2A">
        <w:rPr>
          <w:rFonts w:asciiTheme="minorHAnsi" w:hAnsiTheme="minorHAnsi" w:cstheme="minorHAnsi"/>
          <w:noProof/>
          <w:lang w:val="en-GB"/>
        </w:rPr>
        <w:t>, 1–28. Amsterdam, NL.</w:t>
      </w:r>
    </w:p>
    <w:p w14:paraId="680E1E02"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Richardson, Louise. 2020. “Universities Fill the Void.” </w:t>
      </w:r>
      <w:r w:rsidRPr="003F1B2A">
        <w:rPr>
          <w:rFonts w:asciiTheme="minorHAnsi" w:hAnsiTheme="minorHAnsi" w:cstheme="minorHAnsi"/>
          <w:i/>
          <w:iCs/>
          <w:noProof/>
          <w:lang w:val="en-GB"/>
        </w:rPr>
        <w:t>Foreign Affairs</w:t>
      </w:r>
      <w:r w:rsidRPr="003F1B2A">
        <w:rPr>
          <w:rFonts w:asciiTheme="minorHAnsi" w:hAnsiTheme="minorHAnsi" w:cstheme="minorHAnsi"/>
          <w:noProof/>
          <w:lang w:val="en-GB"/>
        </w:rPr>
        <w:t>, April 2020. https://www.foreignaffairs.com/articles/world/2020-04-09/universities-fill-void.</w:t>
      </w:r>
    </w:p>
    <w:p w14:paraId="00A21B41"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Rodrik, Dani. 2000. “How Far Will Economic Integration Go ?” </w:t>
      </w:r>
      <w:r w:rsidRPr="003F1B2A">
        <w:rPr>
          <w:rFonts w:asciiTheme="minorHAnsi" w:hAnsiTheme="minorHAnsi" w:cstheme="minorHAnsi"/>
          <w:i/>
          <w:iCs/>
          <w:noProof/>
          <w:lang w:val="en-GB"/>
        </w:rPr>
        <w:t>Journal of Economic Perspectives</w:t>
      </w:r>
      <w:r w:rsidRPr="003F1B2A">
        <w:rPr>
          <w:rFonts w:asciiTheme="minorHAnsi" w:hAnsiTheme="minorHAnsi" w:cstheme="minorHAnsi"/>
          <w:noProof/>
          <w:lang w:val="en-GB"/>
        </w:rPr>
        <w:t xml:space="preserve"> 14 (1): 177–86.</w:t>
      </w:r>
    </w:p>
    <w:p w14:paraId="65FC4EFF"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Rosenau, James N. 2002. “Governance in a New Global Order.” In </w:t>
      </w:r>
      <w:r w:rsidRPr="003F1B2A">
        <w:rPr>
          <w:rFonts w:asciiTheme="minorHAnsi" w:hAnsiTheme="minorHAnsi" w:cstheme="minorHAnsi"/>
          <w:i/>
          <w:iCs/>
          <w:noProof/>
          <w:lang w:val="en-GB"/>
        </w:rPr>
        <w:t>Governing Globalization. Power, Authority and Global Governance</w:t>
      </w:r>
      <w:r w:rsidRPr="003F1B2A">
        <w:rPr>
          <w:rFonts w:asciiTheme="minorHAnsi" w:hAnsiTheme="minorHAnsi" w:cstheme="minorHAnsi"/>
          <w:noProof/>
          <w:lang w:val="en-GB"/>
        </w:rPr>
        <w:t>, edited by Anthony McGrew and David Held, 70–86. Cambridge, UK: Polity Press.</w:t>
      </w:r>
    </w:p>
    <w:p w14:paraId="1B6F8A4C"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lastRenderedPageBreak/>
        <w:t xml:space="preserve">Ruegg, Walter, ed. 2012. </w:t>
      </w:r>
      <w:r w:rsidRPr="003F1B2A">
        <w:rPr>
          <w:rFonts w:asciiTheme="minorHAnsi" w:hAnsiTheme="minorHAnsi" w:cstheme="minorHAnsi"/>
          <w:i/>
          <w:iCs/>
          <w:noProof/>
          <w:lang w:val="en-GB"/>
        </w:rPr>
        <w:t>A History of the University in Europe Volume IV: Universities since 1945</w:t>
      </w:r>
      <w:r w:rsidRPr="003F1B2A">
        <w:rPr>
          <w:rFonts w:asciiTheme="minorHAnsi" w:hAnsiTheme="minorHAnsi" w:cstheme="minorHAnsi"/>
          <w:noProof/>
          <w:lang w:val="en-GB"/>
        </w:rPr>
        <w:t>. Cambridge: Cambridge University Press.</w:t>
      </w:r>
    </w:p>
    <w:p w14:paraId="211935A4"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Satti, Saad Javid. 2020. “The Need for Healthier Multilateralism.” </w:t>
      </w:r>
      <w:r w:rsidRPr="003F1B2A">
        <w:rPr>
          <w:rFonts w:asciiTheme="minorHAnsi" w:hAnsiTheme="minorHAnsi" w:cstheme="minorHAnsi"/>
          <w:i/>
          <w:iCs/>
          <w:noProof/>
          <w:lang w:val="en-GB"/>
        </w:rPr>
        <w:t>The Nation</w:t>
      </w:r>
      <w:r w:rsidRPr="003F1B2A">
        <w:rPr>
          <w:rFonts w:asciiTheme="minorHAnsi" w:hAnsiTheme="minorHAnsi" w:cstheme="minorHAnsi"/>
          <w:noProof/>
          <w:lang w:val="en-GB"/>
        </w:rPr>
        <w:t>, March 2020. file:///Users/ellenhazelkorn/Dropbox (Personal)/HEPRU 2/Global Governance/Literature Review/The need for healthier multilateralism.webarchive.</w:t>
      </w:r>
    </w:p>
    <w:p w14:paraId="5F2B989D"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Shumate, Michelle, Andrew Pilny, Katherine R Cooper, and Yannick Atouba, eds. 2019. </w:t>
      </w:r>
      <w:r w:rsidRPr="003F1B2A">
        <w:rPr>
          <w:rFonts w:asciiTheme="minorHAnsi" w:hAnsiTheme="minorHAnsi" w:cstheme="minorHAnsi"/>
          <w:i/>
          <w:iCs/>
          <w:noProof/>
          <w:lang w:val="en-GB"/>
        </w:rPr>
        <w:t>Yearbook of International Organizations, 2019-2020. Guide to Global Civil Society Networks. Volume 5: Statistics, Visualizations and Patterns</w:t>
      </w:r>
      <w:r w:rsidRPr="003F1B2A">
        <w:rPr>
          <w:rFonts w:asciiTheme="minorHAnsi" w:hAnsiTheme="minorHAnsi" w:cstheme="minorHAnsi"/>
          <w:noProof/>
          <w:lang w:val="en-GB"/>
        </w:rPr>
        <w:t>. Leiden, Netherlands: Union of International Associations and Brill Publishers.</w:t>
      </w:r>
    </w:p>
    <w:p w14:paraId="268A962E"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Smith, Noah. 2022. “The End of the World?” </w:t>
      </w:r>
      <w:r w:rsidRPr="003F1B2A">
        <w:rPr>
          <w:rFonts w:asciiTheme="minorHAnsi" w:hAnsiTheme="minorHAnsi" w:cstheme="minorHAnsi"/>
          <w:i/>
          <w:iCs/>
          <w:noProof/>
          <w:lang w:val="en-GB"/>
        </w:rPr>
        <w:t>Noahpinion</w:t>
      </w:r>
      <w:r w:rsidRPr="003F1B2A">
        <w:rPr>
          <w:rFonts w:asciiTheme="minorHAnsi" w:hAnsiTheme="minorHAnsi" w:cstheme="minorHAnsi"/>
          <w:noProof/>
          <w:lang w:val="en-GB"/>
        </w:rPr>
        <w:t>, October 26, 2022. https://doi.org/10.7560/319352-025.</w:t>
      </w:r>
    </w:p>
    <w:p w14:paraId="2DB01FB4"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Solla Price, Derek J de. 1963. </w:t>
      </w:r>
      <w:r w:rsidRPr="003F1B2A">
        <w:rPr>
          <w:rFonts w:asciiTheme="minorHAnsi" w:hAnsiTheme="minorHAnsi" w:cstheme="minorHAnsi"/>
          <w:i/>
          <w:iCs/>
          <w:noProof/>
          <w:lang w:val="en-GB"/>
        </w:rPr>
        <w:t>Little Science, Big Science</w:t>
      </w:r>
      <w:r w:rsidRPr="003F1B2A">
        <w:rPr>
          <w:rFonts w:asciiTheme="minorHAnsi" w:hAnsiTheme="minorHAnsi" w:cstheme="minorHAnsi"/>
          <w:noProof/>
          <w:lang w:val="en-GB"/>
        </w:rPr>
        <w:t>. New York: Columbia University Press.</w:t>
      </w:r>
    </w:p>
    <w:p w14:paraId="58BD10AF"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Stephen, Matthew D. 2014. “Rising Powers, Global Capitalism and Liberal Global Governance: A Historical Materialist Account of the BRICs Challenge.” </w:t>
      </w:r>
      <w:r w:rsidRPr="003F1B2A">
        <w:rPr>
          <w:rFonts w:asciiTheme="minorHAnsi" w:hAnsiTheme="minorHAnsi" w:cstheme="minorHAnsi"/>
          <w:i/>
          <w:iCs/>
          <w:noProof/>
          <w:lang w:val="en-GB"/>
        </w:rPr>
        <w:t>European Journal of International Relations</w:t>
      </w:r>
      <w:r w:rsidRPr="003F1B2A">
        <w:rPr>
          <w:rFonts w:asciiTheme="minorHAnsi" w:hAnsiTheme="minorHAnsi" w:cstheme="minorHAnsi"/>
          <w:noProof/>
          <w:lang w:val="en-GB"/>
        </w:rPr>
        <w:t xml:space="preserve"> 20 (4): 912–38. https://doi.org/10.1177/1354066114523655.</w:t>
      </w:r>
    </w:p>
    <w:p w14:paraId="115E178D" w14:textId="3FEFBBFB" w:rsidR="00AF5472" w:rsidRPr="00AF5472" w:rsidRDefault="00AF5472" w:rsidP="003F1B2A">
      <w:pPr>
        <w:widowControl w:val="0"/>
        <w:autoSpaceDE w:val="0"/>
        <w:autoSpaceDN w:val="0"/>
        <w:adjustRightInd w:val="0"/>
        <w:spacing w:after="240"/>
        <w:ind w:left="480" w:hanging="480"/>
        <w:jc w:val="left"/>
        <w:rPr>
          <w:rFonts w:asciiTheme="minorHAnsi" w:hAnsiTheme="minorHAnsi" w:cstheme="minorHAnsi"/>
          <w:noProof/>
          <w:lang w:val="en-GB"/>
        </w:rPr>
      </w:pPr>
      <w:r>
        <w:rPr>
          <w:rFonts w:asciiTheme="minorHAnsi" w:hAnsiTheme="minorHAnsi" w:cstheme="minorHAnsi"/>
          <w:noProof/>
          <w:lang w:val="en-GB"/>
        </w:rPr>
        <w:t xml:space="preserve">Strange, Susan. 2015. </w:t>
      </w:r>
      <w:r>
        <w:rPr>
          <w:rFonts w:asciiTheme="minorHAnsi" w:hAnsiTheme="minorHAnsi" w:cstheme="minorHAnsi"/>
          <w:i/>
          <w:iCs/>
          <w:noProof/>
          <w:lang w:val="en-GB"/>
        </w:rPr>
        <w:t>States and Markets</w:t>
      </w:r>
      <w:r>
        <w:rPr>
          <w:rFonts w:asciiTheme="minorHAnsi" w:hAnsiTheme="minorHAnsi" w:cstheme="minorHAnsi"/>
          <w:noProof/>
          <w:lang w:val="en-GB"/>
        </w:rPr>
        <w:t>. London: Bloomsbury.</w:t>
      </w:r>
    </w:p>
    <w:p w14:paraId="6835F0AC" w14:textId="1D599962"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Teferra, Damtew. 2020. “COVID-19 – A Vindictive Messenger for Multilateralism.” </w:t>
      </w:r>
      <w:r w:rsidRPr="003F1B2A">
        <w:rPr>
          <w:rFonts w:asciiTheme="minorHAnsi" w:hAnsiTheme="minorHAnsi" w:cstheme="minorHAnsi"/>
          <w:i/>
          <w:iCs/>
          <w:noProof/>
          <w:lang w:val="en-GB"/>
        </w:rPr>
        <w:t>University World News</w:t>
      </w:r>
      <w:r w:rsidRPr="003F1B2A">
        <w:rPr>
          <w:rFonts w:asciiTheme="minorHAnsi" w:hAnsiTheme="minorHAnsi" w:cstheme="minorHAnsi"/>
          <w:noProof/>
          <w:lang w:val="en-GB"/>
        </w:rPr>
        <w:t>, April 2, 2020. https://www.universityworldnews.com/post.php?story=20200330150422952.</w:t>
      </w:r>
    </w:p>
    <w:p w14:paraId="785EF449"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Telò, Mario. 2013. “Introduction.” In </w:t>
      </w:r>
      <w:r w:rsidRPr="003F1B2A">
        <w:rPr>
          <w:rFonts w:asciiTheme="minorHAnsi" w:hAnsiTheme="minorHAnsi" w:cstheme="minorHAnsi"/>
          <w:i/>
          <w:iCs/>
          <w:noProof/>
          <w:lang w:val="en-GB"/>
        </w:rPr>
        <w:t>Globalisation, Multilateralism, Europe. Towards a Better Global Governance?</w:t>
      </w:r>
      <w:r w:rsidRPr="003F1B2A">
        <w:rPr>
          <w:rFonts w:asciiTheme="minorHAnsi" w:hAnsiTheme="minorHAnsi" w:cstheme="minorHAnsi"/>
          <w:noProof/>
          <w:lang w:val="en-GB"/>
        </w:rPr>
        <w:t>, edited by Mario Telò, 1–14. Farnham, UK: Ashgate Publishing.</w:t>
      </w:r>
    </w:p>
    <w:p w14:paraId="6DCE93BF"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UNESCO. 2019. “Global Convention on the Recognition of Qualifications Concerning Higher Education.” Paris: UNESCO. https://en.unesco.org/themes/higher-education/recognition-qualifications/global-convention.</w:t>
      </w:r>
    </w:p>
    <w:p w14:paraId="2906F0B6"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United Nations. 2016. “Multilateral Treaties Deposited with the Secretary-General, as of 27 May 2016.” New York. https://treaties.un.org/doc/source/events/2016/Treaties/list_english.pdf.</w:t>
      </w:r>
    </w:p>
    <w:p w14:paraId="0A4D465E"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Usher, Alex. 2022. “The Fracturing of Global Rankings.” </w:t>
      </w:r>
      <w:r w:rsidRPr="003F1B2A">
        <w:rPr>
          <w:rFonts w:asciiTheme="minorHAnsi" w:hAnsiTheme="minorHAnsi" w:cstheme="minorHAnsi"/>
          <w:i/>
          <w:iCs/>
          <w:noProof/>
          <w:lang w:val="en-GB"/>
        </w:rPr>
        <w:t>HESA Blog</w:t>
      </w:r>
      <w:r w:rsidRPr="003F1B2A">
        <w:rPr>
          <w:rFonts w:asciiTheme="minorHAnsi" w:hAnsiTheme="minorHAnsi" w:cstheme="minorHAnsi"/>
          <w:noProof/>
          <w:lang w:val="en-GB"/>
        </w:rPr>
        <w:t>, May 19, 2022. https://higheredstrategy.com/the-fracturing-of-global-rankings/.</w:t>
      </w:r>
    </w:p>
    <w:p w14:paraId="51914C3B"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Verger, Antoni. 2014. “Why Do Policy-Makers Adopt Global Education Policies? Toward a Research Framework on the Varying Role of Ideas in Education Reform.” </w:t>
      </w:r>
      <w:r w:rsidRPr="003F1B2A">
        <w:rPr>
          <w:rFonts w:asciiTheme="minorHAnsi" w:hAnsiTheme="minorHAnsi" w:cstheme="minorHAnsi"/>
          <w:i/>
          <w:iCs/>
          <w:noProof/>
          <w:lang w:val="en-GB"/>
        </w:rPr>
        <w:t>Current Issues in Comparative Education</w:t>
      </w:r>
      <w:r w:rsidRPr="003F1B2A">
        <w:rPr>
          <w:rFonts w:asciiTheme="minorHAnsi" w:hAnsiTheme="minorHAnsi" w:cstheme="minorHAnsi"/>
          <w:noProof/>
          <w:lang w:val="en-GB"/>
        </w:rPr>
        <w:t xml:space="preserve"> 16 (2): 14–29. http://www.tc.columbia.edu/cice/pdf/33064_16_2_Antoni_Verger.pdf.</w:t>
      </w:r>
    </w:p>
    <w:p w14:paraId="4E26433B"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lastRenderedPageBreak/>
        <w:t xml:space="preserve">Vukasovic, Martina, and Bjørn Stensaker. 2018. “University Alliances in the Europe of Knowledge: Positions, Agendas and Practices in Policy Processes.” </w:t>
      </w:r>
      <w:r w:rsidRPr="003F1B2A">
        <w:rPr>
          <w:rFonts w:asciiTheme="minorHAnsi" w:hAnsiTheme="minorHAnsi" w:cstheme="minorHAnsi"/>
          <w:i/>
          <w:iCs/>
          <w:noProof/>
          <w:lang w:val="en-GB"/>
        </w:rPr>
        <w:t>European Educational Research Journal</w:t>
      </w:r>
      <w:r w:rsidRPr="003F1B2A">
        <w:rPr>
          <w:rFonts w:asciiTheme="minorHAnsi" w:hAnsiTheme="minorHAnsi" w:cstheme="minorHAnsi"/>
          <w:noProof/>
          <w:lang w:val="en-GB"/>
        </w:rPr>
        <w:t xml:space="preserve"> 17 (3): 349–64. https://doi.org/10.1177/1474904117724572.</w:t>
      </w:r>
    </w:p>
    <w:p w14:paraId="2CEE196F"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Wächter, Bernd. 1999. “European Associations in Higher Education.” </w:t>
      </w:r>
      <w:r w:rsidRPr="003F1B2A">
        <w:rPr>
          <w:rFonts w:asciiTheme="minorHAnsi" w:hAnsiTheme="minorHAnsi" w:cstheme="minorHAnsi"/>
          <w:i/>
          <w:iCs/>
          <w:noProof/>
          <w:lang w:val="en-GB"/>
        </w:rPr>
        <w:t>European Journal for Education Law and Policy</w:t>
      </w:r>
      <w:r w:rsidRPr="003F1B2A">
        <w:rPr>
          <w:rFonts w:asciiTheme="minorHAnsi" w:hAnsiTheme="minorHAnsi" w:cstheme="minorHAnsi"/>
          <w:noProof/>
          <w:lang w:val="en-GB"/>
        </w:rPr>
        <w:t xml:space="preserve"> 3 (2): 127–31. https://doi.org/10.1023/A:1022996713945.</w:t>
      </w:r>
    </w:p>
    <w:p w14:paraId="4552797C"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 2000. </w:t>
      </w:r>
      <w:r w:rsidRPr="003F1B2A">
        <w:rPr>
          <w:rFonts w:asciiTheme="minorHAnsi" w:hAnsiTheme="minorHAnsi" w:cstheme="minorHAnsi"/>
          <w:i/>
          <w:iCs/>
          <w:noProof/>
          <w:lang w:val="en-GB"/>
        </w:rPr>
        <w:t>Handbook of European Associations. A Practical Guide to Academic Networks in Europe and Beyond</w:t>
      </w:r>
      <w:r w:rsidRPr="003F1B2A">
        <w:rPr>
          <w:rFonts w:asciiTheme="minorHAnsi" w:hAnsiTheme="minorHAnsi" w:cstheme="minorHAnsi"/>
          <w:noProof/>
          <w:lang w:val="en-GB"/>
        </w:rPr>
        <w:t>. Bonn: Lemmens Verlags- &amp; Mediengesellschaft mbH. https://www.lemmens.de/dateien/medien/buecher-ebooks/aca/2000_handbook_of_european_associations_in_higher_education.pdf.</w:t>
      </w:r>
    </w:p>
    <w:p w14:paraId="080B72CD"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Wagner, Caroline. 2008. “The New Invisible College: Science for Development.” Washington D.C: Brookings Institution Press.</w:t>
      </w:r>
    </w:p>
    <w:p w14:paraId="3A3FD367"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lang w:val="en-GB"/>
        </w:rPr>
      </w:pPr>
      <w:r w:rsidRPr="003F1B2A">
        <w:rPr>
          <w:rFonts w:asciiTheme="minorHAnsi" w:hAnsiTheme="minorHAnsi" w:cstheme="minorHAnsi"/>
          <w:noProof/>
          <w:lang w:val="en-GB"/>
        </w:rPr>
        <w:t xml:space="preserve">Xu, Xin. 2020. “Hunt for Coronavirus Cure Is Making Science More Open.” </w:t>
      </w:r>
      <w:r w:rsidRPr="003F1B2A">
        <w:rPr>
          <w:rFonts w:asciiTheme="minorHAnsi" w:hAnsiTheme="minorHAnsi" w:cstheme="minorHAnsi"/>
          <w:i/>
          <w:iCs/>
          <w:noProof/>
          <w:lang w:val="en-GB"/>
        </w:rPr>
        <w:t>University World News</w:t>
      </w:r>
      <w:r w:rsidRPr="003F1B2A">
        <w:rPr>
          <w:rFonts w:asciiTheme="minorHAnsi" w:hAnsiTheme="minorHAnsi" w:cstheme="minorHAnsi"/>
          <w:noProof/>
          <w:lang w:val="en-GB"/>
        </w:rPr>
        <w:t>, March 21, 2020. https://www.universityworldnews.com/post.php?story=20200318080659671.</w:t>
      </w:r>
    </w:p>
    <w:p w14:paraId="3D9DE159" w14:textId="77777777" w:rsidR="00EE3231" w:rsidRPr="003F1B2A" w:rsidRDefault="00EE3231" w:rsidP="003F1B2A">
      <w:pPr>
        <w:widowControl w:val="0"/>
        <w:autoSpaceDE w:val="0"/>
        <w:autoSpaceDN w:val="0"/>
        <w:adjustRightInd w:val="0"/>
        <w:spacing w:after="240"/>
        <w:ind w:left="480" w:hanging="480"/>
        <w:jc w:val="left"/>
        <w:rPr>
          <w:rFonts w:asciiTheme="minorHAnsi" w:hAnsiTheme="minorHAnsi" w:cstheme="minorHAnsi"/>
          <w:noProof/>
        </w:rPr>
      </w:pPr>
      <w:r w:rsidRPr="003F1B2A">
        <w:rPr>
          <w:rFonts w:asciiTheme="minorHAnsi" w:hAnsiTheme="minorHAnsi" w:cstheme="minorHAnsi"/>
          <w:noProof/>
          <w:lang w:val="en-GB"/>
        </w:rPr>
        <w:t xml:space="preserve">Zapp, Mike. 2020. “The Authority of Science and the Legitimacy of International Organisations: OECD, UNESCO and World Bank in Global Education Governance.” </w:t>
      </w:r>
      <w:r w:rsidRPr="003F1B2A">
        <w:rPr>
          <w:rFonts w:asciiTheme="minorHAnsi" w:hAnsiTheme="minorHAnsi" w:cstheme="minorHAnsi"/>
          <w:i/>
          <w:iCs/>
          <w:noProof/>
          <w:lang w:val="en-GB"/>
        </w:rPr>
        <w:t>Compare</w:t>
      </w:r>
      <w:r w:rsidRPr="003F1B2A">
        <w:rPr>
          <w:rFonts w:asciiTheme="minorHAnsi" w:hAnsiTheme="minorHAnsi" w:cstheme="minorHAnsi"/>
          <w:noProof/>
          <w:lang w:val="en-GB"/>
        </w:rPr>
        <w:t xml:space="preserve"> 00 (00): 1–20. https://doi.org/10.1080/03057925.2019.1702503.</w:t>
      </w:r>
    </w:p>
    <w:p w14:paraId="00000099" w14:textId="6CDADF62" w:rsidR="004C6123" w:rsidRDefault="002563B7" w:rsidP="003F1B2A">
      <w:pPr>
        <w:widowControl w:val="0"/>
        <w:autoSpaceDE w:val="0"/>
        <w:autoSpaceDN w:val="0"/>
        <w:adjustRightInd w:val="0"/>
        <w:spacing w:after="240"/>
        <w:ind w:left="480" w:hanging="480"/>
        <w:jc w:val="left"/>
        <w:rPr>
          <w:rFonts w:ascii="Times New Roman" w:eastAsia="Times New Roman" w:hAnsi="Times New Roman" w:cs="Times New Roman"/>
          <w:b/>
          <w:color w:val="000000"/>
        </w:rPr>
      </w:pPr>
      <w:r w:rsidRPr="003F1B2A">
        <w:rPr>
          <w:rFonts w:asciiTheme="minorHAnsi" w:eastAsia="Times New Roman" w:hAnsiTheme="minorHAnsi" w:cstheme="minorHAnsi"/>
          <w:b/>
          <w:color w:val="000000"/>
        </w:rPr>
        <w:fldChar w:fldCharType="end"/>
      </w:r>
    </w:p>
    <w:sectPr w:rsidR="004C6123">
      <w:footerReference w:type="even" r:id="rId9"/>
      <w:footerReference w:type="default" r:id="rId1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21B4E" w14:textId="77777777" w:rsidR="005A790A" w:rsidRDefault="005A790A">
      <w:pPr>
        <w:spacing w:before="0" w:after="0"/>
      </w:pPr>
      <w:r>
        <w:separator/>
      </w:r>
    </w:p>
  </w:endnote>
  <w:endnote w:type="continuationSeparator" w:id="0">
    <w:p w14:paraId="3FF00621" w14:textId="77777777" w:rsidR="005A790A" w:rsidRDefault="005A790A">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S Brabo">
    <w:altName w:val="Cambria"/>
    <w:panose1 w:val="020B0604020202020204"/>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17822844"/>
      <w:docPartObj>
        <w:docPartGallery w:val="Page Numbers (Bottom of Page)"/>
        <w:docPartUnique/>
      </w:docPartObj>
    </w:sdtPr>
    <w:sdtContent>
      <w:p w14:paraId="4E128A23" w14:textId="4D7737A1" w:rsidR="00FB798D" w:rsidRDefault="00FB798D" w:rsidP="007E4DC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F12672">
          <w:rPr>
            <w:rStyle w:val="PageNumber"/>
            <w:noProof/>
          </w:rPr>
          <w:t>15</w:t>
        </w:r>
        <w:r>
          <w:rPr>
            <w:rStyle w:val="PageNumber"/>
          </w:rPr>
          <w:fldChar w:fldCharType="end"/>
        </w:r>
      </w:p>
    </w:sdtContent>
  </w:sdt>
  <w:p w14:paraId="056D52EA" w14:textId="77777777" w:rsidR="00FB798D" w:rsidRDefault="00FB79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52954857"/>
      <w:docPartObj>
        <w:docPartGallery w:val="Page Numbers (Bottom of Page)"/>
        <w:docPartUnique/>
      </w:docPartObj>
    </w:sdtPr>
    <w:sdtContent>
      <w:p w14:paraId="11C46C84" w14:textId="02C88149" w:rsidR="00FB798D" w:rsidRDefault="00FB798D" w:rsidP="007E4DC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A58F53A" w14:textId="77777777" w:rsidR="00FB798D" w:rsidRDefault="00FB79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EE3EE9" w14:textId="77777777" w:rsidR="005A790A" w:rsidRDefault="005A790A">
      <w:pPr>
        <w:spacing w:before="0" w:after="0"/>
      </w:pPr>
      <w:r>
        <w:separator/>
      </w:r>
    </w:p>
  </w:footnote>
  <w:footnote w:type="continuationSeparator" w:id="0">
    <w:p w14:paraId="437AEA58" w14:textId="77777777" w:rsidR="005A790A" w:rsidRDefault="005A790A">
      <w:pPr>
        <w:spacing w:before="0" w:after="0"/>
      </w:pPr>
      <w:r>
        <w:continuationSeparator/>
      </w:r>
    </w:p>
  </w:footnote>
  <w:footnote w:id="1">
    <w:p w14:paraId="14857587" w14:textId="2310A94F" w:rsidR="00C611AA" w:rsidRPr="00C611AA" w:rsidRDefault="00C611AA">
      <w:pPr>
        <w:pStyle w:val="FootnoteText"/>
        <w:rPr>
          <w:rFonts w:asciiTheme="minorHAnsi" w:hAnsiTheme="minorHAnsi" w:cstheme="minorHAnsi"/>
          <w:lang w:val="en-IE"/>
        </w:rPr>
      </w:pPr>
      <w:r w:rsidRPr="00C611AA">
        <w:rPr>
          <w:rStyle w:val="FootnoteReference"/>
          <w:rFonts w:asciiTheme="minorHAnsi" w:hAnsiTheme="minorHAnsi" w:cstheme="minorHAnsi"/>
        </w:rPr>
        <w:footnoteRef/>
      </w:r>
      <w:r w:rsidRPr="00C611AA">
        <w:rPr>
          <w:rFonts w:asciiTheme="minorHAnsi" w:hAnsiTheme="minorHAnsi" w:cstheme="minorHAnsi"/>
        </w:rPr>
        <w:t xml:space="preserve"> </w:t>
      </w:r>
      <w:r w:rsidRPr="00C611AA">
        <w:rPr>
          <w:rFonts w:asciiTheme="minorHAnsi" w:hAnsiTheme="minorHAnsi" w:cstheme="minorHAnsi"/>
          <w:lang w:val="en-IE"/>
        </w:rPr>
        <w:t xml:space="preserve">Research for this chapter was based on a grant from the </w:t>
      </w:r>
      <w:r w:rsidR="00F62AA9">
        <w:rPr>
          <w:rFonts w:asciiTheme="minorHAnsi" w:hAnsiTheme="minorHAnsi" w:cstheme="minorHAnsi"/>
          <w:lang w:val="en-IE"/>
        </w:rPr>
        <w:t>Economic and Social Research Council for the Centre for Global Higher Education, London and Oxford</w:t>
      </w:r>
      <w:r w:rsidRPr="00C611AA">
        <w:rPr>
          <w:rFonts w:asciiTheme="minorHAnsi" w:hAnsiTheme="minorHAnsi" w:cstheme="minorHAnsi"/>
          <w:lang w:val="en-IE"/>
        </w:rPr>
        <w:t xml:space="preserve">, UK, </w:t>
      </w:r>
      <w:r w:rsidRPr="00C611AA">
        <w:rPr>
          <w:rFonts w:asciiTheme="minorHAnsi" w:hAnsiTheme="minorHAnsi" w:cstheme="minorHAnsi"/>
          <w:color w:val="000000"/>
          <w:lang w:val="en-GB"/>
        </w:rPr>
        <w:t>ESRC grant reference  ES/MO10082/1.</w:t>
      </w:r>
    </w:p>
  </w:footnote>
  <w:footnote w:id="2">
    <w:p w14:paraId="00C871D6" w14:textId="381A6F38" w:rsidR="00DE6DAE" w:rsidRPr="00DE6DAE" w:rsidRDefault="00DE6DAE">
      <w:pPr>
        <w:pStyle w:val="FootnoteText"/>
        <w:rPr>
          <w:lang w:val="en-IE"/>
        </w:rPr>
      </w:pPr>
      <w:r>
        <w:rPr>
          <w:rStyle w:val="FootnoteReference"/>
        </w:rPr>
        <w:footnoteRef/>
      </w:r>
      <w:r>
        <w:t xml:space="preserve"> </w:t>
      </w:r>
      <w:r>
        <w:rPr>
          <w:lang w:val="en-IE"/>
        </w:rPr>
        <w:t>This often refers to greater emphasis on effectiveness and efficiency measures, outcomes and impacts of higher education and research</w:t>
      </w:r>
      <w:r w:rsidR="00915F81">
        <w:rPr>
          <w:lang w:val="en-IE"/>
        </w:rPr>
        <w:t xml:space="preserve"> </w:t>
      </w:r>
      <w:r w:rsidR="00915F81">
        <w:rPr>
          <w:lang w:val="en-IE"/>
        </w:rPr>
        <w:fldChar w:fldCharType="begin" w:fldLock="1"/>
      </w:r>
      <w:r w:rsidR="002563B7">
        <w:rPr>
          <w:lang w:val="en-IE"/>
        </w:rPr>
        <w:instrText>ADDIN CSL_CITATION {"citationItems":[{"id":"ITEM-1","itemData":{"author":[{"dropping-particle":"","family":"Hazelkorn","given":"Ellen","non-dropping-particle":"","parse-names":false,"suffix":""},{"dropping-particle":"","family":"Coates","given":"Hamish","non-dropping-particle":"","parse-names":false,"suffix":""},{"dropping-particle":"","family":"McCormick","given":"Alexander C","non-dropping-particle":"","parse-names":false,"suffix":""}],"chapter-number":"1","container-title":"Research Handbook on Quality, Performance and Accountability","editor":[{"dropping-particle":"","family":"Hazelkorn","given":"Ellen","non-dropping-particle":"","parse-names":false,"suffix":""},{"dropping-particle":"","family":"Coates","given":"Hamish","non-dropping-particle":"","parse-names":false,"suffix":""},{"dropping-particle":"","family":"McCormick","given":"Alexander C","non-dropping-particle":"","parse-names":false,"suffix":""}],"id":"ITEM-1","issued":{"date-parts":[["2018"]]},"page":"3-12","publisher":"Edward Elgar Publishing","publisher-place":"Cheltenham","title":"Quality, performance and accountability: emergent challenges in the global era","type":"chapter"},"uris":["http://www.mendeley.com/documents/?uuid=99ccbc41-e775-434a-b57f-551290056527"]}],"mendeley":{"formattedCitation":"(Hazelkorn, Coates, and McCormick 2018)","plainTextFormattedCitation":"(Hazelkorn, Coates, and McCormick 2018)","previouslyFormattedCitation":"(Hazelkorn, Coates, and McCormick 2018)"},"properties":{"noteIndex":0},"schema":"https://github.com/citation-style-language/schema/raw/master/csl-citation.json"}</w:instrText>
      </w:r>
      <w:r w:rsidR="00915F81">
        <w:rPr>
          <w:lang w:val="en-IE"/>
        </w:rPr>
        <w:fldChar w:fldCharType="separate"/>
      </w:r>
      <w:r w:rsidR="002563B7" w:rsidRPr="002563B7">
        <w:rPr>
          <w:noProof/>
          <w:lang w:val="en-IE"/>
        </w:rPr>
        <w:t>(Hazelkorn, Coates, and McCormick 2018)</w:t>
      </w:r>
      <w:r w:rsidR="00915F81">
        <w:rPr>
          <w:lang w:val="en-IE"/>
        </w:rPr>
        <w:fldChar w:fldCharType="end"/>
      </w:r>
      <w:r>
        <w:rPr>
          <w:lang w:val="en-IE"/>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373F3D"/>
    <w:multiLevelType w:val="multilevel"/>
    <w:tmpl w:val="EFD4621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BBE49C3"/>
    <w:multiLevelType w:val="multilevel"/>
    <w:tmpl w:val="1690DC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07251AA"/>
    <w:multiLevelType w:val="multilevel"/>
    <w:tmpl w:val="C02248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2C745F5"/>
    <w:multiLevelType w:val="multilevel"/>
    <w:tmpl w:val="2A3CA0BA"/>
    <w:lvl w:ilvl="0">
      <w:start w:val="1"/>
      <w:numFmt w:val="bullet"/>
      <w:pStyle w:val="Heading1"/>
      <w:lvlText w:val="o"/>
      <w:lvlJc w:val="left"/>
      <w:pPr>
        <w:ind w:left="720" w:hanging="360"/>
      </w:pPr>
      <w:rPr>
        <w:rFonts w:ascii="Courier New" w:eastAsia="Courier New" w:hAnsi="Courier New" w:cs="Courier New"/>
      </w:rPr>
    </w:lvl>
    <w:lvl w:ilvl="1">
      <w:start w:val="1"/>
      <w:numFmt w:val="bullet"/>
      <w:pStyle w:val="Heading2"/>
      <w:lvlText w:val="o"/>
      <w:lvlJc w:val="left"/>
      <w:pPr>
        <w:ind w:left="1440" w:hanging="360"/>
      </w:pPr>
      <w:rPr>
        <w:rFonts w:ascii="Courier New" w:eastAsia="Courier New" w:hAnsi="Courier New" w:cs="Courier New"/>
      </w:rPr>
    </w:lvl>
    <w:lvl w:ilvl="2">
      <w:start w:val="1"/>
      <w:numFmt w:val="bullet"/>
      <w:pStyle w:val="Heading3"/>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13D6616"/>
    <w:multiLevelType w:val="multilevel"/>
    <w:tmpl w:val="32C056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16532128">
    <w:abstractNumId w:val="3"/>
  </w:num>
  <w:num w:numId="2" w16cid:durableId="457837729">
    <w:abstractNumId w:val="4"/>
  </w:num>
  <w:num w:numId="3" w16cid:durableId="327906927">
    <w:abstractNumId w:val="1"/>
  </w:num>
  <w:num w:numId="4" w16cid:durableId="1375347740">
    <w:abstractNumId w:val="0"/>
  </w:num>
  <w:num w:numId="5" w16cid:durableId="593768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123"/>
    <w:rsid w:val="000023B5"/>
    <w:rsid w:val="00016C04"/>
    <w:rsid w:val="000416B4"/>
    <w:rsid w:val="00047720"/>
    <w:rsid w:val="000529CB"/>
    <w:rsid w:val="00060D46"/>
    <w:rsid w:val="00071059"/>
    <w:rsid w:val="000838EF"/>
    <w:rsid w:val="000850F3"/>
    <w:rsid w:val="00086526"/>
    <w:rsid w:val="00097E01"/>
    <w:rsid w:val="000A2B38"/>
    <w:rsid w:val="000A67CF"/>
    <w:rsid w:val="000C0022"/>
    <w:rsid w:val="000C28B8"/>
    <w:rsid w:val="000C6BEC"/>
    <w:rsid w:val="000E0A8D"/>
    <w:rsid w:val="000E0CC8"/>
    <w:rsid w:val="000E2AD5"/>
    <w:rsid w:val="000F0921"/>
    <w:rsid w:val="001042DA"/>
    <w:rsid w:val="0011277F"/>
    <w:rsid w:val="0013799B"/>
    <w:rsid w:val="00152767"/>
    <w:rsid w:val="00177F2E"/>
    <w:rsid w:val="00182BFB"/>
    <w:rsid w:val="00192314"/>
    <w:rsid w:val="001928D3"/>
    <w:rsid w:val="001A1D55"/>
    <w:rsid w:val="001A2119"/>
    <w:rsid w:val="001C41EE"/>
    <w:rsid w:val="001C56AF"/>
    <w:rsid w:val="001D41ED"/>
    <w:rsid w:val="001D7FBE"/>
    <w:rsid w:val="001E12B7"/>
    <w:rsid w:val="001E6540"/>
    <w:rsid w:val="001F0D6D"/>
    <w:rsid w:val="0020130A"/>
    <w:rsid w:val="0020591E"/>
    <w:rsid w:val="00212600"/>
    <w:rsid w:val="00234B2A"/>
    <w:rsid w:val="002457BC"/>
    <w:rsid w:val="00246145"/>
    <w:rsid w:val="00250A07"/>
    <w:rsid w:val="00254BDF"/>
    <w:rsid w:val="00255641"/>
    <w:rsid w:val="002563B7"/>
    <w:rsid w:val="002725A5"/>
    <w:rsid w:val="0027677C"/>
    <w:rsid w:val="00295B3C"/>
    <w:rsid w:val="0029768C"/>
    <w:rsid w:val="002A1AB6"/>
    <w:rsid w:val="002A7955"/>
    <w:rsid w:val="002B5001"/>
    <w:rsid w:val="002D3E54"/>
    <w:rsid w:val="002F0D65"/>
    <w:rsid w:val="00307E5D"/>
    <w:rsid w:val="0032101B"/>
    <w:rsid w:val="0032121D"/>
    <w:rsid w:val="00322036"/>
    <w:rsid w:val="003224AE"/>
    <w:rsid w:val="0032513B"/>
    <w:rsid w:val="00350286"/>
    <w:rsid w:val="00361948"/>
    <w:rsid w:val="00366D3C"/>
    <w:rsid w:val="00375269"/>
    <w:rsid w:val="0037738B"/>
    <w:rsid w:val="00377F72"/>
    <w:rsid w:val="00397487"/>
    <w:rsid w:val="003E07EC"/>
    <w:rsid w:val="003E154F"/>
    <w:rsid w:val="003F1B2A"/>
    <w:rsid w:val="003F4160"/>
    <w:rsid w:val="004049E6"/>
    <w:rsid w:val="00422429"/>
    <w:rsid w:val="00441DD5"/>
    <w:rsid w:val="00451549"/>
    <w:rsid w:val="004755AF"/>
    <w:rsid w:val="0048044C"/>
    <w:rsid w:val="00491F7B"/>
    <w:rsid w:val="004A6558"/>
    <w:rsid w:val="004B3A84"/>
    <w:rsid w:val="004C0456"/>
    <w:rsid w:val="004C0EE6"/>
    <w:rsid w:val="004C6123"/>
    <w:rsid w:val="004D04E7"/>
    <w:rsid w:val="004E7F50"/>
    <w:rsid w:val="004F214C"/>
    <w:rsid w:val="004F2C6B"/>
    <w:rsid w:val="004F6870"/>
    <w:rsid w:val="00501D30"/>
    <w:rsid w:val="00503ED1"/>
    <w:rsid w:val="00505F06"/>
    <w:rsid w:val="00512950"/>
    <w:rsid w:val="005177A4"/>
    <w:rsid w:val="005245FE"/>
    <w:rsid w:val="00527DA0"/>
    <w:rsid w:val="005305FA"/>
    <w:rsid w:val="0053681F"/>
    <w:rsid w:val="00540D4A"/>
    <w:rsid w:val="005532B3"/>
    <w:rsid w:val="00572719"/>
    <w:rsid w:val="00573350"/>
    <w:rsid w:val="00575C80"/>
    <w:rsid w:val="005936EA"/>
    <w:rsid w:val="005A75AF"/>
    <w:rsid w:val="005A790A"/>
    <w:rsid w:val="005D03ED"/>
    <w:rsid w:val="005D2DD1"/>
    <w:rsid w:val="005D3134"/>
    <w:rsid w:val="005E11FA"/>
    <w:rsid w:val="005E693E"/>
    <w:rsid w:val="005E6CDF"/>
    <w:rsid w:val="006065AC"/>
    <w:rsid w:val="00610C1E"/>
    <w:rsid w:val="00624504"/>
    <w:rsid w:val="006501C0"/>
    <w:rsid w:val="00676DBC"/>
    <w:rsid w:val="006779C8"/>
    <w:rsid w:val="006832C9"/>
    <w:rsid w:val="00695A7B"/>
    <w:rsid w:val="006A0CC6"/>
    <w:rsid w:val="006D0A97"/>
    <w:rsid w:val="006D7DFF"/>
    <w:rsid w:val="006E2A31"/>
    <w:rsid w:val="006F06FE"/>
    <w:rsid w:val="006F1EFF"/>
    <w:rsid w:val="0070093E"/>
    <w:rsid w:val="007107F7"/>
    <w:rsid w:val="00720D1F"/>
    <w:rsid w:val="00722BC2"/>
    <w:rsid w:val="00725805"/>
    <w:rsid w:val="0074642C"/>
    <w:rsid w:val="0075412C"/>
    <w:rsid w:val="007840EA"/>
    <w:rsid w:val="007B1E33"/>
    <w:rsid w:val="007D6172"/>
    <w:rsid w:val="007D64FC"/>
    <w:rsid w:val="007F27D4"/>
    <w:rsid w:val="00822409"/>
    <w:rsid w:val="00822C0A"/>
    <w:rsid w:val="0082690F"/>
    <w:rsid w:val="00827962"/>
    <w:rsid w:val="0084088A"/>
    <w:rsid w:val="008453DB"/>
    <w:rsid w:val="00855DBB"/>
    <w:rsid w:val="00857F11"/>
    <w:rsid w:val="0086485D"/>
    <w:rsid w:val="008849FE"/>
    <w:rsid w:val="00885AC8"/>
    <w:rsid w:val="00886C0A"/>
    <w:rsid w:val="00894136"/>
    <w:rsid w:val="008B0A98"/>
    <w:rsid w:val="008B2F35"/>
    <w:rsid w:val="008B7F9E"/>
    <w:rsid w:val="008C0083"/>
    <w:rsid w:val="008C0655"/>
    <w:rsid w:val="008C7FD9"/>
    <w:rsid w:val="008D7FE4"/>
    <w:rsid w:val="008E6D65"/>
    <w:rsid w:val="008F342A"/>
    <w:rsid w:val="008F3EBB"/>
    <w:rsid w:val="009071ED"/>
    <w:rsid w:val="00911367"/>
    <w:rsid w:val="00915F81"/>
    <w:rsid w:val="009238AE"/>
    <w:rsid w:val="009315FE"/>
    <w:rsid w:val="00931D39"/>
    <w:rsid w:val="00936A52"/>
    <w:rsid w:val="0094176B"/>
    <w:rsid w:val="00943EA3"/>
    <w:rsid w:val="00947E69"/>
    <w:rsid w:val="00957AF5"/>
    <w:rsid w:val="00985C3C"/>
    <w:rsid w:val="00996107"/>
    <w:rsid w:val="009A1838"/>
    <w:rsid w:val="009A6111"/>
    <w:rsid w:val="009A64E6"/>
    <w:rsid w:val="009B1E4B"/>
    <w:rsid w:val="009B5E61"/>
    <w:rsid w:val="009F1171"/>
    <w:rsid w:val="009F50F1"/>
    <w:rsid w:val="00A05173"/>
    <w:rsid w:val="00A074FB"/>
    <w:rsid w:val="00A076BA"/>
    <w:rsid w:val="00A129E3"/>
    <w:rsid w:val="00A20F7B"/>
    <w:rsid w:val="00A23520"/>
    <w:rsid w:val="00A23661"/>
    <w:rsid w:val="00A31117"/>
    <w:rsid w:val="00A469FD"/>
    <w:rsid w:val="00A47B79"/>
    <w:rsid w:val="00A57AA8"/>
    <w:rsid w:val="00A60326"/>
    <w:rsid w:val="00A64277"/>
    <w:rsid w:val="00A67DC5"/>
    <w:rsid w:val="00A90828"/>
    <w:rsid w:val="00A959F7"/>
    <w:rsid w:val="00A96BF3"/>
    <w:rsid w:val="00AA7C53"/>
    <w:rsid w:val="00AC0442"/>
    <w:rsid w:val="00AC5AA2"/>
    <w:rsid w:val="00AD261E"/>
    <w:rsid w:val="00AE0FF3"/>
    <w:rsid w:val="00AF5472"/>
    <w:rsid w:val="00AF7F6C"/>
    <w:rsid w:val="00B0455E"/>
    <w:rsid w:val="00B05A12"/>
    <w:rsid w:val="00B05C21"/>
    <w:rsid w:val="00B11C15"/>
    <w:rsid w:val="00B17436"/>
    <w:rsid w:val="00B32D5F"/>
    <w:rsid w:val="00B34749"/>
    <w:rsid w:val="00B4598B"/>
    <w:rsid w:val="00B61342"/>
    <w:rsid w:val="00B67D71"/>
    <w:rsid w:val="00B67FB8"/>
    <w:rsid w:val="00B758D0"/>
    <w:rsid w:val="00B76299"/>
    <w:rsid w:val="00B8590C"/>
    <w:rsid w:val="00B97B04"/>
    <w:rsid w:val="00BA0634"/>
    <w:rsid w:val="00BC0A91"/>
    <w:rsid w:val="00BD4BA8"/>
    <w:rsid w:val="00C10CD2"/>
    <w:rsid w:val="00C11E1B"/>
    <w:rsid w:val="00C214FA"/>
    <w:rsid w:val="00C2653E"/>
    <w:rsid w:val="00C427D0"/>
    <w:rsid w:val="00C428FC"/>
    <w:rsid w:val="00C611AA"/>
    <w:rsid w:val="00C65FA5"/>
    <w:rsid w:val="00C71BA0"/>
    <w:rsid w:val="00C9350E"/>
    <w:rsid w:val="00CC3733"/>
    <w:rsid w:val="00CE1559"/>
    <w:rsid w:val="00CE4313"/>
    <w:rsid w:val="00CE6ED2"/>
    <w:rsid w:val="00CF6E29"/>
    <w:rsid w:val="00D029F8"/>
    <w:rsid w:val="00D13E3C"/>
    <w:rsid w:val="00D2131C"/>
    <w:rsid w:val="00D213AF"/>
    <w:rsid w:val="00D34304"/>
    <w:rsid w:val="00D41A2B"/>
    <w:rsid w:val="00D547D9"/>
    <w:rsid w:val="00D57E45"/>
    <w:rsid w:val="00DA0FFF"/>
    <w:rsid w:val="00DA1D21"/>
    <w:rsid w:val="00DB7260"/>
    <w:rsid w:val="00DC0BE7"/>
    <w:rsid w:val="00DC6198"/>
    <w:rsid w:val="00DC7621"/>
    <w:rsid w:val="00DD34F2"/>
    <w:rsid w:val="00DD4718"/>
    <w:rsid w:val="00DE6DAE"/>
    <w:rsid w:val="00DE7C9F"/>
    <w:rsid w:val="00DF73C7"/>
    <w:rsid w:val="00E002DC"/>
    <w:rsid w:val="00E01845"/>
    <w:rsid w:val="00E04A71"/>
    <w:rsid w:val="00E10E5F"/>
    <w:rsid w:val="00E303A5"/>
    <w:rsid w:val="00E30B95"/>
    <w:rsid w:val="00E32B14"/>
    <w:rsid w:val="00E41B98"/>
    <w:rsid w:val="00E47ECA"/>
    <w:rsid w:val="00E51A3A"/>
    <w:rsid w:val="00E65552"/>
    <w:rsid w:val="00E70FE9"/>
    <w:rsid w:val="00E819FB"/>
    <w:rsid w:val="00E95A82"/>
    <w:rsid w:val="00EA0D15"/>
    <w:rsid w:val="00EA6723"/>
    <w:rsid w:val="00EC07ED"/>
    <w:rsid w:val="00EC6B92"/>
    <w:rsid w:val="00ED3AD3"/>
    <w:rsid w:val="00ED51FF"/>
    <w:rsid w:val="00EE3231"/>
    <w:rsid w:val="00EE74CA"/>
    <w:rsid w:val="00EF10E1"/>
    <w:rsid w:val="00EF25A2"/>
    <w:rsid w:val="00EF4471"/>
    <w:rsid w:val="00EF4F3B"/>
    <w:rsid w:val="00EF7087"/>
    <w:rsid w:val="00F04C09"/>
    <w:rsid w:val="00F12672"/>
    <w:rsid w:val="00F2403E"/>
    <w:rsid w:val="00F44EB9"/>
    <w:rsid w:val="00F51001"/>
    <w:rsid w:val="00F54B44"/>
    <w:rsid w:val="00F62AA9"/>
    <w:rsid w:val="00F63B87"/>
    <w:rsid w:val="00F67A13"/>
    <w:rsid w:val="00F76EB5"/>
    <w:rsid w:val="00F81E9D"/>
    <w:rsid w:val="00F97CFE"/>
    <w:rsid w:val="00FA6F26"/>
    <w:rsid w:val="00FB3722"/>
    <w:rsid w:val="00FB55B8"/>
    <w:rsid w:val="00FB798D"/>
    <w:rsid w:val="00FC723C"/>
    <w:rsid w:val="00FD27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DB203C"/>
  <w15:docId w15:val="{69560D68-90F4-D74F-87AC-DB6277081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IN" w:eastAsia="en-US" w:bidi="ar-SA"/>
      </w:rPr>
    </w:rPrDefault>
    <w:pPrDefault>
      <w:pPr>
        <w:spacing w:before="120"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5B6A"/>
  </w:style>
  <w:style w:type="paragraph" w:styleId="Heading1">
    <w:name w:val="heading 1"/>
    <w:basedOn w:val="Normal"/>
    <w:next w:val="Normal"/>
    <w:link w:val="Heading1Char"/>
    <w:uiPriority w:val="9"/>
    <w:qFormat/>
    <w:rsid w:val="00A10CF9"/>
    <w:pPr>
      <w:numPr>
        <w:numId w:val="1"/>
      </w:numPr>
      <w:pBdr>
        <w:top w:val="nil"/>
        <w:left w:val="nil"/>
        <w:bottom w:val="nil"/>
        <w:right w:val="nil"/>
        <w:between w:val="nil"/>
      </w:pBdr>
      <w:spacing w:before="240" w:after="240"/>
      <w:outlineLvl w:val="0"/>
    </w:pPr>
    <w:rPr>
      <w:rFonts w:asciiTheme="majorHAnsi" w:eastAsia="Times New Roman" w:hAnsiTheme="majorHAnsi" w:cs="Times New Roman"/>
      <w:b/>
      <w:bCs/>
      <w:color w:val="000000"/>
    </w:rPr>
  </w:style>
  <w:style w:type="paragraph" w:styleId="Heading2">
    <w:name w:val="heading 2"/>
    <w:basedOn w:val="Heading1"/>
    <w:next w:val="Normal"/>
    <w:link w:val="Heading2Char"/>
    <w:uiPriority w:val="9"/>
    <w:semiHidden/>
    <w:unhideWhenUsed/>
    <w:qFormat/>
    <w:rsid w:val="00D139B2"/>
    <w:pPr>
      <w:numPr>
        <w:ilvl w:val="1"/>
      </w:numPr>
      <w:ind w:left="426" w:hanging="426"/>
      <w:outlineLvl w:val="1"/>
    </w:pPr>
    <w:rPr>
      <w:lang w:eastAsia="en-IN"/>
    </w:rPr>
  </w:style>
  <w:style w:type="paragraph" w:styleId="Heading3">
    <w:name w:val="heading 3"/>
    <w:basedOn w:val="Heading2"/>
    <w:next w:val="Normal"/>
    <w:link w:val="Heading3Char"/>
    <w:uiPriority w:val="9"/>
    <w:semiHidden/>
    <w:unhideWhenUsed/>
    <w:qFormat/>
    <w:rsid w:val="00DA2567"/>
    <w:pPr>
      <w:numPr>
        <w:ilvl w:val="2"/>
      </w:numPr>
      <w:ind w:left="709" w:hanging="709"/>
      <w:outlineLvl w:val="2"/>
    </w:pPr>
  </w:style>
  <w:style w:type="paragraph" w:styleId="Heading4">
    <w:name w:val="heading 4"/>
    <w:basedOn w:val="Normal"/>
    <w:link w:val="Heading4Char"/>
    <w:uiPriority w:val="9"/>
    <w:semiHidden/>
    <w:unhideWhenUsed/>
    <w:qFormat/>
    <w:rsid w:val="00775CD5"/>
    <w:pPr>
      <w:spacing w:before="100" w:beforeAutospacing="1" w:after="100" w:afterAutospacing="1"/>
      <w:jc w:val="left"/>
      <w:outlineLvl w:val="3"/>
    </w:pPr>
    <w:rPr>
      <w:rFonts w:eastAsia="Times New Roman" w:cstheme="minorHAnsi"/>
      <w:b/>
      <w:bCs/>
      <w:lang w:eastAsia="en-IN"/>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B3EBD"/>
    <w:pPr>
      <w:spacing w:after="360"/>
      <w:jc w:val="center"/>
    </w:pPr>
    <w:rPr>
      <w:rFonts w:asciiTheme="majorHAnsi" w:eastAsiaTheme="majorEastAsia" w:hAnsiTheme="majorHAnsi" w:cstheme="majorHAnsi"/>
      <w:b/>
      <w:bCs/>
      <w:spacing w:val="-10"/>
      <w:kern w:val="28"/>
      <w:sz w:val="28"/>
      <w:szCs w:val="28"/>
    </w:rPr>
  </w:style>
  <w:style w:type="paragraph" w:customStyle="1" w:styleId="AbstractPreIntroPostChapterHeadings">
    <w:name w:val="Abstract &amp; Pre Intro. Post Chapter Headings"/>
    <w:basedOn w:val="Normal"/>
    <w:link w:val="AbstractPreIntroPostChapterHeadingsChar"/>
    <w:qFormat/>
    <w:rsid w:val="007D4F0E"/>
    <w:pPr>
      <w:pBdr>
        <w:top w:val="nil"/>
        <w:left w:val="nil"/>
        <w:bottom w:val="nil"/>
        <w:right w:val="nil"/>
        <w:between w:val="nil"/>
      </w:pBdr>
      <w:spacing w:after="240"/>
    </w:pPr>
    <w:rPr>
      <w:rFonts w:ascii="Times New Roman" w:eastAsia="Times New Roman" w:hAnsi="Times New Roman" w:cs="Times New Roman"/>
      <w:b/>
    </w:rPr>
  </w:style>
  <w:style w:type="character" w:customStyle="1" w:styleId="AbstractPreIntroPostChapterHeadingsChar">
    <w:name w:val="Abstract &amp; Pre Intro. Post Chapter Headings Char"/>
    <w:basedOn w:val="DefaultParagraphFont"/>
    <w:link w:val="AbstractPreIntroPostChapterHeadings"/>
    <w:rsid w:val="007D4F0E"/>
    <w:rPr>
      <w:rFonts w:ascii="Times New Roman" w:eastAsia="Times New Roman" w:hAnsi="Times New Roman" w:cs="Times New Roman"/>
      <w:b/>
      <w:sz w:val="24"/>
      <w:szCs w:val="24"/>
    </w:rPr>
  </w:style>
  <w:style w:type="paragraph" w:customStyle="1" w:styleId="AbstractandHeaderCiQ">
    <w:name w:val="Abstract and Header CiQ"/>
    <w:link w:val="AbstractandHeaderCiQChar"/>
    <w:rsid w:val="007D4F0E"/>
    <w:pPr>
      <w:spacing w:after="340"/>
    </w:pPr>
    <w:rPr>
      <w:rFonts w:ascii="FS Brabo" w:eastAsia="Times New Roman" w:hAnsi="FS Brabo" w:cs="Times New Roman"/>
      <w:b/>
      <w:color w:val="E4322B"/>
    </w:rPr>
  </w:style>
  <w:style w:type="character" w:customStyle="1" w:styleId="AbstractandHeaderCiQChar">
    <w:name w:val="Abstract and Header CiQ Char"/>
    <w:basedOn w:val="DefaultParagraphFont"/>
    <w:link w:val="AbstractandHeaderCiQ"/>
    <w:rsid w:val="007D4F0E"/>
    <w:rPr>
      <w:rFonts w:ascii="FS Brabo" w:eastAsia="Times New Roman" w:hAnsi="FS Brabo" w:cs="Times New Roman"/>
      <w:b/>
      <w:color w:val="E4322B"/>
    </w:rPr>
  </w:style>
  <w:style w:type="paragraph" w:customStyle="1" w:styleId="BodyTextCiQ">
    <w:name w:val="Body Text CiQ"/>
    <w:link w:val="BodyTextCiQChar"/>
    <w:qFormat/>
    <w:rsid w:val="007D4F0E"/>
    <w:pPr>
      <w:spacing w:after="0"/>
      <w:ind w:firstLine="284"/>
    </w:pPr>
    <w:rPr>
      <w:rFonts w:ascii="FS Brabo" w:eastAsia="Times New Roman" w:hAnsi="FS Brabo" w:cs="Times New Roman"/>
      <w:sz w:val="20"/>
    </w:rPr>
  </w:style>
  <w:style w:type="character" w:customStyle="1" w:styleId="BodyTextCiQChar">
    <w:name w:val="Body Text CiQ Char"/>
    <w:basedOn w:val="DefaultParagraphFont"/>
    <w:link w:val="BodyTextCiQ"/>
    <w:rsid w:val="007D4F0E"/>
    <w:rPr>
      <w:rFonts w:ascii="FS Brabo" w:eastAsia="Times New Roman" w:hAnsi="FS Brabo" w:cs="Times New Roman"/>
      <w:sz w:val="20"/>
    </w:rPr>
  </w:style>
  <w:style w:type="paragraph" w:styleId="Caption">
    <w:name w:val="caption"/>
    <w:basedOn w:val="Normal"/>
    <w:next w:val="Normal"/>
    <w:link w:val="CaptionChar"/>
    <w:uiPriority w:val="35"/>
    <w:unhideWhenUsed/>
    <w:qFormat/>
    <w:rsid w:val="00B81B5D"/>
    <w:pPr>
      <w:jc w:val="center"/>
    </w:pPr>
    <w:rPr>
      <w:rFonts w:eastAsia="Times New Roman" w:cs="Times New Roman"/>
      <w:i/>
      <w:iCs/>
      <w:szCs w:val="18"/>
    </w:rPr>
  </w:style>
  <w:style w:type="character" w:customStyle="1" w:styleId="CaptionChar">
    <w:name w:val="Caption Char"/>
    <w:basedOn w:val="DefaultParagraphFont"/>
    <w:link w:val="Caption"/>
    <w:uiPriority w:val="35"/>
    <w:rsid w:val="00B81B5D"/>
    <w:rPr>
      <w:rFonts w:eastAsia="Times New Roman" w:cs="Times New Roman"/>
      <w:i/>
      <w:iCs/>
      <w:sz w:val="24"/>
      <w:szCs w:val="18"/>
    </w:rPr>
  </w:style>
  <w:style w:type="paragraph" w:customStyle="1" w:styleId="CaptionFiguresandTables">
    <w:name w:val="Caption_Figures and Tables"/>
    <w:basedOn w:val="Caption"/>
    <w:link w:val="CaptionFiguresandTablesChar"/>
    <w:rsid w:val="0007051D"/>
    <w:pPr>
      <w:keepNext/>
    </w:pPr>
  </w:style>
  <w:style w:type="character" w:customStyle="1" w:styleId="CaptionFiguresandTablesChar">
    <w:name w:val="Caption_Figures and Tables Char"/>
    <w:basedOn w:val="CaptionChar"/>
    <w:link w:val="CaptionFiguresandTables"/>
    <w:rsid w:val="0007051D"/>
    <w:rPr>
      <w:rFonts w:ascii="Times New Roman" w:eastAsia="Times New Roman" w:hAnsi="Times New Roman" w:cs="Times New Roman"/>
      <w:i/>
      <w:iCs/>
      <w:color w:val="44546A" w:themeColor="text2"/>
      <w:sz w:val="24"/>
      <w:szCs w:val="18"/>
    </w:rPr>
  </w:style>
  <w:style w:type="paragraph" w:customStyle="1" w:styleId="ChapterTitleCiQ">
    <w:name w:val="Chapter Title CiQ"/>
    <w:link w:val="ChapterTitleCiQChar"/>
    <w:rsid w:val="007D4F0E"/>
    <w:pPr>
      <w:spacing w:after="425"/>
    </w:pPr>
    <w:rPr>
      <w:rFonts w:ascii="FS Brabo" w:eastAsia="Times New Roman" w:hAnsi="FS Brabo" w:cs="Times New Roman"/>
      <w:sz w:val="48"/>
    </w:rPr>
  </w:style>
  <w:style w:type="character" w:customStyle="1" w:styleId="ChapterTitleCiQChar">
    <w:name w:val="Chapter Title CiQ Char"/>
    <w:basedOn w:val="DefaultParagraphFont"/>
    <w:link w:val="ChapterTitleCiQ"/>
    <w:rsid w:val="007D4F0E"/>
    <w:rPr>
      <w:rFonts w:ascii="FS Brabo" w:eastAsia="Times New Roman" w:hAnsi="FS Brabo" w:cs="Times New Roman"/>
      <w:sz w:val="48"/>
    </w:rPr>
  </w:style>
  <w:style w:type="character" w:customStyle="1" w:styleId="Heading1Char">
    <w:name w:val="Heading 1 Char"/>
    <w:basedOn w:val="DefaultParagraphFont"/>
    <w:link w:val="Heading1"/>
    <w:uiPriority w:val="9"/>
    <w:rsid w:val="00A10CF9"/>
    <w:rPr>
      <w:rFonts w:asciiTheme="majorHAnsi" w:eastAsia="Times New Roman" w:hAnsiTheme="majorHAnsi" w:cs="Times New Roman"/>
      <w:b/>
      <w:bCs/>
      <w:color w:val="000000"/>
      <w:sz w:val="24"/>
      <w:szCs w:val="24"/>
    </w:rPr>
  </w:style>
  <w:style w:type="paragraph" w:customStyle="1" w:styleId="Heading1CiQ">
    <w:name w:val="Heading 1 CiQ"/>
    <w:basedOn w:val="Heading1"/>
    <w:link w:val="Heading1CiQChar"/>
    <w:autoRedefine/>
    <w:rsid w:val="00285808"/>
    <w:pPr>
      <w:ind w:left="0" w:firstLine="0"/>
    </w:pPr>
  </w:style>
  <w:style w:type="character" w:customStyle="1" w:styleId="Heading1CiQChar">
    <w:name w:val="Heading 1 CiQ Char"/>
    <w:basedOn w:val="DefaultParagraphFont"/>
    <w:link w:val="Heading1CiQ"/>
    <w:rsid w:val="00285808"/>
    <w:rPr>
      <w:rFonts w:asciiTheme="majorHAnsi" w:eastAsia="Times New Roman" w:hAnsiTheme="majorHAnsi" w:cs="Times New Roman"/>
      <w:b/>
      <w:color w:val="000000"/>
      <w:sz w:val="24"/>
      <w:szCs w:val="24"/>
    </w:rPr>
  </w:style>
  <w:style w:type="character" w:customStyle="1" w:styleId="Heading2Char">
    <w:name w:val="Heading 2 Char"/>
    <w:basedOn w:val="DefaultParagraphFont"/>
    <w:link w:val="Heading2"/>
    <w:uiPriority w:val="9"/>
    <w:rsid w:val="00D139B2"/>
    <w:rPr>
      <w:rFonts w:asciiTheme="majorHAnsi" w:eastAsia="Times New Roman" w:hAnsiTheme="majorHAnsi" w:cs="Times New Roman"/>
      <w:b/>
      <w:color w:val="000000"/>
      <w:sz w:val="24"/>
      <w:szCs w:val="24"/>
      <w:lang w:val="en-IN" w:eastAsia="en-IN"/>
    </w:rPr>
  </w:style>
  <w:style w:type="paragraph" w:styleId="FootnoteText">
    <w:name w:val="footnote text"/>
    <w:basedOn w:val="Normal"/>
    <w:link w:val="FootnoteTextChar"/>
    <w:uiPriority w:val="99"/>
    <w:semiHidden/>
    <w:unhideWhenUsed/>
    <w:rsid w:val="00BB7830"/>
    <w:pPr>
      <w:spacing w:after="0"/>
    </w:pPr>
    <w:rPr>
      <w:sz w:val="20"/>
      <w:szCs w:val="20"/>
    </w:rPr>
  </w:style>
  <w:style w:type="character" w:customStyle="1" w:styleId="FootnoteTextChar">
    <w:name w:val="Footnote Text Char"/>
    <w:basedOn w:val="DefaultParagraphFont"/>
    <w:link w:val="FootnoteText"/>
    <w:uiPriority w:val="99"/>
    <w:semiHidden/>
    <w:rsid w:val="00BB7830"/>
    <w:rPr>
      <w:sz w:val="20"/>
      <w:szCs w:val="20"/>
    </w:rPr>
  </w:style>
  <w:style w:type="character" w:styleId="FootnoteReference">
    <w:name w:val="footnote reference"/>
    <w:basedOn w:val="DefaultParagraphFont"/>
    <w:uiPriority w:val="99"/>
    <w:semiHidden/>
    <w:unhideWhenUsed/>
    <w:rsid w:val="00BB7830"/>
    <w:rPr>
      <w:vertAlign w:val="superscript"/>
    </w:rPr>
  </w:style>
  <w:style w:type="paragraph" w:styleId="EndnoteText">
    <w:name w:val="endnote text"/>
    <w:basedOn w:val="Normal"/>
    <w:link w:val="EndnoteTextChar"/>
    <w:uiPriority w:val="99"/>
    <w:semiHidden/>
    <w:unhideWhenUsed/>
    <w:rsid w:val="001E46DE"/>
    <w:pPr>
      <w:spacing w:after="0"/>
    </w:pPr>
    <w:rPr>
      <w:sz w:val="20"/>
      <w:szCs w:val="20"/>
    </w:rPr>
  </w:style>
  <w:style w:type="character" w:customStyle="1" w:styleId="EndnoteTextChar">
    <w:name w:val="Endnote Text Char"/>
    <w:basedOn w:val="DefaultParagraphFont"/>
    <w:link w:val="EndnoteText"/>
    <w:uiPriority w:val="99"/>
    <w:semiHidden/>
    <w:rsid w:val="001E46DE"/>
    <w:rPr>
      <w:sz w:val="20"/>
      <w:szCs w:val="20"/>
    </w:rPr>
  </w:style>
  <w:style w:type="character" w:styleId="EndnoteReference">
    <w:name w:val="endnote reference"/>
    <w:basedOn w:val="DefaultParagraphFont"/>
    <w:uiPriority w:val="99"/>
    <w:semiHidden/>
    <w:unhideWhenUsed/>
    <w:rsid w:val="001E46DE"/>
    <w:rPr>
      <w:vertAlign w:val="superscript"/>
    </w:rPr>
  </w:style>
  <w:style w:type="character" w:styleId="Hyperlink">
    <w:name w:val="Hyperlink"/>
    <w:basedOn w:val="DefaultParagraphFont"/>
    <w:uiPriority w:val="99"/>
    <w:unhideWhenUsed/>
    <w:rsid w:val="008A5FF0"/>
    <w:rPr>
      <w:color w:val="0563C1" w:themeColor="hyperlink"/>
      <w:u w:val="single"/>
    </w:rPr>
  </w:style>
  <w:style w:type="paragraph" w:styleId="Header">
    <w:name w:val="header"/>
    <w:basedOn w:val="Normal"/>
    <w:link w:val="HeaderChar"/>
    <w:uiPriority w:val="99"/>
    <w:unhideWhenUsed/>
    <w:rsid w:val="009A0AAF"/>
    <w:pPr>
      <w:tabs>
        <w:tab w:val="center" w:pos="4513"/>
        <w:tab w:val="right" w:pos="9026"/>
      </w:tabs>
      <w:spacing w:before="0" w:after="0"/>
    </w:pPr>
  </w:style>
  <w:style w:type="character" w:customStyle="1" w:styleId="HeaderChar">
    <w:name w:val="Header Char"/>
    <w:basedOn w:val="DefaultParagraphFont"/>
    <w:link w:val="Header"/>
    <w:uiPriority w:val="99"/>
    <w:rsid w:val="009A0AAF"/>
  </w:style>
  <w:style w:type="paragraph" w:styleId="Footer">
    <w:name w:val="footer"/>
    <w:basedOn w:val="Normal"/>
    <w:link w:val="FooterChar"/>
    <w:uiPriority w:val="99"/>
    <w:unhideWhenUsed/>
    <w:rsid w:val="009A0AAF"/>
    <w:pPr>
      <w:tabs>
        <w:tab w:val="center" w:pos="4513"/>
        <w:tab w:val="right" w:pos="9026"/>
      </w:tabs>
      <w:spacing w:before="0" w:after="0"/>
    </w:pPr>
  </w:style>
  <w:style w:type="character" w:customStyle="1" w:styleId="FooterChar">
    <w:name w:val="Footer Char"/>
    <w:basedOn w:val="DefaultParagraphFont"/>
    <w:link w:val="Footer"/>
    <w:uiPriority w:val="99"/>
    <w:rsid w:val="009A0AAF"/>
  </w:style>
  <w:style w:type="paragraph" w:styleId="ListParagraph">
    <w:name w:val="List Paragraph"/>
    <w:basedOn w:val="Normal"/>
    <w:uiPriority w:val="34"/>
    <w:qFormat/>
    <w:rsid w:val="00987182"/>
    <w:pPr>
      <w:ind w:left="720"/>
      <w:contextualSpacing/>
    </w:pPr>
  </w:style>
  <w:style w:type="character" w:customStyle="1" w:styleId="Heading3Char">
    <w:name w:val="Heading 3 Char"/>
    <w:basedOn w:val="DefaultParagraphFont"/>
    <w:link w:val="Heading3"/>
    <w:uiPriority w:val="9"/>
    <w:rsid w:val="00DA2567"/>
    <w:rPr>
      <w:rFonts w:asciiTheme="majorHAnsi" w:eastAsia="Times New Roman" w:hAnsiTheme="majorHAnsi" w:cs="Times New Roman"/>
      <w:b/>
      <w:color w:val="000000"/>
      <w:sz w:val="24"/>
      <w:szCs w:val="24"/>
      <w:lang w:val="en-IN" w:eastAsia="en-IN"/>
    </w:rPr>
  </w:style>
  <w:style w:type="paragraph" w:styleId="NormalWeb">
    <w:name w:val="Normal (Web)"/>
    <w:basedOn w:val="Normal"/>
    <w:uiPriority w:val="99"/>
    <w:unhideWhenUsed/>
    <w:rsid w:val="0065707A"/>
    <w:pPr>
      <w:spacing w:before="100" w:beforeAutospacing="1" w:after="100" w:afterAutospacing="1"/>
      <w:jc w:val="left"/>
    </w:pPr>
    <w:rPr>
      <w:rFonts w:ascii="Times New Roman" w:eastAsia="Times New Roman" w:hAnsi="Times New Roman" w:cs="Times New Roman"/>
      <w:lang w:eastAsia="en-IN"/>
    </w:rPr>
  </w:style>
  <w:style w:type="character" w:customStyle="1" w:styleId="apple-tab-span">
    <w:name w:val="apple-tab-span"/>
    <w:basedOn w:val="DefaultParagraphFont"/>
    <w:rsid w:val="0065707A"/>
  </w:style>
  <w:style w:type="character" w:customStyle="1" w:styleId="TitleChar">
    <w:name w:val="Title Char"/>
    <w:basedOn w:val="DefaultParagraphFont"/>
    <w:link w:val="Title"/>
    <w:uiPriority w:val="10"/>
    <w:rsid w:val="005B3EBD"/>
    <w:rPr>
      <w:rFonts w:asciiTheme="majorHAnsi" w:eastAsiaTheme="majorEastAsia" w:hAnsiTheme="majorHAnsi" w:cstheme="majorHAnsi"/>
      <w:b/>
      <w:bCs/>
      <w:spacing w:val="-10"/>
      <w:kern w:val="28"/>
      <w:sz w:val="28"/>
      <w:szCs w:val="28"/>
    </w:rPr>
  </w:style>
  <w:style w:type="character" w:customStyle="1" w:styleId="Heading4Char">
    <w:name w:val="Heading 4 Char"/>
    <w:basedOn w:val="DefaultParagraphFont"/>
    <w:link w:val="Heading4"/>
    <w:uiPriority w:val="9"/>
    <w:rsid w:val="00775CD5"/>
    <w:rPr>
      <w:rFonts w:eastAsia="Times New Roman" w:cstheme="minorHAnsi"/>
      <w:b/>
      <w:bCs/>
      <w:sz w:val="24"/>
      <w:szCs w:val="24"/>
      <w:lang w:val="en-IN" w:eastAsia="en-IN"/>
    </w:rPr>
  </w:style>
  <w:style w:type="paragraph" w:customStyle="1" w:styleId="msonormal0">
    <w:name w:val="msonormal"/>
    <w:basedOn w:val="Normal"/>
    <w:rsid w:val="00F55F2E"/>
    <w:pPr>
      <w:spacing w:before="100" w:beforeAutospacing="1" w:after="100" w:afterAutospacing="1"/>
      <w:jc w:val="left"/>
    </w:pPr>
    <w:rPr>
      <w:rFonts w:ascii="Times New Roman" w:eastAsia="Times New Roman" w:hAnsi="Times New Roman" w:cs="Times New Roman"/>
      <w:lang w:eastAsia="en-IN"/>
    </w:rPr>
  </w:style>
  <w:style w:type="character" w:styleId="FollowedHyperlink">
    <w:name w:val="FollowedHyperlink"/>
    <w:basedOn w:val="DefaultParagraphFont"/>
    <w:uiPriority w:val="99"/>
    <w:semiHidden/>
    <w:unhideWhenUsed/>
    <w:rsid w:val="00F55F2E"/>
    <w:rPr>
      <w:color w:val="800080"/>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CommentReference">
    <w:name w:val="annotation reference"/>
    <w:basedOn w:val="DefaultParagraphFont"/>
    <w:uiPriority w:val="99"/>
    <w:semiHidden/>
    <w:unhideWhenUsed/>
    <w:rsid w:val="005532B3"/>
    <w:rPr>
      <w:sz w:val="16"/>
      <w:szCs w:val="16"/>
    </w:rPr>
  </w:style>
  <w:style w:type="paragraph" w:styleId="CommentText">
    <w:name w:val="annotation text"/>
    <w:basedOn w:val="Normal"/>
    <w:link w:val="CommentTextChar"/>
    <w:uiPriority w:val="99"/>
    <w:unhideWhenUsed/>
    <w:rsid w:val="005532B3"/>
    <w:rPr>
      <w:sz w:val="20"/>
      <w:szCs w:val="20"/>
    </w:rPr>
  </w:style>
  <w:style w:type="character" w:customStyle="1" w:styleId="CommentTextChar">
    <w:name w:val="Comment Text Char"/>
    <w:basedOn w:val="DefaultParagraphFont"/>
    <w:link w:val="CommentText"/>
    <w:uiPriority w:val="99"/>
    <w:rsid w:val="005532B3"/>
    <w:rPr>
      <w:sz w:val="20"/>
      <w:szCs w:val="20"/>
    </w:rPr>
  </w:style>
  <w:style w:type="paragraph" w:styleId="CommentSubject">
    <w:name w:val="annotation subject"/>
    <w:basedOn w:val="CommentText"/>
    <w:next w:val="CommentText"/>
    <w:link w:val="CommentSubjectChar"/>
    <w:uiPriority w:val="99"/>
    <w:semiHidden/>
    <w:unhideWhenUsed/>
    <w:rsid w:val="005532B3"/>
    <w:rPr>
      <w:b/>
      <w:bCs/>
    </w:rPr>
  </w:style>
  <w:style w:type="character" w:customStyle="1" w:styleId="CommentSubjectChar">
    <w:name w:val="Comment Subject Char"/>
    <w:basedOn w:val="CommentTextChar"/>
    <w:link w:val="CommentSubject"/>
    <w:uiPriority w:val="99"/>
    <w:semiHidden/>
    <w:rsid w:val="005532B3"/>
    <w:rPr>
      <w:b/>
      <w:bCs/>
      <w:sz w:val="20"/>
      <w:szCs w:val="20"/>
    </w:rPr>
  </w:style>
  <w:style w:type="character" w:styleId="UnresolvedMention">
    <w:name w:val="Unresolved Mention"/>
    <w:basedOn w:val="DefaultParagraphFont"/>
    <w:uiPriority w:val="99"/>
    <w:semiHidden/>
    <w:unhideWhenUsed/>
    <w:rsid w:val="00E002DC"/>
    <w:rPr>
      <w:color w:val="605E5C"/>
      <w:shd w:val="clear" w:color="auto" w:fill="E1DFDD"/>
    </w:rPr>
  </w:style>
  <w:style w:type="paragraph" w:styleId="Revision">
    <w:name w:val="Revision"/>
    <w:hidden/>
    <w:uiPriority w:val="99"/>
    <w:semiHidden/>
    <w:rsid w:val="00B0455E"/>
    <w:pPr>
      <w:spacing w:before="0" w:after="0"/>
      <w:jc w:val="left"/>
    </w:pPr>
  </w:style>
  <w:style w:type="character" w:styleId="PageNumber">
    <w:name w:val="page number"/>
    <w:basedOn w:val="DefaultParagraphFont"/>
    <w:uiPriority w:val="99"/>
    <w:semiHidden/>
    <w:unhideWhenUsed/>
    <w:rsid w:val="00FB798D"/>
  </w:style>
  <w:style w:type="character" w:customStyle="1" w:styleId="apple-converted-space">
    <w:name w:val="apple-converted-space"/>
    <w:basedOn w:val="DefaultParagraphFont"/>
    <w:rsid w:val="00A129E3"/>
  </w:style>
  <w:style w:type="table" w:styleId="TableGrid">
    <w:name w:val="Table Grid"/>
    <w:basedOn w:val="TableNormal"/>
    <w:uiPriority w:val="39"/>
    <w:rsid w:val="00A129E3"/>
    <w:pPr>
      <w:spacing w:before="0" w:after="0"/>
      <w:jc w:val="left"/>
    </w:pPr>
    <w:rPr>
      <w:rFonts w:asciiTheme="minorHAnsi" w:eastAsiaTheme="minorHAnsi" w:hAnsiTheme="minorHAnsi" w:cstheme="minorBid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A129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8829198">
      <w:bodyDiv w:val="1"/>
      <w:marLeft w:val="0"/>
      <w:marRight w:val="0"/>
      <w:marTop w:val="0"/>
      <w:marBottom w:val="0"/>
      <w:divBdr>
        <w:top w:val="none" w:sz="0" w:space="0" w:color="auto"/>
        <w:left w:val="none" w:sz="0" w:space="0" w:color="auto"/>
        <w:bottom w:val="none" w:sz="0" w:space="0" w:color="auto"/>
        <w:right w:val="none" w:sz="0" w:space="0" w:color="auto"/>
      </w:divBdr>
    </w:div>
    <w:div w:id="1085298050">
      <w:bodyDiv w:val="1"/>
      <w:marLeft w:val="0"/>
      <w:marRight w:val="0"/>
      <w:marTop w:val="0"/>
      <w:marBottom w:val="0"/>
      <w:divBdr>
        <w:top w:val="none" w:sz="0" w:space="0" w:color="auto"/>
        <w:left w:val="none" w:sz="0" w:space="0" w:color="auto"/>
        <w:bottom w:val="none" w:sz="0" w:space="0" w:color="auto"/>
        <w:right w:val="none" w:sz="0" w:space="0" w:color="auto"/>
      </w:divBdr>
      <w:divsChild>
        <w:div w:id="117553007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1BFcMZfDWwQB9gWMpJhnNLEVBDg==">AMUW2mVPidl1GC1sDLlFNVk06Gu3MkbILCqiGUkomJBusCDlPE88xKsym1BnIWZAnQC72RhFPCmedVBJ45QQv+Txy5NuJTqryf2Y0DWkyYGn3RUq4d4eMRk=</go:docsCustomData>
</go:gDocsCustomXmlDataStorage>
</file>

<file path=customXml/itemProps1.xml><?xml version="1.0" encoding="utf-8"?>
<ds:datastoreItem xmlns:ds="http://schemas.openxmlformats.org/officeDocument/2006/customXml" ds:itemID="{8CD61A76-2E3C-8D4C-822D-32E270E7210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23</Pages>
  <Words>22113</Words>
  <Characters>126046</Characters>
  <Application>Microsoft Office Word</Application>
  <DocSecurity>0</DocSecurity>
  <Lines>1050</Lines>
  <Paragraphs>295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Ketan Wadhwani</dc:creator>
  <cp:lastModifiedBy>Andrew Gibson</cp:lastModifiedBy>
  <cp:revision>3</cp:revision>
  <cp:lastPrinted>2022-10-04T15:23:00Z</cp:lastPrinted>
  <dcterms:created xsi:type="dcterms:W3CDTF">2023-03-31T09:35:00Z</dcterms:created>
  <dcterms:modified xsi:type="dcterms:W3CDTF">2023-03-31T09:36:00Z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fb938a6f-1635-39f1-82c7-1ab2e880d111</vt:lpwstr>
  </property>
  <property fmtid="{D5CDD505-2E9C-101B-9397-08002B2CF9AE}" pid="4" name="Mendeley Citation Style_1">
    <vt:lpwstr>http://www.zotero.org/styles/chicago-author-date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http://www.zotero.org/styles/chicago-note-bibliography</vt:lpwstr>
  </property>
  <property fmtid="{D5CDD505-2E9C-101B-9397-08002B2CF9AE}" pid="14" name="Mendeley Recent Style Name 4_1">
    <vt:lpwstr>Chicago Manual of Style 17th edition (note)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