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429DD" w14:textId="5239B869" w:rsidR="00BE1EF3" w:rsidRDefault="00BE1EF3" w:rsidP="00811141">
      <w:pPr>
        <w:jc w:val="center"/>
        <w:rPr>
          <w:sz w:val="28"/>
          <w:szCs w:val="28"/>
        </w:rPr>
      </w:pPr>
      <w:bookmarkStart w:id="0" w:name="_Hlk506542061"/>
      <w:r w:rsidRPr="00811141">
        <w:rPr>
          <w:sz w:val="28"/>
          <w:szCs w:val="28"/>
        </w:rPr>
        <w:t>Metformin</w:t>
      </w:r>
      <w:r w:rsidR="00BA7952" w:rsidRPr="00811141">
        <w:rPr>
          <w:sz w:val="28"/>
          <w:szCs w:val="28"/>
        </w:rPr>
        <w:t xml:space="preserve"> Hydrochloride</w:t>
      </w:r>
      <w:r w:rsidRPr="00811141">
        <w:rPr>
          <w:sz w:val="28"/>
          <w:szCs w:val="28"/>
        </w:rPr>
        <w:t xml:space="preserve"> and Sitagliptin</w:t>
      </w:r>
      <w:r w:rsidR="00BA7952" w:rsidRPr="00811141">
        <w:rPr>
          <w:sz w:val="28"/>
          <w:szCs w:val="28"/>
        </w:rPr>
        <w:t xml:space="preserve"> Phosphate</w:t>
      </w:r>
      <w:r w:rsidRPr="00811141">
        <w:rPr>
          <w:sz w:val="28"/>
          <w:szCs w:val="28"/>
        </w:rPr>
        <w:t xml:space="preserve"> Fixed Dose Combination Product Prepared Using Melt Granulation Continuous Processing Technology</w:t>
      </w:r>
    </w:p>
    <w:p w14:paraId="0B64757B" w14:textId="77777777" w:rsidR="00811141" w:rsidRPr="00811141" w:rsidRDefault="00811141" w:rsidP="00811141">
      <w:pPr>
        <w:jc w:val="center"/>
        <w:rPr>
          <w:sz w:val="28"/>
          <w:szCs w:val="28"/>
        </w:rPr>
      </w:pPr>
    </w:p>
    <w:bookmarkEnd w:id="0"/>
    <w:p w14:paraId="1F26E60B" w14:textId="77489F01" w:rsidR="00BE1EF3" w:rsidRPr="00FB41AF" w:rsidRDefault="000D3BC0" w:rsidP="002244B8">
      <w:pPr>
        <w:rPr>
          <w:rFonts w:cs="Times New Roman"/>
        </w:rPr>
      </w:pPr>
      <w:r>
        <w:rPr>
          <w:rFonts w:cs="Times New Roman"/>
        </w:rPr>
        <w:t>Jeremiah F. Kelleher</w:t>
      </w:r>
      <w:r w:rsidR="00BE2F96" w:rsidRPr="00AB4D5B">
        <w:rPr>
          <w:rFonts w:cs="Times New Roman"/>
          <w:vertAlign w:val="superscript"/>
        </w:rPr>
        <w:t>#</w:t>
      </w:r>
      <w:r w:rsidR="00BE1EF3" w:rsidRPr="00B34CBE">
        <w:rPr>
          <w:rFonts w:cs="Times New Roman"/>
          <w:vertAlign w:val="superscript"/>
        </w:rPr>
        <w:t>1</w:t>
      </w:r>
      <w:r w:rsidR="00BE1EF3" w:rsidRPr="00B34CBE">
        <w:rPr>
          <w:rFonts w:cs="Times New Roman"/>
        </w:rPr>
        <w:t xml:space="preserve">, </w:t>
      </w:r>
      <w:r>
        <w:rPr>
          <w:rFonts w:cs="Times New Roman"/>
        </w:rPr>
        <w:t>Atif M. Madi</w:t>
      </w:r>
      <w:r w:rsidR="00BE2F96" w:rsidRPr="00AB4D5B">
        <w:rPr>
          <w:rFonts w:cs="Times New Roman"/>
          <w:vertAlign w:val="superscript"/>
        </w:rPr>
        <w:t>#</w:t>
      </w:r>
      <w:r w:rsidR="00BE1EF3" w:rsidRPr="00B34CBE">
        <w:rPr>
          <w:rFonts w:cs="Times New Roman"/>
          <w:vertAlign w:val="superscript"/>
        </w:rPr>
        <w:t>1</w:t>
      </w:r>
      <w:r w:rsidR="00BE1EF3" w:rsidRPr="00B34CBE">
        <w:rPr>
          <w:rFonts w:cs="Times New Roman"/>
        </w:rPr>
        <w:t>, Gareth C. Gilvary</w:t>
      </w:r>
      <w:r w:rsidR="00BE1EF3" w:rsidRPr="00B34CBE">
        <w:rPr>
          <w:rFonts w:cs="Times New Roman"/>
          <w:vertAlign w:val="superscript"/>
        </w:rPr>
        <w:t>2</w:t>
      </w:r>
      <w:r w:rsidR="00BE1EF3" w:rsidRPr="00B34CBE">
        <w:rPr>
          <w:rFonts w:cs="Times New Roman"/>
        </w:rPr>
        <w:t>, Y.</w:t>
      </w:r>
      <w:r w:rsidR="00BE1EF3">
        <w:rPr>
          <w:rFonts w:cs="Times New Roman"/>
        </w:rPr>
        <w:t xml:space="preserve"> W.</w:t>
      </w:r>
      <w:r w:rsidR="00BE1EF3" w:rsidRPr="00B34CBE">
        <w:rPr>
          <w:rFonts w:cs="Times New Roman"/>
        </w:rPr>
        <w:t xml:space="preserve"> Tian</w:t>
      </w:r>
      <w:r w:rsidR="00BE1EF3" w:rsidRPr="00B34CBE">
        <w:rPr>
          <w:rFonts w:cs="Times New Roman"/>
          <w:vertAlign w:val="superscript"/>
        </w:rPr>
        <w:t>2</w:t>
      </w:r>
      <w:r w:rsidR="00BE1EF3" w:rsidRPr="00B34CBE">
        <w:rPr>
          <w:rFonts w:cs="Times New Roman"/>
        </w:rPr>
        <w:t>, S</w:t>
      </w:r>
      <w:r w:rsidR="00BE1EF3">
        <w:rPr>
          <w:rFonts w:cs="Times New Roman"/>
        </w:rPr>
        <w:t>hu</w:t>
      </w:r>
      <w:r w:rsidR="00BE1EF3" w:rsidRPr="00B34CBE">
        <w:rPr>
          <w:rFonts w:cs="Times New Roman"/>
        </w:rPr>
        <w:t>. Li</w:t>
      </w:r>
      <w:r w:rsidR="00BE1EF3" w:rsidRPr="00B34CBE">
        <w:rPr>
          <w:rFonts w:cs="Times New Roman"/>
          <w:vertAlign w:val="superscript"/>
        </w:rPr>
        <w:t>2</w:t>
      </w:r>
      <w:r w:rsidR="00BE1EF3" w:rsidRPr="00B34CBE">
        <w:rPr>
          <w:rFonts w:cs="Times New Roman"/>
        </w:rPr>
        <w:t>, Ammar Almajaan</w:t>
      </w:r>
      <w:r w:rsidR="00BE1EF3" w:rsidRPr="00B34CBE">
        <w:rPr>
          <w:rFonts w:cs="Times New Roman"/>
          <w:vertAlign w:val="superscript"/>
        </w:rPr>
        <w:t>2</w:t>
      </w:r>
      <w:r w:rsidR="00BE1EF3" w:rsidRPr="00B34CBE">
        <w:rPr>
          <w:rFonts w:cs="Times New Roman"/>
        </w:rPr>
        <w:t>, Zo</w:t>
      </w:r>
      <w:r w:rsidR="00BE1EF3">
        <w:rPr>
          <w:rFonts w:cs="Times New Roman"/>
        </w:rPr>
        <w:t>e</w:t>
      </w:r>
      <w:r w:rsidR="00BE1EF3" w:rsidRPr="00B34CBE">
        <w:rPr>
          <w:rFonts w:cs="Times New Roman"/>
        </w:rPr>
        <w:t xml:space="preserve"> S. Loys</w:t>
      </w:r>
      <w:r w:rsidR="00BE1EF3" w:rsidRPr="00B34CBE">
        <w:rPr>
          <w:rFonts w:cs="Times New Roman"/>
          <w:vertAlign w:val="superscript"/>
        </w:rPr>
        <w:t>2</w:t>
      </w:r>
      <w:r w:rsidR="00BE1EF3" w:rsidRPr="00B34CBE">
        <w:rPr>
          <w:rFonts w:cs="Times New Roman"/>
        </w:rPr>
        <w:t>, David S. Jones</w:t>
      </w:r>
      <w:r w:rsidR="00BE1EF3" w:rsidRPr="00B34CBE">
        <w:rPr>
          <w:rFonts w:cs="Times New Roman"/>
          <w:vertAlign w:val="superscript"/>
        </w:rPr>
        <w:t>2</w:t>
      </w:r>
      <w:r w:rsidR="00BE1EF3" w:rsidRPr="00B34CBE">
        <w:rPr>
          <w:rFonts w:cs="Times New Roman"/>
        </w:rPr>
        <w:t>, Gavin P. Andrews</w:t>
      </w:r>
      <w:r w:rsidR="00BE1EF3" w:rsidRPr="00B34CBE">
        <w:rPr>
          <w:rFonts w:cs="Times New Roman"/>
          <w:vertAlign w:val="superscript"/>
        </w:rPr>
        <w:t>2</w:t>
      </w:r>
      <w:r w:rsidR="00BE1EF3" w:rsidRPr="00B34CBE">
        <w:rPr>
          <w:rFonts w:cs="Times New Roman"/>
        </w:rPr>
        <w:t>, Anne</w:t>
      </w:r>
      <w:r w:rsidR="00BE1EF3">
        <w:rPr>
          <w:rFonts w:cs="Times New Roman"/>
        </w:rPr>
        <w:t> </w:t>
      </w:r>
      <w:r w:rsidR="00BE1EF3" w:rsidRPr="00B34CBE">
        <w:rPr>
          <w:rFonts w:cs="Times New Roman"/>
        </w:rPr>
        <w:t>Marie Healy</w:t>
      </w:r>
      <w:r w:rsidR="00BE1EF3" w:rsidRPr="00B34CBE">
        <w:rPr>
          <w:rFonts w:cs="Times New Roman"/>
          <w:vertAlign w:val="superscript"/>
        </w:rPr>
        <w:t>1*</w:t>
      </w:r>
      <w:r w:rsidR="00BE1EF3" w:rsidRPr="00B34CBE">
        <w:rPr>
          <w:rFonts w:cs="Times New Roman"/>
        </w:rPr>
        <w:t xml:space="preserve"> </w:t>
      </w:r>
      <w:r w:rsidR="00BE1EF3" w:rsidRPr="00FB41AF">
        <w:rPr>
          <w:rFonts w:cs="Times New Roman"/>
        </w:rPr>
        <w:t xml:space="preserve">   </w:t>
      </w:r>
    </w:p>
    <w:p w14:paraId="7CB927C1" w14:textId="77777777" w:rsidR="00D90129" w:rsidRDefault="00D90129" w:rsidP="002244B8">
      <w:pPr>
        <w:rPr>
          <w:rFonts w:cs="Times New Roman"/>
          <w:i/>
          <w:iCs/>
        </w:rPr>
      </w:pPr>
    </w:p>
    <w:p w14:paraId="3253F70F" w14:textId="19F5909A" w:rsidR="00BE1EF3" w:rsidRPr="00530653" w:rsidRDefault="00BE1EF3" w:rsidP="002244B8">
      <w:pPr>
        <w:rPr>
          <w:rFonts w:cs="Times New Roman"/>
        </w:rPr>
      </w:pPr>
      <w:r w:rsidRPr="00530653">
        <w:rPr>
          <w:rFonts w:cs="Times New Roman"/>
        </w:rPr>
        <w:t>Affiliation</w:t>
      </w:r>
    </w:p>
    <w:p w14:paraId="5A39C3BA" w14:textId="77777777" w:rsidR="00BE1EF3" w:rsidRPr="00530653" w:rsidRDefault="00BE1EF3" w:rsidP="002244B8">
      <w:pPr>
        <w:rPr>
          <w:rFonts w:cs="Times New Roman"/>
        </w:rPr>
      </w:pPr>
      <w:r w:rsidRPr="00530653">
        <w:rPr>
          <w:rFonts w:cs="Times New Roman"/>
          <w:vertAlign w:val="superscript"/>
        </w:rPr>
        <w:t>1</w:t>
      </w:r>
      <w:r w:rsidRPr="00530653">
        <w:rPr>
          <w:rFonts w:cs="Times New Roman"/>
        </w:rPr>
        <w:t xml:space="preserve">School of Pharmacy and Pharmaceutical Sciences, Trinity College Dublin, Dublin, Ireland. </w:t>
      </w:r>
    </w:p>
    <w:p w14:paraId="7516A922" w14:textId="77777777" w:rsidR="00BE1EF3" w:rsidRPr="00530653" w:rsidRDefault="00BE1EF3" w:rsidP="002244B8">
      <w:pPr>
        <w:rPr>
          <w:rFonts w:cs="Times New Roman"/>
        </w:rPr>
      </w:pPr>
      <w:r w:rsidRPr="00530653">
        <w:rPr>
          <w:rFonts w:cs="Times New Roman"/>
          <w:vertAlign w:val="superscript"/>
        </w:rPr>
        <w:t>2</w:t>
      </w:r>
      <w:r w:rsidRPr="00530653">
        <w:rPr>
          <w:rFonts w:cs="Times New Roman"/>
        </w:rPr>
        <w:t>Pharmaceutical Engineering Group, School of Pharmacy, Queen’s University Belfast, Belfast, Northern Ireland.</w:t>
      </w:r>
    </w:p>
    <w:p w14:paraId="01637325" w14:textId="77777777" w:rsidR="00BE1EF3" w:rsidRPr="00FB41AF" w:rsidRDefault="00BE1EF3" w:rsidP="002244B8">
      <w:pPr>
        <w:rPr>
          <w:rFonts w:cs="Times New Roman"/>
          <w:szCs w:val="24"/>
        </w:rPr>
      </w:pPr>
    </w:p>
    <w:p w14:paraId="7B34CDB2" w14:textId="3866FF38" w:rsidR="00BE1EF3" w:rsidRDefault="00BE1EF3" w:rsidP="002244B8">
      <w:pPr>
        <w:rPr>
          <w:rFonts w:cs="Times New Roman"/>
          <w:szCs w:val="24"/>
        </w:rPr>
      </w:pPr>
    </w:p>
    <w:p w14:paraId="6259EB5F" w14:textId="77777777" w:rsidR="00BE5EC2" w:rsidRDefault="00BE5EC2" w:rsidP="002244B8">
      <w:pPr>
        <w:rPr>
          <w:rFonts w:cs="Times New Roman"/>
          <w:szCs w:val="24"/>
        </w:rPr>
      </w:pPr>
    </w:p>
    <w:p w14:paraId="083AF866" w14:textId="77777777" w:rsidR="00BE1EF3" w:rsidRDefault="00BE1EF3" w:rsidP="002244B8">
      <w:pPr>
        <w:rPr>
          <w:rFonts w:cs="Times New Roman"/>
          <w:szCs w:val="24"/>
        </w:rPr>
      </w:pPr>
    </w:p>
    <w:p w14:paraId="5958095D" w14:textId="77777777" w:rsidR="00BE1EF3" w:rsidRDefault="00BE1EF3" w:rsidP="002244B8">
      <w:pPr>
        <w:rPr>
          <w:rFonts w:cs="Times New Roman"/>
          <w:szCs w:val="24"/>
        </w:rPr>
      </w:pPr>
    </w:p>
    <w:p w14:paraId="216C2A5A" w14:textId="77777777" w:rsidR="00BE1EF3" w:rsidRDefault="00BE1EF3" w:rsidP="002244B8">
      <w:pPr>
        <w:rPr>
          <w:rFonts w:cs="Times New Roman"/>
          <w:szCs w:val="24"/>
        </w:rPr>
      </w:pPr>
    </w:p>
    <w:p w14:paraId="4ED691BC" w14:textId="77777777" w:rsidR="00BE2F96" w:rsidRPr="00FB41AF" w:rsidRDefault="00BE2F96" w:rsidP="002244B8">
      <w:pPr>
        <w:rPr>
          <w:rFonts w:cs="Times New Roman"/>
          <w:szCs w:val="24"/>
        </w:rPr>
      </w:pPr>
      <w:r>
        <w:rPr>
          <w:rFonts w:cs="Times New Roman"/>
          <w:szCs w:val="24"/>
        </w:rPr>
        <w:t>#</w:t>
      </w:r>
      <w:r w:rsidRPr="00BE2F96">
        <w:rPr>
          <w:rFonts w:cs="Times New Roman"/>
          <w:szCs w:val="24"/>
        </w:rPr>
        <w:t xml:space="preserve"> </w:t>
      </w:r>
      <w:r w:rsidRPr="008E2CE6">
        <w:rPr>
          <w:rFonts w:cs="Times New Roman"/>
          <w:szCs w:val="24"/>
        </w:rPr>
        <w:t>Both authors contributed equally to this work</w:t>
      </w:r>
    </w:p>
    <w:p w14:paraId="459D340B" w14:textId="77777777" w:rsidR="00BE1EF3" w:rsidRPr="00FB41AF" w:rsidRDefault="00BE1EF3" w:rsidP="002244B8">
      <w:pPr>
        <w:rPr>
          <w:rFonts w:cs="Times New Roman"/>
          <w:szCs w:val="24"/>
        </w:rPr>
      </w:pPr>
    </w:p>
    <w:p w14:paraId="1BE5E5DB" w14:textId="77777777" w:rsidR="00BE1EF3" w:rsidRPr="00FB41AF" w:rsidRDefault="00BE1EF3" w:rsidP="002244B8">
      <w:pPr>
        <w:rPr>
          <w:rFonts w:cs="Times New Roman"/>
        </w:rPr>
      </w:pPr>
      <w:r w:rsidRPr="00FB41AF">
        <w:rPr>
          <w:rFonts w:cs="Times New Roman"/>
        </w:rPr>
        <w:t xml:space="preserve">*Corresponding author: </w:t>
      </w:r>
    </w:p>
    <w:p w14:paraId="5DAFB283" w14:textId="77777777" w:rsidR="00BE1EF3" w:rsidRPr="00FB41AF" w:rsidRDefault="00BE1EF3" w:rsidP="002244B8">
      <w:pPr>
        <w:rPr>
          <w:rFonts w:cs="Times New Roman"/>
        </w:rPr>
      </w:pPr>
      <w:r w:rsidRPr="00FB41AF">
        <w:rPr>
          <w:rFonts w:cs="Times New Roman"/>
        </w:rPr>
        <w:t>Prof. Anne Marie Healy</w:t>
      </w:r>
    </w:p>
    <w:p w14:paraId="38602F05" w14:textId="77777777" w:rsidR="00BE1EF3" w:rsidRPr="00FB41AF" w:rsidRDefault="00BE1EF3" w:rsidP="002244B8">
      <w:pPr>
        <w:rPr>
          <w:rFonts w:cs="Times New Roman"/>
        </w:rPr>
      </w:pPr>
      <w:r w:rsidRPr="00FB41AF">
        <w:rPr>
          <w:rFonts w:cs="Times New Roman"/>
        </w:rPr>
        <w:t>Tel: +35318961444</w:t>
      </w:r>
    </w:p>
    <w:p w14:paraId="5CF8AE14" w14:textId="77777777" w:rsidR="00BE1EF3" w:rsidRDefault="00BE1EF3" w:rsidP="002244B8">
      <w:pPr>
        <w:rPr>
          <w:rFonts w:eastAsiaTheme="majorEastAsia" w:cs="Times New Roman"/>
          <w:szCs w:val="32"/>
        </w:rPr>
      </w:pPr>
      <w:r w:rsidRPr="00FB41AF">
        <w:rPr>
          <w:rFonts w:cs="Times New Roman"/>
        </w:rPr>
        <w:t xml:space="preserve">Email: </w:t>
      </w:r>
      <w:hyperlink r:id="rId9" w:history="1">
        <w:r w:rsidRPr="00FB41AF">
          <w:rPr>
            <w:rStyle w:val="Hyperlink"/>
            <w:rFonts w:cs="Times New Roman"/>
          </w:rPr>
          <w:t>healyam@tcd.ie</w:t>
        </w:r>
      </w:hyperlink>
      <w:r w:rsidRPr="00FB41AF">
        <w:rPr>
          <w:rFonts w:cs="Times New Roman"/>
        </w:rPr>
        <w:t xml:space="preserve"> </w:t>
      </w:r>
    </w:p>
    <w:p w14:paraId="5E2B60D7" w14:textId="77777777" w:rsidR="004D3413" w:rsidRPr="00E53008" w:rsidRDefault="004D3413" w:rsidP="002244B8">
      <w:pPr>
        <w:rPr>
          <w:rFonts w:ascii="Times" w:hAnsi="Times" w:cs="Times"/>
          <w:b/>
          <w:bCs/>
          <w:szCs w:val="24"/>
        </w:rPr>
      </w:pPr>
      <w:r w:rsidRPr="00E53008">
        <w:rPr>
          <w:rFonts w:ascii="Times" w:hAnsi="Times" w:cs="Times"/>
          <w:b/>
          <w:bCs/>
          <w:szCs w:val="24"/>
        </w:rPr>
        <w:lastRenderedPageBreak/>
        <w:t>Abstract</w:t>
      </w:r>
    </w:p>
    <w:p w14:paraId="412F0128" w14:textId="724CC073" w:rsidR="004D3413" w:rsidRPr="003B5033" w:rsidRDefault="004D3413" w:rsidP="003B5033">
      <w:pPr>
        <w:rPr>
          <w:rFonts w:cs="Times New Roman"/>
        </w:rPr>
      </w:pPr>
      <w:r w:rsidRPr="003B5033">
        <w:rPr>
          <w:rFonts w:cs="Times New Roman"/>
        </w:rPr>
        <w:t>The development of oral solid dosage forms, such as tablets, that contain a high dose of drug(s)</w:t>
      </w:r>
      <w:r w:rsidR="00A13737">
        <w:rPr>
          <w:rFonts w:cs="Times New Roman"/>
        </w:rPr>
        <w:t>,</w:t>
      </w:r>
      <w:r w:rsidRPr="003B5033">
        <w:rPr>
          <w:rFonts w:cs="Times New Roman"/>
        </w:rPr>
        <w:t xml:space="preserve"> require polymers and other additives to be incorporated at as low levels as possible, to keep the final tablet weight low, and</w:t>
      </w:r>
      <w:r w:rsidR="0009676A">
        <w:rPr>
          <w:rFonts w:cs="Times New Roman"/>
        </w:rPr>
        <w:t>,</w:t>
      </w:r>
      <w:r w:rsidRPr="003B5033">
        <w:rPr>
          <w:rFonts w:cs="Times New Roman"/>
        </w:rPr>
        <w:t xml:space="preserve"> correspondingly</w:t>
      </w:r>
      <w:r w:rsidR="0009676A">
        <w:rPr>
          <w:rFonts w:cs="Times New Roman"/>
        </w:rPr>
        <w:t>,</w:t>
      </w:r>
      <w:r w:rsidRPr="003B5033">
        <w:rPr>
          <w:rFonts w:cs="Times New Roman"/>
        </w:rPr>
        <w:t xml:space="preserve"> the dosage form size small enough to be acceptable from a patient perspective. Additionally, a multi-step </w:t>
      </w:r>
      <w:r w:rsidR="007148D8" w:rsidRPr="003B5033">
        <w:rPr>
          <w:rFonts w:cs="Times New Roman"/>
        </w:rPr>
        <w:t xml:space="preserve">batch-based </w:t>
      </w:r>
      <w:r w:rsidRPr="003B5033">
        <w:rPr>
          <w:rFonts w:cs="Times New Roman"/>
        </w:rPr>
        <w:t xml:space="preserve">manufacturing process is usually required </w:t>
      </w:r>
      <w:r w:rsidR="007148D8" w:rsidRPr="003B5033">
        <w:rPr>
          <w:rFonts w:cs="Times New Roman"/>
        </w:rPr>
        <w:t>for production of</w:t>
      </w:r>
      <w:r w:rsidRPr="003B5033">
        <w:rPr>
          <w:rFonts w:cs="Times New Roman"/>
        </w:rPr>
        <w:t xml:space="preserve"> solid dosage forms. This study presents the development and production, by </w:t>
      </w:r>
      <w:r w:rsidR="007148D8" w:rsidRPr="003B5033">
        <w:rPr>
          <w:rFonts w:cs="Times New Roman"/>
        </w:rPr>
        <w:t xml:space="preserve">twin-screw </w:t>
      </w:r>
      <w:r w:rsidRPr="003B5033">
        <w:rPr>
          <w:rFonts w:cs="Times New Roman"/>
        </w:rPr>
        <w:t>melt granulation technology, of a high-dose immediate</w:t>
      </w:r>
      <w:r w:rsidRPr="003B5033">
        <w:rPr>
          <w:rFonts w:cs="Times New Roman"/>
        </w:rPr>
        <w:noBreakHyphen/>
        <w:t>release fixed dose combination</w:t>
      </w:r>
      <w:r w:rsidR="00F04DF1">
        <w:rPr>
          <w:rFonts w:cs="Times New Roman"/>
        </w:rPr>
        <w:t xml:space="preserve"> (FDC)</w:t>
      </w:r>
      <w:r w:rsidRPr="003B5033">
        <w:rPr>
          <w:rFonts w:cs="Times New Roman"/>
        </w:rPr>
        <w:t xml:space="preserve"> product of metformin hydrochloride (MET) and sitagliptin phosphate (SIT), with drug loads of 80 % w/w and 6 % w/w, respectively. For an 850/</w:t>
      </w:r>
      <w:r w:rsidR="00E15A02" w:rsidRPr="003B5033">
        <w:rPr>
          <w:rFonts w:cs="Times New Roman"/>
        </w:rPr>
        <w:t>63</w:t>
      </w:r>
      <w:r w:rsidRPr="003B5033">
        <w:rPr>
          <w:rFonts w:cs="Times New Roman"/>
        </w:rPr>
        <w:t xml:space="preserve"> mg dose of MET/SIT, the final weight of caplets was approximately 106</w:t>
      </w:r>
      <w:r w:rsidR="00062BB6" w:rsidRPr="003B5033">
        <w:rPr>
          <w:rFonts w:cs="Times New Roman"/>
        </w:rPr>
        <w:t>3</w:t>
      </w:r>
      <w:r w:rsidRPr="003B5033">
        <w:rPr>
          <w:rFonts w:cs="Times New Roman"/>
        </w:rPr>
        <w:t xml:space="preserve"> mg</w:t>
      </w:r>
      <w:r w:rsidR="000A1B19" w:rsidRPr="003B5033">
        <w:rPr>
          <w:rFonts w:cs="Times New Roman"/>
        </w:rPr>
        <w:t xml:space="preserve"> compared with 1143 mg</w:t>
      </w:r>
      <w:r w:rsidR="002962D6" w:rsidRPr="003B5033">
        <w:rPr>
          <w:rFonts w:cs="Times New Roman"/>
        </w:rPr>
        <w:t xml:space="preserve"> for</w:t>
      </w:r>
      <w:r w:rsidR="006057F6" w:rsidRPr="003B5033">
        <w:rPr>
          <w:rFonts w:cs="Times New Roman"/>
        </w:rPr>
        <w:t xml:space="preserve"> the equivalent dose </w:t>
      </w:r>
      <w:r w:rsidR="00927AAC" w:rsidRPr="003B5033">
        <w:rPr>
          <w:rFonts w:cs="Times New Roman"/>
        </w:rPr>
        <w:t xml:space="preserve">in </w:t>
      </w:r>
      <w:r w:rsidR="002962D6" w:rsidRPr="003B5033">
        <w:rPr>
          <w:rFonts w:cs="Times New Roman"/>
        </w:rPr>
        <w:t>Janumet</w:t>
      </w:r>
      <w:r w:rsidR="006057F6" w:rsidRPr="003B5033">
        <w:rPr>
          <w:rFonts w:cs="Times New Roman"/>
          <w:vertAlign w:val="superscript"/>
        </w:rPr>
        <w:t>®</w:t>
      </w:r>
      <w:r w:rsidR="00446D55" w:rsidRPr="003B5033">
        <w:rPr>
          <w:rFonts w:cs="Times New Roman"/>
        </w:rPr>
        <w:t>, the marketed product</w:t>
      </w:r>
      <w:r w:rsidRPr="003B5033">
        <w:rPr>
          <w:rFonts w:cs="Times New Roman"/>
        </w:rPr>
        <w:t>. Mixtures of the two drugs and polymers were melt granulated at temperatures below the</w:t>
      </w:r>
      <w:r w:rsidR="00522342" w:rsidRPr="003B5033">
        <w:rPr>
          <w:rFonts w:cs="Times New Roman"/>
        </w:rPr>
        <w:t xml:space="preserve"> individual</w:t>
      </w:r>
      <w:r w:rsidRPr="003B5033">
        <w:rPr>
          <w:rFonts w:cs="Times New Roman"/>
        </w:rPr>
        <w:t xml:space="preserve"> melting temperature</w:t>
      </w:r>
      <w:r w:rsidR="008B62DE" w:rsidRPr="003B5033">
        <w:rPr>
          <w:rFonts w:cs="Times New Roman"/>
        </w:rPr>
        <w:t>s</w:t>
      </w:r>
      <w:r w:rsidRPr="003B5033">
        <w:rPr>
          <w:rFonts w:cs="Times New Roman"/>
        </w:rPr>
        <w:t xml:space="preserve"> of MET and SIT (231.65 °C and 213.89 °C, respectively), but above the glass transition temperature</w:t>
      </w:r>
      <w:r w:rsidR="00AA6877" w:rsidRPr="003B5033">
        <w:rPr>
          <w:rFonts w:cs="Times New Roman"/>
        </w:rPr>
        <w:t xml:space="preserve"> </w:t>
      </w:r>
      <w:r w:rsidR="007148D8" w:rsidRPr="003B5033">
        <w:rPr>
          <w:rFonts w:cs="Times New Roman"/>
        </w:rPr>
        <w:t xml:space="preserve">or </w:t>
      </w:r>
      <w:r w:rsidR="00AA6877" w:rsidRPr="003B5033">
        <w:rPr>
          <w:rFonts w:cs="Times New Roman"/>
        </w:rPr>
        <w:t>melting temperature</w:t>
      </w:r>
      <w:r w:rsidRPr="003B5033">
        <w:rPr>
          <w:rFonts w:cs="Times New Roman"/>
        </w:rPr>
        <w:t xml:space="preserve"> of </w:t>
      </w:r>
      <w:r w:rsidR="00927AAC" w:rsidRPr="003B5033">
        <w:rPr>
          <w:rFonts w:cs="Times New Roman"/>
        </w:rPr>
        <w:t xml:space="preserve">the </w:t>
      </w:r>
      <w:r w:rsidR="007148D8" w:rsidRPr="003B5033">
        <w:rPr>
          <w:rFonts w:cs="Times New Roman"/>
        </w:rPr>
        <w:t>binder</w:t>
      </w:r>
      <w:r w:rsidR="00AC02AB">
        <w:rPr>
          <w:rFonts w:cs="Times New Roman"/>
        </w:rPr>
        <w:t>(s)</w:t>
      </w:r>
      <w:r w:rsidR="007148D8" w:rsidRPr="003B5033">
        <w:rPr>
          <w:rFonts w:cs="Times New Roman"/>
        </w:rPr>
        <w:t xml:space="preserve"> </w:t>
      </w:r>
      <w:r w:rsidRPr="003B5033">
        <w:rPr>
          <w:rFonts w:cs="Times New Roman"/>
        </w:rPr>
        <w:t xml:space="preserve">used. By careful selection of </w:t>
      </w:r>
      <w:r w:rsidR="007148D8" w:rsidRPr="003B5033">
        <w:rPr>
          <w:rFonts w:cs="Times New Roman"/>
        </w:rPr>
        <w:t>binders</w:t>
      </w:r>
      <w:r w:rsidRPr="003B5033">
        <w:rPr>
          <w:rFonts w:cs="Times New Roman"/>
        </w:rPr>
        <w:t xml:space="preserve">, </w:t>
      </w:r>
      <w:r w:rsidR="00AA6877" w:rsidRPr="003B5033">
        <w:rPr>
          <w:rFonts w:cs="Times New Roman"/>
        </w:rPr>
        <w:t xml:space="preserve">and </w:t>
      </w:r>
      <w:r w:rsidRPr="003B5033">
        <w:rPr>
          <w:rFonts w:cs="Times New Roman"/>
        </w:rPr>
        <w:t xml:space="preserve">processing conditions, </w:t>
      </w:r>
      <w:r w:rsidR="007148D8" w:rsidRPr="003B5033">
        <w:rPr>
          <w:rFonts w:cs="Times New Roman"/>
        </w:rPr>
        <w:t xml:space="preserve">direct compressed </w:t>
      </w:r>
      <w:r w:rsidRPr="003B5033">
        <w:rPr>
          <w:rFonts w:cs="Times New Roman"/>
        </w:rPr>
        <w:t xml:space="preserve">immediate release caplets with </w:t>
      </w:r>
      <w:r w:rsidR="007148D8" w:rsidRPr="003B5033">
        <w:rPr>
          <w:rFonts w:cs="Times New Roman"/>
        </w:rPr>
        <w:t>desired product profiles</w:t>
      </w:r>
      <w:r w:rsidRPr="003B5033">
        <w:rPr>
          <w:rFonts w:cs="Times New Roman"/>
        </w:rPr>
        <w:t xml:space="preserve"> were successfully </w:t>
      </w:r>
      <w:r w:rsidR="007148D8" w:rsidRPr="003B5033">
        <w:rPr>
          <w:rFonts w:cs="Times New Roman"/>
        </w:rPr>
        <w:t>produced</w:t>
      </w:r>
      <w:r w:rsidRPr="003B5033">
        <w:rPr>
          <w:rFonts w:cs="Times New Roman"/>
        </w:rPr>
        <w:t xml:space="preserve">. The melt granule formulations before compression showed </w:t>
      </w:r>
      <w:r w:rsidR="00A84248" w:rsidRPr="003B5033">
        <w:rPr>
          <w:rFonts w:cs="Times New Roman"/>
        </w:rPr>
        <w:t>good</w:t>
      </w:r>
      <w:r w:rsidRPr="003B5033">
        <w:rPr>
          <w:rFonts w:cs="Times New Roman"/>
        </w:rPr>
        <w:t xml:space="preserve"> flow properties</w:t>
      </w:r>
      <w:r w:rsidR="00A84248" w:rsidRPr="003B5033">
        <w:rPr>
          <w:rFonts w:cs="Times New Roman"/>
        </w:rPr>
        <w:t>,</w:t>
      </w:r>
      <w:r w:rsidRPr="003B5033">
        <w:rPr>
          <w:rFonts w:cs="Times New Roman"/>
        </w:rPr>
        <w:t xml:space="preserve"> were larger in particle size</w:t>
      </w:r>
      <w:r w:rsidR="003F0E38" w:rsidRPr="003B5033">
        <w:rPr>
          <w:rFonts w:cs="Times New Roman"/>
        </w:rPr>
        <w:t xml:space="preserve"> than individual starting API materials</w:t>
      </w:r>
      <w:r w:rsidRPr="003B5033">
        <w:rPr>
          <w:rFonts w:cs="Times New Roman"/>
        </w:rPr>
        <w:t xml:space="preserve"> and</w:t>
      </w:r>
      <w:r w:rsidR="00977F70" w:rsidRPr="003B5033">
        <w:rPr>
          <w:rFonts w:cs="Times New Roman"/>
        </w:rPr>
        <w:t xml:space="preserve"> were</w:t>
      </w:r>
      <w:r w:rsidRPr="003B5033">
        <w:rPr>
          <w:rFonts w:cs="Times New Roman"/>
        </w:rPr>
        <w:t xml:space="preserve"> easily compressible</w:t>
      </w:r>
      <w:r w:rsidR="00134B73" w:rsidRPr="003B5033">
        <w:rPr>
          <w:rFonts w:cs="Times New Roman"/>
        </w:rPr>
        <w:t>.</w:t>
      </w:r>
      <w:r w:rsidRPr="003B5033">
        <w:rPr>
          <w:rFonts w:cs="Times New Roman"/>
        </w:rPr>
        <w:t xml:space="preserve"> </w:t>
      </w:r>
      <w:r w:rsidR="00E32235" w:rsidRPr="003B5033">
        <w:rPr>
          <w:rFonts w:cs="Times New Roman"/>
        </w:rPr>
        <w:t>M</w:t>
      </w:r>
      <w:r w:rsidRPr="003B5033">
        <w:rPr>
          <w:rFonts w:cs="Times New Roman"/>
        </w:rPr>
        <w:t xml:space="preserve">elt granulation is a suitable platform for developing </w:t>
      </w:r>
      <w:r w:rsidR="007148D8" w:rsidRPr="003B5033">
        <w:rPr>
          <w:rFonts w:cs="Times New Roman"/>
        </w:rPr>
        <w:t xml:space="preserve">direct compressible </w:t>
      </w:r>
      <w:r w:rsidRPr="003B5033">
        <w:rPr>
          <w:rFonts w:cs="Times New Roman"/>
        </w:rPr>
        <w:t>high-dose immediate release solid dosage forms</w:t>
      </w:r>
      <w:r w:rsidR="0022192C" w:rsidRPr="003B5033">
        <w:rPr>
          <w:rFonts w:cs="Times New Roman"/>
        </w:rPr>
        <w:t xml:space="preserve"> of </w:t>
      </w:r>
      <w:r w:rsidR="00D445B8">
        <w:rPr>
          <w:rFonts w:cs="Times New Roman"/>
        </w:rPr>
        <w:t>F</w:t>
      </w:r>
      <w:r w:rsidR="006904AC">
        <w:rPr>
          <w:rFonts w:cs="Times New Roman"/>
        </w:rPr>
        <w:t>DC</w:t>
      </w:r>
      <w:r w:rsidR="0022192C" w:rsidRPr="003B5033">
        <w:rPr>
          <w:rFonts w:cs="Times New Roman"/>
        </w:rPr>
        <w:t xml:space="preserve"> products</w:t>
      </w:r>
      <w:r w:rsidRPr="003B5033">
        <w:rPr>
          <w:rFonts w:cs="Times New Roman"/>
        </w:rPr>
        <w:t>.</w:t>
      </w:r>
    </w:p>
    <w:p w14:paraId="434C2855" w14:textId="77777777" w:rsidR="004D3413" w:rsidRPr="001B6846" w:rsidRDefault="004D3413" w:rsidP="002244B8">
      <w:pPr>
        <w:rPr>
          <w:rFonts w:cs="Times New Roman"/>
          <w:szCs w:val="24"/>
        </w:rPr>
      </w:pPr>
      <w:r w:rsidRPr="001B6846">
        <w:rPr>
          <w:rFonts w:cs="Times New Roman"/>
          <w:szCs w:val="24"/>
        </w:rPr>
        <w:t xml:space="preserve">             </w:t>
      </w:r>
    </w:p>
    <w:p w14:paraId="5BB425AF" w14:textId="77777777" w:rsidR="004D3413" w:rsidRPr="001B6846" w:rsidRDefault="004D3413" w:rsidP="002244B8">
      <w:pPr>
        <w:rPr>
          <w:rFonts w:cs="Times New Roman"/>
          <w:szCs w:val="24"/>
        </w:rPr>
      </w:pPr>
    </w:p>
    <w:p w14:paraId="63CAFB2C" w14:textId="1196B46F" w:rsidR="004D3413" w:rsidRDefault="004D3413" w:rsidP="002244B8">
      <w:pPr>
        <w:rPr>
          <w:rFonts w:cs="Times New Roman"/>
          <w:szCs w:val="24"/>
        </w:rPr>
      </w:pPr>
    </w:p>
    <w:p w14:paraId="5D94B78D" w14:textId="2D528307" w:rsidR="001B6846" w:rsidRDefault="001B6846" w:rsidP="002244B8">
      <w:pPr>
        <w:rPr>
          <w:rFonts w:cs="Times New Roman"/>
          <w:szCs w:val="24"/>
        </w:rPr>
      </w:pPr>
    </w:p>
    <w:p w14:paraId="51795F1C" w14:textId="77777777" w:rsidR="001B6846" w:rsidRPr="001B6846" w:rsidRDefault="001B6846" w:rsidP="002244B8">
      <w:pPr>
        <w:rPr>
          <w:rFonts w:cs="Times New Roman"/>
          <w:szCs w:val="24"/>
        </w:rPr>
      </w:pPr>
    </w:p>
    <w:p w14:paraId="7D12B80C" w14:textId="77777777" w:rsidR="004D3413" w:rsidRPr="001B6846" w:rsidRDefault="004D3413" w:rsidP="002244B8">
      <w:pPr>
        <w:rPr>
          <w:rFonts w:cs="Times New Roman"/>
          <w:szCs w:val="24"/>
        </w:rPr>
      </w:pPr>
      <w:r w:rsidRPr="001B6846">
        <w:rPr>
          <w:rFonts w:cs="Times New Roman"/>
          <w:szCs w:val="24"/>
        </w:rPr>
        <w:t>Key words:</w:t>
      </w:r>
    </w:p>
    <w:p w14:paraId="5240D682" w14:textId="2C6CD612" w:rsidR="00974F10" w:rsidRPr="001B6846" w:rsidRDefault="004D3413" w:rsidP="002244B8">
      <w:pPr>
        <w:rPr>
          <w:rFonts w:cs="Times New Roman"/>
          <w:szCs w:val="24"/>
        </w:rPr>
      </w:pPr>
      <w:r w:rsidRPr="001B6846">
        <w:rPr>
          <w:rFonts w:cs="Times New Roman"/>
          <w:szCs w:val="24"/>
        </w:rPr>
        <w:t>Fixed dose combinations, hot melt extrusion, melt granulation, continuous manufacturing, high dose compounds.</w:t>
      </w:r>
    </w:p>
    <w:p w14:paraId="665D298F" w14:textId="69CC2868" w:rsidR="0022192C" w:rsidRPr="00E53008" w:rsidRDefault="007C78D9" w:rsidP="002244B8">
      <w:pPr>
        <w:rPr>
          <w:rFonts w:ascii="Times" w:hAnsi="Times" w:cs="Times"/>
          <w:b/>
          <w:bCs/>
          <w:szCs w:val="24"/>
        </w:rPr>
      </w:pPr>
      <w:r w:rsidRPr="00E53008">
        <w:rPr>
          <w:rFonts w:ascii="Times" w:hAnsi="Times" w:cs="Times"/>
          <w:b/>
          <w:bCs/>
          <w:szCs w:val="24"/>
        </w:rPr>
        <w:lastRenderedPageBreak/>
        <w:t>Introduction</w:t>
      </w:r>
    </w:p>
    <w:p w14:paraId="2EAEF62D" w14:textId="5509BCD4" w:rsidR="00593171" w:rsidRDefault="00AE5340" w:rsidP="002244B8">
      <w:pPr>
        <w:rPr>
          <w:rFonts w:eastAsia="Calibri" w:cs="Times New Roman"/>
          <w:lang w:val="en-US"/>
        </w:rPr>
      </w:pPr>
      <w:r w:rsidRPr="00AE5340">
        <w:t>Diabetes mellitus is a metabolic disorder associated with high blood glucose levels (</w:t>
      </w:r>
      <w:r w:rsidR="00E30E2E">
        <w:t>hyperglyc</w:t>
      </w:r>
      <w:r w:rsidR="00E30E2E" w:rsidRPr="00AE5340">
        <w:t>emia</w:t>
      </w:r>
      <w:r w:rsidRPr="00AE5340">
        <w:t>) as a result of defects in insulin secretion and/or insulin action</w:t>
      </w:r>
      <w:r w:rsidR="008D6EE7">
        <w:t xml:space="preserve"> </w:t>
      </w:r>
      <w:r w:rsidR="008D6EE7" w:rsidRPr="005C64B9">
        <w:rPr>
          <w:rFonts w:eastAsia="Calibri" w:cs="Times New Roman"/>
          <w:lang w:val="en-US"/>
        </w:rPr>
        <w:fldChar w:fldCharType="begin" w:fldLock="1"/>
      </w:r>
      <w:r w:rsidR="00FB235B">
        <w:rPr>
          <w:rFonts w:eastAsia="Calibri" w:cs="Times New Roman"/>
          <w:lang w:val="en-US"/>
        </w:rPr>
        <w:instrText>ADDIN CSL_CITATION {"citationItems":[{"id":"ITEM-1","itemData":{"DOI":"10.2337/dc11-S062","ISSN":"1935-5548","PMID":"21193628","abstract":"Diabetes is a group of metabolic diseases characterized by hyperglycemia resulting from defects in insulin secretion, insulin action, or both. The chronic hyperglycemia of diabetes is associated with long-term damage, dysfunction, and failure of differentorgans, especially the eyes, kidneys, nerves, heart, and blood vessels.\n\nSeveral pathogenic processes are involved in the development of diabetes. These range from autoimmune destruction of the β-cells of the pancreas with consequent insulin deficiency to abnormalities that result in resistance to insulin action. The basis of the abnormalities in carbohydrate, fat, and protein metabolism in diabetes is deficient action of insulin on target tissues. Deficient insulin action results from inadequate insulin secretion and/or diminished tissue responses to insulin at one or more points in the complex pathways of hormone action. Impairment of insulin secretion and defects in insulin action frequently coexist in the same patient, and it is often unclear which abnormality, if either alone, is the primary cause of the hyperglycemia.\n\nSymptoms of marked hyperglycemia include polyuria, polydipsia, weight loss, sometimes with polyphagia, and blurred vision. Impairment of growth and susceptibility to certain infections may also accompany chronic hyperglycemia. Acute, life-threatening consequences of uncontrolled diabetes are hyperglycemia with ketoacidosis or the nonketotic hyperosmolar syndrome.\n\nLong-term complications of diabetes include retinopathy with potential loss of vision; nephropathy leading to renal failure; peripheral neuropathy with risk of foot ulcers, amputations, and Charcot joints; and autonomic neuropathy causing gastrointestinal, genitourinary, and cardiovascular symptoms and sexual dysfunction. Patients with diabetes have an increased incidence of atherosclerotic cardiovascular, peripheral arterial, and cerebrovascular disease. Hypertension and abnormalities of lipoprotein metabolism are often found in people with diabetes.\n\nThe vast majority of cases of diabetes fall into two broad etiopathogenetic categories (discussed in greater detail below). In one category, type 1 diabetes, the cause is an absolute deficiency of insulin secretion. …","author":[{"dropping-particle":"","family":"American Diabetes Association","given":"American Diabetes","non-dropping-particle":"","parse-names":false,"suffix":""}],"container-title":"Diabetes care","id":"ITEM-1","issue":"Supplement 1","issued":{"date-parts":[["2011","1","1"]]},"page":"S62-9","publisher":"American Diabetes Association","title":"Diagnosis and classification of diabetes mellitus.","type":"article-journal","volume":"34 Suppl 1"},"uris":["http://www.mendeley.com/documents/?uuid=fc783722-dd82-3c5c-8b86-93651bd87eba"]}],"mendeley":{"formattedCitation":"(1)","plainTextFormattedCitation":"(1)","previouslyFormattedCitation":"(1)"},"properties":{"noteIndex":0},"schema":"https://github.com/citation-style-language/schema/raw/master/csl-citation.json"}</w:instrText>
      </w:r>
      <w:r w:rsidR="008D6EE7" w:rsidRPr="005C64B9">
        <w:rPr>
          <w:rFonts w:eastAsia="Calibri" w:cs="Times New Roman"/>
          <w:lang w:val="en-US"/>
        </w:rPr>
        <w:fldChar w:fldCharType="separate"/>
      </w:r>
      <w:r w:rsidR="00020D96" w:rsidRPr="00020D96">
        <w:rPr>
          <w:rFonts w:eastAsia="Calibri" w:cs="Times New Roman"/>
          <w:noProof/>
          <w:lang w:val="en-US"/>
        </w:rPr>
        <w:t>(1)</w:t>
      </w:r>
      <w:r w:rsidR="008D6EE7" w:rsidRPr="005C64B9">
        <w:rPr>
          <w:rFonts w:eastAsia="Calibri" w:cs="Times New Roman"/>
          <w:lang w:val="en-US"/>
        </w:rPr>
        <w:fldChar w:fldCharType="end"/>
      </w:r>
      <w:r w:rsidRPr="00AE5340">
        <w:t xml:space="preserve">. Glucose is vital in maintaining a person’s health as it is the main energy source for cells that make up muscles and tissues. It is also the brain’s main fuel source </w:t>
      </w:r>
      <w:r w:rsidR="00C27DDD" w:rsidRPr="005C64B9">
        <w:rPr>
          <w:rFonts w:eastAsia="Calibri" w:cs="Times New Roman"/>
          <w:lang w:val="en-US"/>
        </w:rPr>
        <w:fldChar w:fldCharType="begin" w:fldLock="1"/>
      </w:r>
      <w:r w:rsidR="00FB235B">
        <w:rPr>
          <w:rFonts w:eastAsia="Calibri" w:cs="Times New Roman"/>
          <w:lang w:val="en-US"/>
        </w:rPr>
        <w:instrText>ADDIN CSL_CITATION {"citationItems":[{"id":"ITEM-1","itemData":{"URL":"https://www.mayoclinic.org/diseases-conditions/diabetes/symptoms-causes/syc-20371444","accessed":{"date-parts":[["2018","3","21"]]},"author":[{"dropping-particle":"","family":"Mayo Clinic","given":"","non-dropping-particle":"","parse-names":false,"suffix":""}],"id":"ITEM-1","issued":{"date-parts":[["2018"]]},"title":"Diabetes - Symptoms and causes - Mayo Clinic","type":"webpage"},"uris":["http://www.mendeley.com/documents/?uuid=9a264131-39be-3422-b208-3c3431fda091"]}],"mendeley":{"formattedCitation":"(2)","plainTextFormattedCitation":"(2)","previouslyFormattedCitation":"(2)"},"properties":{"noteIndex":0},"schema":"https://github.com/citation-style-language/schema/raw/master/csl-citation.json"}</w:instrText>
      </w:r>
      <w:r w:rsidR="00C27DDD" w:rsidRPr="005C64B9">
        <w:rPr>
          <w:rFonts w:eastAsia="Calibri" w:cs="Times New Roman"/>
          <w:lang w:val="en-US"/>
        </w:rPr>
        <w:fldChar w:fldCharType="separate"/>
      </w:r>
      <w:r w:rsidR="00020D96" w:rsidRPr="00020D96">
        <w:rPr>
          <w:rFonts w:eastAsia="Calibri" w:cs="Times New Roman"/>
          <w:noProof/>
          <w:lang w:val="en-US"/>
        </w:rPr>
        <w:t>(2)</w:t>
      </w:r>
      <w:r w:rsidR="00C27DDD" w:rsidRPr="005C64B9">
        <w:rPr>
          <w:rFonts w:eastAsia="Calibri" w:cs="Times New Roman"/>
          <w:lang w:val="en-US"/>
        </w:rPr>
        <w:fldChar w:fldCharType="end"/>
      </w:r>
      <w:r w:rsidRPr="00AE5340">
        <w:t>. However, excess amounts of glucose in the bloodstream can result in severe medical complications. There are two main chronic forms of diabetes, type 1 and type 2, which can generally be categorized by their respective pathogenesis, clinical presentation and treatment requirements</w:t>
      </w:r>
      <w:r w:rsidR="009B2703">
        <w:t>.</w:t>
      </w:r>
      <w:r w:rsidR="007A2844" w:rsidRPr="007A2844">
        <w:rPr>
          <w:rFonts w:eastAsia="Calibri" w:cs="Times New Roman"/>
          <w:lang w:val="en-US"/>
        </w:rPr>
        <w:t xml:space="preserve"> </w:t>
      </w:r>
      <w:r w:rsidR="00F415E4" w:rsidRPr="00F415E4">
        <w:rPr>
          <w:rFonts w:eastAsia="Calibri" w:cs="Times New Roman"/>
          <w:lang w:val="en-US"/>
        </w:rPr>
        <w:t>Type 2 diabetes mellitus accounts for about 90</w:t>
      </w:r>
      <w:r w:rsidR="005C402A">
        <w:rPr>
          <w:rFonts w:eastAsia="Calibri" w:cs="Times New Roman"/>
          <w:lang w:val="en-US"/>
        </w:rPr>
        <w:t xml:space="preserve"> </w:t>
      </w:r>
      <w:r w:rsidR="00F415E4" w:rsidRPr="00F415E4">
        <w:rPr>
          <w:rFonts w:eastAsia="Calibri" w:cs="Times New Roman"/>
          <w:lang w:val="en-US"/>
        </w:rPr>
        <w:t>% of all diabetes cases and is characterised by insulin resistance at target cells and a relative rather than absolute deficiency in insulin activity which is associated with type 1 diabetes mellitus</w:t>
      </w:r>
      <w:r w:rsidR="00F41707">
        <w:rPr>
          <w:rFonts w:eastAsia="Calibri" w:cs="Times New Roman"/>
          <w:lang w:val="en-US"/>
        </w:rPr>
        <w:t xml:space="preserve"> </w:t>
      </w:r>
      <w:r w:rsidR="00F41707" w:rsidRPr="005C64B9">
        <w:rPr>
          <w:rFonts w:eastAsia="Calibri" w:cs="Times New Roman"/>
          <w:lang w:val="en-US"/>
        </w:rPr>
        <w:fldChar w:fldCharType="begin" w:fldLock="1"/>
      </w:r>
      <w:r w:rsidR="00FB235B">
        <w:rPr>
          <w:rFonts w:eastAsia="Calibri" w:cs="Times New Roman"/>
          <w:lang w:val="en-US"/>
        </w:rPr>
        <w:instrText>ADDIN CSL_CITATION {"citationItems":[{"id":"ITEM-1","itemData":{"DOI":"doi:10.1038/414782a","author":[{"dropping-particle":"","family":"Zimmet","given":"Paul","non-dropping-particle":"","parse-names":false,"suffix":""},{"dropping-particle":"","family":"Alberti","given":"K. G. M. M.","non-dropping-particle":"","parse-names":false,"suffix":""},{"dropping-particle":"","family":"Shaw","given":"Jonathan","non-dropping-particle":"","parse-names":false,"suffix":""}],"container-title":"Nature","id":"ITEM-1","issued":{"date-parts":[["2001"]]},"page":"782-787","title":"Global and societal implications of the diabetes epidemic","type":"article-journal","volume":"414"},"uris":["http://www.mendeley.com/documents/?uuid=3ee63f1d-bdba-3834-9c54-6123ab23d538"]}],"mendeley":{"formattedCitation":"(3)","plainTextFormattedCitation":"(3)","previouslyFormattedCitation":"(3)"},"properties":{"noteIndex":0},"schema":"https://github.com/citation-style-language/schema/raw/master/csl-citation.json"}</w:instrText>
      </w:r>
      <w:r w:rsidR="00F41707" w:rsidRPr="005C64B9">
        <w:rPr>
          <w:rFonts w:eastAsia="Calibri" w:cs="Times New Roman"/>
          <w:lang w:val="en-US"/>
        </w:rPr>
        <w:fldChar w:fldCharType="separate"/>
      </w:r>
      <w:r w:rsidR="00020D96" w:rsidRPr="00020D96">
        <w:rPr>
          <w:rFonts w:eastAsia="Calibri" w:cs="Times New Roman"/>
          <w:noProof/>
          <w:lang w:val="en-US"/>
        </w:rPr>
        <w:t>(3)</w:t>
      </w:r>
      <w:r w:rsidR="00F41707" w:rsidRPr="005C64B9">
        <w:rPr>
          <w:rFonts w:eastAsia="Calibri" w:cs="Times New Roman"/>
          <w:lang w:val="en-US"/>
        </w:rPr>
        <w:fldChar w:fldCharType="end"/>
      </w:r>
      <w:r w:rsidR="00F415E4" w:rsidRPr="00F415E4">
        <w:rPr>
          <w:rFonts w:eastAsia="Calibri" w:cs="Times New Roman"/>
          <w:lang w:val="en-US"/>
        </w:rPr>
        <w:t>.</w:t>
      </w:r>
      <w:r w:rsidR="00E91834">
        <w:rPr>
          <w:rFonts w:eastAsia="Calibri" w:cs="Times New Roman"/>
          <w:lang w:val="en-US"/>
        </w:rPr>
        <w:t xml:space="preserve"> </w:t>
      </w:r>
      <w:r w:rsidR="00E91834" w:rsidRPr="00E91834">
        <w:rPr>
          <w:rFonts w:eastAsia="Calibri" w:cs="Times New Roman"/>
          <w:lang w:val="en-US"/>
        </w:rPr>
        <w:t>Metformin</w:t>
      </w:r>
      <w:r w:rsidR="003B196B">
        <w:rPr>
          <w:rFonts w:eastAsia="Calibri" w:cs="Times New Roman"/>
          <w:lang w:val="en-US"/>
        </w:rPr>
        <w:t xml:space="preserve"> hydrochloride</w:t>
      </w:r>
      <w:r w:rsidR="00E91834" w:rsidRPr="00E91834">
        <w:rPr>
          <w:rFonts w:eastAsia="Calibri" w:cs="Times New Roman"/>
          <w:lang w:val="en-US"/>
        </w:rPr>
        <w:t xml:space="preserve"> (MET) is a biguanide with antihyperglycemic effects, lowering both basal and postprandial plasma glucose. It is the most widely used oral antidiabetic agent</w:t>
      </w:r>
      <w:r w:rsidR="003530A4">
        <w:rPr>
          <w:rFonts w:eastAsia="Calibri" w:cs="Times New Roman"/>
          <w:lang w:val="en-US"/>
        </w:rPr>
        <w:t xml:space="preserve"> in type </w:t>
      </w:r>
      <w:r w:rsidR="00B05034">
        <w:rPr>
          <w:rFonts w:eastAsia="Calibri" w:cs="Times New Roman"/>
          <w:lang w:val="en-US"/>
        </w:rPr>
        <w:t>2 diabetes</w:t>
      </w:r>
      <w:r w:rsidR="00E91834" w:rsidRPr="00E91834">
        <w:rPr>
          <w:rFonts w:eastAsia="Calibri" w:cs="Times New Roman"/>
          <w:lang w:val="en-US"/>
        </w:rPr>
        <w:t xml:space="preserve"> and has been marketed since 1957. The dose of MET may vary from 500 mg once daily up to 1000 mg three times daily depending on response. </w:t>
      </w:r>
      <w:r w:rsidR="00807916">
        <w:rPr>
          <w:rFonts w:eastAsia="Calibri" w:cs="Times New Roman"/>
          <w:lang w:val="en-US"/>
        </w:rPr>
        <w:t xml:space="preserve">MET </w:t>
      </w:r>
      <w:r w:rsidR="00167E7E">
        <w:rPr>
          <w:rFonts w:eastAsia="Calibri" w:cs="Times New Roman"/>
          <w:lang w:val="en-US"/>
        </w:rPr>
        <w:t>exerts its effect by</w:t>
      </w:r>
      <w:r w:rsidR="00861B34">
        <w:rPr>
          <w:rFonts w:eastAsia="Calibri" w:cs="Times New Roman"/>
          <w:lang w:val="en-US"/>
        </w:rPr>
        <w:t xml:space="preserve"> </w:t>
      </w:r>
      <w:r w:rsidR="00861B34" w:rsidRPr="00861B34">
        <w:rPr>
          <w:rFonts w:eastAsia="Calibri" w:cs="Times New Roman"/>
          <w:lang w:val="en-US"/>
        </w:rPr>
        <w:t>reduction of hepatic glucose production by inhibiting gluconeogenesis and glycogenolysis</w:t>
      </w:r>
      <w:r w:rsidR="00861B34">
        <w:rPr>
          <w:rFonts w:eastAsia="Calibri" w:cs="Times New Roman"/>
          <w:lang w:val="en-US"/>
        </w:rPr>
        <w:t>, increasing insulin s</w:t>
      </w:r>
      <w:r w:rsidR="00E4715D">
        <w:rPr>
          <w:rFonts w:eastAsia="Calibri" w:cs="Times New Roman"/>
          <w:lang w:val="en-US"/>
        </w:rPr>
        <w:t>ensitivity in muscle and delay</w:t>
      </w:r>
      <w:r w:rsidR="00B05034">
        <w:rPr>
          <w:rFonts w:eastAsia="Calibri" w:cs="Times New Roman"/>
          <w:lang w:val="en-US"/>
        </w:rPr>
        <w:t>ing</w:t>
      </w:r>
      <w:r w:rsidR="00E4715D">
        <w:rPr>
          <w:rFonts w:eastAsia="Calibri" w:cs="Times New Roman"/>
          <w:lang w:val="en-US"/>
        </w:rPr>
        <w:t xml:space="preserve"> intestinal glucose absorption</w:t>
      </w:r>
      <w:r w:rsidR="002C0BA3" w:rsidRPr="002C0BA3">
        <w:rPr>
          <w:rFonts w:eastAsia="Calibri" w:cs="Times New Roman"/>
          <w:lang w:val="en-US"/>
        </w:rPr>
        <w:t xml:space="preserve"> </w:t>
      </w:r>
      <w:r w:rsidR="002C0BA3" w:rsidRPr="005C64B9">
        <w:rPr>
          <w:rFonts w:eastAsia="Calibri" w:cs="Times New Roman"/>
          <w:lang w:val="en-US"/>
        </w:rPr>
        <w:fldChar w:fldCharType="begin" w:fldLock="1"/>
      </w:r>
      <w:r w:rsidR="00FB235B">
        <w:rPr>
          <w:rFonts w:eastAsia="Calibri" w:cs="Times New Roman"/>
          <w:lang w:val="en-US"/>
        </w:rPr>
        <w:instrText>ADDIN CSL_CITATION {"citationItems":[{"id":"ITEM-1","itemData":{"URL":"http://www.medicines.ie/medicine/3578/SPC/Glucophage+Film-Coated+Tablets/#PHARMACODYNAMIC_PROPS","accessed":{"date-parts":[["2018","3","26"]]},"author":[{"dropping-particle":"","family":"Merck","given":"","non-dropping-particle":"","parse-names":false,"suffix":""}],"id":"ITEM-1","issued":{"date-parts":[["2016"]]},"title":"Glucophage Film-Coated Tablets - Summary of Product Characteristics (SPC)","type":"webpage"},"uris":["http://www.mendeley.com/documents/?uuid=7b40e0d8-b15d-36a2-bd1b-704a46c2a29a"]}],"mendeley":{"formattedCitation":"(4)","plainTextFormattedCitation":"(4)","previouslyFormattedCitation":"(4)"},"properties":{"noteIndex":0},"schema":"https://github.com/citation-style-language/schema/raw/master/csl-citation.json"}</w:instrText>
      </w:r>
      <w:r w:rsidR="002C0BA3" w:rsidRPr="005C64B9">
        <w:rPr>
          <w:rFonts w:eastAsia="Calibri" w:cs="Times New Roman"/>
          <w:lang w:val="en-US"/>
        </w:rPr>
        <w:fldChar w:fldCharType="separate"/>
      </w:r>
      <w:r w:rsidR="00020D96" w:rsidRPr="00020D96">
        <w:rPr>
          <w:rFonts w:eastAsia="Calibri" w:cs="Times New Roman"/>
          <w:noProof/>
          <w:lang w:val="en-US"/>
        </w:rPr>
        <w:t>(4)</w:t>
      </w:r>
      <w:r w:rsidR="002C0BA3" w:rsidRPr="005C64B9">
        <w:rPr>
          <w:rFonts w:eastAsia="Calibri" w:cs="Times New Roman"/>
          <w:lang w:val="en-US"/>
        </w:rPr>
        <w:fldChar w:fldCharType="end"/>
      </w:r>
      <w:r w:rsidR="000E337D">
        <w:rPr>
          <w:rFonts w:eastAsia="Calibri" w:cs="Times New Roman"/>
          <w:lang w:val="en-US"/>
        </w:rPr>
        <w:t>.</w:t>
      </w:r>
      <w:r w:rsidR="0012199A">
        <w:rPr>
          <w:rFonts w:eastAsia="Calibri" w:cs="Times New Roman"/>
          <w:lang w:val="en-US"/>
        </w:rPr>
        <w:t xml:space="preserve"> </w:t>
      </w:r>
      <w:r w:rsidR="00F76777">
        <w:rPr>
          <w:rFonts w:eastAsia="Calibri" w:cs="Times New Roman"/>
          <w:lang w:val="en-US"/>
        </w:rPr>
        <w:t xml:space="preserve">MET </w:t>
      </w:r>
      <w:r w:rsidR="00F77A95" w:rsidRPr="00F77A95">
        <w:rPr>
          <w:rFonts w:eastAsia="Calibri" w:cs="Times New Roman"/>
          <w:lang w:val="en-US"/>
        </w:rPr>
        <w:t>is classified according to the Biopharmaceutics Classification System (BCS) as a BCS class III drug, which means that it shows high solubility and poor permeability characteristics</w:t>
      </w:r>
      <w:r w:rsidR="00F77A95">
        <w:rPr>
          <w:rFonts w:eastAsia="Calibri" w:cs="Times New Roman"/>
          <w:lang w:val="en-US"/>
        </w:rPr>
        <w:t xml:space="preserve">. </w:t>
      </w:r>
      <w:r w:rsidR="00327794">
        <w:rPr>
          <w:rFonts w:eastAsia="Calibri" w:cs="Times New Roman"/>
          <w:lang w:val="en-US"/>
        </w:rPr>
        <w:t xml:space="preserve">When MET monotherapy is unsuccessful at achieving </w:t>
      </w:r>
      <w:r w:rsidR="00C91EBE">
        <w:rPr>
          <w:rFonts w:eastAsia="Calibri" w:cs="Times New Roman"/>
          <w:lang w:val="en-US"/>
        </w:rPr>
        <w:t xml:space="preserve">satisfactory blood glucose control, a second anti-diabetic agent is often </w:t>
      </w:r>
      <w:r w:rsidR="00D67D75">
        <w:rPr>
          <w:rFonts w:eastAsia="Calibri" w:cs="Times New Roman"/>
          <w:lang w:val="en-US"/>
        </w:rPr>
        <w:t xml:space="preserve">added to a </w:t>
      </w:r>
      <w:r w:rsidR="00EE2963">
        <w:rPr>
          <w:rFonts w:eastAsia="Calibri" w:cs="Times New Roman"/>
          <w:lang w:val="en-US"/>
        </w:rPr>
        <w:t>patient’s</w:t>
      </w:r>
      <w:r w:rsidR="00D67D75">
        <w:rPr>
          <w:rFonts w:eastAsia="Calibri" w:cs="Times New Roman"/>
          <w:lang w:val="en-US"/>
        </w:rPr>
        <w:t xml:space="preserve"> medication regimen.</w:t>
      </w:r>
      <w:r w:rsidR="000E337D">
        <w:rPr>
          <w:rFonts w:eastAsia="Calibri" w:cs="Times New Roman"/>
          <w:lang w:val="en-US"/>
        </w:rPr>
        <w:t xml:space="preserve"> </w:t>
      </w:r>
      <w:r w:rsidR="00AD6DA1">
        <w:rPr>
          <w:rFonts w:eastAsia="Calibri" w:cs="Times New Roman"/>
          <w:lang w:val="en-US"/>
        </w:rPr>
        <w:t xml:space="preserve">Sitagliptin phosphate (SIT) is a </w:t>
      </w:r>
      <w:r w:rsidR="002208BE" w:rsidRPr="002208BE">
        <w:rPr>
          <w:rFonts w:eastAsia="Calibri" w:cs="Times New Roman"/>
          <w:lang w:val="en-US"/>
        </w:rPr>
        <w:t>dipeptidyl peptidase-4 (DPP-4)</w:t>
      </w:r>
      <w:r w:rsidR="002208BE">
        <w:rPr>
          <w:rFonts w:eastAsia="Calibri" w:cs="Times New Roman"/>
          <w:lang w:val="en-US"/>
        </w:rPr>
        <w:t xml:space="preserve"> i</w:t>
      </w:r>
      <w:r w:rsidR="005827BD">
        <w:rPr>
          <w:rFonts w:eastAsia="Calibri" w:cs="Times New Roman"/>
          <w:lang w:val="en-US"/>
        </w:rPr>
        <w:t xml:space="preserve">nhibitor and works to control </w:t>
      </w:r>
      <w:r w:rsidR="00D27BE6">
        <w:rPr>
          <w:rFonts w:eastAsia="Calibri" w:cs="Times New Roman"/>
          <w:lang w:val="en-US"/>
        </w:rPr>
        <w:t xml:space="preserve">blood glucose levels by preventing the degradation of </w:t>
      </w:r>
      <w:r w:rsidR="00B8195D">
        <w:rPr>
          <w:rFonts w:eastAsia="Calibri" w:cs="Times New Roman"/>
          <w:lang w:val="en-US"/>
        </w:rPr>
        <w:t>g</w:t>
      </w:r>
      <w:r w:rsidR="00F841F0" w:rsidRPr="005C64B9">
        <w:rPr>
          <w:rFonts w:eastAsia="Calibri" w:cs="Times New Roman"/>
          <w:lang w:val="en-US"/>
        </w:rPr>
        <w:t>lucagon like peptide-1 agonist (GLP-1)</w:t>
      </w:r>
      <w:r w:rsidR="00B8195D">
        <w:rPr>
          <w:rFonts w:eastAsia="Calibri" w:cs="Times New Roman"/>
          <w:lang w:val="en-US"/>
        </w:rPr>
        <w:t xml:space="preserve">. </w:t>
      </w:r>
      <w:r w:rsidR="006A7230">
        <w:rPr>
          <w:rFonts w:eastAsia="Calibri" w:cs="Times New Roman"/>
          <w:lang w:val="en-US"/>
        </w:rPr>
        <w:t>It is</w:t>
      </w:r>
      <w:r w:rsidR="00DB5C00">
        <w:rPr>
          <w:rFonts w:eastAsia="Calibri" w:cs="Times New Roman"/>
          <w:lang w:val="en-US"/>
        </w:rPr>
        <w:t xml:space="preserve"> also</w:t>
      </w:r>
      <w:r w:rsidR="006A7230">
        <w:rPr>
          <w:rFonts w:eastAsia="Calibri" w:cs="Times New Roman"/>
          <w:lang w:val="en-US"/>
        </w:rPr>
        <w:t xml:space="preserve"> classified as a BCS class I</w:t>
      </w:r>
      <w:r w:rsidR="003A6675">
        <w:rPr>
          <w:rFonts w:eastAsia="Calibri" w:cs="Times New Roman"/>
          <w:lang w:val="en-US"/>
        </w:rPr>
        <w:t>II</w:t>
      </w:r>
      <w:r w:rsidR="006A7230">
        <w:rPr>
          <w:rFonts w:eastAsia="Calibri" w:cs="Times New Roman"/>
          <w:lang w:val="en-US"/>
        </w:rPr>
        <w:t xml:space="preserve"> </w:t>
      </w:r>
      <w:r w:rsidR="001A0E63">
        <w:rPr>
          <w:rFonts w:eastAsia="Calibri" w:cs="Times New Roman"/>
          <w:lang w:val="en-US"/>
        </w:rPr>
        <w:t xml:space="preserve">drug. </w:t>
      </w:r>
      <w:r w:rsidR="00B8195D">
        <w:rPr>
          <w:rFonts w:eastAsia="Calibri" w:cs="Times New Roman"/>
          <w:lang w:val="en-US"/>
        </w:rPr>
        <w:t xml:space="preserve">GLP-1 is degraded by </w:t>
      </w:r>
      <w:r w:rsidR="003C4590">
        <w:rPr>
          <w:rFonts w:eastAsia="Calibri" w:cs="Times New Roman"/>
          <w:lang w:val="en-US"/>
        </w:rPr>
        <w:t>DPP-4 and</w:t>
      </w:r>
      <w:r w:rsidR="00F841F0" w:rsidRPr="005C64B9">
        <w:rPr>
          <w:rFonts w:eastAsia="Calibri" w:cs="Times New Roman"/>
          <w:lang w:val="en-US"/>
        </w:rPr>
        <w:t xml:space="preserve"> is one of two incretin hormones that stimulate insulin release and inhibit glucagon secretion, </w:t>
      </w:r>
      <w:r w:rsidR="00807916" w:rsidRPr="005C64B9">
        <w:rPr>
          <w:rFonts w:eastAsia="Calibri" w:cs="Times New Roman"/>
          <w:lang w:val="en-US"/>
        </w:rPr>
        <w:t>suppress</w:t>
      </w:r>
      <w:r w:rsidR="00807916">
        <w:rPr>
          <w:rFonts w:eastAsia="Calibri" w:cs="Times New Roman"/>
          <w:lang w:val="en-US"/>
        </w:rPr>
        <w:t>ing</w:t>
      </w:r>
      <w:r w:rsidR="00807916" w:rsidRPr="005C64B9">
        <w:rPr>
          <w:rFonts w:eastAsia="Calibri" w:cs="Times New Roman"/>
          <w:lang w:val="en-US"/>
        </w:rPr>
        <w:t xml:space="preserve"> </w:t>
      </w:r>
      <w:r w:rsidR="00F841F0" w:rsidRPr="005C64B9">
        <w:rPr>
          <w:rFonts w:eastAsia="Calibri" w:cs="Times New Roman"/>
          <w:lang w:val="en-US"/>
        </w:rPr>
        <w:t xml:space="preserve">gastric emptying, and </w:t>
      </w:r>
      <w:r w:rsidR="00807916" w:rsidRPr="005C64B9">
        <w:rPr>
          <w:rFonts w:eastAsia="Calibri" w:cs="Times New Roman"/>
          <w:lang w:val="en-US"/>
        </w:rPr>
        <w:t>reduc</w:t>
      </w:r>
      <w:r w:rsidR="00807916">
        <w:rPr>
          <w:rFonts w:eastAsia="Calibri" w:cs="Times New Roman"/>
          <w:lang w:val="en-US"/>
        </w:rPr>
        <w:t>ing</w:t>
      </w:r>
      <w:r w:rsidR="00807916" w:rsidRPr="005C64B9">
        <w:rPr>
          <w:rFonts w:eastAsia="Calibri" w:cs="Times New Roman"/>
          <w:lang w:val="en-US"/>
        </w:rPr>
        <w:t xml:space="preserve"> </w:t>
      </w:r>
      <w:r w:rsidR="00F841F0" w:rsidRPr="005C64B9">
        <w:rPr>
          <w:rFonts w:eastAsia="Calibri" w:cs="Times New Roman"/>
          <w:lang w:val="en-US"/>
        </w:rPr>
        <w:t xml:space="preserve">appetite and food intake </w:t>
      </w:r>
      <w:r w:rsidR="00F841F0" w:rsidRPr="005C64B9">
        <w:rPr>
          <w:rFonts w:eastAsia="Calibri" w:cs="Times New Roman"/>
          <w:lang w:val="en-US"/>
        </w:rPr>
        <w:fldChar w:fldCharType="begin" w:fldLock="1"/>
      </w:r>
      <w:r w:rsidR="00FB235B">
        <w:rPr>
          <w:rFonts w:eastAsia="Calibri" w:cs="Times New Roman"/>
          <w:lang w:val="en-US"/>
        </w:rPr>
        <w:instrText>ADDIN CSL_CITATION {"citationItems":[{"id":"ITEM-1","itemData":{"DOI":"10.1016/S0140-6736(06)69705-5","ISSN":"0140-6736","abstract":"Glucagon-like peptide 1 (GLP-1) is a gut-derived incretin hormone that stimulates insulin and suppresses glucagon secretion, inhibits gastric emptying, and reduces appetite and food intake. Therapeutic approaches for enhancing incretin action include degradation-resistant GLP-1 receptor agonists (incretin mimetics), and inhibitors of dipeptidyl peptidase-4 (DPP-4) activity (incretin enhancers). Clinical trials with the incretin mimetic exenatide (two injections per day or long-acting release form once weekly) and liraglutide (one injection per day) show reductions in fasting and postprandial glucose concentrations, and haemoglobin A1c (HbA1c) (1–2%), associated with weight loss (2–5 kg). The most common adverse event associated with GLP-1 receptor agonists is mild nausea, which lessens over time. Orally administered DPP-4 inhibitors, such as sitagliptin and vildagliptin, reduce HbA1c by 0·5–1·0%, with few adverse events and no weight gain. These new classes of antidiabetic agents, and incretin mimetics and enhancers, also expand β-cell mass in preclinical studies. However, long-term clinical studies are needed to determine the benefits of targeting the incretin axis for the treatment of type 2 diabetes.","author":[{"dropping-particle":"","family":"Drucker","given":"Daniel J","non-dropping-particle":"","parse-names":false,"suffix":""},{"dropping-particle":"","family":"Nauck","given":"Michael A","non-dropping-particle":"","parse-names":false,"suffix":""}],"container-title":"The Lancet","id":"ITEM-1","issue":"9548","issued":{"date-parts":[["2006","11","11"]]},"page":"1696-1705","publisher":"Elsevier","title":"The incretin system: glucagon-like peptide-1 receptor agonists and dipeptidyl peptidase-4 inhibitors in type 2 diabetes","type":"article-journal","volume":"368"},"uris":["http://www.mendeley.com/documents/?uuid=665799d0-37fb-3015-a13f-7624991ceca9"]}],"mendeley":{"formattedCitation":"(5)","plainTextFormattedCitation":"(5)","previouslyFormattedCitation":"(5)"},"properties":{"noteIndex":0},"schema":"https://github.com/citation-style-language/schema/raw/master/csl-citation.json"}</w:instrText>
      </w:r>
      <w:r w:rsidR="00F841F0" w:rsidRPr="005C64B9">
        <w:rPr>
          <w:rFonts w:eastAsia="Calibri" w:cs="Times New Roman"/>
          <w:lang w:val="en-US"/>
        </w:rPr>
        <w:fldChar w:fldCharType="separate"/>
      </w:r>
      <w:r w:rsidR="00020D96" w:rsidRPr="00020D96">
        <w:rPr>
          <w:rFonts w:eastAsia="Calibri" w:cs="Times New Roman"/>
          <w:noProof/>
          <w:lang w:val="en-US"/>
        </w:rPr>
        <w:t>(5)</w:t>
      </w:r>
      <w:r w:rsidR="00F841F0" w:rsidRPr="005C64B9">
        <w:rPr>
          <w:rFonts w:eastAsia="Calibri" w:cs="Times New Roman"/>
          <w:lang w:val="en-US"/>
        </w:rPr>
        <w:fldChar w:fldCharType="end"/>
      </w:r>
      <w:r w:rsidR="000F5EB5">
        <w:rPr>
          <w:rFonts w:eastAsia="Calibri" w:cs="Times New Roman"/>
          <w:lang w:val="en-US"/>
        </w:rPr>
        <w:t>.</w:t>
      </w:r>
      <w:r w:rsidR="000E1ED0">
        <w:rPr>
          <w:rFonts w:eastAsia="Calibri" w:cs="Times New Roman"/>
          <w:lang w:val="en-US"/>
        </w:rPr>
        <w:t xml:space="preserve"> </w:t>
      </w:r>
      <w:r w:rsidR="000E1ED0" w:rsidRPr="005C64B9">
        <w:rPr>
          <w:rFonts w:eastAsia="Calibri" w:cs="Times New Roman"/>
          <w:lang w:val="en-US"/>
        </w:rPr>
        <w:t>DPP-4</w:t>
      </w:r>
      <w:r w:rsidR="00346139">
        <w:rPr>
          <w:rFonts w:eastAsia="Calibri" w:cs="Times New Roman"/>
          <w:lang w:val="en-US"/>
        </w:rPr>
        <w:t xml:space="preserve"> inhibitors</w:t>
      </w:r>
      <w:r w:rsidR="000E1ED0" w:rsidRPr="005C64B9">
        <w:rPr>
          <w:rFonts w:eastAsia="Calibri" w:cs="Times New Roman"/>
          <w:lang w:val="en-US"/>
        </w:rPr>
        <w:t xml:space="preserve"> preserve β-cell mass through stimulation of cell proliferation, </w:t>
      </w:r>
      <w:r w:rsidR="00807916" w:rsidRPr="005C64B9">
        <w:rPr>
          <w:rFonts w:eastAsia="Calibri" w:cs="Times New Roman"/>
          <w:lang w:val="en-US"/>
        </w:rPr>
        <w:t>stimulat</w:t>
      </w:r>
      <w:r w:rsidR="00807916">
        <w:rPr>
          <w:rFonts w:eastAsia="Calibri" w:cs="Times New Roman"/>
          <w:lang w:val="en-US"/>
        </w:rPr>
        <w:t>ing</w:t>
      </w:r>
      <w:r w:rsidR="00807916" w:rsidRPr="005C64B9">
        <w:rPr>
          <w:rFonts w:eastAsia="Calibri" w:cs="Times New Roman"/>
          <w:lang w:val="en-US"/>
        </w:rPr>
        <w:t xml:space="preserve"> </w:t>
      </w:r>
      <w:r w:rsidR="000E1ED0" w:rsidRPr="005C64B9">
        <w:rPr>
          <w:rFonts w:eastAsia="Calibri" w:cs="Times New Roman"/>
          <w:lang w:val="en-US"/>
        </w:rPr>
        <w:t>insulin secretion and inhibit</w:t>
      </w:r>
      <w:r w:rsidR="00807916">
        <w:rPr>
          <w:rFonts w:eastAsia="Calibri" w:cs="Times New Roman"/>
          <w:lang w:val="en-US"/>
        </w:rPr>
        <w:t>ing</w:t>
      </w:r>
      <w:r w:rsidR="000E1ED0" w:rsidRPr="005C64B9">
        <w:rPr>
          <w:rFonts w:eastAsia="Calibri" w:cs="Times New Roman"/>
          <w:lang w:val="en-US"/>
        </w:rPr>
        <w:t xml:space="preserve"> glucagon secretion </w:t>
      </w:r>
      <w:r w:rsidR="000E1ED0" w:rsidRPr="005C64B9">
        <w:rPr>
          <w:rFonts w:eastAsia="Calibri" w:cs="Times New Roman"/>
          <w:lang w:val="en-US"/>
        </w:rPr>
        <w:fldChar w:fldCharType="begin" w:fldLock="1"/>
      </w:r>
      <w:r w:rsidR="00FB235B">
        <w:rPr>
          <w:rFonts w:eastAsia="Calibri" w:cs="Times New Roman"/>
          <w:lang w:val="en-US"/>
        </w:rPr>
        <w:instrText>ADDIN CSL_CITATION {"citationItems":[{"id":"ITEM-1","itemData":{"DOI":"10.1016/S0140-6736(06)69705-5","ISSN":"0140-6736","abstract":"Glucagon-like peptide 1 (GLP-1) is a gut-derived incretin hormone that stimulates insulin and suppresses glucagon secretion, inhibits gastric emptying, and reduces appetite and food intake. Therapeutic approaches for enhancing incretin action include degradation-resistant GLP-1 receptor agonists (incretin mimetics), and inhibitors of dipeptidyl peptidase-4 (DPP-4) activity (incretin enhancers). Clinical trials with the incretin mimetic exenatide (two injections per day or long-acting release form once weekly) and liraglutide (one injection per day) show reductions in fasting and postprandial glucose concentrations, and haemoglobin A1c (HbA1c) (1–2%), associated with weight loss (2–5 kg). The most common adverse event associated with GLP-1 receptor agonists is mild nausea, which lessens over time. Orally administered DPP-4 inhibitors, such as sitagliptin and vildagliptin, reduce HbA1c by 0·5–1·0%, with few adverse events and no weight gain. These new classes of antidiabetic agents, and incretin mimetics and enhancers, also expand β-cell mass in preclinical studies. However, long-term clinical studies are needed to determine the benefits of targeting the incretin axis for the treatment of type 2 diabetes.","author":[{"dropping-particle":"","family":"Drucker","given":"Daniel J","non-dropping-particle":"","parse-names":false,"suffix":""},{"dropping-particle":"","family":"Nauck","given":"Michael A","non-dropping-particle":"","parse-names":false,"suffix":""}],"container-title":"The Lancet","id":"ITEM-1","issue":"9548","issued":{"date-parts":[["2006","11","11"]]},"page":"1696-1705","publisher":"Elsevier","title":"The incretin system: glucagon-like peptide-1 receptor agonists and dipeptidyl peptidase-4 inhibitors in type 2 diabetes","type":"article-journal","volume":"368"},"uris":["http://www.mendeley.com/documents/?uuid=665799d0-37fb-3015-a13f-7624991ceca9"]}],"mendeley":{"formattedCitation":"(5)","plainTextFormattedCitation":"(5)","previouslyFormattedCitation":"(5)"},"properties":{"noteIndex":0},"schema":"https://github.com/citation-style-language/schema/raw/master/csl-citation.json"}</w:instrText>
      </w:r>
      <w:r w:rsidR="000E1ED0" w:rsidRPr="005C64B9">
        <w:rPr>
          <w:rFonts w:eastAsia="Calibri" w:cs="Times New Roman"/>
          <w:lang w:val="en-US"/>
        </w:rPr>
        <w:fldChar w:fldCharType="separate"/>
      </w:r>
      <w:r w:rsidR="00020D96" w:rsidRPr="00020D96">
        <w:rPr>
          <w:rFonts w:eastAsia="Calibri" w:cs="Times New Roman"/>
          <w:noProof/>
          <w:lang w:val="en-US"/>
        </w:rPr>
        <w:t>(5)</w:t>
      </w:r>
      <w:r w:rsidR="000E1ED0" w:rsidRPr="005C64B9">
        <w:rPr>
          <w:rFonts w:eastAsia="Calibri" w:cs="Times New Roman"/>
          <w:lang w:val="en-US"/>
        </w:rPr>
        <w:fldChar w:fldCharType="end"/>
      </w:r>
      <w:r w:rsidR="000E1ED0" w:rsidRPr="005C64B9">
        <w:rPr>
          <w:rFonts w:eastAsia="Calibri" w:cs="Times New Roman"/>
          <w:lang w:val="en-US"/>
        </w:rPr>
        <w:t xml:space="preserve">. </w:t>
      </w:r>
    </w:p>
    <w:p w14:paraId="58370BA0" w14:textId="5BC0E821" w:rsidR="00CF52EF" w:rsidRDefault="002A1E04" w:rsidP="002244B8">
      <w:pPr>
        <w:rPr>
          <w:rFonts w:eastAsia="Calibri" w:cs="Arial"/>
        </w:rPr>
      </w:pPr>
      <w:r>
        <w:rPr>
          <w:rFonts w:eastAsia="Calibri" w:cs="Times New Roman"/>
          <w:lang w:val="en-US"/>
        </w:rPr>
        <w:t xml:space="preserve">MET and SIT </w:t>
      </w:r>
      <w:r w:rsidR="00BB55FA">
        <w:rPr>
          <w:rFonts w:eastAsia="Calibri" w:cs="Times New Roman"/>
          <w:lang w:val="en-US"/>
        </w:rPr>
        <w:t>are currently available as a fixed dose combination (FDC) product</w:t>
      </w:r>
      <w:r w:rsidR="00711F75">
        <w:rPr>
          <w:rFonts w:eastAsia="Calibri" w:cs="Times New Roman"/>
          <w:lang w:val="en-US"/>
        </w:rPr>
        <w:t xml:space="preserve"> on the market </w:t>
      </w:r>
      <w:r w:rsidR="0085296E">
        <w:rPr>
          <w:rFonts w:eastAsia="Calibri" w:cs="Times New Roman"/>
          <w:lang w:val="en-US"/>
        </w:rPr>
        <w:t>in the form of</w:t>
      </w:r>
      <w:r w:rsidR="00711F75">
        <w:rPr>
          <w:rFonts w:eastAsia="Calibri" w:cs="Times New Roman"/>
          <w:lang w:val="en-US"/>
        </w:rPr>
        <w:t xml:space="preserve"> Janumet</w:t>
      </w:r>
      <w:r w:rsidR="00711F75" w:rsidRPr="00711F75">
        <w:rPr>
          <w:rFonts w:eastAsia="Calibri" w:cs="Times New Roman"/>
          <w:vertAlign w:val="superscript"/>
          <w:lang w:val="en-US"/>
        </w:rPr>
        <w:t>®</w:t>
      </w:r>
      <w:r w:rsidR="009868CB">
        <w:rPr>
          <w:rFonts w:eastAsia="Calibri" w:cs="Times New Roman"/>
          <w:lang w:val="en-US"/>
        </w:rPr>
        <w:t>,</w:t>
      </w:r>
      <w:r w:rsidR="00F25029">
        <w:rPr>
          <w:rFonts w:eastAsia="Calibri" w:cs="Times New Roman"/>
          <w:lang w:val="en-US"/>
        </w:rPr>
        <w:t xml:space="preserve"> </w:t>
      </w:r>
      <w:r w:rsidR="009868CB">
        <w:rPr>
          <w:rFonts w:eastAsia="Calibri" w:cs="Times New Roman"/>
          <w:lang w:val="en-US"/>
        </w:rPr>
        <w:t>a tablet product</w:t>
      </w:r>
      <w:r w:rsidR="00F25029">
        <w:rPr>
          <w:rFonts w:eastAsia="Calibri" w:cs="Times New Roman"/>
          <w:lang w:val="en-US"/>
        </w:rPr>
        <w:t xml:space="preserve"> manufactured by Merck</w:t>
      </w:r>
      <w:r w:rsidR="00EB55E0">
        <w:rPr>
          <w:rFonts w:eastAsia="Calibri" w:cs="Times New Roman"/>
          <w:lang w:val="en-US"/>
        </w:rPr>
        <w:t>.</w:t>
      </w:r>
      <w:r w:rsidR="00711F75">
        <w:rPr>
          <w:rFonts w:eastAsia="Calibri" w:cs="Times New Roman"/>
          <w:lang w:val="en-US"/>
        </w:rPr>
        <w:t xml:space="preserve"> </w:t>
      </w:r>
      <w:r w:rsidR="005D5265">
        <w:rPr>
          <w:rFonts w:eastAsia="Calibri" w:cs="Times New Roman"/>
          <w:lang w:val="en-US"/>
        </w:rPr>
        <w:t>Janumet</w:t>
      </w:r>
      <w:r w:rsidR="005D5265" w:rsidRPr="00711F75">
        <w:rPr>
          <w:rFonts w:eastAsia="Calibri" w:cs="Times New Roman"/>
          <w:vertAlign w:val="superscript"/>
          <w:lang w:val="en-US"/>
        </w:rPr>
        <w:t>®</w:t>
      </w:r>
      <w:r w:rsidR="00F25029">
        <w:rPr>
          <w:rFonts w:eastAsia="Calibri" w:cs="Times New Roman"/>
          <w:lang w:val="en-US"/>
        </w:rPr>
        <w:t xml:space="preserve"> </w:t>
      </w:r>
      <w:r w:rsidR="00F25029" w:rsidRPr="00F25029">
        <w:rPr>
          <w:rFonts w:eastAsia="Calibri" w:cs="Times New Roman"/>
          <w:lang w:val="en-US"/>
        </w:rPr>
        <w:t>is available as 850/50 mg and 1000/50</w:t>
      </w:r>
      <w:r w:rsidR="00EB55E0">
        <w:rPr>
          <w:rFonts w:eastAsia="Calibri" w:cs="Times New Roman"/>
          <w:lang w:val="en-US"/>
        </w:rPr>
        <w:t xml:space="preserve"> </w:t>
      </w:r>
      <w:r w:rsidR="00F25029" w:rsidRPr="00F25029">
        <w:rPr>
          <w:rFonts w:eastAsia="Calibri" w:cs="Times New Roman"/>
          <w:lang w:val="en-US"/>
        </w:rPr>
        <w:t>mg metformin hydrochloride/sitagliptin (as sitagliptin phosphate monohydrate) film-coated tablets</w:t>
      </w:r>
      <w:r w:rsidR="00EB55E0">
        <w:rPr>
          <w:rFonts w:eastAsia="Calibri" w:cs="Times New Roman"/>
          <w:lang w:val="en-US"/>
        </w:rPr>
        <w:t>.</w:t>
      </w:r>
      <w:r w:rsidR="00216912">
        <w:rPr>
          <w:rFonts w:eastAsia="Calibri" w:cs="Times New Roman"/>
          <w:lang w:val="en-US"/>
        </w:rPr>
        <w:t xml:space="preserve"> By definition, </w:t>
      </w:r>
      <w:r w:rsidR="00216912">
        <w:rPr>
          <w:rFonts w:eastAsia="Calibri" w:cs="Arial"/>
        </w:rPr>
        <w:t>a</w:t>
      </w:r>
      <w:r w:rsidR="00216912" w:rsidRPr="00746538">
        <w:rPr>
          <w:rFonts w:eastAsia="Calibri" w:cs="Arial"/>
        </w:rPr>
        <w:t xml:space="preserve"> FDC product is a combination product that includes two or more</w:t>
      </w:r>
      <w:r w:rsidR="00BA1025">
        <w:rPr>
          <w:rFonts w:eastAsia="Calibri" w:cs="Arial"/>
        </w:rPr>
        <w:t xml:space="preserve"> </w:t>
      </w:r>
      <w:r w:rsidR="006329A7">
        <w:rPr>
          <w:rFonts w:eastAsia="Calibri" w:cs="Arial"/>
        </w:rPr>
        <w:t>A</w:t>
      </w:r>
      <w:r w:rsidR="00BA1025">
        <w:rPr>
          <w:rFonts w:eastAsia="Calibri" w:cs="Arial"/>
        </w:rPr>
        <w:t xml:space="preserve">ctive </w:t>
      </w:r>
      <w:r w:rsidR="006329A7">
        <w:rPr>
          <w:rFonts w:eastAsia="Calibri" w:cs="Arial"/>
        </w:rPr>
        <w:t>P</w:t>
      </w:r>
      <w:r w:rsidR="00BA1025">
        <w:rPr>
          <w:rFonts w:eastAsia="Calibri" w:cs="Arial"/>
        </w:rPr>
        <w:t xml:space="preserve">harmaceutical </w:t>
      </w:r>
      <w:r w:rsidR="006329A7">
        <w:rPr>
          <w:rFonts w:eastAsia="Calibri" w:cs="Arial"/>
        </w:rPr>
        <w:t>I</w:t>
      </w:r>
      <w:r w:rsidR="00BA1025">
        <w:rPr>
          <w:rFonts w:eastAsia="Calibri" w:cs="Arial"/>
        </w:rPr>
        <w:t>ngredients</w:t>
      </w:r>
      <w:r w:rsidR="00216912" w:rsidRPr="00746538">
        <w:rPr>
          <w:rFonts w:eastAsia="Calibri" w:cs="Arial"/>
        </w:rPr>
        <w:t xml:space="preserve"> </w:t>
      </w:r>
      <w:r w:rsidR="00BA1025">
        <w:rPr>
          <w:rFonts w:eastAsia="Calibri" w:cs="Arial"/>
        </w:rPr>
        <w:t>(</w:t>
      </w:r>
      <w:r w:rsidR="00216912" w:rsidRPr="00746538">
        <w:rPr>
          <w:rFonts w:eastAsia="Calibri" w:cs="Arial"/>
        </w:rPr>
        <w:t>APIs</w:t>
      </w:r>
      <w:r w:rsidR="00BA1025">
        <w:rPr>
          <w:rFonts w:eastAsia="Calibri" w:cs="Arial"/>
        </w:rPr>
        <w:t>)</w:t>
      </w:r>
      <w:r w:rsidR="00216912" w:rsidRPr="00746538">
        <w:rPr>
          <w:rFonts w:eastAsia="Calibri" w:cs="Arial"/>
        </w:rPr>
        <w:t xml:space="preserve"> combined in a single dosage </w:t>
      </w:r>
      <w:r w:rsidR="00216912" w:rsidRPr="00746538">
        <w:rPr>
          <w:rFonts w:eastAsia="Calibri" w:cs="Arial"/>
        </w:rPr>
        <w:lastRenderedPageBreak/>
        <w:t xml:space="preserve">form, which is manufactured and distributed in fixed doses </w:t>
      </w:r>
      <w:r w:rsidR="00216912" w:rsidRPr="00746538">
        <w:rPr>
          <w:rFonts w:eastAsia="Calibri" w:cs="Arial"/>
        </w:rPr>
        <w:fldChar w:fldCharType="begin" w:fldLock="1"/>
      </w:r>
      <w:r w:rsidR="00FB235B">
        <w:rPr>
          <w:rFonts w:eastAsia="Calibri" w:cs="Arial"/>
        </w:rPr>
        <w:instrText>ADDIN CSL_CITATION {"citationItems":[{"id":"ITEM-1","itemData":{"DOI":"10.1111/j.1365-2125.2007.03089.x","ISBN":"1365-2125","ISSN":"03065251","PMID":"18294326","author":[{"dropping-particle":"","family":"Gautam","given":"Chandler S.","non-dropping-particle":"","parse-names":false,"suffix":""},{"dropping-particle":"","family":"Saha","given":"Lekha","non-dropping-particle":"","parse-names":false,"suffix":""}],"container-title":"British Journal of Clinical Pharmacology","id":"ITEM-1","issue":"5","issued":{"date-parts":[["2008"]]},"page":"795-796","title":"Fixed dose drug combinations (FDCs): Rational or irrational: A view point","type":"article-journal","volume":"65"},"uris":["http://www.mendeley.com/documents/?uuid=730b9768-39f2-445c-9eef-ce2c33a1afe8"]}],"mendeley":{"formattedCitation":"(6)","plainTextFormattedCitation":"(6)","previouslyFormattedCitation":"(6)"},"properties":{"noteIndex":0},"schema":"https://github.com/citation-style-language/schema/raw/master/csl-citation.json"}</w:instrText>
      </w:r>
      <w:r w:rsidR="00216912" w:rsidRPr="00746538">
        <w:rPr>
          <w:rFonts w:eastAsia="Calibri" w:cs="Arial"/>
        </w:rPr>
        <w:fldChar w:fldCharType="separate"/>
      </w:r>
      <w:r w:rsidR="00020D96" w:rsidRPr="00020D96">
        <w:rPr>
          <w:rFonts w:eastAsia="Calibri" w:cs="Arial"/>
          <w:noProof/>
        </w:rPr>
        <w:t>(6)</w:t>
      </w:r>
      <w:r w:rsidR="00216912" w:rsidRPr="00746538">
        <w:rPr>
          <w:rFonts w:eastAsia="Calibri" w:cs="Arial"/>
        </w:rPr>
        <w:fldChar w:fldCharType="end"/>
      </w:r>
      <w:r w:rsidR="00216912" w:rsidRPr="00746538">
        <w:rPr>
          <w:rFonts w:eastAsia="Calibri" w:cs="Arial"/>
        </w:rPr>
        <w:t>.</w:t>
      </w:r>
      <w:r w:rsidR="00593171">
        <w:rPr>
          <w:rFonts w:eastAsia="Calibri" w:cs="Arial"/>
        </w:rPr>
        <w:t xml:space="preserve"> </w:t>
      </w:r>
      <w:r w:rsidR="00100E98">
        <w:rPr>
          <w:rFonts w:eastAsia="Calibri" w:cs="Arial"/>
        </w:rPr>
        <w:t xml:space="preserve">FDC products are seen as advantageous </w:t>
      </w:r>
      <w:r w:rsidR="00595D05">
        <w:rPr>
          <w:rFonts w:eastAsia="Calibri" w:cs="Arial"/>
        </w:rPr>
        <w:t xml:space="preserve">for people requiring several medications to treat a target disease as they </w:t>
      </w:r>
      <w:r w:rsidR="00C90FE1">
        <w:rPr>
          <w:rFonts w:eastAsia="Calibri" w:cs="Arial"/>
        </w:rPr>
        <w:t xml:space="preserve">reduce the pill burden </w:t>
      </w:r>
      <w:r w:rsidR="00D20474" w:rsidRPr="00746538">
        <w:rPr>
          <w:rFonts w:eastAsia="Calibri" w:cs="Arial"/>
        </w:rPr>
        <w:fldChar w:fldCharType="begin" w:fldLock="1"/>
      </w:r>
      <w:r w:rsidR="00FB235B">
        <w:rPr>
          <w:rFonts w:eastAsia="Calibri" w:cs="Arial"/>
        </w:rPr>
        <w:instrText>ADDIN CSL_CITATION {"citationItems":[{"id":"ITEM-1","itemData":{"DOI":"10.1016/J.CLINTHERA.2008.10.003","ISSN":"0149-2918","abstract":"Background: Little is known about the potential for improved adherence with and cost savings of fixed-dose combination therapy (FDCT) products compared with analogous dual therapy for type 2 diabetes mellitus. Objectives: The objectives of this study were as follows: (1) to describe patient adherence to various oral antidiabetic regimens (ie, dual therapy and FDCT); (2) to determine whether there is a difference in medication adherence between FDCT users and analogous dual-therapy users; and (3) to assess whether there is a difference in reimbursement amounts between an FDCT product and its individual components. Methods: This study was a retrospective cohort analysis using the Texas Medicaid prescription claims database. The study subjects included those who used antidiabetic FDCT or dual therapy from August 1, 2000, to July 31, 2004. The identification period of study subjects was between August 1, 2000, and July 31, 2004, including 12 months before and after the index date, so that the overall time frame was from August 1, 1999, through July 31, 2005. Prescription claims were analyzed over a 12-month preindex and 12-month postindex period. Adherence was measured using medication possession ratio (MPR), and regimen costs per tablet were assessed utilizing the index prescription. Results: Overall, 7570 FDCT users and 14,762 dual-therapy users were identified. Regarding the postindex period, FDCT users had 1.8% higher MPR compared with dual-therapy users (78.6% vs 77.2%). Patients who switched from monotherapy to FDCT had a 1.5% decrease in adherence (from 79.7% to 78.5%), whereas those who switched from monotherapy to dual therapy had a 10.0% decrease in adherence (from 83.0% to 74.7%). Those who switched from dual therapy to FDCT had a 12.4% increase in adherence (from 72.7% to 81.7%). Multivariate logistic regression analyses revealed that among preindex monotherapy users, FDCT users were significantly more likely to have higher adherence than dual-therapy users (odds ratio [OR] = 1.867; 95% CI, 1.716-2.032) after controlling for covariates, and the results were similar among preindex dual-therapy users (OR = 1.551; 95% CI, 1.204-1.999). From the perspective of the third-party payer, all FDCT products were significantly less expensive than their equivalent individual components (P &lt; 0.001). Conclusions: Among these Texas Medicaid beneficiaries, antidiabetic FDCT users were more adherent to their regimen than dual-therapy users, and FDCT was less expe…","author":[{"dropping-particle":"","family":"Cheong","given":"Chelim","non-dropping-particle":"","parse-names":false,"suffix":""},{"dropping-particle":"","family":"Barner","given":"Jamie C.","non-dropping-particle":"","parse-names":false,"suffix":""},{"dropping-particle":"","family":"Lawson","given":"Kenneth A.","non-dropping-particle":"","parse-names":false,"suffix":""},{"dropping-particle":"","family":"Johnsrud","given":"Michael T.","non-dropping-particle":"","parse-names":false,"suffix":""}],"container-title":"Clinical Therapeutics","id":"ITEM-1","issue":"10","issued":{"date-parts":[["2008","10","1"]]},"page":"1893-1907","publisher":"Elsevier","title":"Patient adherence and reimbursement amount for antidiabetic fixed-dose combination products compared with dual therapy among texas medicaid recipients","type":"article-journal","volume":"30"},"uris":["http://www.mendeley.com/documents/?uuid=cd88de41-1e81-392b-a18b-26b426550e5d"]},{"id":"ITEM-2","itemData":{"DOI":"10.1007/s11606-008-0544-x","ISSN":"0884-8734","author":[{"dropping-particle":"","family":"Pan","given":"Feng","non-dropping-particle":"","parse-names":false,"suffix":""},{"dropping-particle":"","family":"Chernew","given":"Michael E.","non-dropping-particle":"","parse-names":false,"suffix":""},{"dropping-particle":"","family":"Fendrick","given":"A. Mark","non-dropping-particle":"","parse-names":false,"suffix":""}],"container-title":"Journal of General Internal Medicine","id":"ITEM-2","issue":"5","issued":{"date-parts":[["2008"]]},"page":"611-614","publisher":"Springer-Verlag","title":"Impact of Fixed-Dose Combination Drugs on Adherence to Prescription Medications","type":"article-journal","volume":"23"},"uris":["http://www.mendeley.com/documents/?uuid=52da56c8-85e5-3fbf-b11b-dbff259da597"]},{"id":"ITEM-3","itemData":{"DOI":"10.2146/ajhp060434","ISSN":"1535-2900","PMID":"17563050","abstract":"PURPOSE Adherence patterns of patients treated with a fixed-dose combination of amlodipine-benazepril versus an angiotensin-converting-enzyme (ACE) inhibitor plus a dihydropyridine calcium-channel blocker (CCB) prescribed as separate drugs were studied. METHODS In this retrospective analysis of pharmacy claims from a managed care organization in the northeastern United States, patients who received at least two prescriptions for fixed-dose amlodipine-benazepril (n = 2839) or at least two prescriptions for an ACE inhibitor plus a dihydropyridine CCB (n = 3367) were followed over one year. Adherence, defined as the medication possession ratio (MPR), was calculated based on daily possession of the prescribed drug or drugs over the study period. To estimate the impact of overall drug burden on adherence to antihypertensive therapy, concomitant medication use was calculated as the number of American Hospital Formulary Service (AHFS) drug classes prescribed. RESULTS Adherence rates among patients receiving fixed-dose amlodipine-benazepril versus an ACE inhibitor plus a dihydropyridine CCB were 87.9% and 69.2%, respectively (p &lt; 0.0001) over a mean follow-up of 259 and 247 days, respectively. Patients received a mean 4.0 major AHFS drug classes in the amlodipine-benazepril group and 5.2 in the ACE inhibitor plus dihydropyridine CCB group. As the number of concomitant drugs increased, the difference in the MPR between the two treatment groups increased in favor of fixed-dose amlodipine-benazepril. CONCLUSION Fixed-dose amlodipine-benazepril was associated with higher adherence rates versus an ACE inhibitor plus a dihydropyridine CCB taken as two separate tablets, regardless of the number of concomitant medications prescribed.","author":[{"dropping-particle":"","family":"Gerbino","given":"Philip P","non-dropping-particle":"","parse-names":false,"suffix":""},{"dropping-particle":"","family":"Shoheiber","given":"Omar","non-dropping-particle":"","parse-names":false,"suffix":""}],"container-title":"American journal of health-system pharmacy : AJHP : official journal of the American Society of Health-System Pharmacists","id":"ITEM-3","issue":"12","issued":{"date-parts":[["2007","6","15"]]},"page":"1279-83","publisher":"American Society of Health-System Pharmacists","title":"Adherence patterns among patients treated with fixed-dose combination versus separate antihypertensive agents.","type":"article-journal","volume":"64"},"uris":["http://www.mendeley.com/documents/?uuid=d96261a8-386d-3b99-82eb-4753463391be"]}],"mendeley":{"formattedCitation":"(7–9)","plainTextFormattedCitation":"(7–9)","previouslyFormattedCitation":"(7–9)"},"properties":{"noteIndex":0},"schema":"https://github.com/citation-style-language/schema/raw/master/csl-citation.json"}</w:instrText>
      </w:r>
      <w:r w:rsidR="00D20474" w:rsidRPr="00746538">
        <w:rPr>
          <w:rFonts w:eastAsia="Calibri" w:cs="Arial"/>
        </w:rPr>
        <w:fldChar w:fldCharType="separate"/>
      </w:r>
      <w:r w:rsidR="00020D96" w:rsidRPr="00020D96">
        <w:rPr>
          <w:rFonts w:eastAsia="Calibri" w:cs="Arial"/>
          <w:noProof/>
        </w:rPr>
        <w:t>(7–9)</w:t>
      </w:r>
      <w:r w:rsidR="00D20474" w:rsidRPr="00746538">
        <w:rPr>
          <w:rFonts w:eastAsia="Calibri" w:cs="Arial"/>
        </w:rPr>
        <w:fldChar w:fldCharType="end"/>
      </w:r>
      <w:r w:rsidR="00D20474">
        <w:rPr>
          <w:rFonts w:eastAsia="Calibri" w:cs="Arial"/>
        </w:rPr>
        <w:t xml:space="preserve">, can have synergistic or additive effects on </w:t>
      </w:r>
      <w:r w:rsidR="008F6B52">
        <w:rPr>
          <w:rFonts w:eastAsia="Calibri" w:cs="Arial"/>
        </w:rPr>
        <w:t xml:space="preserve">pharmacological actions and result in cost reduction for </w:t>
      </w:r>
      <w:r w:rsidR="00CC74D5">
        <w:rPr>
          <w:rFonts w:eastAsia="Calibri" w:cs="Arial"/>
        </w:rPr>
        <w:t xml:space="preserve">both </w:t>
      </w:r>
      <w:r w:rsidR="008F6B52">
        <w:rPr>
          <w:rFonts w:eastAsia="Calibri" w:cs="Arial"/>
        </w:rPr>
        <w:t>the patient</w:t>
      </w:r>
      <w:r w:rsidR="00CC74D5">
        <w:rPr>
          <w:rFonts w:eastAsia="Calibri" w:cs="Arial"/>
        </w:rPr>
        <w:t xml:space="preserve"> and the manufacturer.</w:t>
      </w:r>
      <w:r w:rsidR="008F6B52">
        <w:rPr>
          <w:rFonts w:eastAsia="Calibri" w:cs="Arial"/>
        </w:rPr>
        <w:t xml:space="preserve"> </w:t>
      </w:r>
    </w:p>
    <w:p w14:paraId="1294DACE" w14:textId="77777777" w:rsidR="001220F6" w:rsidRDefault="00983E6A" w:rsidP="00EA3B9E">
      <w:pPr>
        <w:rPr>
          <w:lang w:val="en-US"/>
        </w:rPr>
      </w:pPr>
      <w:r>
        <w:rPr>
          <w:lang w:val="en-US"/>
        </w:rPr>
        <w:t>Melt granulation (MG)</w:t>
      </w:r>
      <w:r w:rsidR="0007433B">
        <w:rPr>
          <w:lang w:val="en-US"/>
        </w:rPr>
        <w:t>, which is also often referred to</w:t>
      </w:r>
      <w:r w:rsidR="00930EFC">
        <w:rPr>
          <w:lang w:val="en-US"/>
        </w:rPr>
        <w:t xml:space="preserve"> as</w:t>
      </w:r>
      <w:r w:rsidR="0007433B">
        <w:rPr>
          <w:lang w:val="en-US"/>
        </w:rPr>
        <w:t xml:space="preserve"> thermoplastic granulation, is a technique that facilitates the </w:t>
      </w:r>
      <w:r w:rsidR="0007433B" w:rsidRPr="00835146">
        <w:rPr>
          <w:lang w:val="en-US"/>
        </w:rPr>
        <w:t>agglomeration of powder particles</w:t>
      </w:r>
      <w:r w:rsidR="0007433B">
        <w:rPr>
          <w:lang w:val="en-US"/>
        </w:rPr>
        <w:t>,</w:t>
      </w:r>
      <w:r w:rsidR="0007433B" w:rsidRPr="00835146">
        <w:rPr>
          <w:lang w:val="en-US"/>
        </w:rPr>
        <w:t xml:space="preserve"> using </w:t>
      </w:r>
      <w:r w:rsidR="0007433B">
        <w:rPr>
          <w:lang w:val="en-US"/>
        </w:rPr>
        <w:t>excipients</w:t>
      </w:r>
      <w:r w:rsidR="0007433B" w:rsidRPr="00835146">
        <w:rPr>
          <w:lang w:val="en-US"/>
        </w:rPr>
        <w:t xml:space="preserve"> which melt or soften at relatively low temperature</w:t>
      </w:r>
      <w:r w:rsidR="0007433B">
        <w:rPr>
          <w:lang w:val="en-US"/>
        </w:rPr>
        <w:t xml:space="preserve">, to form granules </w:t>
      </w:r>
      <w:r w:rsidR="0007433B">
        <w:rPr>
          <w:lang w:val="en-US"/>
        </w:rPr>
        <w:fldChar w:fldCharType="begin" w:fldLock="1"/>
      </w:r>
      <w:r w:rsidR="00FB235B">
        <w:rPr>
          <w:lang w:val="en-US"/>
        </w:rPr>
        <w:instrText>ADDIN CSL_CITATION {"citationItems":[{"id":"ITEM-1","itemData":{"DOI":"10.15171/bi.2015.04","ISSN":"2228-5652","PMID":"25901297","abstract":"Granulation, the process of particle enlargement by agglomeration technique, is one of the most significant unit operations in the production of pharmaceutical dosage forms, mostly tablets and capsules. Granulation process transforms fine powders into free-flowing, dust-free granules that are easy to compress. Nevertheless, granulation poses numerous challenges due to high quality requirement of the formed granules in terms of content uniformity and physicochemical properties such as granule size, bulk density, porosity, hardness, moisture, compressibility, etc. together with physical and chemical stability of the drug. Granulation process can be divided into two types: wet granulation that utilize a liquid in the process and dry granulation that requires no liquid. The type of process selection requires thorough knowledge of physicochemical properties of the drug, excipients, required flow and release properties, to name a few. Among currently available technologies, spray drying, roller compaction, high shear mixing, and fluid bed granulation are worth of note. Like any other scientific field, pharmaceutical granulation technology also continues to change, and arrival of novel and innovative technologies are inevitable. This review focuses on the recent progress in the granulation techniques and technologies such as pneumatic dry granulation, reverse wet granulation, steam granulation, moisture-activated dry granulation, thermal adhesion granulation, freeze granulation, and foamed binder or foam granulation. This review gives an overview of these with a short description about each development along with its significance and limitations.","author":[{"dropping-particle":"","family":"Shanmugam","given":"Srinivasan","non-dropping-particle":"","parse-names":false,"suffix":""}],"container-title":"BioImpacts : BI","id":"ITEM-1","issue":"1","issued":{"date-parts":[["2015"]]},"page":"55-63","publisher":"Tabriz University of Medical Sciences","title":"Granulation techniques and technologies: recent progresses.","type":"article-journal","volume":"5"},"uris":["http://www.mendeley.com/documents/?uuid=4e2dc5bc-cc6b-3095-9e19-67951cd97cc5"]}],"mendeley":{"formattedCitation":"(10)","plainTextFormattedCitation":"(10)","previouslyFormattedCitation":"(10)"},"properties":{"noteIndex":0},"schema":"https://github.com/citation-style-language/schema/raw/master/csl-citation.json"}</w:instrText>
      </w:r>
      <w:r w:rsidR="0007433B">
        <w:rPr>
          <w:lang w:val="en-US"/>
        </w:rPr>
        <w:fldChar w:fldCharType="separate"/>
      </w:r>
      <w:r w:rsidR="00020D96" w:rsidRPr="00020D96">
        <w:rPr>
          <w:noProof/>
          <w:lang w:val="en-US"/>
        </w:rPr>
        <w:t>(10)</w:t>
      </w:r>
      <w:r w:rsidR="0007433B">
        <w:rPr>
          <w:lang w:val="en-US"/>
        </w:rPr>
        <w:fldChar w:fldCharType="end"/>
      </w:r>
      <w:r w:rsidR="0007433B">
        <w:rPr>
          <w:lang w:val="en-US"/>
        </w:rPr>
        <w:t xml:space="preserve">. </w:t>
      </w:r>
      <w:r w:rsidR="0007433B" w:rsidRPr="005E3C58">
        <w:rPr>
          <w:lang w:val="en-US"/>
        </w:rPr>
        <w:t xml:space="preserve">The most common production technique for </w:t>
      </w:r>
      <w:r w:rsidR="0007433B">
        <w:rPr>
          <w:lang w:val="en-US"/>
        </w:rPr>
        <w:t>MG</w:t>
      </w:r>
      <w:r w:rsidR="0007433B" w:rsidRPr="005E3C58">
        <w:rPr>
          <w:lang w:val="en-US"/>
        </w:rPr>
        <w:t xml:space="preserve"> uses extruders, but </w:t>
      </w:r>
      <w:r w:rsidR="0007433B">
        <w:rPr>
          <w:lang w:val="en-US"/>
        </w:rPr>
        <w:t>MG</w:t>
      </w:r>
      <w:r w:rsidR="0007433B" w:rsidRPr="005E3C58">
        <w:rPr>
          <w:lang w:val="en-US"/>
        </w:rPr>
        <w:t xml:space="preserve"> in high-shear mixer</w:t>
      </w:r>
      <w:r w:rsidR="0007433B">
        <w:rPr>
          <w:lang w:val="en-US"/>
        </w:rPr>
        <w:t>s</w:t>
      </w:r>
      <w:r w:rsidR="0007433B" w:rsidRPr="005E3C58">
        <w:rPr>
          <w:lang w:val="en-US"/>
        </w:rPr>
        <w:t xml:space="preserve"> has also been extensively described in</w:t>
      </w:r>
      <w:r w:rsidR="003D73F0">
        <w:rPr>
          <w:lang w:val="en-US"/>
        </w:rPr>
        <w:t xml:space="preserve"> the</w:t>
      </w:r>
      <w:r w:rsidR="0007433B" w:rsidRPr="005E3C58">
        <w:rPr>
          <w:lang w:val="en-US"/>
        </w:rPr>
        <w:t xml:space="preserve"> literature</w:t>
      </w:r>
      <w:r w:rsidR="009A1FFE">
        <w:rPr>
          <w:lang w:val="en-US"/>
        </w:rPr>
        <w:t xml:space="preserve"> </w:t>
      </w:r>
      <w:r w:rsidR="00FB235B">
        <w:rPr>
          <w:lang w:val="en-US"/>
        </w:rPr>
        <w:fldChar w:fldCharType="begin" w:fldLock="1"/>
      </w:r>
      <w:r w:rsidR="00E05EA3">
        <w:rPr>
          <w:lang w:val="en-US"/>
        </w:rPr>
        <w:instrText>ADDIN CSL_CITATION {"citationItems":[{"id":"ITEM-1","itemData":{"DOI":"10.3109/03639049009115960","ISSN":"0363-9045","abstract":"AbstractThe applicability of a 10 litre high shear mixer for melt granulation of dicalcium phosphate and lactose is examined. Polyethylene glycol (PEG) 3000 and 6000 were used as melting binders in...","author":[{"dropping-particle":"","family":"Schaefer","given":"T.","non-dropping-particle":"","parse-names":false,"suffix":""},{"dropping-particle":"","family":"Holm","given":"P.","non-dropping-particle":"","parse-names":false,"suffix":""},{"dropping-particle":"","family":"Kristensen","given":"H. G.","non-dropping-particle":"","parse-names":false,"suffix":""}],"container-title":"Drug Development and Industrial Pharmacy","id":"ITEM-1","issue":"8","issued":{"date-parts":[["1990","1","20"]]},"page":"1249-1277","publisher":"Taylor &amp; Francis","title":"Melt Granulation in A Laboratory Scale High Shear Mixer","type":"article-journal","volume":"16"},"uris":["http://www.mendeley.com/documents/?uuid=2d584051-dad9-36c2-87c9-6149900cbf8f"]},{"id":"ITEM-2","itemData":{"DOI":"10.1081/DDC-100102285","ISSN":"0363-9045","abstract":"The preparation of granules by melt granulation was investigated using a laboratory-scale high-shear mixer (Pellmix PL 1/8) and binary mixtures containing lactose and different lipidic binders, nam...","author":[{"dropping-particle":"","family":"Evrard","given":"B.","non-dropping-particle":"","parse-names":false,"suffix":""},{"dropping-particle":"","family":"Amighi","given":"K.","non-dropping-particle":"","parse-names":false,"suffix":""},{"dropping-particle":"","family":"Beten","given":"D.","non-dropping-particle":"","parse-names":false,"suffix":""},{"dropping-particle":"","family":"Delattre","given":"L.","non-dropping-particle":"","parse-names":false,"suffix":""},{"dropping-particle":"","family":"Moës","given":"A. J.","non-dropping-particle":"","parse-names":false,"suffix":""}],"container-title":"Drug Development and Industrial Pharmacy","id":"ITEM-2","issue":"11","issued":{"date-parts":[["1999","1","22"]]},"page":"1177-1184","publisher":"Taylor &amp; Francis","title":"Influence of Melting and Rheological Properties of Fatty Binders on the Melt Granulation Process in a High-Shear Mixer","type":"article-journal","volume":"25"},"uris":["http://www.mendeley.com/documents/?uuid=f5821b2b-4c3d-3470-90e8-3f3a77a2f532"]}],"mendeley":{"formattedCitation":"(11,12)","plainTextFormattedCitation":"(11,12)","previouslyFormattedCitation":"(11,12)"},"properties":{"noteIndex":0},"schema":"https://github.com/citation-style-language/schema/raw/master/csl-citation.json"}</w:instrText>
      </w:r>
      <w:r w:rsidR="00FB235B">
        <w:rPr>
          <w:lang w:val="en-US"/>
        </w:rPr>
        <w:fldChar w:fldCharType="separate"/>
      </w:r>
      <w:r w:rsidR="00FB235B" w:rsidRPr="00FB235B">
        <w:rPr>
          <w:noProof/>
          <w:lang w:val="en-US"/>
        </w:rPr>
        <w:t>(11,12)</w:t>
      </w:r>
      <w:r w:rsidR="00FB235B">
        <w:rPr>
          <w:lang w:val="en-US"/>
        </w:rPr>
        <w:fldChar w:fldCharType="end"/>
      </w:r>
      <w:r w:rsidR="0007433B">
        <w:rPr>
          <w:lang w:val="en-US"/>
        </w:rPr>
        <w:t xml:space="preserve">. </w:t>
      </w:r>
      <w:r w:rsidR="0007433B" w:rsidRPr="00295398">
        <w:rPr>
          <w:lang w:val="en-US"/>
        </w:rPr>
        <w:t xml:space="preserve">The mechanism of </w:t>
      </w:r>
      <w:r w:rsidR="0007433B">
        <w:rPr>
          <w:lang w:val="en-US"/>
        </w:rPr>
        <w:t>MG</w:t>
      </w:r>
      <w:r w:rsidR="0007433B" w:rsidRPr="00295398">
        <w:rPr>
          <w:lang w:val="en-US"/>
        </w:rPr>
        <w:t xml:space="preserve"> is essentially</w:t>
      </w:r>
      <w:r w:rsidR="0007433B">
        <w:rPr>
          <w:lang w:val="en-US"/>
        </w:rPr>
        <w:t xml:space="preserve"> </w:t>
      </w:r>
      <w:r w:rsidR="0007433B" w:rsidRPr="00295398">
        <w:rPr>
          <w:lang w:val="en-US"/>
        </w:rPr>
        <w:t>like that of wet granulation</w:t>
      </w:r>
      <w:r w:rsidR="0007433B">
        <w:rPr>
          <w:lang w:val="en-US"/>
        </w:rPr>
        <w:t xml:space="preserve"> with</w:t>
      </w:r>
      <w:r w:rsidR="0007433B" w:rsidRPr="00295398">
        <w:rPr>
          <w:lang w:val="en-US"/>
        </w:rPr>
        <w:t xml:space="preserve"> </w:t>
      </w:r>
      <w:r w:rsidR="0007433B">
        <w:rPr>
          <w:lang w:val="en-US"/>
        </w:rPr>
        <w:t>t</w:t>
      </w:r>
      <w:r w:rsidR="0007433B" w:rsidRPr="00295398">
        <w:rPr>
          <w:lang w:val="en-US"/>
        </w:rPr>
        <w:t xml:space="preserve">he main difference </w:t>
      </w:r>
      <w:r w:rsidR="0007433B">
        <w:rPr>
          <w:lang w:val="en-US"/>
        </w:rPr>
        <w:t>being</w:t>
      </w:r>
      <w:r w:rsidR="0007433B" w:rsidRPr="00295398">
        <w:rPr>
          <w:lang w:val="en-US"/>
        </w:rPr>
        <w:t xml:space="preserve">, unlike wet granulation, no </w:t>
      </w:r>
      <w:r w:rsidR="00014436">
        <w:rPr>
          <w:lang w:val="en-US"/>
        </w:rPr>
        <w:t>solution</w:t>
      </w:r>
      <w:r w:rsidR="0007433B" w:rsidRPr="00295398">
        <w:rPr>
          <w:lang w:val="en-US"/>
        </w:rPr>
        <w:t xml:space="preserve"> or </w:t>
      </w:r>
      <w:r w:rsidR="00014436">
        <w:rPr>
          <w:lang w:val="en-US"/>
        </w:rPr>
        <w:t>liquid</w:t>
      </w:r>
      <w:r w:rsidR="0007433B" w:rsidRPr="00295398">
        <w:rPr>
          <w:lang w:val="en-US"/>
        </w:rPr>
        <w:t>, such as water, is added to</w:t>
      </w:r>
      <w:r w:rsidR="0007433B">
        <w:rPr>
          <w:lang w:val="en-US"/>
        </w:rPr>
        <w:t xml:space="preserve"> </w:t>
      </w:r>
      <w:r w:rsidR="0007433B" w:rsidRPr="00295398">
        <w:rPr>
          <w:lang w:val="en-US"/>
        </w:rPr>
        <w:t xml:space="preserve">the powder bed </w:t>
      </w:r>
      <w:r w:rsidR="0007433B">
        <w:rPr>
          <w:lang w:val="en-US"/>
        </w:rPr>
        <w:t xml:space="preserve">before or during processing </w:t>
      </w:r>
      <w:r w:rsidR="0007433B">
        <w:rPr>
          <w:lang w:val="en-US"/>
        </w:rPr>
        <w:fldChar w:fldCharType="begin" w:fldLock="1"/>
      </w:r>
      <w:r w:rsidR="00E05EA3">
        <w:rPr>
          <w:lang w:val="en-US"/>
        </w:rPr>
        <w:instrText>ADDIN CSL_CITATION {"citationItems":[{"id":"ITEM-1","itemData":{"DOI":"10.1002/JPS.22411","ISSN":"0022-3549","abstract":"Development of modified-release oral tablets of drug products usually requires release-modifying polymers at the level of above 50% of the total weight. This makes the development of high-dose products, especially with doses in the range of 750–1000mg, difficult because the tablet size becomes unacceptably high. This report presents the development of high-dose modified-release formulation of an active pharmaceutical ingredient (API), imatinib mesylate, with a drug load of approximately 90%, by melt granulation using a twin-screw extruder. For an 800mg dose, 956mg of drug substance (salt) was needed and the final weight of tablet was approximately 1074mg. By carefully selecting polymers based on their physicochemical properties, the release rate could be modified between desired times of 4 to &gt;10h for the total drug release. Mixtures of API and polymer were melt granulated at 185°C, which is below the melting point of API (212°C) but above the glass transition temperatures of polymers used. The confocal Raman microscopic imaging revealed that the API remained as unmelted, crystalline particles, and polymers were finely distributed on the surface and in between API particles. The formulations were found to be robust as no change in tableting and drug release properties was observed when manufacturing parameters were altered to challenge the process. The in vivo modified-release properties of formulations were demonstrated in human pharmacokinetic studies.","author":[{"dropping-particle":"","family":"Vasanthavada","given":"Madhav","non-dropping-particle":"","parse-names":false,"suffix":""},{"dropping-particle":"","family":"Wang","given":"Yanfeng","non-dropping-particle":"","parse-names":false,"suffix":""},{"dropping-particle":"","family":"Haefele","given":"Thomas","non-dropping-particle":"","parse-names":false,"suffix":""},{"dropping-particle":"","family":"Lakshman","given":"Jay P.","non-dropping-particle":"","parse-names":false,"suffix":""},{"dropping-particle":"","family":"Mone","given":"Manisha","non-dropping-particle":"","parse-names":false,"suffix":""},{"dropping-particle":"","family":"Tong","given":"Weiqin","non-dropping-particle":"","parse-names":false,"suffix":""},{"dropping-particle":"","family":"Joshi","given":"Yatindra M.","non-dropping-particle":"","parse-names":false,"suffix":""},{"dropping-particle":"","family":"Serajuddin","given":"Abu T.M.","non-dropping-particle":"","parse-names":false,"suffix":""}],"container-title":"Journal of Pharmaceutical Sciences","id":"ITEM-1","issue":"5","issued":{"date-parts":[["2011","5","1"]]},"page":"1923-1934","publisher":"Elsevier","title":"Application of Melt Granulation Technology Using Twin-screw Extruder in Development of High-dose Modified-Release Tablet Formulation","type":"article-journal","volume":"100"},"uris":["http://www.mendeley.com/documents/?uuid=1c5bedaf-1edb-3c7c-ad2c-f3a7fe011167"]}],"mendeley":{"formattedCitation":"(13)","plainTextFormattedCitation":"(13)","previouslyFormattedCitation":"(13)"},"properties":{"noteIndex":0},"schema":"https://github.com/citation-style-language/schema/raw/master/csl-citation.json"}</w:instrText>
      </w:r>
      <w:r w:rsidR="0007433B">
        <w:rPr>
          <w:lang w:val="en-US"/>
        </w:rPr>
        <w:fldChar w:fldCharType="separate"/>
      </w:r>
      <w:r w:rsidR="00FB235B" w:rsidRPr="00FB235B">
        <w:rPr>
          <w:noProof/>
          <w:lang w:val="en-US"/>
        </w:rPr>
        <w:t>(13)</w:t>
      </w:r>
      <w:r w:rsidR="0007433B">
        <w:rPr>
          <w:lang w:val="en-US"/>
        </w:rPr>
        <w:fldChar w:fldCharType="end"/>
      </w:r>
      <w:r w:rsidR="0007433B" w:rsidRPr="00295398">
        <w:rPr>
          <w:lang w:val="en-US"/>
        </w:rPr>
        <w:t xml:space="preserve">. Instead, the </w:t>
      </w:r>
      <w:r w:rsidR="0036664E">
        <w:rPr>
          <w:lang w:val="en-US"/>
        </w:rPr>
        <w:t>active pharmaceutical ingre</w:t>
      </w:r>
      <w:r w:rsidR="00020534">
        <w:rPr>
          <w:lang w:val="en-US"/>
        </w:rPr>
        <w:t>dient (API)</w:t>
      </w:r>
      <w:r w:rsidR="0007433B" w:rsidRPr="00295398">
        <w:rPr>
          <w:lang w:val="en-US"/>
        </w:rPr>
        <w:t xml:space="preserve"> is subjected to temperatures below its melting temperature but above</w:t>
      </w:r>
      <w:r w:rsidR="0007433B">
        <w:rPr>
          <w:lang w:val="en-US"/>
        </w:rPr>
        <w:t xml:space="preserve"> </w:t>
      </w:r>
      <w:r w:rsidR="0007433B" w:rsidRPr="00295398">
        <w:rPr>
          <w:lang w:val="en-US"/>
        </w:rPr>
        <w:t>the</w:t>
      </w:r>
      <w:r w:rsidR="00020534">
        <w:rPr>
          <w:lang w:val="en-US"/>
        </w:rPr>
        <w:t xml:space="preserve"> glass transition temperature</w:t>
      </w:r>
      <w:r w:rsidR="0007433B">
        <w:rPr>
          <w:lang w:val="en-US"/>
        </w:rPr>
        <w:t xml:space="preserve"> </w:t>
      </w:r>
      <w:r w:rsidR="00020534">
        <w:rPr>
          <w:lang w:val="en-US"/>
        </w:rPr>
        <w:t>(</w:t>
      </w:r>
      <w:r w:rsidR="0007433B" w:rsidRPr="00F61094">
        <w:rPr>
          <w:i/>
          <w:lang w:val="en-US"/>
        </w:rPr>
        <w:t>T</w:t>
      </w:r>
      <w:r w:rsidR="0007433B" w:rsidRPr="00F61094">
        <w:rPr>
          <w:i/>
          <w:vertAlign w:val="subscript"/>
          <w:lang w:val="en-US"/>
        </w:rPr>
        <w:t>g</w:t>
      </w:r>
      <w:r w:rsidR="00020534">
        <w:rPr>
          <w:lang w:val="en-US"/>
        </w:rPr>
        <w:t>)</w:t>
      </w:r>
      <w:r w:rsidR="0007433B" w:rsidRPr="00295398">
        <w:rPr>
          <w:lang w:val="en-US"/>
        </w:rPr>
        <w:t xml:space="preserve"> or melting temperature of</w:t>
      </w:r>
      <w:r w:rsidR="0007433B">
        <w:rPr>
          <w:lang w:val="en-US"/>
        </w:rPr>
        <w:t xml:space="preserve"> the</w:t>
      </w:r>
      <w:r w:rsidR="0007433B" w:rsidRPr="00295398">
        <w:rPr>
          <w:lang w:val="en-US"/>
        </w:rPr>
        <w:t xml:space="preserve"> solid</w:t>
      </w:r>
      <w:r w:rsidR="0007433B">
        <w:rPr>
          <w:lang w:val="en-US"/>
        </w:rPr>
        <w:t xml:space="preserve"> excipients used as</w:t>
      </w:r>
      <w:r w:rsidR="0007433B" w:rsidRPr="00295398">
        <w:rPr>
          <w:lang w:val="en-US"/>
        </w:rPr>
        <w:t xml:space="preserve"> polymeric binders.</w:t>
      </w:r>
      <w:r w:rsidR="0007433B">
        <w:rPr>
          <w:lang w:val="en-US"/>
        </w:rPr>
        <w:t xml:space="preserve"> Once the melting of the binders and mixing with the API</w:t>
      </w:r>
      <w:r w:rsidR="00FB7B19">
        <w:rPr>
          <w:lang w:val="en-US"/>
        </w:rPr>
        <w:t>(</w:t>
      </w:r>
      <w:r w:rsidR="0007433B">
        <w:rPr>
          <w:lang w:val="en-US"/>
        </w:rPr>
        <w:t>s</w:t>
      </w:r>
      <w:r w:rsidR="00FB7B19">
        <w:rPr>
          <w:lang w:val="en-US"/>
        </w:rPr>
        <w:t>)</w:t>
      </w:r>
      <w:r w:rsidR="0007433B">
        <w:rPr>
          <w:lang w:val="en-US"/>
        </w:rPr>
        <w:t xml:space="preserve"> ha</w:t>
      </w:r>
      <w:r w:rsidR="0009275A">
        <w:rPr>
          <w:lang w:val="en-US"/>
        </w:rPr>
        <w:t>s</w:t>
      </w:r>
      <w:r w:rsidR="0007433B">
        <w:rPr>
          <w:lang w:val="en-US"/>
        </w:rPr>
        <w:t xml:space="preserve"> occurred, the mixture is then subjected to lower temperatures where</w:t>
      </w:r>
      <w:r w:rsidR="00AD30CE">
        <w:rPr>
          <w:lang w:val="en-US"/>
        </w:rPr>
        <w:t>, in an extruder,</w:t>
      </w:r>
      <w:r w:rsidR="0007433B">
        <w:rPr>
          <w:lang w:val="en-US"/>
        </w:rPr>
        <w:t xml:space="preserve"> the mixture solidifies and produces granules at the end of the extruder barrel. MG has the advantage over other types of granulators </w:t>
      </w:r>
      <w:r w:rsidR="006367EB">
        <w:rPr>
          <w:lang w:val="en-US"/>
        </w:rPr>
        <w:t>in</w:t>
      </w:r>
      <w:r w:rsidR="0007433B">
        <w:rPr>
          <w:lang w:val="en-US"/>
        </w:rPr>
        <w:t xml:space="preserve"> being designed for continuous processing. Additionally, MG </w:t>
      </w:r>
      <w:r w:rsidR="0007433B" w:rsidRPr="002339E7">
        <w:rPr>
          <w:lang w:val="en-US"/>
        </w:rPr>
        <w:t xml:space="preserve">has been reported to be beneficial in enhancing compactability, densifying granules, enhancing flowability, reducing segregation, and decreasing the generation of dust </w:t>
      </w:r>
      <w:r w:rsidR="0036739C">
        <w:rPr>
          <w:lang w:val="en-US"/>
        </w:rPr>
        <w:t>of</w:t>
      </w:r>
      <w:r w:rsidR="0007433B" w:rsidRPr="002339E7">
        <w:rPr>
          <w:lang w:val="en-US"/>
        </w:rPr>
        <w:t xml:space="preserve"> pharmaceutical materials</w:t>
      </w:r>
      <w:r w:rsidR="0007433B">
        <w:rPr>
          <w:lang w:val="en-US"/>
        </w:rPr>
        <w:t xml:space="preserve"> </w:t>
      </w:r>
      <w:r w:rsidR="0007433B">
        <w:rPr>
          <w:lang w:val="en-US"/>
        </w:rPr>
        <w:fldChar w:fldCharType="begin" w:fldLock="1"/>
      </w:r>
      <w:r w:rsidR="00E05EA3">
        <w:rPr>
          <w:lang w:val="en-US"/>
        </w:rPr>
        <w:instrText>ADDIN CSL_CITATION {"citationItems":[{"id":"ITEM-1","itemData":{"DOI":"10.1080/03639040701525627","ISBN":"0363-9045 (Print) 0363-9045 (Linking)","ISSN":"0363-9045","PMID":"17963112","abstract":"The advent of high through-put screening in the drug discovery process has resulted in compounds with high lipophilicity and poor solubility. Increasing the solubility of such compounds poses a major challenge to formulation scientists. Various approaches have been adopted to address this including preparation of solid dispersions and solid solutions. Hot-melt extrusion is an efficient technology for producing solid molecular dispersions with considerable advantages over solvent-based processes such as spray drying and co-precipitation. Hot-melt extrusion has been demonstrated to provide sustained, modified, and targeted drug delivery. Improvements in bioavailability utilizing the hot-melt extrusion technique demonstrate the value of the technology as a potential drug delivery processing tool. The interest in hot-melt extrusion technology for pharmaceutical applications is evident from the increasing number of patents and publications in the scientific literature. Part II of this article reviews the myriad of hot-melt extrusion applications for pharmaceutical dosage forms including granules, pellets, tablets, implants, transmucosal, and transdermal systems.","author":[{"dropping-particle":"","family":"Repka","given":"Michael a","non-dropping-particle":"","parse-names":false,"suffix":""},{"dropping-particle":"","family":"Battu","given":"Sunil Kumar","non-dropping-particle":"","parse-names":false,"suffix":""},{"dropping-particle":"","family":"Upadhye","given":"Sampada B","non-dropping-particle":"","parse-names":false,"suffix":""},{"dropping-particle":"","family":"Thumma","given":"Sridhar","non-dropping-particle":"","parse-names":false,"suffix":""},{"dropping-particle":"","family":"Crowley","given":"Michael M","non-dropping-particle":"","parse-names":false,"suffix":""},{"dropping-particle":"","family":"Zhang","given":"Feng","non-dropping-particle":"","parse-names":false,"suffix":""},{"dropping-particle":"","family":"Martin","given":"Charles","non-dropping-particle":"","parse-names":false,"suffix":""},{"dropping-particle":"","family":"McGinity","given":"James W","non-dropping-particle":"","parse-names":false,"suffix":""}],"container-title":"Drug development and industrial pharmacy","id":"ITEM-1","issue":"10","issued":{"date-parts":[["2007"]]},"page":"1043-1057","title":"Pharmaceutical applications of hot-melt extrusion: Part II.","type":"article-journal","volume":"33"},"uris":["http://www.mendeley.com/documents/?uuid=faf4f4ad-c75e-4b05-94f0-3317a4700334"]},{"id":"ITEM-2","itemData":{"DOI":"10.1002/JPS.22411","ISSN":"0022-3549","abstract":"Development of modified-release oral tablets of drug products usually requires release-modifying polymers at the level of above 50% of the total weight. This makes the development of high-dose products, especially with doses in the range of 750–1000mg, difficult because the tablet size becomes unacceptably high. This report presents the development of high-dose modified-release formulation of an active pharmaceutical ingredient (API), imatinib mesylate, with a drug load of approximately 90%, by melt granulation using a twin-screw extruder. For an 800mg dose, 956mg of drug substance (salt) was needed and the final weight of tablet was approximately 1074mg. By carefully selecting polymers based on their physicochemical properties, the release rate could be modified between desired times of 4 to &gt;10h for the total drug release. Mixtures of API and polymer were melt granulated at 185°C, which is below the melting point of API (212°C) but above the glass transition temperatures of polymers used. The confocal Raman microscopic imaging revealed that the API remained as unmelted, crystalline particles, and polymers were finely distributed on the surface and in between API particles. The formulations were found to be robust as no change in tableting and drug release properties was observed when manufacturing parameters were altered to challenge the process. The in vivo modified-release properties of formulations were demonstrated in human pharmacokinetic studies.","author":[{"dropping-particle":"","family":"Vasanthavada","given":"Madhav","non-dropping-particle":"","parse-names":false,"suffix":""},{"dropping-particle":"","family":"Wang","given":"Yanfeng","non-dropping-particle":"","parse-names":false,"suffix":""},{"dropping-particle":"","family":"Haefele","given":"Thomas","non-dropping-particle":"","parse-names":false,"suffix":""},{"dropping-particle":"","family":"Lakshman","given":"Jay P.","non-dropping-particle":"","parse-names":false,"suffix":""},{"dropping-particle":"","family":"Mone","given":"Manisha","non-dropping-particle":"","parse-names":false,"suffix":""},{"dropping-particle":"","family":"Tong","given":"Weiqin","non-dropping-particle":"","parse-names":false,"suffix":""},{"dropping-particle":"","family":"Joshi","given":"Yatindra M.","non-dropping-particle":"","parse-names":false,"suffix":""},{"dropping-particle":"","family":"Serajuddin","given":"Abu T.M.","non-dropping-particle":"","parse-names":false,"suffix":""}],"container-title":"Journal of Pharmaceutical Sciences","id":"ITEM-2","issue":"5","issued":{"date-parts":[["2011","5","1"]]},"page":"1923-1934","publisher":"Elsevier","title":"Application of Melt Granulation Technology Using Twin-screw Extruder in Development of High-dose Modified-Release Tablet Formulation","type":"article-journal","volume":"100"},"uris":["http://www.mendeley.com/documents/?uuid=1c5bedaf-1edb-3c7c-ad2c-f3a7fe011167"]}],"mendeley":{"formattedCitation":"(13,14)","plainTextFormattedCitation":"(13,14)","previouslyFormattedCitation":"(13,14)"},"properties":{"noteIndex":0},"schema":"https://github.com/citation-style-language/schema/raw/master/csl-citation.json"}</w:instrText>
      </w:r>
      <w:r w:rsidR="0007433B">
        <w:rPr>
          <w:lang w:val="en-US"/>
        </w:rPr>
        <w:fldChar w:fldCharType="separate"/>
      </w:r>
      <w:r w:rsidR="00FB235B" w:rsidRPr="00FB235B">
        <w:rPr>
          <w:noProof/>
          <w:lang w:val="en-US"/>
        </w:rPr>
        <w:t>(13,14)</w:t>
      </w:r>
      <w:r w:rsidR="0007433B">
        <w:rPr>
          <w:lang w:val="en-US"/>
        </w:rPr>
        <w:fldChar w:fldCharType="end"/>
      </w:r>
      <w:r w:rsidR="0007433B">
        <w:rPr>
          <w:lang w:val="en-US"/>
        </w:rPr>
        <w:t xml:space="preserve">. </w:t>
      </w:r>
      <w:r w:rsidR="0007433B" w:rsidRPr="00526186">
        <w:rPr>
          <w:lang w:val="en-US"/>
        </w:rPr>
        <w:t xml:space="preserve">It </w:t>
      </w:r>
      <w:r w:rsidR="00C77DE0">
        <w:rPr>
          <w:lang w:val="en-US"/>
        </w:rPr>
        <w:t>also has</w:t>
      </w:r>
      <w:r w:rsidR="0007433B" w:rsidRPr="00526186">
        <w:rPr>
          <w:lang w:val="en-US"/>
        </w:rPr>
        <w:t xml:space="preserve"> the advantage of being seen as a “green technology”</w:t>
      </w:r>
      <w:r w:rsidR="00C77DE0">
        <w:rPr>
          <w:lang w:val="en-US"/>
        </w:rPr>
        <w:t>,</w:t>
      </w:r>
      <w:r w:rsidR="0007433B" w:rsidRPr="00526186">
        <w:rPr>
          <w:lang w:val="en-US"/>
        </w:rPr>
        <w:t xml:space="preserve"> as no solvents are required</w:t>
      </w:r>
      <w:r w:rsidR="00C77DE0">
        <w:rPr>
          <w:lang w:val="en-US"/>
        </w:rPr>
        <w:t>,</w:t>
      </w:r>
      <w:r w:rsidR="0007433B" w:rsidRPr="00526186">
        <w:rPr>
          <w:lang w:val="en-US"/>
        </w:rPr>
        <w:t xml:space="preserve"> and it is easily scaled up </w:t>
      </w:r>
      <w:r w:rsidR="0007433B" w:rsidRPr="00526186">
        <w:rPr>
          <w:lang w:val="en-US"/>
        </w:rPr>
        <w:fldChar w:fldCharType="begin" w:fldLock="1"/>
      </w:r>
      <w:r w:rsidR="00E05EA3">
        <w:rPr>
          <w:lang w:val="en-US"/>
        </w:rPr>
        <w:instrText>ADDIN CSL_CITATION {"citationItems":[{"id":"ITEM-1","itemData":{"DOI":"10.1016/J.AJPS.2016.08.005","ISSN":"1818-0876","abstract":"The present work explores the application of melt granulation technology to develop a high drug loaded sustained release matrix tablet of Metformin HCl using hydroxypropylcellulose (HPC) as a hydrophilic binder and stearic acid as an extrusion aid for producing cohesive granules. This novel approach allowed the use of a minimum number of excipients to reduce the tablet size, and to enhance compressibility of the drug. This also offered a cost effective method owing to the elimination of a ‘drying step’ prevalent in wet granulation method. Moreover, this research also focuses on resolving the processability issues associated with the use of HPC Nisso-H at high drug loading. The thermal lubricants were screened for this purpose and evaluated for their impact on extrudability, granule and tablet characteristics. Stearic acid was selected as the thermal lubricant, which not only contributed to the inhibition of burst release, but also improved the flow property of the granules. The developed matrix tablet (75% drug loading) resulted in 670 mg of weight for 500 mg dose strength and showed sustained drug release over 10 h. When compared, with conventional granulation techniques, it was observed that, under identical compression force, the tablet prepared by MG exhibited superior compactibility along with tablet hardness and optimal drug release profile. FTIR suggested nonexistence of chemical interaction between the drug and the other excipients while XRD and DSC analysis revealed the crystalline state of the drug. Furthermore, the results obtained from Raman spectroscopy proved the uniform distribution of the Metformin HCl and polymer in the final dosage form. This technology leads to the manufacture of sustained release matrix formulation with reduced tablet size of a high dose, highly water soluble drug otherwise difficult to process using standard batch-granulation.","author":[{"dropping-particle":"","family":"Vaingankar","given":"Pradnya","non-dropping-particle":"","parse-names":false,"suffix":""},{"dropping-particle":"","family":"Amin","given":"Purnima","non-dropping-particle":"","parse-names":false,"suffix":""}],"container-title":"Asian Journal of Pharmaceutical Sciences","id":"ITEM-1","issue":"1","issued":{"date-parts":[["2017","1","1"]]},"page":"37-50","publisher":"Elsevier","title":"Continuous melt granulation to develop high drug loaded sustained release tablet of Metformin HCl","type":"article-journal","volume":"12"},"uris":["http://www.mendeley.com/documents/?uuid=8a99b846-46fd-3089-b387-b986c71f0233"]}],"mendeley":{"formattedCitation":"(15)","plainTextFormattedCitation":"(15)","previouslyFormattedCitation":"(15)"},"properties":{"noteIndex":0},"schema":"https://github.com/citation-style-language/schema/raw/master/csl-citation.json"}</w:instrText>
      </w:r>
      <w:r w:rsidR="0007433B" w:rsidRPr="00526186">
        <w:rPr>
          <w:lang w:val="en-US"/>
        </w:rPr>
        <w:fldChar w:fldCharType="separate"/>
      </w:r>
      <w:r w:rsidR="00FB235B" w:rsidRPr="00FB235B">
        <w:rPr>
          <w:noProof/>
          <w:lang w:val="en-US"/>
        </w:rPr>
        <w:t>(15)</w:t>
      </w:r>
      <w:r w:rsidR="0007433B" w:rsidRPr="00526186">
        <w:rPr>
          <w:lang w:val="en-US"/>
        </w:rPr>
        <w:fldChar w:fldCharType="end"/>
      </w:r>
      <w:r w:rsidR="0007433B" w:rsidRPr="00526186">
        <w:rPr>
          <w:lang w:val="en-US"/>
        </w:rPr>
        <w:t>.</w:t>
      </w:r>
      <w:r w:rsidR="006706FE">
        <w:rPr>
          <w:lang w:val="en-US"/>
        </w:rPr>
        <w:t xml:space="preserve"> </w:t>
      </w:r>
    </w:p>
    <w:p w14:paraId="7015B884" w14:textId="724A36F5" w:rsidR="00EA3B9E" w:rsidRPr="005A0CD7" w:rsidRDefault="007A7302" w:rsidP="00EA3B9E">
      <w:pPr>
        <w:rPr>
          <w:rFonts w:cs="Times New Roman"/>
        </w:rPr>
      </w:pPr>
      <w:r w:rsidRPr="005A0CD7">
        <w:rPr>
          <w:lang w:val="en-US"/>
        </w:rPr>
        <w:t>A number of previous studies have</w:t>
      </w:r>
      <w:r w:rsidR="00877507" w:rsidRPr="005A0CD7">
        <w:rPr>
          <w:lang w:val="en-US"/>
        </w:rPr>
        <w:t xml:space="preserve"> </w:t>
      </w:r>
      <w:r w:rsidRPr="005A0CD7">
        <w:rPr>
          <w:lang w:val="en-US"/>
        </w:rPr>
        <w:t xml:space="preserve">demonstrated the use of MG in the production of </w:t>
      </w:r>
      <w:r w:rsidR="007619A3" w:rsidRPr="005A0CD7">
        <w:rPr>
          <w:lang w:val="en-US"/>
        </w:rPr>
        <w:t xml:space="preserve">MET </w:t>
      </w:r>
      <w:r w:rsidRPr="005A0CD7">
        <w:rPr>
          <w:lang w:val="en-US"/>
        </w:rPr>
        <w:t xml:space="preserve">solid dosage forms, </w:t>
      </w:r>
      <w:r w:rsidR="00795CA8" w:rsidRPr="005A0CD7">
        <w:rPr>
          <w:lang w:val="en-US"/>
        </w:rPr>
        <w:t xml:space="preserve">resulting in up to </w:t>
      </w:r>
      <w:r w:rsidR="00AC5651" w:rsidRPr="005A0CD7">
        <w:rPr>
          <w:lang w:val="en-US"/>
        </w:rPr>
        <w:t>95 % w/w content of the API</w:t>
      </w:r>
      <w:r w:rsidR="00D25153" w:rsidRPr="005A0CD7">
        <w:rPr>
          <w:lang w:val="en-US"/>
        </w:rPr>
        <w:t xml:space="preserve"> </w:t>
      </w:r>
      <w:r w:rsidR="00D25153" w:rsidRPr="005A0CD7">
        <w:rPr>
          <w:lang w:val="en-US"/>
        </w:rPr>
        <w:fldChar w:fldCharType="begin" w:fldLock="1"/>
      </w:r>
      <w:r w:rsidR="00EA3B9E" w:rsidRPr="005A0CD7">
        <w:rPr>
          <w:lang w:val="en-US"/>
        </w:rPr>
        <w:instrText>ADDIN CSL_CITATION {"citationItems":[{"id":"ITEM-1","itemData":{"DOI":"10.1016/J.AJPS.2016.08.005","ISSN":"1818-0876","abstract":"The present work explores the application of melt granulation technology to develop a high drug loaded sustained release matrix tablet of Metformin HCl using hydroxypropylcellulose (HPC) as a hydrophilic binder and stearic acid as an extrusion aid for producing cohesive granules. This novel approach allowed the use of a minimum number of excipients to reduce the tablet size, and to enhance compressibility of the drug. This also offered a cost effective method owing to the elimination of a ‘drying step’ prevalent in wet granulation method. Moreover, this research also focuses on resolving the processability issues associated with the use of HPC Nisso-H at high drug loading. The thermal lubricants were screened for this purpose and evaluated for their impact on extrudability, granule and tablet characteristics. Stearic acid was selected as the thermal lubricant, which not only contributed to the inhibition of burst release, but also improved the flow property of the granules. The developed matrix tablet (75% drug loading) resulted in 670 mg of weight for 500 mg dose strength and showed sustained drug release over 10 h. When compared, with conventional granulation techniques, it was observed that, under identical compression force, the tablet prepared by MG exhibited superior compactibility along with tablet hardness and optimal drug release profile. FTIR suggested nonexistence of chemical interaction between the drug and the other excipients while XRD and DSC analysis revealed the crystalline state of the drug. Furthermore, the results obtained from Raman spectroscopy proved the uniform distribution of the Metformin HCl and polymer in the final dosage form. This technology leads to the manufacture of sustained release matrix formulation with reduced tablet size of a high dose, highly water soluble drug otherwise difficult to process using standard batch-granulation.","author":[{"dropping-particle":"","family":"Vaingankar","given":"Pradnya","non-dropping-particle":"","parse-names":false,"suffix":""},{"dropping-particle":"","family":"Amin","given":"Purnima","non-dropping-particle":"","parse-names":false,"suffix":""}],"container-title":"Asian Journal of Pharmaceutical Sciences","id":"ITEM-1","issue":"1","issued":{"date-parts":[["2017","1","1"]]},"page":"37-50","publisher":"Elsevier","title":"Continuous melt granulation to develop high drug loaded sustained release tablet of Metformin HCl","type":"article-journal","volume":"12"},"uris":["http://www.mendeley.com/documents/?uuid=8a99b846-46fd-3089-b387-b986c71f0233"]},{"id":"ITEM-2","itemData":{"DOI":"10.1016/J.XPHS.2016.07.014","ISSN":"0022-3549","abstract":"Traditionally, the melt granulation for pharmaceutical products was performed at low temperature (&lt;90°C) with high-shear granulators using low-melting waxy binders, and tablets produced using such granules were not amenable to large-scale manufacturing. The situation has changed in recent years by the use of twin screw extruder where the processing temperature could be increased to as high as 180°C and polymers with high Tg could be used as binders. In this study, different polymeric binders were screened for their suitability in improving compactibility of 2 drugs, metformin hydrochloride and acetaminophen, by twin screw melt granulation. Processing temperatures for the 2 drugs were set at 180°C and 130°C, respectively. Screw configuration, screw speed, and feed rate were optimized such that all polymeric binders used produced granules. Several hydroxypropyl cellulose, hydroxypropyl methylcellulose, polyvinylpyrrolidone, and methacrylate-based polymers, including Klucel® EXF, Eudragit® EPO, and Soluplus®, demonstrated good tablet tensile strength (&gt;2 MPa) when granules were produced using only 10% wt/wt polymer concentration. Certain polymers provided acceptable compactibility even at 5% wt/wt. Thus, twin screw melt granulation process may be used with different polymers at a wide range of temperature. Due to low excipient concentration, this granulation method is especially suitable for high-dose tablets.","author":[{"dropping-particle":"","family":"Batra","given":"Amol","non-dropping-particle":"","parse-names":false,"suffix":""},{"dropping-particle":"","family":"Desai","given":"Dipen","non-dropping-particle":"","parse-names":false,"suffix":""},{"dropping-particle":"","family":"Serajuddin","given":"Abu T.M.","non-dropping-particle":"","parse-names":false,"suffix":""}],"container-title":"Journal of Pharmaceutical Sciences","id":"ITEM-2","issue":"1","issued":{"date-parts":[["2017","1","1"]]},"page":"140-150","publisher":"Elsevier","title":"Investigating the Use of Polymeric Binders in Twin Screw Melt Granulation Process for Improving Compactibility of Drugs","type":"article-journal","volume":"106"},"uris":["http://www.mendeley.com/documents/?uuid=5d68723b-d30d-3a65-a0ec-dbfcca4821bd"]}],"mendeley":{"formattedCitation":"(15,16)","plainTextFormattedCitation":"(15,16)","previouslyFormattedCitation":"(15,16)"},"properties":{"noteIndex":0},"schema":"https://github.com/citation-style-language/schema/raw/master/csl-citation.json"}</w:instrText>
      </w:r>
      <w:r w:rsidR="00D25153" w:rsidRPr="005A0CD7">
        <w:rPr>
          <w:lang w:val="en-US"/>
        </w:rPr>
        <w:fldChar w:fldCharType="separate"/>
      </w:r>
      <w:r w:rsidR="00D25153" w:rsidRPr="005A0CD7">
        <w:rPr>
          <w:noProof/>
          <w:lang w:val="en-US"/>
        </w:rPr>
        <w:t>(15,16)</w:t>
      </w:r>
      <w:r w:rsidR="00D25153" w:rsidRPr="005A0CD7">
        <w:rPr>
          <w:lang w:val="en-US"/>
        </w:rPr>
        <w:fldChar w:fldCharType="end"/>
      </w:r>
      <w:r w:rsidR="00AC5651" w:rsidRPr="005A0CD7">
        <w:rPr>
          <w:lang w:val="en-US"/>
        </w:rPr>
        <w:t>, however, to the best of the authors</w:t>
      </w:r>
      <w:r w:rsidR="001220F6" w:rsidRPr="005A0CD7">
        <w:rPr>
          <w:lang w:val="en-US"/>
        </w:rPr>
        <w:t>’</w:t>
      </w:r>
      <w:r w:rsidR="00AC5651" w:rsidRPr="005A0CD7">
        <w:rPr>
          <w:lang w:val="en-US"/>
        </w:rPr>
        <w:t xml:space="preserve"> knowledge</w:t>
      </w:r>
      <w:r w:rsidR="00C76B67" w:rsidRPr="005A0CD7">
        <w:rPr>
          <w:lang w:val="en-US"/>
        </w:rPr>
        <w:t xml:space="preserve">, no previous work has been </w:t>
      </w:r>
      <w:r w:rsidR="001E3DE0" w:rsidRPr="005A0CD7">
        <w:rPr>
          <w:lang w:val="en-US"/>
        </w:rPr>
        <w:t>published relating to the production</w:t>
      </w:r>
      <w:r w:rsidR="001220F6" w:rsidRPr="005A0CD7">
        <w:rPr>
          <w:lang w:val="en-US"/>
        </w:rPr>
        <w:t>,</w:t>
      </w:r>
      <w:r w:rsidR="001E3DE0" w:rsidRPr="005A0CD7">
        <w:rPr>
          <w:lang w:val="en-US"/>
        </w:rPr>
        <w:t xml:space="preserve"> </w:t>
      </w:r>
      <w:r w:rsidR="001220F6" w:rsidRPr="005A0CD7">
        <w:rPr>
          <w:lang w:val="en-US"/>
        </w:rPr>
        <w:t xml:space="preserve">via MG, </w:t>
      </w:r>
      <w:r w:rsidR="001E3DE0" w:rsidRPr="005A0CD7">
        <w:rPr>
          <w:lang w:val="en-US"/>
        </w:rPr>
        <w:t xml:space="preserve">of </w:t>
      </w:r>
      <w:r w:rsidR="00392290" w:rsidRPr="005A0CD7">
        <w:rPr>
          <w:lang w:val="en-US"/>
        </w:rPr>
        <w:t xml:space="preserve">a FDC product comprising both </w:t>
      </w:r>
      <w:r w:rsidR="001E3DE0" w:rsidRPr="005A0CD7">
        <w:rPr>
          <w:lang w:val="en-US"/>
        </w:rPr>
        <w:t>MET and SIT</w:t>
      </w:r>
      <w:r w:rsidR="00732270" w:rsidRPr="005A0CD7">
        <w:rPr>
          <w:lang w:val="en-US"/>
        </w:rPr>
        <w:t>.</w:t>
      </w:r>
      <w:r w:rsidR="00EA3B9E" w:rsidRPr="005A0CD7">
        <w:rPr>
          <w:lang w:val="en-US"/>
        </w:rPr>
        <w:t xml:space="preserve"> </w:t>
      </w:r>
      <w:r w:rsidR="00EA3B9E" w:rsidRPr="005A0CD7">
        <w:t xml:space="preserve">Hydroxypropyl cellulosic (HPC) based polymers have been successfully employed in previous </w:t>
      </w:r>
      <w:r w:rsidR="00354A83" w:rsidRPr="005A0CD7">
        <w:t>MG</w:t>
      </w:r>
      <w:r w:rsidR="00EA3B9E" w:rsidRPr="005A0CD7">
        <w:t xml:space="preserve"> studies for high dose drugs, including MET </w:t>
      </w:r>
      <w:r w:rsidR="00EA3B9E" w:rsidRPr="005A0CD7">
        <w:fldChar w:fldCharType="begin" w:fldLock="1"/>
      </w:r>
      <w:r w:rsidR="00EA3B9E" w:rsidRPr="005A0CD7">
        <w:instrText>ADDIN CSL_CITATION {"citationItems":[{"id":"ITEM-1","itemData":{"DOI":"10.1016/J.AJPS.2016.08.005","ISSN":"1818-0876","abstract":"The present work explores the application of melt granulation technology to develop a high drug loaded sustained release matrix tablet of Metformin HCl using hydroxypropylcellulose (HPC) as a hydrophilic binder and stearic acid as an extrusion aid for producing cohesive granules. This novel approach allowed the use of a minimum number of excipients to reduce the tablet size, and to enhance compressibility of the drug. This also offered a cost effective method owing to the elimination of a ‘drying step’ prevalent in wet granulation method. Moreover, this research also focuses on resolving the processability issues associated with the use of HPC Nisso-H at high drug loading. The thermal lubricants were screened for this purpose and evaluated for their impact on extrudability, granule and tablet characteristics. Stearic acid was selected as the thermal lubricant, which not only contributed to the inhibition of burst release, but also improved the flow property of the granules. The developed matrix tablet (75% drug loading) resulted in 670 mg of weight for 500 mg dose strength and showed sustained drug release over 10 h. When compared, with conventional granulation techniques, it was observed that, under identical compression force, the tablet prepared by MG exhibited superior compactibility along with tablet hardness and optimal drug release profile. FTIR suggested nonexistence of chemical interaction between the drug and the other excipients while XRD and DSC analysis revealed the crystalline state of the drug. Furthermore, the results obtained from Raman spectroscopy proved the uniform distribution of the Metformin HCl and polymer in the final dosage form. This technology leads to the manufacture of sustained release matrix formulation with reduced tablet size of a high dose, highly water soluble drug otherwise difficult to process using standard batch-granulation.","author":[{"dropping-particle":"","family":"Vaingankar","given":"Pradnya","non-dropping-particle":"","parse-names":false,"suffix":""},{"dropping-particle":"","family":"Amin","given":"Purnima","non-dropping-particle":"","parse-names":false,"suffix":""}],"container-title":"Asian Journal of Pharmaceutical Sciences","id":"ITEM-1","issue":"1","issued":{"date-parts":[["2017","1","1"]]},"page":"37-50","publisher":"Elsevier","title":"Continuous melt granulation to develop high drug loaded sustained release tablet of Metformin HCl","type":"article-journal","volume":"12"},"uris":["http://www.mendeley.com/documents/?uuid=8a99b846-46fd-3089-b387-b986c71f0233"]},{"id":"ITEM-2","itemData":{"DOI":"10.1016/J.XPHS.2016.07.014","ISSN":"0022-3549","abstract":"Traditionally, the melt granulation for pharmaceutical products was performed at low temperature (&lt;90°C) with high-shear granulators using low-melting waxy binders, and tablets produced using such granules were not amenable to large-scale manufacturing. The situation has changed in recent years by the use of twin screw extruder where the processing temperature could be increased to as high as 180°C and polymers with high Tg could be used as binders. In this study, different polymeric binders were screened for their suitability in improving compactibility of 2 drugs, metformin hydrochloride and acetaminophen, by twin screw melt granulation. Processing temperatures for the 2 drugs were set at 180°C and 130°C, respectively. Screw configuration, screw speed, and feed rate were optimized such that all polymeric binders used produced granules. Several hydroxypropyl cellulose, hydroxypropyl methylcellulose, polyvinylpyrrolidone, and methacrylate-based polymers, including Klucel® EXF, Eudragit® EPO, and Soluplus®, demonstrated good tablet tensile strength (&gt;2 MPa) when granules were produced using only 10% wt/wt polymer concentration. Certain polymers provided acceptable compactibility even at 5% wt/wt. Thus, twin screw melt granulation process may be used with different polymers at a wide range of temperature. Due to low excipient concentration, this granulation method is especially suitable for high-dose tablets.","author":[{"dropping-particle":"","family":"Batra","given":"Amol","non-dropping-particle":"","parse-names":false,"suffix":""},{"dropping-particle":"","family":"Desai","given":"Dipen","non-dropping-particle":"","parse-names":false,"suffix":""},{"dropping-particle":"","family":"Serajuddin","given":"Abu T.M.","non-dropping-particle":"","parse-names":false,"suffix":""}],"container-title":"Journal of Pharmaceutical Sciences","id":"ITEM-2","issue":"1","issued":{"date-parts":[["2017","1","1"]]},"page":"140-150","publisher":"Elsevier","title":"Investigating the Use of Polymeric Binders in Twin Screw Melt Granulation Process for Improving Compactibility of Drugs","type":"article-journal","volume":"106"},"uris":["http://www.mendeley.com/documents/?uuid=5d68723b-d30d-3a65-a0ec-dbfcca4821bd"]}],"mendeley":{"formattedCitation":"(15,16)","plainTextFormattedCitation":"(15,16)","previouslyFormattedCitation":"(15,16)"},"properties":{"noteIndex":0},"schema":"https://github.com/citation-style-language/schema/raw/master/csl-citation.json"}</w:instrText>
      </w:r>
      <w:r w:rsidR="00EA3B9E" w:rsidRPr="005A0CD7">
        <w:fldChar w:fldCharType="separate"/>
      </w:r>
      <w:r w:rsidR="00EA3B9E" w:rsidRPr="005A0CD7">
        <w:rPr>
          <w:noProof/>
        </w:rPr>
        <w:t>(15,16)</w:t>
      </w:r>
      <w:r w:rsidR="00EA3B9E" w:rsidRPr="005A0CD7">
        <w:fldChar w:fldCharType="end"/>
      </w:r>
      <w:r w:rsidR="00EA3B9E" w:rsidRPr="005A0CD7">
        <w:t xml:space="preserve">, because of their high binding ability behaviour </w:t>
      </w:r>
      <w:r w:rsidR="00EA3B9E" w:rsidRPr="005A0CD7">
        <w:fldChar w:fldCharType="begin" w:fldLock="1"/>
      </w:r>
      <w:r w:rsidR="001B225D" w:rsidRPr="005A0CD7">
        <w:instrText>ADDIN CSL_CITATION {"citationItems":[{"id":"ITEM-1","itemData":{"DOI":"10.1002/jps.22369","ISSN":"00223549","author":[{"dropping-particle":"","family":"Lakshman","given":"Jay P.","non-dropping-particle":"","parse-names":false,"suffix":""},{"dropping-particle":"","family":"Kowalski","given":"James","non-dropping-particle":"","parse-names":false,"suffix":""},{"dropping-particle":"","family":"Vasanthavada","given":"Madhav","non-dropping-particle":"","parse-names":false,"suffix":""},{"dropping-particle":"","family":"Tong","given":"Wei-Qin","non-dropping-particle":"","parse-names":false,"suffix":""},{"dropping-particle":"","family":"Joshi","given":"Yatindra M.","non-dropping-particle":"","parse-names":false,"suffix":""},{"dropping-particle":"","family":"Serajuddin","given":"Abu T.M.","non-dropping-particle":"","parse-names":false,"suffix":""}],"container-title":"Journal of Pharmaceutical Sciences","id":"ITEM-1","issue":"4","issued":{"date-parts":[["2011","4","1"]]},"page":"1553-1565","publisher":"John Wiley &amp; Sons, Ltd","title":"Application of Melt Granulation Technology to Enhance Tabletting Properties of Poorly Compactible High-Dose Drugs","type":"article-journal","volume":"100"},"uris":["http://www.mendeley.com/documents/?uuid=2e901432-c101-3e6a-b782-fd3e3b45eb3b"]},{"id":"ITEM-2","itemData":{"DOI":"10.1016/J.POWTEC.2017.04.054","ISSN":"0032-5910","abstract":"Dry granules manufactured by roll compaction/dry granulation (RCDG) lead often to lower tensile strengths of tablets in comparison to direct compression. Therefore, dry binders are in particular important for RCDG to ensure a sufficient tensile strength, but also to generate large granules and a low fraction of fines. Eighteen different dry binders were characterised regarding molecular and particle properties. A minimum quantity of three binders per chemical group were chosen to find out, how the behaviour of the chemical types of binders can be described. 3 microcrystalline celluloses, 5 hydroxypropyl celluloses, 3 povidones, 3 copovidones and 4 crospovidones were used as dry binders in a fraction of 10%. The dry granulation and tableting method was kept constant for all batches. Differences in the results of granules and tablets were obtained regarding granule size, fraction of fines of the granules, tablet tensile strength, friability and disintegration time. Within a chemical type of binder, the behaviour of granule and tablet properties could be described by linear regressions with measured characteristics of dry binders. A differing binding behaviour could be an explanation for the divergent results of PVP polymers. Differences in particle size caused greater effects for small-sized binders on dry granules and tablets. The two most effective binders in this study, fine grades of HPC and copovidone, were tested with a whole tableting profile. HPC resulted in larger granule size and lower friability, while copovidone led to a lower disintegration time, which can be explained with viscosity effects. Depending on the formulation challenge, both binders can be used as a dry binder in a low fraction.","author":[{"dropping-particle":"","family":"Arndt","given":"Oscar Rupert","non-dropping-particle":"","parse-names":false,"suffix":""},{"dropping-particle":"","family":"Kleinebudde","given":"Peter","non-dropping-particle":"","parse-names":false,"suffix":""}],"container-title":"Powder Technology","id":"ITEM-2","issued":{"date-parts":[["2018","9","1"]]},"page":"68-77","publisher":"Elsevier","title":"Influence of binder properties on dry granules and tablets","type":"article-journal","volume":"337"},"uris":["http://www.mendeley.com/documents/?uuid=bd9455d2-6e0c-3d80-ba42-1aac221b6094"]}],"mendeley":{"formattedCitation":"(17,18)","plainTextFormattedCitation":"(17,18)","previouslyFormattedCitation":"(17,18)"},"properties":{"noteIndex":0},"schema":"https://github.com/citation-style-language/schema/raw/master/csl-citation.json"}</w:instrText>
      </w:r>
      <w:r w:rsidR="00EA3B9E" w:rsidRPr="005A0CD7">
        <w:fldChar w:fldCharType="separate"/>
      </w:r>
      <w:r w:rsidR="00EA3B9E" w:rsidRPr="005A0CD7">
        <w:rPr>
          <w:noProof/>
        </w:rPr>
        <w:t>(17,18)</w:t>
      </w:r>
      <w:r w:rsidR="00EA3B9E" w:rsidRPr="005A0CD7">
        <w:fldChar w:fldCharType="end"/>
      </w:r>
      <w:r w:rsidR="00EA3B9E" w:rsidRPr="005A0CD7">
        <w:t xml:space="preserve">. Lakshman </w:t>
      </w:r>
      <w:r w:rsidR="00EA3B9E" w:rsidRPr="005A0CD7">
        <w:rPr>
          <w:i/>
          <w:iCs/>
        </w:rPr>
        <w:t>et. al</w:t>
      </w:r>
      <w:r w:rsidR="00EA3B9E" w:rsidRPr="005A0CD7">
        <w:t xml:space="preserve">. reported that MET was compatible with HPC polymers </w:t>
      </w:r>
      <w:r w:rsidR="00EA3B9E" w:rsidRPr="005A0CD7">
        <w:fldChar w:fldCharType="begin" w:fldLock="1"/>
      </w:r>
      <w:r w:rsidR="001B225D" w:rsidRPr="005A0CD7">
        <w:instrText>ADDIN CSL_CITATION {"citationItems":[{"id":"ITEM-1","itemData":{"DOI":"10.1002/jps.22369","ISSN":"00223549","author":[{"dropping-particle":"","family":"Lakshman","given":"Jay P.","non-dropping-particle":"","parse-names":false,"suffix":""},{"dropping-particle":"","family":"Kowalski","given":"James","non-dropping-particle":"","parse-names":false,"suffix":""},{"dropping-particle":"","family":"Vasanthavada","given":"Madhav","non-dropping-particle":"","parse-names":false,"suffix":""},{"dropping-particle":"","family":"Tong","given":"Wei-Qin","non-dropping-particle":"","parse-names":false,"suffix":""},{"dropping-particle":"","family":"Joshi","given":"Yatindra M.","non-dropping-particle":"","parse-names":false,"suffix":""},{"dropping-particle":"","family":"Serajuddin","given":"Abu T.M.","non-dropping-particle":"","parse-names":false,"suffix":""}],"container-title":"Journal of Pharmaceutical Sciences","id":"ITEM-1","issue":"4","issued":{"date-parts":[["2011","4","1"]]},"page":"1553-1565","publisher":"John Wiley &amp; Sons, Ltd","title":"Application of Melt Granulation Technology to Enhance Tabletting Properties of Poorly Compactible High-Dose Drugs","type":"article-journal","volume":"100"},"uris":["http://www.mendeley.com/documents/?uuid=2e901432-c101-3e6a-b782-fd3e3b45eb3b"]}],"mendeley":{"formattedCitation":"(17)","plainTextFormattedCitation":"(17)","previouslyFormattedCitation":"(17)"},"properties":{"noteIndex":0},"schema":"https://github.com/citation-style-language/schema/raw/master/csl-citation.json"}</w:instrText>
      </w:r>
      <w:r w:rsidR="00EA3B9E" w:rsidRPr="005A0CD7">
        <w:fldChar w:fldCharType="separate"/>
      </w:r>
      <w:r w:rsidR="00EA3B9E" w:rsidRPr="005A0CD7">
        <w:rPr>
          <w:noProof/>
        </w:rPr>
        <w:t>(17)</w:t>
      </w:r>
      <w:r w:rsidR="00EA3B9E" w:rsidRPr="005A0CD7">
        <w:fldChar w:fldCharType="end"/>
      </w:r>
      <w:r w:rsidR="00EA3B9E" w:rsidRPr="005A0CD7">
        <w:t xml:space="preserve">. As formulations with drug loads of up to 95 % have been successfully achieved using the MG process and reported in the literature, </w:t>
      </w:r>
      <w:r w:rsidR="006B425C" w:rsidRPr="005A0CD7">
        <w:t>one of the</w:t>
      </w:r>
      <w:r w:rsidR="00EA3B9E" w:rsidRPr="005A0CD7">
        <w:t xml:space="preserve"> aim</w:t>
      </w:r>
      <w:r w:rsidR="006B425C" w:rsidRPr="005A0CD7">
        <w:t>s</w:t>
      </w:r>
      <w:r w:rsidR="00EA3B9E" w:rsidRPr="005A0CD7">
        <w:t xml:space="preserve"> of this study</w:t>
      </w:r>
      <w:r w:rsidR="006B425C" w:rsidRPr="005A0CD7">
        <w:t xml:space="preserve"> was</w:t>
      </w:r>
      <w:r w:rsidR="00EA3B9E" w:rsidRPr="005A0CD7">
        <w:t xml:space="preserve"> to minimise the amount of HPC required to manufacture successful granules comprising </w:t>
      </w:r>
      <w:r w:rsidR="001220F6" w:rsidRPr="005A0CD7">
        <w:t xml:space="preserve">the </w:t>
      </w:r>
      <w:r w:rsidR="00EA3B9E" w:rsidRPr="005A0CD7">
        <w:t xml:space="preserve">two APIs. </w:t>
      </w:r>
    </w:p>
    <w:p w14:paraId="6DC135E5" w14:textId="7C873436" w:rsidR="000147AF" w:rsidRDefault="006D3CAE" w:rsidP="002244B8">
      <w:pPr>
        <w:rPr>
          <w:rFonts w:cs="Times New Roman"/>
        </w:rPr>
      </w:pPr>
      <w:r w:rsidRPr="00FB41AF">
        <w:rPr>
          <w:rFonts w:cs="Times New Roman"/>
        </w:rPr>
        <w:lastRenderedPageBreak/>
        <w:t xml:space="preserve">The main </w:t>
      </w:r>
      <w:r w:rsidR="008E282A">
        <w:rPr>
          <w:rFonts w:cs="Times New Roman"/>
        </w:rPr>
        <w:t>aim</w:t>
      </w:r>
      <w:r w:rsidR="008E282A" w:rsidRPr="00FB41AF">
        <w:rPr>
          <w:rFonts w:cs="Times New Roman"/>
        </w:rPr>
        <w:t xml:space="preserve"> </w:t>
      </w:r>
      <w:r w:rsidRPr="00FB41AF">
        <w:rPr>
          <w:rFonts w:cs="Times New Roman"/>
        </w:rPr>
        <w:t xml:space="preserve">of the current work was to investigate the </w:t>
      </w:r>
      <w:r w:rsidR="008E282A">
        <w:rPr>
          <w:rFonts w:cs="Times New Roman"/>
        </w:rPr>
        <w:t>viability</w:t>
      </w:r>
      <w:r w:rsidR="008E282A" w:rsidRPr="00FB41AF">
        <w:rPr>
          <w:rFonts w:cs="Times New Roman"/>
        </w:rPr>
        <w:t xml:space="preserve"> </w:t>
      </w:r>
      <w:r w:rsidRPr="00FB41AF">
        <w:rPr>
          <w:rFonts w:cs="Times New Roman"/>
        </w:rPr>
        <w:t xml:space="preserve">of </w:t>
      </w:r>
      <w:r w:rsidR="00FB7B19">
        <w:rPr>
          <w:rFonts w:cs="Times New Roman"/>
        </w:rPr>
        <w:t>twin-screw melt granulation</w:t>
      </w:r>
      <w:r w:rsidRPr="00FB41AF">
        <w:rPr>
          <w:rFonts w:cs="Times New Roman"/>
        </w:rPr>
        <w:t xml:space="preserve"> as a continuous processing technique </w:t>
      </w:r>
      <w:r w:rsidR="000D61FF" w:rsidRPr="00FB41AF">
        <w:rPr>
          <w:rFonts w:cs="Times New Roman"/>
        </w:rPr>
        <w:t>to produce</w:t>
      </w:r>
      <w:r w:rsidRPr="00FB41AF">
        <w:rPr>
          <w:rFonts w:cs="Times New Roman"/>
        </w:rPr>
        <w:t xml:space="preserve"> </w:t>
      </w:r>
      <w:r w:rsidR="0054180E">
        <w:rPr>
          <w:rFonts w:cs="Times New Roman"/>
        </w:rPr>
        <w:t>a</w:t>
      </w:r>
      <w:r w:rsidR="002D6B73">
        <w:rPr>
          <w:rFonts w:cs="Times New Roman"/>
        </w:rPr>
        <w:t xml:space="preserve"> monolithic</w:t>
      </w:r>
      <w:r w:rsidR="0054180E">
        <w:rPr>
          <w:rFonts w:cs="Times New Roman"/>
        </w:rPr>
        <w:t xml:space="preserve"> </w:t>
      </w:r>
      <w:r w:rsidRPr="00FB41AF">
        <w:rPr>
          <w:rFonts w:cs="Times New Roman"/>
        </w:rPr>
        <w:t xml:space="preserve">high dose FDC product of </w:t>
      </w:r>
      <w:r w:rsidR="00A624D6">
        <w:rPr>
          <w:rFonts w:cs="Times New Roman"/>
        </w:rPr>
        <w:t>MET and SIT</w:t>
      </w:r>
      <w:r w:rsidR="00363C0A">
        <w:rPr>
          <w:rFonts w:cs="Times New Roman"/>
        </w:rPr>
        <w:t>.</w:t>
      </w:r>
      <w:r w:rsidRPr="00FB41AF">
        <w:rPr>
          <w:rFonts w:cs="Times New Roman"/>
        </w:rPr>
        <w:t xml:space="preserve"> Additionally, the study aimed to investigate the effect of</w:t>
      </w:r>
      <w:r w:rsidR="007A2C4E">
        <w:rPr>
          <w:rFonts w:cs="Times New Roman"/>
        </w:rPr>
        <w:t xml:space="preserve"> different</w:t>
      </w:r>
      <w:r w:rsidRPr="00FB41AF">
        <w:rPr>
          <w:rFonts w:cs="Times New Roman"/>
        </w:rPr>
        <w:t xml:space="preserve"> </w:t>
      </w:r>
      <w:r w:rsidR="00FB7B19">
        <w:rPr>
          <w:rFonts w:cs="Times New Roman"/>
        </w:rPr>
        <w:t>binder</w:t>
      </w:r>
      <w:r w:rsidRPr="00FB41AF">
        <w:rPr>
          <w:rFonts w:cs="Times New Roman"/>
        </w:rPr>
        <w:t xml:space="preserve"> grades and processing conditions </w:t>
      </w:r>
      <w:r w:rsidR="003F6222">
        <w:t>on the characteristics of the produced granules as well as the in vitro performance of the subsequent compressed caplets.</w:t>
      </w:r>
      <w:r w:rsidR="003F6222" w:rsidRPr="00FB41AF" w:rsidDel="000D61FF">
        <w:rPr>
          <w:rFonts w:cs="Times New Roman"/>
        </w:rPr>
        <w:t xml:space="preserve"> </w:t>
      </w:r>
      <w:r w:rsidRPr="00FB41AF">
        <w:rPr>
          <w:rFonts w:cs="Times New Roman"/>
        </w:rPr>
        <w:t xml:space="preserve"> </w:t>
      </w:r>
    </w:p>
    <w:p w14:paraId="69EB03D6" w14:textId="60AE0F82" w:rsidR="005C776D" w:rsidRDefault="005C776D" w:rsidP="002244B8">
      <w:pPr>
        <w:rPr>
          <w:rFonts w:cs="Times New Roman"/>
        </w:rPr>
      </w:pPr>
    </w:p>
    <w:p w14:paraId="1095D734" w14:textId="4A345B0D" w:rsidR="005C776D" w:rsidRDefault="005C776D" w:rsidP="002244B8">
      <w:pPr>
        <w:rPr>
          <w:rFonts w:cs="Times New Roman"/>
        </w:rPr>
      </w:pPr>
    </w:p>
    <w:p w14:paraId="5595D7AA" w14:textId="3BE5BD76" w:rsidR="005C776D" w:rsidRDefault="005C776D" w:rsidP="002244B8">
      <w:pPr>
        <w:rPr>
          <w:rFonts w:cs="Times New Roman"/>
        </w:rPr>
      </w:pPr>
    </w:p>
    <w:p w14:paraId="77A23599" w14:textId="54A85F54" w:rsidR="005C776D" w:rsidRDefault="005C776D" w:rsidP="002244B8">
      <w:pPr>
        <w:rPr>
          <w:rFonts w:cs="Times New Roman"/>
        </w:rPr>
      </w:pPr>
    </w:p>
    <w:p w14:paraId="5A5DF59A" w14:textId="02262F05" w:rsidR="005C776D" w:rsidRDefault="005C776D" w:rsidP="002244B8">
      <w:pPr>
        <w:rPr>
          <w:rFonts w:cs="Times New Roman"/>
        </w:rPr>
      </w:pPr>
    </w:p>
    <w:p w14:paraId="0DE67D14" w14:textId="63B43908" w:rsidR="005C776D" w:rsidRDefault="005C776D" w:rsidP="002244B8">
      <w:pPr>
        <w:rPr>
          <w:rFonts w:cs="Times New Roman"/>
        </w:rPr>
      </w:pPr>
    </w:p>
    <w:p w14:paraId="13FCDFA5" w14:textId="285EC4B0" w:rsidR="005C776D" w:rsidRDefault="005C776D" w:rsidP="002244B8">
      <w:pPr>
        <w:rPr>
          <w:rFonts w:cs="Times New Roman"/>
        </w:rPr>
      </w:pPr>
    </w:p>
    <w:p w14:paraId="56AC665C" w14:textId="08C5169D" w:rsidR="005C776D" w:rsidRDefault="005C776D" w:rsidP="002244B8">
      <w:pPr>
        <w:rPr>
          <w:rFonts w:cs="Times New Roman"/>
        </w:rPr>
      </w:pPr>
    </w:p>
    <w:p w14:paraId="0C013777" w14:textId="65148515" w:rsidR="005C776D" w:rsidRDefault="005C776D" w:rsidP="002244B8">
      <w:pPr>
        <w:rPr>
          <w:rFonts w:cs="Times New Roman"/>
        </w:rPr>
      </w:pPr>
    </w:p>
    <w:p w14:paraId="5F427316" w14:textId="488934C6" w:rsidR="005C776D" w:rsidRDefault="005C776D" w:rsidP="002244B8">
      <w:pPr>
        <w:rPr>
          <w:rFonts w:cs="Times New Roman"/>
        </w:rPr>
      </w:pPr>
    </w:p>
    <w:p w14:paraId="52BA6738" w14:textId="38D609C5" w:rsidR="005C776D" w:rsidRDefault="005C776D" w:rsidP="002244B8">
      <w:pPr>
        <w:rPr>
          <w:rFonts w:cs="Times New Roman"/>
        </w:rPr>
      </w:pPr>
    </w:p>
    <w:p w14:paraId="0641A622" w14:textId="3F0B1B80" w:rsidR="005C776D" w:rsidRDefault="005C776D" w:rsidP="002244B8">
      <w:pPr>
        <w:rPr>
          <w:rFonts w:cs="Times New Roman"/>
        </w:rPr>
      </w:pPr>
    </w:p>
    <w:p w14:paraId="282ACA27" w14:textId="5A61CFD3" w:rsidR="005C776D" w:rsidRDefault="005C776D" w:rsidP="002244B8">
      <w:pPr>
        <w:rPr>
          <w:rFonts w:cs="Times New Roman"/>
        </w:rPr>
      </w:pPr>
    </w:p>
    <w:p w14:paraId="756EC6EA" w14:textId="68E6B6F1" w:rsidR="005C776D" w:rsidRDefault="005C776D" w:rsidP="002244B8">
      <w:pPr>
        <w:rPr>
          <w:rFonts w:cs="Times New Roman"/>
        </w:rPr>
      </w:pPr>
    </w:p>
    <w:p w14:paraId="76051982" w14:textId="34DAF8E0" w:rsidR="005C776D" w:rsidRDefault="005C776D" w:rsidP="002244B8">
      <w:pPr>
        <w:rPr>
          <w:rFonts w:cs="Times New Roman"/>
        </w:rPr>
      </w:pPr>
    </w:p>
    <w:p w14:paraId="4F8A7B7F" w14:textId="690ADD7C" w:rsidR="005C776D" w:rsidRDefault="005C776D" w:rsidP="002244B8">
      <w:pPr>
        <w:rPr>
          <w:rFonts w:cs="Times New Roman"/>
        </w:rPr>
      </w:pPr>
    </w:p>
    <w:p w14:paraId="60DFCD63" w14:textId="77777777" w:rsidR="005C776D" w:rsidRDefault="005C776D" w:rsidP="002244B8">
      <w:pPr>
        <w:rPr>
          <w:rFonts w:cs="Times New Roman"/>
        </w:rPr>
      </w:pPr>
    </w:p>
    <w:p w14:paraId="24386FF4" w14:textId="77777777" w:rsidR="003B5033" w:rsidRPr="001B6846" w:rsidRDefault="003B5033" w:rsidP="002244B8">
      <w:pPr>
        <w:rPr>
          <w:rFonts w:cs="Times New Roman"/>
        </w:rPr>
      </w:pPr>
    </w:p>
    <w:p w14:paraId="5B34B4E3" w14:textId="7F658901" w:rsidR="000147AF" w:rsidRPr="00E53008" w:rsidRDefault="001C0E4A" w:rsidP="002244B8">
      <w:pPr>
        <w:rPr>
          <w:rFonts w:ascii="Times" w:eastAsia="Calibri" w:hAnsi="Times" w:cs="Times"/>
          <w:b/>
          <w:bCs/>
          <w:szCs w:val="24"/>
        </w:rPr>
      </w:pPr>
      <w:r w:rsidRPr="00E53008">
        <w:rPr>
          <w:rFonts w:ascii="Times" w:eastAsia="Calibri" w:hAnsi="Times" w:cs="Times"/>
          <w:b/>
          <w:bCs/>
          <w:szCs w:val="24"/>
        </w:rPr>
        <w:lastRenderedPageBreak/>
        <w:t>Materials and Methods</w:t>
      </w:r>
    </w:p>
    <w:p w14:paraId="73C5D0B1" w14:textId="07D09E6E" w:rsidR="00CB72F0" w:rsidRPr="00CB72F0" w:rsidRDefault="00CB72F0" w:rsidP="002244B8">
      <w:pPr>
        <w:rPr>
          <w:rFonts w:ascii="Times" w:hAnsi="Times" w:cs="Times"/>
          <w:szCs w:val="24"/>
        </w:rPr>
      </w:pPr>
      <w:r w:rsidRPr="00CB72F0">
        <w:rPr>
          <w:rFonts w:ascii="Times" w:hAnsi="Times" w:cs="Times"/>
          <w:szCs w:val="24"/>
        </w:rPr>
        <w:t>Materials</w:t>
      </w:r>
    </w:p>
    <w:p w14:paraId="1366DC7F" w14:textId="639E2F00" w:rsidR="00CA4BB6" w:rsidRDefault="00CA4BB6" w:rsidP="002244B8">
      <w:pPr>
        <w:rPr>
          <w:rFonts w:cs="Times New Roman"/>
        </w:rPr>
      </w:pPr>
      <w:r w:rsidRPr="00CA4BB6">
        <w:rPr>
          <w:rFonts w:cs="Times New Roman"/>
        </w:rPr>
        <w:t xml:space="preserve">Metformin hydrochloride (MET) was purchased from Tokyo Chemical Industry UK Ltd. (Oxford, UK) and sitagliptin phosphate (SIT) was purchased from Kemprotec (Carnforth, UK). </w:t>
      </w:r>
      <w:bookmarkStart w:id="1" w:name="_Hlk513814977"/>
      <w:r w:rsidRPr="00CA4BB6">
        <w:rPr>
          <w:rFonts w:cs="Times New Roman"/>
        </w:rPr>
        <w:t>T</w:t>
      </w:r>
      <w:r w:rsidR="00435352">
        <w:rPr>
          <w:rFonts w:cs="Times New Roman"/>
        </w:rPr>
        <w:t>wo</w:t>
      </w:r>
      <w:r w:rsidRPr="00CA4BB6">
        <w:rPr>
          <w:rFonts w:cs="Times New Roman"/>
        </w:rPr>
        <w:t xml:space="preserve"> hydroxypropyl cellulose (HPC) grades were studied as carrier polymers</w:t>
      </w:r>
      <w:r w:rsidR="00927AAC">
        <w:rPr>
          <w:rFonts w:cs="Times New Roman"/>
        </w:rPr>
        <w:t>/me</w:t>
      </w:r>
      <w:r w:rsidR="00E62888">
        <w:rPr>
          <w:rFonts w:cs="Times New Roman"/>
        </w:rPr>
        <w:t>l</w:t>
      </w:r>
      <w:r w:rsidR="00927AAC">
        <w:rPr>
          <w:rFonts w:cs="Times New Roman"/>
        </w:rPr>
        <w:t>table binders</w:t>
      </w:r>
      <w:r w:rsidR="004126EF">
        <w:rPr>
          <w:rFonts w:cs="Times New Roman"/>
        </w:rPr>
        <w:t>;</w:t>
      </w:r>
      <w:r w:rsidRPr="00CA4BB6">
        <w:rPr>
          <w:rFonts w:cs="Times New Roman"/>
        </w:rPr>
        <w:t xml:space="preserve"> HPC-A</w:t>
      </w:r>
      <w:r w:rsidR="00FA7160">
        <w:rPr>
          <w:rFonts w:cs="Times New Roman"/>
        </w:rPr>
        <w:t xml:space="preserve"> </w:t>
      </w:r>
      <w:r w:rsidR="00FA7160" w:rsidRPr="001B225D">
        <w:rPr>
          <w:rFonts w:cs="Times New Roman"/>
          <w:b/>
          <w:bCs/>
        </w:rPr>
        <w:t>(</w:t>
      </w:r>
      <w:proofErr w:type="spellStart"/>
      <w:r w:rsidR="00F1232B" w:rsidRPr="005A0CD7">
        <w:rPr>
          <w:rFonts w:cs="Times New Roman"/>
        </w:rPr>
        <w:t>Klucel</w:t>
      </w:r>
      <w:r w:rsidR="00F1232B" w:rsidRPr="005A0CD7">
        <w:rPr>
          <w:rFonts w:cs="Times New Roman"/>
          <w:vertAlign w:val="superscript"/>
        </w:rPr>
        <w:t>TM</w:t>
      </w:r>
      <w:proofErr w:type="spellEnd"/>
      <w:r w:rsidR="00F1232B" w:rsidRPr="005A0CD7">
        <w:rPr>
          <w:rFonts w:cs="Times New Roman"/>
        </w:rPr>
        <w:t xml:space="preserve"> HF</w:t>
      </w:r>
      <w:r w:rsidR="00C007FE" w:rsidRPr="005A0CD7">
        <w:rPr>
          <w:rFonts w:cs="Times New Roman"/>
        </w:rPr>
        <w:t xml:space="preserve"> Pharm,</w:t>
      </w:r>
      <w:r w:rsidR="007D1D78" w:rsidRPr="005A0CD7">
        <w:rPr>
          <w:rFonts w:cs="Times New Roman"/>
        </w:rPr>
        <w:t xml:space="preserve"> </w:t>
      </w:r>
      <w:r w:rsidR="0015334F" w:rsidRPr="005A0CD7">
        <w:rPr>
          <w:rFonts w:cs="Times New Roman"/>
        </w:rPr>
        <w:t>Mw of 1,150,000 g/mol)</w:t>
      </w:r>
      <w:r w:rsidRPr="005A0CD7">
        <w:rPr>
          <w:rFonts w:cs="Times New Roman"/>
        </w:rPr>
        <w:t xml:space="preserve"> was obtained from Ashland (Covington, Kentucky, USA)</w:t>
      </w:r>
      <w:r w:rsidR="00334047" w:rsidRPr="005A0CD7">
        <w:rPr>
          <w:rFonts w:cs="Times New Roman"/>
        </w:rPr>
        <w:t xml:space="preserve"> and</w:t>
      </w:r>
      <w:r w:rsidRPr="005A0CD7">
        <w:rPr>
          <w:rFonts w:cs="Times New Roman"/>
        </w:rPr>
        <w:t xml:space="preserve"> HPC-S </w:t>
      </w:r>
      <w:r w:rsidR="0054427A" w:rsidRPr="005A0CD7">
        <w:rPr>
          <w:rFonts w:cs="Times New Roman"/>
        </w:rPr>
        <w:t>(</w:t>
      </w:r>
      <w:r w:rsidR="00C234B6" w:rsidRPr="005A0CD7">
        <w:rPr>
          <w:rFonts w:cs="Times New Roman"/>
        </w:rPr>
        <w:t xml:space="preserve">Sigma HPC, cat. No. 191884, </w:t>
      </w:r>
      <w:r w:rsidR="0054427A" w:rsidRPr="005A0CD7">
        <w:rPr>
          <w:rFonts w:cs="Times New Roman"/>
        </w:rPr>
        <w:t>Mw of 1</w:t>
      </w:r>
      <w:r w:rsidR="00A37A60" w:rsidRPr="005A0CD7">
        <w:rPr>
          <w:rFonts w:cs="Times New Roman"/>
        </w:rPr>
        <w:t>0</w:t>
      </w:r>
      <w:r w:rsidR="0054427A" w:rsidRPr="005A0CD7">
        <w:rPr>
          <w:rFonts w:cs="Times New Roman"/>
        </w:rPr>
        <w:t>0,000 g/mol)</w:t>
      </w:r>
      <w:r w:rsidR="00A37A60" w:rsidRPr="005A0CD7">
        <w:rPr>
          <w:rFonts w:cs="Times New Roman"/>
        </w:rPr>
        <w:t xml:space="preserve"> </w:t>
      </w:r>
      <w:r w:rsidRPr="005A0CD7">
        <w:rPr>
          <w:rFonts w:cs="Times New Roman"/>
        </w:rPr>
        <w:t>was received</w:t>
      </w:r>
      <w:r w:rsidRPr="00CA4BB6">
        <w:rPr>
          <w:rFonts w:cs="Times New Roman"/>
        </w:rPr>
        <w:t xml:space="preserve"> from Sigma-Aldrich (Dorset,</w:t>
      </w:r>
      <w:r w:rsidR="00BD32A1">
        <w:rPr>
          <w:rFonts w:cs="Times New Roman"/>
        </w:rPr>
        <w:t xml:space="preserve"> </w:t>
      </w:r>
      <w:r w:rsidRPr="00CA4BB6">
        <w:rPr>
          <w:rFonts w:cs="Times New Roman"/>
        </w:rPr>
        <w:t xml:space="preserve">UK). </w:t>
      </w:r>
      <w:bookmarkEnd w:id="1"/>
      <w:r w:rsidR="00435754">
        <w:rPr>
          <w:rFonts w:cs="Times New Roman"/>
        </w:rPr>
        <w:t>P</w:t>
      </w:r>
      <w:r w:rsidRPr="00CA4BB6">
        <w:rPr>
          <w:rFonts w:cs="Times New Roman"/>
        </w:rPr>
        <w:t xml:space="preserve">olyethylene glycol (3350 g/ mol) was </w:t>
      </w:r>
      <w:r w:rsidR="004D42FA">
        <w:rPr>
          <w:rFonts w:cs="Times New Roman"/>
        </w:rPr>
        <w:t>purchased</w:t>
      </w:r>
      <w:r w:rsidR="00BD32A1">
        <w:rPr>
          <w:rFonts w:cs="Times New Roman"/>
        </w:rPr>
        <w:t xml:space="preserve"> from Sigma-Aldrich (Dorset, UK)</w:t>
      </w:r>
      <w:r w:rsidRPr="00CA4BB6">
        <w:rPr>
          <w:rFonts w:cs="Times New Roman"/>
        </w:rPr>
        <w:t xml:space="preserve">. Microcrystalline cellulose, Avicel PH102, was </w:t>
      </w:r>
      <w:r w:rsidR="00A629D9">
        <w:rPr>
          <w:rFonts w:cs="Times New Roman"/>
        </w:rPr>
        <w:t xml:space="preserve">received from </w:t>
      </w:r>
      <w:r w:rsidR="00B04ECD">
        <w:rPr>
          <w:szCs w:val="24"/>
        </w:rPr>
        <w:t>IMCD Ltd. (Sutton, UK)</w:t>
      </w:r>
      <w:r w:rsidRPr="00CA4BB6">
        <w:rPr>
          <w:rFonts w:cs="Times New Roman"/>
        </w:rPr>
        <w:t xml:space="preserve">. Deionised water was obtained using an Elix 3 connected to a Synergy® UV water purification system (Millipore, UK). All other chemicals were obtained from Sigma-Aldrich (Dorset, UK) and were of analytical grade or equivalent and were used without any further treatment. </w:t>
      </w:r>
    </w:p>
    <w:p w14:paraId="7545E126" w14:textId="71B9DB79" w:rsidR="00983F55" w:rsidRPr="00091E36" w:rsidRDefault="00091E36" w:rsidP="002244B8">
      <w:pPr>
        <w:rPr>
          <w:rFonts w:ascii="Times" w:hAnsi="Times" w:cs="Times"/>
          <w:szCs w:val="24"/>
        </w:rPr>
      </w:pPr>
      <w:r w:rsidRPr="00091E36">
        <w:rPr>
          <w:rFonts w:ascii="Times" w:hAnsi="Times" w:cs="Times"/>
          <w:szCs w:val="24"/>
        </w:rPr>
        <w:t>Methods</w:t>
      </w:r>
    </w:p>
    <w:p w14:paraId="40F9A047" w14:textId="51D676EC" w:rsidR="000147AF" w:rsidRDefault="00BD630D" w:rsidP="002244B8">
      <w:pPr>
        <w:rPr>
          <w:rFonts w:ascii="Times" w:eastAsia="Calibri" w:hAnsi="Times" w:cs="Times"/>
        </w:rPr>
      </w:pPr>
      <w:r w:rsidRPr="00C87453">
        <w:rPr>
          <w:rFonts w:ascii="Times" w:eastAsia="Calibri" w:hAnsi="Times" w:cs="Times"/>
        </w:rPr>
        <w:t>Solid s</w:t>
      </w:r>
      <w:r w:rsidR="00062BB6">
        <w:rPr>
          <w:rFonts w:ascii="Times" w:eastAsia="Calibri" w:hAnsi="Times" w:cs="Times"/>
        </w:rPr>
        <w:t>t</w:t>
      </w:r>
      <w:r w:rsidRPr="00C87453">
        <w:rPr>
          <w:rFonts w:ascii="Times" w:eastAsia="Calibri" w:hAnsi="Times" w:cs="Times"/>
        </w:rPr>
        <w:t xml:space="preserve">ate characteristics </w:t>
      </w:r>
    </w:p>
    <w:p w14:paraId="6AD81E47" w14:textId="3591A4C4" w:rsidR="00C87453" w:rsidRPr="006A1BC6" w:rsidRDefault="00544733" w:rsidP="002244B8">
      <w:pPr>
        <w:rPr>
          <w:rFonts w:cs="Times New Roman"/>
          <w:i/>
        </w:rPr>
      </w:pPr>
      <w:r w:rsidRPr="006A1BC6">
        <w:rPr>
          <w:rFonts w:cs="Times New Roman"/>
        </w:rPr>
        <w:t>Thermogravimetric Analysis (TGA)</w:t>
      </w:r>
    </w:p>
    <w:p w14:paraId="2F6ABDE8" w14:textId="5E14FD75" w:rsidR="00E44408" w:rsidRDefault="009A784B" w:rsidP="002244B8">
      <w:r>
        <w:t xml:space="preserve">Thermogravimetric analysis studies were conducted using a TGA Q50 (TA Instruments, Leatherhead, UK) to evaluate the onset of degradation of each of the individual ingredients. Samples (5–10 mg) were analysed in open </w:t>
      </w:r>
      <w:r w:rsidR="00EC2C24">
        <w:t xml:space="preserve">standard </w:t>
      </w:r>
      <w:r>
        <w:t xml:space="preserve">aluminium pans using a linear heating rate of 10 °C/min from </w:t>
      </w:r>
      <w:r w:rsidR="0005254B">
        <w:t>50</w:t>
      </w:r>
      <w:r>
        <w:t xml:space="preserve"> to </w:t>
      </w:r>
      <w:r w:rsidR="0053465B">
        <w:t>4</w:t>
      </w:r>
      <w:r>
        <w:t>00 °C.</w:t>
      </w:r>
      <w:r w:rsidR="00077503">
        <w:t xml:space="preserve"> TGA data was analysed using</w:t>
      </w:r>
      <w:r w:rsidR="00676874">
        <w:t xml:space="preserve"> TA</w:t>
      </w:r>
      <w:r w:rsidR="00077503">
        <w:t xml:space="preserve"> Universal Analysis software </w:t>
      </w:r>
      <w:r w:rsidR="00583391">
        <w:t xml:space="preserve">version 4.5A </w:t>
      </w:r>
      <w:r w:rsidR="00077503">
        <w:t xml:space="preserve">(TA Instruments, </w:t>
      </w:r>
      <w:bookmarkStart w:id="2" w:name="_Hlk7689457"/>
      <w:r w:rsidR="00077503">
        <w:t>Leatherhead, UK</w:t>
      </w:r>
      <w:bookmarkEnd w:id="2"/>
      <w:r w:rsidR="00077503">
        <w:t>). Analysis was performed in triplicate.</w:t>
      </w:r>
    </w:p>
    <w:p w14:paraId="431C8BCA" w14:textId="35D020D6" w:rsidR="00676874" w:rsidRPr="006A1BC6" w:rsidRDefault="00E72577" w:rsidP="002244B8">
      <w:pPr>
        <w:rPr>
          <w:rFonts w:cs="Times New Roman"/>
          <w:i/>
        </w:rPr>
      </w:pPr>
      <w:r w:rsidRPr="006A1BC6">
        <w:rPr>
          <w:rFonts w:cs="Times New Roman"/>
        </w:rPr>
        <w:t>Differential Scanning Calorimetry (DSC)</w:t>
      </w:r>
    </w:p>
    <w:p w14:paraId="0C888418" w14:textId="4794D30B" w:rsidR="00E72577" w:rsidRDefault="00F862E3" w:rsidP="002244B8">
      <w:r>
        <w:t xml:space="preserve">The thermal behaviour of materials was analysed using a differential scanning calorimeter (Q200, TA Instruments, Leatherhead, UK). Nitrogen was used as the purge gas (60 ml/min). </w:t>
      </w:r>
      <w:r w:rsidR="00EC2C24">
        <w:t>Temperature and cell constant c</w:t>
      </w:r>
      <w:r>
        <w:t xml:space="preserve">alibration was performed with an indium standard. Samples (5–10 mg) were analysed in crimped standard aluminium pans with a </w:t>
      </w:r>
      <w:bookmarkStart w:id="3" w:name="_Hlk9264581"/>
      <w:r>
        <w:t xml:space="preserve">heating rate of 10 </w:t>
      </w:r>
      <w:bookmarkStart w:id="4" w:name="_Hlk9264487"/>
      <w:r>
        <w:t>°C</w:t>
      </w:r>
      <w:bookmarkEnd w:id="4"/>
      <w:r>
        <w:t>/min</w:t>
      </w:r>
      <w:bookmarkEnd w:id="3"/>
      <w:r>
        <w:t>. DSC data was analysed using</w:t>
      </w:r>
      <w:r w:rsidR="00513838">
        <w:t xml:space="preserve"> TA</w:t>
      </w:r>
      <w:r>
        <w:t xml:space="preserve"> Universal Analysis software </w:t>
      </w:r>
      <w:r w:rsidR="009F76E3">
        <w:t xml:space="preserve">version 4.5A </w:t>
      </w:r>
      <w:r>
        <w:t>(TA Instruments</w:t>
      </w:r>
      <w:r w:rsidR="00513838">
        <w:t xml:space="preserve">, </w:t>
      </w:r>
      <w:r w:rsidR="00513838" w:rsidRPr="00513838">
        <w:t>Leatherhead, UK</w:t>
      </w:r>
      <w:r>
        <w:t>). Melting temperatures of drugs were determined and reported as peak temperature. The glass transition temperatures were defined as the midpoint of the transition.</w:t>
      </w:r>
      <w:r w:rsidR="00F70757">
        <w:t xml:space="preserve"> </w:t>
      </w:r>
      <w:r w:rsidR="00F70757">
        <w:lastRenderedPageBreak/>
        <w:t>HPC polymers were heated to 140</w:t>
      </w:r>
      <w:r w:rsidR="00570349">
        <w:t xml:space="preserve"> </w:t>
      </w:r>
      <w:r w:rsidR="00570349" w:rsidRPr="00570349">
        <w:t>°C</w:t>
      </w:r>
      <w:r w:rsidR="00810A28">
        <w:t xml:space="preserve">, </w:t>
      </w:r>
      <w:r w:rsidR="00570349">
        <w:t>held for 5 min to remove any moisture</w:t>
      </w:r>
      <w:r w:rsidR="00376718">
        <w:t xml:space="preserve"> present</w:t>
      </w:r>
      <w:r w:rsidR="00810A28">
        <w:t>,</w:t>
      </w:r>
      <w:r w:rsidR="00570349">
        <w:t xml:space="preserve"> </w:t>
      </w:r>
      <w:r w:rsidR="00A23B5A">
        <w:t xml:space="preserve">and </w:t>
      </w:r>
      <w:r w:rsidR="00A23B5A" w:rsidRPr="005A0CD7">
        <w:t>cooled</w:t>
      </w:r>
      <w:r w:rsidR="00363FD1" w:rsidRPr="005A0CD7">
        <w:t xml:space="preserve"> at a cooling rate of 10 °C/min</w:t>
      </w:r>
      <w:r w:rsidR="00A23B5A" w:rsidRPr="004E24E6">
        <w:rPr>
          <w:b/>
          <w:bCs/>
        </w:rPr>
        <w:t xml:space="preserve"> </w:t>
      </w:r>
      <w:r w:rsidR="00A23B5A">
        <w:t>to – 40 °C</w:t>
      </w:r>
      <w:r w:rsidR="00F70757">
        <w:t xml:space="preserve"> </w:t>
      </w:r>
      <w:r w:rsidR="00810A28">
        <w:t xml:space="preserve">before being heated </w:t>
      </w:r>
      <w:bookmarkStart w:id="5" w:name="_Hlk20151810"/>
      <w:r w:rsidR="00810A28">
        <w:t xml:space="preserve">at </w:t>
      </w:r>
      <w:r w:rsidR="00DB4B8D">
        <w:t xml:space="preserve">a </w:t>
      </w:r>
      <w:r w:rsidR="00DB4B8D" w:rsidRPr="00DB4B8D">
        <w:t>heating rate of 10 °C/min</w:t>
      </w:r>
      <w:bookmarkEnd w:id="5"/>
      <w:r w:rsidR="00DB4B8D">
        <w:t xml:space="preserve"> to determine the glass transition and melting temperatures</w:t>
      </w:r>
      <w:r w:rsidR="00376718">
        <w:t>.</w:t>
      </w:r>
      <w:r>
        <w:t xml:space="preserve"> Analysis was performed in triplicate.</w:t>
      </w:r>
    </w:p>
    <w:p w14:paraId="6A97F623" w14:textId="24D1319B" w:rsidR="00220808" w:rsidRPr="006A1BC6" w:rsidRDefault="00220808" w:rsidP="002244B8">
      <w:pPr>
        <w:rPr>
          <w:rFonts w:cs="Times New Roman"/>
          <w:i/>
        </w:rPr>
      </w:pPr>
      <w:r w:rsidRPr="006A1BC6">
        <w:rPr>
          <w:rFonts w:cs="Times New Roman"/>
        </w:rPr>
        <w:t>Powder X-ray Diffraction (PXRD)</w:t>
      </w:r>
    </w:p>
    <w:p w14:paraId="0868CC06" w14:textId="48EF672A" w:rsidR="00220808" w:rsidRPr="00220808" w:rsidRDefault="00E33FB3" w:rsidP="002244B8">
      <w:r>
        <w:t>P</w:t>
      </w:r>
      <w:r w:rsidR="007A6A75">
        <w:t>owder x-ray diffraction</w:t>
      </w:r>
      <w:r w:rsidR="008835F4">
        <w:t xml:space="preserve"> </w:t>
      </w:r>
      <w:r w:rsidR="008835F4" w:rsidRPr="008835F4">
        <w:t xml:space="preserve">studies were conducted to determine the solid-state nature of API raw materials, polymers, physical mixtures and manufactured </w:t>
      </w:r>
      <w:r w:rsidR="00725D00">
        <w:t>MG</w:t>
      </w:r>
      <w:r w:rsidR="008835F4" w:rsidRPr="008835F4">
        <w:t xml:space="preserve"> formulations</w:t>
      </w:r>
      <w:r w:rsidR="00413C64">
        <w:t>. PXRD</w:t>
      </w:r>
      <w:r>
        <w:t xml:space="preserve"> was performed on a Mini-Flex II (Rigaku™ Corporation, Japan) with Cu Kα radiation (30 kV) in the angular range (2θ) varying from 5 to 40° using a step scan mode with a step width of 0.0</w:t>
      </w:r>
      <w:r w:rsidR="00631C02">
        <w:t>5</w:t>
      </w:r>
      <w:r>
        <w:t>° and a counting time of 2 s/ step. Scans were performed in triplicate at room temperature.</w:t>
      </w:r>
    </w:p>
    <w:p w14:paraId="37391661" w14:textId="7E71E02E" w:rsidR="00875EFC" w:rsidRPr="00992ECC" w:rsidRDefault="00290C20" w:rsidP="002244B8">
      <w:pPr>
        <w:rPr>
          <w:rFonts w:ascii="Times" w:hAnsi="Times" w:cs="Times"/>
        </w:rPr>
      </w:pPr>
      <w:r w:rsidRPr="005F2406">
        <w:rPr>
          <w:rFonts w:ascii="Times" w:hAnsi="Times" w:cs="Times"/>
        </w:rPr>
        <w:t>Manufacture</w:t>
      </w:r>
      <w:r w:rsidR="005F2406" w:rsidRPr="005F2406">
        <w:rPr>
          <w:rFonts w:ascii="Times" w:hAnsi="Times" w:cs="Times"/>
        </w:rPr>
        <w:t xml:space="preserve"> of </w:t>
      </w:r>
      <w:r w:rsidR="00EC2C24">
        <w:rPr>
          <w:rFonts w:ascii="Times" w:hAnsi="Times" w:cs="Times"/>
        </w:rPr>
        <w:t xml:space="preserve">Twin-screw </w:t>
      </w:r>
      <w:r w:rsidR="005F2406" w:rsidRPr="005F2406">
        <w:rPr>
          <w:rFonts w:ascii="Times" w:hAnsi="Times" w:cs="Times"/>
        </w:rPr>
        <w:t xml:space="preserve">Melt Granules </w:t>
      </w:r>
      <w:r w:rsidR="00875EFC" w:rsidRPr="00992ECC">
        <w:t xml:space="preserve"> </w:t>
      </w:r>
    </w:p>
    <w:p w14:paraId="161C1CB6" w14:textId="01CB1154" w:rsidR="000D648E" w:rsidRDefault="00A84577" w:rsidP="002244B8">
      <w:r w:rsidRPr="00A84577">
        <w:t>Formulations</w:t>
      </w:r>
      <w:r w:rsidR="002E7DF6">
        <w:t xml:space="preserve"> of HPC</w:t>
      </w:r>
      <w:r w:rsidR="001437CA">
        <w:t xml:space="preserve"> and APIs</w:t>
      </w:r>
      <w:r w:rsidRPr="00A84577">
        <w:t xml:space="preserve"> were</w:t>
      </w:r>
      <w:r w:rsidR="001437CA">
        <w:t xml:space="preserve"> physically</w:t>
      </w:r>
      <w:r w:rsidRPr="00A84577">
        <w:t xml:space="preserve"> mixed for 5 minutes, using a mortar and pestle. Mixed powders were manually fed into a co-rotating 20:1 (screw length to diameter ratio), fully intermeshing twin-screw Rondol Microlab 10 mm extruder (Rondol Technology Ltd., France) with only forward conveying elements assembled and no die attached (open end)</w:t>
      </w:r>
      <w:r w:rsidR="00EC1BA2">
        <w:t xml:space="preserve"> (</w:t>
      </w:r>
      <w:r w:rsidR="00C918AA">
        <w:t xml:space="preserve">Table </w:t>
      </w:r>
      <w:r w:rsidR="00C85FD0">
        <w:t>I</w:t>
      </w:r>
      <w:r w:rsidR="00C918AA">
        <w:t>)</w:t>
      </w:r>
      <w:r w:rsidRPr="00A84577">
        <w:t>. The ratio of MET to SIT was kept constant at 850:63, which corresponds to a dose ratio of 850 mg of MET and 50 mg of sitagliptin. This is comparable to the already commercialised FDC product containing MET and SIT. PEG 3350 was used, when necessary, as an additional binding agent</w:t>
      </w:r>
      <w:r w:rsidR="00CB5FC8">
        <w:t xml:space="preserve"> to improve granule </w:t>
      </w:r>
      <w:r w:rsidR="00807916">
        <w:t xml:space="preserve">production and </w:t>
      </w:r>
      <w:r w:rsidR="00D06E2F">
        <w:t>appearance and</w:t>
      </w:r>
      <w:r w:rsidR="00C43016">
        <w:t xml:space="preserve"> was mixed with the other components using a mortar and pestle prior to granulation</w:t>
      </w:r>
      <w:r w:rsidRPr="00A84577">
        <w:t>. The extruder barrel was divided into 4 heating zones (the feeding zone and</w:t>
      </w:r>
      <w:r w:rsidR="000277FA">
        <w:t xml:space="preserve"> heating</w:t>
      </w:r>
      <w:r w:rsidRPr="00A84577">
        <w:t xml:space="preserve"> zones 1-3). Processing temperatures were set at 130 °C and incrementally increased up</w:t>
      </w:r>
      <w:r w:rsidR="008F61A2">
        <w:t xml:space="preserve"> from the feed to the</w:t>
      </w:r>
      <w:r w:rsidR="00AA3D6B">
        <w:t xml:space="preserve"> collect end</w:t>
      </w:r>
      <w:r w:rsidRPr="00A84577">
        <w:t>. Screw rotation speed was varied between 5-20 rpm during the development and optimisation stage of the study with 10 rpm being selected as the optimised screw rotation.</w:t>
      </w:r>
      <w:r w:rsidR="00F531F3">
        <w:t xml:space="preserve"> Batch size remained </w:t>
      </w:r>
      <w:r w:rsidR="002E7DF6">
        <w:t xml:space="preserve">constant at </w:t>
      </w:r>
      <w:r w:rsidR="00DB4A21" w:rsidRPr="001B225D">
        <w:rPr>
          <w:b/>
        </w:rPr>
        <w:t>10</w:t>
      </w:r>
      <w:r w:rsidR="002E7DF6">
        <w:t xml:space="preserve"> g</w:t>
      </w:r>
      <w:r w:rsidR="00AC4114">
        <w:t>rams</w:t>
      </w:r>
      <w:r w:rsidR="002E7DF6">
        <w:t xml:space="preserve"> per batch.</w:t>
      </w:r>
    </w:p>
    <w:p w14:paraId="66646A07" w14:textId="4F4EF60C" w:rsidR="005C776D" w:rsidRDefault="005C776D" w:rsidP="002244B8"/>
    <w:p w14:paraId="234207A6" w14:textId="77DFDFBC" w:rsidR="005C776D" w:rsidRDefault="005C776D" w:rsidP="002244B8"/>
    <w:p w14:paraId="629715F2" w14:textId="77777777" w:rsidR="005C776D" w:rsidRPr="00A4501B" w:rsidRDefault="005C776D" w:rsidP="002244B8"/>
    <w:p w14:paraId="7A2C7CC6" w14:textId="77777777" w:rsidR="00882292" w:rsidRPr="00271735" w:rsidRDefault="00882292" w:rsidP="002244B8"/>
    <w:p w14:paraId="00D548CF" w14:textId="3DD5491C" w:rsidR="00077503" w:rsidRDefault="00992ECC" w:rsidP="002244B8">
      <w:pPr>
        <w:rPr>
          <w:rFonts w:ascii="Times" w:hAnsi="Times" w:cs="Times"/>
        </w:rPr>
      </w:pPr>
      <w:r w:rsidRPr="00992ECC">
        <w:rPr>
          <w:rFonts w:ascii="Times" w:hAnsi="Times" w:cs="Times"/>
        </w:rPr>
        <w:lastRenderedPageBreak/>
        <w:t xml:space="preserve">Characterisation of Melt Granules </w:t>
      </w:r>
    </w:p>
    <w:p w14:paraId="38E27D19" w14:textId="515B78AC" w:rsidR="001E7055" w:rsidRPr="006A1BC6" w:rsidRDefault="00E16CFE" w:rsidP="002244B8">
      <w:pPr>
        <w:rPr>
          <w:rFonts w:cs="Times New Roman"/>
          <w:i/>
        </w:rPr>
      </w:pPr>
      <w:bookmarkStart w:id="6" w:name="_Hlk8133964"/>
      <w:r w:rsidRPr="006A1BC6">
        <w:rPr>
          <w:rFonts w:cs="Times New Roman"/>
        </w:rPr>
        <w:t>Particle Size Analysis (PSA)</w:t>
      </w:r>
    </w:p>
    <w:p w14:paraId="09681303" w14:textId="24CC0456" w:rsidR="001E7055" w:rsidRPr="001E7055" w:rsidRDefault="001E7055" w:rsidP="002244B8">
      <w:pPr>
        <w:rPr>
          <w:rFonts w:asciiTheme="majorHAnsi" w:eastAsiaTheme="majorEastAsia" w:hAnsiTheme="majorHAnsi" w:cstheme="majorBidi"/>
          <w:i/>
          <w:iCs/>
        </w:rPr>
      </w:pPr>
      <w:r w:rsidRPr="006F44B1">
        <w:t>P</w:t>
      </w:r>
      <w:r>
        <w:t>SA</w:t>
      </w:r>
      <w:r w:rsidRPr="006F44B1">
        <w:t xml:space="preserve"> w</w:t>
      </w:r>
      <w:r>
        <w:t>as</w:t>
      </w:r>
      <w:r w:rsidRPr="006F44B1">
        <w:t xml:space="preserve"> performed by laser diffraction using a Malvern Mastersizer 3000 particle sizer (Malvern Instruments Ltd, Worchester, UK) with Aero M dry powder dispersion accessory. The dispersive air pressure used was 2 bar. Samples were run at a vibration feed rate of 50 %. The particle size reported is the median diameter d (5</w:t>
      </w:r>
      <w:r w:rsidR="00EC2C24">
        <w:t>0</w:t>
      </w:r>
      <w:r w:rsidRPr="006F44B1">
        <w:t>). The d (5</w:t>
      </w:r>
      <w:r w:rsidR="00EC2C24">
        <w:t>0</w:t>
      </w:r>
      <w:r w:rsidRPr="006F44B1">
        <w:t>) is the diameter where 50 % of the cumulative distribution is above and 50 % is below this size. The values presented are the average of at least three determinations. Mastersizer 3000 software (Version 3.50) was used for the analysis of the particle size.</w:t>
      </w:r>
    </w:p>
    <w:p w14:paraId="23D8431F" w14:textId="2685B029" w:rsidR="00E16CFE" w:rsidRPr="006A1BC6" w:rsidRDefault="00992ECC" w:rsidP="002244B8">
      <w:pPr>
        <w:rPr>
          <w:rFonts w:cs="Times New Roman"/>
          <w:i/>
        </w:rPr>
      </w:pPr>
      <w:r w:rsidRPr="006A1BC6">
        <w:rPr>
          <w:rFonts w:cs="Times New Roman"/>
        </w:rPr>
        <w:t xml:space="preserve">Flowability </w:t>
      </w:r>
      <w:r w:rsidR="00F448A8" w:rsidRPr="006A1BC6">
        <w:rPr>
          <w:rFonts w:cs="Times New Roman"/>
        </w:rPr>
        <w:t>M</w:t>
      </w:r>
      <w:r w:rsidRPr="006A1BC6">
        <w:rPr>
          <w:rFonts w:cs="Times New Roman"/>
        </w:rPr>
        <w:t xml:space="preserve">easurements </w:t>
      </w:r>
    </w:p>
    <w:bookmarkEnd w:id="6"/>
    <w:p w14:paraId="22646192" w14:textId="23DCD4FA" w:rsidR="006F44B1" w:rsidRPr="001E7055" w:rsidRDefault="009E45F5" w:rsidP="002244B8">
      <w:pPr>
        <w:rPr>
          <w:szCs w:val="24"/>
        </w:rPr>
      </w:pPr>
      <w:r>
        <w:rPr>
          <w:szCs w:val="24"/>
        </w:rPr>
        <w:t>F</w:t>
      </w:r>
      <w:r w:rsidRPr="00A349CC">
        <w:rPr>
          <w:szCs w:val="24"/>
        </w:rPr>
        <w:t xml:space="preserve">lowability behaviour </w:t>
      </w:r>
      <w:r>
        <w:rPr>
          <w:szCs w:val="24"/>
        </w:rPr>
        <w:t>of p</w:t>
      </w:r>
      <w:r w:rsidR="000D221E">
        <w:rPr>
          <w:szCs w:val="24"/>
        </w:rPr>
        <w:t>hysical p</w:t>
      </w:r>
      <w:r w:rsidR="000D221E" w:rsidRPr="00A349CC">
        <w:rPr>
          <w:szCs w:val="24"/>
        </w:rPr>
        <w:t>owder blend</w:t>
      </w:r>
      <w:r w:rsidR="000D221E">
        <w:rPr>
          <w:szCs w:val="24"/>
        </w:rPr>
        <w:t>s</w:t>
      </w:r>
      <w:r w:rsidR="00691877">
        <w:rPr>
          <w:szCs w:val="24"/>
        </w:rPr>
        <w:t xml:space="preserve"> and</w:t>
      </w:r>
      <w:r w:rsidR="000D221E">
        <w:rPr>
          <w:szCs w:val="24"/>
        </w:rPr>
        <w:t xml:space="preserve"> </w:t>
      </w:r>
      <w:r w:rsidR="000D221E" w:rsidRPr="00A349CC">
        <w:rPr>
          <w:szCs w:val="24"/>
        </w:rPr>
        <w:t>melt granule</w:t>
      </w:r>
      <w:r w:rsidR="000D221E">
        <w:rPr>
          <w:szCs w:val="24"/>
        </w:rPr>
        <w:t>s</w:t>
      </w:r>
      <w:r w:rsidR="000D221E" w:rsidRPr="00A349CC">
        <w:rPr>
          <w:szCs w:val="24"/>
        </w:rPr>
        <w:t xml:space="preserve"> was determined using a FT4 powder rheometer (Freeman Technology, Tewkesbury, UK). Cohesiveness and angle of internal friction were determined by placing </w:t>
      </w:r>
      <w:r w:rsidR="000D221E">
        <w:rPr>
          <w:szCs w:val="24"/>
        </w:rPr>
        <w:t>between 1 and 2</w:t>
      </w:r>
      <w:r w:rsidR="000D221E" w:rsidRPr="00A349CC">
        <w:rPr>
          <w:szCs w:val="24"/>
        </w:rPr>
        <w:t xml:space="preserve"> grams of samples in the 1 mL shear cell and applying a 24 mm shear head. The flowability for each sample following pre shearing at a pre-shear normal stress of 9 kPa was investigated by determining the angle of internal friction (AIF)</w:t>
      </w:r>
      <w:r w:rsidR="000C2D4D">
        <w:rPr>
          <w:szCs w:val="24"/>
        </w:rPr>
        <w:t>,</w:t>
      </w:r>
      <w:r w:rsidR="000D221E" w:rsidRPr="00A349CC">
        <w:rPr>
          <w:szCs w:val="24"/>
        </w:rPr>
        <w:t xml:space="preserve"> cohesiveness</w:t>
      </w:r>
      <w:r w:rsidR="000C2D4D">
        <w:rPr>
          <w:szCs w:val="24"/>
        </w:rPr>
        <w:t xml:space="preserve"> and flow function (FF)</w:t>
      </w:r>
      <w:r w:rsidR="00FD3539">
        <w:rPr>
          <w:szCs w:val="24"/>
        </w:rPr>
        <w:t xml:space="preserve"> </w:t>
      </w:r>
      <w:r w:rsidR="005F5DD1">
        <w:rPr>
          <w:szCs w:val="24"/>
        </w:rPr>
        <w:fldChar w:fldCharType="begin" w:fldLock="1"/>
      </w:r>
      <w:r w:rsidR="001B225D">
        <w:rPr>
          <w:szCs w:val="24"/>
        </w:rPr>
        <w:instrText>ADDIN CSL_CITATION {"citationItems":[{"id":"ITEM-1","itemData":{"DOI":"10.1016/J.POWTEC.2006.10.016","ISSN":"0032-5910","abstract":"This paper compares powder flowability measurements using the two methodologies available from a Freeman FT4 Powder Rheometer. The twisted blade method is empirical and measures the energy needed to establish dynamic or three dimensional flow patterns at specific packing conditions. The other is an automated shear cell in which the powder sample is sheared across a single plane to determine its shear strength properties. Six different powders were evaluated to determine their flow performance when consolidated, conditioned and aerated or fluidised. Objectives were to correlate the data from the two methods and assess the sensitivity to some of the key variables that affect powder flow properties. The results showed that dynamic testing that produces shear without compacting the powder sample (upwards testing), provides data that correlates well with shear cell data. However the standard downward dynamic test that does compact, correlates less well but was highly differentiating. It is apparent that shear strength is only one component relating to flowability and that the measured flow energy is also dependent on the compressibility of the powder and the flow rate. Shear testing of conditioned powders at near zero normal stress used the position control mode rather than force control used for the standard shear tests. Aerated powders could not be evaluated with the shear cell, but were assessed using the dynamic methodology and showed very significant differences of flow energy. In conclusion, both methodologies provide useful insights into flow behaviour with good repeatability of measurement, but dynamic data provides better differentiation between powders with similar rheological properties in all packing states.","author":[{"dropping-particle":"","family":"Freeman","given":"Reg","non-dropping-particle":"","parse-names":false,"suffix":""}],"container-title":"Powder Technology","id":"ITEM-1","issue":"1-2","issued":{"date-parts":[["2007","5","16"]]},"page":"25-33","publisher":"Elsevier","title":"Measuring the flow properties of consolidated, conditioned and aerated powders — A comparative study using a powder rheometer and a rotational shear cell","type":"article-journal","volume":"174"},"uris":["http://www.mendeley.com/documents/?uuid=04105f57-aa05-36be-84b7-1e658da67f68"]}],"mendeley":{"formattedCitation":"(19)","plainTextFormattedCitation":"(19)","previouslyFormattedCitation":"(19)"},"properties":{"noteIndex":0},"schema":"https://github.com/citation-style-language/schema/raw/master/csl-citation.json"}</w:instrText>
      </w:r>
      <w:r w:rsidR="005F5DD1">
        <w:rPr>
          <w:szCs w:val="24"/>
        </w:rPr>
        <w:fldChar w:fldCharType="separate"/>
      </w:r>
      <w:r w:rsidR="00EA3B9E" w:rsidRPr="00EA3B9E">
        <w:rPr>
          <w:noProof/>
          <w:szCs w:val="24"/>
        </w:rPr>
        <w:t>(19)</w:t>
      </w:r>
      <w:r w:rsidR="005F5DD1">
        <w:rPr>
          <w:szCs w:val="24"/>
        </w:rPr>
        <w:fldChar w:fldCharType="end"/>
      </w:r>
      <w:r w:rsidR="000D221E" w:rsidRPr="00A349CC">
        <w:rPr>
          <w:szCs w:val="24"/>
        </w:rPr>
        <w:t xml:space="preserve">. All samples were tested at least </w:t>
      </w:r>
      <w:r w:rsidR="000D221E">
        <w:rPr>
          <w:szCs w:val="24"/>
        </w:rPr>
        <w:t xml:space="preserve">in triplicate </w:t>
      </w:r>
      <w:r w:rsidR="000D221E" w:rsidRPr="00A349CC">
        <w:rPr>
          <w:szCs w:val="24"/>
        </w:rPr>
        <w:t>and average values determined</w:t>
      </w:r>
      <w:bookmarkStart w:id="7" w:name="_Hlk8210306"/>
      <w:r w:rsidR="006F44B1" w:rsidRPr="006F44B1">
        <w:t>.</w:t>
      </w:r>
    </w:p>
    <w:bookmarkEnd w:id="7"/>
    <w:p w14:paraId="1CFABF97" w14:textId="71641CB6" w:rsidR="00062681" w:rsidRPr="006A1BC6" w:rsidRDefault="00F327B5" w:rsidP="002244B8">
      <w:pPr>
        <w:rPr>
          <w:rFonts w:cs="Times New Roman"/>
          <w:i/>
        </w:rPr>
      </w:pPr>
      <w:r w:rsidRPr="006A1BC6">
        <w:rPr>
          <w:rFonts w:cs="Times New Roman"/>
        </w:rPr>
        <w:t xml:space="preserve">Content Assay Studies </w:t>
      </w:r>
    </w:p>
    <w:p w14:paraId="28AE5C71" w14:textId="4DC31784" w:rsidR="00F327B5" w:rsidRPr="00F327B5" w:rsidRDefault="00B61DD5" w:rsidP="002244B8">
      <w:r w:rsidRPr="00B61DD5">
        <w:t>50 mg of each</w:t>
      </w:r>
      <w:r w:rsidR="00D72A86">
        <w:t xml:space="preserve"> manufactured</w:t>
      </w:r>
      <w:r w:rsidRPr="00B61DD5">
        <w:t xml:space="preserve"> formulation was accurately weighed using a microbalance (Mettler-Toledo, Leicester, UK), added to a 100 ml volumetric flask and made up to the mark with 0.1 M HCl solution. The solution was sonicated for 10 min to ensure the formulation was fully dissolved</w:t>
      </w:r>
      <w:r w:rsidR="00CF4012">
        <w:t>, filtered through 0.45</w:t>
      </w:r>
      <w:r w:rsidR="0031751E">
        <w:t xml:space="preserve"> </w:t>
      </w:r>
      <w:r w:rsidR="0031751E">
        <w:rPr>
          <w:rFonts w:cs="Times New Roman"/>
        </w:rPr>
        <w:t>µ</w:t>
      </w:r>
      <w:r w:rsidR="0031751E">
        <w:t>m PTFE filters</w:t>
      </w:r>
      <w:r w:rsidR="00787A8B">
        <w:t xml:space="preserve"> (</w:t>
      </w:r>
      <w:r w:rsidR="00787A8B" w:rsidRPr="00800A01">
        <w:rPr>
          <w:szCs w:val="24"/>
        </w:rPr>
        <w:t>Fisher Scientific Ireland Ltd., Dublin, Ireland</w:t>
      </w:r>
      <w:r w:rsidR="00787A8B">
        <w:rPr>
          <w:szCs w:val="24"/>
        </w:rPr>
        <w:t>)</w:t>
      </w:r>
      <w:r w:rsidR="0031751E">
        <w:t>,</w:t>
      </w:r>
      <w:r w:rsidRPr="00B61DD5">
        <w:t xml:space="preserve"> </w:t>
      </w:r>
      <w:r w:rsidR="00CC4E5D">
        <w:t>and</w:t>
      </w:r>
      <w:r w:rsidRPr="00B61DD5">
        <w:t xml:space="preserve"> diluted suitabl</w:t>
      </w:r>
      <w:r w:rsidR="0045170F">
        <w:t>y</w:t>
      </w:r>
      <w:r w:rsidRPr="00B61DD5">
        <w:t xml:space="preserve"> to fall within the concentrations of the calibration curves for the individual APIs and then analysed by H</w:t>
      </w:r>
      <w:r w:rsidR="0080075A">
        <w:t xml:space="preserve">igh </w:t>
      </w:r>
      <w:r w:rsidRPr="00B61DD5">
        <w:t>P</w:t>
      </w:r>
      <w:r w:rsidR="0080075A">
        <w:t xml:space="preserve">erformance </w:t>
      </w:r>
      <w:r w:rsidRPr="00B61DD5">
        <w:t>L</w:t>
      </w:r>
      <w:r w:rsidR="0080075A">
        <w:t xml:space="preserve">iquid </w:t>
      </w:r>
      <w:r w:rsidRPr="00B61DD5">
        <w:t>C</w:t>
      </w:r>
      <w:r w:rsidR="0080075A">
        <w:t>hromatography (HPLC)</w:t>
      </w:r>
      <w:r w:rsidRPr="00B61DD5">
        <w:t xml:space="preserve">. </w:t>
      </w:r>
      <w:r w:rsidR="00AF7825" w:rsidRPr="00AF7825">
        <w:t>The concentrations of MET and SIT in solution were determined using an Alliance HPLC with a Waters 2695 Separations module system and Waters 2996 photodiode array detector (Waters, Milford, MA, USA). The HPLC mobile phases consisted of a 0.01</w:t>
      </w:r>
      <w:r w:rsidR="004F7CF1">
        <w:t xml:space="preserve"> </w:t>
      </w:r>
      <w:r w:rsidR="00AF7825" w:rsidRPr="00AF7825">
        <w:t xml:space="preserve">M ammonium acetate solution adjusted to pH 4.5 with acetic acid and acetonitrile </w:t>
      </w:r>
      <w:r w:rsidR="009C5957">
        <w:t>in</w:t>
      </w:r>
      <w:r w:rsidR="00AF7825" w:rsidRPr="00AF7825">
        <w:t xml:space="preserve"> </w:t>
      </w:r>
      <w:r w:rsidR="009C5957">
        <w:t>t</w:t>
      </w:r>
      <w:r w:rsidR="00AF7825" w:rsidRPr="00AF7825">
        <w:t xml:space="preserve">he </w:t>
      </w:r>
      <w:r w:rsidR="00A97E9B">
        <w:t xml:space="preserve">a </w:t>
      </w:r>
      <w:r w:rsidR="00AF7825" w:rsidRPr="00AF7825">
        <w:t>30:70 v/v</w:t>
      </w:r>
      <w:r w:rsidR="006F7208">
        <w:t xml:space="preserve"> r</w:t>
      </w:r>
      <w:r w:rsidR="00A97E9B">
        <w:t>atio</w:t>
      </w:r>
      <w:r w:rsidR="00AF7825" w:rsidRPr="00AF7825">
        <w:t xml:space="preserve">. The mobile phase was vacuum filtered through a 0.45 μm membrane filter (Pall Supor® 0.45 μm, 47 mm) and bath sonicated for 5 min. Separation was achieved using a Zorbax CN (4.6 mm i.d., 250 </w:t>
      </w:r>
      <w:r w:rsidR="00AF7825" w:rsidRPr="00AF7825">
        <w:lastRenderedPageBreak/>
        <w:t>mm and 5 µm) column, detection wavelength was 239 nm for MET and 267nm for SIT, flow rate of 1.0 ml/min and an injection volume of 10 µL. The elution times for MET and SIT were 11.1 min and 13.5 min respectively. Empower software was used for peak evaluation. Calibration curves were conducted weekly, with freshly prepared samples, while studies were on-going. The linearity range was between 1 - 100 μg/ml for MET and 1 – 75 μg/ml for SIT with regression coefficient (r</w:t>
      </w:r>
      <w:r w:rsidR="00AF7825" w:rsidRPr="00E05DB6">
        <w:rPr>
          <w:vertAlign w:val="superscript"/>
        </w:rPr>
        <w:t>2</w:t>
      </w:r>
      <w:r w:rsidR="00AF7825" w:rsidRPr="00AF7825">
        <w:t>) of 0.999 and 0.998, respectively. The limits of detection for the method were 0.6 μg/ml for MET and 1.1 μg/ml for SIT. The HPLC method was validated for linearity, range, accuracy, precision and robustness as per ICH Q2 (R1) guidelines.</w:t>
      </w:r>
      <w:r w:rsidR="00D72A86">
        <w:t xml:space="preserve"> </w:t>
      </w:r>
      <w:r w:rsidRPr="00B61DD5">
        <w:t>Drug content was calculated by determining the area under the curve and comparing to area under the curve of standards of known concentration. Analysis was performed in triplicate.</w:t>
      </w:r>
    </w:p>
    <w:p w14:paraId="4A66BC02" w14:textId="05FA6321" w:rsidR="00077503" w:rsidRPr="006A1BC6" w:rsidRDefault="00120F3D" w:rsidP="002244B8">
      <w:pPr>
        <w:rPr>
          <w:rFonts w:cs="Times New Roman"/>
          <w:i/>
        </w:rPr>
      </w:pPr>
      <w:r w:rsidRPr="006A1BC6">
        <w:rPr>
          <w:rFonts w:cs="Times New Roman"/>
        </w:rPr>
        <w:t>Scanning Electron Microscopy (SEM)</w:t>
      </w:r>
    </w:p>
    <w:p w14:paraId="71B99664" w14:textId="3F7D29E3" w:rsidR="00120F3D" w:rsidRDefault="005B6A67" w:rsidP="002244B8">
      <w:r w:rsidRPr="005B6A67">
        <w:t>SEM studies were conducted to visualise the morphology of raw materials and melt granule formulations.</w:t>
      </w:r>
      <w:r w:rsidR="00EA4499">
        <w:t xml:space="preserve"> </w:t>
      </w:r>
      <w:r w:rsidRPr="005B6A67">
        <w:t>The surface images of the samples were captured at various magnifications by SEM using a Zeiss Supra Variable Pressure Field Emission Scanning Electron Microscope (Zeiss, Oberkochen, Germany) equipped with a secondary electron detector at 5kV.</w:t>
      </w:r>
      <w:r w:rsidR="0015252D">
        <w:t xml:space="preserve"> </w:t>
      </w:r>
      <w:r w:rsidR="0015252D" w:rsidRPr="0015252D">
        <w:t>Samples to be studied, were glued onto carbon tabs mounted on to aluminium pin stubs and sputter-coated with a gold/palladium mixture under vacuum prior to analysis.</w:t>
      </w:r>
    </w:p>
    <w:p w14:paraId="3FBCB033" w14:textId="6971C6FA" w:rsidR="00DB0537" w:rsidRPr="006A1BC6" w:rsidRDefault="00DB0537" w:rsidP="002244B8">
      <w:pPr>
        <w:rPr>
          <w:rFonts w:cs="Times New Roman"/>
        </w:rPr>
      </w:pPr>
      <w:r w:rsidRPr="006A1BC6">
        <w:rPr>
          <w:rFonts w:cs="Times New Roman"/>
        </w:rPr>
        <w:t>Caplet Manufacture</w:t>
      </w:r>
    </w:p>
    <w:p w14:paraId="5E25F08E" w14:textId="42DFCE9D" w:rsidR="003B07D2" w:rsidRDefault="007A22CF" w:rsidP="002244B8">
      <w:r>
        <w:t>The manufactured and optimised melt granules with the highest possible drug loads were manually compressed into caplets using a Natoli single punch press (Natoli, USA). Additionally, the same formulations were blended with Avicel</w:t>
      </w:r>
      <w:r w:rsidRPr="00F65687">
        <w:rPr>
          <w:vertAlign w:val="superscript"/>
        </w:rPr>
        <w:t>®</w:t>
      </w:r>
      <w:r>
        <w:t xml:space="preserve"> PH102 (10 % (w/w)) using a Turbula mixer (Glen Creston Ltd., Basel, Switzerland) for 10 minutes at 60 rpm before being manually compressed into caplets using a Natoli single punch press (Natoli, USA). 1063 mg of each formulation (equivalent to 850 mg MET and </w:t>
      </w:r>
      <w:r w:rsidR="003267E8">
        <w:t>63</w:t>
      </w:r>
      <w:r>
        <w:t xml:space="preserve"> mg SIT) were weighed and compressed in </w:t>
      </w:r>
      <w:r w:rsidR="00C61243">
        <w:t xml:space="preserve">an </w:t>
      </w:r>
      <w:r>
        <w:t>in house designed die</w:t>
      </w:r>
      <w:r w:rsidR="005915C1">
        <w:t xml:space="preserve"> (I Holland Ltd, Nottingham, UK)</w:t>
      </w:r>
      <w:r w:rsidR="0024677C">
        <w:t xml:space="preserve"> </w:t>
      </w:r>
      <w:r w:rsidR="0024677C" w:rsidRPr="005A0CD7">
        <w:rPr>
          <w:bCs/>
        </w:rPr>
        <w:t>(</w:t>
      </w:r>
      <w:r w:rsidR="00E73706" w:rsidRPr="005A0CD7">
        <w:rPr>
          <w:bCs/>
        </w:rPr>
        <w:t xml:space="preserve">supplementary </w:t>
      </w:r>
      <w:r w:rsidR="0024677C" w:rsidRPr="005A0CD7">
        <w:rPr>
          <w:bCs/>
        </w:rPr>
        <w:t xml:space="preserve">figure </w:t>
      </w:r>
      <w:r w:rsidR="00193EF2" w:rsidRPr="005A0CD7">
        <w:rPr>
          <w:bCs/>
        </w:rPr>
        <w:t>S</w:t>
      </w:r>
      <w:r w:rsidR="0024677C" w:rsidRPr="005A0CD7">
        <w:rPr>
          <w:bCs/>
        </w:rPr>
        <w:t>1)</w:t>
      </w:r>
      <w:r>
        <w:t xml:space="preserve"> </w:t>
      </w:r>
      <w:r w:rsidR="00F65687">
        <w:t xml:space="preserve">using two different </w:t>
      </w:r>
      <w:r w:rsidR="00013FC8">
        <w:t>compression forces</w:t>
      </w:r>
      <w:r w:rsidR="00101902">
        <w:t xml:space="preserve">, </w:t>
      </w:r>
      <w:r w:rsidR="007E2B95">
        <w:t>5000 N</w:t>
      </w:r>
      <w:r w:rsidR="00101902">
        <w:t xml:space="preserve"> and </w:t>
      </w:r>
      <w:r w:rsidR="007E2B95">
        <w:t>8000 N</w:t>
      </w:r>
      <w:r w:rsidR="005915C1">
        <w:t>.</w:t>
      </w:r>
      <w:r w:rsidR="00013FC8">
        <w:t xml:space="preserve"> </w:t>
      </w:r>
      <w:r w:rsidR="0046613C">
        <w:t xml:space="preserve">When Avicel </w:t>
      </w:r>
      <w:r w:rsidR="00341797">
        <w:t>PH102 was added the total weight of each</w:t>
      </w:r>
      <w:r w:rsidR="00E96415">
        <w:t xml:space="preserve"> compressed</w:t>
      </w:r>
      <w:r w:rsidR="00341797">
        <w:t xml:space="preserve"> caplet </w:t>
      </w:r>
      <w:r w:rsidR="002D6C77">
        <w:t>was 1170 mg.</w:t>
      </w:r>
      <w:r>
        <w:t xml:space="preserve"> Conventional caplet quality control tests (weight variation, friability, hardness, disintegration, drug content, </w:t>
      </w:r>
      <w:r w:rsidRPr="00D33FBE">
        <w:rPr>
          <w:i/>
          <w:iCs/>
        </w:rPr>
        <w:t>in-vitro</w:t>
      </w:r>
      <w:r>
        <w:t xml:space="preserve"> dissolution) were conducted according to </w:t>
      </w:r>
      <w:r w:rsidR="00562C54">
        <w:t>pharmacopoeia</w:t>
      </w:r>
      <w:r>
        <w:t xml:space="preserve"> standards. </w:t>
      </w:r>
    </w:p>
    <w:p w14:paraId="3238E34B" w14:textId="77777777" w:rsidR="005C776D" w:rsidRPr="004A0FCA" w:rsidRDefault="005C776D" w:rsidP="002244B8"/>
    <w:p w14:paraId="400CDAB3" w14:textId="30D7498E" w:rsidR="00785A55" w:rsidRDefault="003274C7" w:rsidP="002244B8">
      <w:pPr>
        <w:rPr>
          <w:rFonts w:ascii="Times" w:hAnsi="Times" w:cs="Times"/>
        </w:rPr>
      </w:pPr>
      <w:r w:rsidRPr="003274C7">
        <w:rPr>
          <w:rFonts w:ascii="Times" w:hAnsi="Times" w:cs="Times"/>
        </w:rPr>
        <w:lastRenderedPageBreak/>
        <w:t xml:space="preserve">Caplet Characterisation </w:t>
      </w:r>
    </w:p>
    <w:p w14:paraId="4E2D9F62" w14:textId="12C0E172" w:rsidR="009F3179" w:rsidRPr="00EC6D13" w:rsidRDefault="009F3179" w:rsidP="002244B8">
      <w:pPr>
        <w:rPr>
          <w:rFonts w:cs="Times New Roman"/>
          <w:i/>
        </w:rPr>
      </w:pPr>
      <w:r w:rsidRPr="00EC6D13">
        <w:rPr>
          <w:rFonts w:cs="Times New Roman"/>
        </w:rPr>
        <w:t>Hardness Test</w:t>
      </w:r>
    </w:p>
    <w:p w14:paraId="553E96AC" w14:textId="047229B2" w:rsidR="00EC6D13" w:rsidRPr="00C751A0" w:rsidRDefault="00825CCE" w:rsidP="002244B8">
      <w:pPr>
        <w:rPr>
          <w:szCs w:val="24"/>
        </w:rPr>
      </w:pPr>
      <w:r w:rsidRPr="00825CCE">
        <w:rPr>
          <w:szCs w:val="24"/>
        </w:rPr>
        <w:t xml:space="preserve">A minimum of 6 individual caplets that were prepared at </w:t>
      </w:r>
      <w:r w:rsidR="00487B55">
        <w:rPr>
          <w:szCs w:val="24"/>
        </w:rPr>
        <w:t xml:space="preserve">the </w:t>
      </w:r>
      <w:r w:rsidRPr="00825CCE">
        <w:rPr>
          <w:szCs w:val="24"/>
        </w:rPr>
        <w:t>different compression forces were subjected to a crushing test using an EH-01 Electrolab manual tablet hardness tester (Electrolab, Mumbai, India). Thickness (internal and external), diameter and length of caplets were first measured using a digital</w:t>
      </w:r>
      <w:r w:rsidR="00A276A3">
        <w:rPr>
          <w:szCs w:val="24"/>
        </w:rPr>
        <w:t xml:space="preserve"> electronic external</w:t>
      </w:r>
      <w:r w:rsidRPr="00825CCE">
        <w:rPr>
          <w:szCs w:val="24"/>
        </w:rPr>
        <w:t xml:space="preserve"> </w:t>
      </w:r>
      <w:r w:rsidR="00A276A3">
        <w:rPr>
          <w:szCs w:val="24"/>
        </w:rPr>
        <w:t>micromet</w:t>
      </w:r>
      <w:r w:rsidR="00D22AE0">
        <w:rPr>
          <w:szCs w:val="24"/>
        </w:rPr>
        <w:t>er</w:t>
      </w:r>
      <w:r w:rsidR="00227F99">
        <w:rPr>
          <w:szCs w:val="24"/>
        </w:rPr>
        <w:t xml:space="preserve"> (</w:t>
      </w:r>
      <w:r w:rsidR="00D22AE0">
        <w:rPr>
          <w:szCs w:val="24"/>
        </w:rPr>
        <w:t>RS PRO Micrometer External,</w:t>
      </w:r>
      <w:r w:rsidR="00480166" w:rsidRPr="00480166">
        <w:rPr>
          <w:szCs w:val="24"/>
        </w:rPr>
        <w:t xml:space="preserve"> 0</w:t>
      </w:r>
      <w:r w:rsidR="00D22AE0">
        <w:rPr>
          <w:szCs w:val="24"/>
        </w:rPr>
        <w:t xml:space="preserve"> - 25</w:t>
      </w:r>
      <w:r w:rsidR="00480166" w:rsidRPr="00480166">
        <w:rPr>
          <w:szCs w:val="24"/>
        </w:rPr>
        <w:t xml:space="preserve"> mm</w:t>
      </w:r>
      <w:r w:rsidRPr="00825CCE">
        <w:rPr>
          <w:szCs w:val="24"/>
        </w:rPr>
        <w:t xml:space="preserve">, </w:t>
      </w:r>
      <w:r w:rsidR="00200AA3">
        <w:rPr>
          <w:szCs w:val="24"/>
        </w:rPr>
        <w:t xml:space="preserve">Radionics Ltd., Dublin, Ireland) </w:t>
      </w:r>
      <w:r w:rsidRPr="00825CCE">
        <w:rPr>
          <w:szCs w:val="24"/>
        </w:rPr>
        <w:t>before placing at the moving jaw of the hardness tester. The long side of the caplet was oriented parallel to the direction of force. The force required to break the caplet was recorded in Newtons</w:t>
      </w:r>
      <w:r w:rsidR="00A344A6">
        <w:rPr>
          <w:szCs w:val="24"/>
        </w:rPr>
        <w:t xml:space="preserve"> (N)</w:t>
      </w:r>
      <w:r w:rsidRPr="00825CCE">
        <w:rPr>
          <w:szCs w:val="24"/>
        </w:rPr>
        <w:t xml:space="preserve"> and tensile strength was calculated according to equation</w:t>
      </w:r>
      <w:r w:rsidR="000277FA">
        <w:rPr>
          <w:szCs w:val="24"/>
        </w:rPr>
        <w:t xml:space="preserve"> 1</w:t>
      </w:r>
      <w:r w:rsidRPr="00825CCE">
        <w:rPr>
          <w:szCs w:val="24"/>
        </w:rPr>
        <w:t xml:space="preserve"> proposed by Pitt and Heasley below </w:t>
      </w:r>
      <w:r w:rsidRPr="00825CCE">
        <w:rPr>
          <w:szCs w:val="24"/>
        </w:rPr>
        <w:fldChar w:fldCharType="begin" w:fldLock="1"/>
      </w:r>
      <w:r w:rsidR="001B225D">
        <w:rPr>
          <w:szCs w:val="24"/>
        </w:rPr>
        <w:instrText>ADDIN CSL_CITATION {"citationItems":[{"id":"ITEM-1","itemData":{"DOI":"10.1016/J.POWTEC.2011.12.060","ISSN":"0032-5910","abstract":"THE TENSILE STRENGTH OF A TABLET IS AN IMPORTANT ATTRIBUTE AS THE TABLET NEEDS TO BE MECHANICALLY STRONG ENOUGH TO WITHSTAND FURTHER HANDLING SUCH AS FILM–COATING, PACKAGING, TRANSPORT AND END-USE BY THE PATIENT, BUT TO BE WEAK ENOUGH TO BREAK APART IN THE HUMAN BODY AND SO RELEASE ITS CONTENTS. MATHEMATICAL SOLUTIONS TO CALCULATE TENSILE STRENGTH ARE KNOWN FOR FLAT-FACED AND CONVEX-FACED CIRCULAR TABLETS. THE WORK DESCRIBED HERE AIMS TO EXTEND THIS KNOWLEDGE TO CAPSULE-SHAPED AND OVAL-SHAPED TABLETS BY MEANS OF 2-DIMENSIONAL (2D) AND 3-DIMENSIONAL (3D) FINITE ELEMENT ANALYSIS (FEA). THE STRESS ANALYSIS SHOWED THAT AS THE TABLET WAS ELONGATED FROM A STANDARD CIRCULAR TABLET TO BECOME THAT OF AN EXTENDED TABLET SHAPE, THE PEAK PRINCIPAL TENSILE STRESS REACHED A LIMITING VALUE. THIS LIMITING VALUE WAS REACHED AS THE RATIO OF THE LENGTH TO WIDTH DIMENSIONS EXCEEDED 1.7:1, WHICH ENCOMPASSES MOST MODERN PHARMACEUTICAL TABLETS. IN ADDITION THE STRESS ANALYSIS SHOWS THAT THIS LIMITING VALUE APPROXIMATED TO 2/3 THAT CALCULATED FOR CIRCULAR TABLETS. HENCE FOR A CONVEX-FACED ELONGATED TABLET THE CALCULATION FOR TENSILE STRENGTH GENERATED BY PITT ET AL. [1] WOULD BECOME:ΣT=2310PΠD22.84TD−0.126TW+3.15WD+0.01WHERE ΣT IS THE TENSILE STRENGTH, P IS THE FRACTURE LOAD, D IS THE LENGTH OF THE SHORT AXIS, T IS THE OVERALL THICKNESS AND W IS THE WALL HEIGHT OF THE TABLET, AS SHOWN IN FIG. 1C.\nThe solution was then checked by applying it to commercial tablets of differing shapes to demonstrate its utility.","author":[{"dropping-particle":"","family":"Pitt","given":"Kendal G.","non-dropping-particle":"","parse-names":false,"suffix":""},{"dropping-particle":"","family":"Heasley","given":"Matthew G.","non-dropping-particle":"","parse-names":false,"suffix":""}],"container-title":"Powder Technology","id":"ITEM-1","issued":{"date-parts":[["2013","4","1"]]},"page":"169-175","publisher":"Elsevier","title":"Determination of the tensile strength of elongated tablets","type":"article-journal","volume":"238"},"uris":["http://www.mendeley.com/documents/?uuid=d6e33b76-fe03-3439-8c6d-7e7a17e8a975"]}],"mendeley":{"formattedCitation":"(20)","plainTextFormattedCitation":"(20)","previouslyFormattedCitation":"(20)"},"properties":{"noteIndex":0},"schema":"https://github.com/citation-style-language/schema/raw/master/csl-citation.json"}</w:instrText>
      </w:r>
      <w:r w:rsidRPr="00825CCE">
        <w:rPr>
          <w:szCs w:val="24"/>
        </w:rPr>
        <w:fldChar w:fldCharType="separate"/>
      </w:r>
      <w:r w:rsidR="00EA3B9E" w:rsidRPr="00EA3B9E">
        <w:rPr>
          <w:noProof/>
          <w:szCs w:val="24"/>
        </w:rPr>
        <w:t>(20)</w:t>
      </w:r>
      <w:r w:rsidRPr="00825CCE">
        <w:rPr>
          <w:szCs w:val="24"/>
        </w:rPr>
        <w:fldChar w:fldCharType="end"/>
      </w:r>
      <w:r w:rsidRPr="00825CCE">
        <w:rPr>
          <w:szCs w:val="24"/>
        </w:rPr>
        <w:t>:</w:t>
      </w:r>
    </w:p>
    <w:p w14:paraId="3E409E8D" w14:textId="40AD5910" w:rsidR="00825CCE" w:rsidRPr="00825CCE" w:rsidRDefault="005A0CD7" w:rsidP="002244B8">
      <w:pPr>
        <w:rPr>
          <w:szCs w:val="24"/>
        </w:rPr>
      </w:pPr>
      <m:oMath>
        <m:sSub>
          <m:sSubPr>
            <m:ctrlPr>
              <w:rPr>
                <w:rFonts w:ascii="Cambria Math" w:hAnsi="Cambria Math"/>
                <w:i/>
                <w:szCs w:val="24"/>
              </w:rPr>
            </m:ctrlPr>
          </m:sSubPr>
          <m:e>
            <m:r>
              <w:rPr>
                <w:rFonts w:ascii="Cambria Math" w:hAnsi="Cambria Math"/>
                <w:szCs w:val="24"/>
              </w:rPr>
              <m:t>σ</m:t>
            </m:r>
          </m:e>
          <m:sub>
            <m:r>
              <w:rPr>
                <w:rFonts w:ascii="Cambria Math" w:hAnsi="Cambria Math"/>
                <w:szCs w:val="24"/>
              </w:rPr>
              <m:t>t</m:t>
            </m:r>
          </m:sub>
        </m:sSub>
        <m:r>
          <w:rPr>
            <w:rFonts w:ascii="Cambria Math" w:hAnsi="Cambria Math"/>
            <w:szCs w:val="24"/>
          </w:rPr>
          <m:t>=</m:t>
        </m:r>
        <m:f>
          <m:fPr>
            <m:ctrlPr>
              <w:rPr>
                <w:rFonts w:ascii="Cambria Math" w:hAnsi="Cambria Math"/>
                <w:i/>
                <w:szCs w:val="24"/>
              </w:rPr>
            </m:ctrlPr>
          </m:fPr>
          <m:num>
            <m:r>
              <w:rPr>
                <w:rFonts w:ascii="Cambria Math" w:hAnsi="Cambria Math"/>
                <w:szCs w:val="24"/>
              </w:rPr>
              <m:t>2</m:t>
            </m:r>
          </m:num>
          <m:den>
            <m:r>
              <w:rPr>
                <w:rFonts w:ascii="Cambria Math" w:hAnsi="Cambria Math"/>
                <w:szCs w:val="24"/>
              </w:rPr>
              <m:t>3</m:t>
            </m:r>
          </m:den>
        </m:f>
        <m:r>
          <w:rPr>
            <w:rFonts w:ascii="Cambria Math" w:hAnsi="Cambria Math"/>
            <w:szCs w:val="24"/>
          </w:rPr>
          <m:t>(</m:t>
        </m:r>
        <m:f>
          <m:fPr>
            <m:ctrlPr>
              <w:rPr>
                <w:rFonts w:ascii="Cambria Math" w:hAnsi="Cambria Math"/>
                <w:i/>
                <w:szCs w:val="24"/>
              </w:rPr>
            </m:ctrlPr>
          </m:fPr>
          <m:num>
            <m:r>
              <w:rPr>
                <w:rFonts w:ascii="Cambria Math" w:hAnsi="Cambria Math"/>
                <w:szCs w:val="24"/>
              </w:rPr>
              <m:t>10P</m:t>
            </m:r>
          </m:num>
          <m:den>
            <m:r>
              <w:rPr>
                <w:rFonts w:ascii="Cambria Math" w:hAnsi="Cambria Math"/>
                <w:szCs w:val="24"/>
              </w:rPr>
              <m:t>π</m:t>
            </m:r>
            <m:sSup>
              <m:sSupPr>
                <m:ctrlPr>
                  <w:rPr>
                    <w:rFonts w:ascii="Cambria Math" w:hAnsi="Cambria Math"/>
                    <w:i/>
                    <w:szCs w:val="24"/>
                  </w:rPr>
                </m:ctrlPr>
              </m:sSupPr>
              <m:e>
                <m:r>
                  <w:rPr>
                    <w:rFonts w:ascii="Cambria Math" w:hAnsi="Cambria Math"/>
                    <w:szCs w:val="24"/>
                  </w:rPr>
                  <m:t>D</m:t>
                </m:r>
              </m:e>
              <m:sup>
                <m:r>
                  <w:rPr>
                    <w:rFonts w:ascii="Cambria Math" w:hAnsi="Cambria Math"/>
                    <w:szCs w:val="24"/>
                  </w:rPr>
                  <m:t>2</m:t>
                </m:r>
              </m:sup>
            </m:sSup>
            <m:d>
              <m:dPr>
                <m:ctrlPr>
                  <w:rPr>
                    <w:rFonts w:ascii="Cambria Math" w:hAnsi="Cambria Math"/>
                    <w:i/>
                    <w:szCs w:val="24"/>
                  </w:rPr>
                </m:ctrlPr>
              </m:dPr>
              <m:e>
                <m:r>
                  <w:rPr>
                    <w:rFonts w:ascii="Cambria Math" w:hAnsi="Cambria Math"/>
                    <w:szCs w:val="24"/>
                  </w:rPr>
                  <m:t>2.84</m:t>
                </m:r>
                <m:f>
                  <m:fPr>
                    <m:ctrlPr>
                      <w:rPr>
                        <w:rFonts w:ascii="Cambria Math" w:hAnsi="Cambria Math"/>
                        <w:i/>
                        <w:szCs w:val="24"/>
                      </w:rPr>
                    </m:ctrlPr>
                  </m:fPr>
                  <m:num>
                    <m:r>
                      <w:rPr>
                        <w:rFonts w:ascii="Cambria Math" w:hAnsi="Cambria Math"/>
                        <w:szCs w:val="24"/>
                      </w:rPr>
                      <m:t>t</m:t>
                    </m:r>
                  </m:num>
                  <m:den>
                    <m:r>
                      <w:rPr>
                        <w:rFonts w:ascii="Cambria Math" w:hAnsi="Cambria Math"/>
                        <w:szCs w:val="24"/>
                      </w:rPr>
                      <m:t>D</m:t>
                    </m:r>
                  </m:den>
                </m:f>
                <m:r>
                  <w:rPr>
                    <w:rFonts w:ascii="Cambria Math" w:hAnsi="Cambria Math"/>
                    <w:szCs w:val="24"/>
                  </w:rPr>
                  <m:t>-0.126</m:t>
                </m:r>
                <m:f>
                  <m:fPr>
                    <m:ctrlPr>
                      <w:rPr>
                        <w:rFonts w:ascii="Cambria Math" w:hAnsi="Cambria Math"/>
                        <w:i/>
                        <w:szCs w:val="24"/>
                      </w:rPr>
                    </m:ctrlPr>
                  </m:fPr>
                  <m:num>
                    <m:r>
                      <w:rPr>
                        <w:rFonts w:ascii="Cambria Math" w:hAnsi="Cambria Math"/>
                        <w:szCs w:val="24"/>
                      </w:rPr>
                      <m:t>t</m:t>
                    </m:r>
                  </m:num>
                  <m:den>
                    <m:r>
                      <w:rPr>
                        <w:rFonts w:ascii="Cambria Math" w:hAnsi="Cambria Math"/>
                        <w:szCs w:val="24"/>
                      </w:rPr>
                      <m:t>w</m:t>
                    </m:r>
                  </m:den>
                </m:f>
                <m:r>
                  <w:rPr>
                    <w:rFonts w:ascii="Cambria Math" w:hAnsi="Cambria Math"/>
                    <w:szCs w:val="24"/>
                  </w:rPr>
                  <m:t>+3.15</m:t>
                </m:r>
                <m:f>
                  <m:fPr>
                    <m:ctrlPr>
                      <w:rPr>
                        <w:rFonts w:ascii="Cambria Math" w:hAnsi="Cambria Math"/>
                        <w:i/>
                        <w:szCs w:val="24"/>
                      </w:rPr>
                    </m:ctrlPr>
                  </m:fPr>
                  <m:num>
                    <m:r>
                      <w:rPr>
                        <w:rFonts w:ascii="Cambria Math" w:hAnsi="Cambria Math"/>
                        <w:szCs w:val="24"/>
                      </w:rPr>
                      <m:t>w</m:t>
                    </m:r>
                  </m:num>
                  <m:den>
                    <m:r>
                      <w:rPr>
                        <w:rFonts w:ascii="Cambria Math" w:hAnsi="Cambria Math"/>
                        <w:szCs w:val="24"/>
                      </w:rPr>
                      <m:t>D</m:t>
                    </m:r>
                  </m:den>
                </m:f>
                <m:r>
                  <w:rPr>
                    <w:rFonts w:ascii="Cambria Math" w:hAnsi="Cambria Math"/>
                    <w:szCs w:val="24"/>
                  </w:rPr>
                  <m:t>+0.01</m:t>
                </m:r>
              </m:e>
            </m:d>
          </m:den>
        </m:f>
        <m:r>
          <w:rPr>
            <w:rFonts w:ascii="Cambria Math" w:hAnsi="Cambria Math"/>
            <w:szCs w:val="24"/>
          </w:rPr>
          <m:t>)</m:t>
        </m:r>
      </m:oMath>
      <w:r w:rsidR="000A22EB">
        <w:rPr>
          <w:rFonts w:eastAsiaTheme="minorEastAsia"/>
          <w:szCs w:val="24"/>
        </w:rPr>
        <w:t xml:space="preserve">    Equation 1</w:t>
      </w:r>
    </w:p>
    <w:p w14:paraId="500F4C28" w14:textId="77777777" w:rsidR="00825CCE" w:rsidRPr="00825CCE" w:rsidRDefault="00825CCE" w:rsidP="002244B8">
      <w:pPr>
        <w:rPr>
          <w:rFonts w:cs="Times New Roman"/>
          <w:szCs w:val="24"/>
        </w:rPr>
      </w:pPr>
      <w:r w:rsidRPr="00825CCE">
        <w:rPr>
          <w:rFonts w:cs="Times New Roman"/>
          <w:szCs w:val="24"/>
        </w:rPr>
        <w:t xml:space="preserve">Where: </w:t>
      </w:r>
    </w:p>
    <w:p w14:paraId="75E97890" w14:textId="77777777" w:rsidR="00825CCE" w:rsidRPr="00825CCE" w:rsidRDefault="005A0CD7" w:rsidP="002244B8">
      <w:pPr>
        <w:rPr>
          <w:rFonts w:eastAsiaTheme="minorEastAsia" w:cs="Times New Roman"/>
          <w:szCs w:val="24"/>
        </w:rPr>
      </w:pPr>
      <m:oMath>
        <m:sSub>
          <m:sSubPr>
            <m:ctrlPr>
              <w:rPr>
                <w:rFonts w:ascii="Cambria Math" w:hAnsi="Cambria Math" w:cs="Times New Roman"/>
                <w:i/>
                <w:szCs w:val="24"/>
              </w:rPr>
            </m:ctrlPr>
          </m:sSubPr>
          <m:e>
            <m:r>
              <w:rPr>
                <w:rFonts w:ascii="Cambria Math" w:hAnsi="Cambria Math" w:cs="Times New Roman"/>
                <w:szCs w:val="24"/>
              </w:rPr>
              <m:t>σ</m:t>
            </m:r>
          </m:e>
          <m:sub>
            <m:r>
              <w:rPr>
                <w:rFonts w:ascii="Cambria Math" w:hAnsi="Cambria Math" w:cs="Times New Roman"/>
                <w:szCs w:val="24"/>
              </w:rPr>
              <m:t>t</m:t>
            </m:r>
          </m:sub>
        </m:sSub>
      </m:oMath>
      <w:r w:rsidR="00825CCE" w:rsidRPr="00825CCE">
        <w:rPr>
          <w:rFonts w:eastAsiaTheme="minorEastAsia" w:cs="Times New Roman"/>
          <w:szCs w:val="24"/>
        </w:rPr>
        <w:t>= Tensile strength (MPa)</w:t>
      </w:r>
    </w:p>
    <w:p w14:paraId="18C32AF2" w14:textId="77777777" w:rsidR="00825CCE" w:rsidRPr="00825CCE" w:rsidRDefault="00825CCE" w:rsidP="002244B8">
      <w:pPr>
        <w:rPr>
          <w:rFonts w:eastAsiaTheme="minorEastAsia" w:cs="Times New Roman"/>
          <w:szCs w:val="24"/>
        </w:rPr>
      </w:pPr>
      <w:r w:rsidRPr="00825CCE">
        <w:rPr>
          <w:rFonts w:eastAsiaTheme="minorEastAsia" w:cs="Times New Roman"/>
          <w:i/>
          <w:iCs/>
          <w:szCs w:val="24"/>
        </w:rPr>
        <w:t>P</w:t>
      </w:r>
      <w:r w:rsidRPr="00825CCE">
        <w:rPr>
          <w:rFonts w:eastAsiaTheme="minorEastAsia" w:cs="Times New Roman"/>
          <w:szCs w:val="24"/>
        </w:rPr>
        <w:t xml:space="preserve">= Fracture load (N), </w:t>
      </w:r>
    </w:p>
    <w:p w14:paraId="1253387E" w14:textId="77777777" w:rsidR="00825CCE" w:rsidRPr="00825CCE" w:rsidRDefault="00825CCE" w:rsidP="002244B8">
      <w:pPr>
        <w:rPr>
          <w:rFonts w:eastAsiaTheme="minorEastAsia" w:cs="Times New Roman"/>
          <w:szCs w:val="24"/>
        </w:rPr>
      </w:pPr>
      <w:r w:rsidRPr="00825CCE">
        <w:rPr>
          <w:rFonts w:eastAsiaTheme="minorEastAsia" w:cs="Times New Roman"/>
          <w:i/>
          <w:iCs/>
          <w:szCs w:val="24"/>
        </w:rPr>
        <w:t>D</w:t>
      </w:r>
      <w:r w:rsidRPr="00825CCE">
        <w:rPr>
          <w:rFonts w:eastAsiaTheme="minorEastAsia" w:cs="Times New Roman"/>
          <w:szCs w:val="24"/>
        </w:rPr>
        <w:t xml:space="preserve">= diameter (mm) </w:t>
      </w:r>
    </w:p>
    <w:p w14:paraId="1DAB048E" w14:textId="77777777" w:rsidR="00825CCE" w:rsidRPr="00825CCE" w:rsidRDefault="00825CCE" w:rsidP="002244B8">
      <w:pPr>
        <w:rPr>
          <w:rFonts w:eastAsiaTheme="minorEastAsia" w:cs="Times New Roman"/>
          <w:szCs w:val="24"/>
        </w:rPr>
      </w:pPr>
      <w:r w:rsidRPr="00825CCE">
        <w:rPr>
          <w:rFonts w:eastAsiaTheme="minorEastAsia" w:cs="Times New Roman"/>
          <w:szCs w:val="24"/>
        </w:rPr>
        <w:t>t= thickness (external)</w:t>
      </w:r>
    </w:p>
    <w:p w14:paraId="44DA79B4" w14:textId="77777777" w:rsidR="00825CCE" w:rsidRPr="00825CCE" w:rsidRDefault="00825CCE" w:rsidP="002244B8">
      <w:pPr>
        <w:rPr>
          <w:rFonts w:eastAsiaTheme="minorEastAsia" w:cs="Times New Roman"/>
          <w:szCs w:val="24"/>
        </w:rPr>
      </w:pPr>
      <w:r w:rsidRPr="00825CCE">
        <w:rPr>
          <w:rFonts w:eastAsiaTheme="minorEastAsia" w:cs="Times New Roman"/>
          <w:szCs w:val="24"/>
        </w:rPr>
        <w:t>w= thickness (internal) (height)</w:t>
      </w:r>
    </w:p>
    <w:p w14:paraId="0C7BB820" w14:textId="1ABC895C" w:rsidR="00825CCE" w:rsidRDefault="00825CCE" w:rsidP="002244B8">
      <w:pPr>
        <w:rPr>
          <w:rFonts w:eastAsiaTheme="minorEastAsia" w:cs="Times New Roman"/>
          <w:szCs w:val="24"/>
        </w:rPr>
      </w:pPr>
      <w:r w:rsidRPr="00825CCE">
        <w:rPr>
          <w:rFonts w:eastAsiaTheme="minorEastAsia" w:cs="Times New Roman"/>
          <w:szCs w:val="24"/>
        </w:rPr>
        <w:t xml:space="preserve">L= length of long axis (mm)    </w:t>
      </w:r>
    </w:p>
    <w:p w14:paraId="4DEE5AA0" w14:textId="77777777" w:rsidR="007F3997" w:rsidRPr="00825CCE" w:rsidRDefault="007F3997" w:rsidP="002244B8">
      <w:pPr>
        <w:rPr>
          <w:rFonts w:eastAsiaTheme="minorEastAsia" w:cs="Times New Roman"/>
          <w:i/>
          <w:iCs/>
          <w:szCs w:val="24"/>
        </w:rPr>
      </w:pPr>
    </w:p>
    <w:p w14:paraId="0C95922E" w14:textId="65BF617F" w:rsidR="009F3179" w:rsidRPr="00EC6D13" w:rsidRDefault="00715A0C" w:rsidP="002244B8">
      <w:pPr>
        <w:rPr>
          <w:rFonts w:cs="Times New Roman"/>
          <w:i/>
        </w:rPr>
      </w:pPr>
      <w:r w:rsidRPr="00EC6D13">
        <w:rPr>
          <w:rFonts w:cs="Times New Roman"/>
        </w:rPr>
        <w:t>Friability Studies</w:t>
      </w:r>
    </w:p>
    <w:p w14:paraId="6B8DF6D9" w14:textId="68BBEFAB" w:rsidR="000E3B94" w:rsidRPr="000E3B94" w:rsidRDefault="000E3B94" w:rsidP="002244B8">
      <w:pPr>
        <w:rPr>
          <w:szCs w:val="24"/>
        </w:rPr>
      </w:pPr>
      <w:r w:rsidRPr="000E3B94">
        <w:rPr>
          <w:szCs w:val="24"/>
        </w:rPr>
        <w:t>A sample of 10 caplets were carefully dedusted prior to testing, accurately weighed and placed in a Copley TA20 friability test drum (Copley Scientific, Nottingham, UK). The drum was rotated for 100 r</w:t>
      </w:r>
      <w:r w:rsidR="00872D30">
        <w:rPr>
          <w:szCs w:val="24"/>
        </w:rPr>
        <w:t>evolutions</w:t>
      </w:r>
      <w:r w:rsidRPr="000E3B94">
        <w:rPr>
          <w:szCs w:val="24"/>
        </w:rPr>
        <w:t xml:space="preserve"> at 25 rpm for 4 minutes</w:t>
      </w:r>
      <w:r w:rsidR="007F3997">
        <w:rPr>
          <w:szCs w:val="24"/>
        </w:rPr>
        <w:t xml:space="preserve"> as per </w:t>
      </w:r>
      <w:r w:rsidR="00C10900">
        <w:rPr>
          <w:szCs w:val="24"/>
        </w:rPr>
        <w:t xml:space="preserve">the </w:t>
      </w:r>
      <w:r w:rsidR="00D93149">
        <w:rPr>
          <w:szCs w:val="24"/>
        </w:rPr>
        <w:t xml:space="preserve">British </w:t>
      </w:r>
      <w:r w:rsidR="00AE550F">
        <w:rPr>
          <w:szCs w:val="24"/>
        </w:rPr>
        <w:t>P</w:t>
      </w:r>
      <w:r w:rsidR="00D93149">
        <w:rPr>
          <w:szCs w:val="24"/>
        </w:rPr>
        <w:t>harmacopoeia</w:t>
      </w:r>
      <w:r w:rsidR="00D33FBE">
        <w:rPr>
          <w:szCs w:val="24"/>
        </w:rPr>
        <w:t xml:space="preserve"> (BP)</w:t>
      </w:r>
      <w:r w:rsidR="00D93149">
        <w:rPr>
          <w:szCs w:val="24"/>
        </w:rPr>
        <w:t xml:space="preserve"> </w:t>
      </w:r>
      <w:r w:rsidR="00AE550F">
        <w:rPr>
          <w:szCs w:val="24"/>
        </w:rPr>
        <w:t>method</w:t>
      </w:r>
      <w:r w:rsidR="00D93149">
        <w:rPr>
          <w:szCs w:val="24"/>
        </w:rPr>
        <w:t xml:space="preserve"> </w:t>
      </w:r>
      <w:r w:rsidR="00D93149">
        <w:rPr>
          <w:szCs w:val="24"/>
        </w:rPr>
        <w:fldChar w:fldCharType="begin" w:fldLock="1"/>
      </w:r>
      <w:r w:rsidR="001B225D">
        <w:rPr>
          <w:szCs w:val="24"/>
        </w:rPr>
        <w:instrText>ADDIN CSL_CITATION {"citationItems":[{"id":"ITEM-1","itemData":{"URL":"https://www.pharmacopoeia.com/bp-2019/appendices/appendix-17/appendix-xvii-g--friability.html?date=2019-04-01&amp;text=friability","accessed":{"date-parts":[["2019","4","17"]]},"author":[{"dropping-particle":"","family":"British Pharmacopoeia","given":"","non-dropping-particle":"","parse-names":false,"suffix":""}],"id":"ITEM-1","issued":{"date-parts":[["2019"]]},"title":"Appendix XVII G. Friability - British Pharmacopoeia","type":"webpage"},"uris":["http://www.mendeley.com/documents/?uuid=45c8e8bc-1483-3df9-b816-dda5748aac87"]}],"mendeley":{"formattedCitation":"(21)","plainTextFormattedCitation":"(21)","previouslyFormattedCitation":"(21)"},"properties":{"noteIndex":0},"schema":"https://github.com/citation-style-language/schema/raw/master/csl-citation.json"}</w:instrText>
      </w:r>
      <w:r w:rsidR="00D93149">
        <w:rPr>
          <w:szCs w:val="24"/>
        </w:rPr>
        <w:fldChar w:fldCharType="separate"/>
      </w:r>
      <w:r w:rsidR="00EA3B9E" w:rsidRPr="00EA3B9E">
        <w:rPr>
          <w:noProof/>
          <w:szCs w:val="24"/>
        </w:rPr>
        <w:t>(21)</w:t>
      </w:r>
      <w:r w:rsidR="00D93149">
        <w:rPr>
          <w:szCs w:val="24"/>
        </w:rPr>
        <w:fldChar w:fldCharType="end"/>
      </w:r>
      <w:r w:rsidRPr="000E3B94">
        <w:rPr>
          <w:szCs w:val="24"/>
        </w:rPr>
        <w:t>. Caplets were dedusted and accurately weighed. Friability was calculated as per equation</w:t>
      </w:r>
      <w:r w:rsidR="002D03DC">
        <w:rPr>
          <w:szCs w:val="24"/>
        </w:rPr>
        <w:t xml:space="preserve"> 2</w:t>
      </w:r>
      <w:r w:rsidRPr="000E3B94">
        <w:rPr>
          <w:szCs w:val="24"/>
        </w:rPr>
        <w:t>:</w:t>
      </w:r>
    </w:p>
    <w:p w14:paraId="4043C404" w14:textId="5BA2A6BA" w:rsidR="000E3B94" w:rsidRPr="000E3B94" w:rsidRDefault="000E3B94" w:rsidP="002244B8">
      <w:pPr>
        <w:rPr>
          <w:rFonts w:eastAsiaTheme="minorEastAsia"/>
          <w:szCs w:val="24"/>
        </w:rPr>
      </w:pPr>
      <m:oMath>
        <m:r>
          <w:rPr>
            <w:rFonts w:ascii="Cambria Math" w:hAnsi="Cambria Math"/>
            <w:szCs w:val="24"/>
          </w:rPr>
          <w:lastRenderedPageBreak/>
          <m:t xml:space="preserve">% F= </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W</m:t>
                </m:r>
              </m:e>
              <m:sub>
                <m:r>
                  <w:rPr>
                    <w:rFonts w:ascii="Cambria Math" w:hAnsi="Cambria Math"/>
                    <w:szCs w:val="24"/>
                  </w:rPr>
                  <m:t>0</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W</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W</m:t>
                </m:r>
              </m:e>
              <m:sub>
                <m:r>
                  <w:rPr>
                    <w:rFonts w:ascii="Cambria Math" w:hAnsi="Cambria Math"/>
                    <w:szCs w:val="24"/>
                  </w:rPr>
                  <m:t>0</m:t>
                </m:r>
              </m:sub>
            </m:sSub>
          </m:den>
        </m:f>
        <m:r>
          <w:rPr>
            <w:rFonts w:ascii="Cambria Math" w:hAnsi="Cambria Math"/>
            <w:szCs w:val="24"/>
          </w:rPr>
          <m:t xml:space="preserve"> X 100</m:t>
        </m:r>
      </m:oMath>
      <w:r w:rsidR="00445A9B">
        <w:rPr>
          <w:rFonts w:eastAsiaTheme="minorEastAsia"/>
          <w:szCs w:val="24"/>
        </w:rPr>
        <w:t xml:space="preserve">       Equation 2</w:t>
      </w:r>
    </w:p>
    <w:p w14:paraId="02C39790" w14:textId="68426892" w:rsidR="000E3B94" w:rsidRDefault="000E3B94" w:rsidP="002244B8">
      <w:pPr>
        <w:rPr>
          <w:szCs w:val="24"/>
        </w:rPr>
      </w:pPr>
      <w:r w:rsidRPr="00F01AF2">
        <w:rPr>
          <w:szCs w:val="24"/>
        </w:rPr>
        <w:t>Where:</w:t>
      </w:r>
    </w:p>
    <w:p w14:paraId="56B29875" w14:textId="004E0656" w:rsidR="005F666A" w:rsidRPr="00F01AF2" w:rsidRDefault="0036144B" w:rsidP="002244B8">
      <w:pPr>
        <w:rPr>
          <w:szCs w:val="24"/>
        </w:rPr>
      </w:pPr>
      <w:r>
        <w:rPr>
          <w:szCs w:val="24"/>
        </w:rPr>
        <w:t xml:space="preserve">% </w:t>
      </w:r>
      <w:r w:rsidRPr="0036144B">
        <w:rPr>
          <w:i/>
          <w:szCs w:val="24"/>
        </w:rPr>
        <w:t>F</w:t>
      </w:r>
      <w:r>
        <w:rPr>
          <w:szCs w:val="24"/>
        </w:rPr>
        <w:t xml:space="preserve"> = percentage friability</w:t>
      </w:r>
    </w:p>
    <w:p w14:paraId="249A1514" w14:textId="77777777" w:rsidR="000E3B94" w:rsidRPr="00F01AF2" w:rsidRDefault="000E3B94" w:rsidP="002244B8">
      <w:pPr>
        <w:rPr>
          <w:szCs w:val="24"/>
        </w:rPr>
      </w:pPr>
      <w:r w:rsidRPr="00F01AF2">
        <w:rPr>
          <w:szCs w:val="24"/>
        </w:rPr>
        <w:t>W</w:t>
      </w:r>
      <w:r w:rsidRPr="00F01AF2">
        <w:rPr>
          <w:szCs w:val="24"/>
          <w:vertAlign w:val="subscript"/>
        </w:rPr>
        <w:t xml:space="preserve">0 </w:t>
      </w:r>
      <w:r w:rsidRPr="00F01AF2">
        <w:rPr>
          <w:szCs w:val="24"/>
        </w:rPr>
        <w:t xml:space="preserve">= the initial total weight of caplets </w:t>
      </w:r>
    </w:p>
    <w:p w14:paraId="462768B9" w14:textId="77777777" w:rsidR="000E3B94" w:rsidRPr="00F01AF2" w:rsidRDefault="000E3B94" w:rsidP="002244B8">
      <w:pPr>
        <w:rPr>
          <w:szCs w:val="24"/>
        </w:rPr>
      </w:pPr>
      <w:r w:rsidRPr="00F01AF2">
        <w:rPr>
          <w:szCs w:val="24"/>
        </w:rPr>
        <w:t>W</w:t>
      </w:r>
      <w:r w:rsidRPr="00F01AF2">
        <w:rPr>
          <w:szCs w:val="24"/>
          <w:vertAlign w:val="subscript"/>
        </w:rPr>
        <w:t xml:space="preserve">1 </w:t>
      </w:r>
      <w:r w:rsidRPr="00F01AF2">
        <w:rPr>
          <w:szCs w:val="24"/>
        </w:rPr>
        <w:t>= the total weight of caplets after the test.</w:t>
      </w:r>
    </w:p>
    <w:p w14:paraId="283295A3" w14:textId="3D81C851" w:rsidR="00ED6DF0" w:rsidRPr="00D93149" w:rsidRDefault="00CE6DAD" w:rsidP="002244B8">
      <w:pPr>
        <w:rPr>
          <w:i/>
        </w:rPr>
      </w:pPr>
      <w:r w:rsidRPr="00D93149">
        <w:t xml:space="preserve">Disintegration Studies </w:t>
      </w:r>
    </w:p>
    <w:p w14:paraId="419EAE61" w14:textId="01931D9A" w:rsidR="00286431" w:rsidRDefault="00286431" w:rsidP="002244B8">
      <w:pPr>
        <w:rPr>
          <w:szCs w:val="24"/>
        </w:rPr>
      </w:pPr>
      <w:r w:rsidRPr="00286431">
        <w:rPr>
          <w:szCs w:val="24"/>
        </w:rPr>
        <w:t>A minimum of 6 caplets were placed in the basket rack of a Erweka ZT 44 disintegration tester (Novatech, Newcastle, UK) which was immersed in a bath of 0.1 M HCl, pH 1.2, held at 37 °C with a constant vertical agitation rate of 30 cycles per minute as per</w:t>
      </w:r>
      <w:r w:rsidR="00C10900">
        <w:rPr>
          <w:szCs w:val="24"/>
        </w:rPr>
        <w:t xml:space="preserve"> the</w:t>
      </w:r>
      <w:r w:rsidRPr="00286431">
        <w:rPr>
          <w:szCs w:val="24"/>
        </w:rPr>
        <w:t xml:space="preserve"> B</w:t>
      </w:r>
      <w:r w:rsidR="00D33FBE">
        <w:rPr>
          <w:szCs w:val="24"/>
        </w:rPr>
        <w:t>P</w:t>
      </w:r>
      <w:r w:rsidRPr="00286431">
        <w:rPr>
          <w:szCs w:val="24"/>
        </w:rPr>
        <w:t xml:space="preserve"> method</w:t>
      </w:r>
      <w:r w:rsidR="00B81119">
        <w:rPr>
          <w:szCs w:val="24"/>
        </w:rPr>
        <w:t xml:space="preserve"> </w:t>
      </w:r>
      <w:r w:rsidR="00B81119">
        <w:rPr>
          <w:szCs w:val="24"/>
        </w:rPr>
        <w:fldChar w:fldCharType="begin" w:fldLock="1"/>
      </w:r>
      <w:r w:rsidR="001B225D">
        <w:rPr>
          <w:szCs w:val="24"/>
        </w:rPr>
        <w:instrText>ADDIN CSL_CITATION {"citationItems":[{"id":"ITEM-1","itemData":{"URL":"https://www.pharmacopoeia.com/bp-2019/appendices/appendix-12/appendix-xii-a--disintegration.html?date=2019-04-01#f20901","accessed":{"date-parts":[["2019","4","17"]]},"author":[{"dropping-particle":"","family":"British Pharmacopoeia","given":"","non-dropping-particle":"","parse-names":false,"suffix":""}],"id":"ITEM-1","issued":{"date-parts":[["2019"]]},"title":"Appendix XII A. Disintegration - British Pharmacopoeia","type":"webpage"},"uris":["http://www.mendeley.com/documents/?uuid=c9e1a2ad-3296-3721-92f2-db1ee899fa0f"]}],"mendeley":{"formattedCitation":"(22)","plainTextFormattedCitation":"(22)","previouslyFormattedCitation":"(22)"},"properties":{"noteIndex":0},"schema":"https://github.com/citation-style-language/schema/raw/master/csl-citation.json"}</w:instrText>
      </w:r>
      <w:r w:rsidR="00B81119">
        <w:rPr>
          <w:szCs w:val="24"/>
        </w:rPr>
        <w:fldChar w:fldCharType="separate"/>
      </w:r>
      <w:r w:rsidR="00EA3B9E" w:rsidRPr="00EA3B9E">
        <w:rPr>
          <w:noProof/>
          <w:szCs w:val="24"/>
        </w:rPr>
        <w:t>(22)</w:t>
      </w:r>
      <w:r w:rsidR="00B81119">
        <w:rPr>
          <w:szCs w:val="24"/>
        </w:rPr>
        <w:fldChar w:fldCharType="end"/>
      </w:r>
      <w:r w:rsidRPr="00286431">
        <w:rPr>
          <w:szCs w:val="24"/>
        </w:rPr>
        <w:t>.</w:t>
      </w:r>
      <w:r w:rsidRPr="001238E1">
        <w:t xml:space="preserve"> </w:t>
      </w:r>
      <w:r w:rsidRPr="00286431">
        <w:rPr>
          <w:szCs w:val="24"/>
        </w:rPr>
        <w:t>The volume of the fluid in the vessel was such that at the highest point of the upward stroke the wire mesh remained at least 15 mm below the surface of the fluid and descended to not less than 25 mm from the bottom of the vessel on the downward stroke. At no time was the top of the basket-rack assembly submerged. The time required for all the caplets to pass through the mesh screen was recorded.</w:t>
      </w:r>
    </w:p>
    <w:p w14:paraId="2B65FF18" w14:textId="77D8B0BB" w:rsidR="00944DE4" w:rsidRPr="00EC6D13" w:rsidRDefault="003726E1" w:rsidP="002244B8">
      <w:pPr>
        <w:rPr>
          <w:rFonts w:cs="Times New Roman"/>
          <w:i/>
        </w:rPr>
      </w:pPr>
      <w:r w:rsidRPr="00D33FBE">
        <w:rPr>
          <w:rFonts w:cs="Times New Roman"/>
        </w:rPr>
        <w:t>In-vitro</w:t>
      </w:r>
      <w:r w:rsidRPr="00EC6D13">
        <w:rPr>
          <w:rFonts w:cs="Times New Roman"/>
        </w:rPr>
        <w:t xml:space="preserve"> Dissolution </w:t>
      </w:r>
      <w:r w:rsidR="00842B78">
        <w:rPr>
          <w:rFonts w:cs="Times New Roman"/>
        </w:rPr>
        <w:t>S</w:t>
      </w:r>
      <w:r w:rsidRPr="00EC6D13">
        <w:rPr>
          <w:rFonts w:cs="Times New Roman"/>
        </w:rPr>
        <w:t>tudies</w:t>
      </w:r>
    </w:p>
    <w:p w14:paraId="33CEBDED" w14:textId="7B697E2E" w:rsidR="00800A01" w:rsidRDefault="00800A01" w:rsidP="002244B8">
      <w:pPr>
        <w:rPr>
          <w:szCs w:val="24"/>
        </w:rPr>
      </w:pPr>
      <w:bookmarkStart w:id="8" w:name="_Hlk2076464"/>
      <w:r w:rsidRPr="00D33FBE">
        <w:rPr>
          <w:i/>
          <w:iCs/>
          <w:szCs w:val="24"/>
        </w:rPr>
        <w:t>In-vitro</w:t>
      </w:r>
      <w:r w:rsidRPr="00800A01">
        <w:rPr>
          <w:szCs w:val="24"/>
        </w:rPr>
        <w:t xml:space="preserve"> dissolution studies of the manufactured caplets were performed using a Sotax AT-7 </w:t>
      </w:r>
      <w:r w:rsidR="00C23D5E">
        <w:rPr>
          <w:szCs w:val="24"/>
        </w:rPr>
        <w:t>USP type II paddle apparatus</w:t>
      </w:r>
      <w:r w:rsidRPr="00800A01">
        <w:rPr>
          <w:szCs w:val="24"/>
        </w:rPr>
        <w:t xml:space="preserve"> (Sotax, Wallbrunnstraße, Germany</w:t>
      </w:r>
      <w:r w:rsidRPr="005A0CD7">
        <w:rPr>
          <w:szCs w:val="24"/>
        </w:rPr>
        <w:t>)</w:t>
      </w:r>
      <w:r w:rsidR="008678F5" w:rsidRPr="005A0CD7">
        <w:rPr>
          <w:szCs w:val="24"/>
        </w:rPr>
        <w:t xml:space="preserve"> under sink conditions</w:t>
      </w:r>
      <w:r w:rsidRPr="005A0CD7">
        <w:rPr>
          <w:szCs w:val="24"/>
        </w:rPr>
        <w:t>.</w:t>
      </w:r>
      <w:r w:rsidRPr="00800A01">
        <w:rPr>
          <w:szCs w:val="24"/>
        </w:rPr>
        <w:t xml:space="preserve"> </w:t>
      </w:r>
      <w:bookmarkEnd w:id="8"/>
      <w:r w:rsidRPr="00800A01">
        <w:rPr>
          <w:szCs w:val="24"/>
        </w:rPr>
        <w:t>The dissolution study was carried out using</w:t>
      </w:r>
      <w:r w:rsidRPr="00C20710">
        <w:t xml:space="preserve"> </w:t>
      </w:r>
      <w:r w:rsidR="008569C4">
        <w:rPr>
          <w:szCs w:val="24"/>
        </w:rPr>
        <w:t>0.1 M HCl</w:t>
      </w:r>
      <w:r w:rsidRPr="00800A01">
        <w:rPr>
          <w:szCs w:val="24"/>
        </w:rPr>
        <w:t xml:space="preserve"> as the dissolution medium (volume: 900 ml, temperature: 37 ± 0.5 °C, pH: </w:t>
      </w:r>
      <w:r w:rsidR="001E112A">
        <w:rPr>
          <w:szCs w:val="24"/>
        </w:rPr>
        <w:t>1.2</w:t>
      </w:r>
      <w:r w:rsidRPr="00800A01">
        <w:rPr>
          <w:szCs w:val="24"/>
        </w:rPr>
        <w:t xml:space="preserve">) and a rotational speed of </w:t>
      </w:r>
      <w:r w:rsidR="001E112A">
        <w:rPr>
          <w:szCs w:val="24"/>
        </w:rPr>
        <w:t>50</w:t>
      </w:r>
      <w:r w:rsidRPr="00800A01">
        <w:rPr>
          <w:szCs w:val="24"/>
        </w:rPr>
        <w:t xml:space="preserve"> rpm.</w:t>
      </w:r>
      <w:bookmarkStart w:id="9" w:name="_Hlk2073087"/>
      <w:r w:rsidRPr="00800A01">
        <w:rPr>
          <w:szCs w:val="24"/>
        </w:rPr>
        <w:t xml:space="preserve"> This dissolution method was chosen </w:t>
      </w:r>
      <w:r w:rsidR="00B025FF">
        <w:rPr>
          <w:szCs w:val="24"/>
        </w:rPr>
        <w:t xml:space="preserve">to mimic the </w:t>
      </w:r>
      <w:r w:rsidR="00AB7ECD">
        <w:rPr>
          <w:szCs w:val="24"/>
        </w:rPr>
        <w:t xml:space="preserve">target release </w:t>
      </w:r>
      <w:r w:rsidR="006B178B">
        <w:rPr>
          <w:szCs w:val="24"/>
        </w:rPr>
        <w:t>conditions of the stomach</w:t>
      </w:r>
      <w:r w:rsidR="00AD15C9">
        <w:rPr>
          <w:szCs w:val="24"/>
        </w:rPr>
        <w:t>.</w:t>
      </w:r>
      <w:r w:rsidRPr="00800A01">
        <w:rPr>
          <w:szCs w:val="24"/>
        </w:rPr>
        <w:t xml:space="preserve"> </w:t>
      </w:r>
      <w:bookmarkEnd w:id="9"/>
      <w:r w:rsidRPr="00800A01">
        <w:rPr>
          <w:szCs w:val="24"/>
        </w:rPr>
        <w:t>5 ml aliquots were withdrawn and were replaced with fresh media at the pre-determined time intervals. Samples were filtered through PTFE hydrophilic 0.45 μm filters (Fisher Scientific Ireland Ltd., Dublin, Ireland) and were analysed for drug content by HPLC</w:t>
      </w:r>
      <w:r w:rsidR="00C473FE">
        <w:rPr>
          <w:szCs w:val="24"/>
        </w:rPr>
        <w:t xml:space="preserve"> as previously described</w:t>
      </w:r>
      <w:r w:rsidRPr="00800A01">
        <w:rPr>
          <w:szCs w:val="24"/>
        </w:rPr>
        <w:t>. The dissolution study was terminated after 120 min. All studies were conducted in triplicate.</w:t>
      </w:r>
    </w:p>
    <w:p w14:paraId="20BE9D9B" w14:textId="38060A0D" w:rsidR="00FA03D3" w:rsidRPr="00EC6D13" w:rsidRDefault="00FA03D3" w:rsidP="002244B8">
      <w:pPr>
        <w:rPr>
          <w:rFonts w:cs="Times New Roman"/>
        </w:rPr>
      </w:pPr>
      <w:r w:rsidRPr="00EC6D13">
        <w:rPr>
          <w:rFonts w:cs="Times New Roman"/>
        </w:rPr>
        <w:t xml:space="preserve">Statistical </w:t>
      </w:r>
      <w:r w:rsidR="00C97243" w:rsidRPr="00EC6D13">
        <w:rPr>
          <w:rFonts w:cs="Times New Roman"/>
        </w:rPr>
        <w:t xml:space="preserve">Analysis </w:t>
      </w:r>
    </w:p>
    <w:p w14:paraId="29E2EBF7" w14:textId="22978F12" w:rsidR="001A2C56" w:rsidRDefault="00944047" w:rsidP="002244B8">
      <w:pPr>
        <w:rPr>
          <w:rFonts w:cs="Times New Roman"/>
        </w:rPr>
      </w:pPr>
      <w:r w:rsidRPr="002E3850">
        <w:rPr>
          <w:rFonts w:cs="Times New Roman"/>
        </w:rPr>
        <w:t>Statistical analysis was conducted using Minitab</w:t>
      </w:r>
      <w:r w:rsidRPr="00944047">
        <w:rPr>
          <w:rFonts w:cs="Times New Roman"/>
          <w:vertAlign w:val="superscript"/>
        </w:rPr>
        <w:t>®</w:t>
      </w:r>
      <w:r w:rsidRPr="002E3850">
        <w:rPr>
          <w:rFonts w:cs="Times New Roman"/>
        </w:rPr>
        <w:t xml:space="preserve"> 16 software. A two-sample t-test was carried out to compare the </w:t>
      </w:r>
      <w:r w:rsidR="00FE7E6B">
        <w:rPr>
          <w:rFonts w:cs="Times New Roman"/>
        </w:rPr>
        <w:t xml:space="preserve">effects of </w:t>
      </w:r>
      <w:r w:rsidRPr="002E3850">
        <w:rPr>
          <w:rFonts w:cs="Times New Roman"/>
        </w:rPr>
        <w:t>particle size for different melt granule formulations.</w:t>
      </w:r>
      <w:r w:rsidR="00AE5BA5">
        <w:rPr>
          <w:rFonts w:cs="Times New Roman"/>
        </w:rPr>
        <w:t xml:space="preserve"> A </w:t>
      </w:r>
      <w:r w:rsidR="00BC6CBB">
        <w:rPr>
          <w:rFonts w:cs="Times New Roman"/>
        </w:rPr>
        <w:t>two-sample</w:t>
      </w:r>
      <w:r w:rsidR="00AE5BA5">
        <w:rPr>
          <w:rFonts w:cs="Times New Roman"/>
        </w:rPr>
        <w:t xml:space="preserve"> </w:t>
      </w:r>
      <w:r w:rsidR="00AE5BA5">
        <w:rPr>
          <w:rFonts w:cs="Times New Roman"/>
        </w:rPr>
        <w:lastRenderedPageBreak/>
        <w:t>t-test was carried out to compare the</w:t>
      </w:r>
      <w:r w:rsidR="00834284">
        <w:rPr>
          <w:rFonts w:cs="Times New Roman"/>
        </w:rPr>
        <w:t xml:space="preserve"> various</w:t>
      </w:r>
      <w:r w:rsidR="0040505A">
        <w:rPr>
          <w:rFonts w:cs="Times New Roman"/>
        </w:rPr>
        <w:t xml:space="preserve"> flowability measurements of</w:t>
      </w:r>
      <w:r w:rsidR="00AE5BA5">
        <w:rPr>
          <w:rFonts w:cs="Times New Roman"/>
        </w:rPr>
        <w:t xml:space="preserve"> </w:t>
      </w:r>
      <w:r w:rsidR="0040505A">
        <w:rPr>
          <w:rFonts w:cs="Times New Roman"/>
        </w:rPr>
        <w:t>physical mixtures and melt granulation formulations.</w:t>
      </w:r>
      <w:r w:rsidR="00BC6CBB">
        <w:rPr>
          <w:rFonts w:cs="Times New Roman"/>
        </w:rPr>
        <w:t xml:space="preserve"> A </w:t>
      </w:r>
      <w:r w:rsidR="00C27B62">
        <w:rPr>
          <w:rFonts w:cs="Times New Roman"/>
        </w:rPr>
        <w:t>one-way</w:t>
      </w:r>
      <w:r w:rsidR="00977D05">
        <w:rPr>
          <w:rFonts w:cs="Times New Roman"/>
        </w:rPr>
        <w:t xml:space="preserve"> Analysis of Variance</w:t>
      </w:r>
      <w:r w:rsidR="00BC6CBB">
        <w:rPr>
          <w:rFonts w:cs="Times New Roman"/>
        </w:rPr>
        <w:t xml:space="preserve"> </w:t>
      </w:r>
      <w:r w:rsidR="00977D05">
        <w:rPr>
          <w:rFonts w:cs="Times New Roman"/>
        </w:rPr>
        <w:t>(</w:t>
      </w:r>
      <w:r w:rsidR="00BC6CBB">
        <w:rPr>
          <w:rFonts w:cs="Times New Roman"/>
        </w:rPr>
        <w:t>ANOVA</w:t>
      </w:r>
      <w:r w:rsidR="00977D05">
        <w:rPr>
          <w:rFonts w:cs="Times New Roman"/>
        </w:rPr>
        <w:t>)</w:t>
      </w:r>
      <w:r w:rsidR="007A43BF" w:rsidRPr="007A43BF">
        <w:t xml:space="preserve"> </w:t>
      </w:r>
      <w:r w:rsidR="007A43BF" w:rsidRPr="007A43BF">
        <w:rPr>
          <w:rFonts w:cs="Times New Roman"/>
        </w:rPr>
        <w:t>was carried out to compare the various flowability measurements of physical mixtures</w:t>
      </w:r>
      <w:r w:rsidR="007A43BF">
        <w:rPr>
          <w:rFonts w:cs="Times New Roman"/>
        </w:rPr>
        <w:t>,</w:t>
      </w:r>
      <w:r w:rsidR="007A43BF" w:rsidRPr="007A43BF">
        <w:rPr>
          <w:rFonts w:cs="Times New Roman"/>
        </w:rPr>
        <w:t xml:space="preserve"> melt granulation formulations</w:t>
      </w:r>
      <w:r w:rsidR="007A43BF">
        <w:rPr>
          <w:rFonts w:cs="Times New Roman"/>
        </w:rPr>
        <w:t xml:space="preserve"> and melt granulation formulations with the addition of </w:t>
      </w:r>
      <w:r w:rsidR="00E274A9">
        <w:rPr>
          <w:rFonts w:cs="Times New Roman"/>
        </w:rPr>
        <w:t xml:space="preserve">10 % w/w </w:t>
      </w:r>
      <w:r w:rsidR="007A43BF">
        <w:rPr>
          <w:rFonts w:cs="Times New Roman"/>
        </w:rPr>
        <w:t>glidant.</w:t>
      </w:r>
      <w:r w:rsidR="00BC6CBB">
        <w:rPr>
          <w:rFonts w:cs="Times New Roman"/>
        </w:rPr>
        <w:t xml:space="preserve"> </w:t>
      </w:r>
      <w:r w:rsidRPr="002E3850">
        <w:rPr>
          <w:rFonts w:cs="Times New Roman"/>
        </w:rPr>
        <w:t>A one</w:t>
      </w:r>
      <w:r w:rsidRPr="002E3850">
        <w:rPr>
          <w:rFonts w:cs="Times New Roman"/>
        </w:rPr>
        <w:noBreakHyphen/>
        <w:t>way ANOVA at each individual time point was used to compare the difference in drug release profiles of manufactured formulations. In all statistical analyses, p</w:t>
      </w:r>
      <w:r w:rsidR="00CF2C48">
        <w:rPr>
          <w:rFonts w:cs="Times New Roman"/>
        </w:rPr>
        <w:t xml:space="preserve"> </w:t>
      </w:r>
      <w:r w:rsidRPr="002E3850">
        <w:rPr>
          <w:rFonts w:cs="Times New Roman"/>
        </w:rPr>
        <w:t>&lt;</w:t>
      </w:r>
      <w:r w:rsidR="00CF2C48">
        <w:rPr>
          <w:rFonts w:cs="Times New Roman"/>
        </w:rPr>
        <w:t xml:space="preserve"> </w:t>
      </w:r>
      <w:r w:rsidRPr="002E3850">
        <w:rPr>
          <w:rFonts w:cs="Times New Roman"/>
        </w:rPr>
        <w:t>0.</w:t>
      </w:r>
      <w:r>
        <w:rPr>
          <w:rFonts w:cs="Times New Roman"/>
        </w:rPr>
        <w:t>0</w:t>
      </w:r>
      <w:r w:rsidRPr="002E3850">
        <w:rPr>
          <w:rFonts w:cs="Times New Roman"/>
        </w:rPr>
        <w:t>5 denoted significance.</w:t>
      </w:r>
    </w:p>
    <w:p w14:paraId="42CAC385" w14:textId="00CD8CFD" w:rsidR="00EC6D13" w:rsidRDefault="00EC6D13" w:rsidP="002244B8">
      <w:pPr>
        <w:rPr>
          <w:rFonts w:cs="Times New Roman"/>
        </w:rPr>
      </w:pPr>
    </w:p>
    <w:p w14:paraId="68A673C4" w14:textId="54B40656" w:rsidR="005C2EDD" w:rsidRDefault="005C2EDD" w:rsidP="002244B8">
      <w:pPr>
        <w:rPr>
          <w:rFonts w:cs="Times New Roman"/>
        </w:rPr>
      </w:pPr>
    </w:p>
    <w:p w14:paraId="1963F845" w14:textId="2B383F8A" w:rsidR="005C2EDD" w:rsidRDefault="005C2EDD" w:rsidP="002244B8">
      <w:pPr>
        <w:rPr>
          <w:rFonts w:cs="Times New Roman"/>
        </w:rPr>
      </w:pPr>
    </w:p>
    <w:p w14:paraId="27EA6E1F" w14:textId="1E786F94" w:rsidR="005C2EDD" w:rsidRDefault="005C2EDD" w:rsidP="002244B8">
      <w:pPr>
        <w:rPr>
          <w:rFonts w:cs="Times New Roman"/>
        </w:rPr>
      </w:pPr>
    </w:p>
    <w:p w14:paraId="0D5D3CB6" w14:textId="6B0E4358" w:rsidR="003B07D2" w:rsidRDefault="003B07D2" w:rsidP="002244B8">
      <w:pPr>
        <w:rPr>
          <w:rFonts w:cs="Times New Roman"/>
        </w:rPr>
      </w:pPr>
    </w:p>
    <w:p w14:paraId="1D3A853A" w14:textId="78363284" w:rsidR="003B07D2" w:rsidRDefault="003B07D2" w:rsidP="002244B8">
      <w:pPr>
        <w:rPr>
          <w:rFonts w:cs="Times New Roman"/>
        </w:rPr>
      </w:pPr>
    </w:p>
    <w:p w14:paraId="523CDAED" w14:textId="497ECA5A" w:rsidR="003B07D2" w:rsidRDefault="003B07D2" w:rsidP="002244B8">
      <w:pPr>
        <w:rPr>
          <w:rFonts w:cs="Times New Roman"/>
        </w:rPr>
      </w:pPr>
    </w:p>
    <w:p w14:paraId="2025C832" w14:textId="7F2B3A7D" w:rsidR="003B07D2" w:rsidRDefault="003B07D2" w:rsidP="002244B8">
      <w:pPr>
        <w:rPr>
          <w:rFonts w:cs="Times New Roman"/>
        </w:rPr>
      </w:pPr>
    </w:p>
    <w:p w14:paraId="386FD076" w14:textId="6C57B223" w:rsidR="003B07D2" w:rsidRDefault="003B07D2" w:rsidP="002244B8">
      <w:pPr>
        <w:rPr>
          <w:rFonts w:cs="Times New Roman"/>
        </w:rPr>
      </w:pPr>
    </w:p>
    <w:p w14:paraId="7B59D7C2" w14:textId="1FF68585" w:rsidR="003B07D2" w:rsidRDefault="003B07D2" w:rsidP="002244B8">
      <w:pPr>
        <w:rPr>
          <w:rFonts w:cs="Times New Roman"/>
        </w:rPr>
      </w:pPr>
    </w:p>
    <w:p w14:paraId="4F6CF14B" w14:textId="1365E449" w:rsidR="003B07D2" w:rsidRDefault="003B07D2" w:rsidP="002244B8">
      <w:pPr>
        <w:rPr>
          <w:rFonts w:cs="Times New Roman"/>
        </w:rPr>
      </w:pPr>
    </w:p>
    <w:p w14:paraId="46F38AF4" w14:textId="690E6467" w:rsidR="003B07D2" w:rsidRDefault="003B07D2" w:rsidP="002244B8">
      <w:pPr>
        <w:rPr>
          <w:rFonts w:cs="Times New Roman"/>
        </w:rPr>
      </w:pPr>
    </w:p>
    <w:p w14:paraId="682EA439" w14:textId="02666019" w:rsidR="003B07D2" w:rsidRDefault="003B07D2" w:rsidP="002244B8">
      <w:pPr>
        <w:rPr>
          <w:rFonts w:cs="Times New Roman"/>
        </w:rPr>
      </w:pPr>
    </w:p>
    <w:p w14:paraId="2C815E9F" w14:textId="6605A6E4" w:rsidR="005C776D" w:rsidRDefault="005C776D" w:rsidP="002244B8">
      <w:pPr>
        <w:rPr>
          <w:rFonts w:cs="Times New Roman"/>
        </w:rPr>
      </w:pPr>
    </w:p>
    <w:p w14:paraId="01E063E8" w14:textId="7EC6630A" w:rsidR="005C776D" w:rsidRDefault="005C776D" w:rsidP="002244B8">
      <w:pPr>
        <w:rPr>
          <w:rFonts w:cs="Times New Roman"/>
        </w:rPr>
      </w:pPr>
    </w:p>
    <w:p w14:paraId="1BD27A6F" w14:textId="77777777" w:rsidR="005C776D" w:rsidRDefault="005C776D" w:rsidP="002244B8">
      <w:pPr>
        <w:rPr>
          <w:rFonts w:cs="Times New Roman"/>
        </w:rPr>
      </w:pPr>
    </w:p>
    <w:p w14:paraId="758D5F6A" w14:textId="4B9254A0" w:rsidR="00EC6D13" w:rsidRDefault="00EC6D13" w:rsidP="002244B8">
      <w:pPr>
        <w:rPr>
          <w:rFonts w:cs="Times New Roman"/>
        </w:rPr>
      </w:pPr>
    </w:p>
    <w:p w14:paraId="40BCAAC9" w14:textId="31CC767B" w:rsidR="00EF013A" w:rsidRPr="00E66345" w:rsidRDefault="00696621" w:rsidP="002244B8">
      <w:pPr>
        <w:rPr>
          <w:rFonts w:ascii="Times" w:hAnsi="Times" w:cs="Times"/>
          <w:b/>
          <w:bCs/>
          <w:szCs w:val="24"/>
        </w:rPr>
      </w:pPr>
      <w:r w:rsidRPr="00E66345">
        <w:rPr>
          <w:rFonts w:ascii="Times" w:hAnsi="Times" w:cs="Times"/>
          <w:b/>
          <w:bCs/>
          <w:szCs w:val="24"/>
        </w:rPr>
        <w:lastRenderedPageBreak/>
        <w:t xml:space="preserve">Results and Discussion </w:t>
      </w:r>
    </w:p>
    <w:p w14:paraId="10F028E0" w14:textId="433D5511" w:rsidR="00ED6DF0" w:rsidRDefault="001318C5" w:rsidP="002244B8">
      <w:pPr>
        <w:rPr>
          <w:rFonts w:ascii="Times" w:hAnsi="Times" w:cs="Times"/>
          <w:szCs w:val="24"/>
        </w:rPr>
      </w:pPr>
      <w:r w:rsidRPr="00FF23DF">
        <w:rPr>
          <w:rFonts w:ascii="Times" w:hAnsi="Times" w:cs="Times"/>
          <w:szCs w:val="24"/>
        </w:rPr>
        <w:t xml:space="preserve">Solid state characteristics </w:t>
      </w:r>
      <w:r w:rsidR="00FF23DF" w:rsidRPr="00FF23DF">
        <w:rPr>
          <w:rFonts w:ascii="Times" w:hAnsi="Times" w:cs="Times"/>
          <w:szCs w:val="24"/>
        </w:rPr>
        <w:t>of raw materials</w:t>
      </w:r>
    </w:p>
    <w:p w14:paraId="2E888A60" w14:textId="38EC5478" w:rsidR="000F017B" w:rsidRDefault="00E916C2" w:rsidP="002244B8">
      <w:r>
        <w:rPr>
          <w:lang w:val="en-US"/>
        </w:rPr>
        <w:t>As</w:t>
      </w:r>
      <w:r w:rsidR="00A259C4">
        <w:rPr>
          <w:lang w:val="en-US"/>
        </w:rPr>
        <w:t xml:space="preserve"> </w:t>
      </w:r>
      <w:r w:rsidR="00F11327">
        <w:rPr>
          <w:lang w:val="en-US"/>
        </w:rPr>
        <w:t>MG employ</w:t>
      </w:r>
      <w:r w:rsidR="001E60AF">
        <w:rPr>
          <w:lang w:val="en-US"/>
        </w:rPr>
        <w:t>s</w:t>
      </w:r>
      <w:r w:rsidR="00F11327">
        <w:rPr>
          <w:lang w:val="en-US"/>
        </w:rPr>
        <w:t xml:space="preserve"> thermal energy during </w:t>
      </w:r>
      <w:r w:rsidR="001E60AF">
        <w:rPr>
          <w:lang w:val="en-US"/>
        </w:rPr>
        <w:t>the</w:t>
      </w:r>
      <w:r w:rsidR="00F11327">
        <w:rPr>
          <w:lang w:val="en-US"/>
        </w:rPr>
        <w:t xml:space="preserve"> process,</w:t>
      </w:r>
      <w:r>
        <w:rPr>
          <w:lang w:val="en-US"/>
        </w:rPr>
        <w:t xml:space="preserve"> it is important to know the thermal </w:t>
      </w:r>
      <w:r w:rsidRPr="005A0CD7">
        <w:rPr>
          <w:lang w:val="en-US"/>
        </w:rPr>
        <w:t xml:space="preserve">degradation points of each of the components to be added to the formulations for MG studies. </w:t>
      </w:r>
      <w:r w:rsidR="0001393D" w:rsidRPr="005A0CD7">
        <w:rPr>
          <w:lang w:val="en-US"/>
        </w:rPr>
        <w:t xml:space="preserve">Supplementary </w:t>
      </w:r>
      <w:r w:rsidR="005A0C73" w:rsidRPr="005A0CD7">
        <w:rPr>
          <w:lang w:val="en-US"/>
        </w:rPr>
        <w:t>f</w:t>
      </w:r>
      <w:r w:rsidRPr="005A0CD7">
        <w:rPr>
          <w:lang w:val="en-US"/>
        </w:rPr>
        <w:t xml:space="preserve">igure </w:t>
      </w:r>
      <w:r w:rsidR="006915C6" w:rsidRPr="005A0CD7">
        <w:rPr>
          <w:lang w:val="en-US"/>
        </w:rPr>
        <w:t>S</w:t>
      </w:r>
      <w:r w:rsidR="00F11327" w:rsidRPr="005A0CD7">
        <w:rPr>
          <w:lang w:val="en-US"/>
        </w:rPr>
        <w:t>2</w:t>
      </w:r>
      <w:r w:rsidRPr="005A0CD7">
        <w:rPr>
          <w:lang w:val="en-US"/>
        </w:rPr>
        <w:t xml:space="preserve"> shows the various thermal degradation temperatures by TGA for the different components used in developing the final formulations. MET has previously been reported to be thermally stable over a wide range of temperatures </w:t>
      </w:r>
      <w:r w:rsidRPr="005A0CD7">
        <w:rPr>
          <w:lang w:val="en-US"/>
        </w:rPr>
        <w:fldChar w:fldCharType="begin" w:fldLock="1"/>
      </w:r>
      <w:r w:rsidR="00E05EA3" w:rsidRPr="005A0CD7">
        <w:rPr>
          <w:lang w:val="en-US"/>
        </w:rPr>
        <w:instrText>ADDIN CSL_CITATION {"citationItems":[{"id":"ITEM-1","itemData":{"DOI":"10.1016/j.ijbiomac.2016.12.022","ISSN":"1879-0003","PMID":"27956100","abstract":"Development of a gastroretentive sustained release tablet of metformin based on poly (acrylic acid)-grafted-gellan (PAAc-g-GG) is the main purpose of this study. At first, PAAc-g-GG was synthesized by microwave-promoted free radical initiation method using cerric (IV) ammonium nitrate (CAN) as redox initiator and characterized by elemental analysis, FTIR, DSC-TGA, 13C NMR, biodegradation and viscosity study. The synthetic parameters were optimized by 23 full factorial design using Design Expert software. Acute oral toxicity and histological studies were also performed as per OECD guideline. Tablets were then prepared employing wet granulation method using PAAc-g-GG and evaluated for various physical characters, in vitro drug release, ex-vivo mucoadhesion and swelling. Compatibility between drug and excipients was checked by DSC and FTIR analysis. The F3 batch showed excellent mucoadhesion and sustained drug release over a period of 10h with dissolution similarity factor, f2=77.43. Kinetic modeling unveiled Case-1 Fickian diffusion based drug release mechanism.","author":[{"dropping-particle":"","family":"Sarkar","given":"Debjani","non-dropping-particle":"","parse-names":false,"suffix":""},{"dropping-particle":"","family":"Nandi","given":"Gouranga","non-dropping-particle":"","parse-names":false,"suffix":""},{"dropping-particle":"","family":"Changder","given":"Abhijit","non-dropping-particle":"","parse-names":false,"suffix":""},{"dropping-particle":"","family":"Hudati","given":"Prasenjit","non-dropping-particle":"","parse-names":false,"suffix":""},{"dropping-particle":"","family":"Sarkar","given":"Sayani","non-dropping-particle":"","parse-names":false,"suffix":""},{"dropping-particle":"","family":"Ghosh","given":"Lakshmi Kanta","non-dropping-particle":"","parse-names":false,"suffix":""}],"container-title":"International journal of biological macromolecules","id":"ITEM-1","issued":{"date-parts":[["2017","3"]]},"page":"137-148","title":"Sustained release gastroretentive tablet of metformin hydrochloride based on poly (acrylic acid)-grafted-gellan.","type":"article-journal","volume":"96"},"uris":["http://www.mendeley.com/documents/?uuid=e1b9b6a9-8adf-31ef-ba31-dc4323e42a4a"]}],"mendeley":{"formattedCitation":"(23)","plainTextFormattedCitation":"(23)","previouslyFormattedCitation":"(23)"},"properties":{"noteIndex":0},"schema":"https://github.com/citation-style-language/schema/raw/master/csl-citation.json"}</w:instrText>
      </w:r>
      <w:r w:rsidRPr="005A0CD7">
        <w:rPr>
          <w:lang w:val="en-US"/>
        </w:rPr>
        <w:fldChar w:fldCharType="separate"/>
      </w:r>
      <w:r w:rsidR="00FB235B" w:rsidRPr="005A0CD7">
        <w:rPr>
          <w:noProof/>
          <w:lang w:val="en-US"/>
        </w:rPr>
        <w:t>(23)</w:t>
      </w:r>
      <w:r w:rsidRPr="005A0CD7">
        <w:rPr>
          <w:lang w:val="en-US"/>
        </w:rPr>
        <w:fldChar w:fldCharType="end"/>
      </w:r>
      <w:r w:rsidRPr="005A0CD7">
        <w:rPr>
          <w:lang w:val="en-US"/>
        </w:rPr>
        <w:t xml:space="preserve"> and was found by TGA to be thermally stable up to 230</w:t>
      </w:r>
      <w:r w:rsidR="00F154A8" w:rsidRPr="005A0CD7">
        <w:rPr>
          <w:lang w:val="en-US"/>
        </w:rPr>
        <w:t>.52</w:t>
      </w:r>
      <w:r w:rsidR="00353E92" w:rsidRPr="005A0CD7">
        <w:rPr>
          <w:lang w:val="en-US"/>
        </w:rPr>
        <w:t xml:space="preserve"> </w:t>
      </w:r>
      <w:r w:rsidR="00B07065" w:rsidRPr="005A0CD7">
        <w:rPr>
          <w:rFonts w:cs="Times New Roman"/>
          <w:lang w:val="en-US"/>
        </w:rPr>
        <w:t>±</w:t>
      </w:r>
      <w:r w:rsidR="00B07065" w:rsidRPr="005A0CD7">
        <w:rPr>
          <w:lang w:val="en-US"/>
        </w:rPr>
        <w:t xml:space="preserve"> 1.62</w:t>
      </w:r>
      <w:r w:rsidRPr="005A0CD7">
        <w:rPr>
          <w:lang w:val="en-US"/>
        </w:rPr>
        <w:t xml:space="preserve"> °C (</w:t>
      </w:r>
      <w:r w:rsidR="003C49DB" w:rsidRPr="005A0CD7">
        <w:rPr>
          <w:lang w:val="en-US"/>
        </w:rPr>
        <w:t>su</w:t>
      </w:r>
      <w:r w:rsidR="00F2720B" w:rsidRPr="005A0CD7">
        <w:rPr>
          <w:lang w:val="en-US"/>
        </w:rPr>
        <w:t xml:space="preserve">pplementary </w:t>
      </w:r>
      <w:r w:rsidRPr="005A0CD7">
        <w:rPr>
          <w:lang w:val="en-US"/>
        </w:rPr>
        <w:t xml:space="preserve">figure </w:t>
      </w:r>
      <w:r w:rsidR="006915C6" w:rsidRPr="005A0CD7">
        <w:rPr>
          <w:lang w:val="en-US"/>
        </w:rPr>
        <w:t>S</w:t>
      </w:r>
      <w:r w:rsidR="006706E1" w:rsidRPr="005A0CD7">
        <w:rPr>
          <w:lang w:val="en-US"/>
        </w:rPr>
        <w:t>2</w:t>
      </w:r>
      <w:r w:rsidRPr="005A0CD7">
        <w:rPr>
          <w:lang w:val="en-US"/>
        </w:rPr>
        <w:t xml:space="preserve"> (a)). SIT also showed thermal stability up to 216</w:t>
      </w:r>
      <w:r w:rsidR="00F154A8" w:rsidRPr="005A0CD7">
        <w:rPr>
          <w:lang w:val="en-US"/>
        </w:rPr>
        <w:t xml:space="preserve">.21 </w:t>
      </w:r>
      <w:r w:rsidR="00F154A8" w:rsidRPr="005A0CD7">
        <w:rPr>
          <w:rFonts w:cs="Times New Roman"/>
          <w:lang w:val="en-US"/>
        </w:rPr>
        <w:t>±</w:t>
      </w:r>
      <w:r w:rsidR="00F154A8" w:rsidRPr="005A0CD7">
        <w:rPr>
          <w:lang w:val="en-US"/>
        </w:rPr>
        <w:t xml:space="preserve"> </w:t>
      </w:r>
      <w:r w:rsidR="00712BEA" w:rsidRPr="005A0CD7">
        <w:rPr>
          <w:lang w:val="en-US"/>
        </w:rPr>
        <w:t>2.73</w:t>
      </w:r>
      <w:r w:rsidRPr="005A0CD7">
        <w:rPr>
          <w:lang w:val="en-US"/>
        </w:rPr>
        <w:t xml:space="preserve"> °C (</w:t>
      </w:r>
      <w:r w:rsidR="00F2720B" w:rsidRPr="005A0CD7">
        <w:rPr>
          <w:lang w:val="en-US"/>
        </w:rPr>
        <w:t xml:space="preserve">supplementary </w:t>
      </w:r>
      <w:r w:rsidRPr="005A0CD7">
        <w:rPr>
          <w:lang w:val="en-US"/>
        </w:rPr>
        <w:t xml:space="preserve">figure </w:t>
      </w:r>
      <w:r w:rsidR="006915C6" w:rsidRPr="005A0CD7">
        <w:rPr>
          <w:lang w:val="en-US"/>
        </w:rPr>
        <w:t>S</w:t>
      </w:r>
      <w:r w:rsidR="007110A0" w:rsidRPr="005A0CD7">
        <w:rPr>
          <w:lang w:val="en-US"/>
        </w:rPr>
        <w:t>2</w:t>
      </w:r>
      <w:r w:rsidRPr="005A0CD7">
        <w:rPr>
          <w:lang w:val="en-US"/>
        </w:rPr>
        <w:t xml:space="preserve"> (b)), which</w:t>
      </w:r>
      <w:r w:rsidRPr="00DC70AE">
        <w:rPr>
          <w:lang w:val="en-US"/>
        </w:rPr>
        <w:t xml:space="preserve"> was consistent with a previous report </w:t>
      </w:r>
      <w:r>
        <w:rPr>
          <w:lang w:val="en-US"/>
        </w:rPr>
        <w:fldChar w:fldCharType="begin" w:fldLock="1"/>
      </w:r>
      <w:r w:rsidR="00E05EA3">
        <w:rPr>
          <w:lang w:val="en-US"/>
        </w:rPr>
        <w:instrText>ADDIN CSL_CITATION {"citationItems":[{"id":"ITEM-1","itemData":{"DOI":"10.1016/j.carbpol.2015.10.054","ISSN":"1879-1344","PMID":"26686110","abstract":"Formulation of a gastroretentive extended release tablet of metformin based on polymethacrylamide-g-gellan (Pmaa-g-GG)-tamarind seed gum (TSG) composite matrix is the main purpose of this study. Tablets were prepared employing wet granulation method taking amount of Pmaa-g-GG, TSG and NaHCO3 (SBC, buoyancy contributor) as independent formulation variables. The tablets were then evaluated for in vitro drug release, buoyancy, ex vivo mucoadhesion, swelling and surface morphology. Compatibility between drug and excipients was checked by DSC, FTIR and XRD analysis. Buoyancy-lag-time, mucoadhesive strength, % drug release and release-rate constant were statistically analyzed using Design-Expert software (version 9.0.4.1) and the formulation was then numerically optimized to obtain USP-reference release profile. The optimized formulation showed excellent buoyancy over a 10h period with buoyancy lag time of 2.76min, significant mucoadhesion and drug release over a period of 10h with f2=71.58. Kinetic modeling unveiled anomalous non-Fickian transport based drug release mechanism.","author":[{"dropping-particle":"","family":"Priyadarshini","given":"Rosy","non-dropping-particle":"","parse-names":false,"suffix":""},{"dropping-particle":"","family":"Nandi","given":"Gouranga","non-dropping-particle":"","parse-names":false,"suffix":""},{"dropping-particle":"","family":"Changder","given":"Abhijit","non-dropping-particle":"","parse-names":false,"suffix":""},{"dropping-particle":"","family":"Chowdhury","given":"Sailee","non-dropping-particle":"","parse-names":false,"suffix":""},{"dropping-particle":"","family":"Chakraborty","given":"Sudipta","non-dropping-particle":"","parse-names":false,"suffix":""},{"dropping-particle":"","family":"Ghosh","given":"Lakshmi Kanta","non-dropping-particle":"","parse-names":false,"suffix":""}],"container-title":"Carbohydrate polymers","id":"ITEM-1","issued":{"date-parts":[["2016","2","10"]]},"page":"100-110","title":"Gastroretentive extended release of metformin from methacrylamide-g-gellan and tamarind seed gum composite matrix.","type":"article-journal","volume":"137"},"uris":["http://www.mendeley.com/documents/?uuid=08400c9c-9c97-3d35-a9ff-183de2213a89"]}],"mendeley":{"formattedCitation":"(24)","plainTextFormattedCitation":"(24)","previouslyFormattedCitation":"(24)"},"properties":{"noteIndex":0},"schema":"https://github.com/citation-style-language/schema/raw/master/csl-citation.json"}</w:instrText>
      </w:r>
      <w:r>
        <w:rPr>
          <w:lang w:val="en-US"/>
        </w:rPr>
        <w:fldChar w:fldCharType="separate"/>
      </w:r>
      <w:r w:rsidR="00FB235B" w:rsidRPr="00FB235B">
        <w:rPr>
          <w:noProof/>
          <w:lang w:val="en-US"/>
        </w:rPr>
        <w:t>(24)</w:t>
      </w:r>
      <w:r>
        <w:rPr>
          <w:lang w:val="en-US"/>
        </w:rPr>
        <w:fldChar w:fldCharType="end"/>
      </w:r>
      <w:r w:rsidRPr="00DC70AE">
        <w:rPr>
          <w:lang w:val="en-US"/>
        </w:rPr>
        <w:t xml:space="preserve">. It is worth noting that there was some weight loss in SIT samples </w:t>
      </w:r>
      <w:r w:rsidR="007B16FD">
        <w:rPr>
          <w:lang w:val="en-US"/>
        </w:rPr>
        <w:t xml:space="preserve">between </w:t>
      </w:r>
      <w:r w:rsidR="007B16FD" w:rsidRPr="00DC70AE">
        <w:rPr>
          <w:lang w:val="en-US"/>
        </w:rPr>
        <w:t>approximately</w:t>
      </w:r>
      <w:r w:rsidRPr="00DC70AE">
        <w:rPr>
          <w:lang w:val="en-US"/>
        </w:rPr>
        <w:t xml:space="preserve"> </w:t>
      </w:r>
      <w:r w:rsidR="003A70FA">
        <w:rPr>
          <w:lang w:val="en-US"/>
        </w:rPr>
        <w:t>90</w:t>
      </w:r>
      <w:r w:rsidR="007B16FD">
        <w:rPr>
          <w:lang w:val="en-US"/>
        </w:rPr>
        <w:t xml:space="preserve"> </w:t>
      </w:r>
      <w:r w:rsidR="007B16FD" w:rsidRPr="004D4284">
        <w:rPr>
          <w:vertAlign w:val="superscript"/>
          <w:lang w:val="en-US"/>
        </w:rPr>
        <w:t>o</w:t>
      </w:r>
      <w:r w:rsidR="007B16FD">
        <w:rPr>
          <w:lang w:val="en-US"/>
        </w:rPr>
        <w:t xml:space="preserve">C and </w:t>
      </w:r>
      <w:r w:rsidRPr="00DC70AE">
        <w:rPr>
          <w:lang w:val="en-US"/>
        </w:rPr>
        <w:t xml:space="preserve">126 </w:t>
      </w:r>
      <w:r w:rsidRPr="001C237D">
        <w:rPr>
          <w:lang w:val="en-US"/>
        </w:rPr>
        <w:t>°</w:t>
      </w:r>
      <w:r w:rsidRPr="00DC70AE">
        <w:rPr>
          <w:lang w:val="en-US"/>
        </w:rPr>
        <w:t>C, correspond</w:t>
      </w:r>
      <w:r w:rsidR="009E45F5">
        <w:rPr>
          <w:lang w:val="en-US"/>
        </w:rPr>
        <w:t>ing</w:t>
      </w:r>
      <w:r w:rsidRPr="00DC70AE">
        <w:rPr>
          <w:lang w:val="en-US"/>
        </w:rPr>
        <w:t xml:space="preserve"> to 3.</w:t>
      </w:r>
      <w:r>
        <w:rPr>
          <w:lang w:val="en-US"/>
        </w:rPr>
        <w:t>3</w:t>
      </w:r>
      <w:r w:rsidRPr="00DC70AE">
        <w:rPr>
          <w:lang w:val="en-US"/>
        </w:rPr>
        <w:t xml:space="preserve">4 % w/w of the initial sample weight; this loss in weight </w:t>
      </w:r>
      <w:r>
        <w:rPr>
          <w:lang w:val="en-US"/>
        </w:rPr>
        <w:t xml:space="preserve">can be attributed to the </w:t>
      </w:r>
      <w:r w:rsidR="00772737">
        <w:rPr>
          <w:lang w:val="en-US"/>
        </w:rPr>
        <w:t>single water</w:t>
      </w:r>
      <w:r>
        <w:rPr>
          <w:lang w:val="en-US"/>
        </w:rPr>
        <w:t xml:space="preserve"> molecule within the initial starting</w:t>
      </w:r>
      <w:r w:rsidR="00D23A75">
        <w:rPr>
          <w:lang w:val="en-US"/>
        </w:rPr>
        <w:t xml:space="preserve"> monohydrate</w:t>
      </w:r>
      <w:r>
        <w:rPr>
          <w:lang w:val="en-US"/>
        </w:rPr>
        <w:t xml:space="preserve"> material</w:t>
      </w:r>
      <w:r w:rsidRPr="00DC70AE">
        <w:rPr>
          <w:lang w:val="en-US"/>
        </w:rPr>
        <w:t>.</w:t>
      </w:r>
      <w:r w:rsidR="000F017B" w:rsidRPr="000F017B">
        <w:rPr>
          <w:rFonts w:ascii="Arial" w:hAnsi="Arial"/>
          <w:szCs w:val="24"/>
        </w:rPr>
        <w:t xml:space="preserve"> </w:t>
      </w:r>
      <w:r w:rsidR="000F017B" w:rsidRPr="000F017B">
        <w:t>TGA studies of HPC samples indicated that their thermal degradation occurs at higher temperatures than the APIs. The HPC-S grade showed a thermal stability up to 294</w:t>
      </w:r>
      <w:r w:rsidR="00712BEA">
        <w:t>.</w:t>
      </w:r>
      <w:r w:rsidR="00AA6E14">
        <w:t xml:space="preserve">16 </w:t>
      </w:r>
      <w:r w:rsidR="00AA6E14">
        <w:rPr>
          <w:rFonts w:cs="Times New Roman"/>
        </w:rPr>
        <w:t>±</w:t>
      </w:r>
      <w:r w:rsidR="00AA6E14">
        <w:t xml:space="preserve"> 0.98</w:t>
      </w:r>
      <w:r w:rsidR="000F017B" w:rsidRPr="000F017B">
        <w:t xml:space="preserve"> °C, whereas HPC-A started to thermally decompose at 334</w:t>
      </w:r>
      <w:r w:rsidR="00AA6E14">
        <w:t xml:space="preserve">.68 </w:t>
      </w:r>
      <w:r w:rsidR="00AA6E14">
        <w:rPr>
          <w:rFonts w:cs="Times New Roman"/>
        </w:rPr>
        <w:t>±</w:t>
      </w:r>
      <w:r w:rsidR="00AA6E14">
        <w:t xml:space="preserve"> 1.89</w:t>
      </w:r>
      <w:r w:rsidR="000F017B" w:rsidRPr="000F017B">
        <w:t xml:space="preserve"> °C. PEG 3350 started to thermally degrade at 355</w:t>
      </w:r>
      <w:r w:rsidR="00AA6E14">
        <w:t>.</w:t>
      </w:r>
      <w:r w:rsidR="0084090B">
        <w:t xml:space="preserve">45 </w:t>
      </w:r>
      <w:r w:rsidR="0084090B">
        <w:rPr>
          <w:rFonts w:cs="Times New Roman"/>
        </w:rPr>
        <w:t>±</w:t>
      </w:r>
      <w:r w:rsidR="0084090B">
        <w:t xml:space="preserve"> 1.44</w:t>
      </w:r>
      <w:r w:rsidR="000F017B" w:rsidRPr="000F017B">
        <w:t xml:space="preserve"> °C.</w:t>
      </w:r>
    </w:p>
    <w:p w14:paraId="44B75678" w14:textId="10AE0021" w:rsidR="007649C1" w:rsidRDefault="00286F78" w:rsidP="002244B8">
      <w:r w:rsidRPr="00286F78">
        <w:t xml:space="preserve">As HPC is a </w:t>
      </w:r>
      <w:r w:rsidR="009E45F5" w:rsidRPr="00286F78">
        <w:t>semi</w:t>
      </w:r>
      <w:r w:rsidR="009E45F5">
        <w:t>-</w:t>
      </w:r>
      <w:r w:rsidRPr="00286F78">
        <w:t xml:space="preserve">crystalline polymer it has both amorphous and crystalline domains within the structure </w:t>
      </w:r>
      <w:r w:rsidR="00B61A76">
        <w:fldChar w:fldCharType="begin" w:fldLock="1"/>
      </w:r>
      <w:r w:rsidR="00E05EA3">
        <w:instrText>ADDIN CSL_CITATION {"citationItems":[{"id":"ITEM-1","itemData":{"DOI":"10.1208/S12249-012-9897-X","ISSN":"1530-9932","PMID":"23250708","abstract":"Hydroxypropylcellulose (HPC)-SL and -SSL, low-viscosity hydroxypropylcellulose polymers, are versatile pharmaceutical excipients. The utility of HPC polymers was assessed for both dissolution enhancement and sustained release of pharmaceutical drugs using various processing techniques. The BCS class II drugs carbamazepine (CBZ), hydrochlorthiazide, and phenytoin (PHT) were hot melt mixed (HMM) with various polymers. PHT formulations produced by solvent evaporation (SE) and ball milling (BM) were prepared using HPC-SSL. HMM formulations of BCS class I chlorpheniramine maleate (CPM) were prepared using HPC-SL and -SSL. These solid dispersions (SDs) manufactured using different processes were evaluated for amorphous transformation and dissolution characteristics. Drug degradation because of HMM processing was also assessed. Amorphous conversion using HMM could be achieved only for relatively low-melting CBZ and CPM. SE and BM did not produce amorphous SDs of PHT using HPC-SSL. Chemical stability of all the drugs was maintained using HPC during the HMM process. Dissolution enhancement was observed in HPC-based HMMs and compared well to other polymers. The dissolution enhancement of PHT was in the order of SE&gt;BM&gt;HMM&gt;physical mixtures, as compared to the pure drug, perhaps due to more intimate mixing that occurred during SE and BM than in HMM. Dissolution of CPM could be significantly sustained in simulated gastric and intestinal fluids using HPC polymers. These studies revealed that low-viscosity HPC-SL and -SSL can be employed to produce chemically stable SDs of poorly as well as highly water-soluble drugs using various pharmaceutical processes in order to control drug dissolution.","author":[{"dropping-particle":"","family":"Sarode","given":"Ashish","non-dropping-particle":"","parse-names":false,"suffix":""},{"dropping-particle":"","family":"Wang","given":"Peng","non-dropping-particle":"","parse-names":false,"suffix":""},{"dropping-particle":"","family":"Cote","given":"Catherine","non-dropping-particle":"","parse-names":false,"suffix":""},{"dropping-particle":"","family":"Worthen","given":"David R.","non-dropping-particle":"","parse-names":false,"suffix":""}],"container-title":"AAPS PharmSciTech","id":"ITEM-1","issue":"1","issued":{"date-parts":[["2013","3"]]},"page":"151","publisher":"Springer","title":"Low-Viscosity Hydroxypropylcellulose (HPC) Grades SL and SSL: Versatile Pharmaceutical Polymers for Dissolution Enhancement, Controlled Release, and Pharmaceutical Processing","type":"article-journal","volume":"14"},"uris":["http://www.mendeley.com/documents/?uuid=2d3a91c4-ce40-336d-b4b0-c6d986869aad"]}],"mendeley":{"formattedCitation":"(25)","plainTextFormattedCitation":"(25)","previouslyFormattedCitation":"(25)"},"properties":{"noteIndex":0},"schema":"https://github.com/citation-style-language/schema/raw/master/csl-citation.json"}</w:instrText>
      </w:r>
      <w:r w:rsidR="00B61A76">
        <w:fldChar w:fldCharType="separate"/>
      </w:r>
      <w:r w:rsidR="00FB235B" w:rsidRPr="00FB235B">
        <w:rPr>
          <w:noProof/>
        </w:rPr>
        <w:t>(25)</w:t>
      </w:r>
      <w:r w:rsidR="00B61A76">
        <w:fldChar w:fldCharType="end"/>
      </w:r>
      <w:r w:rsidRPr="00286F78">
        <w:t xml:space="preserve">. The polymer itself is very hygroscopic, and as a result the </w:t>
      </w:r>
      <w:r w:rsidRPr="00D33FBE">
        <w:rPr>
          <w:i/>
          <w:iCs/>
        </w:rPr>
        <w:t>T</w:t>
      </w:r>
      <w:r w:rsidRPr="00D33FBE">
        <w:rPr>
          <w:i/>
          <w:iCs/>
          <w:vertAlign w:val="subscript"/>
        </w:rPr>
        <w:t>g</w:t>
      </w:r>
      <w:r w:rsidRPr="00286F78">
        <w:t xml:space="preserve"> of the amorphous domain varies greatly with moisture content</w:t>
      </w:r>
      <w:r w:rsidR="000C691B">
        <w:t xml:space="preserve"> </w:t>
      </w:r>
      <w:r w:rsidR="000C691B">
        <w:fldChar w:fldCharType="begin" w:fldLock="1"/>
      </w:r>
      <w:r w:rsidR="00E05EA3">
        <w:instrText>ADDIN CSL_CITATION {"citationItems":[{"id":"ITEM-1","itemData":{"DOI":"10.1208/pt0804092","ISSN":"1530-9932","PMID":"18181552","abstract":"The aim of the study was to analyze hydroxypropylcellulose (HPC) in pure form and in excipient mixtures and to relate its physical and chemical properties to tablet binder functionality. The materials used were Klucel hydroxypropylcellulose grades ranging from low to high molecular weight (80-1000 kDa) of regular particle size (250 microm mean size) and fine particle size (80 microm mean size). These were compared with microcrystalline cellulose, spray-dried lactose, and dicalcium phosphate dihydrate. Thermal behavior of HPC was analyzed by modulated temperature differential scanning calorimetry (MTDSC). Tablets of the pure materials and of dry blends with 4% low viscosity, fine particle HPC and 30% high viscosity, fine particle HPC were produced on an instrumented eccentric tableting machine at 3 relative humidities. The 3-dimensional (3-D) model with the parameters time plasticity d, pressure plasticity e, and the twisting angle omega, the inverse of fast elastic decompression was compared with the Heckel method for characterization of compaction. Elastic recovery and compactibility were also studied. The results show that HPC tablet formation is characterized by high plastic deformation. The d, e, and omega values were markedly higher as compared with the reference materials. Plasticity was highest for the fine particle size HPC types. Maximum compactibility was observed for low molecular weight, fine particle size HPC. Tableting of the mixtures showed deformation, which was strongly influenced by HPC. Plasticity and crushing force of formed tablets was increased. In conclusion, HPC is characterized by strong plastic deformation properties, which are molecular weight and particle size dependent.","author":[{"dropping-particle":"","family":"Picker-Freyer","given":"Katharina M.","non-dropping-particle":"","parse-names":false,"suffix":""},{"dropping-particle":"","family":"Dürig","given":"Thomas","non-dropping-particle":"","parse-names":false,"suffix":""}],"container-title":"AAPS PharmSciTech","id":"ITEM-1","issue":"4","issued":{"date-parts":[["2007","10","9"]]},"page":"82","title":"Physical mechanical and tablet formation properties of hydroxypropylcellulose: In pure form and in mixtures","type":"article-journal","volume":"8"},"uris":["http://www.mendeley.com/documents/?uuid=1f2103c4-d3ac-3ad1-b8eb-93c4d3e7064e"]}],"mendeley":{"formattedCitation":"(26)","plainTextFormattedCitation":"(26)","previouslyFormattedCitation":"(26)"},"properties":{"noteIndex":0},"schema":"https://github.com/citation-style-language/schema/raw/master/csl-citation.json"}</w:instrText>
      </w:r>
      <w:r w:rsidR="000C691B">
        <w:fldChar w:fldCharType="separate"/>
      </w:r>
      <w:r w:rsidR="00FB235B" w:rsidRPr="00FB235B">
        <w:rPr>
          <w:noProof/>
        </w:rPr>
        <w:t>(26)</w:t>
      </w:r>
      <w:r w:rsidR="000C691B">
        <w:fldChar w:fldCharType="end"/>
      </w:r>
      <w:r w:rsidR="000C691B">
        <w:t xml:space="preserve">. </w:t>
      </w:r>
      <w:r w:rsidRPr="00286F78">
        <w:t>Based on work conducted by Picker-Freyer and Dürig, crystallinity for the various grades of HPC is estimated</w:t>
      </w:r>
      <w:r w:rsidR="00F02652">
        <w:t xml:space="preserve"> to be</w:t>
      </w:r>
      <w:r w:rsidRPr="00286F78">
        <w:t xml:space="preserve"> between 7 % and 9 % </w:t>
      </w:r>
      <w:r w:rsidR="000C691B" w:rsidRPr="005A0CD7">
        <w:fldChar w:fldCharType="begin" w:fldLock="1"/>
      </w:r>
      <w:r w:rsidR="00E05EA3" w:rsidRPr="005A0CD7">
        <w:instrText>ADDIN CSL_CITATION {"citationItems":[{"id":"ITEM-1","itemData":{"DOI":"10.1208/pt0804092","ISSN":"1530-9932","PMID":"18181552","abstract":"The aim of the study was to analyze hydroxypropylcellulose (HPC) in pure form and in excipient mixtures and to relate its physical and chemical properties to tablet binder functionality. The materials used were Klucel hydroxypropylcellulose grades ranging from low to high molecular weight (80-1000 kDa) of regular particle size (250 microm mean size) and fine particle size (80 microm mean size). These were compared with microcrystalline cellulose, spray-dried lactose, and dicalcium phosphate dihydrate. Thermal behavior of HPC was analyzed by modulated temperature differential scanning calorimetry (MTDSC). Tablets of the pure materials and of dry blends with 4% low viscosity, fine particle HPC and 30% high viscosity, fine particle HPC were produced on an instrumented eccentric tableting machine at 3 relative humidities. The 3-dimensional (3-D) model with the parameters time plasticity d, pressure plasticity e, and the twisting angle omega, the inverse of fast elastic decompression was compared with the Heckel method for characterization of compaction. Elastic recovery and compactibility were also studied. The results show that HPC tablet formation is characterized by high plastic deformation. The d, e, and omega values were markedly higher as compared with the reference materials. Plasticity was highest for the fine particle size HPC types. Maximum compactibility was observed for low molecular weight, fine particle size HPC. Tableting of the mixtures showed deformation, which was strongly influenced by HPC. Plasticity and crushing force of formed tablets was increased. In conclusion, HPC is characterized by strong plastic deformation properties, which are molecular weight and particle size dependent.","author":[{"dropping-particle":"","family":"Picker-Freyer","given":"Katharina M.","non-dropping-particle":"","parse-names":false,"suffix":""},{"dropping-particle":"","family":"Dürig","given":"Thomas","non-dropping-particle":"","parse-names":false,"suffix":""}],"container-title":"AAPS PharmSciTech","id":"ITEM-1","issue":"4","issued":{"date-parts":[["2007","10","9"]]},"page":"82","title":"Physical mechanical and tablet formation properties of hydroxypropylcellulose: In pure form and in mixtures","type":"article-journal","volume":"8"},"uris":["http://www.mendeley.com/documents/?uuid=1f2103c4-d3ac-3ad1-b8eb-93c4d3e7064e"]}],"mendeley":{"formattedCitation":"(26)","plainTextFormattedCitation":"(26)","previouslyFormattedCitation":"(26)"},"properties":{"noteIndex":0},"schema":"https://github.com/citation-style-language/schema/raw/master/csl-citation.json"}</w:instrText>
      </w:r>
      <w:r w:rsidR="000C691B" w:rsidRPr="005A0CD7">
        <w:fldChar w:fldCharType="separate"/>
      </w:r>
      <w:r w:rsidR="00FB235B" w:rsidRPr="005A0CD7">
        <w:rPr>
          <w:noProof/>
        </w:rPr>
        <w:t>(26)</w:t>
      </w:r>
      <w:r w:rsidR="000C691B" w:rsidRPr="005A0CD7">
        <w:fldChar w:fldCharType="end"/>
      </w:r>
      <w:r w:rsidR="000C691B" w:rsidRPr="005A0CD7">
        <w:t>.</w:t>
      </w:r>
      <w:r w:rsidR="00DF11AD" w:rsidRPr="005A0CD7">
        <w:t xml:space="preserve"> Figure </w:t>
      </w:r>
      <w:r w:rsidR="008B01CC" w:rsidRPr="005A0CD7">
        <w:t>1</w:t>
      </w:r>
      <w:r w:rsidR="00DF11AD" w:rsidRPr="005A0CD7">
        <w:t xml:space="preserve"> shows the second heating cycle of a </w:t>
      </w:r>
      <w:r w:rsidR="00F02652" w:rsidRPr="005A0CD7">
        <w:t>heat-cool-</w:t>
      </w:r>
      <w:r w:rsidR="00DF11AD" w:rsidRPr="005A0CD7">
        <w:t>heat cycle of both HPC-A and HPC-S to highlight the thermal characteristics of the polymers without any water content. The results correspond well to previous reports by Picker-Freyer and Dürig</w:t>
      </w:r>
      <w:r w:rsidR="00F02652" w:rsidRPr="005A0CD7">
        <w:t xml:space="preserve"> (2007). These authors reported </w:t>
      </w:r>
      <w:r w:rsidR="00DF11AD" w:rsidRPr="005A0CD7">
        <w:t xml:space="preserve">the </w:t>
      </w:r>
      <w:r w:rsidR="00DF11AD" w:rsidRPr="005A0CD7">
        <w:rPr>
          <w:i/>
        </w:rPr>
        <w:t>T</w:t>
      </w:r>
      <w:r w:rsidR="00DF11AD" w:rsidRPr="005A0CD7">
        <w:rPr>
          <w:i/>
          <w:vertAlign w:val="subscript"/>
        </w:rPr>
        <w:t>g</w:t>
      </w:r>
      <w:r w:rsidR="00DF11AD" w:rsidRPr="005A0CD7">
        <w:t xml:space="preserve">s of the amorphous portion of HPC polymers </w:t>
      </w:r>
      <w:r w:rsidR="00F02652" w:rsidRPr="005A0CD7">
        <w:t xml:space="preserve">to be close to </w:t>
      </w:r>
      <w:r w:rsidR="00DF11AD" w:rsidRPr="005A0CD7">
        <w:t>0 °C</w:t>
      </w:r>
      <w:r w:rsidR="00F02652" w:rsidRPr="005A0CD7">
        <w:t>, while in the current study they were determined to be at 7</w:t>
      </w:r>
      <w:r w:rsidR="00692AAE" w:rsidRPr="005A0CD7">
        <w:t>.</w:t>
      </w:r>
      <w:r w:rsidR="008A4C29" w:rsidRPr="005A0CD7">
        <w:t xml:space="preserve">27 </w:t>
      </w:r>
      <w:r w:rsidR="008A4C29" w:rsidRPr="005A0CD7">
        <w:rPr>
          <w:rFonts w:cs="Times New Roman"/>
        </w:rPr>
        <w:t>±</w:t>
      </w:r>
      <w:r w:rsidR="008A4C29" w:rsidRPr="005A0CD7">
        <w:t xml:space="preserve"> 0.35</w:t>
      </w:r>
      <w:r w:rsidR="00F02652" w:rsidRPr="005A0CD7">
        <w:t xml:space="preserve"> and 9</w:t>
      </w:r>
      <w:r w:rsidR="008A4C29" w:rsidRPr="005A0CD7">
        <w:t>.</w:t>
      </w:r>
      <w:r w:rsidR="00B56FB6" w:rsidRPr="005A0CD7">
        <w:t xml:space="preserve">66 </w:t>
      </w:r>
      <w:r w:rsidR="00B56FB6" w:rsidRPr="005A0CD7">
        <w:rPr>
          <w:rFonts w:cs="Times New Roman"/>
        </w:rPr>
        <w:t>±</w:t>
      </w:r>
      <w:r w:rsidR="00B56FB6" w:rsidRPr="005A0CD7">
        <w:t xml:space="preserve"> 0.20</w:t>
      </w:r>
      <w:r w:rsidR="00F02652" w:rsidRPr="005A0CD7">
        <w:t xml:space="preserve"> </w:t>
      </w:r>
      <w:r w:rsidR="00F02652" w:rsidRPr="005A0CD7">
        <w:rPr>
          <w:vertAlign w:val="superscript"/>
        </w:rPr>
        <w:t>o</w:t>
      </w:r>
      <w:r w:rsidR="00F02652" w:rsidRPr="005A0CD7">
        <w:t xml:space="preserve">C for HPC-A and HPC-S respectively. HPC </w:t>
      </w:r>
      <w:r w:rsidR="00DF11AD" w:rsidRPr="005A0CD7">
        <w:t xml:space="preserve">crystalline domains </w:t>
      </w:r>
      <w:r w:rsidR="00F02652" w:rsidRPr="005A0CD7">
        <w:t xml:space="preserve">have been reported to </w:t>
      </w:r>
      <w:r w:rsidR="00DF11AD" w:rsidRPr="005A0CD7">
        <w:t>display melting endotherms in the range of 180 °C to 220 °C</w:t>
      </w:r>
      <w:r w:rsidR="00F02652" w:rsidRPr="005A0CD7">
        <w:t xml:space="preserve"> </w:t>
      </w:r>
      <w:r w:rsidR="00F02652" w:rsidRPr="005A0CD7">
        <w:fldChar w:fldCharType="begin" w:fldLock="1"/>
      </w:r>
      <w:r w:rsidR="00E05EA3" w:rsidRPr="005A0CD7">
        <w:instrText>ADDIN CSL_CITATION {"citationItems":[{"id":"ITEM-1","itemData":{"DOI":"10.1208/pt0804092","ISSN":"1530-9932","PMID":"18181552","abstract":"The aim of the study was to analyze hydroxypropylcellulose (HPC) in pure form and in excipient mixtures and to relate its physical and chemical properties to tablet binder functionality. The materials used were Klucel hydroxypropylcellulose grades ranging from low to high molecular weight (80-1000 kDa) of regular particle size (250 microm mean size) and fine particle size (80 microm mean size). These were compared with microcrystalline cellulose, spray-dried lactose, and dicalcium phosphate dihydrate. Thermal behavior of HPC was analyzed by modulated temperature differential scanning calorimetry (MTDSC). Tablets of the pure materials and of dry blends with 4% low viscosity, fine particle HPC and 30% high viscosity, fine particle HPC were produced on an instrumented eccentric tableting machine at 3 relative humidities. The 3-dimensional (3-D) model with the parameters time plasticity d, pressure plasticity e, and the twisting angle omega, the inverse of fast elastic decompression was compared with the Heckel method for characterization of compaction. Elastic recovery and compactibility were also studied. The results show that HPC tablet formation is characterized by high plastic deformation. The d, e, and omega values were markedly higher as compared with the reference materials. Plasticity was highest for the fine particle size HPC types. Maximum compactibility was observed for low molecular weight, fine particle size HPC. Tableting of the mixtures showed deformation, which was strongly influenced by HPC. Plasticity and crushing force of formed tablets was increased. In conclusion, HPC is characterized by strong plastic deformation properties, which are molecular weight and particle size dependent.","author":[{"dropping-particle":"","family":"Picker-Freyer","given":"Katharina M.","non-dropping-particle":"","parse-names":false,"suffix":""},{"dropping-particle":"","family":"Dürig","given":"Thomas","non-dropping-particle":"","parse-names":false,"suffix":""}],"container-title":"AAPS PharmSciTech","id":"ITEM-1","issue":"4","issued":{"date-parts":[["2007","10","9"]]},"page":"82","title":"Physical mechanical and tablet formation properties of hydroxypropylcellulose: In pure form and in mixtures","type":"article-journal","volume":"8"},"uris":["http://www.mendeley.com/documents/?uuid=1f2103c4-d3ac-3ad1-b8eb-93c4d3e7064e"]}],"mendeley":{"formattedCitation":"(26)","plainTextFormattedCitation":"(26)","previouslyFormattedCitation":"(26)"},"properties":{"noteIndex":0},"schema":"https://github.com/citation-style-language/schema/raw/master/csl-citation.json"}</w:instrText>
      </w:r>
      <w:r w:rsidR="00F02652" w:rsidRPr="005A0CD7">
        <w:fldChar w:fldCharType="separate"/>
      </w:r>
      <w:r w:rsidR="00FB235B" w:rsidRPr="005A0CD7">
        <w:rPr>
          <w:noProof/>
        </w:rPr>
        <w:t>(26)</w:t>
      </w:r>
      <w:r w:rsidR="00F02652" w:rsidRPr="005A0CD7">
        <w:fldChar w:fldCharType="end"/>
      </w:r>
      <w:r w:rsidR="00F02652" w:rsidRPr="005A0CD7">
        <w:t>, and t</w:t>
      </w:r>
      <w:r w:rsidR="00DF11AD" w:rsidRPr="005A0CD7">
        <w:t>he higher the molecular weight of the HPC polymer, the higher the melting endotherm</w:t>
      </w:r>
      <w:r w:rsidR="00F02652" w:rsidRPr="005A0CD7">
        <w:t>.</w:t>
      </w:r>
      <w:r w:rsidR="00DF11AD" w:rsidRPr="005A0CD7">
        <w:t xml:space="preserve"> </w:t>
      </w:r>
      <w:r w:rsidR="00F02652" w:rsidRPr="005A0CD7">
        <w:t>This is evident in</w:t>
      </w:r>
      <w:r w:rsidR="00DF11AD" w:rsidRPr="005A0CD7">
        <w:t xml:space="preserve"> figure </w:t>
      </w:r>
      <w:r w:rsidR="0093724C" w:rsidRPr="005A0CD7">
        <w:t>1</w:t>
      </w:r>
      <w:r w:rsidR="00F02652" w:rsidRPr="005A0CD7">
        <w:t>,</w:t>
      </w:r>
      <w:r w:rsidR="00DF11AD" w:rsidRPr="005A0CD7">
        <w:t xml:space="preserve"> where HPC</w:t>
      </w:r>
      <w:r w:rsidR="00DF11AD" w:rsidRPr="00DF11AD">
        <w:t xml:space="preserve">-A </w:t>
      </w:r>
      <w:r w:rsidR="00F02652">
        <w:t>is shown to have</w:t>
      </w:r>
      <w:r w:rsidR="00F02652" w:rsidRPr="00DF11AD">
        <w:t xml:space="preserve"> </w:t>
      </w:r>
      <w:r w:rsidR="00DF11AD" w:rsidRPr="00DF11AD">
        <w:t>a higher melt</w:t>
      </w:r>
      <w:r w:rsidR="00F02652">
        <w:t>ing point,</w:t>
      </w:r>
      <w:r w:rsidR="00DF11AD" w:rsidRPr="00DF11AD">
        <w:t xml:space="preserve"> at 20</w:t>
      </w:r>
      <w:r w:rsidR="0009261A">
        <w:t>5.</w:t>
      </w:r>
      <w:r w:rsidR="00FD448D">
        <w:t xml:space="preserve">99 </w:t>
      </w:r>
      <w:r w:rsidR="00FD448D">
        <w:rPr>
          <w:rFonts w:cs="Times New Roman"/>
        </w:rPr>
        <w:t>±</w:t>
      </w:r>
      <w:r w:rsidR="00FD448D">
        <w:t xml:space="preserve"> 1.31</w:t>
      </w:r>
      <w:r w:rsidR="00DF11AD" w:rsidRPr="00DF11AD">
        <w:t xml:space="preserve"> °C</w:t>
      </w:r>
      <w:r w:rsidR="00F02652">
        <w:t>,</w:t>
      </w:r>
      <w:r w:rsidR="00DF11AD" w:rsidRPr="00DF11AD">
        <w:t xml:space="preserve"> compared to HPC-S</w:t>
      </w:r>
      <w:r w:rsidR="00F02652">
        <w:t>,</w:t>
      </w:r>
      <w:r w:rsidR="00DF11AD" w:rsidRPr="00DF11AD">
        <w:t xml:space="preserve"> at 19</w:t>
      </w:r>
      <w:r w:rsidR="003907BC">
        <w:t xml:space="preserve">4.73 </w:t>
      </w:r>
      <w:r w:rsidR="003907BC">
        <w:rPr>
          <w:rFonts w:cs="Times New Roman"/>
        </w:rPr>
        <w:t>±</w:t>
      </w:r>
      <w:r w:rsidR="003907BC">
        <w:t xml:space="preserve"> </w:t>
      </w:r>
      <w:r w:rsidR="00F54C6E">
        <w:t>1.89</w:t>
      </w:r>
      <w:r w:rsidR="00DF11AD" w:rsidRPr="00DF11AD">
        <w:t xml:space="preserve"> °C.</w:t>
      </w:r>
    </w:p>
    <w:p w14:paraId="3D8FFE12" w14:textId="2FF65F55" w:rsidR="00FF0D12" w:rsidRPr="005A0CD7" w:rsidRDefault="00FF0D12" w:rsidP="002244B8">
      <w:pPr>
        <w:rPr>
          <w:bCs/>
        </w:rPr>
      </w:pPr>
      <w:r w:rsidRPr="00FF0D12">
        <w:lastRenderedPageBreak/>
        <w:t>Standard DSC runs showed</w:t>
      </w:r>
      <w:r w:rsidR="007B33CD">
        <w:t xml:space="preserve"> </w:t>
      </w:r>
      <w:r w:rsidR="007B33CD" w:rsidRPr="0080163C">
        <w:rPr>
          <w:b/>
          <w:bCs/>
        </w:rPr>
        <w:t>that</w:t>
      </w:r>
      <w:r w:rsidRPr="00FF0D12">
        <w:t xml:space="preserve"> the starting API materials were crystalline in nature with sharp melting endotherms at 232</w:t>
      </w:r>
      <w:r w:rsidR="00F54C6E">
        <w:t xml:space="preserve">.53 </w:t>
      </w:r>
      <w:r w:rsidR="00F54C6E">
        <w:rPr>
          <w:rFonts w:cs="Times New Roman"/>
        </w:rPr>
        <w:t>±</w:t>
      </w:r>
      <w:r w:rsidR="00F54C6E">
        <w:t xml:space="preserve"> </w:t>
      </w:r>
      <w:r w:rsidR="00983C17">
        <w:t>1.20</w:t>
      </w:r>
      <w:r w:rsidRPr="00FF0D12">
        <w:t xml:space="preserve"> °C and 21</w:t>
      </w:r>
      <w:r w:rsidR="00191396">
        <w:t>3.</w:t>
      </w:r>
      <w:r w:rsidR="006C29AA">
        <w:t xml:space="preserve">48 </w:t>
      </w:r>
      <w:r w:rsidR="006C29AA">
        <w:rPr>
          <w:rFonts w:cs="Times New Roman"/>
        </w:rPr>
        <w:t>±</w:t>
      </w:r>
      <w:r w:rsidR="006C29AA">
        <w:t xml:space="preserve"> 0.75</w:t>
      </w:r>
      <w:r w:rsidRPr="00FF0D12">
        <w:t xml:space="preserve"> °C for MET and SIT, respectively (</w:t>
      </w:r>
      <w:r w:rsidRPr="005A0CD7">
        <w:rPr>
          <w:bCs/>
        </w:rPr>
        <w:t xml:space="preserve">figure </w:t>
      </w:r>
      <w:r w:rsidR="00CA7283" w:rsidRPr="005A0CD7">
        <w:rPr>
          <w:bCs/>
        </w:rPr>
        <w:t>2</w:t>
      </w:r>
      <w:r w:rsidRPr="00FF0D12">
        <w:t>). With regards to the endotherm seen with SIT at 137</w:t>
      </w:r>
      <w:r w:rsidR="00CC3E60">
        <w:t xml:space="preserve">.66 </w:t>
      </w:r>
      <w:r w:rsidR="00CC3E60">
        <w:rPr>
          <w:rFonts w:cs="Times New Roman"/>
        </w:rPr>
        <w:t>±</w:t>
      </w:r>
      <w:r w:rsidR="00CC3E60">
        <w:t xml:space="preserve"> 1.15</w:t>
      </w:r>
      <w:r w:rsidRPr="00FF0D12">
        <w:t xml:space="preserve"> °C, this can be attributed to the loss of a water molecule</w:t>
      </w:r>
      <w:r w:rsidR="000C3F2B">
        <w:t>, as</w:t>
      </w:r>
      <w:r w:rsidRPr="00FF0D12">
        <w:t xml:space="preserve"> previously </w:t>
      </w:r>
      <w:r w:rsidR="000C3F2B">
        <w:t xml:space="preserve">observed by </w:t>
      </w:r>
      <w:r w:rsidRPr="00FF0D12">
        <w:t xml:space="preserve">TGA. PEG 3350 is a semi-crystalline plasticizer that exhibits a melting endotherm at </w:t>
      </w:r>
      <w:r w:rsidR="00454860">
        <w:t xml:space="preserve">59.79 </w:t>
      </w:r>
      <w:r w:rsidR="00454860">
        <w:rPr>
          <w:rFonts w:cs="Times New Roman"/>
        </w:rPr>
        <w:t>±</w:t>
      </w:r>
      <w:r w:rsidR="00454860">
        <w:t xml:space="preserve"> 0.04</w:t>
      </w:r>
      <w:r w:rsidRPr="00FF0D12">
        <w:t xml:space="preserve"> °C (</w:t>
      </w:r>
      <w:r w:rsidRPr="005A0CD7">
        <w:rPr>
          <w:bCs/>
        </w:rPr>
        <w:t xml:space="preserve">figure </w:t>
      </w:r>
      <w:r w:rsidR="000D5641" w:rsidRPr="005A0CD7">
        <w:rPr>
          <w:bCs/>
        </w:rPr>
        <w:t>2</w:t>
      </w:r>
      <w:r w:rsidR="00BB350E" w:rsidRPr="005A0CD7">
        <w:rPr>
          <w:bCs/>
        </w:rPr>
        <w:t xml:space="preserve"> </w:t>
      </w:r>
      <w:r w:rsidRPr="005A0CD7">
        <w:rPr>
          <w:bCs/>
        </w:rPr>
        <w:t xml:space="preserve">(a)). As both MET and SIT start to thermally degrade near their melting temperatures, </w:t>
      </w:r>
      <w:r w:rsidR="00A10CA6" w:rsidRPr="005A0CD7">
        <w:rPr>
          <w:bCs/>
        </w:rPr>
        <w:t xml:space="preserve">the MG process temperatures </w:t>
      </w:r>
      <w:proofErr w:type="gramStart"/>
      <w:r w:rsidR="00A10CA6" w:rsidRPr="005A0CD7">
        <w:rPr>
          <w:bCs/>
        </w:rPr>
        <w:t>h</w:t>
      </w:r>
      <w:r w:rsidR="00CA6F05" w:rsidRPr="005A0CD7">
        <w:rPr>
          <w:bCs/>
        </w:rPr>
        <w:t>ave</w:t>
      </w:r>
      <w:r w:rsidR="00A10CA6" w:rsidRPr="005A0CD7">
        <w:rPr>
          <w:bCs/>
        </w:rPr>
        <w:t xml:space="preserve"> to</w:t>
      </w:r>
      <w:proofErr w:type="gramEnd"/>
      <w:r w:rsidR="00A10CA6" w:rsidRPr="005A0CD7">
        <w:rPr>
          <w:bCs/>
        </w:rPr>
        <w:t xml:space="preserve"> be set below the thermal degradation points</w:t>
      </w:r>
      <w:r w:rsidR="00CB7151" w:rsidRPr="005A0CD7">
        <w:rPr>
          <w:bCs/>
        </w:rPr>
        <w:t xml:space="preserve"> of the APIs</w:t>
      </w:r>
      <w:r w:rsidRPr="005A0CD7">
        <w:rPr>
          <w:bCs/>
        </w:rPr>
        <w:t>.</w:t>
      </w:r>
    </w:p>
    <w:p w14:paraId="6A9FB121" w14:textId="4B418448" w:rsidR="00E80050" w:rsidRPr="00FF23DF" w:rsidRDefault="00DE5D5D" w:rsidP="002244B8">
      <w:r w:rsidRPr="005A0CD7">
        <w:rPr>
          <w:bCs/>
        </w:rPr>
        <w:t>PXRD data (</w:t>
      </w:r>
      <w:r w:rsidR="002C7A55" w:rsidRPr="005A0CD7">
        <w:rPr>
          <w:bCs/>
          <w:lang w:val="en-US"/>
        </w:rPr>
        <w:t>supplementary</w:t>
      </w:r>
      <w:r w:rsidR="002C7A55" w:rsidRPr="005A0CD7">
        <w:rPr>
          <w:bCs/>
        </w:rPr>
        <w:t xml:space="preserve"> </w:t>
      </w:r>
      <w:r w:rsidRPr="005A0CD7">
        <w:rPr>
          <w:bCs/>
        </w:rPr>
        <w:t xml:space="preserve">figure </w:t>
      </w:r>
      <w:r w:rsidR="00DF2EE1" w:rsidRPr="005A0CD7">
        <w:rPr>
          <w:bCs/>
        </w:rPr>
        <w:t>S3</w:t>
      </w:r>
      <w:r w:rsidRPr="005A0CD7">
        <w:rPr>
          <w:bCs/>
        </w:rPr>
        <w:t>) supported the data obtained from DSC analysis</w:t>
      </w:r>
      <w:r w:rsidR="009E45F5">
        <w:t>,</w:t>
      </w:r>
      <w:r w:rsidRPr="00DE5D5D">
        <w:t xml:space="preserve"> that the starting API materials were in the crystalline state. MET showed characteristic Bragg peaks at 12.25 °(2θ), 17.65 °(2θ), 22.40 °(2θ) and 39.5</w:t>
      </w:r>
      <w:r w:rsidR="0098418E">
        <w:t>0</w:t>
      </w:r>
      <w:r w:rsidRPr="00DE5D5D">
        <w:t xml:space="preserve"> °(2θ), which are consistent with the literature </w:t>
      </w:r>
      <w:r w:rsidRPr="00DE5D5D">
        <w:fldChar w:fldCharType="begin" w:fldLock="1"/>
      </w:r>
      <w:r w:rsidR="00E05EA3">
        <w:instrText>ADDIN CSL_CITATION {"citationItems":[{"id":"ITEM-1","itemData":{"DOI":"10.1039/C7DT04197G","ISSN":"1477-9226","abstract":"&lt;p&gt;Metformin hydrochloride is spontaneously intercalated into layered silicates like montmorillonite by an ion-exchange mechanism, producing a promising controlled release system.&lt;/p&gt;","author":[{"dropping-particle":"","family":"Rebitski","given":"Ediana P.","non-dropping-particle":"","parse-names":false,"suffix":""},{"dropping-particle":"","family":"Aranda","given":"Pilar","non-dropping-particle":"","parse-names":false,"suffix":""},{"dropping-particle":"","family":"Darder","given":"Margarita","non-dropping-particle":"","parse-names":false,"suffix":""},{"dropping-particle":"","family":"Carraro","given":"Raffaele","non-dropping-particle":"","parse-names":false,"suffix":""},{"dropping-particle":"","family":"Ruiz-Hitzky","given":"Eduardo","non-dropping-particle":"","parse-names":false,"suffix":""}],"container-title":"Dalton Transactions","id":"ITEM-1","issue":"9","issued":{"date-parts":[["2018","2","27"]]},"page":"3185-3192","publisher":"The Royal Society of Chemistry","title":"Intercalation of metformin into montmorillonite","type":"article-journal","volume":"47"},"uris":["http://www.mendeley.com/documents/?uuid=c9c38cc2-6120-3697-b996-fb5703c49c8d"]},{"id":"ITEM-2","itemData":{"DOI":"10.1007/s12272-012-0312-7","ISSN":"0253-6269","PMID":"22477196","abstract":"The aim of the current work was to design and develop matrix pellets of hydroxy propyl methyl cellulose K200M and microcrystalline cellulose in an admixture for a mucoadhesive gastroretentive drug delivery system. Pellets containing metformin hydrochloride (500 mg) were prepared by the pelletization technique using an extruder-spheronizer. Pellets were characterized by differential scanning calorimetry (DSC), x-ray diffraction (XRD), scanning electron microscopy (SEM), circularity, roundness, percent drug content, percent production yield, in vitro swelling, ex vivo mucoadhesion, in vitro drug release and in vivo x-ray imaging studies. Optimized pellets were sufficiently porous spheroids, free flowing, had smooth surfaces, had yields up to 75.45 ± 0.52% and had drug content up to 96.45 ± 0.19%. The average particle size of formulations MF2 and MF6 were 1.13 ± 0.41 mm and 1.22 ± 0.18 mm, respectively. Formulation MF6 exhibited strong adhesion, about 94.67%, to goat mucosal tissue, and the desired in vitro swelling, with a sustained drug release profile for 12 h and with retention in the upper small intestine of rabbits for 10 h. We conclude that hydroxy propyl methyl cellulose K200M and microcrystalline cellulose at a 2.80:1.00 w/w ratio could be an effective carrier for multiple unit controlled delivery of metformin hydrochloride.","author":[{"dropping-particle":"","family":"Ige","given":"Pradum Pundlikrao","non-dropping-particle":"","parse-names":false,"suffix":""},{"dropping-particle":"","family":"Gattani","given":"Surendra Ganeshlal","non-dropping-particle":"","parse-names":false,"suffix":""}],"container-title":"Archives of Pharmacal Research","id":"ITEM-2","issue":"3","issued":{"date-parts":[["2012","3","5"]]},"page":"487-498","title":"Design and in vitro and in vivo characterization of mucoadhesive matrix pellets of metformin hydrochloride for oral controlled release: A technical note","type":"article-journal","volume":"35"},"uris":["http://www.mendeley.com/documents/?uuid=7c23caea-559e-3639-af37-ba7c7ad3fed8"]}],"mendeley":{"formattedCitation":"(27,28)","plainTextFormattedCitation":"(27,28)","previouslyFormattedCitation":"(27,28)"},"properties":{"noteIndex":0},"schema":"https://github.com/citation-style-language/schema/raw/master/csl-citation.json"}</w:instrText>
      </w:r>
      <w:r w:rsidRPr="00DE5D5D">
        <w:fldChar w:fldCharType="separate"/>
      </w:r>
      <w:r w:rsidR="00FB235B" w:rsidRPr="00FB235B">
        <w:rPr>
          <w:noProof/>
        </w:rPr>
        <w:t>(27,28)</w:t>
      </w:r>
      <w:r w:rsidRPr="00DE5D5D">
        <w:fldChar w:fldCharType="end"/>
      </w:r>
      <w:r w:rsidRPr="00DE5D5D">
        <w:t>. SIT showed characteristic Bragg peaks at 13.90 °(2θ), 16.1</w:t>
      </w:r>
      <w:r w:rsidR="0098418E">
        <w:t>0</w:t>
      </w:r>
      <w:r w:rsidRPr="00DE5D5D">
        <w:t xml:space="preserve"> °(2θ), 18.65 °(2θ), and 21.25 °(2θ), which are also consistent with the literature </w:t>
      </w:r>
      <w:r w:rsidRPr="00DE5D5D">
        <w:fldChar w:fldCharType="begin" w:fldLock="1"/>
      </w:r>
      <w:r w:rsidR="00E05EA3">
        <w:instrText>ADDIN CSL_CITATION {"citationItems":[{"id":"ITEM-1","itemData":{"DOI":"10.1007/s10973-013-3329-3","ISSN":"1388-6150","author":[{"dropping-particle":"","family":"Shantikumar","given":"S.","non-dropping-particle":"","parse-names":false,"suffix":""},{"dropping-particle":"","family":"Sreekanth","given":"G.","non-dropping-particle":"","parse-names":false,"suffix":""},{"dropping-particle":"V.","family":"SurendraNath","given":"K.","non-dropping-particle":"","parse-names":false,"suffix":""},{"dropping-particle":"","family":"JaferValli","given":"S.","non-dropping-particle":"","parse-names":false,"suffix":""},{"dropping-particle":"","family":"Satheeshkumar","given":"N.","non-dropping-particle":"","parse-names":false,"suffix":""}],"container-title":"Journal of Thermal Analysis and Calorimetry","id":"ITEM-1","issue":"3","issued":{"date-parts":[["2014","3","30"]]},"page":"2423-2428","publisher":"Springer Netherlands","title":"Compatibility study between sitagliptin and pharmaceutical excipients used in solid dosage forms","type":"article-journal","volume":"115"},"uris":["http://www.mendeley.com/documents/?uuid=aa50ff3f-708e-3030-a695-a2e56b9bd3b9"]}],"mendeley":{"formattedCitation":"(29)","plainTextFormattedCitation":"(29)","previouslyFormattedCitation":"(29)"},"properties":{"noteIndex":0},"schema":"https://github.com/citation-style-language/schema/raw/master/csl-citation.json"}</w:instrText>
      </w:r>
      <w:r w:rsidRPr="00DE5D5D">
        <w:fldChar w:fldCharType="separate"/>
      </w:r>
      <w:r w:rsidR="00FB235B" w:rsidRPr="00FB235B">
        <w:rPr>
          <w:noProof/>
        </w:rPr>
        <w:t>(29)</w:t>
      </w:r>
      <w:r w:rsidRPr="00DE5D5D">
        <w:fldChar w:fldCharType="end"/>
      </w:r>
      <w:r w:rsidRPr="00DE5D5D">
        <w:t>. PEG 3350</w:t>
      </w:r>
      <w:r w:rsidR="000330A1">
        <w:t xml:space="preserve"> </w:t>
      </w:r>
      <w:r w:rsidRPr="00DE5D5D">
        <w:t>showed characteristic Bragg peaks at 19.2</w:t>
      </w:r>
      <w:r w:rsidR="008D55E5">
        <w:t>0</w:t>
      </w:r>
      <w:r w:rsidRPr="00DE5D5D">
        <w:t xml:space="preserve"> °(2θ) and 23.3</w:t>
      </w:r>
      <w:r w:rsidR="0098418E">
        <w:t>0</w:t>
      </w:r>
      <w:r w:rsidRPr="00DE5D5D">
        <w:t xml:space="preserve"> °(2θ), consistent with previous reports in the literature</w:t>
      </w:r>
      <w:r w:rsidR="000330A1">
        <w:t xml:space="preserve"> </w:t>
      </w:r>
      <w:r w:rsidR="00D432A7">
        <w:fldChar w:fldCharType="begin" w:fldLock="1"/>
      </w:r>
      <w:r w:rsidR="00E05EA3">
        <w:instrText>ADDIN CSL_CITATION {"citationItems":[{"id":"ITEM-1","itemData":{"DOI":"10.1002/JPS.21808","ISSN":"0022-3549","abstract":"Polyethylene glycol (PEG) is a hygroscopic polymer that undergoes the phenomenon of deliquescence once a critical relative humidity (RH0) is reached. The purpose of this study was to test the hypothesis that the deliquescence behavior of PEG will be affected by the polymer molecular weight, temperature, and the presence of additives. The deliquescence relative humidity for single component (RH0) and binary mixtures (RH0,mix) were measured using an automated gravimetric moisture analyzer at 25 and 40°C. Changes in PEG crystallinity after exposure to moisture were qualitatively assessed using powder X-ray diffraction (PXRD). Optical microscopy was used to visually observe the deliquescence phenomenon. For single component systems, decreasing PEG MW and elevating the temperature resulted in a decrease in the observed RH0. Physical mixtures of acetaminophen and anhydrous citric acid with both PEG 3350 and PEG 100,000 exhibited deliquescence (RH0,mix) at a relative humidity below that of either individual component. Qualitative changes in crystallinity were observed from the X-ray diffractograms for each PEG MW grade at high relative humidities, indicating that phase transformation (deliquescence) of the samples had occurred. In conclusion, it was found that the deliquescence behavior of PEG was affected by the polymer MW, temperature, and the presence of additives. This phenomenon may have important implications for the stability of PEG containing formulations. © 2009 Wiley-Liss, Inc. and the American Pharmacists Association J Pharm Sci 99:154–168, 2010","author":[{"dropping-particle":"","family":"Baird","given":"Jared A.","non-dropping-particle":"","parse-names":false,"suffix":""},{"dropping-particle":"","family":"Olayo-Valles","given":"Roberto","non-dropping-particle":"","parse-names":false,"suffix":""},{"dropping-particle":"","family":"Rinaldi","given":"Carlos","non-dropping-particle":"","parse-names":false,"suffix":""},{"dropping-particle":"","family":"Taylor","given":"Lynne S.","non-dropping-particle":"","parse-names":false,"suffix":""}],"container-title":"Journal of Pharmaceutical Sciences","id":"ITEM-1","issue":"1","issued":{"date-parts":[["2010","1","1"]]},"page":"154-168","publisher":"Elsevier","title":"Effect of Molecular Weight, Temperature, and Additives on the Moisture Sorption Properties of Polyethylene Glycol","type":"article-journal","volume":"99"},"uris":["http://www.mendeley.com/documents/?uuid=b68b1c70-16b5-326f-9263-820b9a1636e5"]},{"id":"ITEM-2","itemData":{"DOI":"10.1016/J.IJPHARM.2018.05.008","ISSN":"0378-5173","abstract":"The purpose of this work was to investigate the application of different advanced continuous processing techniques (hot melt extrusion and spray drying) to the production of fixed-dose combination (FDC) monolithic systems comprising of hydrochlorothiazide and ramipril for the treatment of hypertension. Identical FDC formulations were manufactured by the two different methods and were characterised using powder X-ray diffraction (PXRD) and modulated differential scanning calorimetry (mDSC). Drug dissolution rates were investigated using a Wood’s apparatus, while physical stability was assessed on storage under controlled temperature and humidity conditions. Interestingly both drugs were transformed into their amorphous forms when spray dried, however, hydrochlorothiazide was determined, by PXRD, to be partially crystalline when hot melt extruded with either polymer carrier (Kollidon® VA 64 or Soluplus®). Hot melt extrusion was found to result in significant degradation of ramipril, however, this could be mitigated by the inclusion of the plasticizer, polyethylene glycol 3350, in the formulation and appropriate adjustment of processing temperature. The results of intrinsic dissolution rate studies showed that hot-melt extruded samples were found to release both drugs faster than identical formulations produced via spray drying. However, the differences were attributable to the surface roughness of the compressed discs in the Wood’s apparatus, rather than solid state differences between samples. After a 60-day stability study spray dried samples exhibited a greater physical stability than the equivalent hot melt extruded samples.","author":[{"dropping-particle":"","family":"Kelleher","given":"J.F.","non-dropping-particle":"","parse-names":false,"suffix":""},{"dropping-particle":"","family":"Gilvary","given":"G.C.","non-dropping-particle":"","parse-names":false,"suffix":""},{"dropping-particle":"","family":"Madi","given":"A.M.","non-dropping-particle":"","parse-names":false,"suffix":""},{"dropping-particle":"","family":"Jones","given":"D.S.","non-dropping-particle":"","parse-names":false,"suffix":""},{"dropping-particle":"","family":"Li","given":"S.","non-dropping-particle":"","parse-names":false,"suffix":""},{"dropping-particle":"","family":"Tian","given":"Y.","non-dropping-particle":"","parse-names":false,"suffix":""},{"dropping-particle":"","family":"Almajaan","given":"A.","non-dropping-particle":"","parse-names":false,"suffix":""},{"dropping-particle":"","family":"Senta-Loys","given":"Z.","non-dropping-particle":"","parse-names":false,"suffix":""},{"dropping-particle":"","family":"Andrews","given":"G.P.","non-dropping-particle":"","parse-names":false,"suffix":""},{"dropping-particle":"","family":"Healy","given":"A.M.","non-dropping-particle":"","parse-names":false,"suffix":""}],"container-title":"International Journal of Pharmaceutics","id":"ITEM-2","issue":"1-2","issued":{"date-parts":[["2018","7","10"]]},"page":"183-196","publisher":"Elsevier","title":"A comparative study between hot-melt extrusion and spray-drying for the manufacture of anti-hypertension compatible monolithic fixed-dose combination products","type":"article-journal","volume":"545"},"uris":["http://www.mendeley.com/documents/?uuid=b4d093fd-6208-3d5f-9b64-05317c4c2c1f"]}],"mendeley":{"formattedCitation":"(30,31)","plainTextFormattedCitation":"(30,31)","previouslyFormattedCitation":"(30,31)"},"properties":{"noteIndex":0},"schema":"https://github.com/citation-style-language/schema/raw/master/csl-citation.json"}</w:instrText>
      </w:r>
      <w:r w:rsidR="00D432A7">
        <w:fldChar w:fldCharType="separate"/>
      </w:r>
      <w:r w:rsidR="00FB235B" w:rsidRPr="00FB235B">
        <w:rPr>
          <w:noProof/>
        </w:rPr>
        <w:t>(30,31)</w:t>
      </w:r>
      <w:r w:rsidR="00D432A7">
        <w:fldChar w:fldCharType="end"/>
      </w:r>
      <w:r w:rsidRPr="00DE5D5D">
        <w:t>. The PXRD diffractograms for HPC-A and HPC-S are very similar</w:t>
      </w:r>
      <w:r w:rsidR="009E45F5">
        <w:t>,</w:t>
      </w:r>
      <w:r w:rsidRPr="00DE5D5D">
        <w:t xml:space="preserve"> </w:t>
      </w:r>
      <w:r w:rsidR="002347EF">
        <w:t xml:space="preserve">displaying </w:t>
      </w:r>
      <w:r w:rsidRPr="00DE5D5D">
        <w:t>“halo” patterns, which are characteristic of amorphous material</w:t>
      </w:r>
      <w:r w:rsidR="009E45F5">
        <w:t>s</w:t>
      </w:r>
      <w:r w:rsidRPr="00DE5D5D">
        <w:t>, centred at 8.55 °(2θ) and 20.35 °(2θ)</w:t>
      </w:r>
      <w:r w:rsidR="009E45F5">
        <w:t xml:space="preserve"> respectively</w:t>
      </w:r>
      <w:r w:rsidRPr="00DE5D5D">
        <w:t>. While cellulose polymers consist of both crystalline and amorphous domains, the crystalline domain content is</w:t>
      </w:r>
      <w:r w:rsidR="002347EF">
        <w:t xml:space="preserve"> </w:t>
      </w:r>
      <w:r w:rsidR="00761436">
        <w:t>presumably</w:t>
      </w:r>
      <w:r w:rsidRPr="00DE5D5D">
        <w:t xml:space="preserve"> so small, the amorphous halo dominates the PXRD pattern.</w:t>
      </w:r>
    </w:p>
    <w:p w14:paraId="62120689" w14:textId="5398D0E5" w:rsidR="00BD3E50" w:rsidRDefault="007E5A0A" w:rsidP="002244B8">
      <w:pPr>
        <w:rPr>
          <w:rFonts w:cs="Times New Roman"/>
          <w:szCs w:val="24"/>
        </w:rPr>
      </w:pPr>
      <w:r w:rsidRPr="007E5A0A">
        <w:rPr>
          <w:rFonts w:cs="Times New Roman"/>
          <w:szCs w:val="24"/>
        </w:rPr>
        <w:t>Manufacture of Melt granules</w:t>
      </w:r>
    </w:p>
    <w:p w14:paraId="057767FC" w14:textId="1CF1E51F" w:rsidR="00600E11" w:rsidRDefault="00600E11" w:rsidP="002244B8">
      <w:r w:rsidRPr="005723A7">
        <w:t xml:space="preserve">The initial visual characterisation of melt granules is essential when processing materials using a </w:t>
      </w:r>
      <w:r w:rsidR="00FE7E6B">
        <w:t xml:space="preserve">twin-screw </w:t>
      </w:r>
      <w:r w:rsidRPr="005723A7">
        <w:t xml:space="preserve">melt granulation technique </w:t>
      </w:r>
      <w:r>
        <w:fldChar w:fldCharType="begin" w:fldLock="1"/>
      </w:r>
      <w:r w:rsidR="00E05EA3">
        <w:instrText>ADDIN CSL_CITATION {"citationItems":[{"id":"ITEM-1","itemData":{"DOI":"10.1080/03639040701525627","ISBN":"0363-9045 (Print) 0363-9045 (Linking)","ISSN":"0363-9045","PMID":"17963112","abstract":"The advent of high through-put screening in the drug discovery process has resulted in compounds with high lipophilicity and poor solubility. Increasing the solubility of such compounds poses a major challenge to formulation scientists. Various approaches have been adopted to address this including preparation of solid dispersions and solid solutions. Hot-melt extrusion is an efficient technology for producing solid molecular dispersions with considerable advantages over solvent-based processes such as spray drying and co-precipitation. Hot-melt extrusion has been demonstrated to provide sustained, modified, and targeted drug delivery. Improvements in bioavailability utilizing the hot-melt extrusion technique demonstrate the value of the technology as a potential drug delivery processing tool. The interest in hot-melt extrusion technology for pharmaceutical applications is evident from the increasing number of patents and publications in the scientific literature. Part II of this article reviews the myriad of hot-melt extrusion applications for pharmaceutical dosage forms including granules, pellets, tablets, implants, transmucosal, and transdermal systems.","author":[{"dropping-particle":"","family":"Repka","given":"Michael a","non-dropping-particle":"","parse-names":false,"suffix":""},{"dropping-particle":"","family":"Battu","given":"Sunil Kumar","non-dropping-particle":"","parse-names":false,"suffix":""},{"dropping-particle":"","family":"Upadhye","given":"Sampada B","non-dropping-particle":"","parse-names":false,"suffix":""},{"dropping-particle":"","family":"Thumma","given":"Sridhar","non-dropping-particle":"","parse-names":false,"suffix":""},{"dropping-particle":"","family":"Crowley","given":"Michael M","non-dropping-particle":"","parse-names":false,"suffix":""},{"dropping-particle":"","family":"Zhang","given":"Feng","non-dropping-particle":"","parse-names":false,"suffix":""},{"dropping-particle":"","family":"Martin","given":"Charles","non-dropping-particle":"","parse-names":false,"suffix":""},{"dropping-particle":"","family":"McGinity","given":"James W","non-dropping-particle":"","parse-names":false,"suffix":""}],"container-title":"Drug development and industrial pharmacy","id":"ITEM-1","issue":"10","issued":{"date-parts":[["2007"]]},"page":"1043-1057","title":"Pharmaceutical applications of hot-melt extrusion: Part II.","type":"article-journal","volume":"33"},"uris":["http://www.mendeley.com/documents/?uuid=faf4f4ad-c75e-4b05-94f0-3317a4700334"]},{"id":"ITEM-2","itemData":{"ISBN":"9781439807897","abstract":"3rd ed. pt. 1. Particle formation -- pt. 2. Granulation processes -- pt. 3. Product oriented granulations -- pt. 4. Characterization and scale-up -- pt. 5. Optimization strategies, tools and regulatory considerations.","author":[{"dropping-particle":"","family":"Parikh","given":"Dilip M.","non-dropping-particle":"","parse-names":false,"suffix":""}],"id":"ITEM-2","issued":{"date-parts":[["2010"]]},"number-of-pages":"659","publisher":"Informa Healthcare USA","title":"Handbook of pharmaceutical granulation technology","type":"book"},"uris":["http://www.mendeley.com/documents/?uuid=42a8bc71-fec8-334f-b7ec-db33170ab1b2"]}],"mendeley":{"formattedCitation":"(14,32)","plainTextFormattedCitation":"(14,32)","previouslyFormattedCitation":"(14,32)"},"properties":{"noteIndex":0},"schema":"https://github.com/citation-style-language/schema/raw/master/csl-citation.json"}</w:instrText>
      </w:r>
      <w:r>
        <w:fldChar w:fldCharType="separate"/>
      </w:r>
      <w:r w:rsidR="00FB235B" w:rsidRPr="00FB235B">
        <w:rPr>
          <w:noProof/>
        </w:rPr>
        <w:t>(14,32)</w:t>
      </w:r>
      <w:r>
        <w:fldChar w:fldCharType="end"/>
      </w:r>
      <w:r w:rsidRPr="005723A7">
        <w:t xml:space="preserve">. Optimised melt granule formulations are expected to be solid, uniform in particle size distribution, show acceptable flow properties and have no charred spots </w:t>
      </w:r>
      <w:r>
        <w:fldChar w:fldCharType="begin" w:fldLock="1"/>
      </w:r>
      <w:r w:rsidR="00E05EA3">
        <w:instrText>ADDIN CSL_CITATION {"citationItems":[{"id":"ITEM-1","itemData":{"DOI":"10.1016/S0928-0987(01)00210-X","ISSN":"0928-0987","PMID":"11803133","abstract":"The aim of this study was to prepare, by melt granulation, granules containing ibuprofen as a poorly water soluble model drug in order to improve its dissolution rate and its availability; lactose as a diluent and poloxamer 188 (Lutrol F68), as a new meltable hydrophilic binder, were used. The granules were prepared in a laboratory-scale high-shear mixer, using a jacket temperature of 50 degrees C and an impeller speed of 500 rpm. The particle size analysis shows that the main fraction was between 200 and 500 microm, while the determination of drug content indicated that ibuprofen was quite uniformly distributed in all the fractions. Scanning Electron Microscopy (SEM), image and fractal analysis revealed that the granules did not have a perfect spherical shape and a rugged surface (D(s)=2.6475). The in vitro dissolution tests showed an increase in the dissolution rate of granules compared to pure drug and physical mixture. The characterisation of the samples, performed by Differential Scanning Calorimetry (DSC) and X-ray powder diffraction (XRD), suggests that the improvement of dissolution rate could be correlated to the formation of a eutectic mixture between the drug and the binder. Stability studies indicated that the granule properties do not change, at least after 1 year of storage at 25 degrees C. In conclusion, the results of this work suggest that the melt granulation technique is an easy and fast method to improve the dissolution rate of ibuprofen, using poloxamer 188 as a new hydrophilic meltable binder.","author":[{"dropping-particle":"","family":"Passerini","given":"Nadia","non-dropping-particle":"","parse-names":false,"suffix":""},{"dropping-particle":"","family":"Albertini","given":"Beatrice","non-dropping-particle":"","parse-names":false,"suffix":""},{"dropping-particle":"","family":"González-Rodríguez","given":"Marisa L","non-dropping-particle":"","parse-names":false,"suffix":""},{"dropping-particle":"","family":"Cavallari","given":"Cristina","non-dropping-particle":"","parse-names":false,"suffix":""},{"dropping-particle":"","family":"Rodriguez","given":"Lorenzo","non-dropping-particle":"","parse-names":false,"suffix":""}],"container-title":"European journal of pharmaceutical sciences : official journal of the European Federation for Pharmaceutical Sciences","id":"ITEM-1","issue":"1","issued":{"date-parts":[["2002","2"]]},"page":"71-8","title":"Preparation and characterisation of ibuprofen-poloxamer 188 granules obtained by melt granulation.","type":"article-journal","volume":"15"},"uris":["http://www.mendeley.com/documents/?uuid=cd5e8870-a859-31be-bd8f-bdf1b1b83747"]},{"id":"ITEM-2","itemData":{"DOI":"10.1208/pt050343","ISSN":"1530-9932","PMID":"15760076","abstract":"The basic objective of this study was to explore the application of Gelucire 43/01 for the design of multi-unit floating systems of a highly water-soluble drug diltiazem HCl. Diltiazem HCl-Gelucire 43/01 granules were prepared by melt granulation technique. The granules were evaluated for in vitro and in vivo floating ability, surface topography, and in vitro drug release. Aging effect on storage was evaluated using scanning electron microscopy, hot stage polarizing microscopy (HSPM), differential scanning calorimetry (DSC), and in vitro drug release. Granules were retained in stomach at least for 6 hours. Approximately 65% to 80% drug was released over 6 hours with initial fast release from the surface. Surface topography, HSPM, DSC study of the aged samples showed phase transformation of Gelucire. The phase transformation also caused significant increase in drug release. In conclusion, hydrophobic lipid, Gelucire 43/01, can be considered as an effective carrier for design of a multi-unit floating drug delivery system of highly water-soluble drugs such as diltiazem HCl.","author":[{"dropping-particle":"","family":"Shimpi","given":"Shyam","non-dropping-particle":"","parse-names":false,"suffix":""},{"dropping-particle":"","family":"Chauhan","given":"Bhaskar","non-dropping-particle":"","parse-names":false,"suffix":""},{"dropping-particle":"","family":"Mahadik","given":"K R","non-dropping-particle":"","parse-names":false,"suffix":""},{"dropping-particle":"","family":"Paradkar","given":"Anant","non-dropping-particle":"","parse-names":false,"suffix":""}],"container-title":"AAPS PharmSciTech","id":"ITEM-2","issue":"3","issued":{"date-parts":[["2004","7","12"]]},"page":"e43","publisher":"Springer","title":"Preparation and evaluation of diltiazem hydrochloride-Gelucire 43/01 floating granules prepared by melt granulation.","type":"article-journal","volume":"5"},"uris":["http://www.mendeley.com/documents/?uuid=475742a6-1fb9-3114-a8fb-db3e5e2a13fa"]}],"mendeley":{"formattedCitation":"(33,34)","plainTextFormattedCitation":"(33,34)","previouslyFormattedCitation":"(33,34)"},"properties":{"noteIndex":0},"schema":"https://github.com/citation-style-language/schema/raw/master/csl-citation.json"}</w:instrText>
      </w:r>
      <w:r>
        <w:fldChar w:fldCharType="separate"/>
      </w:r>
      <w:r w:rsidR="00FB235B" w:rsidRPr="00FB235B">
        <w:rPr>
          <w:noProof/>
        </w:rPr>
        <w:t>(33,34)</w:t>
      </w:r>
      <w:r>
        <w:fldChar w:fldCharType="end"/>
      </w:r>
      <w:r>
        <w:t>.</w:t>
      </w:r>
      <w:r w:rsidRPr="005723A7">
        <w:t xml:space="preserve"> </w:t>
      </w:r>
      <w:r w:rsidR="001B7EA4" w:rsidRPr="005A0CD7">
        <w:t>Met</w:t>
      </w:r>
      <w:r w:rsidR="002B632B" w:rsidRPr="005A0CD7">
        <w:t xml:space="preserve">hod development </w:t>
      </w:r>
      <w:r w:rsidR="00FB249E" w:rsidRPr="005A0CD7">
        <w:t>consisted</w:t>
      </w:r>
      <w:r w:rsidR="00DE0069" w:rsidRPr="005A0CD7">
        <w:t xml:space="preserve"> of optimising process parameters (screw rotation and </w:t>
      </w:r>
      <w:r w:rsidR="00741744" w:rsidRPr="005A0CD7">
        <w:t xml:space="preserve">processing temperatures) as well as investigating </w:t>
      </w:r>
      <w:r w:rsidR="006748FC" w:rsidRPr="005A0CD7">
        <w:t xml:space="preserve">the maximum amount of HPC polymer </w:t>
      </w:r>
      <w:r w:rsidR="00060B6A" w:rsidRPr="005A0CD7">
        <w:t xml:space="preserve">that could be added to formulations in order to produce </w:t>
      </w:r>
      <w:r w:rsidR="000E460C" w:rsidRPr="005A0CD7">
        <w:t>visually acceptable granules.</w:t>
      </w:r>
      <w:r w:rsidR="002D2199" w:rsidRPr="005A0CD7">
        <w:t xml:space="preserve"> </w:t>
      </w:r>
      <w:r w:rsidR="002D2199" w:rsidRPr="005A0CD7">
        <w:rPr>
          <w:rFonts w:cstheme="minorHAnsi"/>
          <w:szCs w:val="24"/>
        </w:rPr>
        <w:t xml:space="preserve">Feed rate (manual) remained constant throughout </w:t>
      </w:r>
      <w:proofErr w:type="gramStart"/>
      <w:r w:rsidR="002D2199" w:rsidRPr="005A0CD7">
        <w:rPr>
          <w:rFonts w:cstheme="minorHAnsi"/>
          <w:szCs w:val="24"/>
        </w:rPr>
        <w:t>all of</w:t>
      </w:r>
      <w:proofErr w:type="gramEnd"/>
      <w:r w:rsidR="002D2199" w:rsidRPr="005A0CD7">
        <w:rPr>
          <w:rFonts w:cstheme="minorHAnsi"/>
          <w:szCs w:val="24"/>
        </w:rPr>
        <w:t xml:space="preserve"> the processing. As the formulations are well mixed before being added to the extruder, the feed rate does not have a significant effect due to the lack of a die at the end of the extruder and subsequently, lack of pressure build up due to the volume in the extruder. Screw speed was varied between 5 and 20 rpm, with higher rpm resulting in inadequate mixing of the formulation causing no granule formation to occur. Lower rpm i.e. 5 rpm resulted in agglomerates, rather than granules, forming. Regarding</w:t>
      </w:r>
      <w:r w:rsidR="002D2199" w:rsidRPr="0080163C">
        <w:rPr>
          <w:rFonts w:cstheme="minorHAnsi"/>
          <w:b/>
          <w:szCs w:val="24"/>
        </w:rPr>
        <w:t xml:space="preserve"> </w:t>
      </w:r>
      <w:r w:rsidR="002D2199" w:rsidRPr="005A0CD7">
        <w:rPr>
          <w:rFonts w:cstheme="minorHAnsi"/>
          <w:bCs/>
          <w:szCs w:val="24"/>
        </w:rPr>
        <w:t xml:space="preserve">temperatures, initial feed zone temperature was selected as 130 °C and </w:t>
      </w:r>
      <w:r w:rsidR="002D2199" w:rsidRPr="005A0CD7">
        <w:rPr>
          <w:rFonts w:cstheme="minorHAnsi"/>
          <w:bCs/>
          <w:szCs w:val="24"/>
        </w:rPr>
        <w:lastRenderedPageBreak/>
        <w:t xml:space="preserve">zones 1-3 incrementally increased in order </w:t>
      </w:r>
      <w:r w:rsidR="00B70151" w:rsidRPr="005A0CD7">
        <w:rPr>
          <w:rFonts w:cstheme="minorHAnsi"/>
          <w:bCs/>
          <w:szCs w:val="24"/>
        </w:rPr>
        <w:t>to allow</w:t>
      </w:r>
      <w:r w:rsidR="002D2199" w:rsidRPr="005A0CD7">
        <w:rPr>
          <w:rFonts w:cstheme="minorHAnsi"/>
          <w:bCs/>
          <w:szCs w:val="24"/>
        </w:rPr>
        <w:t xml:space="preserve"> melting of the polymeric binders to occur throughout the process.</w:t>
      </w:r>
      <w:r w:rsidR="00FB249E" w:rsidRPr="00D06E2F">
        <w:rPr>
          <w:b/>
          <w:bCs/>
        </w:rPr>
        <w:t xml:space="preserve"> </w:t>
      </w:r>
    </w:p>
    <w:p w14:paraId="50DCE518" w14:textId="3DFC5DC5" w:rsidR="00600E11" w:rsidRPr="006C4DB1" w:rsidRDefault="00600E11" w:rsidP="002244B8">
      <w:r w:rsidRPr="000F107F">
        <w:t>The extruder barrel was divided into 4 heating zones (</w:t>
      </w:r>
      <w:r w:rsidR="00D33FBE">
        <w:t xml:space="preserve">including </w:t>
      </w:r>
      <w:r w:rsidRPr="000F107F">
        <w:t>the feeding zone and</w:t>
      </w:r>
      <w:r w:rsidR="00D33FBE">
        <w:t xml:space="preserve"> heating</w:t>
      </w:r>
      <w:r w:rsidRPr="000F107F">
        <w:t xml:space="preserve"> zones 1-3).</w:t>
      </w:r>
      <w:r>
        <w:t xml:space="preserve"> The final temperatures chosen are displayed in table </w:t>
      </w:r>
      <w:r w:rsidR="00785B17">
        <w:t>II</w:t>
      </w:r>
      <w:r>
        <w:t xml:space="preserve">. The temperature throughout remains below the melting temperatures of both APIs but above </w:t>
      </w:r>
      <w:r w:rsidR="00D46AD0">
        <w:t>both</w:t>
      </w:r>
      <w:r>
        <w:t xml:space="preserve"> HPC</w:t>
      </w:r>
      <w:r w:rsidR="00F62693">
        <w:t>-</w:t>
      </w:r>
      <w:r w:rsidR="007E623B">
        <w:t>A and HPC-S</w:t>
      </w:r>
      <w:r>
        <w:t xml:space="preserve"> </w:t>
      </w:r>
      <w:r w:rsidRPr="00600E11">
        <w:rPr>
          <w:i/>
        </w:rPr>
        <w:t>T</w:t>
      </w:r>
      <w:r w:rsidRPr="00600E11">
        <w:rPr>
          <w:i/>
          <w:vertAlign w:val="subscript"/>
        </w:rPr>
        <w:t>g</w:t>
      </w:r>
      <w:r w:rsidR="00D46AD0">
        <w:t>s</w:t>
      </w:r>
      <w:r>
        <w:t xml:space="preserve"> and</w:t>
      </w:r>
      <w:r w:rsidR="00047566">
        <w:t xml:space="preserve"> above the</w:t>
      </w:r>
      <w:r>
        <w:t xml:space="preserve"> melting temperature of PEG 3350. This allows for granules to form successfully. The temperature increases </w:t>
      </w:r>
      <w:r w:rsidR="002543DD">
        <w:t>from the feed zone through to zone 3</w:t>
      </w:r>
      <w:r>
        <w:t xml:space="preserve"> to allow the complete melting</w:t>
      </w:r>
      <w:r w:rsidR="002307CF">
        <w:t>/softening</w:t>
      </w:r>
      <w:r>
        <w:t xml:space="preserve"> of the excipients while also allowing adequate time for the components to mix with one another during the process. </w:t>
      </w:r>
    </w:p>
    <w:p w14:paraId="0D116C1B" w14:textId="3A9FFB5D" w:rsidR="00EE629B" w:rsidRDefault="00DC4480" w:rsidP="002244B8">
      <w:r>
        <w:t>A</w:t>
      </w:r>
      <w:r w:rsidR="00600E11">
        <w:t xml:space="preserve"> disadvantage associated with working with FDC products is that </w:t>
      </w:r>
      <w:r w:rsidR="002307CF">
        <w:t xml:space="preserve">the </w:t>
      </w:r>
      <w:r w:rsidR="00600E11">
        <w:t xml:space="preserve">ratio of drugs needs to remain constant, in this case, for every 850 mg of MET we need 63 mg of SIT (equivalent to 50 mg of sitagliptin). For this reason, the only variation in formulation can come from the excipients added. Ideally, the final formulation </w:t>
      </w:r>
      <w:r w:rsidR="00D33FBE">
        <w:t>should</w:t>
      </w:r>
      <w:r w:rsidR="00600E11">
        <w:t xml:space="preserve"> contain as little excipients as possible due to the already large API content required. </w:t>
      </w:r>
      <w:r w:rsidR="00600E11" w:rsidRPr="006564B1">
        <w:t>HPC-S and HPC-A were successfully employed to produce granules which, from initial visual inspection, were larger in size compared to the physical mixtures fed into the extruder.</w:t>
      </w:r>
      <w:r w:rsidR="00600E11">
        <w:t xml:space="preserve"> Initial studies consisted of MET and HPC only as these components made up most of the formulation. </w:t>
      </w:r>
      <w:r w:rsidR="00600E11" w:rsidRPr="006564B1">
        <w:t xml:space="preserve">It was possible to process MET drug loadings as high as </w:t>
      </w:r>
      <w:r w:rsidR="00600E11">
        <w:t>85</w:t>
      </w:r>
      <w:r w:rsidR="00600E11" w:rsidRPr="006564B1">
        <w:t xml:space="preserve"> % w/w using either of the two grades of HPC. However, the manufactured granules were slightly fragile and tended to break apart after they were cooled. </w:t>
      </w:r>
      <w:r w:rsidR="00435A61">
        <w:t xml:space="preserve">While other </w:t>
      </w:r>
      <w:r w:rsidR="002B29EA">
        <w:t xml:space="preserve">studies have shown that MET may be successfully </w:t>
      </w:r>
      <w:r w:rsidR="00B34C73">
        <w:t>melt granulated up to 9</w:t>
      </w:r>
      <w:r w:rsidR="00FC4EF3">
        <w:t>5</w:t>
      </w:r>
      <w:r w:rsidR="00B34C73">
        <w:t xml:space="preserve"> % w/w</w:t>
      </w:r>
      <w:r w:rsidR="007E3DF7">
        <w:t xml:space="preserve"> with HPC</w:t>
      </w:r>
      <w:r w:rsidR="005D5354">
        <w:t xml:space="preserve"> and other</w:t>
      </w:r>
      <w:r w:rsidR="007E3DF7">
        <w:t xml:space="preserve"> polymers</w:t>
      </w:r>
      <w:r w:rsidR="006716C3">
        <w:t xml:space="preserve"> using </w:t>
      </w:r>
      <w:r w:rsidR="00225C27">
        <w:t xml:space="preserve">larger melt extruders </w:t>
      </w:r>
      <w:r w:rsidR="00FA124D">
        <w:fldChar w:fldCharType="begin" w:fldLock="1"/>
      </w:r>
      <w:r w:rsidR="001B225D">
        <w:instrText>ADDIN CSL_CITATION {"citationItems":[{"id":"ITEM-1","itemData":{"DOI":"10.1002/jps.22369","ISSN":"00223549","author":[{"dropping-particle":"","family":"Lakshman","given":"Jay P.","non-dropping-particle":"","parse-names":false,"suffix":""},{"dropping-particle":"","family":"Kowalski","given":"James","non-dropping-particle":"","parse-names":false,"suffix":""},{"dropping-particle":"","family":"Vasanthavada","given":"Madhav","non-dropping-particle":"","parse-names":false,"suffix":""},{"dropping-particle":"","family":"Tong","given":"Wei-Qin","non-dropping-particle":"","parse-names":false,"suffix":""},{"dropping-particle":"","family":"Joshi","given":"Yatindra M.","non-dropping-particle":"","parse-names":false,"suffix":""},{"dropping-particle":"","family":"Serajuddin","given":"Abu T.M.","non-dropping-particle":"","parse-names":false,"suffix":""}],"container-title":"Journal of Pharmaceutical Sciences","id":"ITEM-1","issue":"4","issued":{"date-parts":[["2011","4","1"]]},"page":"1553-1565","publisher":"John Wiley &amp; Sons, Ltd","title":"Application of Melt Granulation Technology to Enhance Tabletting Properties of Poorly Compactible High-Dose Drugs","type":"article-journal","volume":"100"},"uris":["http://www.mendeley.com/documents/?uuid=2e901432-c101-3e6a-b782-fd3e3b45eb3b"]},{"id":"ITEM-2","itemData":{"DOI":"10.1016/J.XPHS.2016.07.014","ISSN":"0022-3549","abstract":"Traditionally, the melt granulation for pharmaceutical products was performed at low temperature (&lt;90°C) with high-shear granulators using low-melting waxy binders, and tablets produced using such granules were not amenable to large-scale manufacturing. The situation has changed in recent years by the use of twin screw extruder where the processing temperature could be increased to as high as 180°C and polymers with high Tg could be used as binders. In this study, different polymeric binders were screened for their suitability in improving compactibility of 2 drugs, metformin hydrochloride and acetaminophen, by twin screw melt granulation. Processing temperatures for the 2 drugs were set at 180°C and 130°C, respectively. Screw configuration, screw speed, and feed rate were optimized such that all polymeric binders used produced granules. Several hydroxypropyl cellulose, hydroxypropyl methylcellulose, polyvinylpyrrolidone, and methacrylate-based polymers, including Klucel® EXF, Eudragit® EPO, and Soluplus®, demonstrated good tablet tensile strength (&gt;2 MPa) when granules were produced using only 10% wt/wt polymer concentration. Certain polymers provided acceptable compactibility even at 5% wt/wt. Thus, twin screw melt granulation process may be used with different polymers at a wide range of temperature. Due to low excipient concentration, this granulation method is especially suitable for high-dose tablets.","author":[{"dropping-particle":"","family":"Batra","given":"Amol","non-dropping-particle":"","parse-names":false,"suffix":""},{"dropping-particle":"","family":"Desai","given":"Dipen","non-dropping-particle":"","parse-names":false,"suffix":""},{"dropping-particle":"","family":"Serajuddin","given":"Abu T.M.","non-dropping-particle":"","parse-names":false,"suffix":""}],"container-title":"Journal of Pharmaceutical Sciences","id":"ITEM-2","issue":"1","issued":{"date-parts":[["2017","1","1"]]},"page":"140-150","publisher":"Elsevier","title":"Investigating the Use of Polymeric Binders in Twin Screw Melt Granulation Process for Improving Compactibility of Drugs","type":"article-journal","volume":"106"},"uris":["http://www.mendeley.com/documents/?uuid=5d68723b-d30d-3a65-a0ec-dbfcca4821bd"]}],"mendeley":{"formattedCitation":"(16,17)","plainTextFormattedCitation":"(16,17)","previouslyFormattedCitation":"(16,17)"},"properties":{"noteIndex":0},"schema":"https://github.com/citation-style-language/schema/raw/master/csl-citation.json"}</w:instrText>
      </w:r>
      <w:r w:rsidR="00FA124D">
        <w:fldChar w:fldCharType="separate"/>
      </w:r>
      <w:r w:rsidR="00EA3B9E" w:rsidRPr="00EA3B9E">
        <w:rPr>
          <w:noProof/>
        </w:rPr>
        <w:t>(16,17)</w:t>
      </w:r>
      <w:r w:rsidR="00FA124D">
        <w:fldChar w:fldCharType="end"/>
      </w:r>
      <w:r w:rsidR="00750B96">
        <w:t xml:space="preserve">, it is </w:t>
      </w:r>
      <w:r w:rsidR="00A51C9D">
        <w:t>likely that</w:t>
      </w:r>
      <w:r w:rsidR="0068715E">
        <w:t xml:space="preserve"> </w:t>
      </w:r>
      <w:r w:rsidR="006236A5">
        <w:t>this is because of t</w:t>
      </w:r>
      <w:r w:rsidR="003B6DFE">
        <w:t>he</w:t>
      </w:r>
      <w:r w:rsidR="006236A5">
        <w:t xml:space="preserve"> ability</w:t>
      </w:r>
      <w:r w:rsidR="003B6DFE">
        <w:t xml:space="preserve"> of larger extruders</w:t>
      </w:r>
      <w:r w:rsidR="006236A5">
        <w:t xml:space="preserve"> to exert relatively higher pressures</w:t>
      </w:r>
      <w:r w:rsidR="00917A4F">
        <w:t xml:space="preserve"> and torque required for granule formation in comparison to </w:t>
      </w:r>
      <w:r w:rsidR="003B6DFE">
        <w:t>the</w:t>
      </w:r>
      <w:r w:rsidR="00917A4F">
        <w:t xml:space="preserve"> 10 mm</w:t>
      </w:r>
      <w:r w:rsidR="00653820">
        <w:t xml:space="preserve"> lab-scale</w:t>
      </w:r>
      <w:r w:rsidR="00917A4F">
        <w:t xml:space="preserve"> extruder</w:t>
      </w:r>
      <w:r w:rsidR="00653820">
        <w:t xml:space="preserve"> used in this study</w:t>
      </w:r>
      <w:r w:rsidR="00917A4F">
        <w:t>.</w:t>
      </w:r>
      <w:r w:rsidR="007E3DF7">
        <w:t xml:space="preserve"> </w:t>
      </w:r>
      <w:r w:rsidR="00600E11" w:rsidRPr="006564B1">
        <w:t>To overcome this problem</w:t>
      </w:r>
      <w:r w:rsidR="00600E11">
        <w:t>,</w:t>
      </w:r>
      <w:r w:rsidR="00600E11" w:rsidRPr="006564B1">
        <w:t xml:space="preserve"> PEG 3350 was added to the formulation</w:t>
      </w:r>
      <w:r w:rsidR="00653820">
        <w:t>,</w:t>
      </w:r>
      <w:r w:rsidR="00600E11">
        <w:t xml:space="preserve"> as it was hypothesised</w:t>
      </w:r>
      <w:r w:rsidR="00653820">
        <w:t xml:space="preserve"> that</w:t>
      </w:r>
      <w:r w:rsidR="00600E11">
        <w:t xml:space="preserve"> the melting of th</w:t>
      </w:r>
      <w:r w:rsidR="00E62888">
        <w:t>is low melting point</w:t>
      </w:r>
      <w:r w:rsidR="004D4284">
        <w:t xml:space="preserve"> </w:t>
      </w:r>
      <w:r w:rsidR="00600E11">
        <w:t>hydrophilic substance would allow for better granule formation</w:t>
      </w:r>
      <w:r w:rsidR="00600E11" w:rsidRPr="006564B1">
        <w:t>.</w:t>
      </w:r>
      <w:r w:rsidR="00600E11">
        <w:t xml:space="preserve"> PEGs are well suited to work as binders in granulation and have been successfully used for many years in various granulation techniques </w:t>
      </w:r>
      <w:r w:rsidR="00600E11">
        <w:fldChar w:fldCharType="begin" w:fldLock="1"/>
      </w:r>
      <w:r w:rsidR="00E05EA3">
        <w:instrText>ADDIN CSL_CITATION {"citationItems":[{"id":"ITEM-1","itemData":{"DOI":"10.1016/0378-5173(96)04549-8","ISSN":"0378-5173","abstract":"Lactose monohydrate and anhydrous lactose were melt pelletized in an 8-1 high shear mixer using polyethylene glycol (PEG) 2000, 3000, 6000, 8000, 10000, or 20000 as meltable binder. The maximum impeller speed had to be applied in order to avoid an uncontrollable agglomerate growth with the highly viscous types of PEG. A higher binder viscosity resulted in a lower initial agglomerate growth and in a higher subsequent growth rate. The effect of binder viscosity on agglomerate growth was reflected in the power consumption of the impeller motor. A lower binder viscosity gave rise to more spherical pellets.","author":[{"dropping-particle":"","family":"Schæfer","given":"Torben","non-dropping-particle":"","parse-names":false,"suffix":""},{"dropping-particle":"","family":"Mathiesen","given":"Christina","non-dropping-particle":"","parse-names":false,"suffix":""}],"container-title":"International Journal of Pharmaceutics","id":"ITEM-1","issue":"1-2","issued":{"date-parts":[["1996","8","9"]]},"page":"125-138","publisher":"Elsevier","title":"Melt pelletization in a high shear mixer. VIII. Effects of binder viscosity","type":"article-journal","volume":"139"},"uris":["http://www.mendeley.com/documents/?uuid=58f78c12-f98d-3d77-9191-a1ac4931e113"]},{"id":"ITEM-2","itemData":{"DOI":"10.1016/J.IJPHARM.2006.07.005","ISSN":"0378-5173","abstract":"The purpose of this study was to use a twin-screw extruder for melt granulation. Polyethylene glycols (PEG 400 and 4000) were used as binders for the development of a drinking water formulation with immediate drug release. The effect of drug content, PEG 400/4000-ratio, surfactant (type and concentration) and granulation temperature on granule properties and dissolution characteristics was determined. The granulation temperature had an important influence on the granule formation. High yield (95% of the granules &lt;1400μm) was obtained only at a temperature near the melting point of PEG 4000. During granulation the drug of BCS class II was finely dispersed in the PEGs, creating a micro-environment around the drug particles enhancing the dissolution rate. To obtain complete drug release within 10min for a formulation containing 10% drug, the addition of 2% (w/w) surfactant (polysorbate 80 or Cremophor® RH40) was required. At a higher drug content (20%), the PEG 4000 concentration had to be increased to 20% to improve granule properties and 4% polysorbate 80 was required to obtain 100% drug release. X-ray diffractograms showed distinct peaks of crystalline drug, the crystallinity of the drug did not change after 50 days, independent of the storage conditions.","author":[{"dropping-particle":"","family":"Melkebeke","given":"Barbara","non-dropping-particle":"Van","parse-names":false,"suffix":""},{"dropping-particle":"","family":"Vermeulen","given":"Brenda","non-dropping-particle":"","parse-names":false,"suffix":""},{"dropping-particle":"","family":"Vervaet","given":"Chris","non-dropping-particle":"","parse-names":false,"suffix":""},{"dropping-particle":"","family":"Remon","given":"Jean Paul","non-dropping-particle":"","parse-names":false,"suffix":""}],"container-title":"International Journal of Pharmaceutics","id":"ITEM-2","issue":"1-2","issued":{"date-parts":[["2006","12","1"]]},"page":"89-93","publisher":"Elsevier","title":"Melt granulation using a twin-screw extruder: A case study","type":"article-journal","volume":"326"},"uris":["http://www.mendeley.com/documents/?uuid=b3c7d3fe-a889-3571-a439-a932184a4ab3"]}],"mendeley":{"formattedCitation":"(35,36)","plainTextFormattedCitation":"(35,36)","previouslyFormattedCitation":"(35,36)"},"properties":{"noteIndex":0},"schema":"https://github.com/citation-style-language/schema/raw/master/csl-citation.json"}</w:instrText>
      </w:r>
      <w:r w:rsidR="00600E11">
        <w:fldChar w:fldCharType="separate"/>
      </w:r>
      <w:r w:rsidR="00FB235B" w:rsidRPr="00FB235B">
        <w:rPr>
          <w:noProof/>
        </w:rPr>
        <w:t>(35,36)</w:t>
      </w:r>
      <w:r w:rsidR="00600E11">
        <w:fldChar w:fldCharType="end"/>
      </w:r>
      <w:r w:rsidR="00600E11">
        <w:t xml:space="preserve">. </w:t>
      </w:r>
      <w:r w:rsidR="003F3EC1">
        <w:t xml:space="preserve">Low molecular weight PEGs have been shown to produce more spherical particles than </w:t>
      </w:r>
      <w:r w:rsidR="00024441">
        <w:t xml:space="preserve">high molecular weight PEGs owing to differences in viscosity </w:t>
      </w:r>
      <w:r w:rsidR="00892B14">
        <w:t xml:space="preserve">exerted during the MG process </w:t>
      </w:r>
      <w:r w:rsidR="00600E11">
        <w:fldChar w:fldCharType="begin" w:fldLock="1"/>
      </w:r>
      <w:r w:rsidR="00E05EA3">
        <w:instrText>ADDIN CSL_CITATION {"citationItems":[{"id":"ITEM-1","itemData":{"DOI":"10.1016/0378-5173(96)04549-8","ISSN":"0378-5173","abstract":"Lactose monohydrate and anhydrous lactose were melt pelletized in an 8-1 high shear mixer using polyethylene glycol (PEG) 2000, 3000, 6000, 8000, 10000, or 20000 as meltable binder. The maximum impeller speed had to be applied in order to avoid an uncontrollable agglomerate growth with the highly viscous types of PEG. A higher binder viscosity resulted in a lower initial agglomerate growth and in a higher subsequent growth rate. The effect of binder viscosity on agglomerate growth was reflected in the power consumption of the impeller motor. A lower binder viscosity gave rise to more spherical pellets.","author":[{"dropping-particle":"","family":"Schæfer","given":"Torben","non-dropping-particle":"","parse-names":false,"suffix":""},{"dropping-particle":"","family":"Mathiesen","given":"Christina","non-dropping-particle":"","parse-names":false,"suffix":""}],"container-title":"International Journal of Pharmaceutics","id":"ITEM-1","issue":"1-2","issued":{"date-parts":[["1996","8","9"]]},"page":"125-138","publisher":"Elsevier","title":"Melt pelletization in a high shear mixer. VIII. Effects of binder viscosity","type":"article-journal","volume":"139"},"uris":["http://www.mendeley.com/documents/?uuid=58f78c12-f98d-3d77-9191-a1ac4931e113"]}],"mendeley":{"formattedCitation":"(35)","plainTextFormattedCitation":"(35)","previouslyFormattedCitation":"(35)"},"properties":{"noteIndex":0},"schema":"https://github.com/citation-style-language/schema/raw/master/csl-citation.json"}</w:instrText>
      </w:r>
      <w:r w:rsidR="00600E11">
        <w:fldChar w:fldCharType="separate"/>
      </w:r>
      <w:r w:rsidR="00FB235B" w:rsidRPr="00FB235B">
        <w:rPr>
          <w:noProof/>
        </w:rPr>
        <w:t>(35)</w:t>
      </w:r>
      <w:r w:rsidR="00600E11">
        <w:fldChar w:fldCharType="end"/>
      </w:r>
      <w:r w:rsidR="00600E11">
        <w:t>. The addition of the PEG at low concentration had the desired effects</w:t>
      </w:r>
      <w:r w:rsidR="004A0BAE">
        <w:t xml:space="preserve"> visually</w:t>
      </w:r>
      <w:r w:rsidR="00600E11">
        <w:t xml:space="preserve">, with granules appearing </w:t>
      </w:r>
      <w:r w:rsidR="00EE629B">
        <w:t xml:space="preserve">more free </w:t>
      </w:r>
      <w:r w:rsidR="00600E11">
        <w:t>flowing and less fragile.</w:t>
      </w:r>
      <w:r w:rsidR="009F1F39">
        <w:t xml:space="preserve"> </w:t>
      </w:r>
    </w:p>
    <w:p w14:paraId="4BAB7FAF" w14:textId="59EBF75E" w:rsidR="00EE629B" w:rsidRDefault="009F1F39" w:rsidP="002244B8">
      <w:r>
        <w:t>Control studies using PEG</w:t>
      </w:r>
      <w:r w:rsidR="0023743E">
        <w:t xml:space="preserve"> 3350</w:t>
      </w:r>
      <w:r>
        <w:t xml:space="preserve"> </w:t>
      </w:r>
      <w:r w:rsidR="00406AD1">
        <w:t xml:space="preserve">alone were also conducted using the same process conditions </w:t>
      </w:r>
      <w:r w:rsidR="00EE629B">
        <w:t>and PEG concentrations of</w:t>
      </w:r>
      <w:r w:rsidR="00406AD1">
        <w:t xml:space="preserve"> 5 %, 10 % and 15 % w/w </w:t>
      </w:r>
      <w:r w:rsidR="0023743E">
        <w:t>with MET. At 5 % w/w</w:t>
      </w:r>
      <w:r w:rsidR="00C40BD0">
        <w:t xml:space="preserve"> </w:t>
      </w:r>
      <w:r w:rsidR="00EE629B">
        <w:t xml:space="preserve">PEG </w:t>
      </w:r>
      <w:r w:rsidR="00C40BD0">
        <w:t xml:space="preserve">there was </w:t>
      </w:r>
      <w:r w:rsidR="00C40BD0">
        <w:lastRenderedPageBreak/>
        <w:t>no noticeable difference between the initial physical mix and the product</w:t>
      </w:r>
      <w:r w:rsidR="00806DEC">
        <w:t xml:space="preserve"> produced post MG. At 10 % and 15 % w/w</w:t>
      </w:r>
      <w:r w:rsidR="00D464B7">
        <w:t>, granules were</w:t>
      </w:r>
      <w:r w:rsidR="00EE629B">
        <w:t xml:space="preserve"> not</w:t>
      </w:r>
      <w:r w:rsidR="00D464B7">
        <w:t xml:space="preserve"> formed</w:t>
      </w:r>
      <w:r w:rsidR="00EE629B">
        <w:t>;</w:t>
      </w:r>
      <w:r w:rsidR="00D464B7">
        <w:t xml:space="preserve"> rather large agglomerate</w:t>
      </w:r>
      <w:r w:rsidR="00EE629B">
        <w:t>d masses of material resulted, and thus</w:t>
      </w:r>
      <w:r w:rsidR="00F143F6">
        <w:t xml:space="preserve"> </w:t>
      </w:r>
      <w:r w:rsidR="00D251C4">
        <w:t xml:space="preserve">PEG 3350 alone </w:t>
      </w:r>
      <w:r w:rsidR="003F59AD">
        <w:t>was deemed unsuitable</w:t>
      </w:r>
      <w:r w:rsidR="00EE629B">
        <w:t xml:space="preserve"> as a binder</w:t>
      </w:r>
      <w:r w:rsidR="00AC687D">
        <w:t xml:space="preserve"> </w:t>
      </w:r>
      <w:r w:rsidR="002E4810">
        <w:t>for this study</w:t>
      </w:r>
      <w:r w:rsidR="006C4EB9">
        <w:t>.</w:t>
      </w:r>
      <w:r w:rsidR="00600E11">
        <w:t xml:space="preserve"> </w:t>
      </w:r>
    </w:p>
    <w:p w14:paraId="4B13BBEF" w14:textId="31C7A598" w:rsidR="00647977" w:rsidRDefault="00600E11" w:rsidP="002244B8">
      <w:pPr>
        <w:rPr>
          <w:rFonts w:cs="Times New Roman"/>
        </w:rPr>
      </w:pPr>
      <w:r>
        <w:t xml:space="preserve">Finally, the second API, SIT, was added to the formulation and the final % w/w of each component is displayed in table </w:t>
      </w:r>
      <w:r w:rsidR="007F2146">
        <w:t>II</w:t>
      </w:r>
      <w:r>
        <w:t xml:space="preserve"> below.</w:t>
      </w:r>
      <w:r w:rsidR="00B95727" w:rsidRPr="00B95727">
        <w:rPr>
          <w:rFonts w:cs="Times New Roman"/>
        </w:rPr>
        <w:t xml:space="preserve"> </w:t>
      </w:r>
      <w:r w:rsidR="00B95727" w:rsidRPr="008D6603">
        <w:rPr>
          <w:rFonts w:cs="Times New Roman"/>
        </w:rPr>
        <w:t>The optimised screw rotation speed was 10 rpm.</w:t>
      </w:r>
    </w:p>
    <w:p w14:paraId="68BF94EF" w14:textId="10E6850C" w:rsidR="00077503" w:rsidRDefault="00B936A9" w:rsidP="002244B8">
      <w:pPr>
        <w:rPr>
          <w:rFonts w:cs="Times New Roman"/>
          <w:szCs w:val="24"/>
        </w:rPr>
      </w:pPr>
      <w:r w:rsidRPr="00BE715B">
        <w:rPr>
          <w:rFonts w:cs="Times New Roman"/>
          <w:szCs w:val="24"/>
        </w:rPr>
        <w:t xml:space="preserve">Characterisation of the </w:t>
      </w:r>
      <w:r w:rsidR="00BE715B" w:rsidRPr="00BE715B">
        <w:rPr>
          <w:rFonts w:cs="Times New Roman"/>
          <w:szCs w:val="24"/>
        </w:rPr>
        <w:t xml:space="preserve">Melt </w:t>
      </w:r>
      <w:r w:rsidR="00A54B85">
        <w:rPr>
          <w:rFonts w:cs="Times New Roman"/>
          <w:szCs w:val="24"/>
        </w:rPr>
        <w:t>G</w:t>
      </w:r>
      <w:r w:rsidR="00BE715B" w:rsidRPr="00BE715B">
        <w:rPr>
          <w:rFonts w:cs="Times New Roman"/>
          <w:szCs w:val="24"/>
        </w:rPr>
        <w:t>ranules</w:t>
      </w:r>
    </w:p>
    <w:p w14:paraId="69BB06B1" w14:textId="4BED19D1" w:rsidR="00BE715B" w:rsidRDefault="00B25404" w:rsidP="002244B8">
      <w:pPr>
        <w:rPr>
          <w:rFonts w:ascii="Times" w:hAnsi="Times" w:cs="Times"/>
        </w:rPr>
      </w:pPr>
      <w:r w:rsidRPr="00B25404">
        <w:rPr>
          <w:rFonts w:ascii="Times" w:hAnsi="Times" w:cs="Times"/>
        </w:rPr>
        <w:t>Differential Scanning Calorimetry (DSC)</w:t>
      </w:r>
    </w:p>
    <w:p w14:paraId="620433CD" w14:textId="57C70D93" w:rsidR="00B25404" w:rsidRDefault="00DC5AE3" w:rsidP="002244B8">
      <w:r w:rsidRPr="005A0CD7">
        <w:rPr>
          <w:bCs/>
        </w:rPr>
        <w:t xml:space="preserve">A certain </w:t>
      </w:r>
      <w:r w:rsidR="00745B35" w:rsidRPr="005A0CD7">
        <w:rPr>
          <w:bCs/>
        </w:rPr>
        <w:t>degree</w:t>
      </w:r>
      <w:r w:rsidRPr="005A0CD7">
        <w:rPr>
          <w:bCs/>
        </w:rPr>
        <w:t xml:space="preserve"> of miscibility</w:t>
      </w:r>
      <w:r w:rsidR="007C4510" w:rsidRPr="005A0CD7">
        <w:rPr>
          <w:bCs/>
        </w:rPr>
        <w:t xml:space="preserve"> exist</w:t>
      </w:r>
      <w:r w:rsidRPr="005A0CD7">
        <w:rPr>
          <w:bCs/>
        </w:rPr>
        <w:t>s</w:t>
      </w:r>
      <w:r w:rsidR="007C4510" w:rsidRPr="005A0CD7">
        <w:rPr>
          <w:bCs/>
        </w:rPr>
        <w:t xml:space="preserve"> </w:t>
      </w:r>
      <w:r w:rsidR="009E2CD3" w:rsidRPr="005A0CD7">
        <w:rPr>
          <w:bCs/>
        </w:rPr>
        <w:t xml:space="preserve">between MET and SIT which is evident by the </w:t>
      </w:r>
      <w:r w:rsidR="0003391C" w:rsidRPr="005A0CD7">
        <w:rPr>
          <w:bCs/>
        </w:rPr>
        <w:t xml:space="preserve">decrease </w:t>
      </w:r>
      <w:r w:rsidR="00992B91" w:rsidRPr="005A0CD7">
        <w:rPr>
          <w:bCs/>
        </w:rPr>
        <w:t xml:space="preserve">in melting temperatures seen in the physical mixture between the </w:t>
      </w:r>
      <w:r w:rsidR="006B6186" w:rsidRPr="005A0CD7">
        <w:rPr>
          <w:bCs/>
        </w:rPr>
        <w:t xml:space="preserve">two APIs </w:t>
      </w:r>
      <w:r w:rsidR="009E209D" w:rsidRPr="005A0CD7">
        <w:rPr>
          <w:bCs/>
        </w:rPr>
        <w:t>(</w:t>
      </w:r>
      <w:r w:rsidR="006B6186" w:rsidRPr="005A0CD7">
        <w:rPr>
          <w:bCs/>
        </w:rPr>
        <w:t xml:space="preserve">figure </w:t>
      </w:r>
      <w:r w:rsidR="00615B67" w:rsidRPr="005A0CD7">
        <w:rPr>
          <w:bCs/>
        </w:rPr>
        <w:t>3</w:t>
      </w:r>
      <w:r w:rsidR="006B6186" w:rsidRPr="005A0CD7">
        <w:rPr>
          <w:bCs/>
        </w:rPr>
        <w:t xml:space="preserve"> (a)</w:t>
      </w:r>
      <w:r w:rsidR="009E209D" w:rsidRPr="005A0CD7">
        <w:rPr>
          <w:bCs/>
        </w:rPr>
        <w:t>)</w:t>
      </w:r>
      <w:r w:rsidR="00174750" w:rsidRPr="005A0CD7">
        <w:rPr>
          <w:bCs/>
        </w:rPr>
        <w:t xml:space="preserve"> in</w:t>
      </w:r>
      <w:r w:rsidR="009E209D" w:rsidRPr="005A0CD7">
        <w:rPr>
          <w:bCs/>
        </w:rPr>
        <w:t xml:space="preserve"> the </w:t>
      </w:r>
      <w:r w:rsidR="00346064" w:rsidRPr="005A0CD7">
        <w:rPr>
          <w:bCs/>
        </w:rPr>
        <w:t>FDC product ratio</w:t>
      </w:r>
      <w:r w:rsidR="00F413C5" w:rsidRPr="005A0CD7">
        <w:rPr>
          <w:bCs/>
        </w:rPr>
        <w:t>, 850:63</w:t>
      </w:r>
      <w:r w:rsidR="006B6186" w:rsidRPr="005A0CD7">
        <w:rPr>
          <w:bCs/>
        </w:rPr>
        <w:t>. SIT melting point is significantly</w:t>
      </w:r>
      <w:r w:rsidR="00F90191" w:rsidRPr="005A0CD7">
        <w:rPr>
          <w:bCs/>
        </w:rPr>
        <w:t xml:space="preserve"> lowered</w:t>
      </w:r>
      <w:r w:rsidR="006B6186" w:rsidRPr="005A0CD7">
        <w:rPr>
          <w:bCs/>
        </w:rPr>
        <w:t xml:space="preserve"> </w:t>
      </w:r>
      <w:r w:rsidR="00680CAC" w:rsidRPr="005A0CD7">
        <w:rPr>
          <w:bCs/>
        </w:rPr>
        <w:t>to 188 °C</w:t>
      </w:r>
      <w:r w:rsidR="00F90191" w:rsidRPr="005A0CD7">
        <w:rPr>
          <w:bCs/>
        </w:rPr>
        <w:t>,</w:t>
      </w:r>
      <w:r w:rsidR="009E209D" w:rsidRPr="005A0CD7">
        <w:rPr>
          <w:bCs/>
        </w:rPr>
        <w:t xml:space="preserve"> </w:t>
      </w:r>
      <w:r w:rsidR="00C05C3A" w:rsidRPr="005A0CD7">
        <w:rPr>
          <w:bCs/>
        </w:rPr>
        <w:t>while MET melting point</w:t>
      </w:r>
      <w:r w:rsidR="001A51EA" w:rsidRPr="005A0CD7">
        <w:rPr>
          <w:bCs/>
        </w:rPr>
        <w:t xml:space="preserve"> is</w:t>
      </w:r>
      <w:r w:rsidR="00F90191" w:rsidRPr="005A0CD7">
        <w:rPr>
          <w:bCs/>
        </w:rPr>
        <w:t xml:space="preserve"> a</w:t>
      </w:r>
      <w:r w:rsidR="007E4205" w:rsidRPr="005A0CD7">
        <w:rPr>
          <w:bCs/>
        </w:rPr>
        <w:t>lso</w:t>
      </w:r>
      <w:r w:rsidR="001A51EA" w:rsidRPr="005A0CD7">
        <w:rPr>
          <w:bCs/>
        </w:rPr>
        <w:t xml:space="preserve"> decreased to 227 °C. </w:t>
      </w:r>
      <w:r w:rsidR="006674E2" w:rsidRPr="005A0CD7">
        <w:rPr>
          <w:bCs/>
        </w:rPr>
        <w:t xml:space="preserve">Figures </w:t>
      </w:r>
      <w:r w:rsidR="004045B4" w:rsidRPr="005A0CD7">
        <w:rPr>
          <w:bCs/>
        </w:rPr>
        <w:t>3</w:t>
      </w:r>
      <w:r w:rsidR="006674E2" w:rsidRPr="005A0CD7">
        <w:rPr>
          <w:bCs/>
        </w:rPr>
        <w:t xml:space="preserve"> (b) and </w:t>
      </w:r>
      <w:r w:rsidR="004045B4" w:rsidRPr="005A0CD7">
        <w:rPr>
          <w:bCs/>
        </w:rPr>
        <w:t>3</w:t>
      </w:r>
      <w:r w:rsidR="006674E2" w:rsidRPr="005A0CD7">
        <w:rPr>
          <w:bCs/>
        </w:rPr>
        <w:t xml:space="preserve"> (c) </w:t>
      </w:r>
      <w:r w:rsidR="004510EF" w:rsidRPr="005A0CD7">
        <w:rPr>
          <w:bCs/>
        </w:rPr>
        <w:t xml:space="preserve">show DSC results for physical mixtures (PM) for </w:t>
      </w:r>
      <w:r w:rsidR="007E4205" w:rsidRPr="005A0CD7">
        <w:rPr>
          <w:bCs/>
        </w:rPr>
        <w:t xml:space="preserve">constituents of </w:t>
      </w:r>
      <w:r w:rsidR="004510EF" w:rsidRPr="005A0CD7">
        <w:rPr>
          <w:bCs/>
        </w:rPr>
        <w:t xml:space="preserve">both formulations </w:t>
      </w:r>
      <w:r w:rsidR="00E412D0" w:rsidRPr="005A0CD7">
        <w:rPr>
          <w:bCs/>
        </w:rPr>
        <w:t>chosen</w:t>
      </w:r>
      <w:r w:rsidR="00ED7A1F" w:rsidRPr="005A0CD7">
        <w:rPr>
          <w:bCs/>
        </w:rPr>
        <w:t xml:space="preserve"> as </w:t>
      </w:r>
      <w:r w:rsidR="00574724" w:rsidRPr="005A0CD7">
        <w:rPr>
          <w:bCs/>
        </w:rPr>
        <w:t>the optimized formulations</w:t>
      </w:r>
      <w:r w:rsidR="00E412D0" w:rsidRPr="005A0CD7">
        <w:rPr>
          <w:bCs/>
        </w:rPr>
        <w:t xml:space="preserve">. </w:t>
      </w:r>
      <w:r w:rsidR="00574724" w:rsidRPr="005A0CD7">
        <w:rPr>
          <w:bCs/>
        </w:rPr>
        <w:t xml:space="preserve">Melting points are evident </w:t>
      </w:r>
      <w:r w:rsidR="0051019C" w:rsidRPr="005A0CD7">
        <w:rPr>
          <w:bCs/>
        </w:rPr>
        <w:t>in both PM</w:t>
      </w:r>
      <w:r w:rsidR="00D27AD0" w:rsidRPr="005A0CD7">
        <w:rPr>
          <w:bCs/>
        </w:rPr>
        <w:t>s</w:t>
      </w:r>
      <w:r w:rsidR="0051019C" w:rsidRPr="005A0CD7">
        <w:rPr>
          <w:bCs/>
        </w:rPr>
        <w:t xml:space="preserve"> for </w:t>
      </w:r>
      <w:r w:rsidR="00917A0C" w:rsidRPr="005A0CD7">
        <w:rPr>
          <w:bCs/>
        </w:rPr>
        <w:t xml:space="preserve">PEG, </w:t>
      </w:r>
      <w:r w:rsidR="0051019C" w:rsidRPr="005A0CD7">
        <w:rPr>
          <w:bCs/>
        </w:rPr>
        <w:t xml:space="preserve">SIT and </w:t>
      </w:r>
      <w:r w:rsidR="00D27AD0" w:rsidRPr="005A0CD7">
        <w:rPr>
          <w:bCs/>
        </w:rPr>
        <w:t xml:space="preserve">MET indicating </w:t>
      </w:r>
      <w:r w:rsidR="00542E53" w:rsidRPr="005A0CD7">
        <w:rPr>
          <w:bCs/>
        </w:rPr>
        <w:t>crystallinity</w:t>
      </w:r>
      <w:r w:rsidR="00B85C27" w:rsidRPr="005A0CD7">
        <w:rPr>
          <w:bCs/>
        </w:rPr>
        <w:t xml:space="preserve"> </w:t>
      </w:r>
      <w:r w:rsidR="002D51F4" w:rsidRPr="005A0CD7">
        <w:rPr>
          <w:bCs/>
        </w:rPr>
        <w:t>may</w:t>
      </w:r>
      <w:r w:rsidR="00B85C27" w:rsidRPr="005A0CD7">
        <w:rPr>
          <w:bCs/>
        </w:rPr>
        <w:t xml:space="preserve"> be measured via DSC </w:t>
      </w:r>
      <w:r w:rsidR="005A47CE" w:rsidRPr="005A0CD7">
        <w:rPr>
          <w:bCs/>
        </w:rPr>
        <w:t>for the proportion used in the formulations</w:t>
      </w:r>
      <w:r w:rsidR="00AC7ADC" w:rsidRPr="005A0CD7">
        <w:rPr>
          <w:bCs/>
        </w:rPr>
        <w:t xml:space="preserve">. </w:t>
      </w:r>
      <w:r w:rsidR="00D43BAA" w:rsidRPr="005A0CD7">
        <w:rPr>
          <w:bCs/>
        </w:rPr>
        <w:t>The lack of endothermic peaks for PEG 3350 and SIT in the MG formulations</w:t>
      </w:r>
      <w:r w:rsidR="00176AD4" w:rsidRPr="005A0CD7">
        <w:rPr>
          <w:bCs/>
        </w:rPr>
        <w:t xml:space="preserve"> (figure </w:t>
      </w:r>
      <w:r w:rsidR="004045B4" w:rsidRPr="005A0CD7">
        <w:rPr>
          <w:bCs/>
        </w:rPr>
        <w:t>3</w:t>
      </w:r>
      <w:r w:rsidR="00176AD4" w:rsidRPr="005A0CD7">
        <w:rPr>
          <w:bCs/>
        </w:rPr>
        <w:t xml:space="preserve"> (d) and </w:t>
      </w:r>
      <w:r w:rsidR="004045B4" w:rsidRPr="005A0CD7">
        <w:rPr>
          <w:bCs/>
        </w:rPr>
        <w:t>3</w:t>
      </w:r>
      <w:r w:rsidR="00176AD4" w:rsidRPr="005A0CD7">
        <w:rPr>
          <w:bCs/>
        </w:rPr>
        <w:t xml:space="preserve"> (e))</w:t>
      </w:r>
      <w:r w:rsidR="00D43BAA" w:rsidRPr="005A0CD7">
        <w:rPr>
          <w:bCs/>
        </w:rPr>
        <w:t>,</w:t>
      </w:r>
      <w:r w:rsidR="00D43BAA" w:rsidRPr="00D43BAA">
        <w:t xml:space="preserve"> indicate that post processing, both components are present in a non-crystalline state, most likely in their amorphous states.</w:t>
      </w:r>
      <w:r w:rsidR="005871F5">
        <w:t xml:space="preserve"> MET remains fully crys</w:t>
      </w:r>
      <w:r w:rsidR="00B961FD">
        <w:t>talline.</w:t>
      </w:r>
      <w:r w:rsidR="00D43BAA" w:rsidRPr="00D43BAA">
        <w:t xml:space="preserve"> For MG formulations, the absence of a melting endotherm for SIT, which is evident in the </w:t>
      </w:r>
      <w:r w:rsidR="00B961FD">
        <w:t>PMs</w:t>
      </w:r>
      <w:r w:rsidR="00D43BAA" w:rsidRPr="00D43BAA">
        <w:t xml:space="preserve">, can be explained </w:t>
      </w:r>
      <w:r w:rsidR="00917A0C">
        <w:t>by</w:t>
      </w:r>
      <w:r w:rsidR="00D43BAA" w:rsidRPr="00D43BAA">
        <w:t xml:space="preserve"> the API melting</w:t>
      </w:r>
      <w:r w:rsidR="00B4536F">
        <w:t xml:space="preserve"> during the process</w:t>
      </w:r>
      <w:r w:rsidR="00D43BAA" w:rsidRPr="00D43BAA">
        <w:t>. As the melting point is evident in the</w:t>
      </w:r>
      <w:r w:rsidR="00917A0C">
        <w:t xml:space="preserve"> thermograms of the </w:t>
      </w:r>
      <w:r w:rsidR="00D43BAA" w:rsidRPr="00D43BAA">
        <w:t xml:space="preserve">PMs, if SIT remained crystalline after MG then the same endotherms </w:t>
      </w:r>
      <w:r w:rsidR="00BD6B91">
        <w:t xml:space="preserve">would be </w:t>
      </w:r>
      <w:r w:rsidR="00917A0C">
        <w:t xml:space="preserve">expected to be </w:t>
      </w:r>
      <w:r w:rsidR="00BD6B91">
        <w:t>seen</w:t>
      </w:r>
      <w:r w:rsidR="00917A0C" w:rsidRPr="00917A0C">
        <w:t xml:space="preserve"> </w:t>
      </w:r>
      <w:r w:rsidR="00917A0C" w:rsidRPr="00D43BAA">
        <w:t>post processing</w:t>
      </w:r>
      <w:r w:rsidR="00D43BAA" w:rsidRPr="00D43BAA">
        <w:t xml:space="preserve">. </w:t>
      </w:r>
      <w:r w:rsidR="00790A84">
        <w:t xml:space="preserve">The </w:t>
      </w:r>
      <w:r w:rsidR="00917A0C">
        <w:t xml:space="preserve">DSC thermograms of the </w:t>
      </w:r>
      <w:r w:rsidR="00790A84">
        <w:t>PMs</w:t>
      </w:r>
      <w:r w:rsidR="00D43BAA" w:rsidRPr="00D43BAA">
        <w:t xml:space="preserve"> also </w:t>
      </w:r>
      <w:r w:rsidR="00917A0C">
        <w:t>indicate that</w:t>
      </w:r>
      <w:r w:rsidR="00D43BAA" w:rsidRPr="00D43BAA">
        <w:t xml:space="preserve"> the quantity of SIT</w:t>
      </w:r>
      <w:r w:rsidR="009412E8">
        <w:t xml:space="preserve"> in the formulation</w:t>
      </w:r>
      <w:r w:rsidR="00D43BAA" w:rsidRPr="00D43BAA">
        <w:t xml:space="preserve"> is not soluble in the other excipients</w:t>
      </w:r>
      <w:r w:rsidR="00917A0C">
        <w:t>,</w:t>
      </w:r>
      <w:r w:rsidR="00D43BAA" w:rsidRPr="00D43BAA">
        <w:t xml:space="preserve"> wh</w:t>
      </w:r>
      <w:r w:rsidR="008638DC">
        <w:t>ich display</w:t>
      </w:r>
      <w:r w:rsidR="00D43BAA" w:rsidRPr="00D43BAA">
        <w:t xml:space="preserve"> melting points </w:t>
      </w:r>
      <w:r w:rsidR="00917A0C">
        <w:t>or</w:t>
      </w:r>
      <w:r w:rsidR="00917A0C" w:rsidRPr="00D43BAA">
        <w:t xml:space="preserve"> </w:t>
      </w:r>
      <w:r w:rsidR="00D43BAA" w:rsidRPr="00D43BAA">
        <w:rPr>
          <w:i/>
        </w:rPr>
        <w:t>T</w:t>
      </w:r>
      <w:r w:rsidR="00D43BAA" w:rsidRPr="00D43BAA">
        <w:rPr>
          <w:i/>
          <w:vertAlign w:val="subscript"/>
        </w:rPr>
        <w:t>g</w:t>
      </w:r>
      <w:r w:rsidR="00D43BAA" w:rsidRPr="00D43BAA">
        <w:t>s lower than 186 °C</w:t>
      </w:r>
      <w:r w:rsidR="00917A0C">
        <w:t>, since, i</w:t>
      </w:r>
      <w:r w:rsidR="00D43BAA" w:rsidRPr="00D43BAA">
        <w:t xml:space="preserve">f SIT was soluble in these excipients, </w:t>
      </w:r>
      <w:r w:rsidR="00917A0C">
        <w:t>one would expect</w:t>
      </w:r>
      <w:r w:rsidR="007E0E67">
        <w:t xml:space="preserve"> that</w:t>
      </w:r>
      <w:r w:rsidR="00D43BAA" w:rsidRPr="00D43BAA">
        <w:t xml:space="preserve"> no endotherm at 186 °C</w:t>
      </w:r>
      <w:r w:rsidR="00B319ED">
        <w:t xml:space="preserve"> would be seen</w:t>
      </w:r>
      <w:r w:rsidR="00D43BAA" w:rsidRPr="00D43BAA">
        <w:t>. Even though the highest temperature on the extruder during processing was 180 °C, local hot spots can form causing increases in temperature above the set point on the thermostats</w:t>
      </w:r>
      <w:r w:rsidR="003A2321">
        <w:t xml:space="preserve"> </w:t>
      </w:r>
      <w:r w:rsidR="003A2321">
        <w:fldChar w:fldCharType="begin" w:fldLock="1"/>
      </w:r>
      <w:r w:rsidR="00E05EA3">
        <w:instrText>ADDIN CSL_CITATION {"citationItems":[{"id":"ITEM-1","itemData":{"DOI":"10.1016/B978-1-4377-3481-2.00027-2","ISBN":"978-1-4377-3481-2","abstract":"Solutions and corrective actions to implement when troubleshooting various extrusion problems are grouped together depending on the extrusion process and the problem. This chapter addresses mechanical problems associated with the extruder.","author":[{"dropping-particle":"","family":"Wagner","given":"John R.","non-dropping-particle":"","parse-names":false,"suffix":""},{"dropping-particle":"","family":"Mount","given":"Eldridge M.","non-dropping-particle":"","parse-names":false,"suffix":""},{"dropping-particle":"","family":"Giles","given":"Harold F.","non-dropping-particle":"","parse-names":false,"suffix":""},{"dropping-particle":"","family":"Wagner","given":"John R.","non-dropping-particle":"","parse-names":false,"suffix":""},{"dropping-particle":"","family":"Mount","given":"Eldridge M.","non-dropping-particle":"","parse-names":false,"suffix":""},{"dropping-particle":"","family":"Giles","given":"Harold F.","non-dropping-particle":"","parse-names":false,"suffix":""}],"container-title":"Extrusion","id":"ITEM-1","issued":{"date-parts":[["2014","1","1"]]},"page":"315-327","publisher":"William Andrew Publishing","title":"Troubleshooting Mechanical Extrusion Problems","type":"article-journal"},"uris":["http://www.mendeley.com/documents/?uuid=856b62e7-b08b-3961-89d5-c89b30b59b53"]}],"mendeley":{"formattedCitation":"(37)","plainTextFormattedCitation":"(37)","previouslyFormattedCitation":"(37)"},"properties":{"noteIndex":0},"schema":"https://github.com/citation-style-language/schema/raw/master/csl-citation.json"}</w:instrText>
      </w:r>
      <w:r w:rsidR="003A2321">
        <w:fldChar w:fldCharType="separate"/>
      </w:r>
      <w:r w:rsidR="00FB235B" w:rsidRPr="00FB235B">
        <w:rPr>
          <w:noProof/>
        </w:rPr>
        <w:t>(37)</w:t>
      </w:r>
      <w:r w:rsidR="003A2321">
        <w:fldChar w:fldCharType="end"/>
      </w:r>
      <w:r w:rsidR="00D43BAA" w:rsidRPr="00D43BAA">
        <w:t xml:space="preserve">. It is </w:t>
      </w:r>
      <w:r w:rsidR="00777729">
        <w:t>most likely</w:t>
      </w:r>
      <w:r w:rsidR="00D43BAA" w:rsidRPr="00D43BAA">
        <w:t xml:space="preserve"> these hot spots allowed SIT to melt forming an amorphous form during the processing. MET remains fully crystalline in both MG formulations with no statistical difference between the heat of fusion for any of the </w:t>
      </w:r>
      <w:r w:rsidR="00777729">
        <w:t xml:space="preserve">PM and MG </w:t>
      </w:r>
      <w:r w:rsidR="00D43BAA" w:rsidRPr="00D43BAA">
        <w:t>samples (p &gt; 0.05).</w:t>
      </w:r>
    </w:p>
    <w:p w14:paraId="78D8FC75" w14:textId="09F84298" w:rsidR="000E6F5D" w:rsidRDefault="0025440C" w:rsidP="002244B8">
      <w:pPr>
        <w:rPr>
          <w:rFonts w:ascii="Times" w:hAnsi="Times" w:cs="Times"/>
        </w:rPr>
      </w:pPr>
      <w:r w:rsidRPr="0025440C">
        <w:rPr>
          <w:rFonts w:ascii="Times" w:hAnsi="Times" w:cs="Times"/>
        </w:rPr>
        <w:t>Powder X-ray Diffraction (PXRD)</w:t>
      </w:r>
    </w:p>
    <w:p w14:paraId="08F20D3A" w14:textId="47D63AD3" w:rsidR="00246C63" w:rsidRPr="003B07D2" w:rsidRDefault="00ED7824" w:rsidP="002244B8">
      <w:r>
        <w:lastRenderedPageBreak/>
        <w:t xml:space="preserve">The PXRD patterns for PM and MG formulations are </w:t>
      </w:r>
      <w:r w:rsidRPr="005A0CD7">
        <w:t>shown in</w:t>
      </w:r>
      <w:r w:rsidR="00C727E2" w:rsidRPr="005A0CD7">
        <w:t xml:space="preserve"> </w:t>
      </w:r>
      <w:r w:rsidR="00C727E2" w:rsidRPr="005A0CD7">
        <w:rPr>
          <w:lang w:val="en-US"/>
        </w:rPr>
        <w:t>supplementary</w:t>
      </w:r>
      <w:r w:rsidRPr="005A0CD7">
        <w:t xml:space="preserve"> figure </w:t>
      </w:r>
      <w:r w:rsidR="00EB4E52" w:rsidRPr="005A0CD7">
        <w:t>S4</w:t>
      </w:r>
      <w:r w:rsidRPr="005A0CD7">
        <w:t>. Bragg peaks displayed in the</w:t>
      </w:r>
      <w:r w:rsidR="001040DC" w:rsidRPr="005A0CD7">
        <w:t xml:space="preserve"> diffractograms of</w:t>
      </w:r>
      <w:r w:rsidRPr="005A0CD7">
        <w:t xml:space="preserve"> PMs (</w:t>
      </w:r>
      <w:r w:rsidR="00C727E2" w:rsidRPr="005A0CD7">
        <w:rPr>
          <w:lang w:val="en-US"/>
        </w:rPr>
        <w:t>supplementary</w:t>
      </w:r>
      <w:r w:rsidR="00C727E2" w:rsidRPr="005A0CD7">
        <w:t xml:space="preserve"> </w:t>
      </w:r>
      <w:r w:rsidRPr="005A0CD7">
        <w:t xml:space="preserve">figure </w:t>
      </w:r>
      <w:r w:rsidR="00EB4E52" w:rsidRPr="005A0CD7">
        <w:t>S4</w:t>
      </w:r>
      <w:r w:rsidRPr="005A0CD7">
        <w:t xml:space="preserve"> (a)</w:t>
      </w:r>
      <w:r>
        <w:t xml:space="preserve"> and (b)) are peaks associated with crystalline MET. Due to the high MET content in the formulations and the strong Bragg peaks associated with it, unique Bragg peaks associated with SIT and PEG 3350 are not detectable in the PMs. </w:t>
      </w:r>
      <w:r w:rsidR="00A20893">
        <w:t>Thus, a</w:t>
      </w:r>
      <w:r>
        <w:t>s a method of determining the solid state of SIT and PEG 3350 post processing, PXRD is unsuitable. However, it remains a suitable technique to determine the solid state of MET. For MG formulations, MET remains in the crystalline state post processing as is evident with characteristic Bragg peaks remaining. Two MET polymorphs have previously been reported in the literature, the stable form A</w:t>
      </w:r>
      <w:r w:rsidR="00935632">
        <w:t xml:space="preserve"> </w:t>
      </w:r>
      <w:r>
        <w:t xml:space="preserve">and a metastable form B </w:t>
      </w:r>
      <w:r>
        <w:fldChar w:fldCharType="begin" w:fldLock="1"/>
      </w:r>
      <w:r w:rsidR="00E05EA3">
        <w:instrText>ADDIN CSL_CITATION {"citationItems":[{"id":"ITEM-1","itemData":{"DOI":"10.1021/CG034243P","abstract":"Capillary crystallization techniques and thermal microscopy have been used to identify and characterize a metastable polymorph of metformin hydrochloride. The single crystal structure of the metastable polymorph (Form B) is reported and compared to the known thermodynamically stable form (Form A). There is a 5.8% density difference between Form A and Form B. N−H···N hydrogen bonds form a 1D rod motif in Form A as opposed to a 0D dimer in Form B, while the charge-assisted N−H···Cl hydrogen bonds maintain a layered motif in both Forms A and B. The preferential generation of metastable solid phases is discussed in the context of classical nucleation theory.","author":[{"dropping-particle":"","family":"Childs","given":"Scott L.","non-dropping-particle":"","parse-names":false,"suffix":""},{"dropping-particle":"","family":"Chyall","given":"Leonard J.","non-dropping-particle":"","parse-names":false,"suffix":""},{"dropping-particle":"","family":"Bretnall","given":"A.E.","non-dropping-particle":"","parse-names":false,"suffix":""},{"dropping-particle":"","family":"Clarke","given":"S.G.","non-dropping-particle":"","parse-names":false,"suffix":""},{"dropping-particle":"","family":"Dunlap","given":"Jeanette T.","non-dropping-particle":"","parse-names":false,"suffix":""},{"dropping-particle":"","family":"Coates","given":"David A.","non-dropping-particle":"","parse-names":false,"suffix":""},{"dropping-particle":"","family":"Stahly","given":"Barbara C.","non-dropping-particle":"","parse-names":false,"suffix":""},{"dropping-particle":"","family":"Stahly","given":"G. Patrick","non-dropping-particle":"","parse-names":false,"suffix":""}],"container-title":"Crystal Growth &amp; Design","id":"ITEM-1","issue":"3","issued":{"date-parts":[["2004"]]},"page":"441-449","publisher":"American Chemical Society","title":"A Metastable Polymorph of Metformin Hydrochloride: Isolation and Characterization Using Capillary Crystallization and Thermal Microscopy Techniques","type":"article-journal","volume":"4"},"uris":["http://www.mendeley.com/documents/?uuid=a49a9f2b-cf6f-3a35-9b2b-7ebbae2458cd"]},{"id":"ITEM-2","itemData":{"ISBN":"9780080861203","abstract":"Although the official compendia define a drug substance as to identity, purity, strength, and quality, they normally do not provide other physical or chemical data, nor do they list methods of synthesis or pathways of physical or biological degradation and metabolism. Such information is scattered throughout the scientific literature and the files of pharmaceutical laboratories. Edited by the Associate Director of Analytical Research and Development for the American Association of Pharmaceutical Scientists, Analytical Profiles of Drug Substances and Excipients brings this information together into one source. The scope of the series has recently been expanded to include profiles of excipient materials.","author":[{"dropping-particle":"","family":"Bretnall","given":"A.E.","non-dropping-particle":"","parse-names":false,"suffix":""},{"dropping-particle":"","family":"Clarke","given":"S.G.","non-dropping-particle":"","parse-names":false,"suffix":""}],"editor":[{"dropping-particle":"","family":"Brittain","given":"H. G.","non-dropping-particle":"","parse-names":false,"suffix":""}],"id":"ITEM-2","issued":{"date-parts":[["1998"]]},"number-of-pages":"243-293","publisher":"Academic Press","title":"Metformin Hydrochloride - Analytical profiles of drug substances and excipients. Volume 25","type":"book"},"uris":["http://www.mendeley.com/documents/?uuid=c3e5bbe1-a10b-3b42-813d-0f52c06894b1"]}],"mendeley":{"formattedCitation":"(38,39)","plainTextFormattedCitation":"(38,39)","previouslyFormattedCitation":"(38,39)"},"properties":{"noteIndex":0},"schema":"https://github.com/citation-style-language/schema/raw/master/csl-citation.json"}</w:instrText>
      </w:r>
      <w:r>
        <w:fldChar w:fldCharType="separate"/>
      </w:r>
      <w:r w:rsidR="00FB235B" w:rsidRPr="00FB235B">
        <w:rPr>
          <w:noProof/>
        </w:rPr>
        <w:t>(38,39)</w:t>
      </w:r>
      <w:r>
        <w:fldChar w:fldCharType="end"/>
      </w:r>
      <w:r>
        <w:t>.</w:t>
      </w:r>
      <w:r w:rsidR="00935632">
        <w:t xml:space="preserve"> The M</w:t>
      </w:r>
      <w:r w:rsidR="00C82088">
        <w:t>ET</w:t>
      </w:r>
      <w:r w:rsidR="00935632">
        <w:t xml:space="preserve"> raw material used during the study was form A.</w:t>
      </w:r>
      <w:r>
        <w:t xml:space="preserve"> </w:t>
      </w:r>
      <w:r w:rsidRPr="00BC1F28">
        <w:t>The positions of the strong diffraction peaks are the same</w:t>
      </w:r>
      <w:r>
        <w:t xml:space="preserve"> for all PM</w:t>
      </w:r>
      <w:r w:rsidR="00AF39F4">
        <w:t xml:space="preserve"> and MG </w:t>
      </w:r>
      <w:r>
        <w:t>formulations</w:t>
      </w:r>
      <w:r w:rsidR="00917A0C">
        <w:t>,</w:t>
      </w:r>
      <w:r w:rsidRPr="00BC1F28">
        <w:t xml:space="preserve"> indicating</w:t>
      </w:r>
      <w:r w:rsidR="00FB1A5A">
        <w:t xml:space="preserve"> the</w:t>
      </w:r>
      <w:r w:rsidRPr="00BC1F28">
        <w:t xml:space="preserve"> same crystal lattice</w:t>
      </w:r>
      <w:r w:rsidR="00917A0C">
        <w:t xml:space="preserve"> and</w:t>
      </w:r>
      <w:r w:rsidR="00917A0C" w:rsidRPr="00BC1F28">
        <w:t xml:space="preserve"> </w:t>
      </w:r>
      <w:r w:rsidR="000C52B3">
        <w:t>i</w:t>
      </w:r>
      <w:r w:rsidR="00C329A0">
        <w:t>mplying</w:t>
      </w:r>
      <w:r w:rsidR="000C52B3">
        <w:t xml:space="preserve"> no MET polymorph form </w:t>
      </w:r>
      <w:r>
        <w:t>change in MET during processing.</w:t>
      </w:r>
      <w:r w:rsidR="0013116D">
        <w:t xml:space="preserve"> </w:t>
      </w:r>
      <w:r w:rsidR="0013116D" w:rsidRPr="0013116D">
        <w:t xml:space="preserve">While we see a difference in peak intensity of the different formulations, this </w:t>
      </w:r>
      <w:r w:rsidR="00C93F1E">
        <w:t>may be</w:t>
      </w:r>
      <w:r w:rsidR="0013116D" w:rsidRPr="0013116D">
        <w:t xml:space="preserve"> explained by the preferential orientation of the crystals within the sample holder </w:t>
      </w:r>
      <w:r w:rsidR="0013116D" w:rsidRPr="0013116D">
        <w:fldChar w:fldCharType="begin" w:fldLock="1"/>
      </w:r>
      <w:r w:rsidR="00E05EA3">
        <w:instrText>ADDIN CSL_CITATION {"citationItems":[{"id":"ITEM-1","itemData":{"ISSN":"0378-5173","PMID":"10502615","abstract":"Prismatic polyhedral crystals of paracetamol were prepared by cooling an aqueous saturated solution of paracetamol from 65 to 25 degrees C. Thin plate-like crystals were prepared by adding a concentrated solution of paracetamol in hot ethanol to water at 3 degrees C. Infrared (IR), X-ray powder diffraction (XPD) and differential scanning calorimetry (DSC) studies confirmed that these two forms of crystals were structurally similar, therefore polymorphic modifications were ruled out. The crystal habit influenced the compression properties during axial compression of paracetamol at different constant rates in a compaction simulator, the Heckel plots and their associated constants being dependent on the habits. The correlation coefficient of the initial part of the Heckel plots, and also the values of strain rate sensitivity (SRS), were lower for thin plate-like crystals, indicative of greater fragmentation for the thin plate-like as compared to polyhedral crystals. Compacts made from thin plate-like crystals exhibited higher elastic recoveries and elastic energies indicating that these crystals underwent less plastic deformation during compression than the polyhedral crystals.","author":[{"dropping-particle":"","family":"Garekani","given":"H A","non-dropping-particle":"","parse-names":false,"suffix":""},{"dropping-particle":"","family":"Ford","given":"J L","non-dropping-particle":"","parse-names":false,"suffix":""},{"dropping-particle":"","family":"Rubinstein","given":"M H","non-dropping-particle":"","parse-names":false,"suffix":""},{"dropping-particle":"","family":"Rajabi-Siahboomi","given":"A R","non-dropping-particle":"","parse-names":false,"suffix":""}],"container-title":"International journal of pharmaceutics","id":"ITEM-1","issue":"1","issued":{"date-parts":[["1999","9","30"]]},"page":"77-89","title":"Formation and compression characteristics of prismatic polyhedral and thin plate-like crystals of paracetamol.","type":"article-journal","volume":"187"},"uris":["http://www.mendeley.com/documents/?uuid=62d9491f-a559-3c53-88cc-45e812fe6f4d"]}],"mendeley":{"formattedCitation":"(40)","plainTextFormattedCitation":"(40)","previouslyFormattedCitation":"(40)"},"properties":{"noteIndex":0},"schema":"https://github.com/citation-style-language/schema/raw/master/csl-citation.json"}</w:instrText>
      </w:r>
      <w:r w:rsidR="0013116D" w:rsidRPr="0013116D">
        <w:fldChar w:fldCharType="separate"/>
      </w:r>
      <w:r w:rsidR="00FB235B" w:rsidRPr="00FB235B">
        <w:rPr>
          <w:noProof/>
        </w:rPr>
        <w:t>(40)</w:t>
      </w:r>
      <w:r w:rsidR="0013116D" w:rsidRPr="0013116D">
        <w:fldChar w:fldCharType="end"/>
      </w:r>
      <w:r w:rsidR="0013116D" w:rsidRPr="0013116D">
        <w:t xml:space="preserve">. </w:t>
      </w:r>
    </w:p>
    <w:p w14:paraId="50A4EDFF" w14:textId="60F9D81E" w:rsidR="001E7055" w:rsidRDefault="001E7055" w:rsidP="002244B8">
      <w:pPr>
        <w:rPr>
          <w:rFonts w:ascii="Times" w:hAnsi="Times" w:cs="Times"/>
        </w:rPr>
      </w:pPr>
      <w:r>
        <w:rPr>
          <w:rFonts w:ascii="Times" w:hAnsi="Times" w:cs="Times"/>
        </w:rPr>
        <w:t xml:space="preserve">Particle </w:t>
      </w:r>
      <w:r w:rsidR="00D408D8">
        <w:rPr>
          <w:rFonts w:ascii="Times" w:hAnsi="Times" w:cs="Times"/>
        </w:rPr>
        <w:t>S</w:t>
      </w:r>
      <w:r>
        <w:rPr>
          <w:rFonts w:ascii="Times" w:hAnsi="Times" w:cs="Times"/>
        </w:rPr>
        <w:t xml:space="preserve">ize </w:t>
      </w:r>
      <w:r w:rsidR="00D408D8">
        <w:rPr>
          <w:rFonts w:ascii="Times" w:hAnsi="Times" w:cs="Times"/>
        </w:rPr>
        <w:t>Analysis (PSA)</w:t>
      </w:r>
    </w:p>
    <w:p w14:paraId="6BE4DF45" w14:textId="73D15BB1" w:rsidR="00D408D8" w:rsidRPr="00D408D8" w:rsidRDefault="00547A21" w:rsidP="002244B8">
      <w:r>
        <w:t xml:space="preserve">Particle size plays an important role in many aspects of the manufacturing process. In general, smaller particles demonstrate stronger interparticular cohesive forces </w:t>
      </w:r>
      <w:r w:rsidR="00246C63">
        <w:t>compared</w:t>
      </w:r>
      <w:r>
        <w:t xml:space="preserve"> to larger particles, which in turn affects the flowability. Typically, granulation aims to increase particle size of formulations to form granules (usually between 200 </w:t>
      </w:r>
      <w:r>
        <w:rPr>
          <w:rFonts w:cs="Arial"/>
        </w:rPr>
        <w:t>µ</w:t>
      </w:r>
      <w:r>
        <w:t xml:space="preserve">m and 4000 </w:t>
      </w:r>
      <w:r>
        <w:rPr>
          <w:rFonts w:cs="Arial"/>
        </w:rPr>
        <w:t>µ</w:t>
      </w:r>
      <w:r>
        <w:t xml:space="preserve">m) by creating bonds between particles by compression or by using binding agents. Particle size analysis (PSA) results are presented in table </w:t>
      </w:r>
      <w:r w:rsidR="00B25712">
        <w:t>I</w:t>
      </w:r>
      <w:r w:rsidR="00564637">
        <w:t>II</w:t>
      </w:r>
      <w:r>
        <w:t xml:space="preserve"> for the APIs</w:t>
      </w:r>
      <w:r w:rsidR="005D77A0">
        <w:t xml:space="preserve"> and</w:t>
      </w:r>
      <w:r>
        <w:t xml:space="preserve"> MG formulations. As MET comprised </w:t>
      </w:r>
      <w:proofErr w:type="gramStart"/>
      <w:r>
        <w:t>the majority of</w:t>
      </w:r>
      <w:proofErr w:type="gramEnd"/>
      <w:r>
        <w:t xml:space="preserve"> the formulations (80 %), the particle size of the MET raw material was compared to the MG formulations particle size. The</w:t>
      </w:r>
      <w:r w:rsidR="000B3966">
        <w:t xml:space="preserve"> </w:t>
      </w:r>
      <w:r w:rsidR="00C62665">
        <w:t>median particle size of</w:t>
      </w:r>
      <w:r>
        <w:t xml:space="preserve"> MG formulations</w:t>
      </w:r>
      <w:r w:rsidR="00726D7D">
        <w:t xml:space="preserve"> </w:t>
      </w:r>
      <w:r>
        <w:t>w</w:t>
      </w:r>
      <w:r w:rsidR="00002322">
        <w:t>ere</w:t>
      </w:r>
      <w:r>
        <w:t xml:space="preserve"> statistically larger than the MET raw material (p &lt; 0.05). As the MG process resulted in particles larger than the MET</w:t>
      </w:r>
      <w:r w:rsidR="00C62665">
        <w:t xml:space="preserve"> raw</w:t>
      </w:r>
      <w:r>
        <w:t xml:space="preserve"> material</w:t>
      </w:r>
      <w:r w:rsidR="00917A0C">
        <w:t>,</w:t>
      </w:r>
      <w:r>
        <w:t xml:space="preserve"> and were larger than 200 </w:t>
      </w:r>
      <w:r>
        <w:rPr>
          <w:rFonts w:cs="Arial"/>
        </w:rPr>
        <w:t>µ</w:t>
      </w:r>
      <w:r>
        <w:t xml:space="preserve">m, the process conditions </w:t>
      </w:r>
      <w:r w:rsidR="00EC4954">
        <w:t xml:space="preserve">were considered to have </w:t>
      </w:r>
      <w:r>
        <w:t xml:space="preserve">resulted in successful granule manufacture for both HPC grades. </w:t>
      </w:r>
    </w:p>
    <w:p w14:paraId="30DC8458" w14:textId="06A059E2" w:rsidR="00777729" w:rsidRDefault="003D2DB8" w:rsidP="002244B8">
      <w:pPr>
        <w:rPr>
          <w:rFonts w:ascii="Times" w:hAnsi="Times" w:cs="Times"/>
        </w:rPr>
      </w:pPr>
      <w:r w:rsidRPr="003D2DB8">
        <w:rPr>
          <w:rFonts w:ascii="Times" w:hAnsi="Times" w:cs="Times"/>
        </w:rPr>
        <w:t>Flowability measurements</w:t>
      </w:r>
    </w:p>
    <w:p w14:paraId="13991648" w14:textId="72C883B9" w:rsidR="00591B0F" w:rsidRDefault="00591B0F" w:rsidP="002244B8">
      <w:r>
        <w:t xml:space="preserve">Flowability measurements are essential, as poorly flowing particles or powder blends are problematic in the manufacturing of solid dosage forms, such as compressed tablets or powder-filled hard gelatin capsules </w:t>
      </w:r>
      <w:r>
        <w:fldChar w:fldCharType="begin" w:fldLock="1"/>
      </w:r>
      <w:r w:rsidR="00E05EA3">
        <w:instrText>ADDIN CSL_CITATION {"citationItems":[{"id":"ITEM-1","itemData":{"DOI":"10.1081/DDC-120040343","ISSN":"0363-9045","abstract":"Four different tablet formulations for direct compression with poor flow properties were tested regarding flowability using five different techniques: Hausner ratio, avalanching behavior, powder rheometer, uniaxial tester, and Jenike tester. In addition, the behavior of three of the formulations during emptying of the mixer and tableting was observed and compared to the results of the flowability measurements. The rank order correlation of the formulations was generally the same with all techniques. The flow properties measured by the different techniques reflected the behavior during processing of the powder mixtures.","author":[{"dropping-particle":"","family":"Lindberg","given":"Nils</w:instrText>
      </w:r>
      <w:r w:rsidR="00E05EA3">
        <w:rPr>
          <w:rFonts w:ascii="Cambria Math" w:hAnsi="Cambria Math" w:cs="Cambria Math"/>
        </w:rPr>
        <w:instrText>‐</w:instrText>
      </w:r>
      <w:r w:rsidR="00E05EA3">
        <w:instrText>Olof","non-dropping-particle":"","parse-names":false,"suffix":""},{"dropping-particle":"","family":"P</w:instrText>
      </w:r>
      <w:r w:rsidR="00E05EA3">
        <w:rPr>
          <w:rFonts w:cs="Times New Roman"/>
        </w:rPr>
        <w:instrText>å</w:instrText>
      </w:r>
      <w:r w:rsidR="00E05EA3">
        <w:instrText>lsson","given":"Magnus","non-dropping-particle":"","parse-names":false,"suffix":""},{"dropping-particle":"","family":"Pihl","given":"Ann</w:instrText>
      </w:r>
      <w:r w:rsidR="00E05EA3">
        <w:rPr>
          <w:rFonts w:ascii="Cambria Math" w:hAnsi="Cambria Math" w:cs="Cambria Math"/>
        </w:rPr>
        <w:instrText>‐</w:instrText>
      </w:r>
      <w:r w:rsidR="00E05EA3">
        <w:instrText>Christin","non-dropping-particle":"","parse-names":false,"suffix":""},{"dropping-particle":"","family":"Freeman","given":"Reg","non-dropping-particle":"","parse-names":false,"suffix":""},{"dropping-particle":"","family":"Freeman","given":"Tim","non-dropping-particle":"","parse-names":false,"suffix":""},{"dropping-particle":"","family":"Zetzener","given":"Harald","non-dropping-particle":"","parse-names":false,"suffix":""},{"dropping-particle":"","family":"Enstad","given":"Gisle","non-dropping-particle":"","parse-names":false,"suffix":""}],"container-title":"Drug Development and Industrial Pharmacy","id":"ITEM-1","issue":"7","issued":{"date-parts":[["2004","1","9"]]},"page":"785-791","publisher":"Taylor &amp; Francis","title":"Flowability Measurements of Pharmaceutical Powder Mixtures with Poor Flow Using Five Different Techniques","type":"article-journal","volume":"30"},"uris":["http://www.mendeley.com/documents/?uuid=bd9ae0ad-cdcd-3282-82ef-9a9003b0080b"]}],"mendeley":{"formattedCitation":"(41)","plainTextFormattedCitation":"(41)","previouslyFormattedCitation":"(41)"},"properties":{"noteIndex":0},"schema":"https://github.com/citation-style-language/schema/raw/master/csl-citation.json"}</w:instrText>
      </w:r>
      <w:r>
        <w:fldChar w:fldCharType="separate"/>
      </w:r>
      <w:r w:rsidR="00FB235B" w:rsidRPr="00FB235B">
        <w:rPr>
          <w:noProof/>
        </w:rPr>
        <w:t>(41)</w:t>
      </w:r>
      <w:r>
        <w:fldChar w:fldCharType="end"/>
      </w:r>
      <w:r>
        <w:t xml:space="preserve">. Powder flow characteristics are determined by both the physical properties of the powders such as particle size, distribution and shape and are also </w:t>
      </w:r>
      <w:r>
        <w:lastRenderedPageBreak/>
        <w:t xml:space="preserve">determined by several environmental factors such as temperature, humidity and the stresses applied during storage and processing, such as gravity, vibrations, air pressure, and external loading from filling devices </w:t>
      </w:r>
      <w:r>
        <w:fldChar w:fldCharType="begin" w:fldLock="1"/>
      </w:r>
      <w:r w:rsidR="00E05EA3">
        <w:instrText>ADDIN CSL_CITATION {"citationItems":[{"id":"ITEM-1","itemData":{"DOI":"10.1016/J.POWTEC.2008.04.084","ISSN":"0032-5910","abstract":"Powder behaviour and particularly the measurement and prediction of flow properties remains of great importance to industry. Analytical studies over many decades have increased understanding, but it is modern instrumentation, sometimes using empirical methodologies that is providing new means of characterising powders and better understanding of the elements of powder processing. Progress is rapid and every study reveals the potential for further research. This work uses a rotational shear cell to evaluate five very different powders from a large particle ceramic (bi-modal size distribution: 60 and 170 μm) to 4 μm limestone. The focus of the study was firstly to determine the yield loci of all materials after 9 kPa pre-consolidation and then to use a different shear cell control methodology to investigate the stresses automatically generated normal to the shear plane, as shearing proceeds. Non-consolidated or unstressed powders are of special interest and shear tests were done at close to zero consolidation stress, including the measurement of generated normal stress. The ratio of this generated normal stress to applied shear stress was derived for a wide range of pre-shear conditions and the results suggest that this parameter is differentiating and useful. Values for the coarse and the fine powders varied by a factor of about 2 and up to 3 when the powders were non-consolidated.","author":[{"dropping-particle":"","family":"Freeman","given":"R.E.","non-dropping-particle":"","parse-names":false,"suffix":""},{"dropping-particle":"","family":"Cooke","given":"J.R.","non-dropping-particle":"","parse-names":false,"suffix":""},{"dropping-particle":"","family":"Schneider","given":"L.C.R.","non-dropping-particle":"","parse-names":false,"suffix":""}],"container-title":"Powder Technology","id":"ITEM-1","issue":"1-2","issued":{"date-parts":[["2009","3","5"]]},"page":"65-69","publisher":"Elsevier","title":"Measuring shear properties and normal stresses generated within a rotational shear cell for consolidated and non-consolidated powders","type":"article-journal","volume":"190"},"uris":["http://www.mendeley.com/documents/?uuid=1af6c39d-37ab-3078-9c72-b677ee4d708d"]}],"mendeley":{"formattedCitation":"(42)","plainTextFormattedCitation":"(42)","previouslyFormattedCitation":"(42)"},"properties":{"noteIndex":0},"schema":"https://github.com/citation-style-language/schema/raw/master/csl-citation.json"}</w:instrText>
      </w:r>
      <w:r>
        <w:fldChar w:fldCharType="separate"/>
      </w:r>
      <w:r w:rsidR="00FB235B" w:rsidRPr="00FB235B">
        <w:rPr>
          <w:noProof/>
        </w:rPr>
        <w:t>(42)</w:t>
      </w:r>
      <w:r>
        <w:fldChar w:fldCharType="end"/>
      </w:r>
      <w:r>
        <w:t xml:space="preserve">. As the products being tested varied in particle size, the initial state of the products before testing is particularly important and so “conditioning” to ensure a reproducible packing condition is essential if the data is to be reproducible, repeatable and comparable </w:t>
      </w:r>
      <w:r>
        <w:fldChar w:fldCharType="begin" w:fldLock="1"/>
      </w:r>
      <w:r w:rsidR="001B225D">
        <w:instrText>ADDIN CSL_CITATION {"citationItems":[{"id":"ITEM-1","itemData":{"DOI":"10.1016/J.POWTEC.2006.10.016","ISSN":"0032-5910","abstract":"This paper compares powder flowability measurements using the two methodologies available from a Freeman FT4 Powder Rheometer. The twisted blade method is empirical and measures the energy needed to establish dynamic or three dimensional flow patterns at specific packing conditions. The other is an automated shear cell in which the powder sample is sheared across a single plane to determine its shear strength properties. Six different powders were evaluated to determine their flow performance when consolidated, conditioned and aerated or fluidised. Objectives were to correlate the data from the two methods and assess the sensitivity to some of the key variables that affect powder flow properties. The results showed that dynamic testing that produces shear without compacting the powder sample (upwards testing), provides data that correlates well with shear cell data. However the standard downward dynamic test that does compact, correlates less well but was highly differentiating. It is apparent that shear strength is only one component relating to flowability and that the measured flow energy is also dependent on the compressibility of the powder and the flow rate. Shear testing of conditioned powders at near zero normal stress used the position control mode rather than force control used for the standard shear tests. Aerated powders could not be evaluated with the shear cell, but were assessed using the dynamic methodology and showed very significant differences of flow energy. In conclusion, both methodologies provide useful insights into flow behaviour with good repeatability of measurement, but dynamic data provides better differentiation between powders with similar rheological properties in all packing states.","author":[{"dropping-particle":"","family":"Freeman","given":"Reg","non-dropping-particle":"","parse-names":false,"suffix":""}],"container-title":"Powder Technology","id":"ITEM-1","issue":"1-2","issued":{"date-parts":[["2007","5","16"]]},"page":"25-33","publisher":"Elsevier","title":"Measuring the flow properties of consolidated, conditioned and aerated powders — A comparative study using a powder rheometer and a rotational shear cell","type":"article-journal","volume":"174"},"uris":["http://www.mendeley.com/documents/?uuid=04105f57-aa05-36be-84b7-1e658da67f68"]}],"mendeley":{"formattedCitation":"(19)","plainTextFormattedCitation":"(19)","previouslyFormattedCitation":"(19)"},"properties":{"noteIndex":0},"schema":"https://github.com/citation-style-language/schema/raw/master/csl-citation.json"}</w:instrText>
      </w:r>
      <w:r>
        <w:fldChar w:fldCharType="separate"/>
      </w:r>
      <w:r w:rsidR="00EA3B9E" w:rsidRPr="00EA3B9E">
        <w:rPr>
          <w:noProof/>
        </w:rPr>
        <w:t>(19)</w:t>
      </w:r>
      <w:r>
        <w:fldChar w:fldCharType="end"/>
      </w:r>
      <w:r>
        <w:t xml:space="preserve">. Once consolidation has been completed and shear testing has been </w:t>
      </w:r>
      <w:r w:rsidR="008D6E3A">
        <w:t>performed</w:t>
      </w:r>
      <w:r>
        <w:t xml:space="preserve">, several different results </w:t>
      </w:r>
      <w:r w:rsidR="00917A0C">
        <w:t>may be determined</w:t>
      </w:r>
      <w:r>
        <w:t xml:space="preserve">, including the measured Angle of Internal Friction (AIF) and cohesion, which can be directly used to </w:t>
      </w:r>
      <w:r w:rsidR="00917A0C">
        <w:t xml:space="preserve">assess </w:t>
      </w:r>
      <w:r>
        <w:t>the product</w:t>
      </w:r>
      <w:r w:rsidR="008D6E3A">
        <w:t>’</w:t>
      </w:r>
      <w:r>
        <w:t xml:space="preserve">s flowability. The AIF is defined as a measure of the ability of a unit of product to withstand a shear stress. It is the angle (φ), measured between the normal force and resultant force that is attained when failure just occurs in response to a shearing stress. The AIF values have been shown to be directly related to particle size and shape </w:t>
      </w:r>
      <w:r>
        <w:fldChar w:fldCharType="begin" w:fldLock="1"/>
      </w:r>
      <w:r w:rsidR="001B225D">
        <w:instrText>ADDIN CSL_CITATION {"citationItems":[{"id":"ITEM-1","itemData":{"DOI":"10.1016/J.POWTEC.2006.10.016","ISSN":"0032-5910","abstract":"This paper compares powder flowability measurements using the two methodologies available from a Freeman FT4 Powder Rheometer. The twisted blade method is empirical and measures the energy needed to establish dynamic or three dimensional flow patterns at specific packing conditions. The other is an automated shear cell in which the powder sample is sheared across a single plane to determine its shear strength properties. Six different powders were evaluated to determine their flow performance when consolidated, conditioned and aerated or fluidised. Objectives were to correlate the data from the two methods and assess the sensitivity to some of the key variables that affect powder flow properties. The results showed that dynamic testing that produces shear without compacting the powder sample (upwards testing), provides data that correlates well with shear cell data. However the standard downward dynamic test that does compact, correlates less well but was highly differentiating. It is apparent that shear strength is only one component relating to flowability and that the measured flow energy is also dependent on the compressibility of the powder and the flow rate. Shear testing of conditioned powders at near zero normal stress used the position control mode rather than force control used for the standard shear tests. Aerated powders could not be evaluated with the shear cell, but were assessed using the dynamic methodology and showed very significant differences of flow energy. In conclusion, both methodologies provide useful insights into flow behaviour with good repeatability of measurement, but dynamic data provides better differentiation between powders with similar rheological properties in all packing states.","author":[{"dropping-particle":"","family":"Freeman","given":"Reg","non-dropping-particle":"","parse-names":false,"suffix":""}],"container-title":"Powder Technology","id":"ITEM-1","issue":"1-2","issued":{"date-parts":[["2007","5","16"]]},"page":"25-33","publisher":"Elsevier","title":"Measuring the flow properties of consolidated, conditioned and aerated powders — A comparative study using a powder rheometer and a rotational shear cell","type":"article-journal","volume":"174"},"uris":["http://www.mendeley.com/documents/?uuid=04105f57-aa05-36be-84b7-1e658da67f68"]},{"id":"ITEM-2","itemData":{"DOI":"10.1016/J.FUEL.2015.02.047","ISSN":"0016-2361","abstract":"The study of angle of internal friction (ΦI) is widely prevalent due to its importance in science and engineering, and yet the quantitative description concerning the effect of granular shape on the ΦI is few. In our study, the influence of granular shape on the ΦI of various binary granular systems was investigated theoretically and experimentally with a Freeman FT4 Powder Rheometer. The results show that the variation amplitude of tangent ΦI (ΔtanΦI) exhibits a linear relation with the related particle physical properties. Our findings show that three regions have been divided for various binary granular systems based on their magnitude of aspect ratio, and there exists a powder function between ΔtanФI and granular shape factors. On this basis, an integrated model has been proposed to describe the quantitative relationship between angle of internal friction and granular shape factor, which agrees well with the experimental data.","author":[{"dropping-particle":"","family":"Guo","given":"Zhiguo","non-dropping-particle":"","parse-names":false,"suffix":""},{"dropping-particle":"","family":"Chen","given":"Xueli","non-dropping-particle":"","parse-names":false,"suffix":""},{"dropping-particle":"","family":"Xu","given":"Yang","non-dropping-particle":"","parse-names":false,"suffix":""},{"dropping-particle":"","family":"Liu","given":"Haifeng","non-dropping-particle":"","parse-names":false,"suffix":""}],"container-title":"Fuel","id":"ITEM-2","issued":{"date-parts":[["2015","6","15"]]},"page":"298-304","publisher":"Elsevier","title":"Effect of granular shape on angle of internal friction of binary granular system","type":"article-journal","volume":"150"},"uris":["http://www.mendeley.com/documents/?uuid=b44c3dab-168f-3c96-9617-33cfbd08577a"]}],"mendeley":{"formattedCitation":"(19,43)","plainTextFormattedCitation":"(19,43)","previouslyFormattedCitation":"(19,43)"},"properties":{"noteIndex":0},"schema":"https://github.com/citation-style-language/schema/raw/master/csl-citation.json"}</w:instrText>
      </w:r>
      <w:r>
        <w:fldChar w:fldCharType="separate"/>
      </w:r>
      <w:r w:rsidR="00EA3B9E" w:rsidRPr="00EA3B9E">
        <w:rPr>
          <w:noProof/>
        </w:rPr>
        <w:t>(19,43)</w:t>
      </w:r>
      <w:r>
        <w:fldChar w:fldCharType="end"/>
      </w:r>
      <w:r>
        <w:t xml:space="preserve">. Previously, it was reported that the AIF plays a significant role in determining the flow function (FF) of powders and granules </w:t>
      </w:r>
      <w:r>
        <w:fldChar w:fldCharType="begin" w:fldLock="1"/>
      </w:r>
      <w:r w:rsidR="001B225D">
        <w:instrText>ADDIN CSL_CITATION {"citationItems":[{"id":"ITEM-1","itemData":{"DOI":"10.1016/S0378-5173(96)04755-2","ISSN":"0378-5173","abstract":"The shear properties of 8 different powders, which varied in particle size and shape, were studied using an annular shear cell. The angle of internal friction and the flow factor were determined. Magnesium stearate was added in concentrations between 0.25 and 1.25% w/w, and the change in the shear properties was recorded. For the unlubricated powders, the angle of internal friction was found to depend both on particle size and shape in a nonlinear manner, whereas the flow factor depended only on particle shape. The optimal magnesium stearate content, i.e. the concentration which gave the lowest angle of internal friction, varied for the powders. Both the angle of internal friction and the corresponding concentration of magnesium stearate depended only on particle shape. A large value for the aspect ratio as obtained for needle shaped particles was accompanied by a particularly high angle of internal friction. The optimal magnesium stearate concentration was least for needle shaped or round particles. The optimal magnesium stearate contents for the flow factor, i.e. the concentrations which gave the highest values of flow factor, were partly different from those obtained for the angle of internal friction. While the flow factor depended only on particle shape, the corresponding optimal magnesium stearate concentration was found to depend only on the particle size. For powders of comparable chemical composition such as maize starch and starch 1500, or microcrystalline and microfine cellulose, the angle of internal friction at an optimal lubricant concentration was found to be proportional to the elastic properties of the powders.","author":[{"dropping-particle":"","family":"Podczeck","given":"Fridrun","non-dropping-particle":"","parse-names":false,"suffix":""},{"dropping-particle":"","family":"Mia","given":"Yasmin","non-dropping-particle":"","parse-names":false,"suffix":""}],"container-title":"International Journal of Pharmaceutics","id":"ITEM-1","issue":"2","issued":{"date-parts":[["1996","11","29"]]},"page":"187-194","publisher":"Elsevier","title":"The influence of particle size and shape on the angle of internal friction and the flow factor of unlubricated and lubricated powders","type":"article-journal","volume":"144"},"uris":["http://www.mendeley.com/documents/?uuid=0f2e2cab-a433-30bd-a9b6-0f4370a13322"]},{"id":"ITEM-2","itemData":{"DOI":"10.1016/J.POWTEC.2006.10.016","ISSN":"0032-5910","abstract":"This paper compares powder flowability measurements using the two methodologies available from a Freeman FT4 Powder Rheometer. The twisted blade method is empirical and measures the energy needed to establish dynamic or three dimensional flow patterns at specific packing conditions. The other is an automated shear cell in which the powder sample is sheared across a single plane to determine its shear strength properties. Six different powders were evaluated to determine their flow performance when consolidated, conditioned and aerated or fluidised. Objectives were to correlate the data from the two methods and assess the sensitivity to some of the key variables that affect powder flow properties. The results showed that dynamic testing that produces shear without compacting the powder sample (upwards testing), provides data that correlates well with shear cell data. However the standard downward dynamic test that does compact, correlates less well but was highly differentiating. It is apparent that shear strength is only one component relating to flowability and that the measured flow energy is also dependent on the compressibility of the powder and the flow rate. Shear testing of conditioned powders at near zero normal stress used the position control mode rather than force control used for the standard shear tests. Aerated powders could not be evaluated with the shear cell, but were assessed using the dynamic methodology and showed very significant differences of flow energy. In conclusion, both methodologies provide useful insights into flow behaviour with good repeatability of measurement, but dynamic data provides better differentiation between powders with similar rheological properties in all packing states.","author":[{"dropping-particle":"","family":"Freeman","given":"Reg","non-dropping-particle":"","parse-names":false,"suffix":""}],"container-title":"Powder Technology","id":"ITEM-2","issue":"1-2","issued":{"date-parts":[["2007","5","16"]]},"page":"25-33","publisher":"Elsevier","title":"Measuring the flow properties of consolidated, conditioned and aerated powders — A comparative study using a powder rheometer and a rotational shear cell","type":"article-journal","volume":"174"},"uris":["http://www.mendeley.com/documents/?uuid=04105f57-aa05-36be-84b7-1e658da67f68"]},{"id":"ITEM-3","itemData":{"DOI":"10.1016/J.FUEL.2015.02.047","ISSN":"0016-2361","abstract":"The study of angle of internal friction (ΦI) is widely prevalent due to its importance in science and engineering, and yet the quantitative description concerning the effect of granular shape on the ΦI is few. In our study, the influence of granular shape on the ΦI of various binary granular systems was investigated theoretically and experimentally with a Freeman FT4 Powder Rheometer. The results show that the variation amplitude of tangent ΦI (ΔtanΦI) exhibits a linear relation with the related particle physical properties. Our findings show that three regions have been divided for various binary granular systems based on their magnitude of aspect ratio, and there exists a powder function between ΔtanФI and granular shape factors. On this basis, an integrated model has been proposed to describe the quantitative relationship between angle of internal friction and granular shape factor, which agrees well with the experimental data.","author":[{"dropping-particle":"","family":"Guo","given":"Zhiguo","non-dropping-particle":"","parse-names":false,"suffix":""},{"dropping-particle":"","family":"Chen","given":"Xueli","non-dropping-particle":"","parse-names":false,"suffix":""},{"dropping-particle":"","family":"Xu","given":"Yang","non-dropping-particle":"","parse-names":false,"suffix":""},{"dropping-particle":"","family":"Liu","given":"Haifeng","non-dropping-particle":"","parse-names":false,"suffix":""}],"container-title":"Fuel","id":"ITEM-3","issued":{"date-parts":[["2015","6","15"]]},"page":"298-304","publisher":"Elsevier","title":"Effect of granular shape on angle of internal friction of binary granular system","type":"article-journal","volume":"150"},"uris":["http://www.mendeley.com/documents/?uuid=b44c3dab-168f-3c96-9617-33cfbd08577a"]}],"mendeley":{"formattedCitation":"(19,43,44)","plainTextFormattedCitation":"(19,43,44)","previouslyFormattedCitation":"(19,43,44)"},"properties":{"noteIndex":0},"schema":"https://github.com/citation-style-language/schema/raw/master/csl-citation.json"}</w:instrText>
      </w:r>
      <w:r>
        <w:fldChar w:fldCharType="separate"/>
      </w:r>
      <w:r w:rsidR="00EA3B9E" w:rsidRPr="00EA3B9E">
        <w:rPr>
          <w:noProof/>
        </w:rPr>
        <w:t>(19,43,44)</w:t>
      </w:r>
      <w:r>
        <w:fldChar w:fldCharType="end"/>
      </w:r>
      <w:r>
        <w:t xml:space="preserve">. Recently however, </w:t>
      </w:r>
      <w:r w:rsidRPr="00AA4195">
        <w:t xml:space="preserve">Wang </w:t>
      </w:r>
      <w:r w:rsidRPr="00D33FBE">
        <w:rPr>
          <w:i/>
          <w:iCs/>
        </w:rPr>
        <w:t>et al</w:t>
      </w:r>
      <w:r w:rsidR="00D33FBE" w:rsidRPr="00D33FBE">
        <w:rPr>
          <w:i/>
          <w:iCs/>
        </w:rPr>
        <w:t>.</w:t>
      </w:r>
      <w:r>
        <w:t xml:space="preserve"> </w:t>
      </w:r>
      <w:r>
        <w:fldChar w:fldCharType="begin" w:fldLock="1"/>
      </w:r>
      <w:r w:rsidR="00E05EA3">
        <w:instrText>ADDIN CSL_CITATION {"citationItems":[{"id":"ITEM-1","itemData":{"DOI":"10.1016/j.powtec.2016.02.027","ISSN":"00325910","abstract":"•A library of shear cell data was established.•The effects of the initial consolidation stress and the testing device were separated.•The yield loci from different initial consolidation stresses could be collapsed into a single material characteristic line.•The methods augment shear cell data analysis and significantly reduce the complexity of the shear cell data.","author":[{"dropping-particle":"","family":"Wang","given":"Yifan","non-dropping-particle":"","parse-names":false,"suffix":""},{"dropping-particle":"","family":"Koynov","given":"Sara","non-dropping-particle":"","parse-names":false,"suffix":""},{"dropping-particle":"","family":"Glasser","given":"Benjamin J.","non-dropping-particle":"","parse-names":false,"suffix":""},{"dropping-particle":"","family":"Muzzio","given":"Fernando J.","non-dropping-particle":"","parse-names":false,"suffix":""}],"container-title":"Powder Technology","id":"ITEM-1","issue":"294","issued":{"date-parts":[["2016","6"]]},"page":"105-112","title":"A method to analyze shear cell data of powders measured under different initial consolidation stresses","type":"article-journal","volume":"294"},"uris":["http://www.mendeley.com/documents/?uuid=28868f2d-8c98-3e7b-b11b-349531d36e82"]}],"mendeley":{"formattedCitation":"(45)","plainTextFormattedCitation":"(45)","previouslyFormattedCitation":"(45)"},"properties":{"noteIndex":0},"schema":"https://github.com/citation-style-language/schema/raw/master/csl-citation.json"}</w:instrText>
      </w:r>
      <w:r>
        <w:fldChar w:fldCharType="separate"/>
      </w:r>
      <w:r w:rsidR="00FB235B" w:rsidRPr="00FB235B">
        <w:rPr>
          <w:noProof/>
        </w:rPr>
        <w:t>(45)</w:t>
      </w:r>
      <w:r>
        <w:fldChar w:fldCharType="end"/>
      </w:r>
      <w:r>
        <w:t xml:space="preserve"> reported that</w:t>
      </w:r>
      <w:r w:rsidR="00BB7DE0">
        <w:t>,</w:t>
      </w:r>
      <w:r>
        <w:t xml:space="preserve"> while</w:t>
      </w:r>
      <w:r w:rsidR="00D92D8D">
        <w:t>,</w:t>
      </w:r>
      <w:r>
        <w:t xml:space="preserve"> by definition FF requires the AIF be known, in practice the AIF plays a very limited </w:t>
      </w:r>
      <w:r w:rsidRPr="007649C1">
        <w:t>role</w:t>
      </w:r>
      <w:r w:rsidR="00D92D8D" w:rsidRPr="007649C1">
        <w:t>,</w:t>
      </w:r>
      <w:r w:rsidRPr="007649C1">
        <w:t xml:space="preserve"> and cohesive factors are much more critical</w:t>
      </w:r>
      <w:r w:rsidR="007649C1">
        <w:t xml:space="preserve"> in determining powder flowability</w:t>
      </w:r>
      <w:r>
        <w:t xml:space="preserve">. Correlation between FF and cohesion can be sustained </w:t>
      </w:r>
      <w:proofErr w:type="gramStart"/>
      <w:r>
        <w:t>as long as</w:t>
      </w:r>
      <w:proofErr w:type="gramEnd"/>
      <w:r>
        <w:t xml:space="preserve"> the AIF at incipient flow is not significantly larger than the AIF at steady-state flow, a condition covering almost all pharmaceutical powders. These findings were confirmed by </w:t>
      </w:r>
      <w:r w:rsidRPr="00281753">
        <w:t xml:space="preserve">Leung </w:t>
      </w:r>
      <w:r w:rsidRPr="00D33FBE">
        <w:rPr>
          <w:i/>
          <w:iCs/>
        </w:rPr>
        <w:t>et al</w:t>
      </w:r>
      <w:r w:rsidR="00D33FBE" w:rsidRPr="00D33FBE">
        <w:rPr>
          <w:i/>
          <w:iCs/>
        </w:rPr>
        <w:t>.</w:t>
      </w:r>
      <w:r>
        <w:t xml:space="preserve"> </w:t>
      </w:r>
      <w:r>
        <w:fldChar w:fldCharType="begin" w:fldLock="1"/>
      </w:r>
      <w:r w:rsidR="00E05EA3">
        <w:instrText>ADDIN CSL_CITATION {"citationItems":[{"id":"ITEM-1","itemData":{"DOI":"10.1016/j.xphs.2017.04.012","ISSN":"00223549","author":[{"dropping-particle":"","family":"Leung","given":"Lap Yin","non-dropping-particle":"","parse-names":false,"suffix":""},{"dropping-particle":"","family":"Mao","given":"Chen","non-dropping-particle":"","parse-names":false,"suffix":""},{"dropping-particle":"","family":"Srivastava","given":"Ishan","non-dropping-particle":"","parse-names":false,"suffix":""},{"dropping-particle":"","family":"Du","given":"Ping","non-dropping-particle":"","parse-names":false,"suffix":""},{"dropping-particle":"","family":"Yang","given":"Chia-Yi","non-dropping-particle":"","parse-names":false,"suffix":""}],"container-title":"Journal of Pharmaceutical Sciences","id":"ITEM-1","issue":"7","issued":{"date-parts":[["2017","7"]]},"page":"1865-1873","title":"Flow Function of Pharmaceutical Powders Is Predominantly Governed by Cohesion, Not by Friction Coefficients","type":"article-journal","volume":"106"},"uris":["http://www.mendeley.com/documents/?uuid=4a0e231c-f25a-35af-b5f7-582465f0e642"]}],"mendeley":{"formattedCitation":"(46)","plainTextFormattedCitation":"(46)","previouslyFormattedCitation":"(46)"},"properties":{"noteIndex":0},"schema":"https://github.com/citation-style-language/schema/raw/master/csl-citation.json"}</w:instrText>
      </w:r>
      <w:r>
        <w:fldChar w:fldCharType="separate"/>
      </w:r>
      <w:r w:rsidR="00FB235B" w:rsidRPr="00FB235B">
        <w:rPr>
          <w:noProof/>
        </w:rPr>
        <w:t>(46)</w:t>
      </w:r>
      <w:r>
        <w:fldChar w:fldCharType="end"/>
      </w:r>
      <w:r>
        <w:t xml:space="preserve"> when the experimental conditions were undertaken using a much larger sample size. </w:t>
      </w:r>
    </w:p>
    <w:p w14:paraId="2AEA4B92" w14:textId="43A8D68F" w:rsidR="00777729" w:rsidRDefault="00591B0F" w:rsidP="002244B8">
      <w:r>
        <w:t xml:space="preserve">Results of AIF, cohesiveness and FF are shown in table </w:t>
      </w:r>
      <w:r w:rsidR="0038134F">
        <w:t>I</w:t>
      </w:r>
      <w:r w:rsidR="00D52D74">
        <w:t>V</w:t>
      </w:r>
      <w:r>
        <w:t xml:space="preserve"> for</w:t>
      </w:r>
      <w:r w:rsidR="008F47BA">
        <w:t xml:space="preserve"> PMs</w:t>
      </w:r>
      <w:r w:rsidR="009351BE">
        <w:t xml:space="preserve"> of HPC-A </w:t>
      </w:r>
      <w:r w:rsidR="008053A1">
        <w:t xml:space="preserve">and </w:t>
      </w:r>
      <w:r w:rsidR="009351BE">
        <w:t>HPC</w:t>
      </w:r>
      <w:r w:rsidR="00160571">
        <w:t>-</w:t>
      </w:r>
      <w:r w:rsidR="009351BE">
        <w:t>S</w:t>
      </w:r>
      <w:r w:rsidR="005652F1">
        <w:t xml:space="preserve"> formulations</w:t>
      </w:r>
      <w:r w:rsidR="008F47BA">
        <w:t>, MG</w:t>
      </w:r>
      <w:r w:rsidR="005652F1">
        <w:t>s</w:t>
      </w:r>
      <w:r w:rsidR="009351BE">
        <w:t xml:space="preserve"> </w:t>
      </w:r>
      <w:r w:rsidR="005652F1" w:rsidRPr="005652F1">
        <w:t>of HPC-A and HPC</w:t>
      </w:r>
      <w:r w:rsidR="00160571">
        <w:t>-</w:t>
      </w:r>
      <w:r w:rsidR="005652F1" w:rsidRPr="005652F1">
        <w:t>S formulations</w:t>
      </w:r>
      <w:r w:rsidR="005652F1">
        <w:t xml:space="preserve"> </w:t>
      </w:r>
      <w:r w:rsidR="00A23CAA">
        <w:t>and MGs of HPC-A and HPC</w:t>
      </w:r>
      <w:r w:rsidR="00160571">
        <w:t>-</w:t>
      </w:r>
      <w:r w:rsidR="00A23CAA">
        <w:t xml:space="preserve">S formulations with the addition of </w:t>
      </w:r>
      <w:r w:rsidR="00D92D8D">
        <w:t xml:space="preserve">10% w/w </w:t>
      </w:r>
      <w:r w:rsidR="00A23CAA">
        <w:t>glidant</w:t>
      </w:r>
      <w:r>
        <w:t>.</w:t>
      </w:r>
      <w:r w:rsidR="00FB541E">
        <w:t xml:space="preserve"> </w:t>
      </w:r>
      <w:r>
        <w:t xml:space="preserve">For HPC-S formulations, statistically there </w:t>
      </w:r>
      <w:r w:rsidR="00D97241">
        <w:t>was no</w:t>
      </w:r>
      <w:r>
        <w:t xml:space="preserve"> difference between the PM</w:t>
      </w:r>
      <w:r w:rsidR="006011DA">
        <w:t xml:space="preserve"> and </w:t>
      </w:r>
      <w:r>
        <w:t>MG formulations in their respective AIF</w:t>
      </w:r>
      <w:r w:rsidR="00FB540E">
        <w:t>, cohesiveness and FF</w:t>
      </w:r>
      <w:r>
        <w:t xml:space="preserve"> results (p &gt; 0.05). For HPC-A formulations, the same </w:t>
      </w:r>
      <w:r w:rsidR="00FC3ACB">
        <w:t>observation</w:t>
      </w:r>
      <w:r w:rsidR="00E82171">
        <w:t xml:space="preserve"> was made</w:t>
      </w:r>
      <w:r>
        <w:t xml:space="preserve"> with no difference between the </w:t>
      </w:r>
      <w:r w:rsidR="00BE438A">
        <w:t>PM and MG formulations in their respective</w:t>
      </w:r>
      <w:r>
        <w:t xml:space="preserve"> AIF</w:t>
      </w:r>
      <w:r w:rsidR="00160EBD">
        <w:t>, cohesiveness and FF results</w:t>
      </w:r>
      <w:r>
        <w:t xml:space="preserve"> (p &gt; 0.05)</w:t>
      </w:r>
      <w:r w:rsidR="000F7220">
        <w:t>.</w:t>
      </w:r>
      <w:r w:rsidR="000729AC">
        <w:t xml:space="preserve"> </w:t>
      </w:r>
      <w:r w:rsidR="00513AC4">
        <w:t xml:space="preserve">Avicel PH102 is a brand of microcrystalline cellulose (MCC) </w:t>
      </w:r>
      <w:r w:rsidR="008B3F78">
        <w:t xml:space="preserve">that has been used in processing to improve flowability while also reporting to improve </w:t>
      </w:r>
      <w:r w:rsidR="00511065">
        <w:t xml:space="preserve">compaction of powers due to its </w:t>
      </w:r>
      <w:r w:rsidR="00A4250C">
        <w:t>plastic</w:t>
      </w:r>
      <w:r w:rsidR="00511065">
        <w:t xml:space="preserve"> </w:t>
      </w:r>
      <w:r w:rsidR="00A4250C">
        <w:t xml:space="preserve">properties </w:t>
      </w:r>
      <w:r w:rsidR="009E11E2">
        <w:fldChar w:fldCharType="begin" w:fldLock="1"/>
      </w:r>
      <w:r w:rsidR="00E05EA3">
        <w:instrText>ADDIN CSL_CITATION {"citationItems":[{"id":"ITEM-1","itemData":{"URL":"http://www.signetchem.com/product.aspx?prdid=2","accessed":{"date-parts":[["2019","5","20"]]},"author":[{"dropping-particle":"","family":"Signet","given":"","non-dropping-particle":"","parse-names":false,"suffix":""}],"id":"ITEM-1","issued":{"date-parts":[["2019"]]},"title":"Avicel PH","type":"webpage"},"uris":["http://www.mendeley.com/documents/?uuid=9c8188a6-d7df-383e-9264-c9ead1dd09e4"]},{"id":"ITEM-2","itemData":{"DOI":"10.1016/J.IJPHARM.2014.06.055","ISSN":"0378-5173","abstract":"The ICH quality vision introduced the concept of quality by design (QbD), which requires a greater understanding of the raw material attributes, of process parameters, of their variability and their interactions. Microcrystalline cellulose (MCC) is one of the most important tableting excipients thanks to its outstanding dry binding properties, enabling the manufacture of tablets by direct compression (DC). DC remains the most economical technique to produce large batches of tablets, however its efficacy is directly impacted by the raw material attributes. Therefore excipients’ variability and their impact on drug product performance need to be thoroughly understood. To help with this process, this review article gathers prior knowledge on MCC, focuses on its use in DC and lists some of its potential critical material attributes (CMAs).","author":[{"dropping-particle":"","family":"Thoorens","given":"Gregory","non-dropping-particle":"","parse-names":false,"suffix":""},{"dropping-particle":"","family":"Krier","given":"Fabrice","non-dropping-particle":"","parse-names":false,"suffix":""},{"dropping-particle":"","family":"Leclercq","given":"Bruno","non-dropping-particle":"","parse-names":false,"suffix":""},{"dropping-particle":"","family":"Carlin","given":"Brian","non-dropping-particle":"","parse-names":false,"suffix":""},{"dropping-particle":"","family":"Evrard","given":"Brigitte","non-dropping-particle":"","parse-names":false,"suffix":""}],"container-title":"International Journal of Pharmaceutics","id":"ITEM-2","issue":"1-2","issued":{"date-parts":[["2014","10","1"]]},"page":"64-72","publisher":"Elsevier","title":"Microcrystalline cellulose, a direct compression binder in a quality by design environment—A review","type":"article-journal","volume":"473"},"uris":["http://www.mendeley.com/documents/?uuid=e57317c7-68d2-32c4-9bd1-2ef0b103a546"]}],"mendeley":{"formattedCitation":"(47,48)","plainTextFormattedCitation":"(47,48)","previouslyFormattedCitation":"(47,48)"},"properties":{"noteIndex":0},"schema":"https://github.com/citation-style-language/schema/raw/master/csl-citation.json"}</w:instrText>
      </w:r>
      <w:r w:rsidR="009E11E2">
        <w:fldChar w:fldCharType="separate"/>
      </w:r>
      <w:r w:rsidR="00FB235B" w:rsidRPr="00FB235B">
        <w:rPr>
          <w:noProof/>
        </w:rPr>
        <w:t>(47,48)</w:t>
      </w:r>
      <w:r w:rsidR="009E11E2">
        <w:fldChar w:fldCharType="end"/>
      </w:r>
      <w:r w:rsidR="00AD7CBC">
        <w:t>.</w:t>
      </w:r>
      <w:r w:rsidR="00F550B7">
        <w:t xml:space="preserve"> </w:t>
      </w:r>
      <w:r w:rsidR="000F7220">
        <w:t xml:space="preserve"> </w:t>
      </w:r>
      <w:r w:rsidR="001226FE">
        <w:t>T</w:t>
      </w:r>
      <w:r w:rsidR="00836250">
        <w:t>o</w:t>
      </w:r>
      <w:r w:rsidR="00B3674E">
        <w:t xml:space="preserve"> try and</w:t>
      </w:r>
      <w:r w:rsidR="00836250">
        <w:t xml:space="preserve"> improve </w:t>
      </w:r>
      <w:r w:rsidR="00495B2A">
        <w:t xml:space="preserve">the flowability </w:t>
      </w:r>
      <w:r w:rsidR="00EC1745">
        <w:t>parameters</w:t>
      </w:r>
      <w:r w:rsidR="00495B2A">
        <w:t xml:space="preserve"> of the MGs formulations</w:t>
      </w:r>
      <w:r w:rsidR="00BA0528">
        <w:t xml:space="preserve"> </w:t>
      </w:r>
      <w:r w:rsidR="00E82171">
        <w:t>relative to</w:t>
      </w:r>
      <w:r w:rsidR="00CE4718">
        <w:t xml:space="preserve"> </w:t>
      </w:r>
      <w:r w:rsidR="00B50440">
        <w:t>the PMs</w:t>
      </w:r>
      <w:r w:rsidR="001226FE">
        <w:t xml:space="preserve">, 10 % w/w </w:t>
      </w:r>
      <w:r w:rsidR="006F1B9C">
        <w:t>Avicel was added to each formulation</w:t>
      </w:r>
      <w:r w:rsidR="00B50440">
        <w:t>.</w:t>
      </w:r>
      <w:r w:rsidR="006B2903">
        <w:t xml:space="preserve"> While the </w:t>
      </w:r>
      <w:r w:rsidR="00AF4BE0">
        <w:t>concentration</w:t>
      </w:r>
      <w:r w:rsidR="006B2903">
        <w:t xml:space="preserve"> of</w:t>
      </w:r>
      <w:r w:rsidR="007572F6">
        <w:t xml:space="preserve"> Avicel PH102</w:t>
      </w:r>
      <w:r w:rsidR="00AF4BE0">
        <w:t xml:space="preserve"> added to </w:t>
      </w:r>
      <w:r w:rsidR="00D5406B">
        <w:t>formulations</w:t>
      </w:r>
      <w:r w:rsidR="00BF141B">
        <w:t xml:space="preserve"> varies greatly throughout the literature</w:t>
      </w:r>
      <w:r w:rsidR="006A6197">
        <w:t xml:space="preserve">, one of the goals of the current study was to ensure the minimum </w:t>
      </w:r>
      <w:r w:rsidR="00B334DB">
        <w:t>quantity</w:t>
      </w:r>
      <w:r w:rsidR="006A6197">
        <w:t xml:space="preserve"> of excipients as possible </w:t>
      </w:r>
      <w:r w:rsidR="00202F04">
        <w:t>was used</w:t>
      </w:r>
      <w:r w:rsidR="00D5256E">
        <w:t>, hence 10 % w/w was chosen</w:t>
      </w:r>
      <w:r w:rsidR="00426BDC">
        <w:t xml:space="preserve"> in order to </w:t>
      </w:r>
      <w:r w:rsidR="00CD4E27">
        <w:t xml:space="preserve">keep the final </w:t>
      </w:r>
      <w:r w:rsidR="00CD4E27">
        <w:lastRenderedPageBreak/>
        <w:t>formulation suitable for patient consumption</w:t>
      </w:r>
      <w:r w:rsidR="00D5406B">
        <w:t>.</w:t>
      </w:r>
      <w:r w:rsidR="00B50440">
        <w:t xml:space="preserve"> </w:t>
      </w:r>
      <w:r w:rsidR="00D92D8D">
        <w:t>However, n</w:t>
      </w:r>
      <w:r w:rsidR="00701989">
        <w:t xml:space="preserve">o significant changes in AIF, cohesiveness or FF </w:t>
      </w:r>
      <w:r w:rsidR="00D97241">
        <w:t>were seen</w:t>
      </w:r>
      <w:r w:rsidR="00473D77">
        <w:t xml:space="preserve"> upon addition of the glidant for either formulation (p &gt; 0.05)</w:t>
      </w:r>
      <w:r w:rsidR="001D3BBB">
        <w:t>.</w:t>
      </w:r>
      <w:r w:rsidR="00184C61">
        <w:t xml:space="preserve"> </w:t>
      </w:r>
      <w:r w:rsidR="00214FA8">
        <w:t xml:space="preserve">The average </w:t>
      </w:r>
      <w:r w:rsidR="00801B9A">
        <w:t xml:space="preserve">particle size for Avicel PH102 is 100 </w:t>
      </w:r>
      <w:r w:rsidR="00801B9A">
        <w:rPr>
          <w:rFonts w:cs="Times New Roman"/>
        </w:rPr>
        <w:t>µ</w:t>
      </w:r>
      <w:r w:rsidR="00801B9A">
        <w:t>m</w:t>
      </w:r>
      <w:r w:rsidR="00F02365">
        <w:t xml:space="preserve"> according to the </w:t>
      </w:r>
      <w:r w:rsidR="00C2776F">
        <w:t>manufacturer’s</w:t>
      </w:r>
      <w:r w:rsidR="00F02365">
        <w:t xml:space="preserve"> specifications</w:t>
      </w:r>
      <w:r w:rsidR="00B334DB">
        <w:t>.</w:t>
      </w:r>
      <w:r w:rsidR="00F22D2C">
        <w:t xml:space="preserve"> </w:t>
      </w:r>
      <w:r w:rsidR="00C2776F">
        <w:t xml:space="preserve">Due to </w:t>
      </w:r>
      <w:r w:rsidR="00CE4718">
        <w:t xml:space="preserve">the </w:t>
      </w:r>
      <w:r w:rsidR="00660101">
        <w:t xml:space="preserve">relatively low concentration </w:t>
      </w:r>
      <w:r w:rsidR="00340489">
        <w:t xml:space="preserve">of </w:t>
      </w:r>
      <w:r w:rsidR="007572F6">
        <w:t>Avicel PH102</w:t>
      </w:r>
      <w:r w:rsidR="00C44766">
        <w:t xml:space="preserve"> and the smaller particle size compared</w:t>
      </w:r>
      <w:r w:rsidR="00F00B5F">
        <w:t xml:space="preserve"> to the MG formulations, it exerts no significant effects</w:t>
      </w:r>
      <w:r w:rsidR="001C27A7">
        <w:t xml:space="preserve"> on flowability</w:t>
      </w:r>
      <w:r w:rsidR="0057155F">
        <w:t xml:space="preserve"> measurements</w:t>
      </w:r>
      <w:r w:rsidR="00C55463">
        <w:t>.</w:t>
      </w:r>
      <w:r w:rsidR="00113AE3">
        <w:t xml:space="preserve"> Also,</w:t>
      </w:r>
      <w:r w:rsidR="001B57FC">
        <w:t xml:space="preserve"> Avicel PH102 </w:t>
      </w:r>
      <w:r w:rsidR="002A29BF">
        <w:t>at 10 % w/w concentration</w:t>
      </w:r>
      <w:r w:rsidR="00F20E7B">
        <w:t xml:space="preserve"> was compressed into caplets but</w:t>
      </w:r>
      <w:r w:rsidR="002A29BF">
        <w:t xml:space="preserve"> </w:t>
      </w:r>
      <w:r w:rsidR="00A62B54">
        <w:t xml:space="preserve">did not </w:t>
      </w:r>
      <w:r w:rsidR="00962462">
        <w:t xml:space="preserve">significantly </w:t>
      </w:r>
      <w:r w:rsidR="00A62B54">
        <w:t xml:space="preserve">affect the </w:t>
      </w:r>
      <w:r w:rsidR="00824BA7">
        <w:t>c</w:t>
      </w:r>
      <w:r w:rsidR="00A62B54">
        <w:t>a</w:t>
      </w:r>
      <w:r w:rsidR="00824BA7">
        <w:t>p</w:t>
      </w:r>
      <w:r w:rsidR="00A62B54">
        <w:t xml:space="preserve">let hardness, </w:t>
      </w:r>
      <w:r w:rsidR="003C039D">
        <w:t xml:space="preserve">friability, disintegration or </w:t>
      </w:r>
      <w:r w:rsidR="003C039D" w:rsidRPr="00912358">
        <w:rPr>
          <w:i/>
          <w:iCs/>
        </w:rPr>
        <w:t>in-vitro</w:t>
      </w:r>
      <w:r w:rsidR="003C039D">
        <w:t xml:space="preserve"> dissolution studies</w:t>
      </w:r>
      <w:r w:rsidR="00962462">
        <w:t xml:space="preserve"> of either formulation and </w:t>
      </w:r>
      <w:r w:rsidR="00E27243">
        <w:t xml:space="preserve">these </w:t>
      </w:r>
      <w:r w:rsidR="00962462">
        <w:t>result</w:t>
      </w:r>
      <w:r w:rsidR="00E27243">
        <w:t>s were excluded from the current work.</w:t>
      </w:r>
    </w:p>
    <w:p w14:paraId="0C953F8C" w14:textId="2A3C9FDF" w:rsidR="00021471" w:rsidRPr="005A0CD7" w:rsidRDefault="00AB660F" w:rsidP="002244B8">
      <w:r w:rsidRPr="00AB660F">
        <w:t xml:space="preserve">Several other factors can have significant effects on the flowability of products such as moisture content, storage conditions and hopper angle. Jenike </w:t>
      </w:r>
      <w:r w:rsidRPr="00AB660F">
        <w:fldChar w:fldCharType="begin" w:fldLock="1"/>
      </w:r>
      <w:r w:rsidR="00E05EA3">
        <w:instrText>ADDIN CSL_CITATION {"citationItems":[{"id":"ITEM-1","itemData":{"author":[{"dropping-particle":"","family":"Jenike","given":"A. W.","non-dropping-particle":"","parse-names":false,"suffix":""}],"container-title":"Bulletin 123, Engineering Experiment Station, University of Utah, USA","id":"ITEM-1","issued":{"date-parts":[["1964"]]},"title":"Storage and flow of solids","type":"article-journal"},"uris":["http://www.mendeley.com/documents/?uuid=ce4f1b8c-de3d-4b7c-adb3-2f7ef865979f"]}],"mendeley":{"formattedCitation":"(49)","plainTextFormattedCitation":"(49)","previouslyFormattedCitation":"(49)"},"properties":{"noteIndex":0},"schema":"https://github.com/citation-style-language/schema/raw/master/csl-citation.json"}</w:instrText>
      </w:r>
      <w:r w:rsidRPr="00AB660F">
        <w:fldChar w:fldCharType="separate"/>
      </w:r>
      <w:r w:rsidR="00FB235B" w:rsidRPr="00FB235B">
        <w:rPr>
          <w:noProof/>
        </w:rPr>
        <w:t>(49)</w:t>
      </w:r>
      <w:r w:rsidRPr="00AB660F">
        <w:fldChar w:fldCharType="end"/>
      </w:r>
      <w:r w:rsidRPr="00AB660F">
        <w:t xml:space="preserve"> used </w:t>
      </w:r>
      <w:r w:rsidR="00BA5922">
        <w:t>FF</w:t>
      </w:r>
      <w:r w:rsidRPr="00AB660F">
        <w:t xml:space="preserve"> to classify powder flowability</w:t>
      </w:r>
      <w:r w:rsidR="00BA5922">
        <w:t>,</w:t>
      </w:r>
      <w:r w:rsidRPr="00AB660F">
        <w:t xml:space="preserve"> with higher values representing easier flow</w:t>
      </w:r>
      <w:r w:rsidR="00F36103">
        <w:t>.</w:t>
      </w:r>
      <w:r w:rsidR="00144261">
        <w:t>.</w:t>
      </w:r>
      <w:r w:rsidRPr="00AB660F">
        <w:t xml:space="preserve"> </w:t>
      </w:r>
      <w:r w:rsidR="00DF30D8">
        <w:t>All formulations tested</w:t>
      </w:r>
      <w:r w:rsidRPr="00AB660F">
        <w:t xml:space="preserve"> </w:t>
      </w:r>
      <w:r w:rsidR="00E42942" w:rsidRPr="00AB660F">
        <w:t>are</w:t>
      </w:r>
      <w:r w:rsidRPr="00AB660F">
        <w:t xml:space="preserve"> easy flow</w:t>
      </w:r>
      <w:r w:rsidR="009A2FFA">
        <w:t>ing</w:t>
      </w:r>
      <w:r w:rsidRPr="00AB660F">
        <w:t xml:space="preserve"> based </w:t>
      </w:r>
      <w:r w:rsidRPr="005A0CD7">
        <w:t>on the</w:t>
      </w:r>
      <w:r w:rsidR="00CA626C" w:rsidRPr="005A0CD7">
        <w:t xml:space="preserve"> Jenike</w:t>
      </w:r>
      <w:r w:rsidRPr="005A0CD7">
        <w:t xml:space="preserve"> classification</w:t>
      </w:r>
      <w:r w:rsidR="00F36103" w:rsidRPr="005A0CD7">
        <w:t xml:space="preserve"> as</w:t>
      </w:r>
      <w:r w:rsidR="00F23290" w:rsidRPr="005A0CD7">
        <w:t xml:space="preserve"> each of</w:t>
      </w:r>
      <w:r w:rsidR="00F36103" w:rsidRPr="005A0CD7">
        <w:t xml:space="preserve"> </w:t>
      </w:r>
      <w:r w:rsidR="00CA626C" w:rsidRPr="005A0CD7">
        <w:t>their respective</w:t>
      </w:r>
      <w:r w:rsidR="00D9559F" w:rsidRPr="005A0CD7">
        <w:t xml:space="preserve"> FF </w:t>
      </w:r>
      <w:r w:rsidR="00057E49" w:rsidRPr="005A0CD7">
        <w:t>fall between 4 and 10</w:t>
      </w:r>
      <w:r w:rsidR="00885AE1" w:rsidRPr="005A0CD7">
        <w:t>.</w:t>
      </w:r>
    </w:p>
    <w:p w14:paraId="0842DD43" w14:textId="6AFABD54" w:rsidR="00021471" w:rsidRDefault="00B77D60" w:rsidP="002244B8">
      <w:pPr>
        <w:rPr>
          <w:rFonts w:cs="Times New Roman"/>
        </w:rPr>
      </w:pPr>
      <w:r w:rsidRPr="005B0AD5">
        <w:rPr>
          <w:rFonts w:cs="Times New Roman"/>
        </w:rPr>
        <w:t>Content Assay</w:t>
      </w:r>
    </w:p>
    <w:p w14:paraId="0FD78995" w14:textId="1B32F79D" w:rsidR="00021471" w:rsidRPr="005A0CD7" w:rsidRDefault="007F6F87" w:rsidP="002244B8">
      <w:r w:rsidRPr="007F6F87">
        <w:t xml:space="preserve">During processing, degradation </w:t>
      </w:r>
      <w:r w:rsidR="009A2FFA">
        <w:t>of</w:t>
      </w:r>
      <w:r w:rsidRPr="007F6F87">
        <w:t xml:space="preserve"> APIs may </w:t>
      </w:r>
      <w:r w:rsidR="00073D88">
        <w:t>occur</w:t>
      </w:r>
      <w:r w:rsidRPr="007F6F87">
        <w:t xml:space="preserve"> and as a result it</w:t>
      </w:r>
      <w:r w:rsidR="00073D88">
        <w:t xml:space="preserve"> is</w:t>
      </w:r>
      <w:r w:rsidRPr="007F6F87">
        <w:t xml:space="preserve"> important to investigate the final API content to comply with regulations. During MG, thermal degradation is a potential hazard for APIs due to excess thermal energy generation</w:t>
      </w:r>
      <w:r w:rsidR="00C71A62">
        <w:t xml:space="preserve">. </w:t>
      </w:r>
      <w:r w:rsidRPr="007F6F87">
        <w:t>Acceptable limits of API content are usually stipulated in the monographs of pharmacopoeias. In the B</w:t>
      </w:r>
      <w:r w:rsidR="00912358">
        <w:t>P</w:t>
      </w:r>
      <w:r w:rsidRPr="007F6F87">
        <w:t xml:space="preserve">, no monograph currently exits for FDCs containing both MET and SIT. For individual monographs of MET and SIT, the requirement for content assay tests to be successful is to have drug content not less than 95.0 % and not more than 105.0 % of the stated amount </w:t>
      </w:r>
      <w:r w:rsidRPr="005A0CD7">
        <w:fldChar w:fldCharType="begin" w:fldLock="1"/>
      </w:r>
      <w:r w:rsidR="00E05EA3" w:rsidRPr="005A0CD7">
        <w:instrText>ADDIN CSL_CITATION {"citationItems":[{"id":"ITEM-1","itemData":{"URL":"https://www.pharmacopoeia.com/bp-2019/formulated-specific/metformin-tablets.html?date=2019-01-01&amp;text=Metformin","accessed":{"date-parts":[["2019","4","16"]]},"author":[{"dropping-particle":"","family":"British Pharmacopoeia","given":"","non-dropping-particle":"","parse-names":false,"suffix":""}],"id":"ITEM-1","issued":{"date-parts":[["2019"]]},"title":"Metformin Tablets - British Pharmacopoeia","type":"webpage"},"uris":["http://www.mendeley.com/documents/?uuid=a68d70b1-68da-372d-a595-39a3b3e9915b"]},{"id":"ITEM-2","itemData":{"URL":"https://www.pharmacopoeia.com/bp-2019/formulated-specific/sitagliptin-tablets.html?date=2019-01-01&amp;text=sitagliptin","accessed":{"date-parts":[["2019","4","16"]]},"author":[{"dropping-particle":"","family":"British Pharmacopoeia","given":"","non-dropping-particle":"","parse-names":false,"suffix":""}],"id":"ITEM-2","issued":{"date-parts":[["2019"]]},"title":"Sitagliptin Tablets - British Pharmacopoeia","type":"webpage"},"uris":["http://www.mendeley.com/documents/?uuid=6dfa5a57-5687-3c9e-a31a-2f3cd0e86871"]}],"mendeley":{"formattedCitation":"(50,51)","plainTextFormattedCitation":"(50,51)","previouslyFormattedCitation":"(50,51)"},"properties":{"noteIndex":0},"schema":"https://github.com/citation-style-language/schema/raw/master/csl-citation.json"}</w:instrText>
      </w:r>
      <w:r w:rsidRPr="005A0CD7">
        <w:fldChar w:fldCharType="separate"/>
      </w:r>
      <w:r w:rsidR="00FB235B" w:rsidRPr="005A0CD7">
        <w:rPr>
          <w:noProof/>
        </w:rPr>
        <w:t>(50,51)</w:t>
      </w:r>
      <w:r w:rsidRPr="005A0CD7">
        <w:fldChar w:fldCharType="end"/>
      </w:r>
      <w:r w:rsidRPr="005A0CD7">
        <w:t xml:space="preserve">. </w:t>
      </w:r>
      <w:r w:rsidR="00265D05" w:rsidRPr="005A0CD7">
        <w:t xml:space="preserve">Both </w:t>
      </w:r>
      <w:r w:rsidR="00CF2F30" w:rsidRPr="005A0CD7">
        <w:t>the MG</w:t>
      </w:r>
      <w:r w:rsidR="00B83310" w:rsidRPr="005A0CD7">
        <w:t xml:space="preserve"> HPC-</w:t>
      </w:r>
      <w:r w:rsidR="00D2612D" w:rsidRPr="005A0CD7">
        <w:t>A</w:t>
      </w:r>
      <w:r w:rsidR="00B83310" w:rsidRPr="005A0CD7">
        <w:t xml:space="preserve"> formulation (MET content </w:t>
      </w:r>
      <w:r w:rsidR="005113A2" w:rsidRPr="005A0CD7">
        <w:t>98.</w:t>
      </w:r>
      <w:r w:rsidR="00186E87" w:rsidRPr="005A0CD7">
        <w:t>84</w:t>
      </w:r>
      <w:r w:rsidR="005113A2" w:rsidRPr="005A0CD7">
        <w:t xml:space="preserve"> ± 0.</w:t>
      </w:r>
      <w:r w:rsidR="00186E87" w:rsidRPr="005A0CD7">
        <w:t>46</w:t>
      </w:r>
      <w:r w:rsidR="005113A2" w:rsidRPr="005A0CD7">
        <w:t xml:space="preserve"> %, SIT content </w:t>
      </w:r>
      <w:r w:rsidR="00070810" w:rsidRPr="005A0CD7">
        <w:t>9</w:t>
      </w:r>
      <w:r w:rsidR="00186E87" w:rsidRPr="005A0CD7">
        <w:t>8</w:t>
      </w:r>
      <w:r w:rsidR="00070810" w:rsidRPr="005A0CD7">
        <w:t>.4</w:t>
      </w:r>
      <w:r w:rsidR="00186E87" w:rsidRPr="005A0CD7">
        <w:t>7</w:t>
      </w:r>
      <w:r w:rsidR="00070810" w:rsidRPr="005A0CD7">
        <w:t xml:space="preserve"> ± 0.</w:t>
      </w:r>
      <w:r w:rsidR="00186E87" w:rsidRPr="005A0CD7">
        <w:t>74</w:t>
      </w:r>
      <w:r w:rsidR="00070810" w:rsidRPr="005A0CD7">
        <w:t xml:space="preserve"> %</w:t>
      </w:r>
      <w:r w:rsidR="00AA6FDA" w:rsidRPr="005A0CD7">
        <w:t>)</w:t>
      </w:r>
      <w:r w:rsidR="001465AA" w:rsidRPr="005A0CD7">
        <w:t xml:space="preserve"> and the MG HPC-</w:t>
      </w:r>
      <w:r w:rsidR="00D2612D" w:rsidRPr="005A0CD7">
        <w:t>S</w:t>
      </w:r>
      <w:r w:rsidR="001465AA" w:rsidRPr="005A0CD7">
        <w:t xml:space="preserve"> formulation</w:t>
      </w:r>
      <w:r w:rsidR="00D2612D" w:rsidRPr="005A0CD7">
        <w:t xml:space="preserve"> (MET content 98.12 ± 0.84 %, SIT content 99.14 ± 0.35 %)</w:t>
      </w:r>
      <w:r w:rsidR="007613C4" w:rsidRPr="005A0CD7">
        <w:t xml:space="preserve"> complied with the required content assays of the APIs.</w:t>
      </w:r>
    </w:p>
    <w:p w14:paraId="1FA6EB77" w14:textId="10A90789" w:rsidR="00280F3E" w:rsidRDefault="00C15699" w:rsidP="002244B8">
      <w:pPr>
        <w:rPr>
          <w:rFonts w:cs="Times New Roman"/>
        </w:rPr>
      </w:pPr>
      <w:r w:rsidRPr="00BC2F9E">
        <w:rPr>
          <w:rFonts w:cs="Times New Roman"/>
        </w:rPr>
        <w:t>Scanning Electron Microscopy</w:t>
      </w:r>
    </w:p>
    <w:p w14:paraId="3F92DB60" w14:textId="2007B51D" w:rsidR="00BC2F9E" w:rsidRPr="00BC2F9E" w:rsidRDefault="00916D1D" w:rsidP="002244B8">
      <w:r w:rsidRPr="00916D1D">
        <w:t xml:space="preserve">SEM images for API raw materials (MET and SIT) show both APIs to consist of orthorhombic-shaped </w:t>
      </w:r>
      <w:r w:rsidRPr="005A0CD7">
        <w:t xml:space="preserve">crystals (figure </w:t>
      </w:r>
      <w:r w:rsidR="008E562F" w:rsidRPr="005A0CD7">
        <w:t>4</w:t>
      </w:r>
      <w:r w:rsidRPr="005A0CD7">
        <w:t xml:space="preserve"> (a) and (b)). Figures </w:t>
      </w:r>
      <w:r w:rsidR="008E562F" w:rsidRPr="005A0CD7">
        <w:t>4</w:t>
      </w:r>
      <w:r w:rsidRPr="005A0CD7">
        <w:t xml:space="preserve"> (c) and </w:t>
      </w:r>
      <w:r w:rsidR="008E562F" w:rsidRPr="005A0CD7">
        <w:t>4</w:t>
      </w:r>
      <w:r w:rsidRPr="005A0CD7">
        <w:t xml:space="preserve"> (d)</w:t>
      </w:r>
      <w:r w:rsidRPr="00916D1D">
        <w:t xml:space="preserve"> show SEM images for the MG formulations contain</w:t>
      </w:r>
      <w:r w:rsidR="00D92D8D">
        <w:t>ing</w:t>
      </w:r>
      <w:r w:rsidRPr="00916D1D">
        <w:t xml:space="preserve"> HPC-A and HPC-S respectively. The formulations appear as round agglomerates of smaller particles, with the loss of the longitudinal orthorhombic structures of the individual API raw materials. This corresponds well to the increase in the particle size</w:t>
      </w:r>
      <w:r w:rsidR="00D92D8D">
        <w:t>,</w:t>
      </w:r>
      <w:r w:rsidRPr="00916D1D">
        <w:t xml:space="preserve"> discussed </w:t>
      </w:r>
      <w:r w:rsidR="00D92D8D">
        <w:t>above,</w:t>
      </w:r>
      <w:r w:rsidR="00D92D8D" w:rsidRPr="00916D1D">
        <w:t xml:space="preserve"> </w:t>
      </w:r>
      <w:r w:rsidRPr="00916D1D">
        <w:t>of the MG formulations in comparison to the APIs</w:t>
      </w:r>
      <w:r w:rsidR="00A36DCA">
        <w:t xml:space="preserve"> raw materials</w:t>
      </w:r>
      <w:r w:rsidRPr="00916D1D">
        <w:t>.</w:t>
      </w:r>
    </w:p>
    <w:p w14:paraId="20E3CED7" w14:textId="2F972233" w:rsidR="00280F3E" w:rsidRPr="005A4A72" w:rsidRDefault="007A42B7" w:rsidP="002244B8">
      <w:pPr>
        <w:rPr>
          <w:rFonts w:cs="Times New Roman"/>
          <w:szCs w:val="24"/>
        </w:rPr>
      </w:pPr>
      <w:r w:rsidRPr="005A4A72">
        <w:rPr>
          <w:rFonts w:cs="Times New Roman"/>
          <w:szCs w:val="24"/>
        </w:rPr>
        <w:lastRenderedPageBreak/>
        <w:t xml:space="preserve">Manufacture of </w:t>
      </w:r>
      <w:r w:rsidR="005A4A72" w:rsidRPr="005A4A72">
        <w:rPr>
          <w:rFonts w:cs="Times New Roman"/>
          <w:szCs w:val="24"/>
        </w:rPr>
        <w:t>Caplets</w:t>
      </w:r>
    </w:p>
    <w:p w14:paraId="5D683356" w14:textId="2E155B9E" w:rsidR="00280F3E" w:rsidRDefault="007170D9" w:rsidP="002244B8">
      <w:r w:rsidRPr="007170D9">
        <w:t>Due to the large therapeutic dosage of the APIs, conventional circular tablets with flat faces are unsuitable for patients to swallow easily. As the market product Janumet</w:t>
      </w:r>
      <w:r w:rsidRPr="007170D9">
        <w:rPr>
          <w:vertAlign w:val="superscript"/>
        </w:rPr>
        <w:t>®</w:t>
      </w:r>
      <w:r w:rsidRPr="007170D9">
        <w:t>, is manufactured to produce an elongated tablet, otherwise known as a caplet, it was decided that our in-house caplet die would be used to produce a similarly shaped product for ease of swallowing</w:t>
      </w:r>
      <w:r w:rsidR="00171E29">
        <w:t xml:space="preserve"> </w:t>
      </w:r>
      <w:r w:rsidR="00171E29" w:rsidRPr="003507FC">
        <w:rPr>
          <w:b/>
        </w:rPr>
        <w:t xml:space="preserve">(figure </w:t>
      </w:r>
      <w:r w:rsidR="00C40B1F" w:rsidRPr="003507FC">
        <w:rPr>
          <w:b/>
        </w:rPr>
        <w:t>5</w:t>
      </w:r>
      <w:r w:rsidR="00B63EB6">
        <w:rPr>
          <w:b/>
        </w:rPr>
        <w:t>(a)</w:t>
      </w:r>
      <w:r w:rsidR="00171E29">
        <w:t>)</w:t>
      </w:r>
      <w:r w:rsidRPr="007170D9">
        <w:t>.</w:t>
      </w:r>
      <w:r w:rsidR="00A97232">
        <w:t xml:space="preserve"> </w:t>
      </w:r>
      <w:r w:rsidR="00A97232" w:rsidRPr="00A97232">
        <w:t xml:space="preserve">Two different compression forces were selected for caplet formation and the manufactured caplets were subjected to evaluation according to the common compendial tests for oral tablets (i.e. hardness, friability, disintegration and </w:t>
      </w:r>
      <w:r w:rsidR="00A97232" w:rsidRPr="00912358">
        <w:rPr>
          <w:i/>
          <w:iCs/>
        </w:rPr>
        <w:t>in-vitro</w:t>
      </w:r>
      <w:r w:rsidR="00A97232" w:rsidRPr="00A97232">
        <w:t xml:space="preserve"> dissolution).</w:t>
      </w:r>
      <w:r w:rsidR="00A97232">
        <w:t xml:space="preserve"> </w:t>
      </w:r>
    </w:p>
    <w:p w14:paraId="2B862368" w14:textId="1AC0E54E" w:rsidR="00E7783E" w:rsidRDefault="00E7783E" w:rsidP="002244B8">
      <w:pPr>
        <w:rPr>
          <w:rFonts w:cs="Times New Roman"/>
          <w:szCs w:val="24"/>
        </w:rPr>
      </w:pPr>
      <w:r w:rsidRPr="00E7783E">
        <w:rPr>
          <w:rFonts w:cs="Times New Roman"/>
          <w:szCs w:val="24"/>
        </w:rPr>
        <w:t>Characterisation of Caplets</w:t>
      </w:r>
    </w:p>
    <w:p w14:paraId="7529A4FE" w14:textId="68866EBD" w:rsidR="00E7783E" w:rsidRDefault="00E7783E" w:rsidP="002244B8">
      <w:pPr>
        <w:rPr>
          <w:rFonts w:cs="Times New Roman"/>
        </w:rPr>
      </w:pPr>
      <w:r w:rsidRPr="000721DD">
        <w:rPr>
          <w:rFonts w:cs="Times New Roman"/>
        </w:rPr>
        <w:t xml:space="preserve">Caplet hardness </w:t>
      </w:r>
      <w:r w:rsidR="000721DD" w:rsidRPr="000721DD">
        <w:rPr>
          <w:rFonts w:cs="Times New Roman"/>
        </w:rPr>
        <w:t>testing</w:t>
      </w:r>
    </w:p>
    <w:p w14:paraId="19F96BA9" w14:textId="5505FA34" w:rsidR="0046500A" w:rsidRPr="00573403" w:rsidRDefault="00606BDE" w:rsidP="002244B8">
      <w:pPr>
        <w:rPr>
          <w:rFonts w:eastAsia="Calibri" w:cs="Times New Roman"/>
          <w:noProof/>
        </w:rPr>
      </w:pPr>
      <w:r w:rsidRPr="00606BDE">
        <w:t xml:space="preserve">The strength of manufactured caplets can be defined in terms of the compression force required to fracture a specimen across its diameter, which is commonly determined by conducting a hardness test </w:t>
      </w:r>
      <w:r w:rsidRPr="00606BDE">
        <w:fldChar w:fldCharType="begin" w:fldLock="1"/>
      </w:r>
      <w:r w:rsidR="00E05EA3">
        <w:instrText>ADDIN CSL_CITATION {"citationItems":[{"id":"ITEM-1","itemData":{"DOI":"10.1002/JPS.2600590523","ISSN":"0022-3549","abstract":"The strength of lactose tablets has been measured by application of the diametral-compression test. The relative value of tensile, compressive, and shear stresses within the tablet varies, depending on the characteristics of the tablets and the surface providing the applied compression. It has been shown that to obtain reproducible results for the strength of tablets prepared at a given compression force, the tablet must break in such a manner that the tensile stress is the major stress. For a given tablet, this may require the placing of suitable padding material between the tablet and the compressing surfaces. Assessment of the type of failure can be made visually and under the correct conditions, the results expressed as a tensile strength. There are, however, a range of conditions which ensure tensile failure resulting in different values for the tensile strength. These values are characteristic of the tablet and test conditions and are not absolute values of tensile strength.","author":[{"dropping-particle":"","family":"Fell","given":"J.T.","non-dropping-particle":"","parse-names":false,"suffix":""},{"dropping-particle":"","family":"Newton","given":"J.M.","non-dropping-particle":"","parse-names":false,"suffix":""}],"container-title":"Journal of Pharmaceutical Sciences","id":"ITEM-1","issue":"5","issued":{"date-parts":[["1970","5","1"]]},"page":"688-691","publisher":"Elsevier","title":"Determination of Tablet Strength by the Diametral-Compression Test","type":"article-journal","volume":"59"},"uris":["http://www.mendeley.com/documents/?uuid=0b9f26dd-f34a-3027-9a1b-c75686b3755d"]}],"mendeley":{"formattedCitation":"(52)","plainTextFormattedCitation":"(52)","previouslyFormattedCitation":"(52)"},"properties":{"noteIndex":0},"schema":"https://github.com/citation-style-language/schema/raw/master/csl-citation.json"}</w:instrText>
      </w:r>
      <w:r w:rsidRPr="00606BDE">
        <w:fldChar w:fldCharType="separate"/>
      </w:r>
      <w:r w:rsidR="00FB235B" w:rsidRPr="00FB235B">
        <w:rPr>
          <w:noProof/>
        </w:rPr>
        <w:t>(52)</w:t>
      </w:r>
      <w:r w:rsidRPr="00606BDE">
        <w:fldChar w:fldCharType="end"/>
      </w:r>
      <w:r w:rsidRPr="00606BDE">
        <w:t xml:space="preserve">. The hardness of complex dosage forms, such as elongated caplets, may be determined using a crushing method, however, the breaking load does not take into consideration all dimensions and shape of such complex geometries. Thus, converting fracture loads to tensile strength, allows the determination of resistance to crushing while also taking into consideration the geometry of the tablets being tested </w:t>
      </w:r>
      <w:r w:rsidRPr="00606BDE">
        <w:fldChar w:fldCharType="begin" w:fldLock="1"/>
      </w:r>
      <w:r w:rsidR="001B225D">
        <w:instrText>ADDIN CSL_CITATION {"citationItems":[{"id":"ITEM-1","itemData":{"DOI":"10.1016/J.POWTEC.2011.12.060","ISSN":"0032-5910","abstract":"THE TENSILE STRENGTH OF A TABLET IS AN IMPORTANT ATTRIBUTE AS THE TABLET NEEDS TO BE MECHANICALLY STRONG ENOUGH TO WITHSTAND FURTHER HANDLING SUCH AS FILM–COATING, PACKAGING, TRANSPORT AND END-USE BY THE PATIENT, BUT TO BE WEAK ENOUGH TO BREAK APART IN THE HUMAN BODY AND SO RELEASE ITS CONTENTS. MATHEMATICAL SOLUTIONS TO CALCULATE TENSILE STRENGTH ARE KNOWN FOR FLAT-FACED AND CONVEX-FACED CIRCULAR TABLETS. THE WORK DESCRIBED HERE AIMS TO EXTEND THIS KNOWLEDGE TO CAPSULE-SHAPED AND OVAL-SHAPED TABLETS BY MEANS OF 2-DIMENSIONAL (2D) AND 3-DIMENSIONAL (3D) FINITE ELEMENT ANALYSIS (FEA). THE STRESS ANALYSIS SHOWED THAT AS THE TABLET WAS ELONGATED FROM A STANDARD CIRCULAR TABLET TO BECOME THAT OF AN EXTENDED TABLET SHAPE, THE PEAK PRINCIPAL TENSILE STRESS REACHED A LIMITING VALUE. THIS LIMITING VALUE WAS REACHED AS THE RATIO OF THE LENGTH TO WIDTH DIMENSIONS EXCEEDED 1.7:1, WHICH ENCOMPASSES MOST MODERN PHARMACEUTICAL TABLETS. IN ADDITION THE STRESS ANALYSIS SHOWS THAT THIS LIMITING VALUE APPROXIMATED TO 2/3 THAT CALCULATED FOR CIRCULAR TABLETS. HENCE FOR A CONVEX-FACED ELONGATED TABLET THE CALCULATION FOR TENSILE STRENGTH GENERATED BY PITT ET AL. [1] WOULD BECOME:ΣT=2310PΠD22.84TD−0.126TW+3.15WD+0.01WHERE ΣT IS THE TENSILE STRENGTH, P IS THE FRACTURE LOAD, D IS THE LENGTH OF THE SHORT AXIS, T IS THE OVERALL THICKNESS AND W IS THE WALL HEIGHT OF THE TABLET, AS SHOWN IN FIG. 1C.\nThe solution was then checked by applying it to commercial tablets of differing shapes to demonstrate its utility.","author":[{"dropping-particle":"","family":"Pitt","given":"Kendal G.","non-dropping-particle":"","parse-names":false,"suffix":""},{"dropping-particle":"","family":"Heasley","given":"Matthew G.","non-dropping-particle":"","parse-names":false,"suffix":""}],"container-title":"Powder Technology","id":"ITEM-1","issued":{"date-parts":[["2013","4","1"]]},"page":"169-175","publisher":"Elsevier","title":"Determination of the tensile strength of elongated tablets","type":"article-journal","volume":"238"},"uris":["http://www.mendeley.com/documents/?uuid=d6e33b76-fe03-3439-8c6d-7e7a17e8a975"]}],"mendeley":{"formattedCitation":"(20)","plainTextFormattedCitation":"(20)","previouslyFormattedCitation":"(20)"},"properties":{"noteIndex":0},"schema":"https://github.com/citation-style-language/schema/raw/master/csl-citation.json"}</w:instrText>
      </w:r>
      <w:r w:rsidRPr="00606BDE">
        <w:fldChar w:fldCharType="separate"/>
      </w:r>
      <w:r w:rsidR="00EA3B9E" w:rsidRPr="00EA3B9E">
        <w:rPr>
          <w:noProof/>
        </w:rPr>
        <w:t>(20)</w:t>
      </w:r>
      <w:r w:rsidRPr="00606BDE">
        <w:fldChar w:fldCharType="end"/>
      </w:r>
      <w:r w:rsidRPr="00606BDE">
        <w:t xml:space="preserve">. Table </w:t>
      </w:r>
      <w:r w:rsidR="005A6E7C">
        <w:t>V</w:t>
      </w:r>
      <w:r w:rsidRPr="00606BDE">
        <w:t xml:space="preserve"> show</w:t>
      </w:r>
      <w:r w:rsidR="000C2E19">
        <w:t>s</w:t>
      </w:r>
      <w:r w:rsidRPr="00606BDE">
        <w:t xml:space="preserve"> the </w:t>
      </w:r>
      <w:r w:rsidR="007A4685">
        <w:t>measured</w:t>
      </w:r>
      <w:r w:rsidRPr="00606BDE">
        <w:t xml:space="preserve"> dimensions of the MG</w:t>
      </w:r>
      <w:r w:rsidR="00126441">
        <w:t xml:space="preserve"> caplets</w:t>
      </w:r>
      <w:r w:rsidRPr="00606BDE">
        <w:t xml:space="preserve"> manufactured post different compression forces. The length of</w:t>
      </w:r>
      <w:r w:rsidR="000723F9">
        <w:t xml:space="preserve"> the</w:t>
      </w:r>
      <w:r w:rsidRPr="00606BDE">
        <w:t xml:space="preserve"> short axis (D) and the length of the long axis (L) show no statistical difference</w:t>
      </w:r>
      <w:r w:rsidR="000723F9">
        <w:t>s</w:t>
      </w:r>
      <w:r w:rsidRPr="00606BDE">
        <w:t xml:space="preserve"> (p &gt; 0.05) regardless of formulation or compression force used. However, for overall thickness (t) and tablet wall height (w), </w:t>
      </w:r>
      <w:r w:rsidR="00D47607">
        <w:t>increased compression force resulted in signif</w:t>
      </w:r>
      <w:r w:rsidR="00B93761">
        <w:t>icantly smaller caplets</w:t>
      </w:r>
      <w:r w:rsidR="000042F9">
        <w:t>,</w:t>
      </w:r>
      <w:r w:rsidR="00BE159F">
        <w:t xml:space="preserve"> as expected</w:t>
      </w:r>
      <w:r w:rsidR="00B93761">
        <w:t>.</w:t>
      </w:r>
      <w:r w:rsidR="00317D63">
        <w:t xml:space="preserve"> </w:t>
      </w:r>
      <w:r w:rsidR="00317D63" w:rsidRPr="00317D63">
        <w:t xml:space="preserve">HPC has previously been described as being a visco-elastic material </w:t>
      </w:r>
      <w:r w:rsidR="00317D63" w:rsidRPr="00317D63">
        <w:fldChar w:fldCharType="begin" w:fldLock="1"/>
      </w:r>
      <w:r w:rsidR="00E05EA3">
        <w:instrText>ADDIN CSL_CITATION {"citationItems":[{"id":"ITEM-1","itemData":{"DOI":"10.1208/pt0804092","ISSN":"1530-9932","PMID":"18181552","abstract":"The aim of the study was to analyze hydroxypropylcellulose (HPC) in pure form and in excipient mixtures and to relate its physical and chemical properties to tablet binder functionality. The materials used were Klucel hydroxypropylcellulose grades ranging from low to high molecular weight (80-1000 kDa) of regular particle size (250 microm mean size) and fine particle size (80 microm mean size). These were compared with microcrystalline cellulose, spray-dried lactose, and dicalcium phosphate dihydrate. Thermal behavior of HPC was analyzed by modulated temperature differential scanning calorimetry (MTDSC). Tablets of the pure materials and of dry blends with 4% low viscosity, fine particle HPC and 30% high viscosity, fine particle HPC were produced on an instrumented eccentric tableting machine at 3 relative humidities. The 3-dimensional (3-D) model with the parameters time plasticity d, pressure plasticity e, and the twisting angle omega, the inverse of fast elastic decompression was compared with the Heckel method for characterization of compaction. Elastic recovery and compactibility were also studied. The results show that HPC tablet formation is characterized by high plastic deformation. The d, e, and omega values were markedly higher as compared with the reference materials. Plasticity was highest for the fine particle size HPC types. Maximum compactibility was observed for low molecular weight, fine particle size HPC. Tableting of the mixtures showed deformation, which was strongly influenced by HPC. Plasticity and crushing force of formed tablets was increased. In conclusion, HPC is characterized by strong plastic deformation properties, which are molecular weight and particle size dependent.","author":[{"dropping-particle":"","family":"Picker-Freyer","given":"Katharina M.","non-dropping-particle":"","parse-names":false,"suffix":""},{"dropping-particle":"","family":"Dürig","given":"Thomas","non-dropping-particle":"","parse-names":false,"suffix":""}],"container-title":"AAPS PharmSciTech","id":"ITEM-1","issue":"4","issued":{"date-parts":[["2007","10","9"]]},"page":"82","title":"Physical mechanical and tablet formation properties of hydroxypropylcellulose: In pure form and in mixtures","type":"article-journal","volume":"8"},"uris":["http://www.mendeley.com/documents/?uuid=1f2103c4-d3ac-3ad1-b8eb-93c4d3e7064e"]}],"mendeley":{"formattedCitation":"(26)","plainTextFormattedCitation":"(26)","previouslyFormattedCitation":"(26)"},"properties":{"noteIndex":0},"schema":"https://github.com/citation-style-language/schema/raw/master/csl-citation.json"}</w:instrText>
      </w:r>
      <w:r w:rsidR="00317D63" w:rsidRPr="00317D63">
        <w:fldChar w:fldCharType="separate"/>
      </w:r>
      <w:r w:rsidR="00FB235B" w:rsidRPr="00FB235B">
        <w:rPr>
          <w:noProof/>
        </w:rPr>
        <w:t>(26)</w:t>
      </w:r>
      <w:r w:rsidR="00317D63" w:rsidRPr="00317D63">
        <w:fldChar w:fldCharType="end"/>
      </w:r>
      <w:r w:rsidR="00317D63" w:rsidRPr="00317D63">
        <w:t>,</w:t>
      </w:r>
      <w:r w:rsidR="00317D63">
        <w:t xml:space="preserve"> meaning increased compression forces result in greater compaction.</w:t>
      </w:r>
      <w:r w:rsidR="00807C7B">
        <w:t xml:space="preserve"> </w:t>
      </w:r>
      <w:r w:rsidR="00BD39C7">
        <w:t xml:space="preserve">The </w:t>
      </w:r>
      <w:r w:rsidR="000042F9">
        <w:t>results here</w:t>
      </w:r>
      <w:r w:rsidR="001A69B3">
        <w:t xml:space="preserve"> also correspond well </w:t>
      </w:r>
      <w:r w:rsidR="00A40949">
        <w:t xml:space="preserve">with Picker-Freyer and </w:t>
      </w:r>
      <w:r w:rsidR="00A40949" w:rsidRPr="00A40949">
        <w:t>Dürig</w:t>
      </w:r>
      <w:r w:rsidR="00A40949">
        <w:t>’s</w:t>
      </w:r>
      <w:r w:rsidR="00980074">
        <w:t xml:space="preserve"> </w:t>
      </w:r>
      <w:r w:rsidR="00786DB2">
        <w:fldChar w:fldCharType="begin" w:fldLock="1"/>
      </w:r>
      <w:r w:rsidR="00E05EA3">
        <w:instrText>ADDIN CSL_CITATION {"citationItems":[{"id":"ITEM-1","itemData":{"DOI":"10.1208/pt0804092","ISSN":"1530-9932","PMID":"18181552","abstract":"The aim of the study was to analyze hydroxypropylcellulose (HPC) in pure form and in excipient mixtures and to relate its physical and chemical properties to tablet binder functionality. The materials used were Klucel hydroxypropylcellulose grades ranging from low to high molecular weight (80-1000 kDa) of regular particle size (250 microm mean size) and fine particle size (80 microm mean size). These were compared with microcrystalline cellulose, spray-dried lactose, and dicalcium phosphate dihydrate. Thermal behavior of HPC was analyzed by modulated temperature differential scanning calorimetry (MTDSC). Tablets of the pure materials and of dry blends with 4% low viscosity, fine particle HPC and 30% high viscosity, fine particle HPC were produced on an instrumented eccentric tableting machine at 3 relative humidities. The 3-dimensional (3-D) model with the parameters time plasticity d, pressure plasticity e, and the twisting angle omega, the inverse of fast elastic decompression was compared with the Heckel method for characterization of compaction. Elastic recovery and compactibility were also studied. The results show that HPC tablet formation is characterized by high plastic deformation. The d, e, and omega values were markedly higher as compared with the reference materials. Plasticity was highest for the fine particle size HPC types. Maximum compactibility was observed for low molecular weight, fine particle size HPC. Tableting of the mixtures showed deformation, which was strongly influenced by HPC. Plasticity and crushing force of formed tablets was increased. In conclusion, HPC is characterized by strong plastic deformation properties, which are molecular weight and particle size dependent.","author":[{"dropping-particle":"","family":"Picker-Freyer","given":"Katharina M.","non-dropping-particle":"","parse-names":false,"suffix":""},{"dropping-particle":"","family":"Dürig","given":"Thomas","non-dropping-particle":"","parse-names":false,"suffix":""}],"container-title":"AAPS PharmSciTech","id":"ITEM-1","issue":"4","issued":{"date-parts":[["2007","10","9"]]},"page":"82","title":"Physical mechanical and tablet formation properties of hydroxypropylcellulose: In pure form and in mixtures","type":"article-journal","volume":"8"},"uris":["http://www.mendeley.com/documents/?uuid=1f2103c4-d3ac-3ad1-b8eb-93c4d3e7064e"]}],"mendeley":{"formattedCitation":"(26)","plainTextFormattedCitation":"(26)","previouslyFormattedCitation":"(26)"},"properties":{"noteIndex":0},"schema":"https://github.com/citation-style-language/schema/raw/master/csl-citation.json"}</w:instrText>
      </w:r>
      <w:r w:rsidR="00786DB2">
        <w:fldChar w:fldCharType="separate"/>
      </w:r>
      <w:r w:rsidR="00FB235B" w:rsidRPr="00FB235B">
        <w:rPr>
          <w:noProof/>
        </w:rPr>
        <w:t>(26)</w:t>
      </w:r>
      <w:r w:rsidR="00786DB2">
        <w:fldChar w:fldCharType="end"/>
      </w:r>
      <w:r w:rsidR="00A40949">
        <w:t xml:space="preserve"> </w:t>
      </w:r>
      <w:r w:rsidR="00980074">
        <w:t xml:space="preserve">findings </w:t>
      </w:r>
      <w:r w:rsidR="00980074" w:rsidRPr="00980074">
        <w:rPr>
          <w:rFonts w:eastAsia="Calibri" w:cs="Times New Roman"/>
        </w:rPr>
        <w:t>that compactability is significantly affected by the molecular weight of HPC polymers. These authors concluded</w:t>
      </w:r>
      <w:r w:rsidR="00980074" w:rsidRPr="00980074">
        <w:rPr>
          <w:rFonts w:eastAsia="Calibri" w:cs="Times New Roman"/>
          <w:noProof/>
        </w:rPr>
        <w:t xml:space="preserve"> that the lower the molecular weight of the HPC polymer, the higher the plasticity and compactibility. </w:t>
      </w:r>
      <w:r w:rsidR="007B72C2">
        <w:rPr>
          <w:rFonts w:eastAsia="Calibri" w:cs="Times New Roman"/>
          <w:noProof/>
        </w:rPr>
        <w:t xml:space="preserve">Our results show similar </w:t>
      </w:r>
      <w:r w:rsidR="00F425C0">
        <w:rPr>
          <w:rFonts w:eastAsia="Calibri" w:cs="Times New Roman"/>
          <w:noProof/>
        </w:rPr>
        <w:t>findings</w:t>
      </w:r>
      <w:r w:rsidR="00D92D8D">
        <w:rPr>
          <w:rFonts w:eastAsia="Calibri" w:cs="Times New Roman"/>
          <w:noProof/>
        </w:rPr>
        <w:t>,</w:t>
      </w:r>
      <w:r w:rsidR="007B72C2">
        <w:rPr>
          <w:rFonts w:eastAsia="Calibri" w:cs="Times New Roman"/>
          <w:noProof/>
        </w:rPr>
        <w:t xml:space="preserve"> with</w:t>
      </w:r>
      <w:r w:rsidR="00F425C0">
        <w:rPr>
          <w:rFonts w:eastAsia="Calibri" w:cs="Times New Roman"/>
          <w:noProof/>
        </w:rPr>
        <w:t xml:space="preserve"> MG</w:t>
      </w:r>
      <w:r w:rsidR="007B72C2">
        <w:rPr>
          <w:rFonts w:eastAsia="Calibri" w:cs="Times New Roman"/>
          <w:noProof/>
        </w:rPr>
        <w:t xml:space="preserve"> formulations containing HPC</w:t>
      </w:r>
      <w:r w:rsidR="00160571">
        <w:rPr>
          <w:rFonts w:eastAsia="Calibri" w:cs="Times New Roman"/>
          <w:noProof/>
        </w:rPr>
        <w:t>-</w:t>
      </w:r>
      <w:r w:rsidR="007B72C2">
        <w:rPr>
          <w:rFonts w:eastAsia="Calibri" w:cs="Times New Roman"/>
          <w:noProof/>
        </w:rPr>
        <w:t>S being more compact than the equival</w:t>
      </w:r>
      <w:r w:rsidR="00F425C0">
        <w:rPr>
          <w:rFonts w:eastAsia="Calibri" w:cs="Times New Roman"/>
          <w:noProof/>
        </w:rPr>
        <w:t xml:space="preserve">ent </w:t>
      </w:r>
      <w:r w:rsidR="00864D98">
        <w:rPr>
          <w:rFonts w:eastAsia="Calibri" w:cs="Times New Roman"/>
          <w:noProof/>
        </w:rPr>
        <w:t>MG</w:t>
      </w:r>
      <w:r w:rsidR="007B72C2">
        <w:rPr>
          <w:rFonts w:eastAsia="Calibri" w:cs="Times New Roman"/>
          <w:noProof/>
        </w:rPr>
        <w:t xml:space="preserve"> formulations containing HPC</w:t>
      </w:r>
      <w:r w:rsidR="00160571">
        <w:rPr>
          <w:rFonts w:eastAsia="Calibri" w:cs="Times New Roman"/>
          <w:noProof/>
        </w:rPr>
        <w:t>-</w:t>
      </w:r>
      <w:r w:rsidR="007B72C2">
        <w:rPr>
          <w:rFonts w:eastAsia="Calibri" w:cs="Times New Roman"/>
          <w:noProof/>
        </w:rPr>
        <w:t>A.</w:t>
      </w:r>
    </w:p>
    <w:p w14:paraId="3240F53D" w14:textId="0810429E" w:rsidR="00571E47" w:rsidRPr="005A0CD7" w:rsidRDefault="00571E47" w:rsidP="002244B8">
      <w:pPr>
        <w:rPr>
          <w:bCs/>
        </w:rPr>
      </w:pPr>
      <w:r>
        <w:t>Due to the higher compactability</w:t>
      </w:r>
      <w:r w:rsidR="00675D86">
        <w:t xml:space="preserve"> and plasticity</w:t>
      </w:r>
      <w:r>
        <w:t xml:space="preserve"> of the HPC</w:t>
      </w:r>
      <w:r w:rsidR="00160571">
        <w:t>-</w:t>
      </w:r>
      <w:r>
        <w:t xml:space="preserve">S formulations, </w:t>
      </w:r>
      <w:r w:rsidR="00675D86">
        <w:t>HPC</w:t>
      </w:r>
      <w:r w:rsidR="00160571">
        <w:t>-</w:t>
      </w:r>
      <w:r w:rsidR="00675D86">
        <w:t>S caplets are harder than the equivalent caplets produced with HPC</w:t>
      </w:r>
      <w:r w:rsidR="00160571">
        <w:t>-</w:t>
      </w:r>
      <w:r w:rsidR="00675D86">
        <w:t>A (</w:t>
      </w:r>
      <w:r w:rsidR="00AF17C0">
        <w:t>t</w:t>
      </w:r>
      <w:r w:rsidR="00675D86">
        <w:t xml:space="preserve">able </w:t>
      </w:r>
      <w:r w:rsidR="00A61E8B">
        <w:t>VI</w:t>
      </w:r>
      <w:r w:rsidR="00675D86">
        <w:t>).</w:t>
      </w:r>
      <w:r w:rsidR="00C12264">
        <w:t xml:space="preserve"> </w:t>
      </w:r>
      <w:r w:rsidR="007C5FA0" w:rsidRPr="005A0CD7">
        <w:rPr>
          <w:bCs/>
        </w:rPr>
        <w:t xml:space="preserve">Figure </w:t>
      </w:r>
      <w:r w:rsidR="00F15C9F" w:rsidRPr="005A0CD7">
        <w:rPr>
          <w:bCs/>
        </w:rPr>
        <w:t>5</w:t>
      </w:r>
      <w:r w:rsidR="00D36998" w:rsidRPr="005A0CD7">
        <w:rPr>
          <w:bCs/>
        </w:rPr>
        <w:t>(b)</w:t>
      </w:r>
      <w:r w:rsidR="007C5FA0" w:rsidRPr="005A0CD7">
        <w:rPr>
          <w:bCs/>
        </w:rPr>
        <w:t xml:space="preserve"> shows an example of the axial fracture that occurs when caplets exceed their fracture load.</w:t>
      </w:r>
      <w:r w:rsidR="008F01A7" w:rsidRPr="005A0CD7">
        <w:rPr>
          <w:bCs/>
        </w:rPr>
        <w:t xml:space="preserve"> The </w:t>
      </w:r>
      <w:r w:rsidR="007A7302" w:rsidRPr="005A0CD7">
        <w:rPr>
          <w:bCs/>
        </w:rPr>
        <w:t xml:space="preserve">tensile </w:t>
      </w:r>
      <w:r w:rsidR="007A7302" w:rsidRPr="005A0CD7">
        <w:rPr>
          <w:bCs/>
        </w:rPr>
        <w:lastRenderedPageBreak/>
        <w:t xml:space="preserve">strength of the </w:t>
      </w:r>
      <w:r w:rsidR="008F01A7" w:rsidRPr="005A0CD7">
        <w:rPr>
          <w:bCs/>
        </w:rPr>
        <w:t>marketed product</w:t>
      </w:r>
      <w:r w:rsidR="007A7302" w:rsidRPr="005A0CD7">
        <w:rPr>
          <w:bCs/>
        </w:rPr>
        <w:t>,</w:t>
      </w:r>
      <w:r w:rsidR="008F01A7" w:rsidRPr="005A0CD7">
        <w:rPr>
          <w:bCs/>
        </w:rPr>
        <w:t xml:space="preserve"> Janumet</w:t>
      </w:r>
      <w:r w:rsidR="00AC116A" w:rsidRPr="005A0CD7">
        <w:rPr>
          <w:rFonts w:cs="Times New Roman"/>
          <w:bCs/>
          <w:vertAlign w:val="superscript"/>
        </w:rPr>
        <w:t>®</w:t>
      </w:r>
      <w:r w:rsidR="007A7302" w:rsidRPr="005A0CD7">
        <w:rPr>
          <w:rFonts w:cs="Times New Roman"/>
          <w:bCs/>
        </w:rPr>
        <w:t xml:space="preserve">, </w:t>
      </w:r>
      <w:r w:rsidR="0096365E" w:rsidRPr="005A0CD7">
        <w:rPr>
          <w:rFonts w:cs="Times New Roman"/>
          <w:bCs/>
        </w:rPr>
        <w:t xml:space="preserve">was </w:t>
      </w:r>
      <w:r w:rsidR="007A7302" w:rsidRPr="005A0CD7">
        <w:rPr>
          <w:rFonts w:cs="Times New Roman"/>
          <w:bCs/>
        </w:rPr>
        <w:t xml:space="preserve">determined </w:t>
      </w:r>
      <w:r w:rsidR="0096365E" w:rsidRPr="005A0CD7">
        <w:rPr>
          <w:rFonts w:cs="Times New Roman"/>
          <w:bCs/>
        </w:rPr>
        <w:t xml:space="preserve">to </w:t>
      </w:r>
      <w:r w:rsidR="007A7302" w:rsidRPr="005A0CD7">
        <w:rPr>
          <w:rFonts w:cs="Times New Roman"/>
          <w:bCs/>
        </w:rPr>
        <w:t>be</w:t>
      </w:r>
      <w:r w:rsidR="0096365E" w:rsidRPr="005A0CD7">
        <w:rPr>
          <w:rFonts w:cs="Times New Roman"/>
          <w:bCs/>
        </w:rPr>
        <w:t xml:space="preserve"> 2.34 </w:t>
      </w:r>
      <w:r w:rsidR="005E16E7" w:rsidRPr="005A0CD7">
        <w:rPr>
          <w:rFonts w:cs="Times New Roman"/>
          <w:bCs/>
        </w:rPr>
        <w:t xml:space="preserve">± </w:t>
      </w:r>
      <w:r w:rsidR="00060A3D" w:rsidRPr="005A0CD7">
        <w:rPr>
          <w:rFonts w:cs="Times New Roman"/>
          <w:bCs/>
        </w:rPr>
        <w:t>0.02 MPa</w:t>
      </w:r>
      <w:r w:rsidR="00FC65C7" w:rsidRPr="005A0CD7">
        <w:rPr>
          <w:rFonts w:cs="Times New Roman"/>
          <w:bCs/>
        </w:rPr>
        <w:t xml:space="preserve">. </w:t>
      </w:r>
      <w:r w:rsidR="002079C2" w:rsidRPr="005A0CD7">
        <w:rPr>
          <w:rFonts w:cs="Times New Roman"/>
          <w:bCs/>
        </w:rPr>
        <w:t xml:space="preserve">While the </w:t>
      </w:r>
      <w:r w:rsidR="00C14FEA" w:rsidRPr="005A0CD7">
        <w:rPr>
          <w:rFonts w:cs="Times New Roman"/>
          <w:bCs/>
        </w:rPr>
        <w:t>MG caplets produced</w:t>
      </w:r>
      <w:r w:rsidR="00996D8C" w:rsidRPr="005A0CD7">
        <w:rPr>
          <w:rFonts w:cs="Times New Roman"/>
          <w:bCs/>
        </w:rPr>
        <w:t>,</w:t>
      </w:r>
      <w:r w:rsidR="00C14FEA" w:rsidRPr="005A0CD7">
        <w:rPr>
          <w:rFonts w:cs="Times New Roman"/>
          <w:bCs/>
        </w:rPr>
        <w:t xml:space="preserve"> show significantly lower tensile strength</w:t>
      </w:r>
      <w:r w:rsidR="00491A4C" w:rsidRPr="005A0CD7">
        <w:rPr>
          <w:rFonts w:cs="Times New Roman"/>
          <w:bCs/>
        </w:rPr>
        <w:t xml:space="preserve"> compared to the marketed product</w:t>
      </w:r>
      <w:r w:rsidR="00C14FEA" w:rsidRPr="005A0CD7">
        <w:rPr>
          <w:rFonts w:cs="Times New Roman"/>
          <w:bCs/>
        </w:rPr>
        <w:t>,</w:t>
      </w:r>
      <w:r w:rsidR="00996D8C" w:rsidRPr="005A0CD7">
        <w:rPr>
          <w:rFonts w:cs="Times New Roman"/>
          <w:bCs/>
        </w:rPr>
        <w:t xml:space="preserve"> the </w:t>
      </w:r>
      <w:r w:rsidR="00676DA7" w:rsidRPr="005A0CD7">
        <w:rPr>
          <w:rFonts w:cs="Times New Roman"/>
          <w:bCs/>
        </w:rPr>
        <w:t xml:space="preserve">MG HPC-S caplets </w:t>
      </w:r>
      <w:r w:rsidR="007E0AE8" w:rsidRPr="005A0CD7">
        <w:rPr>
          <w:rFonts w:cs="Times New Roman"/>
          <w:bCs/>
        </w:rPr>
        <w:t xml:space="preserve">showed it was still possible to pass </w:t>
      </w:r>
      <w:r w:rsidR="004740DE" w:rsidRPr="005A0CD7">
        <w:rPr>
          <w:rFonts w:cs="Times New Roman"/>
          <w:bCs/>
        </w:rPr>
        <w:t>all compendial</w:t>
      </w:r>
      <w:r w:rsidR="007E0AE8" w:rsidRPr="005A0CD7">
        <w:rPr>
          <w:rFonts w:cs="Times New Roman"/>
          <w:bCs/>
        </w:rPr>
        <w:t xml:space="preserve"> test</w:t>
      </w:r>
      <w:r w:rsidR="004740DE" w:rsidRPr="005A0CD7">
        <w:rPr>
          <w:rFonts w:cs="Times New Roman"/>
          <w:bCs/>
        </w:rPr>
        <w:t>s, including friability,</w:t>
      </w:r>
      <w:r w:rsidR="007E0AE8" w:rsidRPr="005A0CD7">
        <w:rPr>
          <w:rFonts w:cs="Times New Roman"/>
          <w:bCs/>
        </w:rPr>
        <w:t xml:space="preserve"> </w:t>
      </w:r>
      <w:r w:rsidR="002E5ABB" w:rsidRPr="005A0CD7">
        <w:rPr>
          <w:rFonts w:cs="Times New Roman"/>
          <w:bCs/>
        </w:rPr>
        <w:t>with low tensile strength values.</w:t>
      </w:r>
      <w:r w:rsidR="00C14FEA" w:rsidRPr="005A0CD7">
        <w:rPr>
          <w:rFonts w:cs="Times New Roman"/>
          <w:bCs/>
        </w:rPr>
        <w:t xml:space="preserve"> </w:t>
      </w:r>
    </w:p>
    <w:p w14:paraId="3D152120" w14:textId="2A0DCEA4" w:rsidR="00925D42" w:rsidRPr="008A7B26" w:rsidRDefault="00B142E1" w:rsidP="002244B8">
      <w:pPr>
        <w:rPr>
          <w:rFonts w:cs="Times New Roman"/>
        </w:rPr>
      </w:pPr>
      <w:r w:rsidRPr="008A7B26">
        <w:rPr>
          <w:rFonts w:cs="Times New Roman"/>
        </w:rPr>
        <w:t>Friability Studies</w:t>
      </w:r>
    </w:p>
    <w:p w14:paraId="4394B599" w14:textId="40A6AB1F" w:rsidR="0082779C" w:rsidRDefault="0082779C" w:rsidP="002244B8">
      <w:pPr>
        <w:rPr>
          <w:lang w:val="en-US"/>
        </w:rPr>
      </w:pPr>
      <w:r w:rsidRPr="00234977">
        <w:rPr>
          <w:lang w:val="en-US"/>
        </w:rPr>
        <w:t>Friability is the tendency of a solid dosage from (e.g. caplet) to crumble, chip or break following compression, which could be caused by many factors such as: caplet design, insufficient excipients (e.g. binder) and low compression force</w:t>
      </w:r>
      <w:r w:rsidR="00415D0E">
        <w:rPr>
          <w:lang w:val="en-US"/>
        </w:rPr>
        <w:t xml:space="preserve"> used</w:t>
      </w:r>
      <w:r w:rsidRPr="00234977">
        <w:rPr>
          <w:lang w:val="en-US"/>
        </w:rPr>
        <w:t xml:space="preserve"> during pressing. Caplets should be hard enough to withstand packaging and transport conditions, but also need to disintegrate in a reasonable time to allow for drug dissolution to </w:t>
      </w:r>
      <w:r w:rsidR="00AB355C">
        <w:rPr>
          <w:lang w:val="en-US"/>
        </w:rPr>
        <w:t>occur</w:t>
      </w:r>
      <w:r w:rsidRPr="00234977">
        <w:rPr>
          <w:lang w:val="en-US"/>
        </w:rPr>
        <w:t xml:space="preserve"> </w:t>
      </w:r>
      <w:r>
        <w:rPr>
          <w:lang w:val="en-US"/>
        </w:rPr>
        <w:fldChar w:fldCharType="begin" w:fldLock="1"/>
      </w:r>
      <w:r w:rsidR="00E05EA3">
        <w:rPr>
          <w:lang w:val="en-US"/>
        </w:rPr>
        <w:instrText>ADDIN CSL_CITATION {"citationItems":[{"id":"ITEM-1","itemData":{"DOI":"10.1002/JPS.2600540926","ISSN":"0022-3549","abstract":"Studies were conducted to evaluate what changes occurred in the physical properties of compressed tablets as the operation of a rotary tableting machine was varied. Thin large-diameter tablets showed a capping tendency that was not apparent in smaller-diameter or thicker tablets. The crushing strength of tablets stored at 71 per cent R.H. for 28days was unchanged, but the tablets became more friable. Increasing the compressional speed reduced the crushing strength and increased the capping tendency, but did not affect the friability of compressed tablets. At the higher compressional rates, the tablets showed a greater elastic response than at the slower speeds. Compressing the tablets at various depths in the die had no affect on the physical properties of the compressed tablets.","author":[{"dropping-particle":"","family":"Seitz","given":"James A.","non-dropping-particle":"","parse-names":false,"suffix":""},{"dropping-particle":"","family":"Flessland","given":"Gerald M.","non-dropping-particle":"","parse-names":false,"suffix":""}],"container-title":"Journal of Pharmaceutical Sciences","id":"ITEM-1","issue":"9","issued":{"date-parts":[["1965","9","1"]]},"page":"1353-1357","publisher":"Elsevier","title":"Evaluation of the Physical Properties of Compressed Tablets I: Tablet Hardness and Friability","type":"article-journal","volume":"54"},"uris":["http://www.mendeley.com/documents/?uuid=12d3d56e-1f17-31df-a7d3-17e279f6ccd3"]},{"id":"ITEM-2","itemData":{"DOI":"10.3109/03639047909055661","ISSN":"0363-9045","abstract":"AbstractInterrelationships among moisture, hardness, disintegration and dissolution in compressed tablets were studied by compressing tablets from granulations prepared by the wet granulation process containing low moisture levels. Hardness, disintegration and dissolution of these tablets did not change on exposure to ambient room conditions. After equilibration under high humidities, a decrease in tablet hardness occurred which depended linearly on tablet hardnesses at the time of compression. After overnight exposure to ambient room conditions, the softened tablets increased in hardness and this increase greatly exceeded the initial hardnesses. The magnitude of hardness increase was independent of the hardnesses at the time of compression. Increased tablet hardnesses resulted in an increase in the disintegration time, although in vitro dissolution of the drug remained unaffected. The results suggest that moisture gain and subsequent loss on storage under varying humidity conditions could account for maj...","author":[{"dropping-particle":"","family":"Chowhan","given":"Z. T.","non-dropping-particle":"","parse-names":false,"suffix":""}],"container-title":"Drug Development and Industrial Pharmacy","id":"ITEM-2","issue":"1","issued":{"date-parts":[["1979","1","20"]]},"page":"41-62","publisher":"Taylor &amp; Francis","title":"Moisture, Hardness, Disintegration and Dissolution Interrelationships in Compressed Tablets Prepared by the Wet Granulation Process","type":"article-journal","volume":"5"},"uris":["http://www.mendeley.com/documents/?uuid=ad17217b-5382-36a9-b668-ce4b02c10d80"]}],"mendeley":{"formattedCitation":"(53,54)","plainTextFormattedCitation":"(53,54)","previouslyFormattedCitation":"(53,54)"},"properties":{"noteIndex":0},"schema":"https://github.com/citation-style-language/schema/raw/master/csl-citation.json"}</w:instrText>
      </w:r>
      <w:r>
        <w:rPr>
          <w:lang w:val="en-US"/>
        </w:rPr>
        <w:fldChar w:fldCharType="separate"/>
      </w:r>
      <w:r w:rsidR="00FB235B" w:rsidRPr="00FB235B">
        <w:rPr>
          <w:noProof/>
          <w:lang w:val="en-US"/>
        </w:rPr>
        <w:t>(53,54)</w:t>
      </w:r>
      <w:r>
        <w:rPr>
          <w:lang w:val="en-US"/>
        </w:rPr>
        <w:fldChar w:fldCharType="end"/>
      </w:r>
      <w:r w:rsidRPr="00234977">
        <w:rPr>
          <w:lang w:val="en-US"/>
        </w:rPr>
        <w:t>.</w:t>
      </w:r>
      <w:r>
        <w:rPr>
          <w:lang w:val="en-US"/>
        </w:rPr>
        <w:t xml:space="preserve"> The BP sets the standard for friability testing, with a</w:t>
      </w:r>
      <w:r w:rsidRPr="00714A57">
        <w:rPr>
          <w:lang w:val="en-US"/>
        </w:rPr>
        <w:t xml:space="preserve"> maximum loss of mass (obtained from a single test or from the mean of 3 tests) not greater than 1.0 </w:t>
      </w:r>
      <w:r>
        <w:rPr>
          <w:lang w:val="en-US"/>
        </w:rPr>
        <w:t xml:space="preserve">% </w:t>
      </w:r>
      <w:r w:rsidRPr="00714A57">
        <w:rPr>
          <w:lang w:val="en-US"/>
        </w:rPr>
        <w:t>considered acceptable for most products</w:t>
      </w:r>
      <w:r>
        <w:rPr>
          <w:lang w:val="en-US"/>
        </w:rPr>
        <w:t xml:space="preserve"> </w:t>
      </w:r>
      <w:r>
        <w:rPr>
          <w:lang w:val="en-US"/>
        </w:rPr>
        <w:fldChar w:fldCharType="begin" w:fldLock="1"/>
      </w:r>
      <w:r w:rsidR="001B225D">
        <w:rPr>
          <w:lang w:val="en-US"/>
        </w:rPr>
        <w:instrText>ADDIN CSL_CITATION {"citationItems":[{"id":"ITEM-1","itemData":{"URL":"https://www.pharmacopoeia.com/bp-2019/appendices/appendix-17/appendix-xvii-g--friability.html?date=2019-04-01&amp;text=friability","accessed":{"date-parts":[["2019","4","17"]]},"author":[{"dropping-particle":"","family":"British Pharmacopoeia","given":"","non-dropping-particle":"","parse-names":false,"suffix":""}],"id":"ITEM-1","issued":{"date-parts":[["2019"]]},"title":"Appendix XVII G. Friability - British Pharmacopoeia","type":"webpage"},"uris":["http://www.mendeley.com/documents/?uuid=45c8e8bc-1483-3df9-b816-dda5748aac87"]}],"mendeley":{"formattedCitation":"(21)","plainTextFormattedCitation":"(21)","previouslyFormattedCitation":"(21)"},"properties":{"noteIndex":0},"schema":"https://github.com/citation-style-language/schema/raw/master/csl-citation.json"}</w:instrText>
      </w:r>
      <w:r>
        <w:rPr>
          <w:lang w:val="en-US"/>
        </w:rPr>
        <w:fldChar w:fldCharType="separate"/>
      </w:r>
      <w:r w:rsidR="00EA3B9E" w:rsidRPr="00EA3B9E">
        <w:rPr>
          <w:noProof/>
          <w:lang w:val="en-US"/>
        </w:rPr>
        <w:t>(21)</w:t>
      </w:r>
      <w:r>
        <w:rPr>
          <w:lang w:val="en-US"/>
        </w:rPr>
        <w:fldChar w:fldCharType="end"/>
      </w:r>
      <w:r>
        <w:rPr>
          <w:lang w:val="en-US"/>
        </w:rPr>
        <w:t xml:space="preserve">. Friability results for MG caplets are shown in table </w:t>
      </w:r>
      <w:r w:rsidR="00A61E8B">
        <w:rPr>
          <w:lang w:val="en-US"/>
        </w:rPr>
        <w:t>VI</w:t>
      </w:r>
      <w:r>
        <w:rPr>
          <w:lang w:val="en-US"/>
        </w:rPr>
        <w:t>. For MG caplets, MG HPC</w:t>
      </w:r>
      <w:r w:rsidR="00160571">
        <w:rPr>
          <w:lang w:val="en-US"/>
        </w:rPr>
        <w:t>-</w:t>
      </w:r>
      <w:r>
        <w:rPr>
          <w:lang w:val="en-US"/>
        </w:rPr>
        <w:t xml:space="preserve">S, compressed at </w:t>
      </w:r>
      <w:r w:rsidR="00D02241">
        <w:rPr>
          <w:lang w:val="en-US"/>
        </w:rPr>
        <w:t>8000 N</w:t>
      </w:r>
      <w:r>
        <w:rPr>
          <w:lang w:val="en-US"/>
        </w:rPr>
        <w:t xml:space="preserve">, is the only MG caplet formulation to pass friability. </w:t>
      </w:r>
    </w:p>
    <w:p w14:paraId="2C3CA587" w14:textId="02F68F24" w:rsidR="004D5B71" w:rsidRDefault="00E264A2" w:rsidP="002244B8">
      <w:pPr>
        <w:rPr>
          <w:rFonts w:cs="Times New Roman"/>
        </w:rPr>
      </w:pPr>
      <w:r w:rsidRPr="00E264A2">
        <w:rPr>
          <w:rFonts w:cs="Times New Roman"/>
        </w:rPr>
        <w:t>Disintegration Studies</w:t>
      </w:r>
    </w:p>
    <w:p w14:paraId="47DE1A8A" w14:textId="58E775A6" w:rsidR="00E264A2" w:rsidRDefault="00A4181A" w:rsidP="002244B8">
      <w:pPr>
        <w:rPr>
          <w:lang w:val="en-US"/>
        </w:rPr>
      </w:pPr>
      <w:r w:rsidRPr="00A4181A">
        <w:rPr>
          <w:lang w:val="en-US"/>
        </w:rPr>
        <w:t xml:space="preserve">Disintegration refers to the mechanical break up of a compressed tablet into small granules upon ingestion and therefore it is characterised by the breakdown of the interparticulate bonds, which were forged during the compaction of the tablet </w:t>
      </w:r>
      <w:r w:rsidRPr="00A4181A">
        <w:rPr>
          <w:lang w:val="en-US"/>
        </w:rPr>
        <w:fldChar w:fldCharType="begin" w:fldLock="1"/>
      </w:r>
      <w:r w:rsidR="00E05EA3">
        <w:rPr>
          <w:lang w:val="en-US"/>
        </w:rPr>
        <w:instrText>ADDIN CSL_CITATION {"citationItems":[{"id":"ITEM-1","itemData":{"DOI":"10.1007/s11095-017-2129-z","ISSN":"1573-904X","PMID":"28251425","abstract":"Pharmaceutical solid dosage forms (tablets or capsules) are the predominant form to administer active pharmaceutical ingredients (APIs) to the patient. Tablets are typically powder compacts consisting of several different excipients in addition to the API. Excipients are added to a formulation in order to achieve the desired fill weight of a dosage form, to improve the processability or to affect the drug release behaviour in the body. These complex porous systems undergo different mechanisms when they come in contact with physiological fluids. The performance of a drug is primarily influenced by the disintegration and dissolution behaviour of the powder compact. The disintegration process is specifically critical for immediate-release dosage forms. Its mechanisms and the factors impacting disintegration are discussed and methods used to study the disintegration in-situ are presented. This review further summarises mathematical models used to simulate disintegration phenomena and to predict drug release kinetics.","author":[{"dropping-particle":"","family":"Markl","given":"Daniel","non-dropping-particle":"","parse-names":false,"suffix":""},{"dropping-particle":"","family":"Zeitler","given":"J Axel","non-dropping-particle":"","parse-names":false,"suffix":""}],"container-title":"Pharmaceutical research","id":"ITEM-1","issue":"5","issued":{"date-parts":[["2017"]]},"page":"890-917","publisher":"Springer","title":"A Review of Disintegration Mechanisms and Measurement Techniques.","type":"article-journal","volume":"34"},"uris":["http://www.mendeley.com/documents/?uuid=5267b4b4-ac09-3ee6-b2a3-8218c7516a38"]}],"mendeley":{"formattedCitation":"(55)","plainTextFormattedCitation":"(55)","previouslyFormattedCitation":"(55)"},"properties":{"noteIndex":0},"schema":"https://github.com/citation-style-language/schema/raw/master/csl-citation.json"}</w:instrText>
      </w:r>
      <w:r w:rsidRPr="00A4181A">
        <w:rPr>
          <w:lang w:val="en-US"/>
        </w:rPr>
        <w:fldChar w:fldCharType="separate"/>
      </w:r>
      <w:r w:rsidR="00FB235B" w:rsidRPr="00FB235B">
        <w:rPr>
          <w:noProof/>
          <w:lang w:val="en-US"/>
        </w:rPr>
        <w:t>(55)</w:t>
      </w:r>
      <w:r w:rsidRPr="00A4181A">
        <w:fldChar w:fldCharType="end"/>
      </w:r>
      <w:r w:rsidRPr="00A4181A">
        <w:rPr>
          <w:lang w:val="en-US"/>
        </w:rPr>
        <w:t xml:space="preserve">. Oral solid dosage forms are required to break apart or disintegrate in a reasonable period of time when brought into contact with a liquid medium to allow for the APIs contained in the dosage forms to be released </w:t>
      </w:r>
      <w:r w:rsidRPr="00A4181A">
        <w:rPr>
          <w:lang w:val="en-US"/>
        </w:rPr>
        <w:fldChar w:fldCharType="begin" w:fldLock="1"/>
      </w:r>
      <w:r w:rsidR="00E05EA3">
        <w:rPr>
          <w:lang w:val="en-US"/>
        </w:rPr>
        <w:instrText>ADDIN CSL_CITATION {"citationItems":[{"id":"ITEM-1","itemData":{"DOI":"10.1016/0378-5173(88)90114-7","ISSN":"0378-5173","abstract":"A physical analysis is presented of the phenomenon of disintegration of compressed tablets, using an equation which expresses the normalized disintegration force, FF∞, as a function of time. The theory utilizes two parameters, an expansion rate constant, k, and an exponent, n, which vary depending on the composition of the tablets tested. The values of these parameters indicate if the disintegration phenomenon is controlled by the interfacial detachment of particles from the surface of the tablet or by the local diffusion of particles once they have been detached. The new theory is verified with experimental data of tablet disintegration for a number of tablets containing disintegrants of varying water swelling properties.","author":[{"dropping-particle":"","family":"Caramella","given":"Carla","non-dropping-particle":"","parse-names":false,"suffix":""},{"dropping-particle":"","family":"Colombo","given":"Paolo","non-dropping-particle":"","parse-names":false,"suffix":""},{"dropping-particle":"","family":"Conte","given":"Ubaldo","non-dropping-particle":"","parse-names":false,"suffix":""},{"dropping-particle":"","family":"Ferrari","given":"Franca","non-dropping-particle":"","parse-names":false,"suffix":""},{"dropping-particle":"","family":"Gazzaniga","given":"Andrea","non-dropping-particle":"","parse-names":false,"suffix":""},{"dropping-particle":"","family":"LaManna","given":"Aldo","non-dropping-particle":"","parse-names":false,"suffix":""},{"dropping-particle":"","family":"Peppas","given":"Nikolaos A.","non-dropping-particle":"","parse-names":false,"suffix":""}],"container-title":"International Journal of Pharmaceutics","id":"ITEM-1","issue":"1-3","issued":{"date-parts":[["1988","6","1"]]},"page":"177-186","publisher":"Elsevier","title":"A physical analysis of the phenomenon of tablet disintegration","type":"article-journal","volume":"44"},"uris":["http://www.mendeley.com/documents/?uuid=2226de66-90c5-3cd9-b97e-d59e60545dab"]},{"id":"ITEM-2","itemData":{"DOI":"10.3109/10837450.2015.1045618","ISSN":"1083-7450","abstract":"AbstractContext: Tablet disintegration is an important factor for drug release and can be modified with excipients called tablet disintegrants. Tablet disintegrants act via different mechanisms and the efficacy of these excipients is influenced by various factors.Objective: In this review, the existing literature on tablet disintegration is critically reviewed. Potential disintegration mechanisms, as well as impact factors on the disintegration process will be discussed based on experimental evidence.Methods: Search terms for Scopus and Web of Science included “tablet disintegration”, “mechanism tablet disintegration”, “superdisintegrants”, “disintegrants”, “swelling force”, “disintegration force”, “disintegration mechanisms”, as well as brand names of commonly applied superdisintegrants. References of identified papers were screened as well.Results: Experimental data supports swelling and shape recovery as main mechanisms of action of disintegrants. Other tablet excipients and different manufacturing tec...","author":[{"dropping-particle":"","family":"Quodbach","given":"Julian","non-dropping-particle":"","parse-names":false,"suffix":""},{"dropping-particle":"","family":"Kleinebudde","given":"Peter","non-dropping-particle":"","parse-names":false,"suffix":""}],"container-title":"Pharmaceutical Development and Technology","id":"ITEM-2","issued":{"date-parts":[["2015","5","15"]]},"page":"1-12","publisher":"Taylor &amp; Francis","title":"A critical review on tablet disintegration","type":"article-journal"},"uris":["http://www.mendeley.com/documents/?uuid=2552460a-3354-3d6d-a401-148f899cddf5"]}],"mendeley":{"formattedCitation":"(56,57)","plainTextFormattedCitation":"(56,57)","previouslyFormattedCitation":"(56,57)"},"properties":{"noteIndex":0},"schema":"https://github.com/citation-style-language/schema/raw/master/csl-citation.json"}</w:instrText>
      </w:r>
      <w:r w:rsidRPr="00A4181A">
        <w:rPr>
          <w:lang w:val="en-US"/>
        </w:rPr>
        <w:fldChar w:fldCharType="separate"/>
      </w:r>
      <w:r w:rsidR="00FB235B" w:rsidRPr="00FB235B">
        <w:rPr>
          <w:noProof/>
          <w:lang w:val="en-US"/>
        </w:rPr>
        <w:t>(56,57)</w:t>
      </w:r>
      <w:r w:rsidRPr="00A4181A">
        <w:fldChar w:fldCharType="end"/>
      </w:r>
      <w:r w:rsidRPr="00A4181A">
        <w:rPr>
          <w:lang w:val="en-US"/>
        </w:rPr>
        <w:t xml:space="preserve">. In addition to the solubility of components of the solid dosage form and the type of disintegration medium, it is well documented that the more compact the solid dosage form the more the time it needs to disintegrate, and hence very compressed caplets may show longer disintegration times </w:t>
      </w:r>
      <w:r w:rsidRPr="00A4181A">
        <w:rPr>
          <w:lang w:val="en-US"/>
        </w:rPr>
        <w:fldChar w:fldCharType="begin" w:fldLock="1"/>
      </w:r>
      <w:r w:rsidR="00E05EA3">
        <w:rPr>
          <w:lang w:val="en-US"/>
        </w:rPr>
        <w:instrText>ADDIN CSL_CITATION {"citationItems":[{"id":"ITEM-1","itemData":{"DOI":"10.1016/0378-5173(88)90114-7","ISSN":"0378-5173","abstract":"A physical analysis is presented of the phenomenon of disintegration of compressed tablets, using an equation which expresses the normalized disintegration force, FF∞, as a function of time. The theory utilizes two parameters, an expansion rate constant, k, and an exponent, n, which vary depending on the composition of the tablets tested. The values of these parameters indicate if the disintegration phenomenon is controlled by the interfacial detachment of particles from the surface of the tablet or by the local diffusion of particles once they have been detached. The new theory is verified with experimental data of tablet disintegration for a number of tablets containing disintegrants of varying water swelling properties.","author":[{"dropping-particle":"","family":"Caramella","given":"Carla","non-dropping-particle":"","parse-names":false,"suffix":""},{"dropping-particle":"","family":"Colombo","given":"Paolo","non-dropping-particle":"","parse-names":false,"suffix":""},{"dropping-particle":"","family":"Conte","given":"Ubaldo","non-dropping-particle":"","parse-names":false,"suffix":""},{"dropping-particle":"","family":"Ferrari","given":"Franca","non-dropping-particle":"","parse-names":false,"suffix":""},{"dropping-particle":"","family":"Gazzaniga","given":"Andrea","non-dropping-particle":"","parse-names":false,"suffix":""},{"dropping-particle":"","family":"LaManna","given":"Aldo","non-dropping-particle":"","parse-names":false,"suffix":""},{"dropping-particle":"","family":"Peppas","given":"Nikolaos A.","non-dropping-particle":"","parse-names":false,"suffix":""}],"container-title":"International Journal of Pharmaceutics","id":"ITEM-1","issue":"1-3","issued":{"date-parts":[["1988","6","1"]]},"page":"177-186","publisher":"Elsevier","title":"A physical analysis of the phenomenon of tablet disintegration","type":"article-journal","volume":"44"},"uris":["http://www.mendeley.com/documents/?uuid=2226de66-90c5-3cd9-b97e-d59e60545dab"]},{"id":"ITEM-2","itemData":{"DOI":"10.1016/J.EJPS.2013.08.038","ISSN":"0928-0987","PMID":"24036239","author":[{"dropping-particle":"","family":"Radwan","given":"A","non-dropping-particle":"","parse-names":false,"suffix":""},{"dropping-particle":"","family":"Wagner","given":"M","non-dropping-particle":"","parse-names":false,"suffix":""},{"dropping-particle":"","family":"Amidon","given":"GL","non-dropping-particle":"","parse-names":false,"suffix":""},{"dropping-particle":"","family":"Langguth","given":"P","non-dropping-particle":"","parse-names":false,"suffix":""}],"container-title":"European journal of pharmaceutical sciences : official journal of the European Federation for Pharmaceutical Sciences","id":"ITEM-2","issued":{"date-parts":[["2014"]]},"page":"273-279","title":"Bio-predictive tablet disintegration: effect of water diffusivity, fluid flow, food composition and test conditions.","type":"article-journal","volume":"57"},"uris":["http://www.mendeley.com/documents/?uuid=86964021-1fbb-3df9-af5a-c5e837ca7b23"]}],"mendeley":{"formattedCitation":"(56,58)","plainTextFormattedCitation":"(56,58)","previouslyFormattedCitation":"(56,58)"},"properties":{"noteIndex":0},"schema":"https://github.com/citation-style-language/schema/raw/master/csl-citation.json"}</w:instrText>
      </w:r>
      <w:r w:rsidRPr="00A4181A">
        <w:rPr>
          <w:lang w:val="en-US"/>
        </w:rPr>
        <w:fldChar w:fldCharType="separate"/>
      </w:r>
      <w:r w:rsidR="00FB235B" w:rsidRPr="00FB235B">
        <w:rPr>
          <w:noProof/>
          <w:lang w:val="en-US"/>
        </w:rPr>
        <w:t>(56,58)</w:t>
      </w:r>
      <w:r w:rsidRPr="00A4181A">
        <w:fldChar w:fldCharType="end"/>
      </w:r>
      <w:r w:rsidRPr="00A4181A">
        <w:rPr>
          <w:lang w:val="en-US"/>
        </w:rPr>
        <w:t xml:space="preserve">. Table </w:t>
      </w:r>
      <w:r w:rsidR="001744A3">
        <w:rPr>
          <w:lang w:val="en-US"/>
        </w:rPr>
        <w:t>VI</w:t>
      </w:r>
      <w:r w:rsidRPr="00A4181A">
        <w:rPr>
          <w:lang w:val="en-US"/>
        </w:rPr>
        <w:t xml:space="preserve"> shows disintegration times for each of the manufactured caplets compacted at different compression forces. For uncoated oral tablets with an immediate release profile, the BP states</w:t>
      </w:r>
      <w:r w:rsidR="00745E48">
        <w:rPr>
          <w:lang w:val="en-US"/>
        </w:rPr>
        <w:t xml:space="preserve"> that</w:t>
      </w:r>
      <w:r w:rsidRPr="00A4181A">
        <w:rPr>
          <w:lang w:val="en-US"/>
        </w:rPr>
        <w:t xml:space="preserve">, tablets must be fully disintegrated within 15 min in order to comply with standards </w:t>
      </w:r>
      <w:r w:rsidRPr="00A4181A">
        <w:rPr>
          <w:lang w:val="en-US"/>
        </w:rPr>
        <w:fldChar w:fldCharType="begin" w:fldLock="1"/>
      </w:r>
      <w:r w:rsidR="00E05EA3">
        <w:rPr>
          <w:lang w:val="en-US"/>
        </w:rPr>
        <w:instrText>ADDIN CSL_CITATION {"citationItems":[{"id":"ITEM-1","itemData":{"URL":"https://www.pharmacopoeia.com/Publication/bp-2019/formulated-general/tablets.html?date=2019-04-01&amp;text=disintegration","accessed":{"date-parts":[["2019","4","18"]]},"author":[{"dropping-particle":"","family":"British Pharmacopoeia","given":"","non-dropping-particle":"","parse-names":false,"suffix":""}],"id":"ITEM-1","issued":{"date-parts":[["2019"]]},"title":"Tablets - British Pharmacopoeia","type":"webpage"},"uris":["http://www.mendeley.com/documents/?uuid=7f999fc1-e7c3-3550-9b16-60b2e4b65de0"]}],"mendeley":{"formattedCitation":"(59)","plainTextFormattedCitation":"(59)","previouslyFormattedCitation":"(59)"},"properties":{"noteIndex":0},"schema":"https://github.com/citation-style-language/schema/raw/master/csl-citation.json"}</w:instrText>
      </w:r>
      <w:r w:rsidRPr="00A4181A">
        <w:rPr>
          <w:lang w:val="en-US"/>
        </w:rPr>
        <w:fldChar w:fldCharType="separate"/>
      </w:r>
      <w:r w:rsidR="00FB235B" w:rsidRPr="00FB235B">
        <w:rPr>
          <w:noProof/>
          <w:lang w:val="en-US"/>
        </w:rPr>
        <w:t>(59)</w:t>
      </w:r>
      <w:r w:rsidRPr="00A4181A">
        <w:fldChar w:fldCharType="end"/>
      </w:r>
      <w:r w:rsidRPr="00A4181A">
        <w:rPr>
          <w:lang w:val="en-US"/>
        </w:rPr>
        <w:t>. All MG caplets passed the disintegration test</w:t>
      </w:r>
      <w:r w:rsidR="00995A78">
        <w:rPr>
          <w:lang w:val="en-US"/>
        </w:rPr>
        <w:t>,</w:t>
      </w:r>
      <w:r w:rsidRPr="00A4181A">
        <w:rPr>
          <w:lang w:val="en-US"/>
        </w:rPr>
        <w:t xml:space="preserve"> with caplets fully disintegrated within 15 min. MG HPC</w:t>
      </w:r>
      <w:r w:rsidR="00160571">
        <w:rPr>
          <w:lang w:val="en-US"/>
        </w:rPr>
        <w:t>-</w:t>
      </w:r>
      <w:r w:rsidRPr="00A4181A">
        <w:rPr>
          <w:lang w:val="en-US"/>
        </w:rPr>
        <w:t>A</w:t>
      </w:r>
      <w:r w:rsidR="0016088D">
        <w:rPr>
          <w:lang w:val="en-US"/>
        </w:rPr>
        <w:t xml:space="preserve"> formulation</w:t>
      </w:r>
      <w:r w:rsidRPr="00A4181A">
        <w:rPr>
          <w:lang w:val="en-US"/>
        </w:rPr>
        <w:t xml:space="preserve"> caplets disintegrated statistically quicker (p &lt; 0.05) than the equivalent MG HPC</w:t>
      </w:r>
      <w:r w:rsidR="00160571">
        <w:rPr>
          <w:lang w:val="en-US"/>
        </w:rPr>
        <w:t>-</w:t>
      </w:r>
      <w:r w:rsidRPr="00A4181A">
        <w:rPr>
          <w:lang w:val="en-US"/>
        </w:rPr>
        <w:t>S</w:t>
      </w:r>
      <w:r w:rsidR="00026D8C">
        <w:rPr>
          <w:lang w:val="en-US"/>
        </w:rPr>
        <w:t xml:space="preserve"> formulation caplets</w:t>
      </w:r>
      <w:r w:rsidRPr="00A4181A">
        <w:rPr>
          <w:lang w:val="en-US"/>
        </w:rPr>
        <w:t xml:space="preserve"> due to differences in tablet hardness, tablet size</w:t>
      </w:r>
      <w:r w:rsidR="002E282C">
        <w:rPr>
          <w:lang w:val="en-US"/>
        </w:rPr>
        <w:t xml:space="preserve"> and</w:t>
      </w:r>
      <w:r w:rsidRPr="00A4181A">
        <w:rPr>
          <w:lang w:val="en-US"/>
        </w:rPr>
        <w:t xml:space="preserve"> porosity. Each of these factors has previously been described as having an influence on the disintegration times of oral solid dosage forms </w:t>
      </w:r>
      <w:r w:rsidRPr="00A4181A">
        <w:rPr>
          <w:lang w:val="en-US"/>
        </w:rPr>
        <w:fldChar w:fldCharType="begin" w:fldLock="1"/>
      </w:r>
      <w:r w:rsidR="00E05EA3">
        <w:rPr>
          <w:lang w:val="en-US"/>
        </w:rPr>
        <w:instrText>ADDIN CSL_CITATION {"citationItems":[{"id":"ITEM-1","itemData":{"DOI":"10.1007/s11095-017-2129-z","ISSN":"1573-904X","PMID":"28251425","abstract":"Pharmaceutical solid dosage forms (tablets or capsules) are the predominant form to administer active pharmaceutical ingredients (APIs) to the patient. Tablets are typically powder compacts consisting of several different excipients in addition to the API. Excipients are added to a formulation in order to achieve the desired fill weight of a dosage form, to improve the processability or to affect the drug release behaviour in the body. These complex porous systems undergo different mechanisms when they come in contact with physiological fluids. The performance of a drug is primarily influenced by the disintegration and dissolution behaviour of the powder compact. The disintegration process is specifically critical for immediate-release dosage forms. Its mechanisms and the factors impacting disintegration are discussed and methods used to study the disintegration in-situ are presented. This review further summarises mathematical models used to simulate disintegration phenomena and to predict drug release kinetics.","author":[{"dropping-particle":"","family":"Markl","given":"Daniel","non-dropping-particle":"","parse-names":false,"suffix":""},{"dropping-particle":"","family":"Zeitler","given":"J Axel","non-dropping-particle":"","parse-names":false,"suffix":""}],"container-title":"Pharmaceutical research","id":"ITEM-1","issue":"5","issued":{"date-parts":[["2017"]]},"page":"890-917","publisher":"Springer","title":"A Review of Disintegration Mechanisms and Measurement Techniques.","type":"article-journal","volume":"34"},"uris":["http://www.mendeley.com/documents/?uuid=5267b4b4-ac09-3ee6-b2a3-8218c7516a38"]}],"mendeley":{"formattedCitation":"(55)","plainTextFormattedCitation":"(55)","previouslyFormattedCitation":"(55)"},"properties":{"noteIndex":0},"schema":"https://github.com/citation-style-language/schema/raw/master/csl-citation.json"}</w:instrText>
      </w:r>
      <w:r w:rsidRPr="00A4181A">
        <w:rPr>
          <w:lang w:val="en-US"/>
        </w:rPr>
        <w:fldChar w:fldCharType="separate"/>
      </w:r>
      <w:r w:rsidR="00FB235B" w:rsidRPr="00FB235B">
        <w:rPr>
          <w:noProof/>
          <w:lang w:val="en-US"/>
        </w:rPr>
        <w:t>(55)</w:t>
      </w:r>
      <w:r w:rsidRPr="00A4181A">
        <w:fldChar w:fldCharType="end"/>
      </w:r>
      <w:r w:rsidRPr="00A4181A">
        <w:rPr>
          <w:lang w:val="en-US"/>
        </w:rPr>
        <w:t>.</w:t>
      </w:r>
      <w:r>
        <w:rPr>
          <w:lang w:val="en-US"/>
        </w:rPr>
        <w:t xml:space="preserve"> </w:t>
      </w:r>
    </w:p>
    <w:p w14:paraId="71301095" w14:textId="64FA83F7" w:rsidR="008A7B26" w:rsidRPr="003F68F8" w:rsidRDefault="00FB0123" w:rsidP="002244B8">
      <w:pPr>
        <w:rPr>
          <w:rFonts w:ascii="Times" w:hAnsi="Times" w:cs="Times"/>
        </w:rPr>
      </w:pPr>
      <w:r w:rsidRPr="004F04A3">
        <w:rPr>
          <w:rFonts w:ascii="Times" w:hAnsi="Times" w:cs="Times"/>
          <w:i/>
          <w:iCs/>
        </w:rPr>
        <w:lastRenderedPageBreak/>
        <w:t>In-Vitro</w:t>
      </w:r>
      <w:r w:rsidRPr="003F68F8">
        <w:rPr>
          <w:rFonts w:ascii="Times" w:hAnsi="Times" w:cs="Times"/>
        </w:rPr>
        <w:t xml:space="preserve"> Dissolution Studies</w:t>
      </w:r>
    </w:p>
    <w:p w14:paraId="6B71D9CF" w14:textId="3FEA6974" w:rsidR="005D0AEE" w:rsidRPr="00526098" w:rsidRDefault="00295400" w:rsidP="002244B8">
      <w:pPr>
        <w:rPr>
          <w:rFonts w:cs="Arial"/>
        </w:rPr>
      </w:pPr>
      <w:r w:rsidRPr="004F04A3">
        <w:rPr>
          <w:i/>
          <w:iCs/>
        </w:rPr>
        <w:t>In-vitro</w:t>
      </w:r>
      <w:r>
        <w:t xml:space="preserve"> d</w:t>
      </w:r>
      <w:r w:rsidRPr="00295400">
        <w:t>rug dissolution studies were undertaken for</w:t>
      </w:r>
      <w:r w:rsidR="00CA32A6">
        <w:t xml:space="preserve"> the</w:t>
      </w:r>
      <w:r w:rsidR="00BD5EC6">
        <w:t xml:space="preserve"> MG</w:t>
      </w:r>
      <w:r w:rsidR="00CA32A6">
        <w:t xml:space="preserve"> HPC</w:t>
      </w:r>
      <w:r w:rsidR="00160571">
        <w:t>-</w:t>
      </w:r>
      <w:r w:rsidR="00CA32A6">
        <w:t>A and HPC</w:t>
      </w:r>
      <w:r w:rsidR="00160571">
        <w:t>-</w:t>
      </w:r>
      <w:r w:rsidR="00CA32A6">
        <w:t>S</w:t>
      </w:r>
      <w:r w:rsidRPr="00295400">
        <w:t xml:space="preserve"> caplets, and results compared to dissolution profiles obtained for </w:t>
      </w:r>
      <w:r w:rsidR="0075144D">
        <w:t>Janumet</w:t>
      </w:r>
      <w:r w:rsidR="0075144D">
        <w:rPr>
          <w:rFonts w:cs="Times New Roman"/>
          <w:vertAlign w:val="superscript"/>
        </w:rPr>
        <w:t>®</w:t>
      </w:r>
      <w:r w:rsidR="00B60CFE">
        <w:t xml:space="preserve"> </w:t>
      </w:r>
      <w:r w:rsidR="00B60CFE" w:rsidRPr="005A0CD7">
        <w:t>(</w:t>
      </w:r>
      <w:r w:rsidR="00561788" w:rsidRPr="005A0CD7">
        <w:t xml:space="preserve">figure </w:t>
      </w:r>
      <w:r w:rsidR="00F15C9F" w:rsidRPr="005A0CD7">
        <w:t>6</w:t>
      </w:r>
      <w:r w:rsidR="00B60CFE" w:rsidRPr="005A0CD7">
        <w:t>)</w:t>
      </w:r>
      <w:r w:rsidR="00F07696" w:rsidRPr="005A0CD7">
        <w:t xml:space="preserve"> </w:t>
      </w:r>
      <w:r w:rsidR="00D92D8D" w:rsidRPr="005A0CD7">
        <w:t xml:space="preserve">as a </w:t>
      </w:r>
      <w:r w:rsidR="00F07696" w:rsidRPr="005A0CD7">
        <w:t>reference</w:t>
      </w:r>
      <w:r w:rsidR="00B60CFE" w:rsidRPr="005A0CD7">
        <w:t xml:space="preserve">. </w:t>
      </w:r>
      <w:r w:rsidR="00C77345" w:rsidRPr="005A0CD7">
        <w:t xml:space="preserve">Dissolution conditions were chosen to mimic </w:t>
      </w:r>
      <w:r w:rsidR="00473A76" w:rsidRPr="005A0CD7">
        <w:t xml:space="preserve">conditions in the stomach, the target release </w:t>
      </w:r>
      <w:r w:rsidR="00282B98" w:rsidRPr="005A0CD7">
        <w:t>region</w:t>
      </w:r>
      <w:r w:rsidR="00473A76" w:rsidRPr="005A0CD7">
        <w:t xml:space="preserve"> for the caplets. </w:t>
      </w:r>
      <w:r w:rsidR="00A50580" w:rsidRPr="005A0CD7">
        <w:t xml:space="preserve"> </w:t>
      </w:r>
      <w:r w:rsidR="000C14E3" w:rsidRPr="005A0CD7">
        <w:rPr>
          <w:rFonts w:cs="Arial"/>
          <w:lang w:val="en-US"/>
        </w:rPr>
        <w:t>All MG caplets fully release</w:t>
      </w:r>
      <w:r w:rsidR="00F90793" w:rsidRPr="005A0CD7">
        <w:rPr>
          <w:rFonts w:cs="Arial"/>
          <w:lang w:val="en-US"/>
        </w:rPr>
        <w:t>d</w:t>
      </w:r>
      <w:r w:rsidR="000C14E3" w:rsidRPr="005A0CD7">
        <w:rPr>
          <w:rFonts w:cs="Arial"/>
          <w:lang w:val="en-US"/>
        </w:rPr>
        <w:t xml:space="preserve"> both MET and SIT within 10 min and 5 min respectively (figure </w:t>
      </w:r>
      <w:r w:rsidR="00F15C9F" w:rsidRPr="005A0CD7">
        <w:rPr>
          <w:rFonts w:cs="Arial"/>
          <w:lang w:val="en-US"/>
        </w:rPr>
        <w:t>6</w:t>
      </w:r>
      <w:r w:rsidR="000C14E3" w:rsidRPr="005A0CD7">
        <w:rPr>
          <w:rFonts w:cs="Arial"/>
          <w:lang w:val="en-US"/>
        </w:rPr>
        <w:t>).</w:t>
      </w:r>
      <w:r w:rsidR="002312E5" w:rsidRPr="005A0CD7">
        <w:rPr>
          <w:rFonts w:ascii="Arial" w:hAnsi="Arial" w:cs="Arial"/>
          <w:szCs w:val="24"/>
          <w:lang w:val="en-US"/>
        </w:rPr>
        <w:t xml:space="preserve"> </w:t>
      </w:r>
      <w:r w:rsidR="002312E5" w:rsidRPr="005A0CD7">
        <w:rPr>
          <w:rFonts w:cs="Arial"/>
          <w:lang w:val="en-US"/>
        </w:rPr>
        <w:t>Interestingly, the compression force applied to manufactured caplets had no influence on rate of release of both drugs.</w:t>
      </w:r>
      <w:r w:rsidR="003F1CD8" w:rsidRPr="005A0CD7">
        <w:rPr>
          <w:rFonts w:cs="Arial"/>
          <w:lang w:val="en-US"/>
        </w:rPr>
        <w:t xml:space="preserve"> </w:t>
      </w:r>
      <w:r w:rsidR="00E45822" w:rsidRPr="005A0CD7">
        <w:rPr>
          <w:rFonts w:cs="Arial"/>
          <w:lang w:val="en-US"/>
        </w:rPr>
        <w:t>As both MET</w:t>
      </w:r>
      <w:r w:rsidR="00E45822">
        <w:rPr>
          <w:rFonts w:cs="Arial"/>
          <w:lang w:val="en-US"/>
        </w:rPr>
        <w:t xml:space="preserve"> and SIT are </w:t>
      </w:r>
      <w:r w:rsidR="00EE2C9E">
        <w:rPr>
          <w:rFonts w:cs="Arial"/>
          <w:lang w:val="en-US"/>
        </w:rPr>
        <w:t>BCS class III drug compounds,</w:t>
      </w:r>
      <w:r w:rsidR="00EE2C9E">
        <w:rPr>
          <w:rFonts w:cs="Arial"/>
        </w:rPr>
        <w:t xml:space="preserve"> </w:t>
      </w:r>
      <w:r w:rsidR="00413961" w:rsidRPr="00413961">
        <w:rPr>
          <w:rFonts w:cs="Arial"/>
        </w:rPr>
        <w:t>absorption is permeation rate limited</w:t>
      </w:r>
      <w:r w:rsidR="00AF2F60">
        <w:rPr>
          <w:rFonts w:cs="Arial"/>
        </w:rPr>
        <w:t xml:space="preserve"> and</w:t>
      </w:r>
      <w:r w:rsidR="00413961" w:rsidRPr="00413961">
        <w:rPr>
          <w:rFonts w:cs="Arial"/>
        </w:rPr>
        <w:t xml:space="preserve"> bioavailability is independent of drug release from the dosage form. </w:t>
      </w:r>
      <w:r w:rsidR="00B03646">
        <w:rPr>
          <w:rFonts w:cs="Arial"/>
        </w:rPr>
        <w:t>From a regula</w:t>
      </w:r>
      <w:r w:rsidR="00515C4E">
        <w:rPr>
          <w:rFonts w:cs="Arial"/>
        </w:rPr>
        <w:t>tory point of view, BCS class III drug compounds can qualify for BCS based biowaivers</w:t>
      </w:r>
      <w:r w:rsidR="00D71C8E">
        <w:rPr>
          <w:rFonts w:cs="Arial"/>
        </w:rPr>
        <w:t xml:space="preserve"> which in turn lead to a reduction in initial set up costs </w:t>
      </w:r>
      <w:r w:rsidR="00295FC6">
        <w:rPr>
          <w:rFonts w:cs="Arial"/>
        </w:rPr>
        <w:t xml:space="preserve">for getting a product to market. </w:t>
      </w:r>
      <w:r w:rsidR="001E252D">
        <w:rPr>
          <w:rFonts w:cs="Arial"/>
        </w:rPr>
        <w:t xml:space="preserve">To qualify </w:t>
      </w:r>
      <w:r w:rsidR="00AB65DF">
        <w:rPr>
          <w:rFonts w:cs="Arial"/>
        </w:rPr>
        <w:t>for a BCS class III biowaiver</w:t>
      </w:r>
      <w:r w:rsidR="00526098">
        <w:rPr>
          <w:rFonts w:cs="Arial"/>
        </w:rPr>
        <w:t xml:space="preserve">, the test product </w:t>
      </w:r>
      <w:r w:rsidR="00413961" w:rsidRPr="00413961">
        <w:rPr>
          <w:rFonts w:cs="Arial"/>
        </w:rPr>
        <w:t>must have very rapid dissolution profiles (</w:t>
      </w:r>
      <w:r w:rsidR="00454819">
        <w:rPr>
          <w:rFonts w:cs="Arial"/>
        </w:rPr>
        <w:t>&gt; 85 % in the first 15 min</w:t>
      </w:r>
      <w:r w:rsidR="00413961" w:rsidRPr="00413961">
        <w:rPr>
          <w:rFonts w:cs="Arial"/>
        </w:rPr>
        <w:t>) and the test product formulation is qualitatively the same and quantitatively very similar to the reference product</w:t>
      </w:r>
      <w:r w:rsidR="007452D7">
        <w:rPr>
          <w:rFonts w:cs="Arial"/>
        </w:rPr>
        <w:t xml:space="preserve"> </w:t>
      </w:r>
      <w:r w:rsidR="007452D7">
        <w:rPr>
          <w:rFonts w:cs="Arial"/>
        </w:rPr>
        <w:fldChar w:fldCharType="begin" w:fldLock="1"/>
      </w:r>
      <w:r w:rsidR="00E05EA3">
        <w:rPr>
          <w:rFonts w:cs="Arial"/>
        </w:rPr>
        <w:instrText>ADDIN CSL_CITATION {"citationItems":[{"id":"ITEM-1","itemData":{"ISBN":"493213/2018","abstract":"An agency of the European Union Telephone +44 (0)20 3660 6000 Facsimile +44 (0)20 3660 5510 Send a question via our website www.ema.europa.eu/contact","author":[{"dropping-particle":"","family":"European Medicines Agency","given":"","non-dropping-particle":"","parse-names":false,"suffix":""}],"id":"ITEM-1","issued":{"date-parts":[["2019"]]},"title":"M9 Step 2b on biopharmaceutics classification system based biowaivers","type":"report"},"uris":["http://www.mendeley.com/documents/?uuid=5029c6e9-1d33-3807-8346-3517bcab520c"]}],"mendeley":{"formattedCitation":"(60)","plainTextFormattedCitation":"(60)","previouslyFormattedCitation":"(60)"},"properties":{"noteIndex":0},"schema":"https://github.com/citation-style-language/schema/raw/master/csl-citation.json"}</w:instrText>
      </w:r>
      <w:r w:rsidR="007452D7">
        <w:rPr>
          <w:rFonts w:cs="Arial"/>
        </w:rPr>
        <w:fldChar w:fldCharType="separate"/>
      </w:r>
      <w:r w:rsidR="00FB235B" w:rsidRPr="00FB235B">
        <w:rPr>
          <w:rFonts w:cs="Arial"/>
          <w:noProof/>
        </w:rPr>
        <w:t>(60)</w:t>
      </w:r>
      <w:r w:rsidR="007452D7">
        <w:rPr>
          <w:rFonts w:cs="Arial"/>
        </w:rPr>
        <w:fldChar w:fldCharType="end"/>
      </w:r>
      <w:r w:rsidR="00413961" w:rsidRPr="00413961">
        <w:rPr>
          <w:rFonts w:cs="Arial"/>
        </w:rPr>
        <w:t xml:space="preserve">. This is due to BCS Class III drug substances being more susceptible to the effects of excipients and because they may have site-specific absorption, there are a </w:t>
      </w:r>
      <w:r w:rsidR="002B71FF">
        <w:rPr>
          <w:rFonts w:cs="Arial"/>
        </w:rPr>
        <w:t>large</w:t>
      </w:r>
      <w:r w:rsidR="00413961" w:rsidRPr="00413961">
        <w:rPr>
          <w:rFonts w:cs="Arial"/>
        </w:rPr>
        <w:t xml:space="preserve"> number of mechanisms through which excipients can affect their absorption </w:t>
      </w:r>
      <w:r w:rsidR="00413961" w:rsidRPr="00413961">
        <w:rPr>
          <w:rFonts w:cs="Arial"/>
        </w:rPr>
        <w:fldChar w:fldCharType="begin" w:fldLock="1"/>
      </w:r>
      <w:r w:rsidR="00E05EA3">
        <w:rPr>
          <w:rFonts w:cs="Arial"/>
        </w:rPr>
        <w:instrText>ADDIN CSL_CITATION {"citationItems":[{"id":"ITEM-1","itemData":{"DOI":"10.1007/s11095-004-9004-4","ISSN":"0724-8741","author":[{"dropping-particle":"","family":"Wu","given":"Chi-Yuan","non-dropping-particle":"","parse-names":false,"suffix":""},{"dropping-particle":"","family":"Benet","given":"Leslie Z.","non-dropping-particle":"","parse-names":false,"suffix":""}],"container-title":"Pharmaceutical Research","id":"ITEM-1","issue":"1","issued":{"date-parts":[["2005","1","1"]]},"page":"11-23","publisher":"Kluwer Academic Publishers-Plenum Publishers","title":"Predicting Drug Disposition via Application of BCS: Transport/Absorption/ Elimination Interplay and Development of a Biopharmaceutics Drug Disposition Classification System","type":"article-journal","volume":"22"},"uris":["http://www.mendeley.com/documents/?uuid=e5047e0a-187d-33d8-857a-1ec19e52d30c"]}],"mendeley":{"formattedCitation":"(61)","plainTextFormattedCitation":"(61)","previouslyFormattedCitation":"(61)"},"properties":{"noteIndex":0},"schema":"https://github.com/citation-style-language/schema/raw/master/csl-citation.json"}</w:instrText>
      </w:r>
      <w:r w:rsidR="00413961" w:rsidRPr="00413961">
        <w:rPr>
          <w:rFonts w:cs="Arial"/>
        </w:rPr>
        <w:fldChar w:fldCharType="separate"/>
      </w:r>
      <w:r w:rsidR="00FB235B" w:rsidRPr="00FB235B">
        <w:rPr>
          <w:rFonts w:cs="Arial"/>
          <w:noProof/>
        </w:rPr>
        <w:t>(61)</w:t>
      </w:r>
      <w:r w:rsidR="00413961" w:rsidRPr="00413961">
        <w:rPr>
          <w:rFonts w:cs="Arial"/>
          <w:lang w:val="en-US"/>
        </w:rPr>
        <w:fldChar w:fldCharType="end"/>
      </w:r>
      <w:r w:rsidR="00224320">
        <w:rPr>
          <w:rFonts w:cs="Arial"/>
          <w:lang w:val="en-US"/>
        </w:rPr>
        <w:t>.</w:t>
      </w:r>
    </w:p>
    <w:p w14:paraId="4B9515F6" w14:textId="31786BEA" w:rsidR="0069017B" w:rsidRDefault="0069017B" w:rsidP="002244B8"/>
    <w:p w14:paraId="73D0B8E9" w14:textId="2952B8BC" w:rsidR="0069017B" w:rsidRDefault="0069017B" w:rsidP="002244B8"/>
    <w:p w14:paraId="6585C1F6" w14:textId="79BF34E6" w:rsidR="0069017B" w:rsidRDefault="0069017B" w:rsidP="002244B8"/>
    <w:p w14:paraId="375D5E9B" w14:textId="4FFFC305" w:rsidR="003B07D2" w:rsidRDefault="003B07D2" w:rsidP="002244B8"/>
    <w:p w14:paraId="21E96ABD" w14:textId="7E7B8BFE" w:rsidR="003B07D2" w:rsidRDefault="003B07D2" w:rsidP="002244B8"/>
    <w:p w14:paraId="64B691F2" w14:textId="77777777" w:rsidR="00573403" w:rsidRDefault="00573403" w:rsidP="002244B8"/>
    <w:p w14:paraId="6DAA0A94" w14:textId="77777777" w:rsidR="003B07D2" w:rsidRDefault="003B07D2" w:rsidP="002244B8"/>
    <w:p w14:paraId="54A14677" w14:textId="77777777" w:rsidR="0069017B" w:rsidRPr="00B25404" w:rsidRDefault="0069017B" w:rsidP="002244B8"/>
    <w:p w14:paraId="3696BC4D" w14:textId="77777777" w:rsidR="005A0CD7" w:rsidRDefault="005A0CD7" w:rsidP="002244B8">
      <w:pPr>
        <w:rPr>
          <w:rFonts w:ascii="Times" w:hAnsi="Times" w:cs="Times"/>
          <w:b/>
          <w:bCs/>
          <w:szCs w:val="24"/>
        </w:rPr>
      </w:pPr>
    </w:p>
    <w:p w14:paraId="4AD40159" w14:textId="77777777" w:rsidR="005A0CD7" w:rsidRDefault="005A0CD7" w:rsidP="002244B8">
      <w:pPr>
        <w:rPr>
          <w:rFonts w:ascii="Times" w:hAnsi="Times" w:cs="Times"/>
          <w:b/>
          <w:bCs/>
          <w:szCs w:val="24"/>
        </w:rPr>
      </w:pPr>
    </w:p>
    <w:p w14:paraId="11E6970D" w14:textId="77777777" w:rsidR="005A0CD7" w:rsidRDefault="005A0CD7" w:rsidP="002244B8">
      <w:pPr>
        <w:rPr>
          <w:rFonts w:ascii="Times" w:hAnsi="Times" w:cs="Times"/>
          <w:b/>
          <w:bCs/>
          <w:szCs w:val="24"/>
        </w:rPr>
      </w:pPr>
    </w:p>
    <w:p w14:paraId="5C6BB515" w14:textId="231C5B48" w:rsidR="00A328E1" w:rsidRPr="00573403" w:rsidRDefault="00A328E1" w:rsidP="002244B8">
      <w:pPr>
        <w:rPr>
          <w:rFonts w:ascii="Times" w:hAnsi="Times" w:cs="Times"/>
          <w:b/>
          <w:bCs/>
          <w:szCs w:val="24"/>
        </w:rPr>
      </w:pPr>
      <w:bookmarkStart w:id="10" w:name="_GoBack"/>
      <w:bookmarkEnd w:id="10"/>
      <w:r w:rsidRPr="00573403">
        <w:rPr>
          <w:rFonts w:ascii="Times" w:hAnsi="Times" w:cs="Times"/>
          <w:b/>
          <w:bCs/>
          <w:szCs w:val="24"/>
        </w:rPr>
        <w:lastRenderedPageBreak/>
        <w:t>Conclusion</w:t>
      </w:r>
    </w:p>
    <w:p w14:paraId="35615B03" w14:textId="3C65C812" w:rsidR="00587DAF" w:rsidRPr="00587DAF" w:rsidRDefault="00AD1A8E" w:rsidP="002244B8">
      <w:pPr>
        <w:rPr>
          <w:lang w:val="en-US"/>
        </w:rPr>
      </w:pPr>
      <w:r w:rsidRPr="00AD1A8E">
        <w:rPr>
          <w:lang w:val="en-US"/>
        </w:rPr>
        <w:t xml:space="preserve">The continuous manufacturing of </w:t>
      </w:r>
      <w:r w:rsidR="00713164">
        <w:rPr>
          <w:lang w:val="en-US"/>
        </w:rPr>
        <w:t>fixed dose combination</w:t>
      </w:r>
      <w:r w:rsidRPr="00AD1A8E">
        <w:rPr>
          <w:lang w:val="en-US"/>
        </w:rPr>
        <w:t xml:space="preserve"> products is beneficial in pharmaceutical manufacturing, where there has been increased interest in recent years in moving away from batch-based processes due to their limitations.</w:t>
      </w:r>
      <w:r w:rsidR="0085754A">
        <w:rPr>
          <w:lang w:val="en-US"/>
        </w:rPr>
        <w:t xml:space="preserve"> The melt granulation technique </w:t>
      </w:r>
      <w:r w:rsidR="00CB27AF">
        <w:rPr>
          <w:lang w:val="en-US"/>
        </w:rPr>
        <w:t>employed in th</w:t>
      </w:r>
      <w:r w:rsidR="00853F4A">
        <w:rPr>
          <w:lang w:val="en-US"/>
        </w:rPr>
        <w:t>is</w:t>
      </w:r>
      <w:r w:rsidR="00CB27AF">
        <w:rPr>
          <w:lang w:val="en-US"/>
        </w:rPr>
        <w:t xml:space="preserve"> study </w:t>
      </w:r>
      <w:r w:rsidR="002770F8">
        <w:rPr>
          <w:lang w:val="en-US"/>
        </w:rPr>
        <w:t>shows the potential application of the process for its implementation in a continuous manufactur</w:t>
      </w:r>
      <w:r w:rsidR="00CF561B">
        <w:rPr>
          <w:lang w:val="en-US"/>
        </w:rPr>
        <w:t>ing environment for large</w:t>
      </w:r>
      <w:r w:rsidR="006E37EC">
        <w:rPr>
          <w:lang w:val="en-US"/>
        </w:rPr>
        <w:t xml:space="preserve"> fixed</w:t>
      </w:r>
      <w:r w:rsidR="00CF561B">
        <w:rPr>
          <w:lang w:val="en-US"/>
        </w:rPr>
        <w:t xml:space="preserve"> dose</w:t>
      </w:r>
      <w:r w:rsidR="006E37EC">
        <w:rPr>
          <w:lang w:val="en-US"/>
        </w:rPr>
        <w:t xml:space="preserve"> combination</w:t>
      </w:r>
      <w:r w:rsidR="00CF561B">
        <w:rPr>
          <w:lang w:val="en-US"/>
        </w:rPr>
        <w:t xml:space="preserve"> formulations</w:t>
      </w:r>
      <w:r w:rsidR="00287AB6">
        <w:rPr>
          <w:lang w:val="en-US"/>
        </w:rPr>
        <w:t>.</w:t>
      </w:r>
      <w:r w:rsidR="00D02C1A">
        <w:rPr>
          <w:lang w:val="en-US"/>
        </w:rPr>
        <w:t xml:space="preserve"> Manufactured</w:t>
      </w:r>
      <w:r w:rsidR="007B4B67">
        <w:rPr>
          <w:lang w:val="en-US"/>
        </w:rPr>
        <w:t xml:space="preserve"> </w:t>
      </w:r>
      <w:r w:rsidR="00D02C1A">
        <w:rPr>
          <w:lang w:val="en-US"/>
        </w:rPr>
        <w:t>c</w:t>
      </w:r>
      <w:r w:rsidR="007B4B67">
        <w:rPr>
          <w:lang w:val="en-US"/>
        </w:rPr>
        <w:t>aplets</w:t>
      </w:r>
      <w:r w:rsidR="00D02C1A">
        <w:rPr>
          <w:lang w:val="en-US"/>
        </w:rPr>
        <w:t xml:space="preserve"> ha</w:t>
      </w:r>
      <w:r w:rsidR="00272AD1">
        <w:rPr>
          <w:lang w:val="en-US"/>
        </w:rPr>
        <w:t>d</w:t>
      </w:r>
      <w:r w:rsidR="00D02C1A">
        <w:rPr>
          <w:lang w:val="en-US"/>
        </w:rPr>
        <w:t xml:space="preserve"> a smaller mass than the </w:t>
      </w:r>
      <w:r w:rsidR="00272AD1">
        <w:rPr>
          <w:lang w:val="en-US"/>
        </w:rPr>
        <w:t>marketed equivalent.</w:t>
      </w:r>
      <w:r w:rsidR="007B4B67">
        <w:rPr>
          <w:lang w:val="en-US"/>
        </w:rPr>
        <w:t xml:space="preserve"> </w:t>
      </w:r>
      <w:r w:rsidR="008D3DFB">
        <w:rPr>
          <w:lang w:val="en-US"/>
        </w:rPr>
        <w:t xml:space="preserve">Caplets </w:t>
      </w:r>
      <w:r w:rsidR="00FD44B4">
        <w:rPr>
          <w:lang w:val="en-US"/>
        </w:rPr>
        <w:t xml:space="preserve">that passed all compendial tests for solid oral dose immediate release products </w:t>
      </w:r>
      <w:r w:rsidR="00FC0D26">
        <w:rPr>
          <w:lang w:val="en-US"/>
        </w:rPr>
        <w:t xml:space="preserve">can be successfully manufactured using melt granulation. </w:t>
      </w:r>
      <w:r w:rsidR="00F06309">
        <w:rPr>
          <w:lang w:val="en-US"/>
        </w:rPr>
        <w:t xml:space="preserve">However, many factors including </w:t>
      </w:r>
      <w:r w:rsidR="000D2136">
        <w:rPr>
          <w:lang w:val="en-US"/>
        </w:rPr>
        <w:t xml:space="preserve">machine parameters, </w:t>
      </w:r>
      <w:r w:rsidR="00671FA9">
        <w:rPr>
          <w:lang w:val="en-US"/>
        </w:rPr>
        <w:t>polymer composition and compression force</w:t>
      </w:r>
      <w:r w:rsidR="006660AE">
        <w:rPr>
          <w:lang w:val="en-US"/>
        </w:rPr>
        <w:t>s used for final caplet compaction all impact the final product characteristics.</w:t>
      </w:r>
      <w:r w:rsidR="00587DAF">
        <w:rPr>
          <w:lang w:val="en-US"/>
        </w:rPr>
        <w:t xml:space="preserve"> </w:t>
      </w:r>
      <w:r w:rsidR="00587DAF" w:rsidRPr="00587DAF">
        <w:rPr>
          <w:lang w:val="en-US"/>
        </w:rPr>
        <w:t xml:space="preserve">Additionally, as </w:t>
      </w:r>
      <w:r w:rsidR="00810037">
        <w:rPr>
          <w:lang w:val="en-US"/>
        </w:rPr>
        <w:t>metformin</w:t>
      </w:r>
      <w:r w:rsidR="00587DAF" w:rsidRPr="00587DAF">
        <w:rPr>
          <w:lang w:val="en-US"/>
        </w:rPr>
        <w:t xml:space="preserve"> is indicated for treatment in type II diabetes in combination with several other </w:t>
      </w:r>
      <w:r w:rsidR="00810037">
        <w:rPr>
          <w:lang w:val="en-US"/>
        </w:rPr>
        <w:t xml:space="preserve">active pharmaceutical </w:t>
      </w:r>
      <w:r w:rsidR="00F0449C">
        <w:rPr>
          <w:lang w:val="en-US"/>
        </w:rPr>
        <w:t>ingredients</w:t>
      </w:r>
      <w:r w:rsidR="00587DAF" w:rsidRPr="00587DAF">
        <w:rPr>
          <w:lang w:val="en-US"/>
        </w:rPr>
        <w:t xml:space="preserve">, further work could be done to assess the suitability of </w:t>
      </w:r>
      <w:r w:rsidR="00F0449C">
        <w:rPr>
          <w:lang w:val="en-US"/>
        </w:rPr>
        <w:t>melt granulation</w:t>
      </w:r>
      <w:r w:rsidR="00587DAF" w:rsidRPr="00587DAF">
        <w:rPr>
          <w:lang w:val="en-US"/>
        </w:rPr>
        <w:t xml:space="preserve"> to produce </w:t>
      </w:r>
      <w:r w:rsidR="00F0449C">
        <w:rPr>
          <w:lang w:val="en-US"/>
        </w:rPr>
        <w:t>fixed dose combination</w:t>
      </w:r>
      <w:r w:rsidR="00587DAF" w:rsidRPr="00587DAF">
        <w:rPr>
          <w:lang w:val="en-US"/>
        </w:rPr>
        <w:t xml:space="preserve"> products of </w:t>
      </w:r>
      <w:r w:rsidR="00F0449C">
        <w:rPr>
          <w:lang w:val="en-US"/>
        </w:rPr>
        <w:t>metformin</w:t>
      </w:r>
      <w:r w:rsidR="00587DAF" w:rsidRPr="00587DAF">
        <w:rPr>
          <w:lang w:val="en-US"/>
        </w:rPr>
        <w:t xml:space="preserve"> and other </w:t>
      </w:r>
      <w:r w:rsidR="00F0449C">
        <w:rPr>
          <w:lang w:val="en-US"/>
        </w:rPr>
        <w:t>active pharmaceutical ingredient</w:t>
      </w:r>
      <w:r w:rsidR="00587DAF" w:rsidRPr="00587DAF">
        <w:rPr>
          <w:lang w:val="en-US"/>
        </w:rPr>
        <w:t>s.</w:t>
      </w:r>
    </w:p>
    <w:p w14:paraId="5BB3BE33" w14:textId="188508FB" w:rsidR="00295400" w:rsidRDefault="00295400" w:rsidP="002244B8"/>
    <w:p w14:paraId="35360186" w14:textId="73E5423A" w:rsidR="00C82B1F" w:rsidRDefault="00C82B1F" w:rsidP="002244B8"/>
    <w:p w14:paraId="3D2A8F06" w14:textId="4A191E0B" w:rsidR="00C82B1F" w:rsidRDefault="00C82B1F" w:rsidP="002244B8"/>
    <w:p w14:paraId="36A672F1" w14:textId="437F2356" w:rsidR="00BE2F96" w:rsidRPr="00573403" w:rsidRDefault="00BE2F96" w:rsidP="002244B8">
      <w:pPr>
        <w:rPr>
          <w:rFonts w:ascii="Times" w:hAnsi="Times" w:cstheme="minorHAnsi"/>
          <w:b/>
          <w:bCs/>
          <w:color w:val="000000" w:themeColor="text1"/>
        </w:rPr>
      </w:pPr>
      <w:r w:rsidRPr="00573403">
        <w:rPr>
          <w:rFonts w:ascii="Times" w:hAnsi="Times" w:cstheme="minorHAnsi"/>
          <w:b/>
          <w:bCs/>
          <w:color w:val="000000" w:themeColor="text1"/>
        </w:rPr>
        <w:t>Acknowledgements</w:t>
      </w:r>
    </w:p>
    <w:p w14:paraId="2A945661" w14:textId="77777777" w:rsidR="00BE2F96" w:rsidRDefault="00BE2F96" w:rsidP="002244B8">
      <w:pPr>
        <w:rPr>
          <w:rFonts w:ascii="Times" w:hAnsi="Times" w:cstheme="minorHAnsi"/>
          <w:color w:val="000000" w:themeColor="text1"/>
        </w:rPr>
      </w:pPr>
      <w:r>
        <w:rPr>
          <w:rFonts w:ascii="Times" w:hAnsi="Times" w:cstheme="minorHAnsi"/>
          <w:color w:val="000000" w:themeColor="text1"/>
        </w:rPr>
        <w:t xml:space="preserve">This investigation was conducted with the financial support of both the Department for the Economy of Northern Ireland and Science Foundation of Ireland (SFI) </w:t>
      </w:r>
      <w:r>
        <w:rPr>
          <w:rFonts w:ascii="Times" w:hAnsi="Times" w:cstheme="minorHAnsi"/>
          <w:color w:val="000000" w:themeColor="text1"/>
          <w:lang w:val="en-US"/>
        </w:rPr>
        <w:t>under Grant Number 14/IA/2559</w:t>
      </w:r>
      <w:r>
        <w:rPr>
          <w:rFonts w:ascii="Times" w:hAnsi="Times" w:cstheme="minorHAnsi"/>
          <w:color w:val="000000" w:themeColor="text1"/>
        </w:rPr>
        <w:t xml:space="preserve">. </w:t>
      </w:r>
    </w:p>
    <w:p w14:paraId="40A26B88" w14:textId="04B1732E" w:rsidR="0069017B" w:rsidRDefault="00BE2F96" w:rsidP="002244B8">
      <w:r>
        <w:rPr>
          <w:rFonts w:ascii="Times" w:hAnsi="Times" w:cstheme="minorHAnsi"/>
          <w:color w:val="000000" w:themeColor="text1"/>
        </w:rPr>
        <w:t xml:space="preserve">AM Healy also acknowledges funding </w:t>
      </w:r>
      <w:r w:rsidRPr="00BE2F96">
        <w:rPr>
          <w:rFonts w:ascii="Times" w:hAnsi="Times" w:cstheme="minorHAnsi"/>
          <w:color w:val="000000" w:themeColor="text1"/>
        </w:rPr>
        <w:t>from Science Foundation Ireland (SFI) [Grant Number 12/RC/2275]</w:t>
      </w:r>
      <w:r>
        <w:rPr>
          <w:rFonts w:ascii="Times" w:hAnsi="Times" w:cstheme="minorHAnsi"/>
          <w:color w:val="000000" w:themeColor="text1"/>
        </w:rPr>
        <w:t xml:space="preserve">, </w:t>
      </w:r>
      <w:r w:rsidRPr="00BE2F96">
        <w:rPr>
          <w:rFonts w:ascii="Times" w:hAnsi="Times" w:cstheme="minorHAnsi"/>
          <w:color w:val="000000" w:themeColor="text1"/>
        </w:rPr>
        <w:t>co-funded under the European Regional Development Fund.</w:t>
      </w:r>
      <w:r>
        <w:rPr>
          <w:rFonts w:ascii="Times" w:hAnsi="Times" w:cstheme="minorHAnsi"/>
          <w:color w:val="000000" w:themeColor="text1"/>
        </w:rPr>
        <w:t xml:space="preserve"> </w:t>
      </w:r>
    </w:p>
    <w:p w14:paraId="6016EF96" w14:textId="6AF23830" w:rsidR="0069017B" w:rsidRDefault="0069017B" w:rsidP="002244B8"/>
    <w:p w14:paraId="69627C73" w14:textId="024D4117" w:rsidR="0069017B" w:rsidRDefault="0069017B" w:rsidP="002244B8"/>
    <w:p w14:paraId="68C6C5C0" w14:textId="2C9D5203" w:rsidR="0069017B" w:rsidRDefault="0069017B" w:rsidP="002244B8"/>
    <w:p w14:paraId="5E8575EA" w14:textId="77777777" w:rsidR="0069017B" w:rsidRPr="00295400" w:rsidRDefault="0069017B" w:rsidP="002244B8"/>
    <w:p w14:paraId="1398E301" w14:textId="6BF62163" w:rsidR="00646EBB" w:rsidRPr="0012379A" w:rsidRDefault="00646EBB" w:rsidP="002244B8">
      <w:pPr>
        <w:rPr>
          <w:rFonts w:ascii="Times" w:hAnsi="Times" w:cs="Times"/>
          <w:b/>
          <w:bCs/>
          <w:szCs w:val="24"/>
        </w:rPr>
      </w:pPr>
      <w:r w:rsidRPr="0012379A">
        <w:rPr>
          <w:rFonts w:ascii="Times" w:hAnsi="Times" w:cs="Times"/>
          <w:b/>
          <w:bCs/>
          <w:szCs w:val="24"/>
        </w:rPr>
        <w:lastRenderedPageBreak/>
        <w:t>References</w:t>
      </w:r>
    </w:p>
    <w:p w14:paraId="17BD0D74" w14:textId="5241EECA" w:rsidR="005C776D" w:rsidRPr="005C776D" w:rsidRDefault="00FD2633" w:rsidP="005C776D">
      <w:pPr>
        <w:widowControl w:val="0"/>
        <w:autoSpaceDE w:val="0"/>
        <w:autoSpaceDN w:val="0"/>
        <w:adjustRightInd w:val="0"/>
        <w:ind w:left="640" w:hanging="640"/>
        <w:rPr>
          <w:rFonts w:cs="Times New Roman"/>
          <w:noProof/>
          <w:szCs w:val="24"/>
        </w:rPr>
      </w:pPr>
      <w:r>
        <w:fldChar w:fldCharType="begin" w:fldLock="1"/>
      </w:r>
      <w:r>
        <w:instrText xml:space="preserve">ADDIN Mendeley Bibliography CSL_BIBLIOGRAPHY </w:instrText>
      </w:r>
      <w:r>
        <w:fldChar w:fldCharType="separate"/>
      </w:r>
      <w:r w:rsidR="005C776D" w:rsidRPr="005C776D">
        <w:rPr>
          <w:rFonts w:cs="Times New Roman"/>
          <w:noProof/>
          <w:szCs w:val="24"/>
        </w:rPr>
        <w:t xml:space="preserve">1. </w:t>
      </w:r>
      <w:r w:rsidR="005C776D" w:rsidRPr="005C776D">
        <w:rPr>
          <w:rFonts w:cs="Times New Roman"/>
          <w:noProof/>
          <w:szCs w:val="24"/>
        </w:rPr>
        <w:tab/>
        <w:t>American Diabetes Association AD. Diagnosis and classification of diabetes mellitus. Diabetes Care [Internet]. 2011 Jan 1 [cited 2018 Mar 15];34 Suppl 1(Supplement 1):S62-9. Available from: http://www.ncbi.nlm.nih.gov/pubmed/21193628</w:t>
      </w:r>
    </w:p>
    <w:p w14:paraId="4AB9D62F"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 </w:t>
      </w:r>
      <w:r w:rsidRPr="005C776D">
        <w:rPr>
          <w:rFonts w:cs="Times New Roman"/>
          <w:noProof/>
          <w:szCs w:val="24"/>
        </w:rPr>
        <w:tab/>
        <w:t>Mayo Clinic. Diabetes - Symptoms and causes - Mayo Clinic [Internet]. 2018 [cited 2018 Mar 21]. Available from: https://www.mayoclinic.org/diseases-conditions/diabetes/symptoms-causes/syc-20371444</w:t>
      </w:r>
    </w:p>
    <w:p w14:paraId="565AA80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 </w:t>
      </w:r>
      <w:r w:rsidRPr="005C776D">
        <w:rPr>
          <w:rFonts w:cs="Times New Roman"/>
          <w:noProof/>
          <w:szCs w:val="24"/>
        </w:rPr>
        <w:tab/>
        <w:t>Zimmet P, Alberti KGMM, Shaw J. Global and societal implications of the diabetes epidemic. Nature [Internet]. 2001 [cited 2018 Mar 22];414:782–7. Available from: https://www.nature.com/articles/414782a.pdf</w:t>
      </w:r>
    </w:p>
    <w:p w14:paraId="6EEC33E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 </w:t>
      </w:r>
      <w:r w:rsidRPr="005C776D">
        <w:rPr>
          <w:rFonts w:cs="Times New Roman"/>
          <w:noProof/>
          <w:szCs w:val="24"/>
        </w:rPr>
        <w:tab/>
        <w:t>Merck. Glucophage Film-Coated Tablets - Summary of Product Characteristics (SPC) [Internet]. 2016 [cited 2018 Mar 26]. Available from: http://www.medicines.ie/medicine/3578/SPC/Glucophage+Film-Coated+Tablets/#PHARMACODYNAMIC_PROPS</w:t>
      </w:r>
    </w:p>
    <w:p w14:paraId="768F592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 </w:t>
      </w:r>
      <w:r w:rsidRPr="005C776D">
        <w:rPr>
          <w:rFonts w:cs="Times New Roman"/>
          <w:noProof/>
          <w:szCs w:val="24"/>
        </w:rPr>
        <w:tab/>
        <w:t>Drucker DJ, Nauck MA. The incretin system: glucagon-like peptide-1 receptor agonists and dipeptidyl peptidase-4 inhibitors in type 2 diabetes. Lancet [Internet]. 2006 Nov 11 [cited 2018 Mar 26];368(9548):1696–705. Available from: https://www.sciencedirect.com/science/article/pii/S0140673606697055</w:t>
      </w:r>
    </w:p>
    <w:p w14:paraId="745C8808"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6. </w:t>
      </w:r>
      <w:r w:rsidRPr="005C776D">
        <w:rPr>
          <w:rFonts w:cs="Times New Roman"/>
          <w:noProof/>
          <w:szCs w:val="24"/>
        </w:rPr>
        <w:tab/>
        <w:t xml:space="preserve">Gautam CS, Saha L. Fixed dose drug combinations (FDCs): Rational or irrational: A view point. Br J Clin Pharmacol. 2008;65(5):795–6. </w:t>
      </w:r>
    </w:p>
    <w:p w14:paraId="1CDB8AC7"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7. </w:t>
      </w:r>
      <w:r w:rsidRPr="005C776D">
        <w:rPr>
          <w:rFonts w:cs="Times New Roman"/>
          <w:noProof/>
          <w:szCs w:val="24"/>
        </w:rPr>
        <w:tab/>
        <w:t>Cheong C, Barner JC, Lawson KA, Johnsrud MT. Patient adherence and reimbursement amount for antidiabetic fixed-dose combination products compared with dual therapy among texas medicaid recipients. Clin Ther [Internet]. 2008 Oct 1 [cited 2019 Jan 17];30(10):1893–907. Available from: https://www.sciencedirect.com/science/article/pii/S014929180800324X</w:t>
      </w:r>
    </w:p>
    <w:p w14:paraId="2D67AF1D"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8. </w:t>
      </w:r>
      <w:r w:rsidRPr="005C776D">
        <w:rPr>
          <w:rFonts w:cs="Times New Roman"/>
          <w:noProof/>
          <w:szCs w:val="24"/>
        </w:rPr>
        <w:tab/>
        <w:t>Pan F, Chernew ME, Fendrick AM. Impact of Fixed-Dose Combination Drugs on Adherence to Prescription Medications. J Gen Intern Med [Internet]. 2008 [cited 2019 Jan 17];23(5):611–4. Available from: https://link.springer.com/article/10.1007/s11606-008-0544-x</w:t>
      </w:r>
    </w:p>
    <w:p w14:paraId="7DB5B590"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lastRenderedPageBreak/>
        <w:t xml:space="preserve">9. </w:t>
      </w:r>
      <w:r w:rsidRPr="005C776D">
        <w:rPr>
          <w:rFonts w:cs="Times New Roman"/>
          <w:noProof/>
          <w:szCs w:val="24"/>
        </w:rPr>
        <w:tab/>
        <w:t>Gerbino PP, Shoheiber O. Adherence patterns among patients treated with fixed-dose combination versus separate antihypertensive agents. Am J Health Syst Pharm [Internet]. 2007 Jun 15 [cited 2019 Jan 17];64(12):1279–83. Available from: http://www.ncbi.nlm.nih.gov/pubmed/17563050</w:t>
      </w:r>
    </w:p>
    <w:p w14:paraId="3F0340D6"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10. </w:t>
      </w:r>
      <w:r w:rsidRPr="005C776D">
        <w:rPr>
          <w:rFonts w:cs="Times New Roman"/>
          <w:noProof/>
          <w:szCs w:val="24"/>
        </w:rPr>
        <w:tab/>
        <w:t>Shanmugam S. Granulation techniques and technologies: recent progresses. Bioimpacts [Internet]. 2015 [cited 2019 Mar 25];5(1):55–63. Available from: http://www.ncbi.nlm.nih.gov/pubmed/25901297</w:t>
      </w:r>
    </w:p>
    <w:p w14:paraId="7ADB1E64"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11. </w:t>
      </w:r>
      <w:r w:rsidRPr="005C776D">
        <w:rPr>
          <w:rFonts w:cs="Times New Roman"/>
          <w:noProof/>
          <w:szCs w:val="24"/>
        </w:rPr>
        <w:tab/>
        <w:t>Schaefer T, Holm P, Kristensen HG. Melt Granulation in A Laboratory Scale High Shear Mixer. Drug Dev Ind Pharm [Internet]. 1990 Jan 20 [cited 2019 Sep 23];16(8):1249–77. Available from: http://www.tandfonline.com/doi/full/10.3109/03639049009115960</w:t>
      </w:r>
    </w:p>
    <w:p w14:paraId="4329DB90"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12. </w:t>
      </w:r>
      <w:r w:rsidRPr="005C776D">
        <w:rPr>
          <w:rFonts w:cs="Times New Roman"/>
          <w:noProof/>
          <w:szCs w:val="24"/>
        </w:rPr>
        <w:tab/>
        <w:t>Evrard B, Amighi K, Beten D, Delattre L, Moës AJ. Influence of Melting and Rheological Properties of Fatty Binders on the Melt Granulation Process in a High-Shear Mixer. Drug Dev Ind Pharm [Internet]. 1999 Jan 22 [cited 2019 Sep 23];25(11):1177–84. Available from: http://www.tandfonline.com/doi/full/10.1081/DDC-100102285</w:t>
      </w:r>
    </w:p>
    <w:p w14:paraId="37D8F94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13. </w:t>
      </w:r>
      <w:r w:rsidRPr="005C776D">
        <w:rPr>
          <w:rFonts w:cs="Times New Roman"/>
          <w:noProof/>
          <w:szCs w:val="24"/>
        </w:rPr>
        <w:tab/>
        <w:t>Vasanthavada M, Wang Y, Haefele T, Lakshman JP, Mone M, Tong W, et al. Application of Melt Granulation Technology Using Twin-screw Extruder in Development of High-dose Modified-Release Tablet Formulation. J Pharm Sci [Internet]. 2011 May 1 [cited 2019 Mar 25];100(5):1923–34. Available from: https://www.sciencedirect.com/science/article/pii/S0022354915321626</w:t>
      </w:r>
    </w:p>
    <w:p w14:paraId="19DF1991"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14. </w:t>
      </w:r>
      <w:r w:rsidRPr="005C776D">
        <w:rPr>
          <w:rFonts w:cs="Times New Roman"/>
          <w:noProof/>
          <w:szCs w:val="24"/>
        </w:rPr>
        <w:tab/>
        <w:t xml:space="preserve">Repka M a, Battu SK, Upadhye SB, Thumma S, Crowley MM, Zhang F, et al. Pharmaceutical applications of hot-melt extrusion: Part II. Drug Dev Ind Pharm. 2007;33(10):1043–57. </w:t>
      </w:r>
    </w:p>
    <w:p w14:paraId="1EE4992F"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15. </w:t>
      </w:r>
      <w:r w:rsidRPr="005C776D">
        <w:rPr>
          <w:rFonts w:cs="Times New Roman"/>
          <w:noProof/>
          <w:szCs w:val="24"/>
        </w:rPr>
        <w:tab/>
        <w:t>Vaingankar P, Amin P. Continuous melt granulation to develop high drug loaded sustained release tablet of Metformin HCl. Asian J Pharm Sci [Internet]. 2017 Jan 1 [cited 2019 Mar 25];12(1):37–50. Available from: https://www.sciencedirect.com/science/article/pii/S1818087616300769</w:t>
      </w:r>
    </w:p>
    <w:p w14:paraId="42D55AD1"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16. </w:t>
      </w:r>
      <w:r w:rsidRPr="005C776D">
        <w:rPr>
          <w:rFonts w:cs="Times New Roman"/>
          <w:noProof/>
          <w:szCs w:val="24"/>
        </w:rPr>
        <w:tab/>
        <w:t xml:space="preserve">Batra A, Desai D, Serajuddin ATM. Investigating the Use of Polymeric Binders in Twin Screw Melt Granulation Process for Improving Compactibility of Drugs. J Pharm Sci [Internet]. 2017 Jan 1 [cited 2019 May 2];106(1):140–50. Available from: </w:t>
      </w:r>
      <w:r w:rsidRPr="005C776D">
        <w:rPr>
          <w:rFonts w:cs="Times New Roman"/>
          <w:noProof/>
          <w:szCs w:val="24"/>
        </w:rPr>
        <w:lastRenderedPageBreak/>
        <w:t>https://www.sciencedirect.com/science/article/pii/S0022354916416011</w:t>
      </w:r>
    </w:p>
    <w:p w14:paraId="0E09ED5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17. </w:t>
      </w:r>
      <w:r w:rsidRPr="005C776D">
        <w:rPr>
          <w:rFonts w:cs="Times New Roman"/>
          <w:noProof/>
          <w:szCs w:val="24"/>
        </w:rPr>
        <w:tab/>
        <w:t>Lakshman JP, Kowalski J, Vasanthavada M, Tong W-Q, Joshi YM, Serajuddin ATM. Application of Melt Granulation Technology to Enhance Tabletting Properties of Poorly Compactible High-Dose Drugs. J Pharm Sci [Internet]. 2011 Apr 1 [cited 2019 Mar 25];100(4):1553–65. Available from: https://linkinghub.elsevier.com/retrieve/pii/S0022354915322024</w:t>
      </w:r>
    </w:p>
    <w:p w14:paraId="2DE35EF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18. </w:t>
      </w:r>
      <w:r w:rsidRPr="005C776D">
        <w:rPr>
          <w:rFonts w:cs="Times New Roman"/>
          <w:noProof/>
          <w:szCs w:val="24"/>
        </w:rPr>
        <w:tab/>
        <w:t>Arndt OR, Kleinebudde P. Influence of binder properties on dry granules and tablets. Powder Technol [Internet]. 2018 Sep 1 [cited 2019 Mar 28];337:68–77. Available from: https://www.sciencedirect.com/science/article/pii/S0032591017303522</w:t>
      </w:r>
    </w:p>
    <w:p w14:paraId="06BF6907"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19. </w:t>
      </w:r>
      <w:r w:rsidRPr="005C776D">
        <w:rPr>
          <w:rFonts w:cs="Times New Roman"/>
          <w:noProof/>
          <w:szCs w:val="24"/>
        </w:rPr>
        <w:tab/>
        <w:t>Freeman R. Measuring the flow properties of consolidated, conditioned and aerated powders — A comparative study using a powder rheometer and a rotational shear cell. Powder Technol [Internet]. 2007 May 16 [cited 2019 Apr 8];174(1–2):25–33. Available from: https://www.sciencedirect.com/science/article/pii/S0032591006004475</w:t>
      </w:r>
    </w:p>
    <w:p w14:paraId="782CDA9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20. </w:t>
      </w:r>
      <w:r w:rsidRPr="005C776D">
        <w:rPr>
          <w:rFonts w:cs="Times New Roman"/>
          <w:noProof/>
          <w:szCs w:val="24"/>
        </w:rPr>
        <w:tab/>
        <w:t>Pitt KG, Heasley MG. Determination of the tensile strength of elongated tablets. Powder Technol [Internet]. 2013 Apr 1 [cited 2019 Apr 16];238:169–75. Available from: https://www.sciencedirect.com/science/article/pii/S0032591011007467</w:t>
      </w:r>
    </w:p>
    <w:p w14:paraId="6BCB3476"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21. </w:t>
      </w:r>
      <w:r w:rsidRPr="005C776D">
        <w:rPr>
          <w:rFonts w:cs="Times New Roman"/>
          <w:noProof/>
          <w:szCs w:val="24"/>
        </w:rPr>
        <w:tab/>
        <w:t>British Pharmacopoeia. Appendix XVII G. Friability - British Pharmacopoeia [Internet]. 2019 [cited 2019 Apr 17]. Available from: https://www.pharmacopoeia.com/bp-2019/appendices/appendix-17/appendix-xvii-g--friability.html?date=2019-04-01&amp;text=friability</w:t>
      </w:r>
    </w:p>
    <w:p w14:paraId="6DA8901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22. </w:t>
      </w:r>
      <w:r w:rsidRPr="005C776D">
        <w:rPr>
          <w:rFonts w:cs="Times New Roman"/>
          <w:noProof/>
          <w:szCs w:val="24"/>
        </w:rPr>
        <w:tab/>
        <w:t>British Pharmacopoeia. Appendix XII A. Disintegration - British Pharmacopoeia [Internet]. 2019 [cited 2019 Apr 17]. Available from: https://www.pharmacopoeia.com/bp-2019/appendices/appendix-12/appendix-xii-a--disintegration.html?date=2019-04-01#f20901</w:t>
      </w:r>
    </w:p>
    <w:p w14:paraId="76ABF07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23. </w:t>
      </w:r>
      <w:r w:rsidRPr="005C776D">
        <w:rPr>
          <w:rFonts w:cs="Times New Roman"/>
          <w:noProof/>
          <w:szCs w:val="24"/>
        </w:rPr>
        <w:tab/>
        <w:t>Sarkar D, Nandi G, Changder A, Hudati P, Sarkar S, Ghosh LK. Sustained release gastroretentive tablet of metformin hydrochloride based on poly (acrylic acid)-grafted-gellan. Int J Biol Macromol [Internet]. 2017 Mar [cited 2019 Mar 28];96:137–48. Available from: http://www.ncbi.nlm.nih.gov/pubmed/27956100</w:t>
      </w:r>
    </w:p>
    <w:p w14:paraId="3D34A454"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24. </w:t>
      </w:r>
      <w:r w:rsidRPr="005C776D">
        <w:rPr>
          <w:rFonts w:cs="Times New Roman"/>
          <w:noProof/>
          <w:szCs w:val="24"/>
        </w:rPr>
        <w:tab/>
        <w:t xml:space="preserve">Priyadarshini R, Nandi G, Changder A, Chowdhury S, Chakraborty S, Ghosh LK. </w:t>
      </w:r>
      <w:r w:rsidRPr="005C776D">
        <w:rPr>
          <w:rFonts w:cs="Times New Roman"/>
          <w:noProof/>
          <w:szCs w:val="24"/>
        </w:rPr>
        <w:lastRenderedPageBreak/>
        <w:t>Gastroretentive extended release of metformin from methacrylamide-g-gellan and tamarind seed gum composite matrix. Carbohydr Polym [Internet]. 2016 Feb 10 [cited 2019 Mar 28];137:100–10. Available from: http://www.ncbi.nlm.nih.gov/pubmed/26686110</w:t>
      </w:r>
    </w:p>
    <w:p w14:paraId="2790ECAE"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25. </w:t>
      </w:r>
      <w:r w:rsidRPr="005C776D">
        <w:rPr>
          <w:rFonts w:cs="Times New Roman"/>
          <w:noProof/>
          <w:szCs w:val="24"/>
        </w:rPr>
        <w:tab/>
        <w:t>Sarode A, Wang P, Cote C, Worthen DR. Low-Viscosity Hydroxypropylcellulose (HPC) Grades SL and SSL: Versatile Pharmaceutical Polymers for Dissolution Enhancement, Controlled Release, and Pharmaceutical Processing. AAPS PharmSciTech [Internet]. 2013 Mar [cited 2019 Apr 18];14(1):151. Available from: http://www.ncbi.nlm.nih.gov/pubmed/23250708</w:t>
      </w:r>
    </w:p>
    <w:p w14:paraId="7DD49198"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26. </w:t>
      </w:r>
      <w:r w:rsidRPr="005C776D">
        <w:rPr>
          <w:rFonts w:cs="Times New Roman"/>
          <w:noProof/>
          <w:szCs w:val="24"/>
        </w:rPr>
        <w:tab/>
        <w:t>Picker-Freyer KM, Dürig T. Physical mechanical and tablet formation properties of hydroxypropylcellulose: In pure form and in mixtures. AAPS PharmSciTech [Internet]. 2007 Oct 9 [cited 2019 Apr 1];8(4):82. Available from: http://www.ncbi.nlm.nih.gov/pubmed/18181552</w:t>
      </w:r>
    </w:p>
    <w:p w14:paraId="5EE271DF"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27. </w:t>
      </w:r>
      <w:r w:rsidRPr="005C776D">
        <w:rPr>
          <w:rFonts w:cs="Times New Roman"/>
          <w:noProof/>
          <w:szCs w:val="24"/>
        </w:rPr>
        <w:tab/>
        <w:t>Rebitski EP, Aranda P, Darder M, Carraro R, Ruiz-Hitzky E. Intercalation of metformin into montmorillonite. Dalt Trans [Internet]. 2018 Feb 27 [cited 2019 Apr 2];47(9):3185–92. Available from: http://xlink.rsc.org/?DOI=C7DT04197G</w:t>
      </w:r>
    </w:p>
    <w:p w14:paraId="30376961"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28. </w:t>
      </w:r>
      <w:r w:rsidRPr="005C776D">
        <w:rPr>
          <w:rFonts w:cs="Times New Roman"/>
          <w:noProof/>
          <w:szCs w:val="24"/>
        </w:rPr>
        <w:tab/>
        <w:t>Ige PP, Gattani SG. Design and in vitro and in vivo characterization of mucoadhesive matrix pellets of metformin hydrochloride for oral controlled release: A technical note. Arch Pharm Res [Internet]. 2012 Mar 5 [cited 2019 Apr 2];35(3):487–98. Available from: http://www.ncbi.nlm.nih.gov/pubmed/22477196</w:t>
      </w:r>
    </w:p>
    <w:p w14:paraId="58D2814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29. </w:t>
      </w:r>
      <w:r w:rsidRPr="005C776D">
        <w:rPr>
          <w:rFonts w:cs="Times New Roman"/>
          <w:noProof/>
          <w:szCs w:val="24"/>
        </w:rPr>
        <w:tab/>
        <w:t>Shantikumar S, Sreekanth G, SurendraNath K V., JaferValli S, Satheeshkumar N. Compatibility study between sitagliptin and pharmaceutical excipients used in solid dosage forms. J Therm Anal Calorim [Internet]. 2014 Mar 30 [cited 2019 Apr 2];115(3):2423–8. Available from: http://link.springer.com/10.1007/s10973-013-3329-3</w:t>
      </w:r>
    </w:p>
    <w:p w14:paraId="1EB5A4B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30. </w:t>
      </w:r>
      <w:r w:rsidRPr="005C776D">
        <w:rPr>
          <w:rFonts w:cs="Times New Roman"/>
          <w:noProof/>
          <w:szCs w:val="24"/>
        </w:rPr>
        <w:tab/>
        <w:t>Baird JA, Olayo-Valles R, Rinaldi C, Taylor LS. Effect of Molecular Weight, Temperature, and Additives on the Moisture Sorption Properties of Polyethylene Glycol. J Pharm Sci [Internet]. 2010 Jan 1 [cited 2019 Apr 2];99(1):154–68. Available from: https://www.sciencedirect.com/science/article/pii/S0022354916303719?via%3Dihub</w:t>
      </w:r>
    </w:p>
    <w:p w14:paraId="397C8487"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lastRenderedPageBreak/>
        <w:t xml:space="preserve">31. </w:t>
      </w:r>
      <w:r w:rsidRPr="005C776D">
        <w:rPr>
          <w:rFonts w:cs="Times New Roman"/>
          <w:noProof/>
          <w:szCs w:val="24"/>
        </w:rPr>
        <w:tab/>
        <w:t>Kelleher JF, Gilvary GC, Madi AM, Jones DS, Li S, Tian Y, et al. A comparative study between hot-melt extrusion and spray-drying for the manufacture of anti-hypertension compatible monolithic fixed-dose combination products. Int J Pharm [Internet]. 2018 Jul 10 [cited 2019 May 2];545(1–2):183–96. Available from: https://www.sciencedirect.com/science/article/pii/S0378517318303016</w:t>
      </w:r>
    </w:p>
    <w:p w14:paraId="78F50189"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32. </w:t>
      </w:r>
      <w:r w:rsidRPr="005C776D">
        <w:rPr>
          <w:rFonts w:cs="Times New Roman"/>
          <w:noProof/>
          <w:szCs w:val="24"/>
        </w:rPr>
        <w:tab/>
        <w:t>Parikh DM. Handbook of pharmaceutical granulation technology [Internet]. Informa Healthcare USA; 2010 [cited 2019 Apr 2]. 659 p. Available from: https://www.crcpress.com/Handbook-of-Pharmaceutical-Granulation-Technology/Parikh/p/book/9781439807897</w:t>
      </w:r>
    </w:p>
    <w:p w14:paraId="6A48E47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33. </w:t>
      </w:r>
      <w:r w:rsidRPr="005C776D">
        <w:rPr>
          <w:rFonts w:cs="Times New Roman"/>
          <w:noProof/>
          <w:szCs w:val="24"/>
        </w:rPr>
        <w:tab/>
        <w:t>Passerini N, Albertini B, González-Rodríguez ML, Cavallari C, Rodriguez L. Preparation and characterisation of ibuprofen-poloxamer 188 granules obtained by melt granulation. Eur J Pharm Sci [Internet]. 2002 Feb [cited 2019 Apr 2];15(1):71–8. Available from: http://www.ncbi.nlm.nih.gov/pubmed/11803133</w:t>
      </w:r>
    </w:p>
    <w:p w14:paraId="0970D70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34. </w:t>
      </w:r>
      <w:r w:rsidRPr="005C776D">
        <w:rPr>
          <w:rFonts w:cs="Times New Roman"/>
          <w:noProof/>
          <w:szCs w:val="24"/>
        </w:rPr>
        <w:tab/>
        <w:t>Shimpi S, Chauhan B, Mahadik KR, Paradkar A. Preparation and evaluation of diltiazem hydrochloride-Gelucire 43/01 floating granules prepared by melt granulation. AAPS PharmSciTech [Internet]. 2004 Jul 12 [cited 2019 Apr 2];5(3):e43. Available from: http://www.ncbi.nlm.nih.gov/pubmed/15760076</w:t>
      </w:r>
    </w:p>
    <w:p w14:paraId="48F6442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35. </w:t>
      </w:r>
      <w:r w:rsidRPr="005C776D">
        <w:rPr>
          <w:rFonts w:cs="Times New Roman"/>
          <w:noProof/>
          <w:szCs w:val="24"/>
        </w:rPr>
        <w:tab/>
        <w:t>Schæfer T, Mathiesen C. Melt pelletization in a high shear mixer. VIII. Effects of binder viscosity. Int J Pharm [Internet]. 1996 Aug 9 [cited 2019 Apr 3];139(1–2):125–38. Available from: https://www.sciencedirect.com/science/article/pii/0378517396045498</w:t>
      </w:r>
    </w:p>
    <w:p w14:paraId="2AA10B0C"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36. </w:t>
      </w:r>
      <w:r w:rsidRPr="005C776D">
        <w:rPr>
          <w:rFonts w:cs="Times New Roman"/>
          <w:noProof/>
          <w:szCs w:val="24"/>
        </w:rPr>
        <w:tab/>
        <w:t>Van Melkebeke B, Vermeulen B, Vervaet C, Remon JP. Melt granulation using a twin-screw extruder: A case study. Int J Pharm [Internet]. 2006 Dec 1 [cited 2019 Apr 3];326(1–2):89–93. Available from: https://www.sciencedirect.com/science/article/pii/S0378517306005576</w:t>
      </w:r>
    </w:p>
    <w:p w14:paraId="7F31896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37. </w:t>
      </w:r>
      <w:r w:rsidRPr="005C776D">
        <w:rPr>
          <w:rFonts w:cs="Times New Roman"/>
          <w:noProof/>
          <w:szCs w:val="24"/>
        </w:rPr>
        <w:tab/>
        <w:t>Wagner JR, Mount EM, Giles HF, Wagner JR, Mount EM, Giles HF. Troubleshooting Mechanical Extrusion Problems. Extrusion [Internet]. 2014 Jan 1 [cited 2019 May 20];315–27. Available from: https://www.sciencedirect.com/science/article/pii/B9781437734812000272</w:t>
      </w:r>
    </w:p>
    <w:p w14:paraId="2A70F72E"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38. </w:t>
      </w:r>
      <w:r w:rsidRPr="005C776D">
        <w:rPr>
          <w:rFonts w:cs="Times New Roman"/>
          <w:noProof/>
          <w:szCs w:val="24"/>
        </w:rPr>
        <w:tab/>
        <w:t xml:space="preserve">Childs SL, Chyall LJ, Bretnall AE, Clarke SG, Dunlap JT, Coates DA, et al. A </w:t>
      </w:r>
      <w:r w:rsidRPr="005C776D">
        <w:rPr>
          <w:rFonts w:cs="Times New Roman"/>
          <w:noProof/>
          <w:szCs w:val="24"/>
        </w:rPr>
        <w:lastRenderedPageBreak/>
        <w:t>Metastable Polymorph of Metformin Hydrochloride: Isolation and Characterization Using Capillary Crystallization and Thermal Microscopy Techniques. Cryst Growth Des [Internet]. 2004 [cited 2019 Apr 17];4(3):441–9. Available from: https://pubs.acs.org/doi/abs/10.1021/cg034243p</w:t>
      </w:r>
    </w:p>
    <w:p w14:paraId="4AC7738E"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39. </w:t>
      </w:r>
      <w:r w:rsidRPr="005C776D">
        <w:rPr>
          <w:rFonts w:cs="Times New Roman"/>
          <w:noProof/>
          <w:szCs w:val="24"/>
        </w:rPr>
        <w:tab/>
        <w:t xml:space="preserve">Bretnall AE, Clarke SG. Metformin Hydrochloride - Analytical profiles of drug substances and excipients. Volume 25. Brittain HG, editor. Academic Press; 1998. 243-293 p. </w:t>
      </w:r>
    </w:p>
    <w:p w14:paraId="60A8F23D"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40. </w:t>
      </w:r>
      <w:r w:rsidRPr="005C776D">
        <w:rPr>
          <w:rFonts w:cs="Times New Roman"/>
          <w:noProof/>
          <w:szCs w:val="24"/>
        </w:rPr>
        <w:tab/>
        <w:t>Garekani HA, Ford JL, Rubinstein MH, Rajabi-Siahboomi AR. Formation and compression characteristics of prismatic polyhedral and thin plate-like crystals of paracetamol. Int J Pharm [Internet]. 1999 Sep 30 [cited 2019 Apr 17];187(1):77–89. Available from: http://www.ncbi.nlm.nih.gov/pubmed/10502615</w:t>
      </w:r>
    </w:p>
    <w:p w14:paraId="4C61FE54"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41. </w:t>
      </w:r>
      <w:r w:rsidRPr="005C776D">
        <w:rPr>
          <w:rFonts w:cs="Times New Roman"/>
          <w:noProof/>
          <w:szCs w:val="24"/>
        </w:rPr>
        <w:tab/>
        <w:t>Lindberg N, Pålsson M, Pihl A, Freeman R, Freeman T, Zetzener H, et al. Flowability Measurements of Pharmaceutical Powder Mixtures with Poor Flow Using Five Different Techniques. Drug Dev Ind Pharm [Internet]. 2004 Jan 9 [cited 2019 Apr 8];30(7):785–91. Available from: http://www.tandfonline.com/doi/full/10.1081/DDC-120040343</w:t>
      </w:r>
    </w:p>
    <w:p w14:paraId="6666B321"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42. </w:t>
      </w:r>
      <w:r w:rsidRPr="005C776D">
        <w:rPr>
          <w:rFonts w:cs="Times New Roman"/>
          <w:noProof/>
          <w:szCs w:val="24"/>
        </w:rPr>
        <w:tab/>
        <w:t>Freeman RE, Cooke JR, Schneider LCR. Measuring shear properties and normal stresses generated within a rotational shear cell for consolidated and non-consolidated powders. Powder Technol [Internet]. 2009 Mar 5 [cited 2019 Apr 8];190(1–2):65–9. Available from: https://www.sciencedirect.com/science/article/pii/S0032591008002532</w:t>
      </w:r>
    </w:p>
    <w:p w14:paraId="0CF2F84B"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43. </w:t>
      </w:r>
      <w:r w:rsidRPr="005C776D">
        <w:rPr>
          <w:rFonts w:cs="Times New Roman"/>
          <w:noProof/>
          <w:szCs w:val="24"/>
        </w:rPr>
        <w:tab/>
        <w:t>Guo Z, Chen X, Xu Y, Liu H. Effect of granular shape on angle of internal friction of binary granular system. Fuel [Internet]. 2015 Jun 15 [cited 2019 Apr 8];150:298–304. Available from: https://www.sciencedirect.com/science/article/pii/S0016236115001957</w:t>
      </w:r>
    </w:p>
    <w:p w14:paraId="602C2006"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44. </w:t>
      </w:r>
      <w:r w:rsidRPr="005C776D">
        <w:rPr>
          <w:rFonts w:cs="Times New Roman"/>
          <w:noProof/>
          <w:szCs w:val="24"/>
        </w:rPr>
        <w:tab/>
        <w:t>Podczeck F, Mia Y. The influence of particle size and shape on the angle of internal friction and the flow factor of unlubricated and lubricated powders. Int J Pharm [Internet]. 1996 Nov 29 [cited 2019 Apr 11];144(2):187–94. Available from: https://www.sciencedirect.com/science/article/pii/S0378517396047552</w:t>
      </w:r>
    </w:p>
    <w:p w14:paraId="17D56AA9"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45. </w:t>
      </w:r>
      <w:r w:rsidRPr="005C776D">
        <w:rPr>
          <w:rFonts w:cs="Times New Roman"/>
          <w:noProof/>
          <w:szCs w:val="24"/>
        </w:rPr>
        <w:tab/>
        <w:t xml:space="preserve">Wang Y, Koynov S, Glasser BJ, Muzzio FJ. A method to analyze shear cell data of powders measured under different initial consolidation stresses. Powder Technol </w:t>
      </w:r>
      <w:r w:rsidRPr="005C776D">
        <w:rPr>
          <w:rFonts w:cs="Times New Roman"/>
          <w:noProof/>
          <w:szCs w:val="24"/>
        </w:rPr>
        <w:lastRenderedPageBreak/>
        <w:t>[Internet]. 2016 Jun [cited 2019 Apr 8];294(294):105–12. Available from: https://linkinghub.elsevier.com/retrieve/pii/S0032591016300687</w:t>
      </w:r>
    </w:p>
    <w:p w14:paraId="71699F1F"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46. </w:t>
      </w:r>
      <w:r w:rsidRPr="005C776D">
        <w:rPr>
          <w:rFonts w:cs="Times New Roman"/>
          <w:noProof/>
          <w:szCs w:val="24"/>
        </w:rPr>
        <w:tab/>
        <w:t>Leung LY, Mao C, Srivastava I, Du P, Yang C-Y. Flow Function of Pharmaceutical Powders Is Predominantly Governed by Cohesion, Not by Friction Coefficients. J Pharm Sci [Internet]. 2017 Jul [cited 2019 Apr 8];106(7):1865–73. Available from: https://linkinghub.elsevier.com/retrieve/pii/S0022354917302447</w:t>
      </w:r>
    </w:p>
    <w:p w14:paraId="7C0A5E4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47. </w:t>
      </w:r>
      <w:r w:rsidRPr="005C776D">
        <w:rPr>
          <w:rFonts w:cs="Times New Roman"/>
          <w:noProof/>
          <w:szCs w:val="24"/>
        </w:rPr>
        <w:tab/>
        <w:t>Signet. Avicel PH [Internet]. 2019 [cited 2019 May 20]. Available from: http://www.signetchem.com/product.aspx?prdid=2</w:t>
      </w:r>
    </w:p>
    <w:p w14:paraId="34CF8091"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48. </w:t>
      </w:r>
      <w:r w:rsidRPr="005C776D">
        <w:rPr>
          <w:rFonts w:cs="Times New Roman"/>
          <w:noProof/>
          <w:szCs w:val="24"/>
        </w:rPr>
        <w:tab/>
        <w:t>Thoorens G, Krier F, Leclercq B, Carlin B, Evrard B. Microcrystalline cellulose, a direct compression binder in a quality by design environment—A review. Int J Pharm [Internet]. 2014 Oct 1 [cited 2019 May 20];473(1–2):64–72. Available from: https://www.sciencedirect.com/science/article/pii/S0378517314004840</w:t>
      </w:r>
    </w:p>
    <w:p w14:paraId="17840C20"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49. </w:t>
      </w:r>
      <w:r w:rsidRPr="005C776D">
        <w:rPr>
          <w:rFonts w:cs="Times New Roman"/>
          <w:noProof/>
          <w:szCs w:val="24"/>
        </w:rPr>
        <w:tab/>
        <w:t xml:space="preserve">Jenike AW. Storage and flow of solids. Bull 123, Eng Exp Station Univ Utah, USA. 1964; </w:t>
      </w:r>
    </w:p>
    <w:p w14:paraId="3FD1EC1C"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50. </w:t>
      </w:r>
      <w:r w:rsidRPr="005C776D">
        <w:rPr>
          <w:rFonts w:cs="Times New Roman"/>
          <w:noProof/>
          <w:szCs w:val="24"/>
        </w:rPr>
        <w:tab/>
        <w:t>British Pharmacopoeia. Metformin Tablets - British Pharmacopoeia [Internet]. 2019 [cited 2019 Apr 16]. Available from: https://www.pharmacopoeia.com/bp-2019/formulated-specific/metformin-tablets.html?date=2019-01-01&amp;text=Metformin</w:t>
      </w:r>
    </w:p>
    <w:p w14:paraId="735BC8C2"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51. </w:t>
      </w:r>
      <w:r w:rsidRPr="005C776D">
        <w:rPr>
          <w:rFonts w:cs="Times New Roman"/>
          <w:noProof/>
          <w:szCs w:val="24"/>
        </w:rPr>
        <w:tab/>
        <w:t>British Pharmacopoeia. Sitagliptin Tablets - British Pharmacopoeia [Internet]. 2019 [cited 2019 Apr 16]. Available from: https://www.pharmacopoeia.com/bp-2019/formulated-specific/sitagliptin-tablets.html?date=2019-01-01&amp;text=sitagliptin</w:t>
      </w:r>
    </w:p>
    <w:p w14:paraId="2331AB78"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52. </w:t>
      </w:r>
      <w:r w:rsidRPr="005C776D">
        <w:rPr>
          <w:rFonts w:cs="Times New Roman"/>
          <w:noProof/>
          <w:szCs w:val="24"/>
        </w:rPr>
        <w:tab/>
        <w:t>Fell JT, Newton JM. Determination of Tablet Strength by the Diametral-Compression Test. J Pharm Sci [Internet]. 1970 May 1 [cited 2019 Apr 17];59(5):688–91. Available from: https://www.sciencedirect.com/science/article/pii/S0022354915373068</w:t>
      </w:r>
    </w:p>
    <w:p w14:paraId="438BF123"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53. </w:t>
      </w:r>
      <w:r w:rsidRPr="005C776D">
        <w:rPr>
          <w:rFonts w:cs="Times New Roman"/>
          <w:noProof/>
          <w:szCs w:val="24"/>
        </w:rPr>
        <w:tab/>
        <w:t>Seitz JA, Flessland GM. Evaluation of the Physical Properties of Compressed Tablets I: Tablet Hardness and Friability. J Pharm Sci [Internet]. 1965 Sep 1 [cited 2019 Apr 17];54(9):1353–7. Available from: https://www.sciencedirect.com/science/article/pii/S0022354915350899</w:t>
      </w:r>
    </w:p>
    <w:p w14:paraId="6AAE9DAF"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54. </w:t>
      </w:r>
      <w:r w:rsidRPr="005C776D">
        <w:rPr>
          <w:rFonts w:cs="Times New Roman"/>
          <w:noProof/>
          <w:szCs w:val="24"/>
        </w:rPr>
        <w:tab/>
        <w:t xml:space="preserve">Chowhan ZT. Moisture, Hardness, Disintegration and Dissolution Interrelationships in </w:t>
      </w:r>
      <w:r w:rsidRPr="005C776D">
        <w:rPr>
          <w:rFonts w:cs="Times New Roman"/>
          <w:noProof/>
          <w:szCs w:val="24"/>
        </w:rPr>
        <w:lastRenderedPageBreak/>
        <w:t>Compressed Tablets Prepared by the Wet Granulation Process. Drug Dev Ind Pharm [Internet]. 1979 Jan 20 [cited 2019 Apr 17];5(1):41–62. Available from: http://www.tandfonline.com/doi/full/10.3109/03639047909055661</w:t>
      </w:r>
    </w:p>
    <w:p w14:paraId="47E437D6"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55. </w:t>
      </w:r>
      <w:r w:rsidRPr="005C776D">
        <w:rPr>
          <w:rFonts w:cs="Times New Roman"/>
          <w:noProof/>
          <w:szCs w:val="24"/>
        </w:rPr>
        <w:tab/>
        <w:t>Markl D, Zeitler JA. A Review of Disintegration Mechanisms and Measurement Techniques. Pharm Res [Internet]. 2017 [cited 2019 Apr 18];34(5):890–917. Available from: http://www.ncbi.nlm.nih.gov/pubmed/28251425</w:t>
      </w:r>
    </w:p>
    <w:p w14:paraId="193EF0D9"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56. </w:t>
      </w:r>
      <w:r w:rsidRPr="005C776D">
        <w:rPr>
          <w:rFonts w:cs="Times New Roman"/>
          <w:noProof/>
          <w:szCs w:val="24"/>
        </w:rPr>
        <w:tab/>
        <w:t>Caramella C, Colombo P, Conte U, Ferrari F, Gazzaniga A, LaManna A, et al. A physical analysis of the phenomenon of tablet disintegration. Int J Pharm [Internet]. 1988 Jun 1 [cited 2019 Apr 17];44(1–3):177–86. Available from: https://www.sciencedirect.com/science/article/pii/0378517388901147</w:t>
      </w:r>
    </w:p>
    <w:p w14:paraId="1EAA8216"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57. </w:t>
      </w:r>
      <w:r w:rsidRPr="005C776D">
        <w:rPr>
          <w:rFonts w:cs="Times New Roman"/>
          <w:noProof/>
          <w:szCs w:val="24"/>
        </w:rPr>
        <w:tab/>
        <w:t>Quodbach J, Kleinebudde P. A critical review on tablet disintegration. Pharm Dev Technol [Internet]. 2015 May 15 [cited 2019 Apr 17];1–12. Available from: http://www.tandfonline.com/doi/full/10.3109/10837450.2015.1045618</w:t>
      </w:r>
    </w:p>
    <w:p w14:paraId="0E4D43E3"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58. </w:t>
      </w:r>
      <w:r w:rsidRPr="005C776D">
        <w:rPr>
          <w:rFonts w:cs="Times New Roman"/>
          <w:noProof/>
          <w:szCs w:val="24"/>
        </w:rPr>
        <w:tab/>
        <w:t>Radwan A, Wagner M, Amidon G, Langguth P. Bio-predictive tablet disintegration: effect of water diffusivity, fluid flow, food composition and test conditions. Eur J Pharm Sci [Internet]. 2014 [cited 2019 Apr 17];57:273–9. Available from: http://europepmc.org/abstract/med/24036239</w:t>
      </w:r>
    </w:p>
    <w:p w14:paraId="4532104A"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59. </w:t>
      </w:r>
      <w:r w:rsidRPr="005C776D">
        <w:rPr>
          <w:rFonts w:cs="Times New Roman"/>
          <w:noProof/>
          <w:szCs w:val="24"/>
        </w:rPr>
        <w:tab/>
        <w:t>British Pharmacopoeia. Tablets - British Pharmacopoeia [Internet]. 2019 [cited 2019 Apr 18]. Available from: https://www.pharmacopoeia.com/Publication/bp-2019/formulated-general/tablets.html?date=2019-04-01&amp;text=disintegration</w:t>
      </w:r>
    </w:p>
    <w:p w14:paraId="2CA7C2E5" w14:textId="77777777" w:rsidR="005C776D" w:rsidRPr="005C776D" w:rsidRDefault="005C776D" w:rsidP="005C776D">
      <w:pPr>
        <w:widowControl w:val="0"/>
        <w:autoSpaceDE w:val="0"/>
        <w:autoSpaceDN w:val="0"/>
        <w:adjustRightInd w:val="0"/>
        <w:ind w:left="640" w:hanging="640"/>
        <w:rPr>
          <w:rFonts w:cs="Times New Roman"/>
          <w:noProof/>
          <w:szCs w:val="24"/>
        </w:rPr>
      </w:pPr>
      <w:r w:rsidRPr="005C776D">
        <w:rPr>
          <w:rFonts w:cs="Times New Roman"/>
          <w:noProof/>
          <w:szCs w:val="24"/>
        </w:rPr>
        <w:t xml:space="preserve">60. </w:t>
      </w:r>
      <w:r w:rsidRPr="005C776D">
        <w:rPr>
          <w:rFonts w:cs="Times New Roman"/>
          <w:noProof/>
          <w:szCs w:val="24"/>
        </w:rPr>
        <w:tab/>
        <w:t>European Medicines Agency. M9 Step 2b on biopharmaceutics classification system based biowaivers [Internet]. 2019 [cited 2019 Jan 10]. Available from: www.ema.europa.eu/contact</w:t>
      </w:r>
    </w:p>
    <w:p w14:paraId="3AECA721" w14:textId="77777777" w:rsidR="005C776D" w:rsidRPr="005C776D" w:rsidRDefault="005C776D" w:rsidP="005C776D">
      <w:pPr>
        <w:widowControl w:val="0"/>
        <w:autoSpaceDE w:val="0"/>
        <w:autoSpaceDN w:val="0"/>
        <w:adjustRightInd w:val="0"/>
        <w:ind w:left="640" w:hanging="640"/>
        <w:rPr>
          <w:rFonts w:cs="Times New Roman"/>
          <w:noProof/>
        </w:rPr>
      </w:pPr>
      <w:r w:rsidRPr="005C776D">
        <w:rPr>
          <w:rFonts w:cs="Times New Roman"/>
          <w:noProof/>
          <w:szCs w:val="24"/>
        </w:rPr>
        <w:t xml:space="preserve">61. </w:t>
      </w:r>
      <w:r w:rsidRPr="005C776D">
        <w:rPr>
          <w:rFonts w:cs="Times New Roman"/>
          <w:noProof/>
          <w:szCs w:val="24"/>
        </w:rPr>
        <w:tab/>
        <w:t>Wu C-Y, Benet LZ. Predicting Drug Disposition via Application of BCS: Transport/Absorption/ Elimination Interplay and Development of a Biopharmaceutics Drug Disposition Classification System. Pharm Res [Internet]. 2005 Jan 1 [cited 2019 Jan 11];22(1):11–23. Available from: http://link.springer.com/10.1007/s11095-004-9004-4</w:t>
      </w:r>
    </w:p>
    <w:p w14:paraId="678E5FA4" w14:textId="382107A1" w:rsidR="00646EBB" w:rsidRPr="00646EBB" w:rsidRDefault="00FD2633" w:rsidP="002244B8">
      <w:r>
        <w:fldChar w:fldCharType="end"/>
      </w:r>
    </w:p>
    <w:sectPr w:rsidR="00646EBB" w:rsidRPr="00646EBB" w:rsidSect="00D86AFE">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F08BA"/>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A2D55A1"/>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FB761EF"/>
    <w:multiLevelType w:val="hybridMultilevel"/>
    <w:tmpl w:val="CD3AE81E"/>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3" w15:restartNumberingAfterBreak="0">
    <w:nsid w:val="23122D13"/>
    <w:multiLevelType w:val="hybridMultilevel"/>
    <w:tmpl w:val="B8A2B17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392B5991"/>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40A95331"/>
    <w:multiLevelType w:val="hybridMultilevel"/>
    <w:tmpl w:val="A658F4F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482A3383"/>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50D65E1B"/>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5B970052"/>
    <w:multiLevelType w:val="multilevel"/>
    <w:tmpl w:val="D2B2A6B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64997C9E"/>
    <w:multiLevelType w:val="hybridMultilevel"/>
    <w:tmpl w:val="0DEEB78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7"/>
  </w:num>
  <w:num w:numId="2">
    <w:abstractNumId w:val="8"/>
  </w:num>
  <w:num w:numId="3">
    <w:abstractNumId w:val="4"/>
  </w:num>
  <w:num w:numId="4">
    <w:abstractNumId w:val="0"/>
  </w:num>
  <w:num w:numId="5">
    <w:abstractNumId w:val="1"/>
  </w:num>
  <w:num w:numId="6">
    <w:abstractNumId w:val="6"/>
  </w:num>
  <w:num w:numId="7">
    <w:abstractNumId w:val="3"/>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90"/>
    <w:rsid w:val="00002322"/>
    <w:rsid w:val="00003F75"/>
    <w:rsid w:val="000042F9"/>
    <w:rsid w:val="0001393D"/>
    <w:rsid w:val="00013FC8"/>
    <w:rsid w:val="00014436"/>
    <w:rsid w:val="000147AF"/>
    <w:rsid w:val="00020534"/>
    <w:rsid w:val="00020D96"/>
    <w:rsid w:val="00021471"/>
    <w:rsid w:val="00022264"/>
    <w:rsid w:val="00024441"/>
    <w:rsid w:val="000249D5"/>
    <w:rsid w:val="00026D8C"/>
    <w:rsid w:val="000277FA"/>
    <w:rsid w:val="000330A1"/>
    <w:rsid w:val="0003391C"/>
    <w:rsid w:val="000348FB"/>
    <w:rsid w:val="00037075"/>
    <w:rsid w:val="000375F1"/>
    <w:rsid w:val="00040D88"/>
    <w:rsid w:val="0004138B"/>
    <w:rsid w:val="00047566"/>
    <w:rsid w:val="0005254B"/>
    <w:rsid w:val="0005584C"/>
    <w:rsid w:val="00055CD1"/>
    <w:rsid w:val="00055CD2"/>
    <w:rsid w:val="0005686B"/>
    <w:rsid w:val="00057643"/>
    <w:rsid w:val="00057E49"/>
    <w:rsid w:val="00060A3D"/>
    <w:rsid w:val="00060B6A"/>
    <w:rsid w:val="00061A3E"/>
    <w:rsid w:val="00062681"/>
    <w:rsid w:val="00062BB6"/>
    <w:rsid w:val="00067DA9"/>
    <w:rsid w:val="00070810"/>
    <w:rsid w:val="000721DD"/>
    <w:rsid w:val="000723F9"/>
    <w:rsid w:val="000729AC"/>
    <w:rsid w:val="00073480"/>
    <w:rsid w:val="00073D88"/>
    <w:rsid w:val="0007433B"/>
    <w:rsid w:val="00077503"/>
    <w:rsid w:val="00080599"/>
    <w:rsid w:val="00084A43"/>
    <w:rsid w:val="00091E36"/>
    <w:rsid w:val="0009261A"/>
    <w:rsid w:val="0009275A"/>
    <w:rsid w:val="0009676A"/>
    <w:rsid w:val="00097A7D"/>
    <w:rsid w:val="000A0568"/>
    <w:rsid w:val="000A1B19"/>
    <w:rsid w:val="000A1D5C"/>
    <w:rsid w:val="000A22EB"/>
    <w:rsid w:val="000A4D11"/>
    <w:rsid w:val="000B3966"/>
    <w:rsid w:val="000C14E3"/>
    <w:rsid w:val="000C2D4D"/>
    <w:rsid w:val="000C2E19"/>
    <w:rsid w:val="000C3F2B"/>
    <w:rsid w:val="000C52B3"/>
    <w:rsid w:val="000C691B"/>
    <w:rsid w:val="000D2136"/>
    <w:rsid w:val="000D221E"/>
    <w:rsid w:val="000D3283"/>
    <w:rsid w:val="000D351D"/>
    <w:rsid w:val="000D3BC0"/>
    <w:rsid w:val="000D41A3"/>
    <w:rsid w:val="000D41AA"/>
    <w:rsid w:val="000D5641"/>
    <w:rsid w:val="000D61FF"/>
    <w:rsid w:val="000D6458"/>
    <w:rsid w:val="000D648E"/>
    <w:rsid w:val="000E10C8"/>
    <w:rsid w:val="000E1ED0"/>
    <w:rsid w:val="000E337D"/>
    <w:rsid w:val="000E3B94"/>
    <w:rsid w:val="000E460C"/>
    <w:rsid w:val="000E6287"/>
    <w:rsid w:val="000E6F5D"/>
    <w:rsid w:val="000F017B"/>
    <w:rsid w:val="000F2602"/>
    <w:rsid w:val="000F5EB5"/>
    <w:rsid w:val="000F6333"/>
    <w:rsid w:val="000F7220"/>
    <w:rsid w:val="000F7EC6"/>
    <w:rsid w:val="00100E98"/>
    <w:rsid w:val="00101902"/>
    <w:rsid w:val="001040DC"/>
    <w:rsid w:val="00104D01"/>
    <w:rsid w:val="00111867"/>
    <w:rsid w:val="00113AE3"/>
    <w:rsid w:val="00113F75"/>
    <w:rsid w:val="00116AA3"/>
    <w:rsid w:val="00117014"/>
    <w:rsid w:val="00120F3D"/>
    <w:rsid w:val="0012199A"/>
    <w:rsid w:val="001220F6"/>
    <w:rsid w:val="001226FE"/>
    <w:rsid w:val="0012379A"/>
    <w:rsid w:val="0012410A"/>
    <w:rsid w:val="00126441"/>
    <w:rsid w:val="0013116D"/>
    <w:rsid w:val="0013164E"/>
    <w:rsid w:val="001318C5"/>
    <w:rsid w:val="00132535"/>
    <w:rsid w:val="001339DA"/>
    <w:rsid w:val="00134B73"/>
    <w:rsid w:val="001437CA"/>
    <w:rsid w:val="00144261"/>
    <w:rsid w:val="001453BE"/>
    <w:rsid w:val="001454E8"/>
    <w:rsid w:val="001465AA"/>
    <w:rsid w:val="0015252D"/>
    <w:rsid w:val="00152CA3"/>
    <w:rsid w:val="0015334F"/>
    <w:rsid w:val="00160571"/>
    <w:rsid w:val="0016088D"/>
    <w:rsid w:val="00160EBD"/>
    <w:rsid w:val="00161BE9"/>
    <w:rsid w:val="00163224"/>
    <w:rsid w:val="00167E7E"/>
    <w:rsid w:val="00170351"/>
    <w:rsid w:val="00171E29"/>
    <w:rsid w:val="001725C2"/>
    <w:rsid w:val="001744A3"/>
    <w:rsid w:val="00174750"/>
    <w:rsid w:val="00176AD4"/>
    <w:rsid w:val="00184C61"/>
    <w:rsid w:val="00186E87"/>
    <w:rsid w:val="00191051"/>
    <w:rsid w:val="00191396"/>
    <w:rsid w:val="00193EF2"/>
    <w:rsid w:val="001961F7"/>
    <w:rsid w:val="0019711E"/>
    <w:rsid w:val="001A0E63"/>
    <w:rsid w:val="001A1190"/>
    <w:rsid w:val="001A19D1"/>
    <w:rsid w:val="001A2C56"/>
    <w:rsid w:val="001A51EA"/>
    <w:rsid w:val="001A61D7"/>
    <w:rsid w:val="001A69B3"/>
    <w:rsid w:val="001B225D"/>
    <w:rsid w:val="001B411C"/>
    <w:rsid w:val="001B44DF"/>
    <w:rsid w:val="001B4C2B"/>
    <w:rsid w:val="001B5295"/>
    <w:rsid w:val="001B57FC"/>
    <w:rsid w:val="001B5F9C"/>
    <w:rsid w:val="001B6846"/>
    <w:rsid w:val="001B75B2"/>
    <w:rsid w:val="001B7EA4"/>
    <w:rsid w:val="001C0E4A"/>
    <w:rsid w:val="001C1226"/>
    <w:rsid w:val="001C258E"/>
    <w:rsid w:val="001C27A7"/>
    <w:rsid w:val="001C367D"/>
    <w:rsid w:val="001C4D8F"/>
    <w:rsid w:val="001C4E54"/>
    <w:rsid w:val="001C7EEB"/>
    <w:rsid w:val="001D05BF"/>
    <w:rsid w:val="001D3BBB"/>
    <w:rsid w:val="001D440B"/>
    <w:rsid w:val="001D5105"/>
    <w:rsid w:val="001D5574"/>
    <w:rsid w:val="001D5F85"/>
    <w:rsid w:val="001E112A"/>
    <w:rsid w:val="001E1488"/>
    <w:rsid w:val="001E1C49"/>
    <w:rsid w:val="001E252D"/>
    <w:rsid w:val="001E3DE0"/>
    <w:rsid w:val="001E4C44"/>
    <w:rsid w:val="001E5572"/>
    <w:rsid w:val="001E60AF"/>
    <w:rsid w:val="001E7055"/>
    <w:rsid w:val="001F1F4E"/>
    <w:rsid w:val="001F5320"/>
    <w:rsid w:val="001F6046"/>
    <w:rsid w:val="001F67CB"/>
    <w:rsid w:val="00200AA3"/>
    <w:rsid w:val="00201805"/>
    <w:rsid w:val="00202F04"/>
    <w:rsid w:val="002037EB"/>
    <w:rsid w:val="002079C2"/>
    <w:rsid w:val="00212510"/>
    <w:rsid w:val="00214FA8"/>
    <w:rsid w:val="00215886"/>
    <w:rsid w:val="00215BDD"/>
    <w:rsid w:val="00216912"/>
    <w:rsid w:val="00220808"/>
    <w:rsid w:val="002208BE"/>
    <w:rsid w:val="0022192C"/>
    <w:rsid w:val="00224320"/>
    <w:rsid w:val="002244B8"/>
    <w:rsid w:val="00224751"/>
    <w:rsid w:val="00225C27"/>
    <w:rsid w:val="00227F99"/>
    <w:rsid w:val="002307CF"/>
    <w:rsid w:val="002312E5"/>
    <w:rsid w:val="0023228C"/>
    <w:rsid w:val="0023298A"/>
    <w:rsid w:val="002346C4"/>
    <w:rsid w:val="002347EF"/>
    <w:rsid w:val="0023743E"/>
    <w:rsid w:val="0024553C"/>
    <w:rsid w:val="0024677C"/>
    <w:rsid w:val="00246C63"/>
    <w:rsid w:val="0024735F"/>
    <w:rsid w:val="0025013A"/>
    <w:rsid w:val="002543DD"/>
    <w:rsid w:val="0025440C"/>
    <w:rsid w:val="00255208"/>
    <w:rsid w:val="0025702D"/>
    <w:rsid w:val="00265D05"/>
    <w:rsid w:val="002669F7"/>
    <w:rsid w:val="00271735"/>
    <w:rsid w:val="00272AD1"/>
    <w:rsid w:val="002770F8"/>
    <w:rsid w:val="00280F3E"/>
    <w:rsid w:val="00281478"/>
    <w:rsid w:val="00281753"/>
    <w:rsid w:val="00282B98"/>
    <w:rsid w:val="00286431"/>
    <w:rsid w:val="00286F78"/>
    <w:rsid w:val="00287AB6"/>
    <w:rsid w:val="00290362"/>
    <w:rsid w:val="00290C20"/>
    <w:rsid w:val="00293551"/>
    <w:rsid w:val="002938F7"/>
    <w:rsid w:val="00295136"/>
    <w:rsid w:val="00295400"/>
    <w:rsid w:val="00295FC6"/>
    <w:rsid w:val="002962D6"/>
    <w:rsid w:val="002964C7"/>
    <w:rsid w:val="002A1E04"/>
    <w:rsid w:val="002A29BF"/>
    <w:rsid w:val="002B1583"/>
    <w:rsid w:val="002B29EA"/>
    <w:rsid w:val="002B3545"/>
    <w:rsid w:val="002B632B"/>
    <w:rsid w:val="002B71FF"/>
    <w:rsid w:val="002C0BA3"/>
    <w:rsid w:val="002C7A55"/>
    <w:rsid w:val="002D03DC"/>
    <w:rsid w:val="002D2199"/>
    <w:rsid w:val="002D43E4"/>
    <w:rsid w:val="002D51F4"/>
    <w:rsid w:val="002D6B73"/>
    <w:rsid w:val="002D6C77"/>
    <w:rsid w:val="002E282C"/>
    <w:rsid w:val="002E4810"/>
    <w:rsid w:val="002E5ABB"/>
    <w:rsid w:val="002E60F3"/>
    <w:rsid w:val="002E798F"/>
    <w:rsid w:val="002E7DF6"/>
    <w:rsid w:val="002F2ED1"/>
    <w:rsid w:val="002F3FA2"/>
    <w:rsid w:val="00305C8C"/>
    <w:rsid w:val="003061EF"/>
    <w:rsid w:val="003120B3"/>
    <w:rsid w:val="0031751E"/>
    <w:rsid w:val="00317D63"/>
    <w:rsid w:val="003222AA"/>
    <w:rsid w:val="00324FC9"/>
    <w:rsid w:val="00325C00"/>
    <w:rsid w:val="003260F2"/>
    <w:rsid w:val="003267E8"/>
    <w:rsid w:val="003274C7"/>
    <w:rsid w:val="00327794"/>
    <w:rsid w:val="00334047"/>
    <w:rsid w:val="00334AFA"/>
    <w:rsid w:val="003355DB"/>
    <w:rsid w:val="00340489"/>
    <w:rsid w:val="00341797"/>
    <w:rsid w:val="00342BD5"/>
    <w:rsid w:val="00343B60"/>
    <w:rsid w:val="00346064"/>
    <w:rsid w:val="00346139"/>
    <w:rsid w:val="003507FC"/>
    <w:rsid w:val="003530A4"/>
    <w:rsid w:val="00353E92"/>
    <w:rsid w:val="00354A83"/>
    <w:rsid w:val="003601FE"/>
    <w:rsid w:val="0036144B"/>
    <w:rsid w:val="003632D9"/>
    <w:rsid w:val="00363C0A"/>
    <w:rsid w:val="00363FD1"/>
    <w:rsid w:val="00364515"/>
    <w:rsid w:val="00365457"/>
    <w:rsid w:val="0036664E"/>
    <w:rsid w:val="0036739C"/>
    <w:rsid w:val="00371BEC"/>
    <w:rsid w:val="003726E1"/>
    <w:rsid w:val="00374441"/>
    <w:rsid w:val="00376718"/>
    <w:rsid w:val="0038037F"/>
    <w:rsid w:val="0038134F"/>
    <w:rsid w:val="00382E65"/>
    <w:rsid w:val="003849CC"/>
    <w:rsid w:val="003907BC"/>
    <w:rsid w:val="00391106"/>
    <w:rsid w:val="00391EB6"/>
    <w:rsid w:val="00392290"/>
    <w:rsid w:val="003A2321"/>
    <w:rsid w:val="003A330F"/>
    <w:rsid w:val="003A6675"/>
    <w:rsid w:val="003A70FA"/>
    <w:rsid w:val="003B07AE"/>
    <w:rsid w:val="003B07D2"/>
    <w:rsid w:val="003B196B"/>
    <w:rsid w:val="003B5033"/>
    <w:rsid w:val="003B6DFE"/>
    <w:rsid w:val="003C039D"/>
    <w:rsid w:val="003C162E"/>
    <w:rsid w:val="003C4590"/>
    <w:rsid w:val="003C49DB"/>
    <w:rsid w:val="003C73EA"/>
    <w:rsid w:val="003D2DB8"/>
    <w:rsid w:val="003D73F0"/>
    <w:rsid w:val="003E1587"/>
    <w:rsid w:val="003E5F71"/>
    <w:rsid w:val="003E6959"/>
    <w:rsid w:val="003F0E38"/>
    <w:rsid w:val="003F1CD8"/>
    <w:rsid w:val="003F3EC1"/>
    <w:rsid w:val="003F4650"/>
    <w:rsid w:val="003F4F03"/>
    <w:rsid w:val="003F59AD"/>
    <w:rsid w:val="003F6222"/>
    <w:rsid w:val="003F68F8"/>
    <w:rsid w:val="004011FF"/>
    <w:rsid w:val="004045B4"/>
    <w:rsid w:val="0040505A"/>
    <w:rsid w:val="00406AD1"/>
    <w:rsid w:val="004126EF"/>
    <w:rsid w:val="00413597"/>
    <w:rsid w:val="00413961"/>
    <w:rsid w:val="00413C64"/>
    <w:rsid w:val="0041457C"/>
    <w:rsid w:val="00415D0E"/>
    <w:rsid w:val="0042058E"/>
    <w:rsid w:val="00426BDC"/>
    <w:rsid w:val="00435352"/>
    <w:rsid w:val="00435754"/>
    <w:rsid w:val="00435A61"/>
    <w:rsid w:val="004365C7"/>
    <w:rsid w:val="00440561"/>
    <w:rsid w:val="00445A9B"/>
    <w:rsid w:val="00445D14"/>
    <w:rsid w:val="00446D55"/>
    <w:rsid w:val="004510EF"/>
    <w:rsid w:val="0045170F"/>
    <w:rsid w:val="00453E1C"/>
    <w:rsid w:val="004544E9"/>
    <w:rsid w:val="00454819"/>
    <w:rsid w:val="00454860"/>
    <w:rsid w:val="004601C4"/>
    <w:rsid w:val="0046500A"/>
    <w:rsid w:val="0046613C"/>
    <w:rsid w:val="004670B8"/>
    <w:rsid w:val="00467E29"/>
    <w:rsid w:val="004702FC"/>
    <w:rsid w:val="004712B6"/>
    <w:rsid w:val="00472C68"/>
    <w:rsid w:val="004736BB"/>
    <w:rsid w:val="00473A76"/>
    <w:rsid w:val="00473D77"/>
    <w:rsid w:val="004740DE"/>
    <w:rsid w:val="00480166"/>
    <w:rsid w:val="00487B55"/>
    <w:rsid w:val="00491A4C"/>
    <w:rsid w:val="0049283D"/>
    <w:rsid w:val="004940D9"/>
    <w:rsid w:val="00495B2A"/>
    <w:rsid w:val="004A0BAE"/>
    <w:rsid w:val="004A0E7C"/>
    <w:rsid w:val="004A0FCA"/>
    <w:rsid w:val="004B55F1"/>
    <w:rsid w:val="004C74CB"/>
    <w:rsid w:val="004D04CD"/>
    <w:rsid w:val="004D0B8E"/>
    <w:rsid w:val="004D3413"/>
    <w:rsid w:val="004D4284"/>
    <w:rsid w:val="004D42FA"/>
    <w:rsid w:val="004D5B71"/>
    <w:rsid w:val="004E24E6"/>
    <w:rsid w:val="004F04A3"/>
    <w:rsid w:val="004F7CF1"/>
    <w:rsid w:val="00503B8A"/>
    <w:rsid w:val="005055E3"/>
    <w:rsid w:val="005067EF"/>
    <w:rsid w:val="0051019C"/>
    <w:rsid w:val="00511065"/>
    <w:rsid w:val="005113A2"/>
    <w:rsid w:val="00513838"/>
    <w:rsid w:val="00513AC4"/>
    <w:rsid w:val="00515C4E"/>
    <w:rsid w:val="00522342"/>
    <w:rsid w:val="00523A6F"/>
    <w:rsid w:val="00526098"/>
    <w:rsid w:val="00530653"/>
    <w:rsid w:val="00530DDE"/>
    <w:rsid w:val="005312D7"/>
    <w:rsid w:val="00533857"/>
    <w:rsid w:val="0053465B"/>
    <w:rsid w:val="0053768F"/>
    <w:rsid w:val="00537859"/>
    <w:rsid w:val="0054180E"/>
    <w:rsid w:val="00542E53"/>
    <w:rsid w:val="0054427A"/>
    <w:rsid w:val="00544733"/>
    <w:rsid w:val="00546FBB"/>
    <w:rsid w:val="00547A21"/>
    <w:rsid w:val="005514FE"/>
    <w:rsid w:val="00554E76"/>
    <w:rsid w:val="00557A78"/>
    <w:rsid w:val="00561788"/>
    <w:rsid w:val="00562565"/>
    <w:rsid w:val="00562C54"/>
    <w:rsid w:val="00562E7A"/>
    <w:rsid w:val="00564637"/>
    <w:rsid w:val="005646F0"/>
    <w:rsid w:val="005652F1"/>
    <w:rsid w:val="005679A0"/>
    <w:rsid w:val="00570349"/>
    <w:rsid w:val="00570C1B"/>
    <w:rsid w:val="0057155F"/>
    <w:rsid w:val="00571E47"/>
    <w:rsid w:val="00573403"/>
    <w:rsid w:val="00574724"/>
    <w:rsid w:val="00574EF4"/>
    <w:rsid w:val="005757F5"/>
    <w:rsid w:val="0058003B"/>
    <w:rsid w:val="005827BD"/>
    <w:rsid w:val="00583391"/>
    <w:rsid w:val="00586DAF"/>
    <w:rsid w:val="005871F5"/>
    <w:rsid w:val="00587DAF"/>
    <w:rsid w:val="005915C1"/>
    <w:rsid w:val="00591B0F"/>
    <w:rsid w:val="00593171"/>
    <w:rsid w:val="00595D05"/>
    <w:rsid w:val="005A0C73"/>
    <w:rsid w:val="005A0CD7"/>
    <w:rsid w:val="005A2304"/>
    <w:rsid w:val="005A345B"/>
    <w:rsid w:val="005A3C89"/>
    <w:rsid w:val="005A47CE"/>
    <w:rsid w:val="005A4A72"/>
    <w:rsid w:val="005A6E7C"/>
    <w:rsid w:val="005B0AD5"/>
    <w:rsid w:val="005B1963"/>
    <w:rsid w:val="005B33C7"/>
    <w:rsid w:val="005B6A67"/>
    <w:rsid w:val="005B6C26"/>
    <w:rsid w:val="005B726F"/>
    <w:rsid w:val="005C2EDD"/>
    <w:rsid w:val="005C402A"/>
    <w:rsid w:val="005C44E3"/>
    <w:rsid w:val="005C4C7E"/>
    <w:rsid w:val="005C776D"/>
    <w:rsid w:val="005D0AEE"/>
    <w:rsid w:val="005D5265"/>
    <w:rsid w:val="005D5354"/>
    <w:rsid w:val="005D77A0"/>
    <w:rsid w:val="005E16E7"/>
    <w:rsid w:val="005E28B2"/>
    <w:rsid w:val="005F11C8"/>
    <w:rsid w:val="005F2406"/>
    <w:rsid w:val="005F5DD1"/>
    <w:rsid w:val="005F666A"/>
    <w:rsid w:val="00600E11"/>
    <w:rsid w:val="006011DA"/>
    <w:rsid w:val="00602DED"/>
    <w:rsid w:val="006057F6"/>
    <w:rsid w:val="00606BDE"/>
    <w:rsid w:val="006148C8"/>
    <w:rsid w:val="00615B67"/>
    <w:rsid w:val="00622FD4"/>
    <w:rsid w:val="006236A5"/>
    <w:rsid w:val="00631099"/>
    <w:rsid w:val="00631C02"/>
    <w:rsid w:val="006329A7"/>
    <w:rsid w:val="006367EB"/>
    <w:rsid w:val="00641451"/>
    <w:rsid w:val="00642D26"/>
    <w:rsid w:val="00643793"/>
    <w:rsid w:val="00645A14"/>
    <w:rsid w:val="00646309"/>
    <w:rsid w:val="00646EBB"/>
    <w:rsid w:val="00647977"/>
    <w:rsid w:val="00653820"/>
    <w:rsid w:val="00657B05"/>
    <w:rsid w:val="00660101"/>
    <w:rsid w:val="006612AD"/>
    <w:rsid w:val="00664729"/>
    <w:rsid w:val="006660AE"/>
    <w:rsid w:val="0066699F"/>
    <w:rsid w:val="006674E2"/>
    <w:rsid w:val="006706E1"/>
    <w:rsid w:val="006706FE"/>
    <w:rsid w:val="006716C3"/>
    <w:rsid w:val="00671FA9"/>
    <w:rsid w:val="006748FC"/>
    <w:rsid w:val="0067526F"/>
    <w:rsid w:val="00675D86"/>
    <w:rsid w:val="0067628C"/>
    <w:rsid w:val="00676874"/>
    <w:rsid w:val="00676DA7"/>
    <w:rsid w:val="006773E4"/>
    <w:rsid w:val="00680CAC"/>
    <w:rsid w:val="00682AA5"/>
    <w:rsid w:val="00685302"/>
    <w:rsid w:val="0068715E"/>
    <w:rsid w:val="0069017B"/>
    <w:rsid w:val="006904AC"/>
    <w:rsid w:val="006915C6"/>
    <w:rsid w:val="00691877"/>
    <w:rsid w:val="00692AAE"/>
    <w:rsid w:val="00694B1F"/>
    <w:rsid w:val="00696621"/>
    <w:rsid w:val="006A1BC6"/>
    <w:rsid w:val="006A4371"/>
    <w:rsid w:val="006A6197"/>
    <w:rsid w:val="006A7230"/>
    <w:rsid w:val="006B178B"/>
    <w:rsid w:val="006B2903"/>
    <w:rsid w:val="006B345E"/>
    <w:rsid w:val="006B425C"/>
    <w:rsid w:val="006B4E75"/>
    <w:rsid w:val="006B6186"/>
    <w:rsid w:val="006C29AA"/>
    <w:rsid w:val="006C33D1"/>
    <w:rsid w:val="006C4EB9"/>
    <w:rsid w:val="006C6336"/>
    <w:rsid w:val="006D052B"/>
    <w:rsid w:val="006D1D78"/>
    <w:rsid w:val="006D2771"/>
    <w:rsid w:val="006D3CAE"/>
    <w:rsid w:val="006E04EB"/>
    <w:rsid w:val="006E1100"/>
    <w:rsid w:val="006E1A8C"/>
    <w:rsid w:val="006E37EC"/>
    <w:rsid w:val="006F1B9C"/>
    <w:rsid w:val="006F2349"/>
    <w:rsid w:val="006F44B1"/>
    <w:rsid w:val="006F7208"/>
    <w:rsid w:val="007003A4"/>
    <w:rsid w:val="00701989"/>
    <w:rsid w:val="00703F1E"/>
    <w:rsid w:val="007049AF"/>
    <w:rsid w:val="00705AB9"/>
    <w:rsid w:val="00706721"/>
    <w:rsid w:val="00706E83"/>
    <w:rsid w:val="007110A0"/>
    <w:rsid w:val="0071125C"/>
    <w:rsid w:val="00711D09"/>
    <w:rsid w:val="00711F75"/>
    <w:rsid w:val="00712AC3"/>
    <w:rsid w:val="00712BEA"/>
    <w:rsid w:val="00713164"/>
    <w:rsid w:val="007148D8"/>
    <w:rsid w:val="00715A0C"/>
    <w:rsid w:val="007170D9"/>
    <w:rsid w:val="00717F87"/>
    <w:rsid w:val="0072287A"/>
    <w:rsid w:val="007248AA"/>
    <w:rsid w:val="00725D00"/>
    <w:rsid w:val="00726378"/>
    <w:rsid w:val="00726D7D"/>
    <w:rsid w:val="00727F11"/>
    <w:rsid w:val="00730753"/>
    <w:rsid w:val="00732270"/>
    <w:rsid w:val="00733554"/>
    <w:rsid w:val="00733A42"/>
    <w:rsid w:val="00735B45"/>
    <w:rsid w:val="00741744"/>
    <w:rsid w:val="00742079"/>
    <w:rsid w:val="00744290"/>
    <w:rsid w:val="007452D7"/>
    <w:rsid w:val="00745B35"/>
    <w:rsid w:val="00745E48"/>
    <w:rsid w:val="007501F9"/>
    <w:rsid w:val="007502F7"/>
    <w:rsid w:val="00750B96"/>
    <w:rsid w:val="0075144D"/>
    <w:rsid w:val="007572F6"/>
    <w:rsid w:val="007613C4"/>
    <w:rsid w:val="00761436"/>
    <w:rsid w:val="007619A3"/>
    <w:rsid w:val="007649C1"/>
    <w:rsid w:val="00767317"/>
    <w:rsid w:val="00772737"/>
    <w:rsid w:val="007733FD"/>
    <w:rsid w:val="00777729"/>
    <w:rsid w:val="00781848"/>
    <w:rsid w:val="007858D2"/>
    <w:rsid w:val="00785A55"/>
    <w:rsid w:val="00785B17"/>
    <w:rsid w:val="00786DB2"/>
    <w:rsid w:val="00787A8B"/>
    <w:rsid w:val="00790A84"/>
    <w:rsid w:val="00795CA8"/>
    <w:rsid w:val="00796DFF"/>
    <w:rsid w:val="007A09E1"/>
    <w:rsid w:val="007A22CF"/>
    <w:rsid w:val="007A259B"/>
    <w:rsid w:val="007A2844"/>
    <w:rsid w:val="007A2C4E"/>
    <w:rsid w:val="007A42B7"/>
    <w:rsid w:val="007A43BF"/>
    <w:rsid w:val="007A4685"/>
    <w:rsid w:val="007A6A75"/>
    <w:rsid w:val="007A709D"/>
    <w:rsid w:val="007A7302"/>
    <w:rsid w:val="007B0E1B"/>
    <w:rsid w:val="007B16FD"/>
    <w:rsid w:val="007B33CD"/>
    <w:rsid w:val="007B3A05"/>
    <w:rsid w:val="007B4B67"/>
    <w:rsid w:val="007B72C2"/>
    <w:rsid w:val="007C0010"/>
    <w:rsid w:val="007C4510"/>
    <w:rsid w:val="007C5FA0"/>
    <w:rsid w:val="007C78D9"/>
    <w:rsid w:val="007D1D78"/>
    <w:rsid w:val="007E0AE8"/>
    <w:rsid w:val="007E0E67"/>
    <w:rsid w:val="007E2B95"/>
    <w:rsid w:val="007E3DF7"/>
    <w:rsid w:val="007E4205"/>
    <w:rsid w:val="007E5A0A"/>
    <w:rsid w:val="007E623B"/>
    <w:rsid w:val="007F2146"/>
    <w:rsid w:val="007F2BF7"/>
    <w:rsid w:val="007F3997"/>
    <w:rsid w:val="007F6F87"/>
    <w:rsid w:val="0080075A"/>
    <w:rsid w:val="00800A01"/>
    <w:rsid w:val="0080163C"/>
    <w:rsid w:val="00801B9A"/>
    <w:rsid w:val="00802940"/>
    <w:rsid w:val="00803690"/>
    <w:rsid w:val="008053A1"/>
    <w:rsid w:val="00806DEC"/>
    <w:rsid w:val="00807916"/>
    <w:rsid w:val="00807C7B"/>
    <w:rsid w:val="00810037"/>
    <w:rsid w:val="00810A28"/>
    <w:rsid w:val="00811141"/>
    <w:rsid w:val="0081290C"/>
    <w:rsid w:val="0081382B"/>
    <w:rsid w:val="00816AB7"/>
    <w:rsid w:val="00821FB2"/>
    <w:rsid w:val="00824812"/>
    <w:rsid w:val="00824BA7"/>
    <w:rsid w:val="00824D5D"/>
    <w:rsid w:val="00825CCE"/>
    <w:rsid w:val="0082779C"/>
    <w:rsid w:val="00830A4C"/>
    <w:rsid w:val="00834042"/>
    <w:rsid w:val="00834284"/>
    <w:rsid w:val="00836250"/>
    <w:rsid w:val="00836CA7"/>
    <w:rsid w:val="00836E97"/>
    <w:rsid w:val="0084090B"/>
    <w:rsid w:val="00840ED5"/>
    <w:rsid w:val="00842B78"/>
    <w:rsid w:val="008466D5"/>
    <w:rsid w:val="00847B7C"/>
    <w:rsid w:val="00851128"/>
    <w:rsid w:val="0085296E"/>
    <w:rsid w:val="0085321A"/>
    <w:rsid w:val="00853E58"/>
    <w:rsid w:val="00853F4A"/>
    <w:rsid w:val="008569C4"/>
    <w:rsid w:val="0085754A"/>
    <w:rsid w:val="0086167D"/>
    <w:rsid w:val="00861B34"/>
    <w:rsid w:val="00861CBD"/>
    <w:rsid w:val="008638DC"/>
    <w:rsid w:val="00864D98"/>
    <w:rsid w:val="008678F5"/>
    <w:rsid w:val="0087101A"/>
    <w:rsid w:val="00871C45"/>
    <w:rsid w:val="00872D30"/>
    <w:rsid w:val="00873337"/>
    <w:rsid w:val="00875EFC"/>
    <w:rsid w:val="00876375"/>
    <w:rsid w:val="00877507"/>
    <w:rsid w:val="00882292"/>
    <w:rsid w:val="008835F4"/>
    <w:rsid w:val="00885AE1"/>
    <w:rsid w:val="00891EC7"/>
    <w:rsid w:val="00892B14"/>
    <w:rsid w:val="00892CF3"/>
    <w:rsid w:val="008A4C29"/>
    <w:rsid w:val="008A7B26"/>
    <w:rsid w:val="008B01CC"/>
    <w:rsid w:val="008B2A09"/>
    <w:rsid w:val="008B3F78"/>
    <w:rsid w:val="008B60C5"/>
    <w:rsid w:val="008B62DE"/>
    <w:rsid w:val="008C1469"/>
    <w:rsid w:val="008D37A1"/>
    <w:rsid w:val="008D3DFB"/>
    <w:rsid w:val="008D55E5"/>
    <w:rsid w:val="008D6E3A"/>
    <w:rsid w:val="008D6EE7"/>
    <w:rsid w:val="008E0C20"/>
    <w:rsid w:val="008E282A"/>
    <w:rsid w:val="008E53A5"/>
    <w:rsid w:val="008E562F"/>
    <w:rsid w:val="008E653D"/>
    <w:rsid w:val="008F01A7"/>
    <w:rsid w:val="008F47BA"/>
    <w:rsid w:val="008F5F77"/>
    <w:rsid w:val="008F61A2"/>
    <w:rsid w:val="008F6B52"/>
    <w:rsid w:val="009018CB"/>
    <w:rsid w:val="0090565F"/>
    <w:rsid w:val="00912358"/>
    <w:rsid w:val="009123EC"/>
    <w:rsid w:val="00916D1D"/>
    <w:rsid w:val="00917A0C"/>
    <w:rsid w:val="00917A4F"/>
    <w:rsid w:val="00925C6C"/>
    <w:rsid w:val="00925D42"/>
    <w:rsid w:val="0092645C"/>
    <w:rsid w:val="00926F50"/>
    <w:rsid w:val="00927AAC"/>
    <w:rsid w:val="00930EFC"/>
    <w:rsid w:val="00934D75"/>
    <w:rsid w:val="009351BE"/>
    <w:rsid w:val="00935632"/>
    <w:rsid w:val="0093724C"/>
    <w:rsid w:val="00941014"/>
    <w:rsid w:val="009412E8"/>
    <w:rsid w:val="00944047"/>
    <w:rsid w:val="009446CD"/>
    <w:rsid w:val="00944DE4"/>
    <w:rsid w:val="009451E7"/>
    <w:rsid w:val="00961B19"/>
    <w:rsid w:val="00962462"/>
    <w:rsid w:val="0096365E"/>
    <w:rsid w:val="00972DAE"/>
    <w:rsid w:val="00974F10"/>
    <w:rsid w:val="00977D05"/>
    <w:rsid w:val="00977F70"/>
    <w:rsid w:val="00980074"/>
    <w:rsid w:val="0098115E"/>
    <w:rsid w:val="009827F1"/>
    <w:rsid w:val="00982E98"/>
    <w:rsid w:val="00983C17"/>
    <w:rsid w:val="00983E6A"/>
    <w:rsid w:val="00983F55"/>
    <w:rsid w:val="0098418E"/>
    <w:rsid w:val="009868CB"/>
    <w:rsid w:val="0099158F"/>
    <w:rsid w:val="0099250C"/>
    <w:rsid w:val="00992B91"/>
    <w:rsid w:val="00992ECC"/>
    <w:rsid w:val="00993B4A"/>
    <w:rsid w:val="00995A78"/>
    <w:rsid w:val="00996D8C"/>
    <w:rsid w:val="009A1782"/>
    <w:rsid w:val="009A1FFE"/>
    <w:rsid w:val="009A2FFA"/>
    <w:rsid w:val="009A302A"/>
    <w:rsid w:val="009A4028"/>
    <w:rsid w:val="009A784B"/>
    <w:rsid w:val="009B2703"/>
    <w:rsid w:val="009C5957"/>
    <w:rsid w:val="009C6811"/>
    <w:rsid w:val="009D73FC"/>
    <w:rsid w:val="009E0455"/>
    <w:rsid w:val="009E11E2"/>
    <w:rsid w:val="009E209D"/>
    <w:rsid w:val="009E2CD3"/>
    <w:rsid w:val="009E45F5"/>
    <w:rsid w:val="009E518E"/>
    <w:rsid w:val="009F15E7"/>
    <w:rsid w:val="009F1F39"/>
    <w:rsid w:val="009F3179"/>
    <w:rsid w:val="009F44C9"/>
    <w:rsid w:val="009F76E3"/>
    <w:rsid w:val="00A10CA6"/>
    <w:rsid w:val="00A13737"/>
    <w:rsid w:val="00A17B23"/>
    <w:rsid w:val="00A20893"/>
    <w:rsid w:val="00A2280A"/>
    <w:rsid w:val="00A23772"/>
    <w:rsid w:val="00A238DF"/>
    <w:rsid w:val="00A23B5A"/>
    <w:rsid w:val="00A23CAA"/>
    <w:rsid w:val="00A259C4"/>
    <w:rsid w:val="00A276A3"/>
    <w:rsid w:val="00A30450"/>
    <w:rsid w:val="00A328E1"/>
    <w:rsid w:val="00A344A6"/>
    <w:rsid w:val="00A36DCA"/>
    <w:rsid w:val="00A37A60"/>
    <w:rsid w:val="00A37ECF"/>
    <w:rsid w:val="00A40949"/>
    <w:rsid w:val="00A40D67"/>
    <w:rsid w:val="00A4181A"/>
    <w:rsid w:val="00A4250C"/>
    <w:rsid w:val="00A4501B"/>
    <w:rsid w:val="00A5041D"/>
    <w:rsid w:val="00A50580"/>
    <w:rsid w:val="00A51C9D"/>
    <w:rsid w:val="00A54B85"/>
    <w:rsid w:val="00A5600C"/>
    <w:rsid w:val="00A61E8B"/>
    <w:rsid w:val="00A624D6"/>
    <w:rsid w:val="00A629D9"/>
    <w:rsid w:val="00A62B54"/>
    <w:rsid w:val="00A72779"/>
    <w:rsid w:val="00A84248"/>
    <w:rsid w:val="00A84577"/>
    <w:rsid w:val="00A91C9D"/>
    <w:rsid w:val="00A936AF"/>
    <w:rsid w:val="00A94A3E"/>
    <w:rsid w:val="00A96BA8"/>
    <w:rsid w:val="00A97232"/>
    <w:rsid w:val="00A97E9B"/>
    <w:rsid w:val="00AA3D6B"/>
    <w:rsid w:val="00AA4195"/>
    <w:rsid w:val="00AA6877"/>
    <w:rsid w:val="00AA6E14"/>
    <w:rsid w:val="00AA6FDA"/>
    <w:rsid w:val="00AB3557"/>
    <w:rsid w:val="00AB355C"/>
    <w:rsid w:val="00AB46F7"/>
    <w:rsid w:val="00AB4D5B"/>
    <w:rsid w:val="00AB65DF"/>
    <w:rsid w:val="00AB660F"/>
    <w:rsid w:val="00AB692A"/>
    <w:rsid w:val="00AB69AD"/>
    <w:rsid w:val="00AB7ECD"/>
    <w:rsid w:val="00AC02AB"/>
    <w:rsid w:val="00AC116A"/>
    <w:rsid w:val="00AC4114"/>
    <w:rsid w:val="00AC5651"/>
    <w:rsid w:val="00AC687D"/>
    <w:rsid w:val="00AC7ADC"/>
    <w:rsid w:val="00AC7D85"/>
    <w:rsid w:val="00AD0F94"/>
    <w:rsid w:val="00AD1029"/>
    <w:rsid w:val="00AD14CE"/>
    <w:rsid w:val="00AD15C9"/>
    <w:rsid w:val="00AD1A8E"/>
    <w:rsid w:val="00AD30CE"/>
    <w:rsid w:val="00AD6DA1"/>
    <w:rsid w:val="00AD7CBC"/>
    <w:rsid w:val="00AD7D40"/>
    <w:rsid w:val="00AE0653"/>
    <w:rsid w:val="00AE45CF"/>
    <w:rsid w:val="00AE5340"/>
    <w:rsid w:val="00AE550F"/>
    <w:rsid w:val="00AE5BA5"/>
    <w:rsid w:val="00AE7C8F"/>
    <w:rsid w:val="00AF17C0"/>
    <w:rsid w:val="00AF2F60"/>
    <w:rsid w:val="00AF39F4"/>
    <w:rsid w:val="00AF4B64"/>
    <w:rsid w:val="00AF4BE0"/>
    <w:rsid w:val="00AF75E0"/>
    <w:rsid w:val="00AF7825"/>
    <w:rsid w:val="00B025FF"/>
    <w:rsid w:val="00B0343A"/>
    <w:rsid w:val="00B03646"/>
    <w:rsid w:val="00B04ECD"/>
    <w:rsid w:val="00B05034"/>
    <w:rsid w:val="00B07065"/>
    <w:rsid w:val="00B0733E"/>
    <w:rsid w:val="00B142E1"/>
    <w:rsid w:val="00B212A4"/>
    <w:rsid w:val="00B24E06"/>
    <w:rsid w:val="00B25404"/>
    <w:rsid w:val="00B25712"/>
    <w:rsid w:val="00B319ED"/>
    <w:rsid w:val="00B334DB"/>
    <w:rsid w:val="00B34C73"/>
    <w:rsid w:val="00B35427"/>
    <w:rsid w:val="00B35AB6"/>
    <w:rsid w:val="00B36192"/>
    <w:rsid w:val="00B3674E"/>
    <w:rsid w:val="00B434E4"/>
    <w:rsid w:val="00B43511"/>
    <w:rsid w:val="00B4536F"/>
    <w:rsid w:val="00B46747"/>
    <w:rsid w:val="00B50440"/>
    <w:rsid w:val="00B52CF5"/>
    <w:rsid w:val="00B56FB6"/>
    <w:rsid w:val="00B60CFE"/>
    <w:rsid w:val="00B61250"/>
    <w:rsid w:val="00B61A76"/>
    <w:rsid w:val="00B61DD5"/>
    <w:rsid w:val="00B630C4"/>
    <w:rsid w:val="00B635DB"/>
    <w:rsid w:val="00B63B83"/>
    <w:rsid w:val="00B63EB6"/>
    <w:rsid w:val="00B6423E"/>
    <w:rsid w:val="00B70151"/>
    <w:rsid w:val="00B77D60"/>
    <w:rsid w:val="00B81119"/>
    <w:rsid w:val="00B8195D"/>
    <w:rsid w:val="00B83310"/>
    <w:rsid w:val="00B8440C"/>
    <w:rsid w:val="00B85C27"/>
    <w:rsid w:val="00B8604D"/>
    <w:rsid w:val="00B91FA6"/>
    <w:rsid w:val="00B936A9"/>
    <w:rsid w:val="00B93761"/>
    <w:rsid w:val="00B943A7"/>
    <w:rsid w:val="00B946F8"/>
    <w:rsid w:val="00B94BA1"/>
    <w:rsid w:val="00B95727"/>
    <w:rsid w:val="00B961FD"/>
    <w:rsid w:val="00B97B62"/>
    <w:rsid w:val="00BA0528"/>
    <w:rsid w:val="00BA1025"/>
    <w:rsid w:val="00BA5922"/>
    <w:rsid w:val="00BA7952"/>
    <w:rsid w:val="00BB309C"/>
    <w:rsid w:val="00BB350E"/>
    <w:rsid w:val="00BB55FA"/>
    <w:rsid w:val="00BB7DE0"/>
    <w:rsid w:val="00BC09C7"/>
    <w:rsid w:val="00BC2849"/>
    <w:rsid w:val="00BC2F9E"/>
    <w:rsid w:val="00BC54A3"/>
    <w:rsid w:val="00BC6CBB"/>
    <w:rsid w:val="00BC78FA"/>
    <w:rsid w:val="00BD1A37"/>
    <w:rsid w:val="00BD32A1"/>
    <w:rsid w:val="00BD39C7"/>
    <w:rsid w:val="00BD3E50"/>
    <w:rsid w:val="00BD4C35"/>
    <w:rsid w:val="00BD5EC6"/>
    <w:rsid w:val="00BD630D"/>
    <w:rsid w:val="00BD6B91"/>
    <w:rsid w:val="00BE159F"/>
    <w:rsid w:val="00BE1EF3"/>
    <w:rsid w:val="00BE2F96"/>
    <w:rsid w:val="00BE438A"/>
    <w:rsid w:val="00BE5EC2"/>
    <w:rsid w:val="00BE715B"/>
    <w:rsid w:val="00BE75F8"/>
    <w:rsid w:val="00BF141B"/>
    <w:rsid w:val="00C007FE"/>
    <w:rsid w:val="00C0153E"/>
    <w:rsid w:val="00C03670"/>
    <w:rsid w:val="00C05C3A"/>
    <w:rsid w:val="00C10900"/>
    <w:rsid w:val="00C12264"/>
    <w:rsid w:val="00C131FE"/>
    <w:rsid w:val="00C14FEA"/>
    <w:rsid w:val="00C15699"/>
    <w:rsid w:val="00C167CE"/>
    <w:rsid w:val="00C176EB"/>
    <w:rsid w:val="00C234B6"/>
    <w:rsid w:val="00C23AEE"/>
    <w:rsid w:val="00C23D5E"/>
    <w:rsid w:val="00C2776F"/>
    <w:rsid w:val="00C27B62"/>
    <w:rsid w:val="00C27DDD"/>
    <w:rsid w:val="00C329A0"/>
    <w:rsid w:val="00C40B1F"/>
    <w:rsid w:val="00C40BD0"/>
    <w:rsid w:val="00C43016"/>
    <w:rsid w:val="00C445BD"/>
    <w:rsid w:val="00C44766"/>
    <w:rsid w:val="00C46D85"/>
    <w:rsid w:val="00C473FE"/>
    <w:rsid w:val="00C513D5"/>
    <w:rsid w:val="00C55463"/>
    <w:rsid w:val="00C56B98"/>
    <w:rsid w:val="00C56E60"/>
    <w:rsid w:val="00C576DD"/>
    <w:rsid w:val="00C61243"/>
    <w:rsid w:val="00C62402"/>
    <w:rsid w:val="00C62665"/>
    <w:rsid w:val="00C64998"/>
    <w:rsid w:val="00C64B20"/>
    <w:rsid w:val="00C66072"/>
    <w:rsid w:val="00C66ED8"/>
    <w:rsid w:val="00C71507"/>
    <w:rsid w:val="00C71A62"/>
    <w:rsid w:val="00C72214"/>
    <w:rsid w:val="00C727E2"/>
    <w:rsid w:val="00C751A0"/>
    <w:rsid w:val="00C76912"/>
    <w:rsid w:val="00C76B67"/>
    <w:rsid w:val="00C77345"/>
    <w:rsid w:val="00C775CD"/>
    <w:rsid w:val="00C77DE0"/>
    <w:rsid w:val="00C80E45"/>
    <w:rsid w:val="00C82088"/>
    <w:rsid w:val="00C82B1F"/>
    <w:rsid w:val="00C85FD0"/>
    <w:rsid w:val="00C87453"/>
    <w:rsid w:val="00C90FE1"/>
    <w:rsid w:val="00C918AA"/>
    <w:rsid w:val="00C91EBE"/>
    <w:rsid w:val="00C93CD7"/>
    <w:rsid w:val="00C93F1E"/>
    <w:rsid w:val="00C951E4"/>
    <w:rsid w:val="00C966BA"/>
    <w:rsid w:val="00C97243"/>
    <w:rsid w:val="00CA00E6"/>
    <w:rsid w:val="00CA32A6"/>
    <w:rsid w:val="00CA4BB6"/>
    <w:rsid w:val="00CA626C"/>
    <w:rsid w:val="00CA6F05"/>
    <w:rsid w:val="00CA7283"/>
    <w:rsid w:val="00CB27AF"/>
    <w:rsid w:val="00CB4235"/>
    <w:rsid w:val="00CB42E6"/>
    <w:rsid w:val="00CB5FC8"/>
    <w:rsid w:val="00CB7151"/>
    <w:rsid w:val="00CB72F0"/>
    <w:rsid w:val="00CC1DB7"/>
    <w:rsid w:val="00CC3E60"/>
    <w:rsid w:val="00CC42DB"/>
    <w:rsid w:val="00CC4E5D"/>
    <w:rsid w:val="00CC74D5"/>
    <w:rsid w:val="00CD4E27"/>
    <w:rsid w:val="00CE04CB"/>
    <w:rsid w:val="00CE2E3D"/>
    <w:rsid w:val="00CE4718"/>
    <w:rsid w:val="00CE6DAD"/>
    <w:rsid w:val="00CF2C48"/>
    <w:rsid w:val="00CF2E83"/>
    <w:rsid w:val="00CF2F30"/>
    <w:rsid w:val="00CF4012"/>
    <w:rsid w:val="00CF52E9"/>
    <w:rsid w:val="00CF52EF"/>
    <w:rsid w:val="00CF561B"/>
    <w:rsid w:val="00D00100"/>
    <w:rsid w:val="00D021A0"/>
    <w:rsid w:val="00D02241"/>
    <w:rsid w:val="00D02C1A"/>
    <w:rsid w:val="00D055BD"/>
    <w:rsid w:val="00D06E2F"/>
    <w:rsid w:val="00D11D6C"/>
    <w:rsid w:val="00D13B64"/>
    <w:rsid w:val="00D17A94"/>
    <w:rsid w:val="00D20474"/>
    <w:rsid w:val="00D2270D"/>
    <w:rsid w:val="00D22AE0"/>
    <w:rsid w:val="00D23A75"/>
    <w:rsid w:val="00D24742"/>
    <w:rsid w:val="00D25153"/>
    <w:rsid w:val="00D251C4"/>
    <w:rsid w:val="00D2612D"/>
    <w:rsid w:val="00D27AD0"/>
    <w:rsid w:val="00D27BE6"/>
    <w:rsid w:val="00D300B3"/>
    <w:rsid w:val="00D33FBE"/>
    <w:rsid w:val="00D36998"/>
    <w:rsid w:val="00D408D7"/>
    <w:rsid w:val="00D408D8"/>
    <w:rsid w:val="00D40F71"/>
    <w:rsid w:val="00D41A6A"/>
    <w:rsid w:val="00D432A7"/>
    <w:rsid w:val="00D43BAA"/>
    <w:rsid w:val="00D445B8"/>
    <w:rsid w:val="00D464B7"/>
    <w:rsid w:val="00D46AD0"/>
    <w:rsid w:val="00D47607"/>
    <w:rsid w:val="00D5256E"/>
    <w:rsid w:val="00D52D74"/>
    <w:rsid w:val="00D5406B"/>
    <w:rsid w:val="00D5683D"/>
    <w:rsid w:val="00D62187"/>
    <w:rsid w:val="00D67D75"/>
    <w:rsid w:val="00D71C8E"/>
    <w:rsid w:val="00D7298E"/>
    <w:rsid w:val="00D72A86"/>
    <w:rsid w:val="00D73D6E"/>
    <w:rsid w:val="00D86AFE"/>
    <w:rsid w:val="00D90129"/>
    <w:rsid w:val="00D90A99"/>
    <w:rsid w:val="00D92D8D"/>
    <w:rsid w:val="00D93149"/>
    <w:rsid w:val="00D9559F"/>
    <w:rsid w:val="00D9666B"/>
    <w:rsid w:val="00D97241"/>
    <w:rsid w:val="00DA01F1"/>
    <w:rsid w:val="00DA284C"/>
    <w:rsid w:val="00DA2DA6"/>
    <w:rsid w:val="00DA670C"/>
    <w:rsid w:val="00DB0537"/>
    <w:rsid w:val="00DB05B1"/>
    <w:rsid w:val="00DB1272"/>
    <w:rsid w:val="00DB4720"/>
    <w:rsid w:val="00DB4A21"/>
    <w:rsid w:val="00DB4B8D"/>
    <w:rsid w:val="00DB5C00"/>
    <w:rsid w:val="00DB72D4"/>
    <w:rsid w:val="00DC0B3D"/>
    <w:rsid w:val="00DC4480"/>
    <w:rsid w:val="00DC5AE3"/>
    <w:rsid w:val="00DC7097"/>
    <w:rsid w:val="00DD0BDD"/>
    <w:rsid w:val="00DD1659"/>
    <w:rsid w:val="00DD2373"/>
    <w:rsid w:val="00DD664D"/>
    <w:rsid w:val="00DE0069"/>
    <w:rsid w:val="00DE5D5D"/>
    <w:rsid w:val="00DF11AD"/>
    <w:rsid w:val="00DF2EE1"/>
    <w:rsid w:val="00DF30D8"/>
    <w:rsid w:val="00E006E4"/>
    <w:rsid w:val="00E031C4"/>
    <w:rsid w:val="00E04524"/>
    <w:rsid w:val="00E05DB6"/>
    <w:rsid w:val="00E05EA3"/>
    <w:rsid w:val="00E07D52"/>
    <w:rsid w:val="00E10066"/>
    <w:rsid w:val="00E1048C"/>
    <w:rsid w:val="00E14EBD"/>
    <w:rsid w:val="00E15A02"/>
    <w:rsid w:val="00E16CFE"/>
    <w:rsid w:val="00E170F9"/>
    <w:rsid w:val="00E264A2"/>
    <w:rsid w:val="00E27243"/>
    <w:rsid w:val="00E274A9"/>
    <w:rsid w:val="00E30879"/>
    <w:rsid w:val="00E30E2E"/>
    <w:rsid w:val="00E32235"/>
    <w:rsid w:val="00E327EB"/>
    <w:rsid w:val="00E33A28"/>
    <w:rsid w:val="00E33FB3"/>
    <w:rsid w:val="00E363F9"/>
    <w:rsid w:val="00E4009B"/>
    <w:rsid w:val="00E412D0"/>
    <w:rsid w:val="00E414D6"/>
    <w:rsid w:val="00E42942"/>
    <w:rsid w:val="00E439BB"/>
    <w:rsid w:val="00E44408"/>
    <w:rsid w:val="00E45822"/>
    <w:rsid w:val="00E4715D"/>
    <w:rsid w:val="00E47518"/>
    <w:rsid w:val="00E47958"/>
    <w:rsid w:val="00E52A4D"/>
    <w:rsid w:val="00E53008"/>
    <w:rsid w:val="00E62888"/>
    <w:rsid w:val="00E66345"/>
    <w:rsid w:val="00E72577"/>
    <w:rsid w:val="00E73706"/>
    <w:rsid w:val="00E7783E"/>
    <w:rsid w:val="00E80050"/>
    <w:rsid w:val="00E805A1"/>
    <w:rsid w:val="00E82171"/>
    <w:rsid w:val="00E916C2"/>
    <w:rsid w:val="00E91834"/>
    <w:rsid w:val="00E931FF"/>
    <w:rsid w:val="00E96125"/>
    <w:rsid w:val="00E96415"/>
    <w:rsid w:val="00EA1FA5"/>
    <w:rsid w:val="00EA3B9E"/>
    <w:rsid w:val="00EA4499"/>
    <w:rsid w:val="00EB3AA7"/>
    <w:rsid w:val="00EB4E52"/>
    <w:rsid w:val="00EB5240"/>
    <w:rsid w:val="00EB55E0"/>
    <w:rsid w:val="00EB7846"/>
    <w:rsid w:val="00EC0389"/>
    <w:rsid w:val="00EC1745"/>
    <w:rsid w:val="00EC1BA2"/>
    <w:rsid w:val="00EC2C24"/>
    <w:rsid w:val="00EC4954"/>
    <w:rsid w:val="00EC62A0"/>
    <w:rsid w:val="00EC6D13"/>
    <w:rsid w:val="00ED6D42"/>
    <w:rsid w:val="00ED6DF0"/>
    <w:rsid w:val="00ED7824"/>
    <w:rsid w:val="00ED7A1F"/>
    <w:rsid w:val="00EE1FFF"/>
    <w:rsid w:val="00EE2963"/>
    <w:rsid w:val="00EE2C9E"/>
    <w:rsid w:val="00EE4E11"/>
    <w:rsid w:val="00EE629B"/>
    <w:rsid w:val="00EF013A"/>
    <w:rsid w:val="00EF0DD2"/>
    <w:rsid w:val="00F00B5F"/>
    <w:rsid w:val="00F01AF2"/>
    <w:rsid w:val="00F02365"/>
    <w:rsid w:val="00F02652"/>
    <w:rsid w:val="00F0449C"/>
    <w:rsid w:val="00F04DF1"/>
    <w:rsid w:val="00F06309"/>
    <w:rsid w:val="00F07696"/>
    <w:rsid w:val="00F11327"/>
    <w:rsid w:val="00F1232B"/>
    <w:rsid w:val="00F1328C"/>
    <w:rsid w:val="00F143F6"/>
    <w:rsid w:val="00F14674"/>
    <w:rsid w:val="00F154A8"/>
    <w:rsid w:val="00F15C9F"/>
    <w:rsid w:val="00F17BFC"/>
    <w:rsid w:val="00F20E7B"/>
    <w:rsid w:val="00F22D2C"/>
    <w:rsid w:val="00F23290"/>
    <w:rsid w:val="00F25029"/>
    <w:rsid w:val="00F2720B"/>
    <w:rsid w:val="00F30AC4"/>
    <w:rsid w:val="00F327B5"/>
    <w:rsid w:val="00F32AF2"/>
    <w:rsid w:val="00F3548B"/>
    <w:rsid w:val="00F36103"/>
    <w:rsid w:val="00F40B90"/>
    <w:rsid w:val="00F413C5"/>
    <w:rsid w:val="00F415E4"/>
    <w:rsid w:val="00F41707"/>
    <w:rsid w:val="00F425C0"/>
    <w:rsid w:val="00F42957"/>
    <w:rsid w:val="00F42AE6"/>
    <w:rsid w:val="00F448A8"/>
    <w:rsid w:val="00F52000"/>
    <w:rsid w:val="00F531F3"/>
    <w:rsid w:val="00F54C6E"/>
    <w:rsid w:val="00F550B7"/>
    <w:rsid w:val="00F5546B"/>
    <w:rsid w:val="00F600FB"/>
    <w:rsid w:val="00F62693"/>
    <w:rsid w:val="00F65687"/>
    <w:rsid w:val="00F70757"/>
    <w:rsid w:val="00F71352"/>
    <w:rsid w:val="00F71424"/>
    <w:rsid w:val="00F7305B"/>
    <w:rsid w:val="00F739C2"/>
    <w:rsid w:val="00F749D0"/>
    <w:rsid w:val="00F76777"/>
    <w:rsid w:val="00F77160"/>
    <w:rsid w:val="00F77A95"/>
    <w:rsid w:val="00F841F0"/>
    <w:rsid w:val="00F862E3"/>
    <w:rsid w:val="00F90191"/>
    <w:rsid w:val="00F90793"/>
    <w:rsid w:val="00F944ED"/>
    <w:rsid w:val="00FA03D3"/>
    <w:rsid w:val="00FA124D"/>
    <w:rsid w:val="00FA561C"/>
    <w:rsid w:val="00FA5B0D"/>
    <w:rsid w:val="00FA6AA0"/>
    <w:rsid w:val="00FA7160"/>
    <w:rsid w:val="00FB00BA"/>
    <w:rsid w:val="00FB0123"/>
    <w:rsid w:val="00FB17FE"/>
    <w:rsid w:val="00FB1A5A"/>
    <w:rsid w:val="00FB235B"/>
    <w:rsid w:val="00FB249E"/>
    <w:rsid w:val="00FB2DA5"/>
    <w:rsid w:val="00FB32E2"/>
    <w:rsid w:val="00FB3379"/>
    <w:rsid w:val="00FB540E"/>
    <w:rsid w:val="00FB541E"/>
    <w:rsid w:val="00FB74A2"/>
    <w:rsid w:val="00FB7B19"/>
    <w:rsid w:val="00FC0D26"/>
    <w:rsid w:val="00FC1AB8"/>
    <w:rsid w:val="00FC3ACB"/>
    <w:rsid w:val="00FC4EF3"/>
    <w:rsid w:val="00FC65C7"/>
    <w:rsid w:val="00FC6E48"/>
    <w:rsid w:val="00FC6E95"/>
    <w:rsid w:val="00FD2633"/>
    <w:rsid w:val="00FD3539"/>
    <w:rsid w:val="00FD448D"/>
    <w:rsid w:val="00FD44B4"/>
    <w:rsid w:val="00FD7F9B"/>
    <w:rsid w:val="00FE034F"/>
    <w:rsid w:val="00FE5391"/>
    <w:rsid w:val="00FE5E60"/>
    <w:rsid w:val="00FE7E6B"/>
    <w:rsid w:val="00FF06CE"/>
    <w:rsid w:val="00FF0B55"/>
    <w:rsid w:val="00FF0D12"/>
    <w:rsid w:val="00FF23DF"/>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B901"/>
  <w15:chartTrackingRefBased/>
  <w15:docId w15:val="{49872069-C439-430D-8E8C-CE0DAEBB3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055"/>
    <w:pPr>
      <w:spacing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3E1C"/>
    <w:pPr>
      <w:keepNext/>
      <w:keepLines/>
      <w:spacing w:before="480" w:after="0"/>
      <w:jc w:val="left"/>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453E1C"/>
    <w:pPr>
      <w:keepNext/>
      <w:keepLines/>
      <w:spacing w:before="200" w:after="0"/>
      <w:jc w:val="left"/>
      <w:outlineLvl w:val="1"/>
    </w:pPr>
    <w:rPr>
      <w:rFonts w:ascii="Arial" w:eastAsiaTheme="majorEastAsia" w:hAnsi="Arial" w:cstheme="majorBidi"/>
      <w:b/>
      <w:bCs/>
      <w:color w:val="000000" w:themeColor="text1"/>
      <w:sz w:val="26"/>
      <w:szCs w:val="26"/>
    </w:rPr>
  </w:style>
  <w:style w:type="paragraph" w:styleId="Heading3">
    <w:name w:val="heading 3"/>
    <w:basedOn w:val="Normal"/>
    <w:next w:val="Normal"/>
    <w:link w:val="Heading3Char"/>
    <w:uiPriority w:val="9"/>
    <w:unhideWhenUsed/>
    <w:qFormat/>
    <w:rsid w:val="00E414D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unhideWhenUsed/>
    <w:qFormat/>
    <w:rsid w:val="00C8745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1C"/>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453E1C"/>
    <w:rPr>
      <w:rFonts w:ascii="Arial" w:eastAsiaTheme="majorEastAsia" w:hAnsi="Arial" w:cstheme="majorBidi"/>
      <w:b/>
      <w:bCs/>
      <w:color w:val="000000" w:themeColor="text1"/>
      <w:sz w:val="26"/>
      <w:szCs w:val="26"/>
    </w:rPr>
  </w:style>
  <w:style w:type="character" w:styleId="Hyperlink">
    <w:name w:val="Hyperlink"/>
    <w:basedOn w:val="DefaultParagraphFont"/>
    <w:uiPriority w:val="99"/>
    <w:unhideWhenUsed/>
    <w:rsid w:val="00BE1EF3"/>
    <w:rPr>
      <w:color w:val="0000FF" w:themeColor="hyperlink"/>
      <w:u w:val="single"/>
    </w:rPr>
  </w:style>
  <w:style w:type="paragraph" w:styleId="ListParagraph">
    <w:name w:val="List Paragraph"/>
    <w:basedOn w:val="Normal"/>
    <w:uiPriority w:val="34"/>
    <w:qFormat/>
    <w:rsid w:val="00CA4BB6"/>
    <w:pPr>
      <w:ind w:left="720"/>
      <w:contextualSpacing/>
    </w:pPr>
  </w:style>
  <w:style w:type="character" w:customStyle="1" w:styleId="Heading3Char">
    <w:name w:val="Heading 3 Char"/>
    <w:basedOn w:val="DefaultParagraphFont"/>
    <w:link w:val="Heading3"/>
    <w:uiPriority w:val="9"/>
    <w:rsid w:val="00E414D6"/>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C87453"/>
    <w:rPr>
      <w:rFonts w:asciiTheme="majorHAnsi" w:eastAsiaTheme="majorEastAsia" w:hAnsiTheme="majorHAnsi" w:cstheme="majorBidi"/>
      <w:i/>
      <w:iCs/>
      <w:color w:val="365F91" w:themeColor="accent1" w:themeShade="BF"/>
      <w:sz w:val="24"/>
    </w:rPr>
  </w:style>
  <w:style w:type="paragraph" w:styleId="BalloonText">
    <w:name w:val="Balloon Text"/>
    <w:basedOn w:val="Normal"/>
    <w:link w:val="BalloonTextChar"/>
    <w:uiPriority w:val="99"/>
    <w:semiHidden/>
    <w:unhideWhenUsed/>
    <w:rsid w:val="000375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5F1"/>
    <w:rPr>
      <w:rFonts w:ascii="Segoe UI" w:hAnsi="Segoe UI" w:cs="Segoe UI"/>
      <w:sz w:val="18"/>
      <w:szCs w:val="18"/>
    </w:rPr>
  </w:style>
  <w:style w:type="paragraph" w:styleId="Caption">
    <w:name w:val="caption"/>
    <w:basedOn w:val="Normal"/>
    <w:next w:val="Normal"/>
    <w:uiPriority w:val="35"/>
    <w:unhideWhenUsed/>
    <w:qFormat/>
    <w:rsid w:val="00212510"/>
    <w:pPr>
      <w:spacing w:line="240" w:lineRule="auto"/>
    </w:pPr>
    <w:rPr>
      <w:i/>
      <w:iCs/>
      <w:szCs w:val="18"/>
    </w:rPr>
  </w:style>
  <w:style w:type="character" w:styleId="CommentReference">
    <w:name w:val="annotation reference"/>
    <w:basedOn w:val="DefaultParagraphFont"/>
    <w:uiPriority w:val="99"/>
    <w:semiHidden/>
    <w:unhideWhenUsed/>
    <w:rsid w:val="00D43BAA"/>
    <w:rPr>
      <w:sz w:val="16"/>
      <w:szCs w:val="16"/>
    </w:rPr>
  </w:style>
  <w:style w:type="paragraph" w:styleId="CommentText">
    <w:name w:val="annotation text"/>
    <w:basedOn w:val="Normal"/>
    <w:link w:val="CommentTextChar"/>
    <w:uiPriority w:val="99"/>
    <w:semiHidden/>
    <w:unhideWhenUsed/>
    <w:rsid w:val="00D43BAA"/>
    <w:pPr>
      <w:spacing w:after="200" w:line="240" w:lineRule="auto"/>
      <w:jc w:val="left"/>
    </w:pPr>
    <w:rPr>
      <w:rFonts w:ascii="Arial" w:hAnsi="Arial"/>
      <w:sz w:val="20"/>
      <w:szCs w:val="20"/>
    </w:rPr>
  </w:style>
  <w:style w:type="character" w:customStyle="1" w:styleId="CommentTextChar">
    <w:name w:val="Comment Text Char"/>
    <w:basedOn w:val="DefaultParagraphFont"/>
    <w:link w:val="CommentText"/>
    <w:uiPriority w:val="99"/>
    <w:semiHidden/>
    <w:rsid w:val="00D43BAA"/>
    <w:rPr>
      <w:rFonts w:ascii="Arial" w:hAnsi="Arial"/>
      <w:sz w:val="20"/>
      <w:szCs w:val="20"/>
    </w:rPr>
  </w:style>
  <w:style w:type="table" w:styleId="TableGrid">
    <w:name w:val="Table Grid"/>
    <w:basedOn w:val="TableNormal"/>
    <w:uiPriority w:val="59"/>
    <w:rsid w:val="009E0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23772"/>
    <w:pPr>
      <w:spacing w:after="240"/>
      <w:jc w:val="both"/>
    </w:pPr>
    <w:rPr>
      <w:rFonts w:ascii="Times New Roman" w:hAnsi="Times New Roman"/>
      <w:b/>
      <w:bCs/>
    </w:rPr>
  </w:style>
  <w:style w:type="character" w:customStyle="1" w:styleId="CommentSubjectChar">
    <w:name w:val="Comment Subject Char"/>
    <w:basedOn w:val="CommentTextChar"/>
    <w:link w:val="CommentSubject"/>
    <w:uiPriority w:val="99"/>
    <w:semiHidden/>
    <w:rsid w:val="00A23772"/>
    <w:rPr>
      <w:rFonts w:ascii="Times New Roman" w:hAnsi="Times New Roman"/>
      <w:b/>
      <w:bCs/>
      <w:sz w:val="20"/>
      <w:szCs w:val="20"/>
    </w:rPr>
  </w:style>
  <w:style w:type="paragraph" w:styleId="Revision">
    <w:name w:val="Revision"/>
    <w:hidden/>
    <w:uiPriority w:val="99"/>
    <w:semiHidden/>
    <w:rsid w:val="007B16FD"/>
    <w:pPr>
      <w:spacing w:after="0" w:line="240" w:lineRule="auto"/>
    </w:pPr>
    <w:rPr>
      <w:rFonts w:ascii="Times New Roman" w:hAnsi="Times New Roman"/>
      <w:sz w:val="24"/>
    </w:rPr>
  </w:style>
  <w:style w:type="character" w:styleId="LineNumber">
    <w:name w:val="line number"/>
    <w:basedOn w:val="DefaultParagraphFont"/>
    <w:uiPriority w:val="99"/>
    <w:semiHidden/>
    <w:unhideWhenUsed/>
    <w:rsid w:val="00D86AFE"/>
  </w:style>
  <w:style w:type="paragraph" w:styleId="NoSpacing">
    <w:name w:val="No Spacing"/>
    <w:uiPriority w:val="1"/>
    <w:qFormat/>
    <w:rsid w:val="003B5033"/>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53909">
      <w:bodyDiv w:val="1"/>
      <w:marLeft w:val="0"/>
      <w:marRight w:val="0"/>
      <w:marTop w:val="0"/>
      <w:marBottom w:val="0"/>
      <w:divBdr>
        <w:top w:val="none" w:sz="0" w:space="0" w:color="auto"/>
        <w:left w:val="none" w:sz="0" w:space="0" w:color="auto"/>
        <w:bottom w:val="none" w:sz="0" w:space="0" w:color="auto"/>
        <w:right w:val="none" w:sz="0" w:space="0" w:color="auto"/>
      </w:divBdr>
    </w:div>
    <w:div w:id="243029669">
      <w:bodyDiv w:val="1"/>
      <w:marLeft w:val="0"/>
      <w:marRight w:val="0"/>
      <w:marTop w:val="0"/>
      <w:marBottom w:val="0"/>
      <w:divBdr>
        <w:top w:val="none" w:sz="0" w:space="0" w:color="auto"/>
        <w:left w:val="none" w:sz="0" w:space="0" w:color="auto"/>
        <w:bottom w:val="none" w:sz="0" w:space="0" w:color="auto"/>
        <w:right w:val="none" w:sz="0" w:space="0" w:color="auto"/>
      </w:divBdr>
    </w:div>
    <w:div w:id="486553184">
      <w:bodyDiv w:val="1"/>
      <w:marLeft w:val="0"/>
      <w:marRight w:val="0"/>
      <w:marTop w:val="0"/>
      <w:marBottom w:val="0"/>
      <w:divBdr>
        <w:top w:val="none" w:sz="0" w:space="0" w:color="auto"/>
        <w:left w:val="none" w:sz="0" w:space="0" w:color="auto"/>
        <w:bottom w:val="none" w:sz="0" w:space="0" w:color="auto"/>
        <w:right w:val="none" w:sz="0" w:space="0" w:color="auto"/>
      </w:divBdr>
    </w:div>
    <w:div w:id="1584022982">
      <w:bodyDiv w:val="1"/>
      <w:marLeft w:val="0"/>
      <w:marRight w:val="0"/>
      <w:marTop w:val="0"/>
      <w:marBottom w:val="0"/>
      <w:divBdr>
        <w:top w:val="none" w:sz="0" w:space="0" w:color="auto"/>
        <w:left w:val="none" w:sz="0" w:space="0" w:color="auto"/>
        <w:bottom w:val="none" w:sz="0" w:space="0" w:color="auto"/>
        <w:right w:val="none" w:sz="0" w:space="0" w:color="auto"/>
      </w:divBdr>
    </w:div>
    <w:div w:id="193831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healyam@tcd.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08A27C8452044695D72C2EA226A525" ma:contentTypeVersion="6" ma:contentTypeDescription="Create a new document." ma:contentTypeScope="" ma:versionID="76c58a4376b241edb7539218e7077d34">
  <xsd:schema xmlns:xsd="http://www.w3.org/2001/XMLSchema" xmlns:xs="http://www.w3.org/2001/XMLSchema" xmlns:p="http://schemas.microsoft.com/office/2006/metadata/properties" xmlns:ns3="f35c10ea-7179-4a82-8c6f-0897d4395f97" targetNamespace="http://schemas.microsoft.com/office/2006/metadata/properties" ma:root="true" ma:fieldsID="49827c86e6e84f78f3b1625329a74fc2" ns3:_="">
    <xsd:import namespace="f35c10ea-7179-4a82-8c6f-0897d4395f9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c10ea-7179-4a82-8c6f-0897d4395f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3A5A9-C518-4FAA-9C57-399F5577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5c10ea-7179-4a82-8c6f-0897d4395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B7D80-DA94-4330-9EB4-6882FBF7F1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5158AB-A825-4B43-9F88-FC5B5F14AAEA}">
  <ds:schemaRefs>
    <ds:schemaRef ds:uri="http://schemas.microsoft.com/sharepoint/v3/contenttype/forms"/>
  </ds:schemaRefs>
</ds:datastoreItem>
</file>

<file path=customXml/itemProps4.xml><?xml version="1.0" encoding="utf-8"?>
<ds:datastoreItem xmlns:ds="http://schemas.openxmlformats.org/officeDocument/2006/customXml" ds:itemID="{DF13A51B-D174-49B4-9130-74F8FB245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34724</Words>
  <Characters>197929</Characters>
  <Application>Microsoft Office Word</Application>
  <DocSecurity>0</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Jeremiah Kelleher</dc:creator>
  <cp:keywords/>
  <dc:description/>
  <cp:lastModifiedBy>Anne-Marie Healy</cp:lastModifiedBy>
  <cp:revision>2</cp:revision>
  <cp:lastPrinted>2019-05-09T14:25:00Z</cp:lastPrinted>
  <dcterms:created xsi:type="dcterms:W3CDTF">2020-08-17T09:25:00Z</dcterms:created>
  <dcterms:modified xsi:type="dcterms:W3CDTF">2020-08-17T09:25:00Z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6c4291ab-48c9-39a8-9db7-10d8154d0a57</vt:lpwstr>
  </property>
  <property fmtid="{D5CDD505-2E9C-101B-9397-08002B2CF9AE}" pid="4" name="Mendeley Citation Style_1">
    <vt:lpwstr>http://www.zotero.org/styles/vancouver</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ContentTypeId">
    <vt:lpwstr>0x0101002708A27C8452044695D72C2EA226A525</vt:lpwstr>
  </property>
</Properties>
</file>