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897" w:rsidRDefault="00C678E8">
      <w:pPr>
        <w:autoSpaceDE w:val="0"/>
        <w:autoSpaceDN w:val="0"/>
        <w:adjustRightInd w:val="0"/>
        <w:spacing w:after="0" w:line="480" w:lineRule="auto"/>
        <w:rPr>
          <w:rFonts w:ascii="Calibri" w:hAnsi="Calibri"/>
          <w:b/>
          <w:sz w:val="24"/>
          <w:szCs w:val="24"/>
        </w:rPr>
      </w:pPr>
      <w:r w:rsidRPr="00900254">
        <w:rPr>
          <w:rFonts w:ascii="Calibri" w:hAnsi="Calibri"/>
          <w:b/>
          <w:sz w:val="24"/>
          <w:szCs w:val="24"/>
        </w:rPr>
        <w:t xml:space="preserve">Early Life Circumstances and Later-Life Loneliness </w:t>
      </w:r>
      <w:r>
        <w:rPr>
          <w:rFonts w:ascii="Calibri" w:hAnsi="Calibri"/>
          <w:b/>
          <w:sz w:val="24"/>
          <w:szCs w:val="24"/>
        </w:rPr>
        <w:t>in Ireland</w:t>
      </w:r>
    </w:p>
    <w:p w:rsidR="00D515C1" w:rsidRDefault="001C1D4B">
      <w:pPr>
        <w:autoSpaceDE w:val="0"/>
        <w:autoSpaceDN w:val="0"/>
        <w:adjustRightInd w:val="0"/>
        <w:spacing w:after="0" w:line="480" w:lineRule="auto"/>
        <w:rPr>
          <w:rFonts w:ascii="Calibri" w:hAnsi="Calibri"/>
          <w:sz w:val="24"/>
          <w:szCs w:val="24"/>
        </w:rPr>
      </w:pPr>
      <w:r w:rsidRPr="004E3ED5">
        <w:rPr>
          <w:rFonts w:ascii="Calibri" w:hAnsi="Calibri"/>
          <w:b/>
          <w:sz w:val="24"/>
          <w:szCs w:val="24"/>
        </w:rPr>
        <w:t>Kamiya</w:t>
      </w:r>
      <w:r>
        <w:rPr>
          <w:rFonts w:ascii="Calibri" w:hAnsi="Calibri"/>
          <w:sz w:val="24"/>
          <w:szCs w:val="24"/>
        </w:rPr>
        <w:t xml:space="preserve">, Yumiko, </w:t>
      </w:r>
      <w:r w:rsidRPr="004E3ED5">
        <w:rPr>
          <w:rFonts w:ascii="Calibri" w:hAnsi="Calibri"/>
          <w:b/>
          <w:sz w:val="24"/>
          <w:szCs w:val="24"/>
        </w:rPr>
        <w:t>Doyle</w:t>
      </w:r>
      <w:r>
        <w:rPr>
          <w:rFonts w:ascii="Calibri" w:hAnsi="Calibri"/>
          <w:sz w:val="24"/>
          <w:szCs w:val="24"/>
        </w:rPr>
        <w:t xml:space="preserve">, Martha, </w:t>
      </w:r>
      <w:r w:rsidRPr="004E3ED5">
        <w:rPr>
          <w:rFonts w:ascii="Calibri" w:hAnsi="Calibri"/>
          <w:b/>
          <w:sz w:val="24"/>
          <w:szCs w:val="24"/>
        </w:rPr>
        <w:t>Henretta</w:t>
      </w:r>
      <w:r>
        <w:rPr>
          <w:rFonts w:ascii="Calibri" w:hAnsi="Calibri"/>
          <w:sz w:val="24"/>
          <w:szCs w:val="24"/>
        </w:rPr>
        <w:t xml:space="preserve">, John, and </w:t>
      </w:r>
      <w:r w:rsidRPr="004E3ED5">
        <w:rPr>
          <w:rFonts w:ascii="Calibri" w:hAnsi="Calibri"/>
          <w:b/>
          <w:sz w:val="24"/>
          <w:szCs w:val="24"/>
        </w:rPr>
        <w:t>Timonen</w:t>
      </w:r>
      <w:r w:rsidR="00D515C1">
        <w:rPr>
          <w:rFonts w:ascii="Calibri" w:hAnsi="Calibri"/>
          <w:sz w:val="24"/>
          <w:szCs w:val="24"/>
        </w:rPr>
        <w:t xml:space="preserve">, Virpi </w:t>
      </w:r>
    </w:p>
    <w:p w:rsidR="00565897" w:rsidRDefault="002008B4">
      <w:pPr>
        <w:autoSpaceDE w:val="0"/>
        <w:autoSpaceDN w:val="0"/>
        <w:adjustRightInd w:val="0"/>
        <w:spacing w:after="0" w:line="480" w:lineRule="auto"/>
        <w:rPr>
          <w:rFonts w:ascii="Calibri" w:hAnsi="Calibri"/>
          <w:sz w:val="24"/>
          <w:szCs w:val="24"/>
        </w:rPr>
      </w:pPr>
      <w:r w:rsidRPr="002008B4">
        <w:rPr>
          <w:rFonts w:ascii="Calibri" w:hAnsi="Calibri"/>
          <w:sz w:val="24"/>
          <w:szCs w:val="24"/>
          <w:u w:val="single"/>
        </w:rPr>
        <w:t>The Gerontologist</w:t>
      </w:r>
      <w:r w:rsidR="00D515C1">
        <w:rPr>
          <w:rFonts w:ascii="Calibri" w:hAnsi="Calibri"/>
          <w:sz w:val="24"/>
          <w:szCs w:val="24"/>
        </w:rPr>
        <w:t xml:space="preserve"> </w:t>
      </w:r>
      <w:r w:rsidR="00D515C1">
        <w:rPr>
          <w:rFonts w:ascii="Arial" w:hAnsi="Arial" w:cs="Arial"/>
          <w:color w:val="000000"/>
          <w:sz w:val="20"/>
          <w:szCs w:val="20"/>
        </w:rPr>
        <w:t>54, (5), 2014, p773 - 783</w:t>
      </w:r>
      <w:bookmarkStart w:id="0" w:name="_GoBack"/>
      <w:bookmarkEnd w:id="0"/>
    </w:p>
    <w:p w:rsidR="00565897" w:rsidRDefault="00565897">
      <w:pPr>
        <w:autoSpaceDE w:val="0"/>
        <w:autoSpaceDN w:val="0"/>
        <w:adjustRightInd w:val="0"/>
        <w:spacing w:after="0" w:line="480" w:lineRule="auto"/>
        <w:rPr>
          <w:rFonts w:ascii="Calibri" w:hAnsi="Calibri"/>
          <w:sz w:val="24"/>
          <w:szCs w:val="24"/>
        </w:rPr>
      </w:pPr>
    </w:p>
    <w:p w:rsidR="00565897" w:rsidRDefault="00C678E8">
      <w:pPr>
        <w:autoSpaceDE w:val="0"/>
        <w:autoSpaceDN w:val="0"/>
        <w:adjustRightInd w:val="0"/>
        <w:spacing w:after="0" w:line="480" w:lineRule="auto"/>
        <w:rPr>
          <w:rFonts w:ascii="Calibri" w:hAnsi="Calibri"/>
          <w:sz w:val="24"/>
          <w:szCs w:val="24"/>
        </w:rPr>
      </w:pPr>
      <w:r w:rsidRPr="00900254">
        <w:rPr>
          <w:rFonts w:ascii="Calibri" w:hAnsi="Calibri"/>
          <w:b/>
          <w:sz w:val="24"/>
          <w:szCs w:val="24"/>
        </w:rPr>
        <w:t>Abstract</w:t>
      </w:r>
    </w:p>
    <w:p w:rsidR="00565897" w:rsidRDefault="00565897">
      <w:pPr>
        <w:autoSpaceDE w:val="0"/>
        <w:autoSpaceDN w:val="0"/>
        <w:adjustRightInd w:val="0"/>
        <w:spacing w:after="0" w:line="480" w:lineRule="auto"/>
        <w:rPr>
          <w:rFonts w:ascii="Calibri" w:hAnsi="Calibri"/>
          <w:b/>
          <w:sz w:val="24"/>
          <w:szCs w:val="24"/>
        </w:rPr>
      </w:pPr>
    </w:p>
    <w:p w:rsidR="00565897" w:rsidRDefault="00C678E8">
      <w:pPr>
        <w:autoSpaceDE w:val="0"/>
        <w:autoSpaceDN w:val="0"/>
        <w:adjustRightInd w:val="0"/>
        <w:spacing w:after="0" w:line="480" w:lineRule="auto"/>
        <w:rPr>
          <w:rFonts w:ascii="Calibri" w:hAnsi="Calibri"/>
          <w:b/>
          <w:i/>
          <w:sz w:val="24"/>
          <w:szCs w:val="24"/>
        </w:rPr>
      </w:pPr>
      <w:r w:rsidRPr="00900254">
        <w:rPr>
          <w:rFonts w:ascii="Calibri" w:hAnsi="Calibri"/>
          <w:b/>
          <w:i/>
          <w:sz w:val="24"/>
          <w:szCs w:val="24"/>
        </w:rPr>
        <w:t>Purpose:</w:t>
      </w:r>
      <w:r w:rsidRPr="00900254">
        <w:rPr>
          <w:rFonts w:ascii="Calibri" w:hAnsi="Calibri"/>
          <w:sz w:val="24"/>
          <w:szCs w:val="24"/>
        </w:rPr>
        <w:t xml:space="preserve"> This article examines the impact of </w:t>
      </w:r>
      <w:r w:rsidRPr="00900254">
        <w:rPr>
          <w:rFonts w:ascii="Calibri" w:hAnsi="Calibri"/>
          <w:sz w:val="24"/>
          <w:szCs w:val="24"/>
          <w:lang w:val="en-US"/>
        </w:rPr>
        <w:t>early and later life circumstances on loneliness among people aged 65+ in Ireland</w:t>
      </w:r>
      <w:r w:rsidR="00135D6D">
        <w:rPr>
          <w:rFonts w:ascii="Calibri" w:hAnsi="Calibri"/>
          <w:sz w:val="24"/>
          <w:szCs w:val="24"/>
          <w:lang w:val="en-US"/>
        </w:rPr>
        <w:t>.</w:t>
      </w:r>
    </w:p>
    <w:p w:rsidR="00565897" w:rsidRDefault="00C678E8">
      <w:pPr>
        <w:spacing w:after="0" w:line="480" w:lineRule="auto"/>
        <w:rPr>
          <w:rFonts w:ascii="Calibri" w:hAnsi="Calibri"/>
          <w:b/>
          <w:sz w:val="24"/>
          <w:szCs w:val="24"/>
        </w:rPr>
      </w:pPr>
      <w:r w:rsidRPr="00900254">
        <w:rPr>
          <w:rFonts w:ascii="Calibri" w:hAnsi="Calibri"/>
          <w:b/>
          <w:i/>
          <w:sz w:val="24"/>
          <w:szCs w:val="24"/>
        </w:rPr>
        <w:t>Design and Methods:</w:t>
      </w:r>
      <w:r w:rsidRPr="00900254">
        <w:rPr>
          <w:rFonts w:ascii="Calibri" w:hAnsi="Calibri"/>
          <w:sz w:val="24"/>
          <w:szCs w:val="24"/>
        </w:rPr>
        <w:t xml:space="preserve"> Data are from the </w:t>
      </w:r>
      <w:r w:rsidRPr="00900254">
        <w:rPr>
          <w:rFonts w:ascii="Calibri" w:hAnsi="Calibri"/>
          <w:sz w:val="24"/>
          <w:szCs w:val="24"/>
          <w:lang w:eastAsia="en-IE"/>
        </w:rPr>
        <w:t xml:space="preserve">first wave of the Irish Longitudinal Study on Ageing (TILDA), a nationally representative sample of </w:t>
      </w:r>
      <w:r w:rsidRPr="00900254">
        <w:rPr>
          <w:rFonts w:ascii="Calibri" w:hAnsi="Calibri"/>
          <w:sz w:val="24"/>
          <w:szCs w:val="24"/>
        </w:rPr>
        <w:t xml:space="preserve">community-dwelling adults aged 50+. 2,645 participants aged 65+ were included in the analysis. Because of the large number of never married persons </w:t>
      </w:r>
      <w:r w:rsidR="00195B23">
        <w:rPr>
          <w:rFonts w:ascii="Calibri" w:hAnsi="Calibri"/>
          <w:sz w:val="24"/>
          <w:szCs w:val="24"/>
        </w:rPr>
        <w:t>in</w:t>
      </w:r>
      <w:r w:rsidR="00195B23" w:rsidRPr="00900254">
        <w:rPr>
          <w:rFonts w:ascii="Calibri" w:hAnsi="Calibri"/>
          <w:sz w:val="24"/>
          <w:szCs w:val="24"/>
        </w:rPr>
        <w:t xml:space="preserve"> </w:t>
      </w:r>
      <w:r w:rsidRPr="00900254">
        <w:rPr>
          <w:rFonts w:ascii="Calibri" w:hAnsi="Calibri"/>
          <w:sz w:val="24"/>
          <w:szCs w:val="24"/>
        </w:rPr>
        <w:t xml:space="preserve">the older Irish population, we </w:t>
      </w:r>
      <w:r w:rsidRPr="00900254">
        <w:rPr>
          <w:rFonts w:ascii="Calibri" w:hAnsi="Calibri"/>
          <w:bCs/>
          <w:color w:val="000000"/>
          <w:sz w:val="24"/>
          <w:szCs w:val="24"/>
          <w:lang w:val="en-US"/>
        </w:rPr>
        <w:t xml:space="preserve">first used a multinomial logistic model to examine which childhood circumstances are associated with current marital status. </w:t>
      </w:r>
      <w:r w:rsidRPr="00900254">
        <w:rPr>
          <w:rFonts w:ascii="Calibri" w:hAnsi="Calibri"/>
          <w:sz w:val="24"/>
          <w:szCs w:val="24"/>
        </w:rPr>
        <w:t xml:space="preserve">We then estimated multiple regression models for loneliness, in stages conforming to the life course, to examine the extent to which early events are mediated by later events. </w:t>
      </w:r>
    </w:p>
    <w:p w:rsidR="00565897" w:rsidRDefault="00C678E8">
      <w:pPr>
        <w:spacing w:after="0" w:line="480" w:lineRule="auto"/>
        <w:rPr>
          <w:rFonts w:ascii="Calibri" w:hAnsi="Calibri"/>
          <w:color w:val="000000"/>
          <w:sz w:val="24"/>
          <w:szCs w:val="24"/>
        </w:rPr>
      </w:pPr>
      <w:r w:rsidRPr="00900254">
        <w:rPr>
          <w:rFonts w:ascii="Calibri" w:hAnsi="Calibri"/>
          <w:b/>
          <w:i/>
          <w:sz w:val="24"/>
          <w:szCs w:val="24"/>
        </w:rPr>
        <w:t>Results:</w:t>
      </w:r>
      <w:r w:rsidRPr="00900254">
        <w:rPr>
          <w:rFonts w:ascii="Calibri" w:hAnsi="Calibri"/>
          <w:sz w:val="24"/>
          <w:szCs w:val="24"/>
        </w:rPr>
        <w:t xml:space="preserve"> </w:t>
      </w:r>
      <w:r w:rsidRPr="00900254">
        <w:rPr>
          <w:rFonts w:ascii="Calibri" w:hAnsi="Calibri"/>
          <w:color w:val="000000"/>
          <w:sz w:val="24"/>
          <w:szCs w:val="24"/>
        </w:rPr>
        <w:t xml:space="preserve">Poor childhood </w:t>
      </w:r>
      <w:r w:rsidR="00C17E11">
        <w:rPr>
          <w:rFonts w:ascii="Calibri" w:hAnsi="Calibri"/>
          <w:color w:val="000000"/>
          <w:sz w:val="24"/>
          <w:szCs w:val="24"/>
        </w:rPr>
        <w:t>socioeconomic</w:t>
      </w:r>
      <w:r w:rsidR="00C17E11" w:rsidRPr="00900254">
        <w:rPr>
          <w:rFonts w:ascii="Calibri" w:hAnsi="Calibri"/>
          <w:color w:val="000000"/>
          <w:sz w:val="24"/>
          <w:szCs w:val="24"/>
        </w:rPr>
        <w:t xml:space="preserve"> </w:t>
      </w:r>
      <w:r w:rsidRPr="00900254">
        <w:rPr>
          <w:rFonts w:ascii="Calibri" w:hAnsi="Calibri"/>
          <w:color w:val="000000"/>
          <w:sz w:val="24"/>
          <w:szCs w:val="24"/>
        </w:rPr>
        <w:t>status (for men and women) and parental substance abuse (for men)</w:t>
      </w:r>
      <w:r>
        <w:rPr>
          <w:rFonts w:ascii="Calibri" w:hAnsi="Calibri"/>
          <w:color w:val="000000"/>
          <w:sz w:val="24"/>
          <w:szCs w:val="24"/>
        </w:rPr>
        <w:t xml:space="preserve"> </w:t>
      </w:r>
      <w:r w:rsidRPr="00900254">
        <w:rPr>
          <w:rFonts w:ascii="Calibri" w:hAnsi="Calibri"/>
          <w:color w:val="000000"/>
          <w:sz w:val="24"/>
          <w:szCs w:val="24"/>
        </w:rPr>
        <w:t>have direct effects on loneliness</w:t>
      </w:r>
      <w:r w:rsidR="00C17E11">
        <w:rPr>
          <w:rFonts w:ascii="Calibri" w:hAnsi="Calibri"/>
          <w:color w:val="000000"/>
          <w:sz w:val="24"/>
          <w:szCs w:val="24"/>
        </w:rPr>
        <w:t xml:space="preserve"> at older ages</w:t>
      </w:r>
      <w:r w:rsidRPr="00900254">
        <w:rPr>
          <w:rFonts w:ascii="Calibri" w:hAnsi="Calibri"/>
          <w:color w:val="000000"/>
          <w:sz w:val="24"/>
          <w:szCs w:val="24"/>
        </w:rPr>
        <w:t>.</w:t>
      </w:r>
      <w:r w:rsidRPr="00900254" w:rsidDel="00BB71C1">
        <w:rPr>
          <w:rFonts w:ascii="Calibri" w:hAnsi="Calibri"/>
          <w:color w:val="000000"/>
          <w:sz w:val="24"/>
          <w:szCs w:val="24"/>
        </w:rPr>
        <w:t xml:space="preserve"> </w:t>
      </w:r>
    </w:p>
    <w:p w:rsidR="00982CD5" w:rsidRDefault="00C678E8" w:rsidP="00982CD5">
      <w:pPr>
        <w:autoSpaceDE w:val="0"/>
        <w:autoSpaceDN w:val="0"/>
        <w:adjustRightInd w:val="0"/>
        <w:spacing w:after="0" w:line="480" w:lineRule="auto"/>
        <w:rPr>
          <w:rFonts w:ascii="Calibri" w:hAnsi="Calibri"/>
          <w:color w:val="000000"/>
          <w:sz w:val="24"/>
          <w:szCs w:val="24"/>
        </w:rPr>
      </w:pPr>
      <w:r w:rsidRPr="00900254">
        <w:rPr>
          <w:rFonts w:ascii="Calibri" w:hAnsi="Calibri"/>
          <w:b/>
          <w:i/>
          <w:sz w:val="24"/>
          <w:szCs w:val="24"/>
        </w:rPr>
        <w:t>Implications:</w:t>
      </w:r>
      <w:r w:rsidRPr="00900254">
        <w:rPr>
          <w:rFonts w:ascii="Calibri" w:hAnsi="Calibri"/>
          <w:sz w:val="24"/>
          <w:szCs w:val="24"/>
        </w:rPr>
        <w:t xml:space="preserve"> The results </w:t>
      </w:r>
      <w:r>
        <w:rPr>
          <w:rFonts w:ascii="Calibri" w:hAnsi="Calibri"/>
          <w:sz w:val="24"/>
          <w:szCs w:val="24"/>
        </w:rPr>
        <w:t>indicate the significance of the childhood environment</w:t>
      </w:r>
      <w:r w:rsidRPr="00900254">
        <w:rPr>
          <w:rFonts w:ascii="Calibri" w:hAnsi="Calibri"/>
          <w:sz w:val="24"/>
          <w:szCs w:val="24"/>
        </w:rPr>
        <w:t xml:space="preserve"> for understanding loneliness in later life. </w:t>
      </w:r>
      <w:r w:rsidR="001D21F8" w:rsidRPr="00900254">
        <w:rPr>
          <w:rFonts w:ascii="Calibri" w:hAnsi="Calibri"/>
          <w:color w:val="000000"/>
          <w:sz w:val="24"/>
          <w:szCs w:val="24"/>
        </w:rPr>
        <w:t>Future research should</w:t>
      </w:r>
      <w:r w:rsidR="00670387">
        <w:rPr>
          <w:rFonts w:ascii="Calibri" w:hAnsi="Calibri"/>
          <w:color w:val="000000"/>
          <w:sz w:val="24"/>
          <w:szCs w:val="24"/>
        </w:rPr>
        <w:t xml:space="preserve"> </w:t>
      </w:r>
      <w:r w:rsidR="001D21F8" w:rsidRPr="00900254">
        <w:rPr>
          <w:rFonts w:ascii="Calibri" w:hAnsi="Calibri"/>
          <w:color w:val="000000"/>
          <w:sz w:val="24"/>
          <w:szCs w:val="24"/>
        </w:rPr>
        <w:t>examine possible pathways not currently measured that may be responsible for the</w:t>
      </w:r>
      <w:r w:rsidR="001D21F8">
        <w:rPr>
          <w:rFonts w:ascii="Calibri" w:hAnsi="Calibri"/>
          <w:color w:val="000000"/>
          <w:sz w:val="24"/>
          <w:szCs w:val="24"/>
        </w:rPr>
        <w:t xml:space="preserve"> association of early environment and later-life loneliness</w:t>
      </w:r>
      <w:r w:rsidR="00670387">
        <w:rPr>
          <w:rFonts w:ascii="Calibri" w:hAnsi="Calibri"/>
          <w:color w:val="000000"/>
          <w:sz w:val="24"/>
          <w:szCs w:val="24"/>
        </w:rPr>
        <w:t>, and</w:t>
      </w:r>
      <w:r w:rsidR="00670387" w:rsidRPr="00670387">
        <w:rPr>
          <w:rFonts w:ascii="Calibri" w:hAnsi="Calibri"/>
          <w:color w:val="000000"/>
          <w:sz w:val="24"/>
          <w:szCs w:val="24"/>
        </w:rPr>
        <w:t xml:space="preserve"> </w:t>
      </w:r>
      <w:r w:rsidR="00670387">
        <w:rPr>
          <w:rFonts w:ascii="Calibri" w:hAnsi="Calibri"/>
          <w:color w:val="000000"/>
          <w:sz w:val="24"/>
          <w:szCs w:val="24"/>
        </w:rPr>
        <w:t>explore</w:t>
      </w:r>
      <w:r w:rsidR="00670387" w:rsidRPr="00900254">
        <w:rPr>
          <w:rFonts w:ascii="Calibri" w:hAnsi="Calibri"/>
          <w:color w:val="000000"/>
          <w:sz w:val="24"/>
          <w:szCs w:val="24"/>
        </w:rPr>
        <w:t xml:space="preserve"> the links between childhood and other measures of well-bein</w:t>
      </w:r>
      <w:r w:rsidR="00670387">
        <w:rPr>
          <w:rFonts w:ascii="Calibri" w:hAnsi="Calibri"/>
          <w:color w:val="000000"/>
          <w:sz w:val="24"/>
          <w:szCs w:val="24"/>
        </w:rPr>
        <w:t>g in old age</w:t>
      </w:r>
      <w:r w:rsidR="001D21F8" w:rsidRPr="00900254">
        <w:rPr>
          <w:rFonts w:ascii="Calibri" w:hAnsi="Calibri"/>
          <w:color w:val="000000"/>
          <w:sz w:val="24"/>
          <w:szCs w:val="24"/>
        </w:rPr>
        <w:t>.</w:t>
      </w:r>
      <w:r w:rsidR="001D21F8">
        <w:rPr>
          <w:rFonts w:ascii="Calibri" w:hAnsi="Calibri"/>
          <w:color w:val="000000"/>
          <w:sz w:val="24"/>
          <w:szCs w:val="24"/>
        </w:rPr>
        <w:t xml:space="preserve"> </w:t>
      </w:r>
      <w:r w:rsidR="00982CD5" w:rsidRPr="00900254">
        <w:rPr>
          <w:rFonts w:ascii="Calibri" w:hAnsi="Calibri" w:cs="Arial"/>
          <w:sz w:val="24"/>
          <w:szCs w:val="24"/>
        </w:rPr>
        <w:t xml:space="preserve">The relationship of childhood </w:t>
      </w:r>
      <w:r w:rsidR="00982CD5" w:rsidRPr="00900254">
        <w:rPr>
          <w:rFonts w:ascii="Calibri" w:hAnsi="Calibri" w:cs="Arial"/>
          <w:sz w:val="24"/>
          <w:szCs w:val="24"/>
        </w:rPr>
        <w:lastRenderedPageBreak/>
        <w:t>socioeconomic deprivation and parental substance abuse with adult wellbeing should be an important consideration in social policy planning.</w:t>
      </w:r>
    </w:p>
    <w:p w:rsidR="00565897" w:rsidRDefault="00565897">
      <w:pPr>
        <w:autoSpaceDE w:val="0"/>
        <w:autoSpaceDN w:val="0"/>
        <w:adjustRightInd w:val="0"/>
        <w:spacing w:after="0" w:line="480" w:lineRule="auto"/>
        <w:rPr>
          <w:rFonts w:ascii="Calibri" w:hAnsi="Calibri"/>
          <w:i/>
          <w:sz w:val="24"/>
          <w:szCs w:val="24"/>
        </w:rPr>
      </w:pPr>
    </w:p>
    <w:p w:rsidR="00042406" w:rsidRDefault="00042406">
      <w:pPr>
        <w:spacing w:after="0" w:line="240" w:lineRule="auto"/>
        <w:rPr>
          <w:rFonts w:ascii="Calibri" w:hAnsi="Calibri"/>
          <w:i/>
          <w:sz w:val="24"/>
          <w:szCs w:val="24"/>
        </w:rPr>
      </w:pPr>
      <w:r>
        <w:rPr>
          <w:rFonts w:ascii="Calibri" w:hAnsi="Calibri"/>
          <w:i/>
          <w:sz w:val="24"/>
          <w:szCs w:val="24"/>
        </w:rPr>
        <w:br w:type="page"/>
      </w:r>
    </w:p>
    <w:p w:rsidR="00565897" w:rsidRDefault="00C678E8">
      <w:pPr>
        <w:autoSpaceDE w:val="0"/>
        <w:autoSpaceDN w:val="0"/>
        <w:adjustRightInd w:val="0"/>
        <w:spacing w:after="0" w:line="480" w:lineRule="auto"/>
        <w:rPr>
          <w:rFonts w:ascii="Calibri" w:hAnsi="Calibri"/>
          <w:i/>
          <w:sz w:val="24"/>
          <w:szCs w:val="24"/>
        </w:rPr>
      </w:pPr>
      <w:r w:rsidRPr="00900254">
        <w:rPr>
          <w:rFonts w:ascii="Calibri" w:hAnsi="Calibri"/>
          <w:i/>
          <w:sz w:val="24"/>
          <w:szCs w:val="24"/>
        </w:rPr>
        <w:lastRenderedPageBreak/>
        <w:t>Introduction</w:t>
      </w:r>
    </w:p>
    <w:p w:rsidR="00565897" w:rsidRDefault="00565897">
      <w:pPr>
        <w:autoSpaceDE w:val="0"/>
        <w:autoSpaceDN w:val="0"/>
        <w:adjustRightInd w:val="0"/>
        <w:spacing w:after="0" w:line="480" w:lineRule="auto"/>
        <w:rPr>
          <w:rFonts w:ascii="Calibri" w:hAnsi="Calibri"/>
          <w:sz w:val="24"/>
          <w:szCs w:val="24"/>
        </w:rPr>
      </w:pPr>
    </w:p>
    <w:p w:rsidR="00565897" w:rsidRDefault="00C678E8">
      <w:pPr>
        <w:autoSpaceDE w:val="0"/>
        <w:autoSpaceDN w:val="0"/>
        <w:adjustRightInd w:val="0"/>
        <w:spacing w:after="0" w:line="480" w:lineRule="auto"/>
        <w:rPr>
          <w:rFonts w:ascii="Calibri" w:hAnsi="Calibri"/>
          <w:sz w:val="24"/>
          <w:szCs w:val="24"/>
        </w:rPr>
      </w:pPr>
      <w:r w:rsidRPr="00900254">
        <w:rPr>
          <w:rFonts w:ascii="Calibri" w:hAnsi="Calibri"/>
          <w:sz w:val="24"/>
          <w:szCs w:val="24"/>
        </w:rPr>
        <w:t>Understanding who is affected by loneliness, and why, is important because loneliness is linked to adverse outcomes that may be preventable or modifiable if the causes of loneliness are understood (Berkman &amp; Syme, 1979; Cornwell &amp; Waite, 2009). Loneliness is associated with a decrease in physical health (House, 2001;</w:t>
      </w:r>
      <w:r w:rsidR="00770D39" w:rsidRPr="00770D39">
        <w:rPr>
          <w:rFonts w:ascii="Calibri" w:hAnsi="Calibri"/>
          <w:sz w:val="24"/>
          <w:szCs w:val="24"/>
          <w:lang w:eastAsia="en-GB"/>
        </w:rPr>
        <w:t xml:space="preserve"> </w:t>
      </w:r>
      <w:r w:rsidR="00770D39" w:rsidRPr="00900254">
        <w:rPr>
          <w:rFonts w:ascii="Calibri" w:hAnsi="Calibri"/>
          <w:sz w:val="24"/>
          <w:szCs w:val="24"/>
          <w:lang w:eastAsia="en-GB"/>
        </w:rPr>
        <w:t xml:space="preserve">Perissinotto, </w:t>
      </w:r>
      <w:r w:rsidR="00770D39" w:rsidRPr="00900254">
        <w:rPr>
          <w:rStyle w:val="authornames"/>
          <w:rFonts w:ascii="Calibri" w:hAnsi="Calibri" w:cs="Helvetica"/>
          <w:sz w:val="24"/>
          <w:szCs w:val="24"/>
        </w:rPr>
        <w:t>Stijacic Cenzer, &amp; Covinsky,</w:t>
      </w:r>
      <w:r w:rsidR="00770D39" w:rsidRPr="00900254">
        <w:rPr>
          <w:rFonts w:ascii="Calibri" w:hAnsi="Calibri"/>
          <w:sz w:val="24"/>
          <w:szCs w:val="24"/>
          <w:lang w:eastAsia="en-GB"/>
        </w:rPr>
        <w:t xml:space="preserve"> 2012</w:t>
      </w:r>
      <w:r w:rsidRPr="00900254">
        <w:rPr>
          <w:rFonts w:ascii="Calibri" w:hAnsi="Calibri"/>
          <w:sz w:val="24"/>
          <w:szCs w:val="24"/>
        </w:rPr>
        <w:t>; Steptoe</w:t>
      </w:r>
      <w:r w:rsidR="004A6F7C">
        <w:rPr>
          <w:rFonts w:ascii="Calibri" w:hAnsi="Calibri"/>
          <w:sz w:val="24"/>
          <w:szCs w:val="24"/>
        </w:rPr>
        <w:t>,</w:t>
      </w:r>
      <w:r w:rsidRPr="00900254">
        <w:rPr>
          <w:rFonts w:ascii="Calibri" w:hAnsi="Calibri"/>
          <w:sz w:val="24"/>
          <w:szCs w:val="24"/>
        </w:rPr>
        <w:t xml:space="preserve"> </w:t>
      </w:r>
      <w:r w:rsidR="004A6F7C">
        <w:rPr>
          <w:rFonts w:ascii="Calibri" w:hAnsi="Calibri" w:cs="Arial"/>
          <w:sz w:val="24"/>
          <w:szCs w:val="24"/>
        </w:rPr>
        <w:t>Owen, Kunz-Ebrecht,</w:t>
      </w:r>
      <w:r w:rsidR="004A6F7C" w:rsidRPr="00900254">
        <w:rPr>
          <w:rFonts w:ascii="Calibri" w:hAnsi="Calibri" w:cs="Arial"/>
          <w:sz w:val="24"/>
          <w:szCs w:val="24"/>
        </w:rPr>
        <w:t xml:space="preserve"> &amp; Brydon</w:t>
      </w:r>
      <w:r w:rsidR="004A6F7C">
        <w:rPr>
          <w:rFonts w:ascii="Calibri" w:hAnsi="Calibri"/>
          <w:sz w:val="24"/>
          <w:szCs w:val="24"/>
        </w:rPr>
        <w:t>,</w:t>
      </w:r>
      <w:r w:rsidRPr="00900254">
        <w:rPr>
          <w:rFonts w:ascii="Calibri" w:hAnsi="Calibri"/>
          <w:sz w:val="24"/>
          <w:szCs w:val="24"/>
        </w:rPr>
        <w:t xml:space="preserve"> 2003; Tomaka, Thompson, &amp; Palacios, 2006</w:t>
      </w:r>
      <w:r w:rsidRPr="00900254">
        <w:rPr>
          <w:rFonts w:ascii="Calibri" w:hAnsi="Calibri"/>
          <w:sz w:val="24"/>
          <w:szCs w:val="24"/>
          <w:lang w:eastAsia="en-GB"/>
        </w:rPr>
        <w:t xml:space="preserve">; </w:t>
      </w:r>
      <w:r w:rsidR="00770D39" w:rsidRPr="00900254">
        <w:rPr>
          <w:rFonts w:ascii="Calibri" w:hAnsi="Calibri"/>
          <w:sz w:val="24"/>
          <w:szCs w:val="24"/>
        </w:rPr>
        <w:t>Wilson et al., 2007</w:t>
      </w:r>
      <w:r w:rsidRPr="00900254">
        <w:rPr>
          <w:rFonts w:ascii="Calibri" w:hAnsi="Calibri"/>
          <w:sz w:val="24"/>
          <w:szCs w:val="24"/>
        </w:rPr>
        <w:t>) and quality of life (Ekwall</w:t>
      </w:r>
      <w:r w:rsidR="004A6F7C">
        <w:rPr>
          <w:rFonts w:ascii="Calibri" w:hAnsi="Calibri"/>
          <w:sz w:val="24"/>
          <w:szCs w:val="24"/>
        </w:rPr>
        <w:t>, Sivberg,</w:t>
      </w:r>
      <w:r w:rsidR="004A6F7C" w:rsidRPr="00900254">
        <w:rPr>
          <w:rFonts w:ascii="Calibri" w:hAnsi="Calibri"/>
          <w:sz w:val="24"/>
          <w:szCs w:val="24"/>
        </w:rPr>
        <w:t xml:space="preserve"> &amp; Hallberg</w:t>
      </w:r>
      <w:r w:rsidR="004A6F7C">
        <w:rPr>
          <w:rFonts w:ascii="Calibri" w:hAnsi="Calibri"/>
          <w:sz w:val="24"/>
          <w:szCs w:val="24"/>
        </w:rPr>
        <w:t xml:space="preserve">, </w:t>
      </w:r>
      <w:r w:rsidRPr="00900254">
        <w:rPr>
          <w:rFonts w:ascii="Calibri" w:hAnsi="Calibri"/>
          <w:sz w:val="24"/>
          <w:szCs w:val="24"/>
        </w:rPr>
        <w:t>2005). Loneliness is also an important predictor of depression (</w:t>
      </w:r>
      <w:r w:rsidR="004A6F7C" w:rsidRPr="00900254">
        <w:rPr>
          <w:rFonts w:ascii="Calibri" w:hAnsi="Calibri"/>
          <w:sz w:val="24"/>
          <w:szCs w:val="24"/>
        </w:rPr>
        <w:t>Barg et al.</w:t>
      </w:r>
      <w:r w:rsidR="004A6F7C">
        <w:rPr>
          <w:rFonts w:ascii="Calibri" w:hAnsi="Calibri"/>
          <w:sz w:val="24"/>
          <w:szCs w:val="24"/>
        </w:rPr>
        <w:t>,</w:t>
      </w:r>
      <w:r w:rsidR="004A6F7C" w:rsidRPr="00900254">
        <w:rPr>
          <w:rFonts w:ascii="Calibri" w:hAnsi="Calibri"/>
          <w:sz w:val="24"/>
          <w:szCs w:val="24"/>
        </w:rPr>
        <w:t xml:space="preserve"> 2006</w:t>
      </w:r>
      <w:r w:rsidR="004A6F7C">
        <w:rPr>
          <w:rFonts w:ascii="Calibri" w:hAnsi="Calibri"/>
          <w:sz w:val="24"/>
          <w:szCs w:val="24"/>
        </w:rPr>
        <w:t xml:space="preserve">; </w:t>
      </w:r>
      <w:r w:rsidR="004A6F7C" w:rsidRPr="00900254">
        <w:rPr>
          <w:rFonts w:ascii="Calibri" w:hAnsi="Calibri"/>
          <w:sz w:val="24"/>
          <w:szCs w:val="24"/>
        </w:rPr>
        <w:t>Cacioppo</w:t>
      </w:r>
      <w:r w:rsidR="004A6F7C">
        <w:rPr>
          <w:rFonts w:ascii="Calibri" w:hAnsi="Calibri"/>
          <w:sz w:val="24"/>
          <w:szCs w:val="24"/>
        </w:rPr>
        <w:t>, Hughes, Waite, Hawkley</w:t>
      </w:r>
      <w:r w:rsidR="004A6F7C" w:rsidRPr="00900254">
        <w:rPr>
          <w:rFonts w:ascii="Calibri" w:hAnsi="Calibri"/>
          <w:sz w:val="24"/>
          <w:szCs w:val="24"/>
        </w:rPr>
        <w:t>, &amp; Thisted</w:t>
      </w:r>
      <w:r w:rsidR="004A6F7C">
        <w:rPr>
          <w:rFonts w:ascii="Calibri" w:hAnsi="Calibri"/>
          <w:sz w:val="24"/>
          <w:szCs w:val="24"/>
        </w:rPr>
        <w:t>,</w:t>
      </w:r>
      <w:r w:rsidR="004A6F7C" w:rsidRPr="00900254" w:rsidDel="004A6F7C">
        <w:rPr>
          <w:rFonts w:ascii="Calibri" w:hAnsi="Calibri"/>
          <w:sz w:val="24"/>
          <w:szCs w:val="24"/>
        </w:rPr>
        <w:t xml:space="preserve"> </w:t>
      </w:r>
      <w:r w:rsidR="004A6F7C" w:rsidRPr="00900254">
        <w:rPr>
          <w:rFonts w:ascii="Calibri" w:hAnsi="Calibri"/>
          <w:sz w:val="24"/>
          <w:szCs w:val="24"/>
        </w:rPr>
        <w:t>2006</w:t>
      </w:r>
      <w:r w:rsidR="004A6F7C">
        <w:rPr>
          <w:rFonts w:ascii="Calibri" w:hAnsi="Calibri"/>
          <w:sz w:val="24"/>
          <w:szCs w:val="24"/>
        </w:rPr>
        <w:t xml:space="preserve">; </w:t>
      </w:r>
      <w:r w:rsidRPr="00900254">
        <w:rPr>
          <w:rFonts w:ascii="Calibri" w:hAnsi="Calibri"/>
          <w:sz w:val="24"/>
          <w:szCs w:val="24"/>
          <w:lang w:eastAsia="en-GB"/>
        </w:rPr>
        <w:t>ÓLuanaigh and Lawlor, 2008).</w:t>
      </w:r>
    </w:p>
    <w:p w:rsidR="00565897" w:rsidRDefault="00565897">
      <w:pPr>
        <w:autoSpaceDE w:val="0"/>
        <w:autoSpaceDN w:val="0"/>
        <w:adjustRightInd w:val="0"/>
        <w:spacing w:after="0" w:line="480" w:lineRule="auto"/>
        <w:rPr>
          <w:rFonts w:ascii="Calibri" w:hAnsi="Calibri"/>
          <w:sz w:val="24"/>
          <w:szCs w:val="24"/>
        </w:rPr>
      </w:pPr>
    </w:p>
    <w:p w:rsidR="00565897" w:rsidRDefault="00C678E8">
      <w:pPr>
        <w:autoSpaceDE w:val="0"/>
        <w:autoSpaceDN w:val="0"/>
        <w:adjustRightInd w:val="0"/>
        <w:spacing w:after="0" w:line="480" w:lineRule="auto"/>
        <w:rPr>
          <w:rFonts w:ascii="Calibri" w:hAnsi="Calibri" w:cs="AdvbasSN"/>
          <w:sz w:val="24"/>
          <w:szCs w:val="24"/>
          <w:lang w:val="en-GB"/>
        </w:rPr>
      </w:pPr>
      <w:r w:rsidRPr="00900254">
        <w:rPr>
          <w:rFonts w:ascii="Calibri" w:hAnsi="Calibri"/>
          <w:sz w:val="24"/>
          <w:szCs w:val="24"/>
        </w:rPr>
        <w:t>An extensive literature documents relationships between late life characteristics and loneliness, focusing to a substan</w:t>
      </w:r>
      <w:r>
        <w:rPr>
          <w:rFonts w:ascii="Calibri" w:hAnsi="Calibri"/>
          <w:sz w:val="24"/>
          <w:szCs w:val="24"/>
        </w:rPr>
        <w:t>t</w:t>
      </w:r>
      <w:r w:rsidRPr="00900254">
        <w:rPr>
          <w:rFonts w:ascii="Calibri" w:hAnsi="Calibri"/>
          <w:sz w:val="24"/>
          <w:szCs w:val="24"/>
        </w:rPr>
        <w:t xml:space="preserve">ial extent on later-life social relationships, social networks, and social support (e.g., Fees, Martin, &amp; Poon, </w:t>
      </w:r>
      <w:r>
        <w:rPr>
          <w:rFonts w:ascii="Calibri" w:hAnsi="Calibri"/>
          <w:sz w:val="24"/>
          <w:szCs w:val="24"/>
        </w:rPr>
        <w:t>199</w:t>
      </w:r>
      <w:r w:rsidRPr="00900254">
        <w:rPr>
          <w:rFonts w:ascii="Calibri" w:hAnsi="Calibri"/>
          <w:sz w:val="24"/>
          <w:szCs w:val="24"/>
        </w:rPr>
        <w:t>9; Park</w:t>
      </w:r>
      <w:r w:rsidR="00252E42">
        <w:rPr>
          <w:rFonts w:ascii="Calibri" w:hAnsi="Calibri"/>
          <w:sz w:val="24"/>
          <w:szCs w:val="24"/>
        </w:rPr>
        <w:t>,</w:t>
      </w:r>
      <w:r w:rsidRPr="00900254">
        <w:rPr>
          <w:rFonts w:ascii="Calibri" w:hAnsi="Calibri"/>
          <w:sz w:val="24"/>
          <w:szCs w:val="24"/>
        </w:rPr>
        <w:t xml:space="preserve"> </w:t>
      </w:r>
      <w:r w:rsidR="00252E42">
        <w:rPr>
          <w:rFonts w:ascii="Calibri" w:hAnsi="Calibri"/>
          <w:sz w:val="24"/>
          <w:szCs w:val="24"/>
          <w:lang w:eastAsia="en-GB"/>
        </w:rPr>
        <w:t>Jang, Lee, Haley,</w:t>
      </w:r>
      <w:r w:rsidR="00252E42" w:rsidRPr="00900254">
        <w:rPr>
          <w:rFonts w:ascii="Calibri" w:hAnsi="Calibri"/>
          <w:sz w:val="24"/>
          <w:szCs w:val="24"/>
          <w:lang w:eastAsia="en-GB"/>
        </w:rPr>
        <w:t xml:space="preserve"> &amp; Chiriboga</w:t>
      </w:r>
      <w:r w:rsidR="00252E42">
        <w:rPr>
          <w:rFonts w:ascii="Calibri" w:hAnsi="Calibri"/>
          <w:sz w:val="24"/>
          <w:szCs w:val="24"/>
          <w:lang w:eastAsia="en-GB"/>
        </w:rPr>
        <w:t>,</w:t>
      </w:r>
      <w:r w:rsidR="00252E42" w:rsidRPr="00900254" w:rsidDel="00252E42">
        <w:rPr>
          <w:rFonts w:ascii="Calibri" w:hAnsi="Calibri"/>
          <w:sz w:val="24"/>
          <w:szCs w:val="24"/>
        </w:rPr>
        <w:t xml:space="preserve"> </w:t>
      </w:r>
      <w:r w:rsidRPr="00900254">
        <w:rPr>
          <w:rFonts w:ascii="Calibri" w:hAnsi="Calibri"/>
          <w:sz w:val="24"/>
          <w:szCs w:val="24"/>
        </w:rPr>
        <w:t xml:space="preserve">2013; </w:t>
      </w:r>
      <w:r w:rsidR="00C2399E">
        <w:rPr>
          <w:rFonts w:ascii="Calibri" w:hAnsi="Calibri"/>
          <w:sz w:val="24"/>
          <w:szCs w:val="24"/>
        </w:rPr>
        <w:t xml:space="preserve">Rote, Hill, &amp; Ellison, 2012; </w:t>
      </w:r>
      <w:r w:rsidRPr="00900254">
        <w:rPr>
          <w:rFonts w:ascii="Calibri" w:hAnsi="Calibri"/>
          <w:sz w:val="24"/>
          <w:szCs w:val="24"/>
        </w:rPr>
        <w:t>van Baarsen</w:t>
      </w:r>
      <w:r w:rsidR="00670387">
        <w:rPr>
          <w:rFonts w:ascii="Calibri" w:hAnsi="Calibri"/>
          <w:sz w:val="24"/>
          <w:szCs w:val="24"/>
        </w:rPr>
        <w:t>,</w:t>
      </w:r>
      <w:r w:rsidRPr="00900254">
        <w:rPr>
          <w:rFonts w:ascii="Calibri" w:hAnsi="Calibri"/>
          <w:sz w:val="24"/>
          <w:szCs w:val="24"/>
        </w:rPr>
        <w:t xml:space="preserve"> 2002).</w:t>
      </w:r>
      <w:r w:rsidRPr="00900254">
        <w:rPr>
          <w:rFonts w:ascii="Calibri" w:hAnsi="Calibri" w:cs="AdvbasSN"/>
          <w:sz w:val="24"/>
          <w:szCs w:val="24"/>
          <w:lang w:val="en-GB"/>
        </w:rPr>
        <w:t xml:space="preserve"> Examining the topic more broadly, Victor</w:t>
      </w:r>
      <w:r w:rsidR="00252E42">
        <w:rPr>
          <w:rFonts w:ascii="Calibri" w:hAnsi="Calibri" w:cs="AdvbasSN"/>
          <w:sz w:val="24"/>
          <w:szCs w:val="24"/>
          <w:lang w:val="en-GB"/>
        </w:rPr>
        <w:t xml:space="preserve">, </w:t>
      </w:r>
      <w:r w:rsidR="00252E42">
        <w:rPr>
          <w:rFonts w:ascii="Calibri" w:hAnsi="Calibri"/>
          <w:sz w:val="24"/>
          <w:szCs w:val="24"/>
        </w:rPr>
        <w:t xml:space="preserve">Scambler, Bowling </w:t>
      </w:r>
      <w:r w:rsidR="00670387">
        <w:rPr>
          <w:rFonts w:ascii="Calibri" w:hAnsi="Calibri"/>
          <w:sz w:val="24"/>
          <w:szCs w:val="24"/>
        </w:rPr>
        <w:t>&amp;</w:t>
      </w:r>
      <w:r w:rsidR="00252E42" w:rsidRPr="00900254">
        <w:rPr>
          <w:rFonts w:ascii="Calibri" w:hAnsi="Calibri"/>
          <w:sz w:val="24"/>
          <w:szCs w:val="24"/>
        </w:rPr>
        <w:t xml:space="preserve"> Bond</w:t>
      </w:r>
      <w:r w:rsidR="00252E42" w:rsidRPr="00900254" w:rsidDel="00252E42">
        <w:rPr>
          <w:rFonts w:ascii="Calibri" w:hAnsi="Calibri" w:cs="AdvbasSN"/>
          <w:sz w:val="24"/>
          <w:szCs w:val="24"/>
          <w:lang w:val="en-GB"/>
        </w:rPr>
        <w:t xml:space="preserve"> </w:t>
      </w:r>
      <w:r w:rsidRPr="00900254">
        <w:rPr>
          <w:rFonts w:ascii="Calibri" w:hAnsi="Calibri" w:cs="AdvbasSN"/>
          <w:sz w:val="24"/>
          <w:szCs w:val="24"/>
          <w:lang w:val="en-GB"/>
        </w:rPr>
        <w:t xml:space="preserve">(2005) identified six independent </w:t>
      </w:r>
      <w:r w:rsidRPr="00900254">
        <w:rPr>
          <w:rFonts w:ascii="Calibri" w:hAnsi="Calibri" w:cs="AdvbasSN-i"/>
          <w:sz w:val="24"/>
          <w:szCs w:val="24"/>
          <w:lang w:val="en-GB"/>
        </w:rPr>
        <w:t xml:space="preserve">vulnerability </w:t>
      </w:r>
      <w:r w:rsidRPr="00900254">
        <w:rPr>
          <w:rFonts w:ascii="Calibri" w:hAnsi="Calibri" w:cs="AdvbasSN"/>
          <w:sz w:val="24"/>
          <w:szCs w:val="24"/>
          <w:lang w:val="en-GB"/>
        </w:rPr>
        <w:t xml:space="preserve">factors for loneliness among older adults: marital status, increases in loneliness over the previous decade, increases in time alone over the previous decade; elevated mental morbidity; poor current health; and poorer health in old age than expected. Advanced age and possession of post-basic education independently </w:t>
      </w:r>
      <w:r w:rsidRPr="00900254">
        <w:rPr>
          <w:rFonts w:ascii="Calibri" w:hAnsi="Calibri" w:cs="AdvbasSN-i"/>
          <w:sz w:val="24"/>
          <w:szCs w:val="24"/>
          <w:lang w:val="en-GB"/>
        </w:rPr>
        <w:t>protect</w:t>
      </w:r>
      <w:r>
        <w:rPr>
          <w:rFonts w:ascii="Calibri" w:hAnsi="Calibri" w:cs="AdvbasSN-i"/>
          <w:sz w:val="24"/>
          <w:szCs w:val="24"/>
          <w:lang w:val="en-GB"/>
        </w:rPr>
        <w:t>ed against</w:t>
      </w:r>
      <w:r w:rsidRPr="00900254">
        <w:rPr>
          <w:rFonts w:ascii="Calibri" w:hAnsi="Calibri" w:cs="AdvbasSN"/>
          <w:sz w:val="24"/>
          <w:szCs w:val="24"/>
          <w:lang w:val="en-GB"/>
        </w:rPr>
        <w:t xml:space="preserve"> loneliness. From this evidence, the authors propose that there are three loneliness pathways in later life: continuation of a long-established attribute, late-onset loneliness, and decreasing loneliness. The</w:t>
      </w:r>
      <w:r w:rsidR="00252E42">
        <w:rPr>
          <w:rFonts w:ascii="Calibri" w:hAnsi="Calibri" w:cs="AdvbasSN"/>
          <w:sz w:val="24"/>
          <w:szCs w:val="24"/>
          <w:lang w:val="en-GB"/>
        </w:rPr>
        <w:t>se</w:t>
      </w:r>
      <w:r w:rsidRPr="00900254">
        <w:rPr>
          <w:rFonts w:ascii="Calibri" w:hAnsi="Calibri" w:cs="AdvbasSN"/>
          <w:sz w:val="24"/>
          <w:szCs w:val="24"/>
          <w:lang w:val="en-GB"/>
        </w:rPr>
        <w:t xml:space="preserve"> findings </w:t>
      </w:r>
      <w:r w:rsidRPr="00900254">
        <w:rPr>
          <w:rFonts w:ascii="Calibri" w:hAnsi="Calibri" w:cs="AdvbasSN"/>
          <w:sz w:val="24"/>
          <w:szCs w:val="24"/>
          <w:lang w:val="en-GB"/>
        </w:rPr>
        <w:lastRenderedPageBreak/>
        <w:t>of Victor et al</w:t>
      </w:r>
      <w:r w:rsidR="00252E42">
        <w:rPr>
          <w:rFonts w:ascii="Calibri" w:hAnsi="Calibri" w:cs="AdvbasSN"/>
          <w:sz w:val="24"/>
          <w:szCs w:val="24"/>
          <w:lang w:val="en-GB"/>
        </w:rPr>
        <w:t>.</w:t>
      </w:r>
      <w:r w:rsidRPr="00900254">
        <w:rPr>
          <w:rFonts w:ascii="Calibri" w:hAnsi="Calibri" w:cs="AdvbasSN"/>
          <w:sz w:val="24"/>
          <w:szCs w:val="24"/>
          <w:lang w:val="en-GB"/>
        </w:rPr>
        <w:t xml:space="preserve"> (2005) suggest the potential importance of a life course approach that examines the role of early, mid-life and later events in understanding patterns of later-life loneliness. The role of early childhood events in later-life loneliness, however, has remained largely unexplored in existing research.</w:t>
      </w:r>
    </w:p>
    <w:p w:rsidR="00565897" w:rsidRDefault="00565897">
      <w:pPr>
        <w:autoSpaceDE w:val="0"/>
        <w:autoSpaceDN w:val="0"/>
        <w:adjustRightInd w:val="0"/>
        <w:spacing w:after="0" w:line="480" w:lineRule="auto"/>
        <w:rPr>
          <w:rFonts w:ascii="Calibri" w:hAnsi="Calibri" w:cs="AdvbasSN"/>
          <w:sz w:val="24"/>
          <w:szCs w:val="24"/>
          <w:lang w:val="en-GB"/>
        </w:rPr>
      </w:pPr>
    </w:p>
    <w:p w:rsidR="00565897" w:rsidRDefault="00C678E8">
      <w:pPr>
        <w:autoSpaceDE w:val="0"/>
        <w:autoSpaceDN w:val="0"/>
        <w:adjustRightInd w:val="0"/>
        <w:spacing w:after="0" w:line="480" w:lineRule="auto"/>
        <w:rPr>
          <w:rFonts w:ascii="Calibri" w:hAnsi="Calibri"/>
          <w:sz w:val="24"/>
          <w:szCs w:val="24"/>
        </w:rPr>
      </w:pPr>
      <w:r w:rsidRPr="00900254">
        <w:rPr>
          <w:rFonts w:ascii="Calibri" w:hAnsi="Calibri"/>
          <w:sz w:val="24"/>
          <w:szCs w:val="24"/>
        </w:rPr>
        <w:t xml:space="preserve"> In this article, we develop a conceptual justification for why and how early life experiences, marital status, education, and gender affect the level of loneliness in later life. We utilize a life course approach to conceptualize how early life circumstances (family status and financial well-being, urban/rural residence, childhood health, and parental substance abuse) might have a direct effect on later-life loneliness, or predispose individuals to later</w:t>
      </w:r>
      <w:r w:rsidR="00A07942">
        <w:rPr>
          <w:rFonts w:ascii="Calibri" w:hAnsi="Calibri"/>
          <w:sz w:val="24"/>
          <w:szCs w:val="24"/>
        </w:rPr>
        <w:t>-</w:t>
      </w:r>
      <w:r w:rsidRPr="00900254">
        <w:rPr>
          <w:rFonts w:ascii="Calibri" w:hAnsi="Calibri"/>
          <w:sz w:val="24"/>
          <w:szCs w:val="24"/>
        </w:rPr>
        <w:t xml:space="preserve">life financial, health, and social circumstances that in turn contribute to loneliness. We also examine the role of marital status, which is highly variable for Irish birth cohorts born before the </w:t>
      </w:r>
      <w:r w:rsidR="00A07942">
        <w:rPr>
          <w:rFonts w:ascii="Calibri" w:hAnsi="Calibri"/>
          <w:sz w:val="24"/>
          <w:szCs w:val="24"/>
        </w:rPr>
        <w:t>S</w:t>
      </w:r>
      <w:r w:rsidRPr="00900254">
        <w:rPr>
          <w:rFonts w:ascii="Calibri" w:hAnsi="Calibri"/>
          <w:sz w:val="24"/>
          <w:szCs w:val="24"/>
        </w:rPr>
        <w:t xml:space="preserve">econd </w:t>
      </w:r>
      <w:r w:rsidR="00A07942">
        <w:rPr>
          <w:rFonts w:ascii="Calibri" w:hAnsi="Calibri"/>
          <w:sz w:val="24"/>
          <w:szCs w:val="24"/>
        </w:rPr>
        <w:t>W</w:t>
      </w:r>
      <w:r w:rsidRPr="00900254">
        <w:rPr>
          <w:rFonts w:ascii="Calibri" w:hAnsi="Calibri"/>
          <w:sz w:val="24"/>
          <w:szCs w:val="24"/>
        </w:rPr>
        <w:t xml:space="preserve">orld </w:t>
      </w:r>
      <w:r w:rsidR="00A07942">
        <w:rPr>
          <w:rFonts w:ascii="Calibri" w:hAnsi="Calibri"/>
          <w:sz w:val="24"/>
          <w:szCs w:val="24"/>
        </w:rPr>
        <w:t>W</w:t>
      </w:r>
      <w:r w:rsidRPr="00900254">
        <w:rPr>
          <w:rFonts w:ascii="Calibri" w:hAnsi="Calibri"/>
          <w:sz w:val="24"/>
          <w:szCs w:val="24"/>
        </w:rPr>
        <w:t>ar, and gender differences.</w:t>
      </w:r>
    </w:p>
    <w:p w:rsidR="00565897" w:rsidRDefault="00565897">
      <w:pPr>
        <w:pStyle w:val="PlainText"/>
        <w:spacing w:line="480" w:lineRule="auto"/>
        <w:rPr>
          <w:rFonts w:ascii="Calibri" w:hAnsi="Calibri"/>
          <w:sz w:val="24"/>
          <w:szCs w:val="24"/>
        </w:rPr>
      </w:pPr>
    </w:p>
    <w:p w:rsidR="00565897" w:rsidRDefault="00A07942">
      <w:pPr>
        <w:pStyle w:val="PlainText"/>
        <w:spacing w:line="480" w:lineRule="auto"/>
        <w:rPr>
          <w:rFonts w:ascii="Calibri" w:hAnsi="Calibri"/>
          <w:sz w:val="24"/>
          <w:szCs w:val="24"/>
          <w:lang w:eastAsia="en-GB"/>
        </w:rPr>
      </w:pPr>
      <w:r>
        <w:rPr>
          <w:rFonts w:ascii="Calibri" w:hAnsi="Calibri"/>
          <w:sz w:val="24"/>
          <w:szCs w:val="24"/>
        </w:rPr>
        <w:t>A</w:t>
      </w:r>
      <w:r w:rsidR="00C678E8" w:rsidRPr="00900254">
        <w:rPr>
          <w:rFonts w:ascii="Calibri" w:hAnsi="Calibri"/>
          <w:sz w:val="24"/>
          <w:szCs w:val="24"/>
        </w:rPr>
        <w:t xml:space="preserve"> large</w:t>
      </w:r>
      <w:r>
        <w:rPr>
          <w:rFonts w:ascii="Calibri" w:hAnsi="Calibri"/>
          <w:sz w:val="24"/>
          <w:szCs w:val="24"/>
        </w:rPr>
        <w:t xml:space="preserve"> body of</w:t>
      </w:r>
      <w:r w:rsidR="00C678E8" w:rsidRPr="00900254">
        <w:rPr>
          <w:rFonts w:ascii="Calibri" w:hAnsi="Calibri"/>
          <w:sz w:val="24"/>
          <w:szCs w:val="24"/>
        </w:rPr>
        <w:t xml:space="preserve"> literature takes a life course approach to understanding health outcomes</w:t>
      </w:r>
      <w:r>
        <w:rPr>
          <w:rFonts w:ascii="Calibri" w:hAnsi="Calibri"/>
          <w:sz w:val="24"/>
          <w:szCs w:val="24"/>
        </w:rPr>
        <w:t>,</w:t>
      </w:r>
      <w:r w:rsidR="00C678E8" w:rsidRPr="00900254">
        <w:rPr>
          <w:rFonts w:ascii="Calibri" w:hAnsi="Calibri"/>
          <w:sz w:val="24"/>
          <w:szCs w:val="24"/>
        </w:rPr>
        <w:t xml:space="preserve"> focusing on the associations </w:t>
      </w:r>
      <w:r>
        <w:rPr>
          <w:rFonts w:ascii="Calibri" w:hAnsi="Calibri"/>
          <w:sz w:val="24"/>
          <w:szCs w:val="24"/>
        </w:rPr>
        <w:t>between</w:t>
      </w:r>
      <w:r w:rsidRPr="00900254">
        <w:rPr>
          <w:rFonts w:ascii="Calibri" w:hAnsi="Calibri"/>
          <w:sz w:val="24"/>
          <w:szCs w:val="24"/>
        </w:rPr>
        <w:t xml:space="preserve"> </w:t>
      </w:r>
      <w:r w:rsidR="00C678E8" w:rsidRPr="00900254">
        <w:rPr>
          <w:rFonts w:ascii="Calibri" w:hAnsi="Calibri"/>
          <w:sz w:val="24"/>
          <w:szCs w:val="24"/>
          <w:lang w:eastAsia="en-GB"/>
        </w:rPr>
        <w:t xml:space="preserve">childhood health </w:t>
      </w:r>
      <w:r>
        <w:rPr>
          <w:rFonts w:ascii="Calibri" w:hAnsi="Calibri"/>
          <w:sz w:val="24"/>
          <w:szCs w:val="24"/>
          <w:lang w:eastAsia="en-GB"/>
        </w:rPr>
        <w:t xml:space="preserve">/ </w:t>
      </w:r>
      <w:r w:rsidR="00C678E8" w:rsidRPr="00900254">
        <w:rPr>
          <w:rFonts w:ascii="Calibri" w:hAnsi="Calibri"/>
          <w:sz w:val="24"/>
          <w:szCs w:val="24"/>
          <w:lang w:eastAsia="en-GB"/>
        </w:rPr>
        <w:t xml:space="preserve">socioeconomic circumstances </w:t>
      </w:r>
      <w:r>
        <w:rPr>
          <w:rFonts w:ascii="Calibri" w:hAnsi="Calibri"/>
          <w:sz w:val="24"/>
          <w:szCs w:val="24"/>
          <w:lang w:eastAsia="en-GB"/>
        </w:rPr>
        <w:t>and</w:t>
      </w:r>
      <w:r w:rsidRPr="00900254">
        <w:rPr>
          <w:rFonts w:ascii="Calibri" w:hAnsi="Calibri"/>
          <w:sz w:val="24"/>
          <w:szCs w:val="24"/>
          <w:lang w:eastAsia="en-GB"/>
        </w:rPr>
        <w:t xml:space="preserve"> </w:t>
      </w:r>
      <w:r w:rsidR="00C678E8" w:rsidRPr="00900254">
        <w:rPr>
          <w:rFonts w:ascii="Calibri" w:hAnsi="Calibri"/>
          <w:sz w:val="24"/>
          <w:szCs w:val="24"/>
          <w:lang w:eastAsia="en-GB"/>
        </w:rPr>
        <w:t>later</w:t>
      </w:r>
      <w:r>
        <w:rPr>
          <w:rFonts w:ascii="Calibri" w:hAnsi="Calibri"/>
          <w:sz w:val="24"/>
          <w:szCs w:val="24"/>
          <w:lang w:eastAsia="en-GB"/>
        </w:rPr>
        <w:t>-</w:t>
      </w:r>
      <w:r w:rsidR="00C678E8" w:rsidRPr="00900254">
        <w:rPr>
          <w:rFonts w:ascii="Calibri" w:hAnsi="Calibri"/>
          <w:sz w:val="24"/>
          <w:szCs w:val="24"/>
          <w:lang w:eastAsia="en-GB"/>
        </w:rPr>
        <w:t xml:space="preserve">life health.  The previously-discussed association of loneliness with later-life physical health suggests that it, too, may be either a direct or indirect result of childhood circumstances.  Examination of this relationship offers the potential of a richer understanding of the role of early events in later-life physical and mental health.  </w:t>
      </w:r>
    </w:p>
    <w:p w:rsidR="00565897" w:rsidRDefault="00565897">
      <w:pPr>
        <w:pStyle w:val="PlainText"/>
        <w:spacing w:line="480" w:lineRule="auto"/>
        <w:rPr>
          <w:rFonts w:ascii="Calibri" w:hAnsi="Calibri"/>
          <w:sz w:val="24"/>
          <w:szCs w:val="24"/>
          <w:lang w:eastAsia="en-GB"/>
        </w:rPr>
      </w:pPr>
    </w:p>
    <w:p w:rsidR="00C678E8" w:rsidRDefault="00C678E8" w:rsidP="000556FF">
      <w:pPr>
        <w:pStyle w:val="PlainText"/>
        <w:spacing w:line="480" w:lineRule="auto"/>
        <w:rPr>
          <w:rFonts w:ascii="Calibri" w:hAnsi="Calibri"/>
          <w:sz w:val="24"/>
          <w:szCs w:val="24"/>
        </w:rPr>
      </w:pPr>
      <w:r w:rsidRPr="00900254">
        <w:rPr>
          <w:rFonts w:ascii="Calibri" w:hAnsi="Calibri" w:cs="Arial"/>
          <w:sz w:val="24"/>
          <w:szCs w:val="24"/>
        </w:rPr>
        <w:lastRenderedPageBreak/>
        <w:t>Association of early and mid-life socioeconomic status with health and mortality in later life has been explained using the accumulation or pathways model, a critical event model (key events have latent effects) (Ben-Schlomo &amp; Kuh, 2002) or a cumulative stress model (Pollitt, Rose</w:t>
      </w:r>
      <w:r w:rsidR="00A07942">
        <w:rPr>
          <w:rFonts w:ascii="Calibri" w:hAnsi="Calibri" w:cs="Arial"/>
          <w:sz w:val="24"/>
          <w:szCs w:val="24"/>
        </w:rPr>
        <w:t>,</w:t>
      </w:r>
      <w:r w:rsidRPr="00900254">
        <w:rPr>
          <w:rFonts w:ascii="Calibri" w:hAnsi="Calibri" w:cs="Arial"/>
          <w:sz w:val="24"/>
          <w:szCs w:val="24"/>
        </w:rPr>
        <w:t xml:space="preserve"> &amp; Kaufman, 2005).</w:t>
      </w:r>
      <w:r w:rsidRPr="00900254">
        <w:rPr>
          <w:rFonts w:ascii="Calibri" w:hAnsi="Calibri"/>
          <w:sz w:val="24"/>
          <w:szCs w:val="24"/>
        </w:rPr>
        <w:t xml:space="preserve">  These three processes, though not mutually exclusive, outline the simplest ways that early circumstances might affect later outcomes, including loneliness. While these conceptual models are not isomorphic with results from data analysis, indirect effects – life-long pathways through education and marriage – would be consistent with the accumulation model) while direct effects controlling for mid- and later life circumstances would be consistent with a critical event model or a cumulative stress model. Much sociological interest has been on the pathway model (O’Rand, 1996; Hatch, 2005).  The critical events model may result from some physiological change produced by early stress (Galobardes, Lynch, </w:t>
      </w:r>
      <w:r>
        <w:rPr>
          <w:rFonts w:ascii="Calibri" w:hAnsi="Calibri"/>
          <w:sz w:val="24"/>
          <w:szCs w:val="24"/>
        </w:rPr>
        <w:t>&amp;</w:t>
      </w:r>
      <w:r w:rsidRPr="00900254">
        <w:rPr>
          <w:rFonts w:ascii="Calibri" w:hAnsi="Calibri"/>
          <w:sz w:val="24"/>
          <w:szCs w:val="24"/>
        </w:rPr>
        <w:t xml:space="preserve"> </w:t>
      </w:r>
      <w:r>
        <w:rPr>
          <w:rFonts w:ascii="Calibri" w:hAnsi="Calibri"/>
          <w:sz w:val="24"/>
          <w:szCs w:val="24"/>
        </w:rPr>
        <w:t xml:space="preserve">Davey </w:t>
      </w:r>
      <w:r w:rsidRPr="00900254">
        <w:rPr>
          <w:rFonts w:ascii="Calibri" w:hAnsi="Calibri"/>
          <w:sz w:val="24"/>
          <w:szCs w:val="24"/>
        </w:rPr>
        <w:t>Smith, 2004). In a statistical sense, however, a direct effect cannot be equated with a conceptually-defined critical event because it is possible that the appropriate pathway has not been identified or measured and an additional alternative is the additive cumulative stress model.  Hence we prefer to focus our conceptualization on indirect pathways and direct effects rather than equating them in any definitive way with a particular conceptual model.</w:t>
      </w:r>
    </w:p>
    <w:p w:rsidR="00565897" w:rsidRDefault="00565897">
      <w:pPr>
        <w:pStyle w:val="PlainText"/>
        <w:spacing w:line="480" w:lineRule="auto"/>
        <w:rPr>
          <w:rFonts w:ascii="Calibri" w:hAnsi="Calibri"/>
          <w:sz w:val="24"/>
          <w:szCs w:val="24"/>
        </w:rPr>
      </w:pPr>
    </w:p>
    <w:p w:rsidR="00565897" w:rsidRDefault="00C678E8">
      <w:pPr>
        <w:pStyle w:val="PlainText"/>
        <w:spacing w:line="480" w:lineRule="auto"/>
        <w:rPr>
          <w:rFonts w:ascii="Calibri" w:hAnsi="Calibri" w:cs="Arial"/>
          <w:sz w:val="24"/>
          <w:szCs w:val="24"/>
        </w:rPr>
      </w:pPr>
      <w:r w:rsidRPr="00900254">
        <w:rPr>
          <w:rFonts w:ascii="Calibri" w:hAnsi="Calibri"/>
          <w:sz w:val="24"/>
          <w:szCs w:val="24"/>
        </w:rPr>
        <w:t>There is substantial evidence for direct effects of childhood health and socioeconomic status on later</w:t>
      </w:r>
      <w:r w:rsidR="00FB2F4C">
        <w:rPr>
          <w:rFonts w:ascii="Calibri" w:hAnsi="Calibri"/>
          <w:sz w:val="24"/>
          <w:szCs w:val="24"/>
        </w:rPr>
        <w:t>-life</w:t>
      </w:r>
      <w:r w:rsidRPr="00900254">
        <w:rPr>
          <w:rFonts w:ascii="Calibri" w:hAnsi="Calibri"/>
          <w:sz w:val="24"/>
          <w:szCs w:val="24"/>
        </w:rPr>
        <w:t xml:space="preserve"> health, including  physical health (Case</w:t>
      </w:r>
      <w:r w:rsidR="00FB2F4C">
        <w:rPr>
          <w:rFonts w:ascii="Calibri" w:hAnsi="Calibri"/>
          <w:sz w:val="24"/>
          <w:szCs w:val="24"/>
        </w:rPr>
        <w:t xml:space="preserve">, </w:t>
      </w:r>
      <w:hyperlink r:id="rId8" w:history="1">
        <w:r w:rsidR="00FB2F4C" w:rsidRPr="00900254">
          <w:rPr>
            <w:rFonts w:ascii="Calibri" w:eastAsia="Arial Unicode MS" w:hAnsi="Calibri" w:cs="Arial Unicode MS"/>
            <w:sz w:val="24"/>
            <w:szCs w:val="24"/>
            <w:lang w:eastAsia="en-GB"/>
          </w:rPr>
          <w:t>Fertig</w:t>
        </w:r>
      </w:hyperlink>
      <w:r w:rsidR="00FB2F4C">
        <w:rPr>
          <w:rFonts w:ascii="Calibri" w:hAnsi="Calibri"/>
          <w:sz w:val="24"/>
          <w:szCs w:val="24"/>
        </w:rPr>
        <w:t>,</w:t>
      </w:r>
      <w:r w:rsidR="00FB2F4C" w:rsidRPr="00900254">
        <w:rPr>
          <w:rFonts w:ascii="Calibri" w:hAnsi="Calibri"/>
          <w:sz w:val="24"/>
          <w:szCs w:val="24"/>
        </w:rPr>
        <w:t xml:space="preserve"> &amp;</w:t>
      </w:r>
      <w:r w:rsidR="00FB2F4C" w:rsidRPr="00900254">
        <w:rPr>
          <w:rFonts w:ascii="Calibri" w:eastAsia="Arial Unicode MS" w:hAnsi="Calibri" w:cs="Arial Unicode MS"/>
          <w:sz w:val="24"/>
          <w:szCs w:val="24"/>
          <w:lang w:eastAsia="en-GB"/>
        </w:rPr>
        <w:t xml:space="preserve"> </w:t>
      </w:r>
      <w:hyperlink r:id="rId9" w:history="1">
        <w:r w:rsidR="00FB2F4C" w:rsidRPr="00900254">
          <w:rPr>
            <w:rFonts w:ascii="Calibri" w:eastAsia="Arial Unicode MS" w:hAnsi="Calibri" w:cs="Arial Unicode MS"/>
            <w:sz w:val="24"/>
            <w:szCs w:val="24"/>
            <w:lang w:eastAsia="en-GB"/>
          </w:rPr>
          <w:t>Paxson</w:t>
        </w:r>
      </w:hyperlink>
      <w:r w:rsidRPr="00900254">
        <w:rPr>
          <w:rFonts w:ascii="Calibri" w:hAnsi="Calibri"/>
          <w:sz w:val="24"/>
          <w:szCs w:val="24"/>
        </w:rPr>
        <w:t>, 2004; Drakopoulos</w:t>
      </w:r>
      <w:r w:rsidR="00FB2F4C">
        <w:rPr>
          <w:rFonts w:ascii="Calibri" w:hAnsi="Calibri"/>
          <w:sz w:val="24"/>
          <w:szCs w:val="24"/>
        </w:rPr>
        <w:t xml:space="preserve">, </w:t>
      </w:r>
      <w:r w:rsidR="00FB2F4C">
        <w:rPr>
          <w:rFonts w:ascii="Calibri" w:hAnsi="Calibri" w:cs="Arial"/>
          <w:sz w:val="24"/>
          <w:szCs w:val="24"/>
        </w:rPr>
        <w:t>Lakioti,</w:t>
      </w:r>
      <w:r w:rsidR="00FB2F4C" w:rsidRPr="00900254">
        <w:rPr>
          <w:rFonts w:ascii="Calibri" w:hAnsi="Calibri" w:cs="Arial"/>
          <w:sz w:val="24"/>
          <w:szCs w:val="24"/>
        </w:rPr>
        <w:t xml:space="preserve"> &amp; Theodossiou</w:t>
      </w:r>
      <w:r w:rsidRPr="00900254">
        <w:rPr>
          <w:rFonts w:ascii="Calibri" w:hAnsi="Calibri"/>
          <w:sz w:val="24"/>
          <w:szCs w:val="24"/>
        </w:rPr>
        <w:t>, 2011</w:t>
      </w:r>
      <w:r w:rsidR="00FB2F4C">
        <w:rPr>
          <w:rFonts w:ascii="Calibri" w:hAnsi="Calibri"/>
          <w:sz w:val="24"/>
          <w:szCs w:val="24"/>
        </w:rPr>
        <w:t xml:space="preserve">; </w:t>
      </w:r>
      <w:r w:rsidR="00FB2F4C" w:rsidRPr="00900254">
        <w:rPr>
          <w:rFonts w:ascii="Calibri" w:hAnsi="Calibri"/>
          <w:sz w:val="24"/>
          <w:szCs w:val="24"/>
        </w:rPr>
        <w:t>Palloni</w:t>
      </w:r>
      <w:r w:rsidR="00FB2F4C">
        <w:rPr>
          <w:rFonts w:ascii="Calibri" w:hAnsi="Calibri"/>
          <w:sz w:val="24"/>
          <w:szCs w:val="24"/>
        </w:rPr>
        <w:t xml:space="preserve">, </w:t>
      </w:r>
      <w:hyperlink r:id="rId10" w:history="1">
        <w:r w:rsidR="00FB2F4C" w:rsidRPr="00900254">
          <w:rPr>
            <w:rFonts w:ascii="Calibri" w:eastAsia="Arial Unicode MS" w:hAnsi="Calibri" w:cs="Arial Unicode MS"/>
            <w:sz w:val="24"/>
            <w:szCs w:val="24"/>
            <w:lang w:eastAsia="en-GB"/>
          </w:rPr>
          <w:t>Milesi</w:t>
        </w:r>
      </w:hyperlink>
      <w:r w:rsidR="00FB2F4C" w:rsidRPr="00900254">
        <w:rPr>
          <w:rFonts w:ascii="Calibri" w:eastAsia="Arial Unicode MS" w:hAnsi="Calibri" w:cs="Arial Unicode MS"/>
          <w:sz w:val="24"/>
          <w:szCs w:val="24"/>
          <w:lang w:eastAsia="en-GB"/>
        </w:rPr>
        <w:t>,</w:t>
      </w:r>
      <w:hyperlink r:id="rId11" w:history="1">
        <w:r w:rsidR="00FB2F4C" w:rsidRPr="00900254">
          <w:rPr>
            <w:rFonts w:ascii="Calibri" w:eastAsia="Arial Unicode MS" w:hAnsi="Calibri" w:cs="Arial Unicode MS"/>
            <w:sz w:val="24"/>
            <w:szCs w:val="24"/>
            <w:lang w:eastAsia="en-GB"/>
          </w:rPr>
          <w:t>White</w:t>
        </w:r>
      </w:hyperlink>
      <w:r w:rsidR="00FB2F4C">
        <w:rPr>
          <w:rFonts w:ascii="Calibri" w:eastAsia="Arial Unicode MS" w:hAnsi="Calibri" w:cs="Arial Unicode MS"/>
          <w:sz w:val="24"/>
          <w:szCs w:val="24"/>
          <w:lang w:eastAsia="en-GB"/>
        </w:rPr>
        <w:t>, &amp;</w:t>
      </w:r>
      <w:r w:rsidR="00FB2F4C" w:rsidRPr="00900254">
        <w:rPr>
          <w:rFonts w:ascii="Calibri" w:eastAsia="Arial Unicode MS" w:hAnsi="Calibri" w:cs="Arial Unicode MS"/>
          <w:sz w:val="24"/>
          <w:szCs w:val="24"/>
          <w:lang w:eastAsia="en-GB"/>
        </w:rPr>
        <w:t xml:space="preserve"> </w:t>
      </w:r>
      <w:hyperlink r:id="rId12" w:history="1">
        <w:r w:rsidR="00FB2F4C" w:rsidRPr="00900254">
          <w:rPr>
            <w:rFonts w:ascii="Calibri" w:eastAsia="Arial Unicode MS" w:hAnsi="Calibri" w:cs="Arial Unicode MS"/>
            <w:sz w:val="24"/>
            <w:szCs w:val="24"/>
            <w:lang w:eastAsia="en-GB"/>
          </w:rPr>
          <w:t>Turner</w:t>
        </w:r>
      </w:hyperlink>
      <w:r w:rsidR="00FB2F4C" w:rsidRPr="00900254">
        <w:rPr>
          <w:rFonts w:ascii="Calibri" w:hAnsi="Calibri"/>
          <w:sz w:val="24"/>
          <w:szCs w:val="24"/>
        </w:rPr>
        <w:t>, 2009</w:t>
      </w:r>
      <w:r w:rsidRPr="00900254">
        <w:rPr>
          <w:rFonts w:ascii="Calibri" w:hAnsi="Calibri"/>
          <w:sz w:val="24"/>
          <w:szCs w:val="24"/>
        </w:rPr>
        <w:t>), functional health (Haas, 2008)</w:t>
      </w:r>
      <w:r w:rsidR="00FB2F4C">
        <w:rPr>
          <w:rFonts w:ascii="Calibri" w:hAnsi="Calibri"/>
          <w:sz w:val="24"/>
          <w:szCs w:val="24"/>
        </w:rPr>
        <w:t>,</w:t>
      </w:r>
      <w:r w:rsidRPr="00900254">
        <w:rPr>
          <w:rFonts w:ascii="Calibri" w:hAnsi="Calibri"/>
          <w:sz w:val="24"/>
          <w:szCs w:val="24"/>
        </w:rPr>
        <w:t xml:space="preserve"> and mental health (Kamiya</w:t>
      </w:r>
      <w:r w:rsidR="00FB2F4C">
        <w:rPr>
          <w:rFonts w:ascii="Calibri" w:hAnsi="Calibri"/>
          <w:sz w:val="24"/>
          <w:szCs w:val="24"/>
        </w:rPr>
        <w:t xml:space="preserve">, Doyle, </w:t>
      </w:r>
      <w:r w:rsidR="00FB2F4C">
        <w:rPr>
          <w:rFonts w:ascii="Calibri" w:hAnsi="Calibri"/>
          <w:sz w:val="24"/>
          <w:szCs w:val="24"/>
        </w:rPr>
        <w:lastRenderedPageBreak/>
        <w:t>Henretta &amp; Timonen</w:t>
      </w:r>
      <w:r w:rsidRPr="00900254">
        <w:rPr>
          <w:rFonts w:ascii="Calibri" w:hAnsi="Calibri"/>
          <w:sz w:val="24"/>
          <w:szCs w:val="24"/>
        </w:rPr>
        <w:t>, 2013)</w:t>
      </w:r>
      <w:r w:rsidR="00670387">
        <w:rPr>
          <w:rFonts w:ascii="Calibri" w:hAnsi="Calibri"/>
          <w:sz w:val="24"/>
          <w:szCs w:val="24"/>
        </w:rPr>
        <w:t>.</w:t>
      </w:r>
      <w:r w:rsidRPr="00900254">
        <w:rPr>
          <w:rFonts w:ascii="Calibri" w:hAnsi="Calibri" w:cs="Arial"/>
          <w:sz w:val="24"/>
          <w:szCs w:val="24"/>
        </w:rPr>
        <w:t xml:space="preserve"> Childhood health also affects adult economic status (Case et al., 2004; </w:t>
      </w:r>
      <w:r w:rsidR="00FB2F4C" w:rsidRPr="00900254">
        <w:rPr>
          <w:rFonts w:ascii="Calibri" w:hAnsi="Calibri" w:cs="Arial"/>
          <w:sz w:val="24"/>
          <w:szCs w:val="24"/>
        </w:rPr>
        <w:t>Drakopoulous et al., 2011</w:t>
      </w:r>
      <w:r w:rsidR="00FB2F4C">
        <w:rPr>
          <w:rFonts w:ascii="Calibri" w:hAnsi="Calibri" w:cs="Arial"/>
          <w:sz w:val="24"/>
          <w:szCs w:val="24"/>
        </w:rPr>
        <w:t xml:space="preserve">; </w:t>
      </w:r>
      <w:r w:rsidRPr="00900254">
        <w:rPr>
          <w:rFonts w:ascii="Calibri" w:hAnsi="Calibri" w:cs="Arial"/>
          <w:sz w:val="24"/>
          <w:szCs w:val="24"/>
        </w:rPr>
        <w:t xml:space="preserve">Palloni et al., 2009; Smith, 2009;). </w:t>
      </w:r>
    </w:p>
    <w:p w:rsidR="00565897" w:rsidRDefault="00565897">
      <w:pPr>
        <w:pStyle w:val="PlainText"/>
        <w:spacing w:line="480" w:lineRule="auto"/>
        <w:rPr>
          <w:rFonts w:ascii="Calibri" w:hAnsi="Calibri" w:cs="Arial"/>
          <w:sz w:val="24"/>
          <w:szCs w:val="24"/>
        </w:rPr>
      </w:pPr>
    </w:p>
    <w:p w:rsidR="00565897" w:rsidRDefault="00C678E8">
      <w:pPr>
        <w:pStyle w:val="PlainText"/>
        <w:spacing w:line="480" w:lineRule="auto"/>
        <w:rPr>
          <w:rFonts w:ascii="Calibri" w:hAnsi="Calibri" w:cs="Arial Unicode MS"/>
          <w:sz w:val="24"/>
          <w:szCs w:val="24"/>
          <w:lang w:eastAsia="en-GB"/>
        </w:rPr>
      </w:pPr>
      <w:r w:rsidRPr="00900254">
        <w:rPr>
          <w:rFonts w:ascii="Calibri" w:hAnsi="Calibri" w:cs="Arial Unicode MS"/>
          <w:sz w:val="24"/>
          <w:szCs w:val="24"/>
          <w:lang w:eastAsia="en-GB"/>
        </w:rPr>
        <w:t xml:space="preserve">A direct link between childhood characteristics and later-life loneliness might operate through </w:t>
      </w:r>
      <w:r w:rsidRPr="00900254">
        <w:rPr>
          <w:rFonts w:ascii="Calibri" w:hAnsi="Calibri"/>
          <w:sz w:val="24"/>
          <w:szCs w:val="24"/>
        </w:rPr>
        <w:t xml:space="preserve">self-definition and role conception that are linked to loneliness in both old age, and childhood (de Jong Gierveld, 1998). Childhood socioeconomic adversity, poor health and parental substance abuse are detrimental to self-esteem and self-efficacy, give rise to feelings of powerlessness, rejection, and self-perceived lack of disclosure to others (de Jong-Gierveld, 1998), which in turn can have long-lasting effects on loneliness, either directly or indirectly. Fry </w:t>
      </w:r>
      <w:r w:rsidR="00670387">
        <w:rPr>
          <w:rFonts w:ascii="Calibri" w:hAnsi="Calibri"/>
          <w:sz w:val="24"/>
          <w:szCs w:val="24"/>
        </w:rPr>
        <w:t>&amp;</w:t>
      </w:r>
      <w:r w:rsidR="00670387" w:rsidRPr="00900254">
        <w:rPr>
          <w:rFonts w:ascii="Calibri" w:hAnsi="Calibri"/>
          <w:sz w:val="24"/>
          <w:szCs w:val="24"/>
        </w:rPr>
        <w:t xml:space="preserve"> </w:t>
      </w:r>
      <w:r w:rsidRPr="00900254">
        <w:rPr>
          <w:rFonts w:ascii="Calibri" w:hAnsi="Calibri"/>
          <w:sz w:val="24"/>
          <w:szCs w:val="24"/>
        </w:rPr>
        <w:t>Debats (2002) find evidence for the importance of adult self-efficacy variables as predictors of loneliness. Gender-specific variations revealed that women's stronger self-efficacy domains in the interpersonal, social, and emotional realms, and men's stronger self-efficacy beliefs in the instrumental, financial, and physical realms predicted less loneliness and psychological distress.</w:t>
      </w:r>
    </w:p>
    <w:p w:rsidR="00565897" w:rsidRDefault="00565897">
      <w:pPr>
        <w:spacing w:after="0" w:line="480" w:lineRule="auto"/>
        <w:textAlignment w:val="top"/>
        <w:outlineLvl w:val="2"/>
        <w:rPr>
          <w:rFonts w:ascii="Calibri" w:hAnsi="Calibri" w:cs="Arial"/>
          <w:sz w:val="24"/>
          <w:szCs w:val="24"/>
        </w:rPr>
      </w:pPr>
    </w:p>
    <w:p w:rsidR="00565897" w:rsidRDefault="00C678E8">
      <w:pPr>
        <w:spacing w:after="0" w:line="480" w:lineRule="auto"/>
        <w:textAlignment w:val="top"/>
        <w:outlineLvl w:val="2"/>
        <w:rPr>
          <w:rFonts w:ascii="Calibri" w:hAnsi="Calibri"/>
          <w:sz w:val="24"/>
          <w:szCs w:val="24"/>
        </w:rPr>
      </w:pPr>
      <w:r w:rsidRPr="00900254">
        <w:rPr>
          <w:rFonts w:ascii="Calibri" w:hAnsi="Calibri"/>
          <w:sz w:val="24"/>
          <w:szCs w:val="24"/>
        </w:rPr>
        <w:t xml:space="preserve">In addition to possible direct effects, low socioeconomic status, poor health and parental substance abuse may inhibit the development of capacities, skills and connections that are conducive to social engagement and achievement of milestones and statuses such as forming relationships, marrying, gaining access to higher education and obtaining high-status employment.  That is, health and family economic status in childhood may be consequential for later life loneliness through the impact of early life events on later life social mobility and social capital (Deary et </w:t>
      </w:r>
      <w:r w:rsidRPr="00900254">
        <w:rPr>
          <w:rFonts w:ascii="Calibri" w:hAnsi="Calibri"/>
          <w:sz w:val="24"/>
          <w:szCs w:val="24"/>
        </w:rPr>
        <w:lastRenderedPageBreak/>
        <w:t>al., 2005).  This latter process might produce an indirect pathway to loneliness through mid-life and later-life statuses.</w:t>
      </w:r>
    </w:p>
    <w:p w:rsidR="00565897" w:rsidRDefault="00565897">
      <w:pPr>
        <w:spacing w:after="0" w:line="480" w:lineRule="auto"/>
        <w:textAlignment w:val="top"/>
        <w:outlineLvl w:val="2"/>
        <w:rPr>
          <w:rFonts w:ascii="Calibri" w:hAnsi="Calibri"/>
          <w:sz w:val="24"/>
          <w:szCs w:val="24"/>
        </w:rPr>
      </w:pPr>
    </w:p>
    <w:p w:rsidR="00565897" w:rsidRDefault="00C678E8">
      <w:pPr>
        <w:spacing w:line="480" w:lineRule="auto"/>
        <w:rPr>
          <w:sz w:val="24"/>
          <w:szCs w:val="24"/>
        </w:rPr>
      </w:pPr>
      <w:r w:rsidRPr="00900254">
        <w:rPr>
          <w:rFonts w:ascii="Calibri" w:hAnsi="Calibri"/>
          <w:sz w:val="24"/>
          <w:szCs w:val="24"/>
        </w:rPr>
        <w:t xml:space="preserve">The analysis presented here draws on data for persons aged 65 and older in Ireland as of 2010. The youngest members of the analysis sample were born in 1945.  This and earlier Irish cohorts </w:t>
      </w:r>
      <w:r w:rsidR="00FB6474">
        <w:rPr>
          <w:rFonts w:ascii="Calibri" w:hAnsi="Calibri"/>
          <w:sz w:val="24"/>
          <w:szCs w:val="24"/>
        </w:rPr>
        <w:t>share</w:t>
      </w:r>
      <w:r w:rsidR="00FB6474" w:rsidRPr="00900254">
        <w:rPr>
          <w:rFonts w:ascii="Calibri" w:hAnsi="Calibri"/>
          <w:sz w:val="24"/>
          <w:szCs w:val="24"/>
        </w:rPr>
        <w:t xml:space="preserve"> </w:t>
      </w:r>
      <w:r w:rsidRPr="00900254">
        <w:rPr>
          <w:rFonts w:ascii="Calibri" w:hAnsi="Calibri"/>
          <w:sz w:val="24"/>
          <w:szCs w:val="24"/>
        </w:rPr>
        <w:t xml:space="preserve">two important </w:t>
      </w:r>
      <w:r w:rsidR="00FB6474">
        <w:rPr>
          <w:rFonts w:ascii="Calibri" w:hAnsi="Calibri"/>
          <w:sz w:val="24"/>
          <w:szCs w:val="24"/>
        </w:rPr>
        <w:t>contextual factors</w:t>
      </w:r>
      <w:r w:rsidR="00FB6474" w:rsidRPr="00900254">
        <w:rPr>
          <w:rFonts w:ascii="Calibri" w:hAnsi="Calibri"/>
          <w:sz w:val="24"/>
          <w:szCs w:val="24"/>
        </w:rPr>
        <w:t xml:space="preserve"> </w:t>
      </w:r>
      <w:r w:rsidRPr="00900254">
        <w:rPr>
          <w:rFonts w:ascii="Calibri" w:hAnsi="Calibri"/>
          <w:sz w:val="24"/>
          <w:szCs w:val="24"/>
        </w:rPr>
        <w:t>with implications for the analysis.  When these cohorts passed through childhood to early adulthood, Ireland did not have free secondary schooling</w:t>
      </w:r>
      <w:r w:rsidR="003C7C30">
        <w:rPr>
          <w:rFonts w:ascii="Calibri" w:hAnsi="Calibri"/>
          <w:sz w:val="24"/>
          <w:szCs w:val="24"/>
        </w:rPr>
        <w:t xml:space="preserve"> (introduced in </w:t>
      </w:r>
      <w:r w:rsidR="003779FD">
        <w:rPr>
          <w:rFonts w:ascii="Calibri" w:hAnsi="Calibri"/>
          <w:sz w:val="24"/>
          <w:szCs w:val="24"/>
        </w:rPr>
        <w:t>1967</w:t>
      </w:r>
      <w:r w:rsidR="003C7C30">
        <w:rPr>
          <w:rFonts w:ascii="Calibri" w:hAnsi="Calibri"/>
          <w:sz w:val="24"/>
          <w:szCs w:val="24"/>
        </w:rPr>
        <w:t>)</w:t>
      </w:r>
      <w:r w:rsidR="005171B0">
        <w:rPr>
          <w:rFonts w:ascii="Calibri" w:hAnsi="Calibri"/>
          <w:sz w:val="24"/>
          <w:szCs w:val="24"/>
        </w:rPr>
        <w:t xml:space="preserve">; </w:t>
      </w:r>
      <w:r w:rsidR="003C7C30">
        <w:rPr>
          <w:rFonts w:ascii="Calibri" w:hAnsi="Calibri"/>
          <w:sz w:val="24"/>
          <w:szCs w:val="24"/>
        </w:rPr>
        <w:t>free tertiary (hospital)</w:t>
      </w:r>
      <w:r w:rsidR="003C7C30" w:rsidRPr="00900254">
        <w:rPr>
          <w:rFonts w:ascii="Calibri" w:hAnsi="Calibri"/>
          <w:sz w:val="24"/>
          <w:szCs w:val="24"/>
        </w:rPr>
        <w:t xml:space="preserve"> </w:t>
      </w:r>
      <w:r w:rsidRPr="00900254">
        <w:rPr>
          <w:rFonts w:ascii="Calibri" w:hAnsi="Calibri"/>
          <w:sz w:val="24"/>
          <w:szCs w:val="24"/>
        </w:rPr>
        <w:t>health care</w:t>
      </w:r>
      <w:r w:rsidR="003C7C30">
        <w:rPr>
          <w:rFonts w:ascii="Calibri" w:hAnsi="Calibri"/>
          <w:sz w:val="24"/>
          <w:szCs w:val="24"/>
        </w:rPr>
        <w:t xml:space="preserve"> (introduced </w:t>
      </w:r>
      <w:r w:rsidR="005171B0">
        <w:rPr>
          <w:rFonts w:ascii="Calibri" w:hAnsi="Calibri"/>
          <w:sz w:val="24"/>
          <w:szCs w:val="24"/>
        </w:rPr>
        <w:t xml:space="preserve">for lower-income groups </w:t>
      </w:r>
      <w:r w:rsidR="003C7C30">
        <w:rPr>
          <w:rFonts w:ascii="Calibri" w:hAnsi="Calibri"/>
          <w:sz w:val="24"/>
          <w:szCs w:val="24"/>
        </w:rPr>
        <w:t xml:space="preserve">in </w:t>
      </w:r>
      <w:r w:rsidR="003779FD">
        <w:rPr>
          <w:rFonts w:ascii="Calibri" w:hAnsi="Calibri"/>
          <w:sz w:val="24"/>
          <w:szCs w:val="24"/>
        </w:rPr>
        <w:t>1952</w:t>
      </w:r>
      <w:r w:rsidR="005171B0">
        <w:rPr>
          <w:rFonts w:ascii="Calibri" w:hAnsi="Calibri"/>
          <w:sz w:val="24"/>
          <w:szCs w:val="24"/>
        </w:rPr>
        <w:t>, and expanded to cover entire population in 1991</w:t>
      </w:r>
      <w:r w:rsidR="003C7C30">
        <w:rPr>
          <w:rFonts w:ascii="Calibri" w:hAnsi="Calibri"/>
          <w:sz w:val="24"/>
          <w:szCs w:val="24"/>
        </w:rPr>
        <w:t>)</w:t>
      </w:r>
      <w:r w:rsidR="005171B0">
        <w:rPr>
          <w:rFonts w:ascii="Calibri" w:hAnsi="Calibri"/>
          <w:sz w:val="24"/>
          <w:szCs w:val="24"/>
        </w:rPr>
        <w:t>; or free primary health care for low-income groups (introduced in 1970)</w:t>
      </w:r>
      <w:r w:rsidRPr="00900254">
        <w:rPr>
          <w:rFonts w:ascii="Calibri" w:hAnsi="Calibri"/>
          <w:sz w:val="24"/>
          <w:szCs w:val="24"/>
        </w:rPr>
        <w:t xml:space="preserve">. </w:t>
      </w:r>
      <w:r w:rsidR="002313BE">
        <w:rPr>
          <w:rFonts w:ascii="Calibri" w:hAnsi="Calibri"/>
          <w:sz w:val="24"/>
          <w:szCs w:val="24"/>
        </w:rPr>
        <w:t xml:space="preserve">The cost of secondary schooling was prohibitive for children of most farmers and working-class parents, and only a very small proportion of them were able to access scholarships for secondary schools, or educational opportunities in institutions that focused on training for the religious vocations (Keenan, 2006). </w:t>
      </w:r>
      <w:r w:rsidRPr="00900254">
        <w:rPr>
          <w:rFonts w:ascii="Calibri" w:hAnsi="Calibri"/>
          <w:sz w:val="24"/>
          <w:szCs w:val="24"/>
        </w:rPr>
        <w:t xml:space="preserve">Thus effects of early life socioeconomic status and health may be particularly strong </w:t>
      </w:r>
      <w:r w:rsidR="003C7C30">
        <w:rPr>
          <w:rFonts w:ascii="Calibri" w:hAnsi="Calibri"/>
          <w:sz w:val="24"/>
          <w:szCs w:val="24"/>
        </w:rPr>
        <w:t xml:space="preserve">for these cohorts </w:t>
      </w:r>
      <w:r w:rsidRPr="00900254">
        <w:rPr>
          <w:rFonts w:ascii="Calibri" w:hAnsi="Calibri"/>
          <w:sz w:val="24"/>
          <w:szCs w:val="24"/>
        </w:rPr>
        <w:t xml:space="preserve">because </w:t>
      </w:r>
      <w:r w:rsidR="003C7C30">
        <w:rPr>
          <w:rFonts w:ascii="Calibri" w:hAnsi="Calibri"/>
          <w:sz w:val="24"/>
          <w:szCs w:val="24"/>
        </w:rPr>
        <w:t>key</w:t>
      </w:r>
      <w:r w:rsidR="003C7C30" w:rsidRPr="00900254">
        <w:rPr>
          <w:rFonts w:ascii="Calibri" w:hAnsi="Calibri"/>
          <w:sz w:val="24"/>
          <w:szCs w:val="24"/>
        </w:rPr>
        <w:t xml:space="preserve"> </w:t>
      </w:r>
      <w:r w:rsidRPr="00900254">
        <w:rPr>
          <w:rFonts w:ascii="Calibri" w:hAnsi="Calibri"/>
          <w:sz w:val="24"/>
          <w:szCs w:val="24"/>
        </w:rPr>
        <w:t>welfare state measures were not available as potential mechanisms for evening out life chances</w:t>
      </w:r>
      <w:r w:rsidR="003C7C30">
        <w:rPr>
          <w:rFonts w:ascii="Calibri" w:hAnsi="Calibri"/>
          <w:sz w:val="24"/>
          <w:szCs w:val="24"/>
        </w:rPr>
        <w:t xml:space="preserve"> in the early stages of their life course</w:t>
      </w:r>
      <w:r w:rsidRPr="00900254">
        <w:rPr>
          <w:rFonts w:ascii="Calibri" w:hAnsi="Calibri"/>
          <w:sz w:val="24"/>
          <w:szCs w:val="24"/>
        </w:rPr>
        <w:t xml:space="preserve">. In addition, marital status may be a particularly important link between early and later-life experiences in these cohorts because a substantial portion of them followed the traditional Irish marriage pattern (Kennedy, 1973) and never married. Factors producing high rates of non-marriage in Ireland differed for men and women. Given limited employment opportunities before 1950, marriage was </w:t>
      </w:r>
      <w:r w:rsidR="00FB6474">
        <w:rPr>
          <w:rFonts w:ascii="Calibri" w:hAnsi="Calibri"/>
          <w:sz w:val="24"/>
          <w:szCs w:val="24"/>
        </w:rPr>
        <w:t xml:space="preserve">typically </w:t>
      </w:r>
      <w:r w:rsidRPr="00900254">
        <w:rPr>
          <w:rFonts w:ascii="Calibri" w:hAnsi="Calibri"/>
          <w:sz w:val="24"/>
          <w:szCs w:val="24"/>
        </w:rPr>
        <w:t xml:space="preserve">not possible for </w:t>
      </w:r>
      <w:r w:rsidR="003C7C30">
        <w:rPr>
          <w:rFonts w:ascii="Calibri" w:hAnsi="Calibri"/>
          <w:sz w:val="24"/>
          <w:szCs w:val="24"/>
        </w:rPr>
        <w:t xml:space="preserve">rural </w:t>
      </w:r>
      <w:r w:rsidRPr="00900254">
        <w:rPr>
          <w:rFonts w:ascii="Calibri" w:hAnsi="Calibri"/>
          <w:sz w:val="24"/>
          <w:szCs w:val="24"/>
        </w:rPr>
        <w:t>men who were not in line to inherit the family farm.  Women, in contrast to many other European countries</w:t>
      </w:r>
      <w:r w:rsidR="003C7C30">
        <w:rPr>
          <w:rFonts w:ascii="Calibri" w:hAnsi="Calibri"/>
          <w:sz w:val="24"/>
          <w:szCs w:val="24"/>
        </w:rPr>
        <w:t>,</w:t>
      </w:r>
      <w:r w:rsidRPr="00900254">
        <w:rPr>
          <w:rFonts w:ascii="Calibri" w:hAnsi="Calibri"/>
          <w:sz w:val="24"/>
          <w:szCs w:val="24"/>
        </w:rPr>
        <w:t xml:space="preserve"> were more likely to </w:t>
      </w:r>
      <w:r w:rsidRPr="00900254">
        <w:rPr>
          <w:rFonts w:ascii="Calibri" w:hAnsi="Calibri"/>
          <w:sz w:val="24"/>
          <w:szCs w:val="24"/>
        </w:rPr>
        <w:lastRenderedPageBreak/>
        <w:t xml:space="preserve">complete their schooling and to emigrate than men (MacCurtain, </w:t>
      </w:r>
      <w:r w:rsidR="003C7C30">
        <w:rPr>
          <w:rFonts w:ascii="Calibri" w:hAnsi="Calibri"/>
          <w:sz w:val="24"/>
          <w:szCs w:val="24"/>
        </w:rPr>
        <w:t>&amp;</w:t>
      </w:r>
      <w:r w:rsidR="003C7C30" w:rsidRPr="00900254">
        <w:rPr>
          <w:rFonts w:ascii="Calibri" w:hAnsi="Calibri"/>
          <w:sz w:val="24"/>
          <w:szCs w:val="24"/>
        </w:rPr>
        <w:t xml:space="preserve"> </w:t>
      </w:r>
      <w:r w:rsidRPr="00900254">
        <w:rPr>
          <w:rFonts w:ascii="Calibri" w:hAnsi="Calibri"/>
          <w:sz w:val="24"/>
          <w:szCs w:val="24"/>
        </w:rPr>
        <w:t xml:space="preserve">Ó Corráin, 1979). Married women were excluded from public employment between 1932 </w:t>
      </w:r>
      <w:r w:rsidR="003C7C30">
        <w:rPr>
          <w:rFonts w:ascii="Calibri" w:hAnsi="Calibri"/>
          <w:sz w:val="24"/>
          <w:szCs w:val="24"/>
        </w:rPr>
        <w:t>and</w:t>
      </w:r>
      <w:r w:rsidRPr="00900254">
        <w:rPr>
          <w:rFonts w:ascii="Calibri" w:hAnsi="Calibri"/>
          <w:sz w:val="24"/>
          <w:szCs w:val="24"/>
        </w:rPr>
        <w:t xml:space="preserve"> 1973, providing some incentive for more educated women to remain single (Kennedy, 1973</w:t>
      </w:r>
      <w:r w:rsidR="003C7C30">
        <w:rPr>
          <w:rFonts w:ascii="Calibri" w:hAnsi="Calibri"/>
          <w:sz w:val="24"/>
          <w:szCs w:val="24"/>
        </w:rPr>
        <w:t>;</w:t>
      </w:r>
      <w:r w:rsidRPr="00900254">
        <w:rPr>
          <w:rFonts w:ascii="Calibri" w:hAnsi="Calibri"/>
          <w:sz w:val="24"/>
          <w:szCs w:val="24"/>
        </w:rPr>
        <w:t xml:space="preserve"> MacCurtain, </w:t>
      </w:r>
      <w:r w:rsidR="003C7C30">
        <w:rPr>
          <w:rFonts w:ascii="Calibri" w:hAnsi="Calibri"/>
          <w:sz w:val="24"/>
          <w:szCs w:val="24"/>
        </w:rPr>
        <w:t>&amp;</w:t>
      </w:r>
      <w:r w:rsidR="003C7C30" w:rsidRPr="00900254">
        <w:rPr>
          <w:rFonts w:ascii="Calibri" w:hAnsi="Calibri"/>
          <w:sz w:val="24"/>
          <w:szCs w:val="24"/>
        </w:rPr>
        <w:t xml:space="preserve"> </w:t>
      </w:r>
      <w:r w:rsidRPr="00900254">
        <w:rPr>
          <w:rFonts w:ascii="Calibri" w:hAnsi="Calibri"/>
          <w:sz w:val="24"/>
          <w:szCs w:val="24"/>
        </w:rPr>
        <w:t xml:space="preserve">Ó Corráin, 1979). </w:t>
      </w:r>
      <w:r>
        <w:rPr>
          <w:rFonts w:ascii="Calibri" w:hAnsi="Calibri"/>
          <w:sz w:val="24"/>
          <w:szCs w:val="24"/>
        </w:rPr>
        <w:t>Different marital patterns for men and women, together with large differences in the rate of later-life widowhood suggest the possibility of different life course patterning of loneliness by gender.</w:t>
      </w:r>
    </w:p>
    <w:p w:rsidR="00565897" w:rsidRDefault="00565897">
      <w:pPr>
        <w:autoSpaceDE w:val="0"/>
        <w:autoSpaceDN w:val="0"/>
        <w:adjustRightInd w:val="0"/>
        <w:spacing w:after="0" w:line="480" w:lineRule="auto"/>
        <w:rPr>
          <w:rFonts w:ascii="Calibri" w:hAnsi="Calibri"/>
          <w:b/>
          <w:sz w:val="24"/>
          <w:szCs w:val="24"/>
        </w:rPr>
      </w:pPr>
    </w:p>
    <w:p w:rsidR="00565897" w:rsidRDefault="00C678E8">
      <w:pPr>
        <w:autoSpaceDE w:val="0"/>
        <w:autoSpaceDN w:val="0"/>
        <w:adjustRightInd w:val="0"/>
        <w:spacing w:after="0" w:line="480" w:lineRule="auto"/>
        <w:rPr>
          <w:rFonts w:ascii="Calibri" w:hAnsi="Calibri"/>
          <w:b/>
          <w:sz w:val="24"/>
          <w:szCs w:val="24"/>
        </w:rPr>
      </w:pPr>
      <w:r w:rsidRPr="00900254">
        <w:rPr>
          <w:rFonts w:ascii="Calibri" w:hAnsi="Calibri"/>
          <w:b/>
          <w:sz w:val="24"/>
          <w:szCs w:val="24"/>
        </w:rPr>
        <w:t xml:space="preserve">Design and Methods </w:t>
      </w:r>
    </w:p>
    <w:p w:rsidR="00565897" w:rsidRDefault="00C678E8">
      <w:pPr>
        <w:autoSpaceDE w:val="0"/>
        <w:autoSpaceDN w:val="0"/>
        <w:adjustRightInd w:val="0"/>
        <w:spacing w:after="0" w:line="480" w:lineRule="auto"/>
        <w:rPr>
          <w:rFonts w:ascii="Calibri" w:hAnsi="Calibri"/>
          <w:i/>
          <w:sz w:val="24"/>
          <w:szCs w:val="24"/>
        </w:rPr>
      </w:pPr>
      <w:r w:rsidRPr="00900254">
        <w:rPr>
          <w:rFonts w:ascii="Calibri" w:hAnsi="Calibri"/>
          <w:i/>
          <w:sz w:val="24"/>
          <w:szCs w:val="24"/>
        </w:rPr>
        <w:t>Sample</w:t>
      </w:r>
    </w:p>
    <w:p w:rsidR="00565897" w:rsidRDefault="00C678E8">
      <w:pPr>
        <w:autoSpaceDE w:val="0"/>
        <w:autoSpaceDN w:val="0"/>
        <w:adjustRightInd w:val="0"/>
        <w:spacing w:after="0" w:line="480" w:lineRule="auto"/>
        <w:rPr>
          <w:rFonts w:ascii="Calibri" w:hAnsi="Calibri"/>
          <w:b/>
          <w:sz w:val="24"/>
          <w:szCs w:val="24"/>
        </w:rPr>
      </w:pPr>
      <w:r w:rsidRPr="00900254">
        <w:rPr>
          <w:rFonts w:ascii="Calibri" w:hAnsi="Calibri"/>
          <w:sz w:val="24"/>
          <w:szCs w:val="24"/>
        </w:rPr>
        <w:t xml:space="preserve">Data come from the first wave of the Irish Longitudinal Study on Ageing (TILDA). TILDA is a nationally representative sample of 8,504 persons aged 50 and over living in Ireland.  TILDA was designed to mirror other longitudinal studies on aging such as the Health and Retirement Study (HRS) in the United States, the English Longitudinal Study on Ageing (ELSA), and the Survey of Health, Ageing and Retirement in Europe (SHARE) </w:t>
      </w:r>
      <w:r>
        <w:rPr>
          <w:rFonts w:ascii="Calibri" w:hAnsi="Calibri"/>
          <w:sz w:val="24"/>
          <w:szCs w:val="24"/>
        </w:rPr>
        <w:t>(Whelan &amp; Savva, 2013). F</w:t>
      </w:r>
      <w:r w:rsidRPr="00900254">
        <w:rPr>
          <w:rFonts w:ascii="Calibri" w:hAnsi="Calibri"/>
          <w:sz w:val="24"/>
          <w:szCs w:val="24"/>
        </w:rPr>
        <w:t xml:space="preserve">ieldwork for Wave 1 was completed between late 2009 and mid-2011. </w:t>
      </w:r>
      <w:r w:rsidRPr="00900254">
        <w:rPr>
          <w:rFonts w:ascii="Calibri" w:hAnsi="Calibri"/>
          <w:color w:val="000000"/>
          <w:sz w:val="24"/>
          <w:szCs w:val="24"/>
        </w:rPr>
        <w:t xml:space="preserve">Data were collected using three modes: a face-to-face personal interview, a leave-behind self-completion questionnaire, and a later clinic-based health assessment.  Our analysis uses data from the first two modes. The response rate for the face-to-face interview was 62%. Of those, 83% returned the self-completion questionnaire which included the loneliness scale analyzed here.  </w:t>
      </w:r>
      <w:r w:rsidRPr="00900254">
        <w:rPr>
          <w:rFonts w:ascii="Calibri" w:hAnsi="Calibri"/>
          <w:sz w:val="24"/>
          <w:szCs w:val="24"/>
        </w:rPr>
        <w:t xml:space="preserve">Analysis is limited to respondents aged 65 and older.  There are 3,517 respondents over age 65 in TILDA, of whom 2,810 returned the self-completion questionnaire with the loneliness scale completed.  Of the 2,810 who provided the loneliness scale, </w:t>
      </w:r>
      <w:r w:rsidRPr="00900254">
        <w:rPr>
          <w:rFonts w:ascii="Calibri" w:hAnsi="Calibri"/>
          <w:sz w:val="24"/>
          <w:szCs w:val="24"/>
        </w:rPr>
        <w:lastRenderedPageBreak/>
        <w:t>six percent are lost to missing data, leaving a final sample size of 2,645, consisting of 1,299 men and 1,346 women</w:t>
      </w:r>
      <w:r w:rsidRPr="00900254">
        <w:rPr>
          <w:rFonts w:ascii="Calibri" w:hAnsi="Calibri"/>
          <w:color w:val="000000"/>
          <w:sz w:val="24"/>
          <w:szCs w:val="24"/>
        </w:rPr>
        <w:t xml:space="preserve">. </w:t>
      </w:r>
    </w:p>
    <w:p w:rsidR="00565897" w:rsidRDefault="00565897">
      <w:pPr>
        <w:autoSpaceDE w:val="0"/>
        <w:autoSpaceDN w:val="0"/>
        <w:adjustRightInd w:val="0"/>
        <w:spacing w:after="0" w:line="480" w:lineRule="auto"/>
        <w:rPr>
          <w:rFonts w:ascii="Calibri" w:hAnsi="Calibri"/>
          <w:i/>
          <w:sz w:val="24"/>
          <w:szCs w:val="24"/>
        </w:rPr>
      </w:pPr>
    </w:p>
    <w:p w:rsidR="00565897" w:rsidRDefault="00C678E8">
      <w:pPr>
        <w:autoSpaceDE w:val="0"/>
        <w:autoSpaceDN w:val="0"/>
        <w:adjustRightInd w:val="0"/>
        <w:spacing w:after="0" w:line="480" w:lineRule="auto"/>
        <w:rPr>
          <w:rFonts w:ascii="Calibri" w:hAnsi="Calibri"/>
          <w:i/>
          <w:sz w:val="24"/>
          <w:szCs w:val="24"/>
        </w:rPr>
      </w:pPr>
      <w:r w:rsidRPr="00900254">
        <w:rPr>
          <w:rFonts w:ascii="Calibri" w:hAnsi="Calibri"/>
          <w:i/>
          <w:sz w:val="24"/>
          <w:szCs w:val="24"/>
        </w:rPr>
        <w:t>Measures</w:t>
      </w:r>
    </w:p>
    <w:p w:rsidR="00565897" w:rsidRDefault="00C678E8">
      <w:pPr>
        <w:autoSpaceDE w:val="0"/>
        <w:autoSpaceDN w:val="0"/>
        <w:adjustRightInd w:val="0"/>
        <w:spacing w:after="0" w:line="480" w:lineRule="auto"/>
        <w:rPr>
          <w:rFonts w:ascii="Calibri" w:hAnsi="Calibri"/>
          <w:sz w:val="24"/>
          <w:szCs w:val="24"/>
        </w:rPr>
      </w:pPr>
      <w:r w:rsidRPr="00900254">
        <w:rPr>
          <w:rFonts w:ascii="Calibri" w:hAnsi="Calibri"/>
          <w:i/>
          <w:sz w:val="24"/>
          <w:szCs w:val="24"/>
        </w:rPr>
        <w:t xml:space="preserve">Outcome variable </w:t>
      </w:r>
      <w:r w:rsidR="008D4D75">
        <w:rPr>
          <w:rFonts w:ascii="Calibri" w:hAnsi="Calibri"/>
          <w:i/>
          <w:sz w:val="24"/>
          <w:szCs w:val="24"/>
        </w:rPr>
        <w:t xml:space="preserve"> </w:t>
      </w:r>
      <w:r w:rsidRPr="00900254">
        <w:rPr>
          <w:rFonts w:ascii="Calibri" w:hAnsi="Calibri"/>
          <w:i/>
          <w:sz w:val="24"/>
          <w:szCs w:val="24"/>
        </w:rPr>
        <w:t xml:space="preserve">– </w:t>
      </w:r>
      <w:r w:rsidR="008D4D75">
        <w:rPr>
          <w:rFonts w:ascii="Calibri" w:hAnsi="Calibri"/>
          <w:i/>
          <w:sz w:val="24"/>
          <w:szCs w:val="24"/>
        </w:rPr>
        <w:t xml:space="preserve">  </w:t>
      </w:r>
      <w:r w:rsidRPr="00900254">
        <w:rPr>
          <w:rFonts w:ascii="Calibri" w:hAnsi="Calibri"/>
          <w:i/>
          <w:sz w:val="24"/>
          <w:szCs w:val="24"/>
        </w:rPr>
        <w:t>Loneliness</w:t>
      </w:r>
      <w:r w:rsidRPr="00900254">
        <w:rPr>
          <w:rFonts w:ascii="Calibri" w:hAnsi="Calibri"/>
          <w:sz w:val="24"/>
          <w:szCs w:val="24"/>
        </w:rPr>
        <w:t>. Loneliness was assessed using a modified version of the UCLA Loneliness Scale (Russel</w:t>
      </w:r>
      <w:r>
        <w:rPr>
          <w:rFonts w:ascii="Calibri" w:hAnsi="Calibri"/>
          <w:sz w:val="24"/>
          <w:szCs w:val="24"/>
        </w:rPr>
        <w:t>l</w:t>
      </w:r>
      <w:r w:rsidRPr="00900254">
        <w:rPr>
          <w:rFonts w:ascii="Calibri" w:hAnsi="Calibri"/>
          <w:sz w:val="24"/>
          <w:szCs w:val="24"/>
        </w:rPr>
        <w:t xml:space="preserve"> et al., 1980), including four negatively-worded questions (e.g., “How often do you feel left out?”) and one positively-worded question (“How often do you feel in tune with the people around you?”), each with a three-point response scale of “hardly ever or never”; “some of the time”; or “often”</w:t>
      </w:r>
      <w:r>
        <w:rPr>
          <w:rFonts w:ascii="Calibri" w:hAnsi="Calibri"/>
          <w:sz w:val="24"/>
          <w:szCs w:val="24"/>
        </w:rPr>
        <w:t xml:space="preserve"> coded 0, 1, 2</w:t>
      </w:r>
      <w:r w:rsidRPr="00900254">
        <w:rPr>
          <w:rFonts w:ascii="Calibri" w:hAnsi="Calibri"/>
          <w:sz w:val="24"/>
          <w:szCs w:val="24"/>
        </w:rPr>
        <w:t>. The responses to the five items are summed, with higher scores signifying greater loneliness. The average score for older men in Ireland is 1.9 (SD=2.1) and the average for older women is 2.2 (SD=2.1) on a scale from 0 (not lonely) to 10 (extremely lonely). For the present study, the alpha reliability coefficient is .78.</w:t>
      </w:r>
    </w:p>
    <w:p w:rsidR="00565897" w:rsidRDefault="00C678E8">
      <w:pPr>
        <w:autoSpaceDE w:val="0"/>
        <w:autoSpaceDN w:val="0"/>
        <w:adjustRightInd w:val="0"/>
        <w:spacing w:after="0" w:line="480" w:lineRule="auto"/>
        <w:rPr>
          <w:rFonts w:ascii="Calibri" w:hAnsi="Calibri"/>
          <w:sz w:val="24"/>
          <w:szCs w:val="24"/>
        </w:rPr>
      </w:pPr>
      <w:r>
        <w:rPr>
          <w:rFonts w:ascii="Calibri" w:hAnsi="Calibri"/>
          <w:sz w:val="24"/>
          <w:szCs w:val="24"/>
        </w:rPr>
        <w:t>We compared loneliness means from TILDA with those from the 2004-2005 ELSA and the 2006 HRS described above.  Only three variables from the UCLA scale were common to all three studies.  For this subset of the questions, the means for TILDA, ELSA, and HRS, respectively, were 1.04, 1.00, and 1.24 for men and 1.21, 1.34, and 1.49 for women.  TILDA results are quite similar to those of ELSA, and the HRS scores are higher.  These differences may indicate true differences among the samples or may reflect different contexts in which the questions were asked.</w:t>
      </w:r>
    </w:p>
    <w:p w:rsidR="00565897" w:rsidRDefault="00565897">
      <w:pPr>
        <w:autoSpaceDE w:val="0"/>
        <w:autoSpaceDN w:val="0"/>
        <w:adjustRightInd w:val="0"/>
        <w:spacing w:after="0" w:line="480" w:lineRule="auto"/>
        <w:rPr>
          <w:rFonts w:ascii="Calibri" w:hAnsi="Calibri"/>
          <w:i/>
          <w:sz w:val="24"/>
          <w:szCs w:val="24"/>
        </w:rPr>
      </w:pPr>
    </w:p>
    <w:p w:rsidR="00565897" w:rsidRDefault="00C678E8">
      <w:pPr>
        <w:autoSpaceDE w:val="0"/>
        <w:autoSpaceDN w:val="0"/>
        <w:adjustRightInd w:val="0"/>
        <w:spacing w:after="0" w:line="480" w:lineRule="auto"/>
        <w:rPr>
          <w:rFonts w:ascii="Calibri" w:hAnsi="Calibri"/>
          <w:sz w:val="24"/>
          <w:szCs w:val="24"/>
        </w:rPr>
      </w:pPr>
      <w:r w:rsidRPr="00900254">
        <w:rPr>
          <w:rFonts w:ascii="Calibri" w:hAnsi="Calibri"/>
          <w:i/>
          <w:iCs/>
          <w:color w:val="141413"/>
          <w:sz w:val="24"/>
          <w:szCs w:val="24"/>
        </w:rPr>
        <w:t>Independent variables</w:t>
      </w:r>
      <w:r w:rsidR="008D4D75">
        <w:rPr>
          <w:rFonts w:ascii="Calibri" w:hAnsi="Calibri"/>
          <w:i/>
          <w:iCs/>
          <w:color w:val="141413"/>
          <w:sz w:val="24"/>
          <w:szCs w:val="24"/>
        </w:rPr>
        <w:t xml:space="preserve"> </w:t>
      </w:r>
      <w:r w:rsidRPr="00900254">
        <w:rPr>
          <w:rFonts w:ascii="Calibri" w:hAnsi="Calibri"/>
          <w:i/>
          <w:iCs/>
          <w:color w:val="141413"/>
          <w:sz w:val="24"/>
          <w:szCs w:val="24"/>
        </w:rPr>
        <w:t xml:space="preserve"> </w:t>
      </w:r>
      <w:r w:rsidR="008D4D75">
        <w:rPr>
          <w:rFonts w:ascii="Calibri" w:hAnsi="Calibri"/>
          <w:i/>
          <w:iCs/>
          <w:color w:val="141413"/>
          <w:sz w:val="24"/>
          <w:szCs w:val="24"/>
        </w:rPr>
        <w:t>-</w:t>
      </w:r>
      <w:r w:rsidRPr="00900254">
        <w:rPr>
          <w:rFonts w:ascii="Calibri" w:hAnsi="Calibri"/>
          <w:i/>
          <w:iCs/>
          <w:color w:val="141413"/>
          <w:sz w:val="24"/>
          <w:szCs w:val="24"/>
        </w:rPr>
        <w:t xml:space="preserve"> </w:t>
      </w:r>
      <w:r w:rsidR="008D4D75">
        <w:rPr>
          <w:rFonts w:ascii="Calibri" w:hAnsi="Calibri"/>
          <w:i/>
          <w:iCs/>
          <w:color w:val="141413"/>
          <w:sz w:val="24"/>
          <w:szCs w:val="24"/>
        </w:rPr>
        <w:t xml:space="preserve"> </w:t>
      </w:r>
      <w:r w:rsidRPr="00900254">
        <w:rPr>
          <w:rFonts w:ascii="Calibri" w:hAnsi="Calibri"/>
          <w:i/>
          <w:iCs/>
          <w:color w:val="141413"/>
          <w:sz w:val="24"/>
          <w:szCs w:val="24"/>
        </w:rPr>
        <w:t>Demographic variables</w:t>
      </w:r>
      <w:r w:rsidRPr="00900254">
        <w:rPr>
          <w:rFonts w:ascii="Calibri" w:hAnsi="Calibri"/>
          <w:color w:val="141413"/>
          <w:sz w:val="24"/>
          <w:szCs w:val="24"/>
        </w:rPr>
        <w:t xml:space="preserve">. Current marital status is represented by four dichotomous variables (never married, currently married, </w:t>
      </w:r>
      <w:r w:rsidRPr="00900254">
        <w:rPr>
          <w:rFonts w:ascii="Calibri" w:hAnsi="Calibri"/>
          <w:color w:val="141413"/>
          <w:sz w:val="24"/>
          <w:szCs w:val="24"/>
        </w:rPr>
        <w:lastRenderedPageBreak/>
        <w:t xml:space="preserve">divorced/separated and widowed). Currently married is the reference category. Age is a continuous variable. Current </w:t>
      </w:r>
      <w:r w:rsidRPr="00900254">
        <w:rPr>
          <w:rFonts w:ascii="Calibri" w:hAnsi="Calibri"/>
          <w:sz w:val="24"/>
          <w:szCs w:val="24"/>
        </w:rPr>
        <w:t xml:space="preserve">residential location is coded by three dichotomous variables (Dublin, city or town other than Dublin, and rural Ireland) with Dublin as the reference category. </w:t>
      </w:r>
    </w:p>
    <w:p w:rsidR="00565897" w:rsidRDefault="00565897">
      <w:pPr>
        <w:autoSpaceDE w:val="0"/>
        <w:autoSpaceDN w:val="0"/>
        <w:adjustRightInd w:val="0"/>
        <w:spacing w:after="0" w:line="480" w:lineRule="auto"/>
        <w:rPr>
          <w:rFonts w:ascii="Calibri" w:hAnsi="Calibri"/>
          <w:sz w:val="24"/>
          <w:szCs w:val="24"/>
        </w:rPr>
      </w:pPr>
    </w:p>
    <w:p w:rsidR="00565897" w:rsidRDefault="00C678E8">
      <w:pPr>
        <w:autoSpaceDE w:val="0"/>
        <w:autoSpaceDN w:val="0"/>
        <w:adjustRightInd w:val="0"/>
        <w:spacing w:after="0" w:line="480" w:lineRule="auto"/>
        <w:rPr>
          <w:rFonts w:ascii="Calibri" w:hAnsi="Calibri"/>
          <w:sz w:val="24"/>
          <w:szCs w:val="24"/>
        </w:rPr>
      </w:pPr>
      <w:r w:rsidRPr="00900254">
        <w:rPr>
          <w:rFonts w:ascii="Calibri" w:hAnsi="Calibri"/>
          <w:i/>
          <w:iCs/>
          <w:color w:val="141413"/>
          <w:sz w:val="24"/>
          <w:szCs w:val="24"/>
        </w:rPr>
        <w:t>Independent variables</w:t>
      </w:r>
      <w:r w:rsidR="009446C8">
        <w:rPr>
          <w:rFonts w:ascii="Calibri" w:hAnsi="Calibri"/>
          <w:i/>
          <w:iCs/>
          <w:color w:val="141413"/>
          <w:sz w:val="24"/>
          <w:szCs w:val="24"/>
        </w:rPr>
        <w:t xml:space="preserve">  </w:t>
      </w:r>
      <w:r w:rsidRPr="00900254">
        <w:rPr>
          <w:rFonts w:ascii="Calibri" w:hAnsi="Calibri"/>
          <w:i/>
          <w:iCs/>
          <w:color w:val="141413"/>
          <w:sz w:val="24"/>
          <w:szCs w:val="24"/>
        </w:rPr>
        <w:t xml:space="preserve">-  </w:t>
      </w:r>
      <w:r w:rsidRPr="00900254">
        <w:rPr>
          <w:rFonts w:ascii="Calibri" w:hAnsi="Calibri"/>
          <w:i/>
          <w:color w:val="141413"/>
          <w:sz w:val="24"/>
          <w:szCs w:val="24"/>
        </w:rPr>
        <w:t>Early life circumstances.</w:t>
      </w:r>
      <w:r w:rsidRPr="00900254">
        <w:rPr>
          <w:rFonts w:ascii="Calibri" w:hAnsi="Calibri"/>
          <w:sz w:val="24"/>
          <w:szCs w:val="24"/>
          <w:lang w:val="en-US"/>
        </w:rPr>
        <w:t xml:space="preserve"> </w:t>
      </w:r>
      <w:r w:rsidRPr="00900254">
        <w:rPr>
          <w:rFonts w:ascii="Calibri" w:hAnsi="Calibri"/>
          <w:color w:val="141413"/>
          <w:sz w:val="24"/>
          <w:szCs w:val="24"/>
        </w:rPr>
        <w:t xml:space="preserve">Early life circumstances assessed childhood adversity using three measures of family socioeconomic conditions, a measure of childhood health, and a measure of parental substance abuse. The childhood socioeconomic measures are father’s social class, family’s relative income level, and residential location.  </w:t>
      </w:r>
      <w:r w:rsidRPr="00900254">
        <w:rPr>
          <w:rFonts w:ascii="Calibri" w:hAnsi="Calibri"/>
          <w:sz w:val="24"/>
          <w:szCs w:val="24"/>
        </w:rPr>
        <w:t xml:space="preserve">Father’s social class is measured by the respondent’s report of father’s main occupation during childhood, coded using the Irish Census Social Class Scale, as managerial or professional (the reference category), non-manual, manual, and farmer </w:t>
      </w:r>
      <w:r w:rsidR="00565897" w:rsidRPr="00900254">
        <w:rPr>
          <w:rFonts w:ascii="Calibri" w:hAnsi="Calibri"/>
          <w:sz w:val="24"/>
          <w:szCs w:val="24"/>
        </w:rPr>
        <w:fldChar w:fldCharType="begin"/>
      </w:r>
      <w:r w:rsidRPr="00900254">
        <w:rPr>
          <w:rFonts w:ascii="Calibri" w:hAnsi="Calibri"/>
          <w:sz w:val="24"/>
          <w:szCs w:val="24"/>
        </w:rPr>
        <w:instrText xml:space="preserve"> ADDIN EN.CITE &lt;EndNote&gt;&lt;Cite&gt;&lt;Year&gt;2006&lt;/Year&gt;&lt;RecNum&gt;226&lt;/RecNum&gt;&lt;DisplayText&gt;(&amp;quot;Appendix 2 of Census 2006 &amp;quot;, 2006)&lt;/DisplayText&gt;&lt;record&gt;&lt;rec-number&gt;226&lt;/rec-number&gt;&lt;foreign-keys&gt;&lt;key app="EN" db-id="xstaw9exqdxv0zeazr8vdrp6ed0z0z0pa5z5"&gt;226&lt;/key&gt;&lt;/foreign-keys&gt;&lt;ref-type name="Web Page"&gt;12&lt;/ref-type&gt;&lt;contributors&gt;&lt;/contributors&gt;&lt;titles&gt;&lt;title&gt;Appendix 2 of Census 2006 &lt;/title&gt;&lt;/titles&gt;&lt;volume&gt;8&lt;/volume&gt;&lt;dates&gt;&lt;year&gt;2006&lt;/year&gt;&lt;/dates&gt;&lt;pub-location&gt;Dublin&lt;/pub-location&gt;&lt;urls&gt;&lt;related-urls&gt;&lt;url&gt;http://www.cso.ie/en/media/csoie/census/census2006results/volume8/appendix_2-7_definitions.pdf&lt;/url&gt;&lt;/related-urls&gt;&lt;/urls&gt;&lt;/record&gt;&lt;/Cite&gt;&lt;/EndNote&gt;</w:instrText>
      </w:r>
      <w:r w:rsidR="00565897" w:rsidRPr="00900254">
        <w:rPr>
          <w:rFonts w:ascii="Calibri" w:hAnsi="Calibri"/>
          <w:sz w:val="24"/>
          <w:szCs w:val="24"/>
        </w:rPr>
        <w:fldChar w:fldCharType="separate"/>
      </w:r>
      <w:r w:rsidRPr="00900254">
        <w:rPr>
          <w:rFonts w:ascii="Calibri" w:hAnsi="Calibri"/>
          <w:noProof/>
          <w:sz w:val="24"/>
          <w:szCs w:val="24"/>
        </w:rPr>
        <w:t>(Appendix 2 of Census 2006)</w:t>
      </w:r>
      <w:r w:rsidR="00565897" w:rsidRPr="00900254">
        <w:rPr>
          <w:rFonts w:ascii="Calibri" w:hAnsi="Calibri"/>
          <w:sz w:val="24"/>
          <w:szCs w:val="24"/>
        </w:rPr>
        <w:fldChar w:fldCharType="end"/>
      </w:r>
      <w:r w:rsidRPr="00900254">
        <w:rPr>
          <w:rFonts w:ascii="Calibri" w:hAnsi="Calibri"/>
          <w:sz w:val="24"/>
          <w:szCs w:val="24"/>
        </w:rPr>
        <w:t xml:space="preserve">. The family’s relative income level was assessed by asking whether the respondent’s childhood family was financially “pretty well off” (the reference category), “about average” or “poor.” Childhood residential location is included among socio-economic conditions because of the great disadvantages in rural areas in the early 20th century (although some inner city areas of Dublin were also characterised by extreme poverty). It is coded 1 for rural childhoods and 0 for those who grew up in a city or town. </w:t>
      </w:r>
    </w:p>
    <w:p w:rsidR="00565897" w:rsidRDefault="00565897">
      <w:pPr>
        <w:autoSpaceDE w:val="0"/>
        <w:autoSpaceDN w:val="0"/>
        <w:adjustRightInd w:val="0"/>
        <w:spacing w:after="0" w:line="480" w:lineRule="auto"/>
        <w:rPr>
          <w:rFonts w:ascii="Calibri" w:hAnsi="Calibri"/>
          <w:sz w:val="24"/>
          <w:szCs w:val="24"/>
        </w:rPr>
      </w:pPr>
    </w:p>
    <w:p w:rsidR="00565897" w:rsidRDefault="00C678E8">
      <w:pPr>
        <w:autoSpaceDE w:val="0"/>
        <w:autoSpaceDN w:val="0"/>
        <w:adjustRightInd w:val="0"/>
        <w:spacing w:after="0" w:line="480" w:lineRule="auto"/>
        <w:rPr>
          <w:rFonts w:ascii="Calibri" w:hAnsi="Calibri"/>
          <w:sz w:val="24"/>
          <w:szCs w:val="24"/>
        </w:rPr>
      </w:pPr>
      <w:r w:rsidRPr="00900254">
        <w:rPr>
          <w:rFonts w:ascii="Calibri" w:hAnsi="Calibri"/>
          <w:sz w:val="24"/>
          <w:szCs w:val="24"/>
        </w:rPr>
        <w:t>To measure poor childhood self-reported health, respondents were asked to rate their health before age 14 as “poor,” “fair,” “good,” or “excellent.” In this analysis, “poor,” coded 1, is contrasted with the combined other responses, coded 0.  A parental substance problem</w:t>
      </w:r>
      <w:r w:rsidRPr="00900254">
        <w:rPr>
          <w:rFonts w:ascii="Calibri" w:hAnsi="Calibri"/>
          <w:i/>
          <w:sz w:val="24"/>
          <w:szCs w:val="24"/>
        </w:rPr>
        <w:t xml:space="preserve"> </w:t>
      </w:r>
      <w:r w:rsidRPr="00900254">
        <w:rPr>
          <w:rFonts w:ascii="Calibri" w:hAnsi="Calibri"/>
          <w:sz w:val="24"/>
          <w:szCs w:val="24"/>
        </w:rPr>
        <w:t xml:space="preserve">was measured by the following question: “Before you </w:t>
      </w:r>
      <w:r w:rsidRPr="00900254">
        <w:rPr>
          <w:rFonts w:ascii="Calibri" w:hAnsi="Calibri"/>
          <w:sz w:val="24"/>
          <w:szCs w:val="24"/>
        </w:rPr>
        <w:lastRenderedPageBreak/>
        <w:t>were 18 years old, did either of your parents drink or use drugs so often that it caused problems in the family?” It is coded into three categories: yes, no, and question not answered.  “No” is the reference category. We retained a missing category in the analysis both to retain respondents we would otherwise lose and because not answering this question may contain information about childhood. Respondents may skip a question for many reasons, but when the topic is so sensitive, it is possible that being missing indicates the presence of substance abuse.  If this is the case, we would expect missing and yes responses to have similar associations with loneliness.</w:t>
      </w:r>
    </w:p>
    <w:p w:rsidR="00565897" w:rsidRDefault="00565897">
      <w:pPr>
        <w:autoSpaceDE w:val="0"/>
        <w:autoSpaceDN w:val="0"/>
        <w:adjustRightInd w:val="0"/>
        <w:spacing w:after="0" w:line="480" w:lineRule="auto"/>
        <w:rPr>
          <w:rFonts w:ascii="Calibri" w:hAnsi="Calibri"/>
          <w:i/>
          <w:sz w:val="24"/>
          <w:szCs w:val="24"/>
        </w:rPr>
      </w:pPr>
    </w:p>
    <w:p w:rsidR="00565897" w:rsidRDefault="00C678E8">
      <w:pPr>
        <w:autoSpaceDE w:val="0"/>
        <w:autoSpaceDN w:val="0"/>
        <w:adjustRightInd w:val="0"/>
        <w:spacing w:after="0" w:line="480" w:lineRule="auto"/>
        <w:rPr>
          <w:rFonts w:ascii="Calibri" w:hAnsi="Calibri"/>
          <w:color w:val="141413"/>
          <w:sz w:val="24"/>
          <w:szCs w:val="24"/>
        </w:rPr>
      </w:pPr>
      <w:r w:rsidRPr="00900254">
        <w:rPr>
          <w:rFonts w:ascii="Calibri" w:hAnsi="Calibri"/>
          <w:i/>
          <w:iCs/>
          <w:color w:val="141413"/>
          <w:sz w:val="24"/>
          <w:szCs w:val="24"/>
        </w:rPr>
        <w:t xml:space="preserve">Independent variables. - </w:t>
      </w:r>
      <w:r w:rsidRPr="00900254">
        <w:rPr>
          <w:rFonts w:ascii="Calibri" w:hAnsi="Calibri"/>
          <w:i/>
          <w:sz w:val="24"/>
          <w:szCs w:val="24"/>
        </w:rPr>
        <w:t>Early adult circumstances.</w:t>
      </w:r>
      <w:r w:rsidRPr="00900254">
        <w:rPr>
          <w:rFonts w:ascii="Calibri" w:hAnsi="Calibri"/>
          <w:sz w:val="24"/>
          <w:szCs w:val="24"/>
        </w:rPr>
        <w:t xml:space="preserve"> We consider educational attainment to be a measure of achievement in late childhood and early adulthood. Early school leaving was common in Ireland before the 1967 introduction of free secondary schooling.  The youngest respondents analyzed here were in their early twenties in 1967 and hence were not affected by this change.  </w:t>
      </w:r>
      <w:r w:rsidRPr="00900254">
        <w:rPr>
          <w:rFonts w:ascii="Calibri" w:hAnsi="Calibri"/>
          <w:color w:val="141413"/>
          <w:sz w:val="24"/>
          <w:szCs w:val="24"/>
        </w:rPr>
        <w:t xml:space="preserve">Educational attainment is a categorical variable measuring the respondent’s highest degree of education obtained: primary, secondary, or tertiary, with primary as the reference category.  </w:t>
      </w:r>
    </w:p>
    <w:p w:rsidR="00565897" w:rsidRDefault="00565897">
      <w:pPr>
        <w:autoSpaceDE w:val="0"/>
        <w:autoSpaceDN w:val="0"/>
        <w:adjustRightInd w:val="0"/>
        <w:spacing w:after="0" w:line="480" w:lineRule="auto"/>
        <w:rPr>
          <w:rFonts w:ascii="Calibri" w:hAnsi="Calibri"/>
          <w:i/>
          <w:sz w:val="24"/>
          <w:szCs w:val="24"/>
        </w:rPr>
      </w:pPr>
    </w:p>
    <w:p w:rsidR="00565897" w:rsidRDefault="00C678E8">
      <w:pPr>
        <w:autoSpaceDE w:val="0"/>
        <w:autoSpaceDN w:val="0"/>
        <w:adjustRightInd w:val="0"/>
        <w:spacing w:after="0" w:line="480" w:lineRule="auto"/>
        <w:rPr>
          <w:rFonts w:ascii="Calibri" w:hAnsi="Calibri"/>
          <w:i/>
          <w:sz w:val="24"/>
          <w:szCs w:val="24"/>
        </w:rPr>
      </w:pPr>
      <w:r w:rsidRPr="00900254">
        <w:rPr>
          <w:rFonts w:ascii="Calibri" w:hAnsi="Calibri"/>
          <w:i/>
          <w:iCs/>
          <w:color w:val="141413"/>
          <w:sz w:val="24"/>
          <w:szCs w:val="24"/>
        </w:rPr>
        <w:t xml:space="preserve">Independent variables. - </w:t>
      </w:r>
      <w:r w:rsidRPr="00900254">
        <w:rPr>
          <w:rFonts w:ascii="Calibri" w:hAnsi="Calibri"/>
          <w:i/>
          <w:sz w:val="24"/>
          <w:szCs w:val="24"/>
          <w:lang w:eastAsia="en-IE"/>
        </w:rPr>
        <w:t>Later life circumstances</w:t>
      </w:r>
      <w:r w:rsidRPr="00900254">
        <w:rPr>
          <w:rFonts w:ascii="Calibri" w:hAnsi="Calibri"/>
          <w:sz w:val="24"/>
          <w:szCs w:val="24"/>
          <w:lang w:eastAsia="en-IE"/>
        </w:rPr>
        <w:t>.</w:t>
      </w:r>
      <w:r w:rsidRPr="00900254">
        <w:rPr>
          <w:rFonts w:ascii="Calibri" w:hAnsi="Calibri"/>
          <w:color w:val="141413"/>
          <w:sz w:val="24"/>
          <w:szCs w:val="24"/>
        </w:rPr>
        <w:t xml:space="preserve"> Later life </w:t>
      </w:r>
      <w:r w:rsidRPr="00900254">
        <w:rPr>
          <w:rFonts w:ascii="Calibri" w:hAnsi="Calibri"/>
          <w:sz w:val="24"/>
          <w:szCs w:val="24"/>
        </w:rPr>
        <w:t xml:space="preserve">socioeconomic status was measured by current income and home ownership as a proxy for wealth. Income is total household income in euro. Those who did not answer the income question were asked a series of questions to identify their income bracket.  We imputed missing data on this variable using the mean of valid responses that fell in the same </w:t>
      </w:r>
      <w:r w:rsidRPr="00900254">
        <w:rPr>
          <w:rFonts w:ascii="Calibri" w:hAnsi="Calibri"/>
          <w:sz w:val="24"/>
          <w:szCs w:val="24"/>
        </w:rPr>
        <w:lastRenderedPageBreak/>
        <w:t>bracket as the missing respondent plus a random error with a variance equal to that of the valid responses.  Home ownership is a dichotomous variable that seeks to capture lifetime wealth. Current</w:t>
      </w:r>
      <w:r>
        <w:rPr>
          <w:rFonts w:ascii="Calibri" w:hAnsi="Calibri"/>
          <w:sz w:val="24"/>
          <w:szCs w:val="24"/>
        </w:rPr>
        <w:t xml:space="preserve"> health is measured with two variables. S</w:t>
      </w:r>
      <w:r w:rsidRPr="00900254">
        <w:rPr>
          <w:rFonts w:ascii="Calibri" w:hAnsi="Calibri"/>
          <w:sz w:val="24"/>
          <w:szCs w:val="24"/>
        </w:rPr>
        <w:t xml:space="preserve">elf-reported health equals 1 if the respondent reported “very poor” or “bad” health (vs. “good” or “excellent” health, the reference category). </w:t>
      </w:r>
      <w:r>
        <w:rPr>
          <w:rFonts w:ascii="Calibri" w:hAnsi="Calibri"/>
          <w:sz w:val="24"/>
          <w:szCs w:val="24"/>
        </w:rPr>
        <w:t xml:space="preserve"> IADL is measured as the number of Instrumental Activities of Daily Living with which the respondent reported having difficulty. The activities included in TILDA are preparing a hot meal, doing household chores, shopping, making phone calls, taking medications, and managing money.</w:t>
      </w:r>
      <w:r w:rsidR="00C47BF9">
        <w:rPr>
          <w:rFonts w:ascii="Calibri" w:hAnsi="Calibri"/>
          <w:sz w:val="24"/>
          <w:szCs w:val="24"/>
        </w:rPr>
        <w:t xml:space="preserve"> </w:t>
      </w:r>
      <w:r>
        <w:rPr>
          <w:rFonts w:ascii="Calibri" w:hAnsi="Calibri"/>
          <w:sz w:val="24"/>
          <w:szCs w:val="24"/>
        </w:rPr>
        <w:t>We also include a measure of the respondent’s current ability to drive, coded as never drove (reference category), past driver, and current driver.</w:t>
      </w:r>
    </w:p>
    <w:p w:rsidR="00565897" w:rsidRDefault="00565897">
      <w:pPr>
        <w:widowControl w:val="0"/>
        <w:autoSpaceDE w:val="0"/>
        <w:autoSpaceDN w:val="0"/>
        <w:adjustRightInd w:val="0"/>
        <w:spacing w:after="0" w:line="480" w:lineRule="auto"/>
        <w:rPr>
          <w:rFonts w:ascii="Calibri" w:hAnsi="Calibri"/>
          <w:b/>
          <w:sz w:val="24"/>
          <w:szCs w:val="24"/>
        </w:rPr>
      </w:pPr>
    </w:p>
    <w:p w:rsidR="00565897" w:rsidRDefault="00C678E8">
      <w:pPr>
        <w:widowControl w:val="0"/>
        <w:autoSpaceDE w:val="0"/>
        <w:autoSpaceDN w:val="0"/>
        <w:adjustRightInd w:val="0"/>
        <w:spacing w:after="0" w:line="480" w:lineRule="auto"/>
        <w:rPr>
          <w:rFonts w:ascii="Calibri" w:hAnsi="Calibri"/>
          <w:b/>
          <w:sz w:val="24"/>
          <w:szCs w:val="24"/>
        </w:rPr>
      </w:pPr>
      <w:r>
        <w:rPr>
          <w:rFonts w:ascii="Calibri" w:hAnsi="Calibri"/>
          <w:b/>
          <w:sz w:val="24"/>
          <w:szCs w:val="24"/>
        </w:rPr>
        <w:t>Model</w:t>
      </w:r>
    </w:p>
    <w:p w:rsidR="00565897" w:rsidRDefault="00C678E8">
      <w:pPr>
        <w:widowControl w:val="0"/>
        <w:autoSpaceDE w:val="0"/>
        <w:autoSpaceDN w:val="0"/>
        <w:adjustRightInd w:val="0"/>
        <w:spacing w:after="0" w:line="480" w:lineRule="auto"/>
        <w:rPr>
          <w:rFonts w:ascii="Calibri" w:hAnsi="Calibri"/>
          <w:sz w:val="24"/>
          <w:szCs w:val="24"/>
        </w:rPr>
      </w:pPr>
      <w:r>
        <w:rPr>
          <w:rFonts w:ascii="Calibri" w:hAnsi="Calibri"/>
          <w:sz w:val="24"/>
          <w:szCs w:val="24"/>
        </w:rPr>
        <w:t>We base our model for loneliness on typical time ordering of events. The presentation of the regression results in Tables 4 and 5 with their four equations reflect this conceptual model</w:t>
      </w:r>
      <w:r w:rsidR="00C47BF9">
        <w:rPr>
          <w:rFonts w:ascii="Calibri" w:hAnsi="Calibri"/>
          <w:sz w:val="24"/>
          <w:szCs w:val="24"/>
        </w:rPr>
        <w:t>.</w:t>
      </w:r>
    </w:p>
    <w:p w:rsidR="00565897" w:rsidRDefault="00C678E8">
      <w:pPr>
        <w:widowControl w:val="0"/>
        <w:autoSpaceDE w:val="0"/>
        <w:autoSpaceDN w:val="0"/>
        <w:adjustRightInd w:val="0"/>
        <w:spacing w:after="0" w:line="480" w:lineRule="auto"/>
        <w:rPr>
          <w:rFonts w:ascii="Calibri" w:hAnsi="Calibri"/>
          <w:sz w:val="24"/>
          <w:szCs w:val="24"/>
        </w:rPr>
      </w:pPr>
      <w:r>
        <w:rPr>
          <w:rFonts w:ascii="Calibri" w:hAnsi="Calibri"/>
          <w:sz w:val="24"/>
          <w:szCs w:val="24"/>
        </w:rPr>
        <w:t xml:space="preserve">Early childhood events precede completion of schooling which typically precedes marriage.  In turn, these three sets of events typically precede the late-life characteristics measured at the interview.  Multiple variables are added in the first and fourth equations, and we do not make any assumptions about time ordering or causation among the variables added in these equations.  </w:t>
      </w:r>
    </w:p>
    <w:p w:rsidR="00565897" w:rsidRDefault="00565897">
      <w:pPr>
        <w:widowControl w:val="0"/>
        <w:autoSpaceDE w:val="0"/>
        <w:autoSpaceDN w:val="0"/>
        <w:adjustRightInd w:val="0"/>
        <w:spacing w:after="0" w:line="480" w:lineRule="auto"/>
        <w:rPr>
          <w:rFonts w:ascii="Calibri" w:hAnsi="Calibri"/>
          <w:b/>
          <w:sz w:val="24"/>
          <w:szCs w:val="24"/>
        </w:rPr>
      </w:pPr>
    </w:p>
    <w:p w:rsidR="00565897" w:rsidRDefault="00C678E8">
      <w:pPr>
        <w:widowControl w:val="0"/>
        <w:autoSpaceDE w:val="0"/>
        <w:autoSpaceDN w:val="0"/>
        <w:adjustRightInd w:val="0"/>
        <w:spacing w:after="0" w:line="480" w:lineRule="auto"/>
        <w:rPr>
          <w:rFonts w:ascii="Calibri" w:hAnsi="Calibri"/>
          <w:b/>
          <w:sz w:val="24"/>
          <w:szCs w:val="24"/>
        </w:rPr>
      </w:pPr>
      <w:r w:rsidRPr="00900254">
        <w:rPr>
          <w:rFonts w:ascii="Calibri" w:hAnsi="Calibri"/>
          <w:b/>
          <w:sz w:val="24"/>
          <w:szCs w:val="24"/>
        </w:rPr>
        <w:t>Results</w:t>
      </w:r>
    </w:p>
    <w:p w:rsidR="00565897" w:rsidRDefault="00C678E8">
      <w:pPr>
        <w:widowControl w:val="0"/>
        <w:autoSpaceDE w:val="0"/>
        <w:autoSpaceDN w:val="0"/>
        <w:adjustRightInd w:val="0"/>
        <w:spacing w:after="0" w:line="480" w:lineRule="auto"/>
        <w:rPr>
          <w:rFonts w:asciiTheme="minorHAnsi" w:hAnsiTheme="minorHAnsi"/>
          <w:color w:val="000000"/>
          <w:sz w:val="24"/>
          <w:szCs w:val="24"/>
        </w:rPr>
      </w:pPr>
      <w:r w:rsidRPr="00900254">
        <w:rPr>
          <w:rFonts w:ascii="Calibri" w:hAnsi="Calibri"/>
          <w:color w:val="000000"/>
          <w:sz w:val="24"/>
          <w:szCs w:val="24"/>
        </w:rPr>
        <w:t>As noted earlier, Irish marriage patterns in the cohorts analyzed are quite distinct. Table 1 indicates the high never-married rates. Among men, 14.7% of those aged 65-</w:t>
      </w:r>
      <w:r w:rsidRPr="00900254">
        <w:rPr>
          <w:rFonts w:ascii="Calibri" w:hAnsi="Calibri"/>
          <w:color w:val="000000"/>
          <w:sz w:val="24"/>
          <w:szCs w:val="24"/>
        </w:rPr>
        <w:lastRenderedPageBreak/>
        <w:t xml:space="preserve">74 years never married, compared with 17.9% of those aged 75 years and older. Among women, 11.5% of those aged 65-74 years never married compared with 17.7% of those aged 75 and over. These patterns reflect the gradual increase in marriage rates in Ireland from the 1960s onwards. Still, most men over age 65 are currently married (66.7%), while the most prevalent status among women is widowed (42.6%), reflecting the average age difference between spouses and women’s higher life expectancy. </w:t>
      </w:r>
      <w:r w:rsidR="004B33E7">
        <w:rPr>
          <w:rFonts w:ascii="Calibri" w:hAnsi="Calibri"/>
          <w:color w:val="000000"/>
          <w:sz w:val="24"/>
          <w:szCs w:val="24"/>
        </w:rPr>
        <w:t xml:space="preserve">Only four percent of the population aged 65 and over is divorced or separated, reflecting the relatively late introduction of divorce in Ireland (1997), a development that </w:t>
      </w:r>
      <w:r w:rsidR="00BB27B0" w:rsidRPr="00BB27B0">
        <w:rPr>
          <w:rFonts w:asciiTheme="minorHAnsi" w:hAnsiTheme="minorHAnsi"/>
          <w:sz w:val="24"/>
          <w:szCs w:val="24"/>
        </w:rPr>
        <w:t xml:space="preserve">is too recent to have had major impact among </w:t>
      </w:r>
      <w:r w:rsidR="004B33E7">
        <w:rPr>
          <w:rFonts w:asciiTheme="minorHAnsi" w:hAnsiTheme="minorHAnsi"/>
          <w:sz w:val="24"/>
          <w:szCs w:val="24"/>
        </w:rPr>
        <w:t xml:space="preserve">the current cohorts of </w:t>
      </w:r>
      <w:r w:rsidR="00BB27B0" w:rsidRPr="00BB27B0">
        <w:rPr>
          <w:rFonts w:asciiTheme="minorHAnsi" w:hAnsiTheme="minorHAnsi"/>
          <w:sz w:val="24"/>
          <w:szCs w:val="24"/>
        </w:rPr>
        <w:t>older people</w:t>
      </w:r>
      <w:r w:rsidR="00BB27B0" w:rsidRPr="00BB27B0">
        <w:rPr>
          <w:rFonts w:asciiTheme="minorHAnsi" w:hAnsiTheme="minorHAnsi"/>
          <w:color w:val="000000"/>
          <w:sz w:val="24"/>
          <w:szCs w:val="24"/>
        </w:rPr>
        <w:t xml:space="preserve"> (Fahey, 2012).</w:t>
      </w:r>
      <w:r w:rsidR="00FB6474">
        <w:rPr>
          <w:rFonts w:asciiTheme="minorHAnsi" w:hAnsiTheme="minorHAnsi"/>
          <w:color w:val="000000"/>
          <w:sz w:val="24"/>
          <w:szCs w:val="24"/>
        </w:rPr>
        <w:t xml:space="preserve"> Divorce is </w:t>
      </w:r>
      <w:r w:rsidR="00C17E11">
        <w:rPr>
          <w:rFonts w:asciiTheme="minorHAnsi" w:hAnsiTheme="minorHAnsi"/>
          <w:color w:val="000000"/>
          <w:sz w:val="24"/>
          <w:szCs w:val="24"/>
        </w:rPr>
        <w:t xml:space="preserve">considered </w:t>
      </w:r>
      <w:r w:rsidR="00FB6474">
        <w:rPr>
          <w:rFonts w:asciiTheme="minorHAnsi" w:hAnsiTheme="minorHAnsi"/>
          <w:color w:val="000000"/>
          <w:sz w:val="24"/>
          <w:szCs w:val="24"/>
        </w:rPr>
        <w:t xml:space="preserve">less acceptable </w:t>
      </w:r>
      <w:r w:rsidR="00C17E11">
        <w:rPr>
          <w:rFonts w:asciiTheme="minorHAnsi" w:hAnsiTheme="minorHAnsi"/>
          <w:color w:val="000000"/>
          <w:sz w:val="24"/>
          <w:szCs w:val="24"/>
        </w:rPr>
        <w:t>by</w:t>
      </w:r>
      <w:r w:rsidR="00FB6474">
        <w:rPr>
          <w:rFonts w:asciiTheme="minorHAnsi" w:hAnsiTheme="minorHAnsi"/>
          <w:color w:val="000000"/>
          <w:sz w:val="24"/>
          <w:szCs w:val="24"/>
        </w:rPr>
        <w:t xml:space="preserve"> older than younger cohorts in Ireland, suggesting that </w:t>
      </w:r>
      <w:r w:rsidR="00C17E11">
        <w:rPr>
          <w:rFonts w:asciiTheme="minorHAnsi" w:hAnsiTheme="minorHAnsi"/>
          <w:color w:val="000000"/>
          <w:sz w:val="24"/>
          <w:szCs w:val="24"/>
        </w:rPr>
        <w:t>divorce</w:t>
      </w:r>
      <w:r w:rsidR="00FB6474">
        <w:rPr>
          <w:rFonts w:asciiTheme="minorHAnsi" w:hAnsiTheme="minorHAnsi"/>
          <w:color w:val="000000"/>
          <w:sz w:val="24"/>
          <w:szCs w:val="24"/>
        </w:rPr>
        <w:t xml:space="preserve"> </w:t>
      </w:r>
      <w:r w:rsidR="00C17E11">
        <w:rPr>
          <w:rFonts w:asciiTheme="minorHAnsi" w:hAnsiTheme="minorHAnsi"/>
          <w:color w:val="000000"/>
          <w:sz w:val="24"/>
          <w:szCs w:val="24"/>
        </w:rPr>
        <w:t>might</w:t>
      </w:r>
      <w:r w:rsidR="00FB6474">
        <w:rPr>
          <w:rFonts w:asciiTheme="minorHAnsi" w:hAnsiTheme="minorHAnsi"/>
          <w:color w:val="000000"/>
          <w:sz w:val="24"/>
          <w:szCs w:val="24"/>
        </w:rPr>
        <w:t xml:space="preserve"> carry stigma among some groups of older adults (Garry, Hardiman, &amp; Payne, 2006).</w:t>
      </w:r>
      <w:r w:rsidR="00BB27B0" w:rsidRPr="00BB27B0">
        <w:rPr>
          <w:rFonts w:asciiTheme="minorHAnsi" w:hAnsiTheme="minorHAnsi"/>
          <w:color w:val="000000"/>
          <w:sz w:val="24"/>
          <w:szCs w:val="24"/>
        </w:rPr>
        <w:tab/>
      </w:r>
    </w:p>
    <w:p w:rsidR="00565897" w:rsidRDefault="00C678E8">
      <w:pPr>
        <w:widowControl w:val="0"/>
        <w:autoSpaceDE w:val="0"/>
        <w:autoSpaceDN w:val="0"/>
        <w:adjustRightInd w:val="0"/>
        <w:spacing w:after="0" w:line="480" w:lineRule="auto"/>
        <w:rPr>
          <w:rFonts w:ascii="Calibri" w:hAnsi="Calibri"/>
          <w:b/>
          <w:sz w:val="24"/>
          <w:szCs w:val="24"/>
        </w:rPr>
      </w:pPr>
      <w:r w:rsidRPr="00900254">
        <w:rPr>
          <w:rFonts w:ascii="Calibri" w:hAnsi="Calibri"/>
          <w:color w:val="000000"/>
          <w:sz w:val="24"/>
          <w:szCs w:val="24"/>
        </w:rPr>
        <w:tab/>
      </w:r>
      <w:r w:rsidRPr="00900254">
        <w:rPr>
          <w:rFonts w:ascii="Calibri" w:hAnsi="Calibri"/>
          <w:color w:val="000000"/>
          <w:sz w:val="24"/>
          <w:szCs w:val="24"/>
        </w:rPr>
        <w:tab/>
      </w:r>
      <w:r w:rsidRPr="00900254">
        <w:rPr>
          <w:rFonts w:ascii="Calibri" w:hAnsi="Calibri"/>
          <w:i/>
          <w:color w:val="000000"/>
          <w:sz w:val="24"/>
          <w:szCs w:val="24"/>
        </w:rPr>
        <w:softHyphen/>
      </w:r>
      <w:r w:rsidRPr="00900254">
        <w:rPr>
          <w:rFonts w:ascii="Calibri" w:hAnsi="Calibri"/>
          <w:i/>
          <w:color w:val="000000"/>
          <w:sz w:val="24"/>
          <w:szCs w:val="24"/>
        </w:rPr>
        <w:softHyphen/>
      </w:r>
      <w:r w:rsidRPr="00900254">
        <w:rPr>
          <w:rFonts w:ascii="Calibri" w:hAnsi="Calibri"/>
          <w:i/>
          <w:color w:val="000000"/>
          <w:sz w:val="24"/>
          <w:szCs w:val="24"/>
        </w:rPr>
        <w:softHyphen/>
      </w:r>
      <w:r w:rsidRPr="00900254">
        <w:rPr>
          <w:rFonts w:ascii="Calibri" w:hAnsi="Calibri"/>
          <w:i/>
          <w:color w:val="000000"/>
          <w:sz w:val="24"/>
          <w:szCs w:val="24"/>
        </w:rPr>
        <w:softHyphen/>
      </w:r>
    </w:p>
    <w:p w:rsidR="00565897" w:rsidRDefault="00C678E8">
      <w:pPr>
        <w:autoSpaceDE w:val="0"/>
        <w:autoSpaceDN w:val="0"/>
        <w:adjustRightInd w:val="0"/>
        <w:spacing w:after="0" w:line="480" w:lineRule="auto"/>
        <w:rPr>
          <w:rFonts w:ascii="Calibri" w:hAnsi="Calibri"/>
          <w:color w:val="000000"/>
          <w:sz w:val="24"/>
          <w:szCs w:val="24"/>
        </w:rPr>
      </w:pPr>
      <w:r w:rsidRPr="00900254">
        <w:rPr>
          <w:rFonts w:ascii="Calibri" w:hAnsi="Calibri"/>
          <w:i/>
          <w:color w:val="000000"/>
          <w:sz w:val="24"/>
          <w:szCs w:val="24"/>
        </w:rPr>
        <w:tab/>
      </w:r>
      <w:r w:rsidRPr="00900254">
        <w:rPr>
          <w:rFonts w:ascii="Calibri" w:hAnsi="Calibri"/>
          <w:i/>
          <w:color w:val="000000"/>
          <w:sz w:val="24"/>
          <w:szCs w:val="24"/>
        </w:rPr>
        <w:tab/>
      </w:r>
      <w:r w:rsidRPr="00900254">
        <w:rPr>
          <w:rFonts w:ascii="Calibri" w:hAnsi="Calibri"/>
          <w:i/>
          <w:color w:val="000000"/>
          <w:sz w:val="24"/>
          <w:szCs w:val="24"/>
        </w:rPr>
        <w:tab/>
      </w:r>
      <w:r w:rsidRPr="00900254">
        <w:rPr>
          <w:rFonts w:ascii="Calibri" w:hAnsi="Calibri"/>
          <w:i/>
          <w:color w:val="000000"/>
          <w:sz w:val="24"/>
          <w:szCs w:val="24"/>
        </w:rPr>
        <w:tab/>
        <w:t>---Table 1 around here</w:t>
      </w:r>
    </w:p>
    <w:p w:rsidR="00565897" w:rsidRDefault="00565897">
      <w:pPr>
        <w:autoSpaceDE w:val="0"/>
        <w:autoSpaceDN w:val="0"/>
        <w:adjustRightInd w:val="0"/>
        <w:spacing w:after="0" w:line="480" w:lineRule="auto"/>
        <w:rPr>
          <w:rFonts w:ascii="Calibri" w:hAnsi="Calibri"/>
          <w:sz w:val="24"/>
          <w:szCs w:val="24"/>
        </w:rPr>
      </w:pPr>
    </w:p>
    <w:p w:rsidR="00565897" w:rsidRDefault="00C678E8">
      <w:pPr>
        <w:autoSpaceDE w:val="0"/>
        <w:autoSpaceDN w:val="0"/>
        <w:adjustRightInd w:val="0"/>
        <w:spacing w:after="0" w:line="480" w:lineRule="auto"/>
        <w:rPr>
          <w:rFonts w:ascii="Calibri" w:hAnsi="Calibri"/>
          <w:sz w:val="24"/>
          <w:szCs w:val="24"/>
        </w:rPr>
      </w:pPr>
      <w:r w:rsidRPr="00900254">
        <w:rPr>
          <w:rFonts w:ascii="Calibri" w:hAnsi="Calibri"/>
          <w:sz w:val="24"/>
          <w:szCs w:val="24"/>
        </w:rPr>
        <w:t xml:space="preserve">In Table 2 we present the descriptive statistics for variables used in the analysis, both dependent and covariates, by sex.  Focusing on the dependent variable, there is a difference in loneliness by gender and marital status. Overall mean loneliness scores for men and women are similar. However, while currently married men report less loneliness than currently married women, men’s loneliness scores are higher than women’s in each of the other marital groups. </w:t>
      </w:r>
    </w:p>
    <w:p w:rsidR="00565897" w:rsidRDefault="00565897">
      <w:pPr>
        <w:autoSpaceDE w:val="0"/>
        <w:autoSpaceDN w:val="0"/>
        <w:adjustRightInd w:val="0"/>
        <w:spacing w:after="0" w:line="480" w:lineRule="auto"/>
        <w:rPr>
          <w:rFonts w:ascii="Calibri" w:hAnsi="Calibri"/>
          <w:sz w:val="24"/>
          <w:szCs w:val="24"/>
        </w:rPr>
      </w:pPr>
    </w:p>
    <w:p w:rsidR="00565897" w:rsidRDefault="00C678E8">
      <w:pPr>
        <w:autoSpaceDE w:val="0"/>
        <w:autoSpaceDN w:val="0"/>
        <w:adjustRightInd w:val="0"/>
        <w:spacing w:after="0" w:line="480" w:lineRule="auto"/>
        <w:rPr>
          <w:rFonts w:ascii="Calibri" w:hAnsi="Calibri"/>
          <w:i/>
          <w:sz w:val="24"/>
          <w:szCs w:val="24"/>
        </w:rPr>
      </w:pPr>
      <w:r w:rsidRPr="00900254">
        <w:rPr>
          <w:rFonts w:ascii="Calibri" w:hAnsi="Calibri"/>
          <w:sz w:val="24"/>
          <w:szCs w:val="24"/>
        </w:rPr>
        <w:tab/>
      </w:r>
      <w:r w:rsidRPr="00900254">
        <w:rPr>
          <w:rFonts w:ascii="Calibri" w:hAnsi="Calibri"/>
          <w:sz w:val="24"/>
          <w:szCs w:val="24"/>
        </w:rPr>
        <w:tab/>
      </w:r>
      <w:r w:rsidRPr="00900254">
        <w:rPr>
          <w:rFonts w:ascii="Calibri" w:hAnsi="Calibri"/>
          <w:sz w:val="24"/>
          <w:szCs w:val="24"/>
        </w:rPr>
        <w:tab/>
      </w:r>
      <w:r w:rsidRPr="00900254">
        <w:rPr>
          <w:rFonts w:ascii="Calibri" w:hAnsi="Calibri"/>
          <w:sz w:val="24"/>
          <w:szCs w:val="24"/>
        </w:rPr>
        <w:tab/>
      </w:r>
      <w:r w:rsidRPr="00900254">
        <w:rPr>
          <w:rFonts w:ascii="Calibri" w:hAnsi="Calibri"/>
          <w:i/>
          <w:sz w:val="24"/>
          <w:szCs w:val="24"/>
        </w:rPr>
        <w:t>----Table 2 around here</w:t>
      </w:r>
    </w:p>
    <w:p w:rsidR="00565897" w:rsidRDefault="00565897">
      <w:pPr>
        <w:autoSpaceDE w:val="0"/>
        <w:autoSpaceDN w:val="0"/>
        <w:adjustRightInd w:val="0"/>
        <w:spacing w:after="0" w:line="480" w:lineRule="auto"/>
        <w:rPr>
          <w:rFonts w:ascii="Calibri" w:hAnsi="Calibri"/>
          <w:i/>
          <w:sz w:val="24"/>
          <w:szCs w:val="24"/>
        </w:rPr>
      </w:pPr>
    </w:p>
    <w:p w:rsidR="00565897" w:rsidRDefault="00C678E8">
      <w:pPr>
        <w:autoSpaceDE w:val="0"/>
        <w:autoSpaceDN w:val="0"/>
        <w:adjustRightInd w:val="0"/>
        <w:spacing w:after="0" w:line="480" w:lineRule="auto"/>
        <w:rPr>
          <w:rFonts w:ascii="Calibri" w:hAnsi="Calibri"/>
          <w:color w:val="000000"/>
          <w:sz w:val="24"/>
          <w:szCs w:val="24"/>
        </w:rPr>
      </w:pPr>
      <w:r w:rsidRPr="00900254">
        <w:rPr>
          <w:rFonts w:ascii="Calibri" w:hAnsi="Calibri"/>
          <w:bCs/>
          <w:color w:val="000000"/>
          <w:sz w:val="24"/>
          <w:szCs w:val="24"/>
          <w:lang w:val="en-US"/>
        </w:rPr>
        <w:t>We first used a multinomial logistic model to examine whether childhood circumstances are associated with current marital status.</w:t>
      </w:r>
      <w:r w:rsidRPr="00900254">
        <w:rPr>
          <w:rFonts w:ascii="Calibri" w:hAnsi="Calibri"/>
          <w:sz w:val="24"/>
          <w:szCs w:val="24"/>
          <w:lang w:val="en-US"/>
        </w:rPr>
        <w:t xml:space="preserve"> Given the different life experiences of men and women, we examined whether the models were significantly different by gender and found that they are (Χ</w:t>
      </w:r>
      <w:r w:rsidRPr="00900254">
        <w:rPr>
          <w:rFonts w:ascii="Calibri" w:hAnsi="Calibri"/>
          <w:sz w:val="24"/>
          <w:szCs w:val="24"/>
          <w:vertAlign w:val="superscript"/>
          <w:lang w:val="en-US"/>
        </w:rPr>
        <w:t>2</w:t>
      </w:r>
      <w:r w:rsidRPr="00900254">
        <w:rPr>
          <w:rFonts w:ascii="Calibri" w:hAnsi="Calibri"/>
          <w:bCs/>
          <w:color w:val="000000"/>
          <w:sz w:val="24"/>
          <w:szCs w:val="24"/>
          <w:lang w:val="en-US"/>
        </w:rPr>
        <w:t xml:space="preserve"> = 86.4 / 11 df. p&lt; .001). </w:t>
      </w:r>
      <w:r w:rsidRPr="00900254">
        <w:rPr>
          <w:rFonts w:ascii="Calibri" w:hAnsi="Calibri"/>
          <w:sz w:val="24"/>
          <w:szCs w:val="24"/>
        </w:rPr>
        <w:t xml:space="preserve">Table 3 presents the results of the marital status analysis separately for men and women.  Never married men, contrasted to those currently married, show a distinctive pattern. Consistent with the earlier discussion of Irish marital patterns, growing up in a rural area, having a father who was a farmer, and having only a primary education are strongly associated with men’s being never married.  Poor childhood health and not responding to the substance abuse question are also significantly associated with being never married.  Among women, having a tertiary education and being older, a measure of birth cohort, are associated with remaining single. </w:t>
      </w:r>
      <w:r>
        <w:rPr>
          <w:rFonts w:ascii="Calibri" w:hAnsi="Calibri"/>
          <w:sz w:val="24"/>
          <w:szCs w:val="24"/>
        </w:rPr>
        <w:t>The point estimate for childhood health on the married-never married contrast is virtually the same as for men but it is not significant.  Returning to the bivariate frequencies in Table 2,  having poor childhood health is much more common among the never-married than among the currently married.</w:t>
      </w:r>
      <w:r w:rsidRPr="00900254">
        <w:rPr>
          <w:rFonts w:ascii="Calibri" w:hAnsi="Calibri"/>
          <w:color w:val="000000"/>
          <w:sz w:val="24"/>
          <w:szCs w:val="24"/>
        </w:rPr>
        <w:tab/>
      </w:r>
    </w:p>
    <w:p w:rsidR="00565897" w:rsidRDefault="00C678E8">
      <w:pPr>
        <w:autoSpaceDE w:val="0"/>
        <w:autoSpaceDN w:val="0"/>
        <w:adjustRightInd w:val="0"/>
        <w:spacing w:after="0" w:line="480" w:lineRule="auto"/>
        <w:rPr>
          <w:rFonts w:ascii="Calibri" w:hAnsi="Calibri"/>
          <w:color w:val="000000"/>
          <w:sz w:val="24"/>
          <w:szCs w:val="24"/>
        </w:rPr>
      </w:pPr>
      <w:r w:rsidRPr="00900254">
        <w:rPr>
          <w:rFonts w:ascii="Calibri" w:hAnsi="Calibri"/>
          <w:color w:val="000000"/>
          <w:sz w:val="24"/>
          <w:szCs w:val="24"/>
        </w:rPr>
        <w:tab/>
      </w:r>
      <w:r w:rsidRPr="00900254">
        <w:rPr>
          <w:rFonts w:ascii="Calibri" w:hAnsi="Calibri"/>
          <w:color w:val="000000"/>
          <w:sz w:val="24"/>
          <w:szCs w:val="24"/>
        </w:rPr>
        <w:tab/>
      </w:r>
      <w:r w:rsidRPr="00900254">
        <w:rPr>
          <w:rFonts w:ascii="Calibri" w:hAnsi="Calibri"/>
          <w:color w:val="000000"/>
          <w:sz w:val="24"/>
          <w:szCs w:val="24"/>
        </w:rPr>
        <w:softHyphen/>
      </w:r>
      <w:r w:rsidRPr="00900254">
        <w:rPr>
          <w:rFonts w:ascii="Calibri" w:hAnsi="Calibri"/>
          <w:color w:val="000000"/>
          <w:sz w:val="24"/>
          <w:szCs w:val="24"/>
        </w:rPr>
        <w:softHyphen/>
      </w:r>
      <w:r w:rsidRPr="00900254">
        <w:rPr>
          <w:rFonts w:ascii="Calibri" w:hAnsi="Calibri"/>
          <w:color w:val="000000"/>
          <w:sz w:val="24"/>
          <w:szCs w:val="24"/>
        </w:rPr>
        <w:softHyphen/>
      </w:r>
      <w:r w:rsidRPr="00900254">
        <w:rPr>
          <w:rFonts w:ascii="Calibri" w:hAnsi="Calibri"/>
          <w:color w:val="000000"/>
          <w:sz w:val="24"/>
          <w:szCs w:val="24"/>
        </w:rPr>
        <w:softHyphen/>
      </w:r>
      <w:r w:rsidRPr="00900254">
        <w:rPr>
          <w:rFonts w:ascii="Calibri" w:hAnsi="Calibri"/>
          <w:color w:val="000000"/>
          <w:sz w:val="24"/>
          <w:szCs w:val="24"/>
        </w:rPr>
        <w:tab/>
      </w:r>
    </w:p>
    <w:p w:rsidR="00565897" w:rsidRDefault="00C678E8">
      <w:pPr>
        <w:autoSpaceDE w:val="0"/>
        <w:autoSpaceDN w:val="0"/>
        <w:adjustRightInd w:val="0"/>
        <w:spacing w:after="0" w:line="480" w:lineRule="auto"/>
        <w:rPr>
          <w:rFonts w:ascii="Calibri" w:hAnsi="Calibri"/>
          <w:i/>
          <w:color w:val="000000"/>
          <w:sz w:val="24"/>
          <w:szCs w:val="24"/>
        </w:rPr>
      </w:pPr>
      <w:r w:rsidRPr="00900254">
        <w:rPr>
          <w:rFonts w:ascii="Calibri" w:hAnsi="Calibri"/>
          <w:i/>
          <w:color w:val="000000"/>
          <w:sz w:val="24"/>
          <w:szCs w:val="24"/>
        </w:rPr>
        <w:t>--- Table 3 around here</w:t>
      </w:r>
    </w:p>
    <w:p w:rsidR="00565897" w:rsidRDefault="00565897">
      <w:pPr>
        <w:autoSpaceDE w:val="0"/>
        <w:autoSpaceDN w:val="0"/>
        <w:adjustRightInd w:val="0"/>
        <w:spacing w:after="0" w:line="480" w:lineRule="auto"/>
        <w:rPr>
          <w:rFonts w:ascii="Calibri" w:hAnsi="Calibri"/>
          <w:sz w:val="24"/>
          <w:szCs w:val="24"/>
        </w:rPr>
      </w:pPr>
    </w:p>
    <w:p w:rsidR="00565897" w:rsidRDefault="00C678E8">
      <w:pPr>
        <w:autoSpaceDE w:val="0"/>
        <w:autoSpaceDN w:val="0"/>
        <w:adjustRightInd w:val="0"/>
        <w:spacing w:after="0" w:line="480" w:lineRule="auto"/>
        <w:rPr>
          <w:rFonts w:ascii="Calibri" w:hAnsi="Calibri"/>
          <w:sz w:val="24"/>
          <w:szCs w:val="24"/>
        </w:rPr>
      </w:pPr>
      <w:r w:rsidRPr="00900254">
        <w:rPr>
          <w:rFonts w:ascii="Calibri" w:hAnsi="Calibri"/>
          <w:sz w:val="24"/>
          <w:szCs w:val="24"/>
        </w:rPr>
        <w:t xml:space="preserve">We next estimated multiple regression models for loneliness, estimating the model in several stages conforming to </w:t>
      </w:r>
      <w:r>
        <w:rPr>
          <w:rFonts w:ascii="Calibri" w:hAnsi="Calibri"/>
          <w:sz w:val="24"/>
          <w:szCs w:val="24"/>
        </w:rPr>
        <w:t>typical time ordering</w:t>
      </w:r>
      <w:r w:rsidRPr="00900254">
        <w:rPr>
          <w:rFonts w:ascii="Calibri" w:hAnsi="Calibri"/>
          <w:sz w:val="24"/>
          <w:szCs w:val="24"/>
        </w:rPr>
        <w:t xml:space="preserve"> in order to examine the extent to which early events are mediated by later events.  These results are presented in </w:t>
      </w:r>
      <w:r w:rsidRPr="00900254">
        <w:rPr>
          <w:rFonts w:ascii="Calibri" w:hAnsi="Calibri"/>
          <w:sz w:val="24"/>
          <w:szCs w:val="24"/>
        </w:rPr>
        <w:lastRenderedPageBreak/>
        <w:t>Table</w:t>
      </w:r>
      <w:r>
        <w:rPr>
          <w:rFonts w:ascii="Calibri" w:hAnsi="Calibri"/>
          <w:sz w:val="24"/>
          <w:szCs w:val="24"/>
        </w:rPr>
        <w:t>s</w:t>
      </w:r>
      <w:r w:rsidRPr="00900254">
        <w:rPr>
          <w:rFonts w:ascii="Calibri" w:hAnsi="Calibri"/>
          <w:sz w:val="24"/>
          <w:szCs w:val="24"/>
        </w:rPr>
        <w:t xml:space="preserve"> 4</w:t>
      </w:r>
      <w:r>
        <w:rPr>
          <w:rFonts w:ascii="Calibri" w:hAnsi="Calibri"/>
          <w:sz w:val="24"/>
          <w:szCs w:val="24"/>
        </w:rPr>
        <w:t xml:space="preserve"> (for men) and 5 (for women),</w:t>
      </w:r>
      <w:r w:rsidRPr="00900254">
        <w:rPr>
          <w:rFonts w:ascii="Calibri" w:hAnsi="Calibri"/>
          <w:sz w:val="24"/>
          <w:szCs w:val="24"/>
        </w:rPr>
        <w:t xml:space="preserve">  </w:t>
      </w:r>
      <w:r>
        <w:rPr>
          <w:rFonts w:ascii="Calibri" w:hAnsi="Calibri"/>
          <w:sz w:val="24"/>
          <w:szCs w:val="24"/>
        </w:rPr>
        <w:t xml:space="preserve">We discuss these two tables together and discuss each variable across equations..  </w:t>
      </w:r>
    </w:p>
    <w:p w:rsidR="00565897" w:rsidRDefault="00C678E8">
      <w:pPr>
        <w:autoSpaceDE w:val="0"/>
        <w:autoSpaceDN w:val="0"/>
        <w:adjustRightInd w:val="0"/>
        <w:spacing w:after="0" w:line="480" w:lineRule="auto"/>
        <w:rPr>
          <w:rFonts w:ascii="Calibri" w:hAnsi="Calibri"/>
          <w:bCs/>
          <w:color w:val="000000"/>
          <w:sz w:val="24"/>
          <w:szCs w:val="24"/>
          <w:lang w:val="en-US"/>
        </w:rPr>
      </w:pPr>
      <w:r w:rsidRPr="00900254">
        <w:rPr>
          <w:rFonts w:ascii="Calibri" w:hAnsi="Calibri"/>
          <w:sz w:val="24"/>
          <w:szCs w:val="24"/>
        </w:rPr>
        <w:t xml:space="preserve">Model 1 includes only early life characteristics; model 2 adds level of education; and model 3 adds marital status.  The full model, model 4, adds later-life characteristics.  We estimated the full interaction model of gender with all the covariates included in model 4 and found significant interactions with gender </w:t>
      </w:r>
      <w:r w:rsidRPr="00900254">
        <w:rPr>
          <w:rFonts w:ascii="Calibri" w:hAnsi="Calibri"/>
          <w:bCs/>
          <w:color w:val="000000"/>
          <w:sz w:val="24"/>
          <w:szCs w:val="24"/>
          <w:lang w:val="en-US"/>
        </w:rPr>
        <w:t>(F = 1.82 with 2</w:t>
      </w:r>
      <w:r>
        <w:rPr>
          <w:rFonts w:ascii="Calibri" w:hAnsi="Calibri"/>
          <w:bCs/>
          <w:color w:val="000000"/>
          <w:sz w:val="24"/>
          <w:szCs w:val="24"/>
          <w:lang w:val="en-US"/>
        </w:rPr>
        <w:t>3</w:t>
      </w:r>
      <w:r w:rsidRPr="00900254">
        <w:rPr>
          <w:rFonts w:ascii="Calibri" w:hAnsi="Calibri"/>
          <w:bCs/>
          <w:color w:val="000000"/>
          <w:sz w:val="24"/>
          <w:szCs w:val="24"/>
          <w:lang w:val="en-US"/>
        </w:rPr>
        <w:t>/2</w:t>
      </w:r>
      <w:r>
        <w:rPr>
          <w:rFonts w:ascii="Calibri" w:hAnsi="Calibri"/>
          <w:bCs/>
          <w:color w:val="000000"/>
          <w:sz w:val="24"/>
          <w:szCs w:val="24"/>
          <w:lang w:val="en-US"/>
        </w:rPr>
        <w:t>597</w:t>
      </w:r>
      <w:r w:rsidRPr="00900254">
        <w:rPr>
          <w:rFonts w:ascii="Calibri" w:hAnsi="Calibri"/>
          <w:bCs/>
          <w:color w:val="000000"/>
          <w:sz w:val="24"/>
          <w:szCs w:val="24"/>
          <w:lang w:val="en-US"/>
        </w:rPr>
        <w:t xml:space="preserve"> df. p</w:t>
      </w:r>
      <w:r>
        <w:rPr>
          <w:rFonts w:ascii="Calibri" w:hAnsi="Calibri"/>
          <w:bCs/>
          <w:color w:val="000000"/>
          <w:sz w:val="24"/>
          <w:szCs w:val="24"/>
          <w:lang w:val="en-US"/>
        </w:rPr>
        <w:t>=.01</w:t>
      </w:r>
      <w:r w:rsidRPr="00900254">
        <w:rPr>
          <w:rFonts w:ascii="Calibri" w:hAnsi="Calibri"/>
          <w:bCs/>
          <w:color w:val="000000"/>
          <w:sz w:val="24"/>
          <w:szCs w:val="24"/>
          <w:lang w:val="en-US"/>
        </w:rPr>
        <w:t xml:space="preserve">).  We </w:t>
      </w:r>
      <w:r>
        <w:rPr>
          <w:rFonts w:ascii="Calibri" w:hAnsi="Calibri"/>
          <w:bCs/>
          <w:color w:val="000000"/>
          <w:sz w:val="24"/>
          <w:szCs w:val="24"/>
          <w:lang w:val="en-US"/>
        </w:rPr>
        <w:t xml:space="preserve">therefore </w:t>
      </w:r>
      <w:r w:rsidRPr="00900254">
        <w:rPr>
          <w:rFonts w:ascii="Calibri" w:hAnsi="Calibri"/>
          <w:bCs/>
          <w:color w:val="000000"/>
          <w:sz w:val="24"/>
          <w:szCs w:val="24"/>
          <w:lang w:val="en-US"/>
        </w:rPr>
        <w:t>present models separately for men and women</w:t>
      </w:r>
      <w:r>
        <w:rPr>
          <w:rFonts w:ascii="Calibri" w:hAnsi="Calibri"/>
          <w:bCs/>
          <w:color w:val="000000"/>
          <w:sz w:val="24"/>
          <w:szCs w:val="24"/>
          <w:lang w:val="en-US"/>
        </w:rPr>
        <w:t xml:space="preserve">.  Among individual variables, marital status (p=.02) and current place of residence (p=.03) have significantly different effects for men and women. </w:t>
      </w:r>
      <w:r w:rsidRPr="00900254">
        <w:rPr>
          <w:rFonts w:ascii="Calibri" w:hAnsi="Calibri"/>
          <w:bCs/>
          <w:color w:val="000000"/>
          <w:sz w:val="24"/>
          <w:szCs w:val="24"/>
          <w:lang w:val="en-US"/>
        </w:rPr>
        <w:t xml:space="preserve"> </w:t>
      </w:r>
    </w:p>
    <w:p w:rsidR="00565897" w:rsidRDefault="00565897">
      <w:pPr>
        <w:autoSpaceDE w:val="0"/>
        <w:autoSpaceDN w:val="0"/>
        <w:adjustRightInd w:val="0"/>
        <w:spacing w:after="0" w:line="480" w:lineRule="auto"/>
        <w:rPr>
          <w:rFonts w:ascii="Calibri" w:hAnsi="Calibri"/>
          <w:bCs/>
          <w:color w:val="000000"/>
          <w:sz w:val="24"/>
          <w:szCs w:val="24"/>
          <w:lang w:val="en-US"/>
        </w:rPr>
      </w:pPr>
    </w:p>
    <w:p w:rsidR="00565897" w:rsidRDefault="00C678E8">
      <w:pPr>
        <w:autoSpaceDE w:val="0"/>
        <w:autoSpaceDN w:val="0"/>
        <w:adjustRightInd w:val="0"/>
        <w:spacing w:after="0" w:line="480" w:lineRule="auto"/>
        <w:rPr>
          <w:rFonts w:ascii="Calibri" w:hAnsi="Calibri"/>
          <w:i/>
          <w:sz w:val="24"/>
          <w:szCs w:val="24"/>
        </w:rPr>
      </w:pPr>
      <w:r w:rsidRPr="00900254">
        <w:rPr>
          <w:rFonts w:ascii="Calibri" w:hAnsi="Calibri"/>
          <w:i/>
          <w:sz w:val="24"/>
          <w:szCs w:val="24"/>
        </w:rPr>
        <w:t>---Tables 4 and 5 around here</w:t>
      </w:r>
    </w:p>
    <w:p w:rsidR="00565897" w:rsidRDefault="00565897">
      <w:pPr>
        <w:autoSpaceDE w:val="0"/>
        <w:autoSpaceDN w:val="0"/>
        <w:adjustRightInd w:val="0"/>
        <w:spacing w:after="0" w:line="480" w:lineRule="auto"/>
        <w:rPr>
          <w:rFonts w:ascii="Calibri" w:hAnsi="Calibri"/>
          <w:i/>
          <w:sz w:val="24"/>
          <w:szCs w:val="24"/>
        </w:rPr>
      </w:pPr>
    </w:p>
    <w:p w:rsidR="00565897" w:rsidRDefault="00C678E8">
      <w:pPr>
        <w:autoSpaceDE w:val="0"/>
        <w:autoSpaceDN w:val="0"/>
        <w:adjustRightInd w:val="0"/>
        <w:spacing w:after="0" w:line="480" w:lineRule="auto"/>
        <w:rPr>
          <w:rFonts w:ascii="Calibri" w:hAnsi="Calibri"/>
          <w:sz w:val="24"/>
          <w:szCs w:val="24"/>
        </w:rPr>
      </w:pPr>
      <w:r w:rsidRPr="00900254">
        <w:rPr>
          <w:rFonts w:ascii="Calibri" w:hAnsi="Calibri"/>
          <w:bCs/>
          <w:color w:val="000000"/>
          <w:sz w:val="24"/>
          <w:szCs w:val="24"/>
          <w:lang w:val="en-US"/>
        </w:rPr>
        <w:t>In model 1, t</w:t>
      </w:r>
      <w:r w:rsidRPr="00900254">
        <w:rPr>
          <w:rFonts w:ascii="Calibri" w:hAnsi="Calibri"/>
          <w:sz w:val="24"/>
          <w:szCs w:val="24"/>
        </w:rPr>
        <w:t>wo early life characteristics, family economic status and parental substance abuse, are associated with loneliness.  Men and women who report poor financial status as a child (contrasted to being well-off) are more lonely in later life.  The association is also significant for women who report average financial status.   These coefficients retain significance across all equations; the coefficients in model 4 retain more than 85% of their significant model 1 associations for women and nearly 70 percent for men, indicating that relatively little of the association is mediated by later events.</w:t>
      </w:r>
      <w:r>
        <w:rPr>
          <w:rFonts w:ascii="Calibri" w:hAnsi="Calibri"/>
          <w:sz w:val="24"/>
          <w:szCs w:val="24"/>
        </w:rPr>
        <w:t xml:space="preserve"> </w:t>
      </w:r>
    </w:p>
    <w:p w:rsidR="00565897" w:rsidRDefault="00565897">
      <w:pPr>
        <w:autoSpaceDE w:val="0"/>
        <w:autoSpaceDN w:val="0"/>
        <w:adjustRightInd w:val="0"/>
        <w:spacing w:after="0" w:line="480" w:lineRule="auto"/>
        <w:rPr>
          <w:rFonts w:ascii="Calibri" w:hAnsi="Calibri"/>
          <w:sz w:val="24"/>
          <w:szCs w:val="24"/>
        </w:rPr>
      </w:pPr>
    </w:p>
    <w:p w:rsidR="00565897" w:rsidRDefault="00C678E8">
      <w:pPr>
        <w:autoSpaceDE w:val="0"/>
        <w:autoSpaceDN w:val="0"/>
        <w:adjustRightInd w:val="0"/>
        <w:spacing w:after="0" w:line="480" w:lineRule="auto"/>
        <w:rPr>
          <w:rFonts w:ascii="Calibri" w:hAnsi="Calibri"/>
          <w:sz w:val="24"/>
          <w:szCs w:val="24"/>
        </w:rPr>
      </w:pPr>
      <w:r>
        <w:rPr>
          <w:rFonts w:ascii="Calibri" w:hAnsi="Calibri"/>
          <w:sz w:val="24"/>
          <w:szCs w:val="24"/>
        </w:rPr>
        <w:t>In model 1, p</w:t>
      </w:r>
      <w:r w:rsidRPr="00900254">
        <w:rPr>
          <w:rFonts w:ascii="Calibri" w:hAnsi="Calibri"/>
          <w:sz w:val="24"/>
          <w:szCs w:val="24"/>
        </w:rPr>
        <w:t xml:space="preserve">arental substance abuse is significant for men, and 80 percent of its association is direct, even in model 4.  For both men and women, missing </w:t>
      </w:r>
      <w:r w:rsidR="00982CD5">
        <w:rPr>
          <w:rFonts w:ascii="Calibri" w:hAnsi="Calibri"/>
          <w:sz w:val="24"/>
          <w:szCs w:val="24"/>
        </w:rPr>
        <w:t xml:space="preserve">response </w:t>
      </w:r>
      <w:r w:rsidR="00982CD5">
        <w:rPr>
          <w:rFonts w:ascii="Calibri" w:hAnsi="Calibri"/>
          <w:sz w:val="24"/>
          <w:szCs w:val="24"/>
        </w:rPr>
        <w:lastRenderedPageBreak/>
        <w:t xml:space="preserve">to the </w:t>
      </w:r>
      <w:r w:rsidRPr="00900254">
        <w:rPr>
          <w:rFonts w:ascii="Calibri" w:hAnsi="Calibri"/>
          <w:sz w:val="24"/>
          <w:szCs w:val="24"/>
        </w:rPr>
        <w:t xml:space="preserve">parental substance abuse </w:t>
      </w:r>
      <w:r w:rsidR="00982CD5">
        <w:rPr>
          <w:rFonts w:ascii="Calibri" w:hAnsi="Calibri"/>
          <w:sz w:val="24"/>
          <w:szCs w:val="24"/>
        </w:rPr>
        <w:t xml:space="preserve">question </w:t>
      </w:r>
      <w:r w:rsidRPr="00900254">
        <w:rPr>
          <w:rFonts w:ascii="Calibri" w:hAnsi="Calibri"/>
          <w:sz w:val="24"/>
          <w:szCs w:val="24"/>
        </w:rPr>
        <w:t>has a strong association with loneliness across all equations</w:t>
      </w:r>
      <w:r>
        <w:rPr>
          <w:rFonts w:ascii="Calibri" w:hAnsi="Calibri"/>
          <w:sz w:val="24"/>
          <w:szCs w:val="24"/>
        </w:rPr>
        <w:t xml:space="preserve"> with some decline in the final equation.  </w:t>
      </w:r>
    </w:p>
    <w:p w:rsidR="00565897" w:rsidRDefault="00565897">
      <w:pPr>
        <w:autoSpaceDE w:val="0"/>
        <w:autoSpaceDN w:val="0"/>
        <w:adjustRightInd w:val="0"/>
        <w:spacing w:after="0" w:line="480" w:lineRule="auto"/>
        <w:rPr>
          <w:rFonts w:ascii="Calibri" w:hAnsi="Calibri"/>
          <w:i/>
          <w:sz w:val="24"/>
          <w:szCs w:val="24"/>
        </w:rPr>
      </w:pPr>
    </w:p>
    <w:p w:rsidR="00565897" w:rsidRDefault="00C678E8">
      <w:pPr>
        <w:autoSpaceDE w:val="0"/>
        <w:autoSpaceDN w:val="0"/>
        <w:adjustRightInd w:val="0"/>
        <w:spacing w:after="0" w:line="480" w:lineRule="auto"/>
        <w:rPr>
          <w:rFonts w:ascii="Calibri" w:hAnsi="Calibri"/>
          <w:i/>
          <w:sz w:val="24"/>
          <w:szCs w:val="24"/>
        </w:rPr>
      </w:pPr>
      <w:r w:rsidRPr="00900254">
        <w:rPr>
          <w:rFonts w:ascii="Calibri" w:hAnsi="Calibri"/>
          <w:sz w:val="24"/>
          <w:szCs w:val="24"/>
        </w:rPr>
        <w:t xml:space="preserve">Model 2 incorporates the effects of education. Having more education, secondary education for women and tertiary education for men, is associated with lower levels of loneliness.  These associations are largely accounted for by the addition of marital status in model 3 and later-life events in model 4.  They do not differ significantly between men and women in model 4. </w:t>
      </w:r>
    </w:p>
    <w:p w:rsidR="00565897" w:rsidRDefault="00565897">
      <w:pPr>
        <w:autoSpaceDE w:val="0"/>
        <w:autoSpaceDN w:val="0"/>
        <w:adjustRightInd w:val="0"/>
        <w:spacing w:after="0" w:line="480" w:lineRule="auto"/>
        <w:rPr>
          <w:rFonts w:ascii="Calibri" w:hAnsi="Calibri"/>
          <w:i/>
          <w:sz w:val="24"/>
          <w:szCs w:val="24"/>
        </w:rPr>
      </w:pPr>
    </w:p>
    <w:p w:rsidR="00565897" w:rsidRDefault="00C678E8">
      <w:pPr>
        <w:autoSpaceDE w:val="0"/>
        <w:autoSpaceDN w:val="0"/>
        <w:adjustRightInd w:val="0"/>
        <w:spacing w:after="0" w:line="480" w:lineRule="auto"/>
        <w:rPr>
          <w:rFonts w:ascii="Calibri" w:hAnsi="Calibri"/>
          <w:sz w:val="24"/>
          <w:szCs w:val="24"/>
        </w:rPr>
      </w:pPr>
      <w:r w:rsidRPr="00900254">
        <w:rPr>
          <w:rFonts w:ascii="Calibri" w:hAnsi="Calibri"/>
          <w:sz w:val="24"/>
          <w:szCs w:val="24"/>
        </w:rPr>
        <w:t xml:space="preserve"> In model 3, being never married or widowed (contrasted with currently married) are associated with higher loneliness scores for men and women; and for men, being separated or divorced is also associated with loneliness. Very little of the relationship of marital status and loneliness is accounted for by other late life statuses; 80 percent or more of the association is direct in model 4</w:t>
      </w:r>
      <w:r>
        <w:rPr>
          <w:rFonts w:ascii="Calibri" w:hAnsi="Calibri"/>
          <w:sz w:val="24"/>
          <w:szCs w:val="24"/>
        </w:rPr>
        <w:t xml:space="preserve">. </w:t>
      </w:r>
      <w:r w:rsidRPr="00900254">
        <w:rPr>
          <w:rFonts w:ascii="Calibri" w:hAnsi="Calibri"/>
          <w:sz w:val="24"/>
          <w:szCs w:val="24"/>
        </w:rPr>
        <w:t>Both men and women who are never married or widowed</w:t>
      </w:r>
      <w:r>
        <w:rPr>
          <w:rFonts w:ascii="Calibri" w:hAnsi="Calibri"/>
          <w:sz w:val="24"/>
          <w:szCs w:val="24"/>
        </w:rPr>
        <w:t>, as well as men who are divorced or separated, report</w:t>
      </w:r>
      <w:r w:rsidRPr="00900254">
        <w:rPr>
          <w:rFonts w:ascii="Calibri" w:hAnsi="Calibri"/>
          <w:sz w:val="24"/>
          <w:szCs w:val="24"/>
        </w:rPr>
        <w:t xml:space="preserve"> more loneliness than currently married persons of the same sex, but the association of marital status with loneliness is significantly greater for men.</w:t>
      </w:r>
      <w:r>
        <w:rPr>
          <w:rFonts w:ascii="Calibri" w:hAnsi="Calibri"/>
          <w:sz w:val="24"/>
          <w:szCs w:val="24"/>
        </w:rPr>
        <w:t xml:space="preserve"> As noted earlier, the overall test of a gender difference in the effect of marital status is significant; among individual coefficients, the contrast between married and widowed is significantly different by gender (p=.01) and the married-never married is borderline significant (p=.06).</w:t>
      </w:r>
      <w:r w:rsidRPr="00900254">
        <w:rPr>
          <w:rFonts w:ascii="Calibri" w:hAnsi="Calibri"/>
          <w:sz w:val="24"/>
          <w:szCs w:val="24"/>
        </w:rPr>
        <w:t xml:space="preserve">  Among later life characteristics, </w:t>
      </w:r>
      <w:r>
        <w:rPr>
          <w:rFonts w:ascii="Calibri" w:hAnsi="Calibri"/>
          <w:sz w:val="24"/>
          <w:szCs w:val="24"/>
        </w:rPr>
        <w:t xml:space="preserve">both </w:t>
      </w:r>
      <w:r w:rsidRPr="00900254">
        <w:rPr>
          <w:rFonts w:ascii="Calibri" w:hAnsi="Calibri"/>
          <w:sz w:val="24"/>
          <w:szCs w:val="24"/>
        </w:rPr>
        <w:t>current poor</w:t>
      </w:r>
      <w:r>
        <w:rPr>
          <w:rFonts w:ascii="Calibri" w:hAnsi="Calibri"/>
          <w:sz w:val="24"/>
          <w:szCs w:val="24"/>
        </w:rPr>
        <w:t xml:space="preserve"> self-rated</w:t>
      </w:r>
      <w:r w:rsidRPr="00900254">
        <w:rPr>
          <w:rFonts w:ascii="Calibri" w:hAnsi="Calibri"/>
          <w:sz w:val="24"/>
          <w:szCs w:val="24"/>
        </w:rPr>
        <w:t xml:space="preserve"> health </w:t>
      </w:r>
      <w:r>
        <w:rPr>
          <w:rFonts w:ascii="Calibri" w:hAnsi="Calibri"/>
          <w:sz w:val="24"/>
          <w:szCs w:val="24"/>
        </w:rPr>
        <w:t xml:space="preserve">and number of IADL limitations are </w:t>
      </w:r>
      <w:r w:rsidRPr="00900254">
        <w:rPr>
          <w:rFonts w:ascii="Calibri" w:hAnsi="Calibri"/>
          <w:sz w:val="24"/>
          <w:szCs w:val="24"/>
        </w:rPr>
        <w:t xml:space="preserve"> associated with an increase in loneliness </w:t>
      </w:r>
      <w:r>
        <w:rPr>
          <w:rFonts w:ascii="Calibri" w:hAnsi="Calibri"/>
          <w:sz w:val="24"/>
          <w:szCs w:val="24"/>
        </w:rPr>
        <w:t xml:space="preserve">for both men and women. Being a current or past driver, compared with never having driven, is not associated with loneliness for either men or women. </w:t>
      </w:r>
      <w:r w:rsidRPr="00900254">
        <w:rPr>
          <w:rFonts w:ascii="Calibri" w:hAnsi="Calibri"/>
          <w:sz w:val="24"/>
          <w:szCs w:val="24"/>
        </w:rPr>
        <w:t xml:space="preserve"> </w:t>
      </w:r>
      <w:r>
        <w:rPr>
          <w:rFonts w:ascii="Calibri" w:hAnsi="Calibri"/>
          <w:sz w:val="24"/>
          <w:szCs w:val="24"/>
        </w:rPr>
        <w:t xml:space="preserve"> As noted earlier, the </w:t>
      </w:r>
      <w:r>
        <w:rPr>
          <w:rFonts w:ascii="Calibri" w:hAnsi="Calibri"/>
          <w:sz w:val="24"/>
          <w:szCs w:val="24"/>
        </w:rPr>
        <w:lastRenderedPageBreak/>
        <w:t>overall test of gender differences in place of residence is significant as is the individual contrast of rural versus Dublin residence (p&lt;.01). R</w:t>
      </w:r>
      <w:r w:rsidRPr="00900254">
        <w:rPr>
          <w:rFonts w:ascii="Calibri" w:hAnsi="Calibri"/>
          <w:sz w:val="24"/>
          <w:szCs w:val="24"/>
        </w:rPr>
        <w:t xml:space="preserve">ural residence is associated with </w:t>
      </w:r>
      <w:r>
        <w:rPr>
          <w:rFonts w:ascii="Calibri" w:hAnsi="Calibri"/>
          <w:sz w:val="24"/>
          <w:szCs w:val="24"/>
        </w:rPr>
        <w:t xml:space="preserve">significantly </w:t>
      </w:r>
      <w:r w:rsidRPr="00900254">
        <w:rPr>
          <w:rFonts w:ascii="Calibri" w:hAnsi="Calibri"/>
          <w:sz w:val="24"/>
          <w:szCs w:val="24"/>
        </w:rPr>
        <w:t>greater loneliness</w:t>
      </w:r>
      <w:r>
        <w:rPr>
          <w:rFonts w:ascii="Calibri" w:hAnsi="Calibri"/>
          <w:sz w:val="24"/>
          <w:szCs w:val="24"/>
        </w:rPr>
        <w:t xml:space="preserve"> for women than for men. </w:t>
      </w:r>
      <w:r w:rsidRPr="00900254">
        <w:rPr>
          <w:rFonts w:ascii="Calibri" w:hAnsi="Calibri"/>
          <w:sz w:val="24"/>
          <w:szCs w:val="24"/>
        </w:rPr>
        <w:t xml:space="preserve"> </w:t>
      </w:r>
    </w:p>
    <w:p w:rsidR="00565897" w:rsidRDefault="00565897">
      <w:pPr>
        <w:autoSpaceDE w:val="0"/>
        <w:autoSpaceDN w:val="0"/>
        <w:adjustRightInd w:val="0"/>
        <w:spacing w:after="0" w:line="480" w:lineRule="auto"/>
        <w:rPr>
          <w:rFonts w:ascii="Calibri" w:hAnsi="Calibri"/>
          <w:i/>
          <w:sz w:val="24"/>
          <w:szCs w:val="24"/>
        </w:rPr>
      </w:pPr>
    </w:p>
    <w:p w:rsidR="00565897" w:rsidRDefault="00C678E8">
      <w:pPr>
        <w:autoSpaceDE w:val="0"/>
        <w:autoSpaceDN w:val="0"/>
        <w:adjustRightInd w:val="0"/>
        <w:spacing w:after="0" w:line="480" w:lineRule="auto"/>
        <w:rPr>
          <w:rFonts w:ascii="Calibri" w:hAnsi="Calibri"/>
          <w:sz w:val="24"/>
          <w:szCs w:val="24"/>
        </w:rPr>
      </w:pPr>
      <w:r>
        <w:rPr>
          <w:rFonts w:ascii="Calibri" w:hAnsi="Calibri"/>
          <w:sz w:val="24"/>
          <w:szCs w:val="24"/>
        </w:rPr>
        <w:t xml:space="preserve">As noted earlier, most of the effects of the early childhood measures of poverty and parental substance abuse in model 1 remain direct in model 4, indicating relatively little mediation. Standard mediation tests are not very useful when applied to our model because of the number of multinomial variables that are mediators.  Instead, using a Wald test of differences across equations, we examined the related issue of whether addition of education, marital status, and health each produced a significant decline in effects of childhood poverty and parental substance abuse.  Among men, addition of marital status produced a significant decline (p=.05) in the effect of substance abuse on loneliness.  For marital status and education, these tests can be directly related to the models presented.  To test health, we used a simplified model that added only the two health measures in model 4.  Overall, these tests of change in the effect of childhood variables when possible mediators are added to the model strengthen the conclusion that most of the effect of childhood variables on loneliness in our models is direct. </w:t>
      </w:r>
    </w:p>
    <w:p w:rsidR="00565897" w:rsidRDefault="00565897">
      <w:pPr>
        <w:autoSpaceDE w:val="0"/>
        <w:autoSpaceDN w:val="0"/>
        <w:adjustRightInd w:val="0"/>
        <w:spacing w:after="0" w:line="480" w:lineRule="auto"/>
        <w:rPr>
          <w:rFonts w:ascii="Calibri" w:hAnsi="Calibri"/>
          <w:sz w:val="24"/>
          <w:szCs w:val="24"/>
        </w:rPr>
      </w:pPr>
    </w:p>
    <w:p w:rsidR="00565897" w:rsidRDefault="00565897">
      <w:pPr>
        <w:spacing w:after="0" w:line="480" w:lineRule="auto"/>
        <w:rPr>
          <w:rFonts w:ascii="Calibri" w:hAnsi="Calibri"/>
          <w:b/>
          <w:sz w:val="24"/>
          <w:szCs w:val="24"/>
        </w:rPr>
      </w:pPr>
    </w:p>
    <w:p w:rsidR="00565897" w:rsidRDefault="00C678E8">
      <w:pPr>
        <w:spacing w:after="0" w:line="480" w:lineRule="auto"/>
        <w:rPr>
          <w:rFonts w:ascii="Calibri" w:hAnsi="Calibri"/>
          <w:i/>
          <w:sz w:val="24"/>
          <w:szCs w:val="24"/>
        </w:rPr>
      </w:pPr>
      <w:r w:rsidRPr="00900254">
        <w:rPr>
          <w:rFonts w:ascii="Calibri" w:hAnsi="Calibri"/>
          <w:i/>
          <w:sz w:val="24"/>
          <w:szCs w:val="24"/>
        </w:rPr>
        <w:t>Discussion; Limitations and Future Directions</w:t>
      </w:r>
    </w:p>
    <w:p w:rsidR="00565897" w:rsidRDefault="00565897">
      <w:pPr>
        <w:spacing w:after="0" w:line="480" w:lineRule="auto"/>
        <w:rPr>
          <w:rFonts w:ascii="Calibri" w:hAnsi="Calibri"/>
          <w:sz w:val="24"/>
          <w:szCs w:val="24"/>
        </w:rPr>
      </w:pPr>
    </w:p>
    <w:p w:rsidR="00565897" w:rsidRDefault="00C678E8">
      <w:pPr>
        <w:autoSpaceDE w:val="0"/>
        <w:autoSpaceDN w:val="0"/>
        <w:adjustRightInd w:val="0"/>
        <w:spacing w:after="0" w:line="480" w:lineRule="auto"/>
        <w:rPr>
          <w:rFonts w:ascii="Calibri" w:hAnsi="Calibri"/>
          <w:color w:val="000000"/>
          <w:sz w:val="24"/>
          <w:szCs w:val="24"/>
        </w:rPr>
      </w:pPr>
      <w:r w:rsidRPr="00900254">
        <w:rPr>
          <w:rFonts w:ascii="Calibri" w:hAnsi="Calibri"/>
          <w:color w:val="000000"/>
          <w:sz w:val="24"/>
          <w:szCs w:val="24"/>
        </w:rPr>
        <w:t xml:space="preserve">There are three central findings.  First, childhood characteristics have direct effects on later-life loneliness, </w:t>
      </w:r>
      <w:r>
        <w:rPr>
          <w:rFonts w:ascii="Calibri" w:hAnsi="Calibri"/>
          <w:color w:val="000000"/>
          <w:sz w:val="24"/>
          <w:szCs w:val="24"/>
        </w:rPr>
        <w:t xml:space="preserve">and, with a few exceptions, </w:t>
      </w:r>
      <w:r w:rsidRPr="00900254">
        <w:rPr>
          <w:rFonts w:ascii="Calibri" w:hAnsi="Calibri"/>
          <w:color w:val="000000"/>
          <w:sz w:val="24"/>
          <w:szCs w:val="24"/>
        </w:rPr>
        <w:t xml:space="preserve">only a small portion of their initial </w:t>
      </w:r>
      <w:r w:rsidRPr="00900254">
        <w:rPr>
          <w:rFonts w:ascii="Calibri" w:hAnsi="Calibri"/>
          <w:color w:val="000000"/>
          <w:sz w:val="24"/>
          <w:szCs w:val="24"/>
        </w:rPr>
        <w:lastRenderedPageBreak/>
        <w:t xml:space="preserve">effect </w:t>
      </w:r>
      <w:r>
        <w:rPr>
          <w:rFonts w:ascii="Calibri" w:hAnsi="Calibri"/>
          <w:color w:val="000000"/>
          <w:sz w:val="24"/>
          <w:szCs w:val="24"/>
        </w:rPr>
        <w:t xml:space="preserve">is </w:t>
      </w:r>
      <w:r w:rsidRPr="00900254">
        <w:rPr>
          <w:rFonts w:ascii="Calibri" w:hAnsi="Calibri"/>
          <w:color w:val="000000"/>
          <w:sz w:val="24"/>
          <w:szCs w:val="24"/>
        </w:rPr>
        <w:t xml:space="preserve">accounted for by intervening statuses.  Second, compared to married persons, the never married and widows are substantially </w:t>
      </w:r>
      <w:r w:rsidR="00982CD5">
        <w:rPr>
          <w:rFonts w:ascii="Calibri" w:hAnsi="Calibri"/>
          <w:color w:val="000000"/>
          <w:sz w:val="24"/>
          <w:szCs w:val="24"/>
        </w:rPr>
        <w:t>lonelier</w:t>
      </w:r>
      <w:r w:rsidRPr="00900254">
        <w:rPr>
          <w:rFonts w:ascii="Calibri" w:hAnsi="Calibri"/>
          <w:color w:val="000000"/>
          <w:sz w:val="24"/>
          <w:szCs w:val="24"/>
        </w:rPr>
        <w:t>, and these relationships are stronger for men than for women.  Third,</w:t>
      </w:r>
      <w:r>
        <w:rPr>
          <w:rFonts w:ascii="Calibri" w:hAnsi="Calibri"/>
          <w:color w:val="000000"/>
          <w:sz w:val="24"/>
          <w:szCs w:val="24"/>
        </w:rPr>
        <w:t xml:space="preserve"> the </w:t>
      </w:r>
      <w:r w:rsidRPr="00900254">
        <w:rPr>
          <w:rFonts w:ascii="Calibri" w:hAnsi="Calibri"/>
          <w:color w:val="000000"/>
          <w:sz w:val="24"/>
          <w:szCs w:val="24"/>
        </w:rPr>
        <w:t>later-life characteristic of poor health</w:t>
      </w:r>
      <w:r>
        <w:rPr>
          <w:rFonts w:ascii="Calibri" w:hAnsi="Calibri"/>
          <w:color w:val="000000"/>
          <w:sz w:val="24"/>
          <w:szCs w:val="24"/>
        </w:rPr>
        <w:t xml:space="preserve"> is</w:t>
      </w:r>
      <w:r w:rsidRPr="00900254">
        <w:rPr>
          <w:rFonts w:ascii="Calibri" w:hAnsi="Calibri"/>
          <w:color w:val="000000"/>
          <w:sz w:val="24"/>
          <w:szCs w:val="24"/>
        </w:rPr>
        <w:t xml:space="preserve"> associated with greater later-life loneliness.</w:t>
      </w:r>
    </w:p>
    <w:p w:rsidR="00565897" w:rsidRDefault="00565897">
      <w:pPr>
        <w:autoSpaceDE w:val="0"/>
        <w:autoSpaceDN w:val="0"/>
        <w:adjustRightInd w:val="0"/>
        <w:spacing w:after="0" w:line="480" w:lineRule="auto"/>
        <w:rPr>
          <w:rFonts w:ascii="Calibri" w:hAnsi="Calibri"/>
          <w:color w:val="000000"/>
          <w:sz w:val="24"/>
          <w:szCs w:val="24"/>
        </w:rPr>
      </w:pPr>
    </w:p>
    <w:p w:rsidR="00565897" w:rsidRDefault="00C678E8">
      <w:pPr>
        <w:autoSpaceDE w:val="0"/>
        <w:autoSpaceDN w:val="0"/>
        <w:adjustRightInd w:val="0"/>
        <w:spacing w:after="0" w:line="480" w:lineRule="auto"/>
        <w:rPr>
          <w:rFonts w:ascii="Calibri" w:hAnsi="Calibri"/>
          <w:color w:val="000000"/>
          <w:sz w:val="24"/>
          <w:szCs w:val="24"/>
        </w:rPr>
      </w:pPr>
      <w:r w:rsidRPr="00900254">
        <w:rPr>
          <w:rFonts w:ascii="Calibri" w:hAnsi="Calibri"/>
          <w:color w:val="000000"/>
          <w:sz w:val="24"/>
          <w:szCs w:val="24"/>
        </w:rPr>
        <w:t xml:space="preserve">Growing up in relative poverty and, for men, having parents with substance abuse are both associated with greater later-life loneliness.  Most of the initial association remains direct after controlling for adult and late-life characteristics.  While it is not possible to unequivocally attribute this finding to one of the conceptual explanations presented earlier, the finding does provide substantial evidence of the continuing impact of childhood on later-life loneliness.  The finding suggests that the research literature </w:t>
      </w:r>
      <w:r>
        <w:rPr>
          <w:rFonts w:ascii="Calibri" w:hAnsi="Calibri"/>
          <w:color w:val="000000"/>
          <w:sz w:val="24"/>
          <w:szCs w:val="24"/>
        </w:rPr>
        <w:t>on the</w:t>
      </w:r>
      <w:r w:rsidRPr="00900254">
        <w:rPr>
          <w:rFonts w:ascii="Calibri" w:hAnsi="Calibri"/>
          <w:color w:val="000000"/>
          <w:sz w:val="24"/>
          <w:szCs w:val="24"/>
        </w:rPr>
        <w:t xml:space="preserve"> long-term implications of childhood characteristics </w:t>
      </w:r>
      <w:r>
        <w:rPr>
          <w:rFonts w:ascii="Calibri" w:hAnsi="Calibri"/>
          <w:color w:val="000000"/>
          <w:sz w:val="24"/>
          <w:szCs w:val="24"/>
        </w:rPr>
        <w:t>for</w:t>
      </w:r>
      <w:r w:rsidRPr="00900254">
        <w:rPr>
          <w:rFonts w:ascii="Calibri" w:hAnsi="Calibri"/>
          <w:color w:val="000000"/>
          <w:sz w:val="24"/>
          <w:szCs w:val="24"/>
        </w:rPr>
        <w:t xml:space="preserve"> health can be expanded to related areas of morale. </w:t>
      </w:r>
    </w:p>
    <w:p w:rsidR="00565897" w:rsidRDefault="00565897">
      <w:pPr>
        <w:autoSpaceDE w:val="0"/>
        <w:autoSpaceDN w:val="0"/>
        <w:adjustRightInd w:val="0"/>
        <w:spacing w:after="0" w:line="480" w:lineRule="auto"/>
        <w:rPr>
          <w:rFonts w:ascii="Calibri" w:hAnsi="Calibri"/>
          <w:color w:val="000000"/>
          <w:sz w:val="24"/>
          <w:szCs w:val="24"/>
        </w:rPr>
      </w:pPr>
    </w:p>
    <w:p w:rsidR="00565897" w:rsidRDefault="00C678E8">
      <w:pPr>
        <w:autoSpaceDE w:val="0"/>
        <w:autoSpaceDN w:val="0"/>
        <w:adjustRightInd w:val="0"/>
        <w:spacing w:after="0" w:line="480" w:lineRule="auto"/>
        <w:rPr>
          <w:rFonts w:ascii="Calibri" w:hAnsi="Calibri"/>
          <w:color w:val="000000"/>
          <w:sz w:val="24"/>
          <w:szCs w:val="24"/>
        </w:rPr>
      </w:pPr>
      <w:r w:rsidRPr="00900254">
        <w:rPr>
          <w:rFonts w:ascii="Calibri" w:hAnsi="Calibri"/>
          <w:color w:val="000000"/>
          <w:sz w:val="24"/>
          <w:szCs w:val="24"/>
        </w:rPr>
        <w:t xml:space="preserve"> Interestingly, men and women who did not answer the substance abuse question also showed high levels of loneliness.  The interpretation of this result is unclear. It may be that current loneliness leads respondents to be less willing to answer sensitive questions or it could reflect actual parental substance abuse about which the respondent is too conflicted to provide a report. </w:t>
      </w:r>
      <w:r w:rsidRPr="00900254">
        <w:rPr>
          <w:rFonts w:ascii="Calibri" w:hAnsi="Calibri" w:cs="Arial"/>
          <w:sz w:val="24"/>
          <w:szCs w:val="24"/>
        </w:rPr>
        <w:t>The relationship of childhood socioeconomic deprivation and parental substance abuse with adult wellbeing should be an important consideration in social policy planning.</w:t>
      </w:r>
    </w:p>
    <w:p w:rsidR="00565897" w:rsidRDefault="00565897">
      <w:pPr>
        <w:autoSpaceDE w:val="0"/>
        <w:autoSpaceDN w:val="0"/>
        <w:adjustRightInd w:val="0"/>
        <w:spacing w:after="0" w:line="480" w:lineRule="auto"/>
        <w:rPr>
          <w:rFonts w:ascii="Calibri" w:hAnsi="Calibri"/>
          <w:color w:val="000000"/>
          <w:sz w:val="24"/>
          <w:szCs w:val="24"/>
        </w:rPr>
      </w:pPr>
    </w:p>
    <w:p w:rsidR="00565897" w:rsidRDefault="00C678E8">
      <w:pPr>
        <w:autoSpaceDE w:val="0"/>
        <w:autoSpaceDN w:val="0"/>
        <w:adjustRightInd w:val="0"/>
        <w:spacing w:after="0" w:line="480" w:lineRule="auto"/>
        <w:rPr>
          <w:rFonts w:ascii="Calibri" w:hAnsi="Calibri"/>
          <w:color w:val="000000"/>
          <w:sz w:val="24"/>
          <w:szCs w:val="24"/>
        </w:rPr>
      </w:pPr>
      <w:r w:rsidRPr="00900254">
        <w:rPr>
          <w:rFonts w:ascii="Calibri" w:hAnsi="Calibri"/>
          <w:color w:val="000000"/>
          <w:sz w:val="24"/>
          <w:szCs w:val="24"/>
        </w:rPr>
        <w:t xml:space="preserve">In contrast to the currently married, all non-married statuses report greater loneliness.  These effects are greater for men than women, perhaps because men’s </w:t>
      </w:r>
      <w:r w:rsidRPr="00900254">
        <w:rPr>
          <w:rFonts w:ascii="Calibri" w:hAnsi="Calibri"/>
          <w:color w:val="000000"/>
          <w:sz w:val="24"/>
          <w:szCs w:val="24"/>
        </w:rPr>
        <w:lastRenderedPageBreak/>
        <w:t xml:space="preserve">earlier mortality means that older unmarried women have more potential friends among other widowed women (Blau, 1961).  Ireland is unique </w:t>
      </w:r>
      <w:r w:rsidR="00C17E11">
        <w:rPr>
          <w:rFonts w:ascii="Calibri" w:hAnsi="Calibri"/>
          <w:color w:val="000000"/>
          <w:sz w:val="24"/>
          <w:szCs w:val="24"/>
        </w:rPr>
        <w:t xml:space="preserve">in the developed country context </w:t>
      </w:r>
      <w:r w:rsidRPr="00900254">
        <w:rPr>
          <w:rFonts w:ascii="Calibri" w:hAnsi="Calibri"/>
          <w:color w:val="000000"/>
          <w:sz w:val="24"/>
          <w:szCs w:val="24"/>
        </w:rPr>
        <w:t xml:space="preserve">because a high proportion of the birth cohorts examined here are never married and relatively few are separated or divorced.  There are strong gender-specific patterns to the never married.  Among men, parental substance abuse, primary education, being the son of a farmer, living in a rural area, and poor childhood health are associated with being never married.  Among women, it is </w:t>
      </w:r>
      <w:r>
        <w:rPr>
          <w:rFonts w:ascii="Calibri" w:hAnsi="Calibri"/>
          <w:color w:val="000000"/>
          <w:sz w:val="24"/>
          <w:szCs w:val="24"/>
        </w:rPr>
        <w:t xml:space="preserve">the </w:t>
      </w:r>
      <w:r w:rsidRPr="00900254">
        <w:rPr>
          <w:rFonts w:ascii="Calibri" w:hAnsi="Calibri"/>
          <w:color w:val="000000"/>
          <w:sz w:val="24"/>
          <w:szCs w:val="24"/>
        </w:rPr>
        <w:t xml:space="preserve">highly educated who are unmarried.  In addition, the strong effect of age indicates the rapid decline in the never married status in the younger members of the cohorts studied.  Yet, while marital status, including being never married, has a substantial association with loneliness, there’s relatively little evidence that marital status is the pathway between early events and later-life loneliness.  Of the factors affecting marriage, only parental substance abuse (for men) and education are associated with loneliness.  Most of the relationship between </w:t>
      </w:r>
      <w:r w:rsidR="008F3F29">
        <w:rPr>
          <w:rFonts w:ascii="Calibri" w:hAnsi="Calibri"/>
          <w:color w:val="000000"/>
          <w:sz w:val="24"/>
          <w:szCs w:val="24"/>
        </w:rPr>
        <w:t xml:space="preserve">parental </w:t>
      </w:r>
      <w:r w:rsidRPr="00900254">
        <w:rPr>
          <w:rFonts w:ascii="Calibri" w:hAnsi="Calibri"/>
          <w:color w:val="000000"/>
          <w:sz w:val="24"/>
          <w:szCs w:val="24"/>
        </w:rPr>
        <w:t xml:space="preserve">substance abuse and loneliness is direct.  However, education effects in model 2 are accounted for by marital status as well as late life status.  </w:t>
      </w:r>
    </w:p>
    <w:p w:rsidR="00565897" w:rsidRDefault="00565897">
      <w:pPr>
        <w:autoSpaceDE w:val="0"/>
        <w:autoSpaceDN w:val="0"/>
        <w:adjustRightInd w:val="0"/>
        <w:spacing w:after="0" w:line="480" w:lineRule="auto"/>
        <w:rPr>
          <w:rFonts w:ascii="Calibri" w:hAnsi="Calibri"/>
          <w:color w:val="000000"/>
          <w:sz w:val="24"/>
          <w:szCs w:val="24"/>
        </w:rPr>
      </w:pPr>
    </w:p>
    <w:p w:rsidR="00565897" w:rsidRDefault="00C678E8">
      <w:pPr>
        <w:autoSpaceDE w:val="0"/>
        <w:autoSpaceDN w:val="0"/>
        <w:adjustRightInd w:val="0"/>
        <w:spacing w:after="0" w:line="480" w:lineRule="auto"/>
        <w:rPr>
          <w:rFonts w:ascii="Calibri" w:hAnsi="Calibri"/>
          <w:b/>
          <w:sz w:val="24"/>
          <w:szCs w:val="24"/>
        </w:rPr>
      </w:pPr>
      <w:r w:rsidRPr="00900254">
        <w:rPr>
          <w:rFonts w:ascii="Calibri" w:hAnsi="Calibri"/>
          <w:color w:val="000000"/>
          <w:sz w:val="24"/>
          <w:szCs w:val="24"/>
        </w:rPr>
        <w:t xml:space="preserve">Marital status effects retain almost all their effects in model 4, and this continued association is different from previous findings relating marital status to health outcomes. Research has indicated that the effects of marital status on health (as measured by mortality) are, to a substantial extent, accounted for by economic status (Lillard &amp; Waite, 1995; Rogers, 1995). Our findings indicate that this is not the case for loneliness in Ireland. </w:t>
      </w:r>
    </w:p>
    <w:p w:rsidR="00565897" w:rsidRDefault="00565897">
      <w:pPr>
        <w:autoSpaceDE w:val="0"/>
        <w:autoSpaceDN w:val="0"/>
        <w:adjustRightInd w:val="0"/>
        <w:spacing w:after="0" w:line="480" w:lineRule="auto"/>
        <w:rPr>
          <w:rFonts w:ascii="Calibri" w:hAnsi="Calibri"/>
          <w:b/>
          <w:sz w:val="24"/>
          <w:szCs w:val="24"/>
        </w:rPr>
      </w:pPr>
    </w:p>
    <w:p w:rsidR="00C678E8" w:rsidRPr="00900254" w:rsidRDefault="00C678E8" w:rsidP="00305FD7">
      <w:pPr>
        <w:autoSpaceDE w:val="0"/>
        <w:autoSpaceDN w:val="0"/>
        <w:adjustRightInd w:val="0"/>
        <w:spacing w:after="0" w:line="480" w:lineRule="auto"/>
        <w:rPr>
          <w:rFonts w:ascii="Calibri" w:hAnsi="Calibri"/>
          <w:sz w:val="24"/>
          <w:szCs w:val="24"/>
        </w:rPr>
      </w:pPr>
      <w:r w:rsidRPr="00900254">
        <w:rPr>
          <w:rFonts w:ascii="Calibri" w:hAnsi="Calibri"/>
          <w:sz w:val="24"/>
          <w:szCs w:val="24"/>
        </w:rPr>
        <w:lastRenderedPageBreak/>
        <w:t>Finally, late life characteristics of poor health and low social support are associated with loneliness.  Poor health is likely to increase social isolation by reducing the ability of the individual to participate in social relationships, and limited social support is also likely to produce social isolation. Hence these findings are not surprising and provide some evidence of the validity of the measure of loneliness.</w:t>
      </w:r>
    </w:p>
    <w:p w:rsidR="00C678E8" w:rsidRPr="00900254" w:rsidRDefault="00C678E8" w:rsidP="00305FD7">
      <w:pPr>
        <w:autoSpaceDE w:val="0"/>
        <w:autoSpaceDN w:val="0"/>
        <w:adjustRightInd w:val="0"/>
        <w:spacing w:after="0" w:line="480" w:lineRule="auto"/>
        <w:rPr>
          <w:rFonts w:ascii="Calibri" w:hAnsi="Calibri"/>
          <w:sz w:val="24"/>
          <w:szCs w:val="24"/>
        </w:rPr>
      </w:pPr>
    </w:p>
    <w:p w:rsidR="00C678E8" w:rsidRPr="00900254" w:rsidRDefault="00C678E8" w:rsidP="00305FD7">
      <w:pPr>
        <w:autoSpaceDE w:val="0"/>
        <w:autoSpaceDN w:val="0"/>
        <w:adjustRightInd w:val="0"/>
        <w:spacing w:after="0" w:line="480" w:lineRule="auto"/>
        <w:rPr>
          <w:rFonts w:ascii="Calibri" w:hAnsi="Calibri"/>
          <w:color w:val="000000"/>
          <w:sz w:val="24"/>
          <w:szCs w:val="24"/>
        </w:rPr>
      </w:pPr>
      <w:r w:rsidRPr="00900254">
        <w:rPr>
          <w:rFonts w:ascii="Calibri" w:hAnsi="Calibri"/>
          <w:sz w:val="24"/>
          <w:szCs w:val="24"/>
        </w:rPr>
        <w:t xml:space="preserve">The results are subject to several limitations. </w:t>
      </w:r>
      <w:r w:rsidRPr="00900254">
        <w:rPr>
          <w:rFonts w:ascii="Calibri" w:hAnsi="Calibri"/>
          <w:color w:val="000000"/>
          <w:sz w:val="24"/>
          <w:szCs w:val="24"/>
        </w:rPr>
        <w:t xml:space="preserve">Information on childhood circumstances was gathered retrospectively when the respondents were aged 65 years and over, and </w:t>
      </w:r>
      <w:r w:rsidRPr="00900254">
        <w:rPr>
          <w:rFonts w:ascii="Calibri" w:hAnsi="Calibri"/>
          <w:sz w:val="24"/>
          <w:szCs w:val="24"/>
        </w:rPr>
        <w:t>such retrospective accounts may be compromised by poor recall (Looker, 1989)</w:t>
      </w:r>
      <w:r w:rsidRPr="00900254">
        <w:rPr>
          <w:rFonts w:ascii="Calibri" w:hAnsi="Calibri"/>
          <w:color w:val="000000"/>
          <w:sz w:val="24"/>
          <w:szCs w:val="24"/>
        </w:rPr>
        <w:t>.  A further limitation is that the study is a cross-sectional analysis which fails to capture changes over time, and is not fully able to capture the direction of causality.  We cannot rule out reverse causation between loneliness and some of the late life variables such as current health and social support.  Moreover, current loneliness may affect recall of childhood events, leading respondents to emphasize their negative experiences.</w:t>
      </w:r>
      <w:r>
        <w:rPr>
          <w:rFonts w:ascii="Calibri" w:hAnsi="Calibri"/>
          <w:color w:val="000000"/>
          <w:sz w:val="24"/>
          <w:szCs w:val="24"/>
        </w:rPr>
        <w:t xml:space="preserve"> Finally, the response rate to the TILDA study was 62%. This response rate is quite good for a European study though lower than similarly well-designed samples in the U.S.  83% of those interviewed returned the self-completion questionnaire.  This is also a solid response rate. However, taken together, 51.5% of the original sample are represented in this analysis.  The results can be generalized to the population sampled only on the assumption that non-response was random. The issue and the assumption are not unique to this study but are found in all survey research.</w:t>
      </w:r>
    </w:p>
    <w:p w:rsidR="00C678E8" w:rsidRPr="00900254" w:rsidRDefault="00C678E8" w:rsidP="00305FD7">
      <w:pPr>
        <w:autoSpaceDE w:val="0"/>
        <w:autoSpaceDN w:val="0"/>
        <w:adjustRightInd w:val="0"/>
        <w:spacing w:after="0" w:line="480" w:lineRule="auto"/>
        <w:rPr>
          <w:rFonts w:ascii="Calibri" w:hAnsi="Calibri"/>
          <w:color w:val="000000"/>
          <w:sz w:val="24"/>
          <w:szCs w:val="24"/>
        </w:rPr>
      </w:pPr>
      <w:r w:rsidRPr="00900254">
        <w:rPr>
          <w:rFonts w:ascii="Calibri" w:hAnsi="Calibri"/>
          <w:color w:val="000000"/>
          <w:sz w:val="24"/>
          <w:szCs w:val="24"/>
        </w:rPr>
        <w:t>The findings reported here add to what is already know</w:t>
      </w:r>
      <w:r w:rsidR="008F3F29">
        <w:rPr>
          <w:rFonts w:ascii="Calibri" w:hAnsi="Calibri"/>
          <w:color w:val="000000"/>
          <w:sz w:val="24"/>
          <w:szCs w:val="24"/>
        </w:rPr>
        <w:t>n</w:t>
      </w:r>
      <w:r w:rsidRPr="00900254">
        <w:rPr>
          <w:rFonts w:ascii="Calibri" w:hAnsi="Calibri"/>
          <w:color w:val="000000"/>
          <w:sz w:val="24"/>
          <w:szCs w:val="24"/>
        </w:rPr>
        <w:t xml:space="preserve"> about the relation of childhood and well-being in later life.  Future research should be directed to </w:t>
      </w:r>
      <w:r w:rsidRPr="00900254">
        <w:rPr>
          <w:rFonts w:ascii="Calibri" w:hAnsi="Calibri"/>
          <w:color w:val="000000"/>
          <w:sz w:val="24"/>
          <w:szCs w:val="24"/>
        </w:rPr>
        <w:lastRenderedPageBreak/>
        <w:t>exploring the links between childhood and other measures of well-being as well as continuing to examine possible pathways not currently measured that may be responsible for the</w:t>
      </w:r>
      <w:r>
        <w:rPr>
          <w:rFonts w:ascii="Calibri" w:hAnsi="Calibri"/>
          <w:color w:val="000000"/>
          <w:sz w:val="24"/>
          <w:szCs w:val="24"/>
        </w:rPr>
        <w:t xml:space="preserve"> association of early environment and later-life loneliness</w:t>
      </w:r>
      <w:r w:rsidRPr="00900254">
        <w:rPr>
          <w:rFonts w:ascii="Calibri" w:hAnsi="Calibri"/>
          <w:color w:val="000000"/>
          <w:sz w:val="24"/>
          <w:szCs w:val="24"/>
        </w:rPr>
        <w:t>.</w:t>
      </w:r>
    </w:p>
    <w:p w:rsidR="00C678E8" w:rsidRPr="00900254" w:rsidRDefault="00C678E8" w:rsidP="00305FD7">
      <w:pPr>
        <w:autoSpaceDE w:val="0"/>
        <w:autoSpaceDN w:val="0"/>
        <w:adjustRightInd w:val="0"/>
        <w:spacing w:after="0" w:line="240" w:lineRule="auto"/>
        <w:rPr>
          <w:rFonts w:ascii="Calibri" w:hAnsi="Calibri"/>
          <w:color w:val="000000"/>
          <w:sz w:val="24"/>
          <w:szCs w:val="24"/>
        </w:rPr>
      </w:pPr>
    </w:p>
    <w:p w:rsidR="00C678E8" w:rsidRPr="00900254" w:rsidRDefault="00C678E8" w:rsidP="00305FD7">
      <w:pPr>
        <w:spacing w:after="0" w:line="240" w:lineRule="auto"/>
        <w:rPr>
          <w:rFonts w:ascii="Calibri" w:hAnsi="Calibri"/>
          <w:b/>
          <w:sz w:val="24"/>
          <w:szCs w:val="24"/>
        </w:rPr>
      </w:pPr>
    </w:p>
    <w:p w:rsidR="00565897" w:rsidRDefault="00C678E8">
      <w:pPr>
        <w:spacing w:after="0" w:line="480" w:lineRule="auto"/>
        <w:rPr>
          <w:rFonts w:ascii="Calibri" w:hAnsi="Calibri"/>
          <w:b/>
          <w:sz w:val="24"/>
          <w:szCs w:val="24"/>
        </w:rPr>
      </w:pPr>
      <w:r w:rsidRPr="00900254">
        <w:rPr>
          <w:rFonts w:ascii="Calibri" w:hAnsi="Calibri"/>
          <w:b/>
          <w:sz w:val="24"/>
          <w:szCs w:val="24"/>
        </w:rPr>
        <w:t>Acknowledgements</w:t>
      </w:r>
    </w:p>
    <w:p w:rsidR="00565897" w:rsidRDefault="00C678E8">
      <w:pPr>
        <w:autoSpaceDE w:val="0"/>
        <w:autoSpaceDN w:val="0"/>
        <w:adjustRightInd w:val="0"/>
        <w:spacing w:after="0" w:line="480" w:lineRule="auto"/>
        <w:rPr>
          <w:rFonts w:ascii="AdvPSSAB-R" w:eastAsia="MS Mincho" w:hAnsi="AdvPSSAB-R" w:cs="AdvPSSAB-R"/>
          <w:sz w:val="24"/>
          <w:szCs w:val="24"/>
          <w:lang w:val="en-US" w:eastAsia="ja-JP"/>
        </w:rPr>
      </w:pPr>
      <w:r w:rsidRPr="00900254">
        <w:rPr>
          <w:rFonts w:ascii="Calibri" w:eastAsia="MS Mincho" w:hAnsi="Calibri" w:cs="AdvPSSAB-R"/>
          <w:sz w:val="24"/>
          <w:szCs w:val="24"/>
          <w:lang w:val="en-US" w:eastAsia="ja-JP"/>
        </w:rPr>
        <w:t>The authors would like to acknowledge the contribution of the participants in the study, members of the TILDA research team, and administrators. Funding was gratefully received from the Atlantic Philanthropies, the Irish Government, and Irish Life</w:t>
      </w:r>
      <w:r w:rsidRPr="00900254">
        <w:rPr>
          <w:rFonts w:ascii="AdvPSSAB-R" w:eastAsia="MS Mincho" w:hAnsi="AdvPSSAB-R" w:cs="AdvPSSAB-R"/>
          <w:sz w:val="24"/>
          <w:szCs w:val="24"/>
          <w:lang w:val="en-US" w:eastAsia="ja-JP"/>
        </w:rPr>
        <w:t xml:space="preserve"> plc.</w:t>
      </w:r>
    </w:p>
    <w:p w:rsidR="00C678E8" w:rsidRPr="00900254" w:rsidRDefault="00C678E8" w:rsidP="00305FD7">
      <w:pPr>
        <w:spacing w:after="0" w:line="240" w:lineRule="auto"/>
        <w:rPr>
          <w:rFonts w:ascii="Calibri" w:hAnsi="Calibri"/>
          <w:b/>
          <w:sz w:val="24"/>
          <w:szCs w:val="24"/>
        </w:rPr>
      </w:pPr>
    </w:p>
    <w:p w:rsidR="006925F6" w:rsidRDefault="006925F6">
      <w:pPr>
        <w:spacing w:after="0" w:line="240" w:lineRule="auto"/>
        <w:rPr>
          <w:rFonts w:ascii="Calibri" w:hAnsi="Calibri"/>
          <w:b/>
          <w:sz w:val="24"/>
          <w:szCs w:val="24"/>
        </w:rPr>
      </w:pPr>
      <w:r>
        <w:rPr>
          <w:rFonts w:ascii="Calibri" w:hAnsi="Calibri"/>
          <w:b/>
          <w:sz w:val="24"/>
          <w:szCs w:val="24"/>
        </w:rPr>
        <w:br w:type="page"/>
      </w:r>
    </w:p>
    <w:p w:rsidR="00C678E8" w:rsidRPr="00900254" w:rsidRDefault="00C678E8" w:rsidP="00305FD7">
      <w:pPr>
        <w:spacing w:after="0" w:line="240" w:lineRule="auto"/>
        <w:rPr>
          <w:rFonts w:ascii="Calibri" w:hAnsi="Calibri"/>
          <w:b/>
          <w:sz w:val="24"/>
          <w:szCs w:val="24"/>
        </w:rPr>
      </w:pPr>
      <w:r w:rsidRPr="00900254">
        <w:rPr>
          <w:rFonts w:ascii="Calibri" w:hAnsi="Calibri"/>
          <w:b/>
          <w:sz w:val="24"/>
          <w:szCs w:val="24"/>
        </w:rPr>
        <w:lastRenderedPageBreak/>
        <w:t>References</w:t>
      </w:r>
    </w:p>
    <w:p w:rsidR="00C678E8" w:rsidRPr="00900254" w:rsidRDefault="00C678E8" w:rsidP="00773E61">
      <w:pPr>
        <w:spacing w:after="0" w:line="480" w:lineRule="auto"/>
        <w:rPr>
          <w:rFonts w:ascii="Calibri" w:hAnsi="Calibri"/>
          <w:b/>
          <w:sz w:val="24"/>
          <w:szCs w:val="24"/>
        </w:rPr>
      </w:pPr>
    </w:p>
    <w:p w:rsidR="00C678E8" w:rsidRPr="00900254" w:rsidRDefault="00C678E8" w:rsidP="000342D8">
      <w:pPr>
        <w:spacing w:after="100" w:line="480" w:lineRule="auto"/>
        <w:rPr>
          <w:rFonts w:ascii="Calibri" w:hAnsi="Calibri"/>
          <w:sz w:val="24"/>
          <w:szCs w:val="24"/>
        </w:rPr>
      </w:pPr>
      <w:r w:rsidRPr="00900254">
        <w:rPr>
          <w:rFonts w:ascii="Calibri" w:hAnsi="Calibri"/>
          <w:sz w:val="24"/>
          <w:szCs w:val="24"/>
        </w:rPr>
        <w:t xml:space="preserve">Barg, F.K., Huss-Ashmore, R., Wittink, M.N., Murray, G.F., Bogner, H.R. &amp; Gallo, J.J. (2006). A mixed-methods approach to understanding loneliness and depression in older adults. </w:t>
      </w:r>
      <w:r w:rsidRPr="00900254">
        <w:rPr>
          <w:rFonts w:ascii="Calibri" w:hAnsi="Calibri"/>
          <w:i/>
          <w:sz w:val="24"/>
          <w:szCs w:val="24"/>
        </w:rPr>
        <w:t>Journal of Gerontology: Social Sciences,</w:t>
      </w:r>
      <w:r w:rsidRPr="00900254">
        <w:rPr>
          <w:rFonts w:ascii="Calibri" w:hAnsi="Calibri"/>
          <w:sz w:val="24"/>
          <w:szCs w:val="24"/>
        </w:rPr>
        <w:t xml:space="preserve"> </w:t>
      </w:r>
      <w:r w:rsidR="00BB27B0" w:rsidRPr="00BB27B0">
        <w:rPr>
          <w:rFonts w:ascii="Calibri" w:hAnsi="Calibri"/>
          <w:i/>
          <w:sz w:val="24"/>
          <w:szCs w:val="24"/>
        </w:rPr>
        <w:t>61B</w:t>
      </w:r>
      <w:r w:rsidRPr="00900254">
        <w:rPr>
          <w:rFonts w:ascii="Calibri" w:hAnsi="Calibri"/>
          <w:sz w:val="24"/>
          <w:szCs w:val="24"/>
        </w:rPr>
        <w:t>, S329-S339.</w:t>
      </w:r>
    </w:p>
    <w:p w:rsidR="00C678E8" w:rsidRPr="00900254" w:rsidRDefault="00C678E8" w:rsidP="000342D8">
      <w:pPr>
        <w:spacing w:after="100" w:line="480" w:lineRule="auto"/>
        <w:rPr>
          <w:rFonts w:ascii="Calibri" w:hAnsi="Calibri"/>
          <w:sz w:val="24"/>
          <w:szCs w:val="24"/>
        </w:rPr>
      </w:pPr>
      <w:r w:rsidRPr="00900254">
        <w:rPr>
          <w:rFonts w:ascii="Calibri" w:hAnsi="Calibri"/>
          <w:sz w:val="24"/>
          <w:szCs w:val="24"/>
        </w:rPr>
        <w:t xml:space="preserve">Ben-Shlomo, Y. &amp; Kuh, D.  (2002). A life-course approach to chronic disease epidemiology: Conceptual models, empirical challenges, and interdisciplinary perspectives. </w:t>
      </w:r>
      <w:r w:rsidRPr="00900254">
        <w:rPr>
          <w:rFonts w:ascii="Calibri" w:hAnsi="Calibri"/>
          <w:i/>
          <w:sz w:val="24"/>
          <w:szCs w:val="24"/>
        </w:rPr>
        <w:t>International Journal of Epidemiology</w:t>
      </w:r>
      <w:r w:rsidRPr="00900254">
        <w:rPr>
          <w:rFonts w:ascii="Calibri" w:hAnsi="Calibri"/>
          <w:sz w:val="24"/>
          <w:szCs w:val="24"/>
        </w:rPr>
        <w:t xml:space="preserve">, </w:t>
      </w:r>
      <w:r w:rsidR="00BB27B0" w:rsidRPr="00BB27B0">
        <w:rPr>
          <w:rFonts w:ascii="Calibri" w:hAnsi="Calibri"/>
          <w:i/>
          <w:sz w:val="24"/>
          <w:szCs w:val="24"/>
        </w:rPr>
        <w:t>31</w:t>
      </w:r>
      <w:r w:rsidRPr="00900254">
        <w:rPr>
          <w:rFonts w:ascii="Calibri" w:hAnsi="Calibri"/>
          <w:sz w:val="24"/>
          <w:szCs w:val="24"/>
        </w:rPr>
        <w:t>, 285-293.</w:t>
      </w:r>
    </w:p>
    <w:p w:rsidR="00C678E8" w:rsidRPr="00900254" w:rsidRDefault="00C678E8" w:rsidP="000342D8">
      <w:pPr>
        <w:spacing w:after="100" w:line="480" w:lineRule="auto"/>
        <w:rPr>
          <w:rFonts w:ascii="Calibri" w:hAnsi="Calibri"/>
          <w:sz w:val="24"/>
          <w:szCs w:val="24"/>
        </w:rPr>
      </w:pPr>
      <w:r w:rsidRPr="00900254">
        <w:rPr>
          <w:rFonts w:ascii="Calibri" w:hAnsi="Calibri"/>
          <w:sz w:val="24"/>
          <w:szCs w:val="24"/>
        </w:rPr>
        <w:t xml:space="preserve">Berkman, L. &amp; Syme, S. (1979). Social networks, host resistance, and mortality: A nine-year follow-up study of Alameda County residents. </w:t>
      </w:r>
      <w:r w:rsidRPr="00900254">
        <w:rPr>
          <w:rFonts w:ascii="Calibri" w:hAnsi="Calibri"/>
          <w:i/>
          <w:sz w:val="24"/>
          <w:szCs w:val="24"/>
        </w:rPr>
        <w:t>American Journal of Epidemiology</w:t>
      </w:r>
      <w:r w:rsidRPr="00900254">
        <w:rPr>
          <w:rFonts w:ascii="Calibri" w:hAnsi="Calibri"/>
          <w:sz w:val="24"/>
          <w:szCs w:val="24"/>
        </w:rPr>
        <w:t xml:space="preserve">, </w:t>
      </w:r>
      <w:r w:rsidR="00BB27B0" w:rsidRPr="00BB27B0">
        <w:rPr>
          <w:rFonts w:ascii="Calibri" w:hAnsi="Calibri"/>
          <w:i/>
          <w:sz w:val="24"/>
          <w:szCs w:val="24"/>
        </w:rPr>
        <w:t>109</w:t>
      </w:r>
      <w:r w:rsidRPr="00900254">
        <w:rPr>
          <w:rFonts w:ascii="Calibri" w:hAnsi="Calibri"/>
          <w:sz w:val="24"/>
          <w:szCs w:val="24"/>
        </w:rPr>
        <w:t>, 186-204.</w:t>
      </w:r>
    </w:p>
    <w:p w:rsidR="00C678E8" w:rsidRPr="00900254" w:rsidRDefault="00C678E8" w:rsidP="000342D8">
      <w:pPr>
        <w:spacing w:after="100" w:line="480" w:lineRule="auto"/>
        <w:rPr>
          <w:rFonts w:ascii="Calibri" w:hAnsi="Calibri"/>
          <w:sz w:val="24"/>
          <w:szCs w:val="24"/>
        </w:rPr>
      </w:pPr>
      <w:r w:rsidRPr="00900254">
        <w:rPr>
          <w:rFonts w:ascii="Calibri" w:hAnsi="Calibri"/>
          <w:sz w:val="24"/>
          <w:szCs w:val="24"/>
        </w:rPr>
        <w:t>Blau, Z.S. (1961)</w:t>
      </w:r>
      <w:r w:rsidR="00094A5C">
        <w:rPr>
          <w:rFonts w:ascii="Calibri" w:hAnsi="Calibri"/>
          <w:sz w:val="24"/>
          <w:szCs w:val="24"/>
        </w:rPr>
        <w:t>.</w:t>
      </w:r>
      <w:r w:rsidRPr="00900254">
        <w:rPr>
          <w:rFonts w:ascii="Calibri" w:hAnsi="Calibri"/>
          <w:sz w:val="24"/>
          <w:szCs w:val="24"/>
        </w:rPr>
        <w:t xml:space="preserve"> Structural constraints on friendships in old age. </w:t>
      </w:r>
      <w:r w:rsidRPr="00900254">
        <w:rPr>
          <w:rFonts w:ascii="Calibri" w:hAnsi="Calibri"/>
          <w:i/>
          <w:sz w:val="24"/>
          <w:szCs w:val="24"/>
        </w:rPr>
        <w:t>American Sociological Review</w:t>
      </w:r>
      <w:r w:rsidRPr="00900254">
        <w:rPr>
          <w:rFonts w:ascii="Calibri" w:hAnsi="Calibri"/>
          <w:sz w:val="24"/>
          <w:szCs w:val="24"/>
        </w:rPr>
        <w:t xml:space="preserve">, </w:t>
      </w:r>
      <w:r w:rsidR="00BB27B0" w:rsidRPr="00BB27B0">
        <w:rPr>
          <w:rFonts w:ascii="Calibri" w:hAnsi="Calibri"/>
          <w:i/>
          <w:sz w:val="24"/>
          <w:szCs w:val="24"/>
        </w:rPr>
        <w:t>26</w:t>
      </w:r>
      <w:r w:rsidRPr="00900254">
        <w:rPr>
          <w:rFonts w:ascii="Calibri" w:hAnsi="Calibri"/>
          <w:sz w:val="24"/>
          <w:szCs w:val="24"/>
        </w:rPr>
        <w:t>, 429-439.</w:t>
      </w:r>
    </w:p>
    <w:p w:rsidR="00C678E8" w:rsidRPr="00900254" w:rsidRDefault="00C678E8" w:rsidP="000342D8">
      <w:pPr>
        <w:autoSpaceDE w:val="0"/>
        <w:autoSpaceDN w:val="0"/>
        <w:adjustRightInd w:val="0"/>
        <w:spacing w:after="100" w:line="480" w:lineRule="auto"/>
        <w:rPr>
          <w:rFonts w:ascii="Calibri" w:hAnsi="Calibri"/>
          <w:sz w:val="24"/>
          <w:szCs w:val="24"/>
        </w:rPr>
      </w:pPr>
      <w:r w:rsidRPr="00900254">
        <w:rPr>
          <w:rFonts w:ascii="Calibri" w:hAnsi="Calibri"/>
          <w:sz w:val="24"/>
          <w:szCs w:val="24"/>
        </w:rPr>
        <w:t xml:space="preserve">Cacioppo, J. T., Hughes, M.E., Waite, L. J., Hawkley, L. C., &amp; Thisted, R.A. (2006). Loneliness as a specific risk factor for depressive symptoms: Cross-sectional and longitudinal analyses. </w:t>
      </w:r>
      <w:r w:rsidRPr="00900254">
        <w:rPr>
          <w:rFonts w:ascii="Calibri" w:hAnsi="Calibri"/>
          <w:i/>
          <w:sz w:val="24"/>
          <w:szCs w:val="24"/>
        </w:rPr>
        <w:t>Psychology and Aging</w:t>
      </w:r>
      <w:r w:rsidRPr="00900254">
        <w:rPr>
          <w:rFonts w:ascii="Calibri" w:hAnsi="Calibri"/>
          <w:sz w:val="24"/>
          <w:szCs w:val="24"/>
        </w:rPr>
        <w:t xml:space="preserve">, </w:t>
      </w:r>
      <w:r w:rsidR="00BB27B0" w:rsidRPr="00BB27B0">
        <w:rPr>
          <w:rFonts w:ascii="Calibri" w:hAnsi="Calibri"/>
          <w:i/>
          <w:sz w:val="24"/>
          <w:szCs w:val="24"/>
        </w:rPr>
        <w:t>21</w:t>
      </w:r>
      <w:r w:rsidRPr="00900254">
        <w:rPr>
          <w:rFonts w:ascii="Calibri" w:hAnsi="Calibri"/>
          <w:sz w:val="24"/>
          <w:szCs w:val="24"/>
        </w:rPr>
        <w:t>, 140–151.</w:t>
      </w:r>
    </w:p>
    <w:p w:rsidR="00C678E8" w:rsidRPr="00900254" w:rsidRDefault="0051695C" w:rsidP="000342D8">
      <w:pPr>
        <w:shd w:val="clear" w:color="auto" w:fill="FFFFFF"/>
        <w:spacing w:after="100" w:line="480" w:lineRule="auto"/>
        <w:rPr>
          <w:rFonts w:ascii="Calibri" w:eastAsia="Arial Unicode MS" w:hAnsi="Calibri" w:cs="Arial Unicode MS"/>
          <w:sz w:val="24"/>
          <w:szCs w:val="24"/>
          <w:lang w:eastAsia="en-GB"/>
        </w:rPr>
      </w:pPr>
      <w:hyperlink r:id="rId13" w:history="1">
        <w:r w:rsidR="00C678E8" w:rsidRPr="00900254">
          <w:rPr>
            <w:rFonts w:ascii="Calibri" w:eastAsia="Arial Unicode MS" w:hAnsi="Calibri" w:cs="Arial Unicode MS"/>
            <w:sz w:val="24"/>
            <w:szCs w:val="24"/>
            <w:lang w:eastAsia="en-GB"/>
          </w:rPr>
          <w:t>Case</w:t>
        </w:r>
      </w:hyperlink>
      <w:r w:rsidR="00C678E8" w:rsidRPr="00900254">
        <w:rPr>
          <w:rFonts w:ascii="Calibri" w:eastAsia="Arial Unicode MS" w:hAnsi="Calibri" w:cs="Arial Unicode MS"/>
          <w:sz w:val="24"/>
          <w:szCs w:val="24"/>
          <w:lang w:eastAsia="en-GB"/>
        </w:rPr>
        <w:t xml:space="preserve">, A., </w:t>
      </w:r>
      <w:hyperlink r:id="rId14" w:history="1">
        <w:r w:rsidR="00C678E8" w:rsidRPr="00900254">
          <w:rPr>
            <w:rFonts w:ascii="Calibri" w:eastAsia="Arial Unicode MS" w:hAnsi="Calibri" w:cs="Arial Unicode MS"/>
            <w:sz w:val="24"/>
            <w:szCs w:val="24"/>
            <w:lang w:eastAsia="en-GB"/>
          </w:rPr>
          <w:t>Fertig</w:t>
        </w:r>
      </w:hyperlink>
      <w:r w:rsidR="00C678E8" w:rsidRPr="00900254">
        <w:rPr>
          <w:rFonts w:ascii="Calibri" w:hAnsi="Calibri"/>
          <w:sz w:val="24"/>
          <w:szCs w:val="24"/>
        </w:rPr>
        <w:t>, A. &amp;</w:t>
      </w:r>
      <w:r w:rsidR="00C678E8" w:rsidRPr="00900254">
        <w:rPr>
          <w:rFonts w:ascii="Calibri" w:eastAsia="Arial Unicode MS" w:hAnsi="Calibri" w:cs="Arial Unicode MS"/>
          <w:sz w:val="24"/>
          <w:szCs w:val="24"/>
          <w:lang w:eastAsia="en-GB"/>
        </w:rPr>
        <w:t xml:space="preserve"> </w:t>
      </w:r>
      <w:hyperlink r:id="rId15" w:history="1">
        <w:r w:rsidR="00C678E8" w:rsidRPr="00900254">
          <w:rPr>
            <w:rFonts w:ascii="Calibri" w:eastAsia="Arial Unicode MS" w:hAnsi="Calibri" w:cs="Arial Unicode MS"/>
            <w:sz w:val="24"/>
            <w:szCs w:val="24"/>
            <w:lang w:eastAsia="en-GB"/>
          </w:rPr>
          <w:t>Paxson</w:t>
        </w:r>
      </w:hyperlink>
      <w:r w:rsidR="00C678E8" w:rsidRPr="00900254">
        <w:rPr>
          <w:rFonts w:ascii="Calibri" w:hAnsi="Calibri"/>
          <w:sz w:val="24"/>
          <w:szCs w:val="24"/>
        </w:rPr>
        <w:t>,C.</w:t>
      </w:r>
      <w:r w:rsidR="00C678E8" w:rsidRPr="00900254">
        <w:rPr>
          <w:rFonts w:ascii="Calibri" w:eastAsia="Arial Unicode MS" w:hAnsi="Calibri" w:cs="Arial Unicode MS"/>
          <w:sz w:val="24"/>
          <w:szCs w:val="24"/>
          <w:lang w:eastAsia="en-GB"/>
        </w:rPr>
        <w:t xml:space="preserve"> (2004). </w:t>
      </w:r>
      <w:r w:rsidR="00C678E8" w:rsidRPr="00900254">
        <w:rPr>
          <w:rFonts w:ascii="Calibri" w:eastAsia="Arial Unicode MS" w:hAnsi="Calibri" w:cs="Arial Unicode MS"/>
          <w:bCs/>
          <w:kern w:val="36"/>
          <w:sz w:val="24"/>
          <w:szCs w:val="24"/>
          <w:lang w:eastAsia="en-GB"/>
        </w:rPr>
        <w:t xml:space="preserve">The lasting impact of childhood health and circumstance. </w:t>
      </w:r>
      <w:r w:rsidR="00C678E8" w:rsidRPr="00900254">
        <w:rPr>
          <w:rFonts w:ascii="Calibri" w:eastAsia="Arial Unicode MS" w:hAnsi="Calibri" w:cs="Arial Unicode MS"/>
          <w:bCs/>
          <w:i/>
          <w:kern w:val="36"/>
          <w:sz w:val="24"/>
          <w:szCs w:val="24"/>
          <w:lang w:eastAsia="en-GB"/>
        </w:rPr>
        <w:t>Journal of Health Economics</w:t>
      </w:r>
      <w:r w:rsidR="00C678E8" w:rsidRPr="00900254">
        <w:rPr>
          <w:rFonts w:ascii="Calibri" w:eastAsia="Arial Unicode MS" w:hAnsi="Calibri" w:cs="Arial Unicode MS"/>
          <w:bCs/>
          <w:kern w:val="36"/>
          <w:sz w:val="24"/>
          <w:szCs w:val="24"/>
          <w:lang w:eastAsia="en-GB"/>
        </w:rPr>
        <w:t xml:space="preserve">, </w:t>
      </w:r>
      <w:r w:rsidR="00BB27B0" w:rsidRPr="00BB27B0">
        <w:rPr>
          <w:rFonts w:ascii="Calibri" w:eastAsia="Arial Unicode MS" w:hAnsi="Calibri" w:cs="Arial Unicode MS"/>
          <w:bCs/>
          <w:i/>
          <w:kern w:val="36"/>
          <w:sz w:val="24"/>
          <w:szCs w:val="24"/>
          <w:lang w:eastAsia="en-GB"/>
        </w:rPr>
        <w:t>24</w:t>
      </w:r>
      <w:r w:rsidR="00C678E8" w:rsidRPr="00900254">
        <w:rPr>
          <w:rFonts w:ascii="Calibri" w:eastAsia="Arial Unicode MS" w:hAnsi="Calibri" w:cs="Arial Unicode MS"/>
          <w:bCs/>
          <w:kern w:val="36"/>
          <w:sz w:val="24"/>
          <w:szCs w:val="24"/>
          <w:lang w:eastAsia="en-GB"/>
        </w:rPr>
        <w:t>, 365-389</w:t>
      </w:r>
    </w:p>
    <w:p w:rsidR="00C678E8" w:rsidRPr="00900254" w:rsidRDefault="00C678E8" w:rsidP="000342D8">
      <w:pPr>
        <w:autoSpaceDE w:val="0"/>
        <w:autoSpaceDN w:val="0"/>
        <w:adjustRightInd w:val="0"/>
        <w:spacing w:after="100" w:line="480" w:lineRule="auto"/>
        <w:rPr>
          <w:rFonts w:ascii="Calibri" w:hAnsi="Calibri"/>
          <w:sz w:val="24"/>
          <w:szCs w:val="24"/>
        </w:rPr>
      </w:pPr>
      <w:r w:rsidRPr="00900254">
        <w:rPr>
          <w:rFonts w:ascii="Calibri" w:hAnsi="Calibri"/>
          <w:sz w:val="24"/>
          <w:szCs w:val="24"/>
        </w:rPr>
        <w:t xml:space="preserve">Cornwell, E. &amp; Waite, L. (2009). Social disconnectedness, perceived isolation, and health among older adults. </w:t>
      </w:r>
      <w:r w:rsidRPr="00900254">
        <w:rPr>
          <w:rFonts w:ascii="Calibri" w:hAnsi="Calibri"/>
          <w:i/>
          <w:sz w:val="24"/>
          <w:szCs w:val="24"/>
        </w:rPr>
        <w:t>Journal of Health and Social Behavior</w:t>
      </w:r>
      <w:r w:rsidRPr="00900254">
        <w:rPr>
          <w:rFonts w:ascii="Calibri" w:hAnsi="Calibri"/>
          <w:sz w:val="24"/>
          <w:szCs w:val="24"/>
        </w:rPr>
        <w:t xml:space="preserve">, </w:t>
      </w:r>
      <w:r w:rsidR="00BB27B0" w:rsidRPr="00BB27B0">
        <w:rPr>
          <w:rFonts w:ascii="Calibri" w:hAnsi="Calibri"/>
          <w:i/>
          <w:sz w:val="24"/>
          <w:szCs w:val="24"/>
        </w:rPr>
        <w:t>50</w:t>
      </w:r>
      <w:r w:rsidRPr="00900254">
        <w:rPr>
          <w:rFonts w:ascii="Calibri" w:hAnsi="Calibri"/>
          <w:sz w:val="24"/>
          <w:szCs w:val="24"/>
        </w:rPr>
        <w:t>, 31-48.</w:t>
      </w:r>
    </w:p>
    <w:p w:rsidR="00C678E8" w:rsidRPr="00900254" w:rsidRDefault="00C678E8" w:rsidP="000342D8">
      <w:pPr>
        <w:spacing w:before="240" w:after="100" w:line="480" w:lineRule="auto"/>
        <w:rPr>
          <w:rFonts w:ascii="Calibri" w:hAnsi="Calibri"/>
          <w:kern w:val="36"/>
          <w:sz w:val="24"/>
          <w:szCs w:val="24"/>
          <w:lang w:eastAsia="en-IE"/>
        </w:rPr>
      </w:pPr>
      <w:r w:rsidRPr="00900254">
        <w:rPr>
          <w:rFonts w:ascii="Calibri" w:hAnsi="Calibri"/>
          <w:sz w:val="24"/>
          <w:szCs w:val="24"/>
        </w:rPr>
        <w:t xml:space="preserve">Deary, I.J., Taylor, M.D., Hart, M.D., Wilson, V., Davey Smith, G., Blane, D. &amp; Starr, J. M (2005). </w:t>
      </w:r>
      <w:r w:rsidRPr="00900254">
        <w:rPr>
          <w:rFonts w:ascii="Calibri" w:hAnsi="Calibri"/>
          <w:kern w:val="36"/>
          <w:sz w:val="24"/>
          <w:szCs w:val="24"/>
          <w:lang w:eastAsia="en-IE"/>
        </w:rPr>
        <w:t xml:space="preserve">Intergenerational social mobility and mid-life status attainment: Influences </w:t>
      </w:r>
      <w:r w:rsidRPr="00900254">
        <w:rPr>
          <w:rFonts w:ascii="Calibri" w:hAnsi="Calibri"/>
          <w:kern w:val="36"/>
          <w:sz w:val="24"/>
          <w:szCs w:val="24"/>
          <w:lang w:eastAsia="en-IE"/>
        </w:rPr>
        <w:lastRenderedPageBreak/>
        <w:t>of childhood intelligence, childhood</w:t>
      </w:r>
      <w:r w:rsidRPr="00900254">
        <w:rPr>
          <w:rFonts w:ascii="Calibri" w:hAnsi="Calibri"/>
          <w:smallCaps/>
          <w:kern w:val="36"/>
          <w:sz w:val="24"/>
          <w:szCs w:val="24"/>
          <w:lang w:eastAsia="en-IE"/>
        </w:rPr>
        <w:t xml:space="preserve"> </w:t>
      </w:r>
      <w:r w:rsidRPr="00900254">
        <w:rPr>
          <w:rFonts w:ascii="Calibri" w:hAnsi="Calibri"/>
          <w:kern w:val="36"/>
          <w:sz w:val="24"/>
          <w:szCs w:val="24"/>
          <w:lang w:eastAsia="en-IE"/>
        </w:rPr>
        <w:t xml:space="preserve">social factors, and education. </w:t>
      </w:r>
      <w:r w:rsidRPr="00900254">
        <w:rPr>
          <w:rFonts w:ascii="Calibri" w:hAnsi="Calibri"/>
          <w:i/>
          <w:sz w:val="24"/>
          <w:szCs w:val="24"/>
        </w:rPr>
        <w:t>Intelligence</w:t>
      </w:r>
      <w:r w:rsidRPr="00900254">
        <w:rPr>
          <w:rFonts w:ascii="Calibri" w:hAnsi="Calibri"/>
          <w:sz w:val="24"/>
          <w:szCs w:val="24"/>
        </w:rPr>
        <w:t xml:space="preserve">, </w:t>
      </w:r>
      <w:r w:rsidR="00BB27B0" w:rsidRPr="00BB27B0">
        <w:rPr>
          <w:rFonts w:ascii="Calibri" w:hAnsi="Calibri"/>
          <w:i/>
          <w:kern w:val="36"/>
          <w:sz w:val="24"/>
          <w:szCs w:val="24"/>
          <w:lang w:eastAsia="en-IE"/>
        </w:rPr>
        <w:t>33</w:t>
      </w:r>
      <w:r w:rsidRPr="00900254">
        <w:rPr>
          <w:rFonts w:ascii="Calibri" w:hAnsi="Calibri"/>
          <w:kern w:val="36"/>
          <w:sz w:val="24"/>
          <w:szCs w:val="24"/>
          <w:lang w:eastAsia="en-IE"/>
        </w:rPr>
        <w:t>, 454-472.</w:t>
      </w:r>
    </w:p>
    <w:p w:rsidR="00C678E8" w:rsidRPr="00900254" w:rsidRDefault="00C678E8" w:rsidP="000342D8">
      <w:pPr>
        <w:shd w:val="clear" w:color="auto" w:fill="FFFFFF"/>
        <w:spacing w:after="100" w:line="480" w:lineRule="auto"/>
        <w:outlineLvl w:val="1"/>
        <w:rPr>
          <w:rFonts w:ascii="Calibri" w:hAnsi="Calibri" w:cs="Lucida Grande"/>
          <w:sz w:val="24"/>
          <w:szCs w:val="24"/>
        </w:rPr>
      </w:pPr>
      <w:r w:rsidRPr="00900254">
        <w:rPr>
          <w:rFonts w:ascii="Calibri" w:hAnsi="Calibri" w:cs="Lucida Grande"/>
          <w:sz w:val="24"/>
          <w:szCs w:val="24"/>
        </w:rPr>
        <w:t xml:space="preserve">De Jong Gierveld, J. (1998). A review of loneliness: Concepts and definitions, causes and consequences. </w:t>
      </w:r>
      <w:r w:rsidRPr="00900254">
        <w:rPr>
          <w:rFonts w:ascii="Calibri" w:hAnsi="Calibri" w:cs="Lucida Grande"/>
          <w:i/>
          <w:sz w:val="24"/>
          <w:szCs w:val="24"/>
        </w:rPr>
        <w:t>Reviews in Clinical Gerontology</w:t>
      </w:r>
      <w:r w:rsidRPr="00900254">
        <w:rPr>
          <w:rFonts w:ascii="Calibri" w:hAnsi="Calibri" w:cs="Lucida Grande"/>
          <w:sz w:val="24"/>
          <w:szCs w:val="24"/>
        </w:rPr>
        <w:t xml:space="preserve">, </w:t>
      </w:r>
      <w:r w:rsidR="00BB27B0" w:rsidRPr="00BB27B0">
        <w:rPr>
          <w:rFonts w:ascii="Calibri" w:hAnsi="Calibri" w:cs="Lucida Grande"/>
          <w:i/>
          <w:sz w:val="24"/>
          <w:szCs w:val="24"/>
        </w:rPr>
        <w:t>8</w:t>
      </w:r>
      <w:r w:rsidRPr="00900254">
        <w:rPr>
          <w:rFonts w:ascii="Calibri" w:hAnsi="Calibri" w:cs="Lucida Grande"/>
          <w:sz w:val="24"/>
          <w:szCs w:val="24"/>
        </w:rPr>
        <w:t>, 73-80.</w:t>
      </w:r>
    </w:p>
    <w:p w:rsidR="00C678E8" w:rsidRPr="00900254" w:rsidRDefault="00C678E8" w:rsidP="000342D8">
      <w:pPr>
        <w:spacing w:after="100" w:line="480" w:lineRule="auto"/>
        <w:rPr>
          <w:rFonts w:ascii="Calibri" w:hAnsi="Calibri" w:cs="Arial"/>
          <w:sz w:val="24"/>
          <w:szCs w:val="24"/>
        </w:rPr>
      </w:pPr>
      <w:r w:rsidRPr="00900254">
        <w:rPr>
          <w:rFonts w:ascii="Calibri" w:hAnsi="Calibri" w:cs="Arial"/>
          <w:sz w:val="24"/>
          <w:szCs w:val="24"/>
        </w:rPr>
        <w:t xml:space="preserve">Drakopoulos, S.A., Lakioti, E. &amp; Theodossiou, I. (2011). Childhood socioeconomic deprivation and later adulthood health. </w:t>
      </w:r>
      <w:r w:rsidRPr="00900254">
        <w:rPr>
          <w:rFonts w:ascii="Calibri" w:hAnsi="Calibri" w:cs="Arial"/>
          <w:i/>
          <w:sz w:val="24"/>
          <w:szCs w:val="24"/>
        </w:rPr>
        <w:t>International Journal of Social Economics</w:t>
      </w:r>
      <w:r w:rsidRPr="00900254">
        <w:rPr>
          <w:rFonts w:ascii="Calibri" w:hAnsi="Calibri" w:cs="Arial"/>
          <w:sz w:val="24"/>
          <w:szCs w:val="24"/>
        </w:rPr>
        <w:t xml:space="preserve">, </w:t>
      </w:r>
      <w:r w:rsidR="00BB27B0" w:rsidRPr="00BB27B0">
        <w:rPr>
          <w:rFonts w:ascii="Calibri" w:hAnsi="Calibri" w:cs="Arial"/>
          <w:i/>
          <w:sz w:val="24"/>
          <w:szCs w:val="24"/>
        </w:rPr>
        <w:t>38</w:t>
      </w:r>
      <w:r w:rsidRPr="00900254">
        <w:rPr>
          <w:rFonts w:ascii="Calibri" w:hAnsi="Calibri" w:cs="Arial"/>
          <w:sz w:val="24"/>
          <w:szCs w:val="24"/>
        </w:rPr>
        <w:t>, 23 – 38.</w:t>
      </w:r>
    </w:p>
    <w:p w:rsidR="00C678E8" w:rsidRDefault="00C678E8" w:rsidP="000342D8">
      <w:pPr>
        <w:spacing w:after="100" w:line="480" w:lineRule="auto"/>
        <w:textAlignment w:val="top"/>
        <w:outlineLvl w:val="2"/>
        <w:rPr>
          <w:rFonts w:ascii="Calibri" w:hAnsi="Calibri"/>
          <w:sz w:val="24"/>
          <w:szCs w:val="24"/>
        </w:rPr>
      </w:pPr>
      <w:r w:rsidRPr="00900254">
        <w:rPr>
          <w:rFonts w:ascii="Calibri" w:hAnsi="Calibri"/>
          <w:sz w:val="24"/>
          <w:szCs w:val="24"/>
        </w:rPr>
        <w:t xml:space="preserve">Ekwall, A.K., Sivberg, B. &amp; Hallberg, I.R. (2005). Loneliness as a predictor of quality of life among older caregivers.  </w:t>
      </w:r>
      <w:r w:rsidRPr="00900254">
        <w:rPr>
          <w:rFonts w:ascii="Calibri" w:hAnsi="Calibri"/>
          <w:i/>
          <w:sz w:val="24"/>
          <w:szCs w:val="24"/>
        </w:rPr>
        <w:t>Journal of Advanced Nursing</w:t>
      </w:r>
      <w:r w:rsidRPr="00900254">
        <w:rPr>
          <w:rFonts w:ascii="Calibri" w:hAnsi="Calibri"/>
          <w:sz w:val="24"/>
          <w:szCs w:val="24"/>
        </w:rPr>
        <w:t xml:space="preserve">, </w:t>
      </w:r>
      <w:r w:rsidR="00BB27B0" w:rsidRPr="00BB27B0">
        <w:rPr>
          <w:rFonts w:ascii="Calibri" w:hAnsi="Calibri"/>
          <w:i/>
          <w:sz w:val="24"/>
          <w:szCs w:val="24"/>
        </w:rPr>
        <w:t>49</w:t>
      </w:r>
      <w:r w:rsidRPr="00900254">
        <w:rPr>
          <w:rFonts w:ascii="Calibri" w:hAnsi="Calibri"/>
          <w:sz w:val="24"/>
          <w:szCs w:val="24"/>
        </w:rPr>
        <w:t>, 23-32.</w:t>
      </w:r>
    </w:p>
    <w:p w:rsidR="006925F6" w:rsidRPr="006925F6" w:rsidRDefault="006925F6" w:rsidP="000342D8">
      <w:pPr>
        <w:spacing w:after="100" w:line="480" w:lineRule="auto"/>
        <w:textAlignment w:val="top"/>
        <w:outlineLvl w:val="2"/>
        <w:rPr>
          <w:rFonts w:ascii="Calibri" w:hAnsi="Calibri"/>
          <w:sz w:val="24"/>
          <w:szCs w:val="24"/>
        </w:rPr>
      </w:pPr>
      <w:r>
        <w:rPr>
          <w:rFonts w:ascii="Calibri" w:hAnsi="Calibri"/>
          <w:sz w:val="24"/>
          <w:szCs w:val="24"/>
        </w:rPr>
        <w:t xml:space="preserve">Fahey, T. (2012). Small bang? The effect of divorce legislation on marital breakdown in Ireland. </w:t>
      </w:r>
      <w:r>
        <w:rPr>
          <w:rFonts w:ascii="Calibri" w:hAnsi="Calibri"/>
          <w:i/>
          <w:sz w:val="24"/>
          <w:szCs w:val="24"/>
        </w:rPr>
        <w:t xml:space="preserve">International Journal of Law, Policy and the Family, </w:t>
      </w:r>
      <w:r w:rsidR="00BB27B0" w:rsidRPr="00BB27B0">
        <w:rPr>
          <w:rFonts w:ascii="Calibri" w:hAnsi="Calibri"/>
          <w:i/>
          <w:sz w:val="24"/>
          <w:szCs w:val="24"/>
        </w:rPr>
        <w:t>26</w:t>
      </w:r>
      <w:r>
        <w:rPr>
          <w:rFonts w:ascii="Calibri" w:hAnsi="Calibri"/>
          <w:sz w:val="24"/>
          <w:szCs w:val="24"/>
        </w:rPr>
        <w:t>, 242-258.</w:t>
      </w:r>
    </w:p>
    <w:p w:rsidR="00C678E8" w:rsidRPr="00900254" w:rsidRDefault="00C678E8" w:rsidP="000342D8">
      <w:pPr>
        <w:spacing w:after="100" w:line="480" w:lineRule="auto"/>
        <w:textAlignment w:val="top"/>
        <w:outlineLvl w:val="2"/>
        <w:rPr>
          <w:rFonts w:ascii="Calibri" w:hAnsi="Calibri"/>
          <w:sz w:val="24"/>
          <w:szCs w:val="24"/>
        </w:rPr>
      </w:pPr>
      <w:r w:rsidRPr="00900254">
        <w:rPr>
          <w:rFonts w:ascii="Calibri" w:hAnsi="Calibri"/>
          <w:sz w:val="24"/>
          <w:szCs w:val="24"/>
        </w:rPr>
        <w:t xml:space="preserve">Fees, B., Martin, P. &amp; Poon, L (1999). A model of loneliness in older adults. </w:t>
      </w:r>
      <w:r w:rsidRPr="00900254">
        <w:rPr>
          <w:rFonts w:ascii="Calibri" w:hAnsi="Calibri"/>
          <w:i/>
          <w:sz w:val="24"/>
          <w:szCs w:val="24"/>
        </w:rPr>
        <w:t>Journal of Gerontology, Series B: Psychological Sciences and Social Sciences</w:t>
      </w:r>
      <w:r w:rsidRPr="00900254">
        <w:rPr>
          <w:rFonts w:ascii="Calibri" w:hAnsi="Calibri"/>
          <w:sz w:val="24"/>
          <w:szCs w:val="24"/>
        </w:rPr>
        <w:t xml:space="preserve">, </w:t>
      </w:r>
      <w:r w:rsidR="00BB27B0" w:rsidRPr="00BB27B0">
        <w:rPr>
          <w:rFonts w:ascii="Calibri" w:hAnsi="Calibri"/>
          <w:i/>
          <w:sz w:val="24"/>
          <w:szCs w:val="24"/>
        </w:rPr>
        <w:t>54</w:t>
      </w:r>
      <w:r w:rsidRPr="00900254">
        <w:rPr>
          <w:rFonts w:ascii="Calibri" w:hAnsi="Calibri"/>
          <w:sz w:val="24"/>
          <w:szCs w:val="24"/>
        </w:rPr>
        <w:t xml:space="preserve">, 231-239. </w:t>
      </w:r>
    </w:p>
    <w:p w:rsidR="00C678E8" w:rsidRDefault="00C678E8" w:rsidP="000342D8">
      <w:pPr>
        <w:spacing w:after="100" w:line="480" w:lineRule="auto"/>
        <w:textAlignment w:val="top"/>
        <w:outlineLvl w:val="2"/>
        <w:rPr>
          <w:rFonts w:ascii="Calibri" w:hAnsi="Calibri"/>
          <w:sz w:val="24"/>
          <w:szCs w:val="24"/>
        </w:rPr>
      </w:pPr>
      <w:r w:rsidRPr="00900254">
        <w:rPr>
          <w:rFonts w:ascii="Calibri" w:hAnsi="Calibri"/>
          <w:sz w:val="24"/>
          <w:szCs w:val="24"/>
        </w:rPr>
        <w:t xml:space="preserve">Fry, P.S. &amp; Debats, D.L. (2002). Self-efficacy beliefs as predictors of loneliness and psychological distress in older adults. </w:t>
      </w:r>
      <w:r w:rsidRPr="00900254">
        <w:rPr>
          <w:rFonts w:ascii="Calibri" w:hAnsi="Calibri"/>
          <w:i/>
          <w:sz w:val="24"/>
          <w:szCs w:val="24"/>
        </w:rPr>
        <w:t>International Journal of Aging and Human Development,</w:t>
      </w:r>
      <w:r w:rsidRPr="00900254">
        <w:rPr>
          <w:rFonts w:ascii="Calibri" w:hAnsi="Calibri"/>
          <w:sz w:val="24"/>
          <w:szCs w:val="24"/>
        </w:rPr>
        <w:t xml:space="preserve"> </w:t>
      </w:r>
      <w:r w:rsidR="00BB27B0" w:rsidRPr="00BB27B0">
        <w:rPr>
          <w:rFonts w:ascii="Calibri" w:hAnsi="Calibri"/>
          <w:i/>
          <w:sz w:val="24"/>
          <w:szCs w:val="24"/>
        </w:rPr>
        <w:t>55</w:t>
      </w:r>
      <w:r w:rsidRPr="00900254">
        <w:rPr>
          <w:rFonts w:ascii="Calibri" w:hAnsi="Calibri"/>
          <w:sz w:val="24"/>
          <w:szCs w:val="24"/>
        </w:rPr>
        <w:t>, 233-</w:t>
      </w:r>
      <w:r w:rsidR="006925F6">
        <w:rPr>
          <w:rFonts w:ascii="Calibri" w:hAnsi="Calibri"/>
          <w:sz w:val="24"/>
          <w:szCs w:val="24"/>
        </w:rPr>
        <w:t>2</w:t>
      </w:r>
      <w:r w:rsidRPr="00900254">
        <w:rPr>
          <w:rFonts w:ascii="Calibri" w:hAnsi="Calibri"/>
          <w:sz w:val="24"/>
          <w:szCs w:val="24"/>
        </w:rPr>
        <w:t xml:space="preserve">69. </w:t>
      </w:r>
    </w:p>
    <w:p w:rsidR="00C678E8" w:rsidRPr="00FB6558" w:rsidRDefault="00C678E8" w:rsidP="000342D8">
      <w:pPr>
        <w:spacing w:after="100" w:line="480" w:lineRule="auto"/>
        <w:textAlignment w:val="top"/>
        <w:outlineLvl w:val="2"/>
        <w:rPr>
          <w:rFonts w:ascii="Calibri" w:hAnsi="Calibri"/>
          <w:i/>
          <w:sz w:val="24"/>
          <w:szCs w:val="24"/>
        </w:rPr>
      </w:pPr>
      <w:r>
        <w:rPr>
          <w:rFonts w:ascii="Calibri" w:hAnsi="Calibri"/>
          <w:sz w:val="24"/>
          <w:szCs w:val="24"/>
        </w:rPr>
        <w:t xml:space="preserve">Galobardes, B. Lynch, J.W &amp; Davey Smith, G. (2004). </w:t>
      </w:r>
      <w:r w:rsidRPr="00083819">
        <w:rPr>
          <w:rFonts w:ascii="Calibri" w:hAnsi="Calibri"/>
          <w:sz w:val="24"/>
          <w:szCs w:val="24"/>
        </w:rPr>
        <w:t>Childhood socioeconomic circumstances and cause-specific mortality in adulthood: systematic review and interpretation.</w:t>
      </w:r>
      <w:r>
        <w:rPr>
          <w:rFonts w:ascii="Calibri" w:hAnsi="Calibri"/>
          <w:sz w:val="24"/>
          <w:szCs w:val="24"/>
        </w:rPr>
        <w:t xml:space="preserve"> </w:t>
      </w:r>
      <w:r>
        <w:rPr>
          <w:rFonts w:ascii="Calibri" w:hAnsi="Calibri"/>
          <w:i/>
          <w:sz w:val="24"/>
          <w:szCs w:val="24"/>
        </w:rPr>
        <w:t xml:space="preserve">Epidemiologic Review, </w:t>
      </w:r>
      <w:r w:rsidR="00BB27B0" w:rsidRPr="00BB27B0">
        <w:rPr>
          <w:rFonts w:ascii="Calibri" w:hAnsi="Calibri"/>
          <w:i/>
          <w:sz w:val="24"/>
          <w:szCs w:val="24"/>
        </w:rPr>
        <w:t>26</w:t>
      </w:r>
      <w:r w:rsidRPr="00FB6558">
        <w:rPr>
          <w:rFonts w:ascii="Calibri" w:hAnsi="Calibri"/>
          <w:sz w:val="24"/>
          <w:szCs w:val="24"/>
        </w:rPr>
        <w:t>, 7-21.</w:t>
      </w:r>
    </w:p>
    <w:p w:rsidR="00FB6474" w:rsidRDefault="00FB6474" w:rsidP="000342D8">
      <w:pPr>
        <w:spacing w:after="100" w:line="480" w:lineRule="auto"/>
        <w:textAlignment w:val="top"/>
        <w:outlineLvl w:val="2"/>
        <w:rPr>
          <w:rFonts w:ascii="Calibri" w:hAnsi="Calibri"/>
          <w:sz w:val="24"/>
          <w:szCs w:val="24"/>
        </w:rPr>
      </w:pPr>
      <w:r>
        <w:rPr>
          <w:rFonts w:ascii="Calibri" w:hAnsi="Calibri"/>
          <w:sz w:val="24"/>
          <w:szCs w:val="24"/>
        </w:rPr>
        <w:t xml:space="preserve">Garry, J., Hardiman, N. &amp; Payne, D. (2006). </w:t>
      </w:r>
      <w:r w:rsidR="00BB27B0" w:rsidRPr="00BB27B0">
        <w:rPr>
          <w:rFonts w:ascii="Calibri" w:hAnsi="Calibri"/>
          <w:i/>
          <w:sz w:val="24"/>
          <w:szCs w:val="24"/>
        </w:rPr>
        <w:t>Irish social and political attitudes</w:t>
      </w:r>
      <w:r>
        <w:rPr>
          <w:rFonts w:ascii="Calibri" w:hAnsi="Calibri"/>
          <w:sz w:val="24"/>
          <w:szCs w:val="24"/>
        </w:rPr>
        <w:t>. Liverpool, Liverpool University Press.</w:t>
      </w:r>
    </w:p>
    <w:p w:rsidR="00C678E8" w:rsidRDefault="00C678E8" w:rsidP="000342D8">
      <w:pPr>
        <w:spacing w:after="100" w:line="480" w:lineRule="auto"/>
        <w:textAlignment w:val="top"/>
        <w:outlineLvl w:val="2"/>
        <w:rPr>
          <w:rFonts w:ascii="Calibri" w:hAnsi="Calibri"/>
          <w:sz w:val="24"/>
          <w:szCs w:val="24"/>
        </w:rPr>
      </w:pPr>
      <w:r w:rsidRPr="00900254">
        <w:rPr>
          <w:rFonts w:ascii="Calibri" w:hAnsi="Calibri"/>
          <w:sz w:val="24"/>
          <w:szCs w:val="24"/>
        </w:rPr>
        <w:lastRenderedPageBreak/>
        <w:t xml:space="preserve">Haas, S. (2008). Trajectories of functional health: The ‘long arm’ of childhood health and socioeconomic factors. </w:t>
      </w:r>
      <w:r w:rsidRPr="00900254">
        <w:rPr>
          <w:rFonts w:ascii="Calibri" w:eastAsia="Arial Unicode MS" w:hAnsi="Calibri" w:cs="Arial Unicode MS"/>
          <w:bCs/>
          <w:i/>
          <w:kern w:val="36"/>
          <w:sz w:val="24"/>
          <w:szCs w:val="24"/>
        </w:rPr>
        <w:t>Social Science and Medicine</w:t>
      </w:r>
      <w:r w:rsidRPr="00900254">
        <w:rPr>
          <w:rFonts w:ascii="Calibri" w:hAnsi="Calibri"/>
          <w:sz w:val="24"/>
          <w:szCs w:val="24"/>
        </w:rPr>
        <w:t xml:space="preserve">, </w:t>
      </w:r>
      <w:r w:rsidR="00BB27B0" w:rsidRPr="00BB27B0">
        <w:rPr>
          <w:rFonts w:ascii="Calibri" w:hAnsi="Calibri"/>
          <w:i/>
          <w:sz w:val="24"/>
          <w:szCs w:val="24"/>
        </w:rPr>
        <w:t>66</w:t>
      </w:r>
      <w:r w:rsidRPr="00900254">
        <w:rPr>
          <w:rFonts w:ascii="Calibri" w:hAnsi="Calibri"/>
          <w:sz w:val="24"/>
          <w:szCs w:val="24"/>
        </w:rPr>
        <w:t>, 849-861.</w:t>
      </w:r>
    </w:p>
    <w:p w:rsidR="00C678E8" w:rsidRDefault="0051695C" w:rsidP="00971946">
      <w:pPr>
        <w:shd w:val="clear" w:color="auto" w:fill="FFFFFF"/>
        <w:spacing w:after="100" w:line="480" w:lineRule="auto"/>
        <w:rPr>
          <w:rFonts w:ascii="Calibri" w:hAnsi="Calibri"/>
          <w:sz w:val="24"/>
          <w:szCs w:val="24"/>
        </w:rPr>
      </w:pPr>
      <w:hyperlink r:id="rId16" w:history="1">
        <w:r w:rsidR="00C678E8" w:rsidRPr="00900254">
          <w:rPr>
            <w:rFonts w:ascii="Calibri" w:hAnsi="Calibri" w:cs="Lucida Grande"/>
            <w:bCs/>
            <w:sz w:val="24"/>
            <w:szCs w:val="24"/>
            <w:lang w:eastAsia="en-GB"/>
          </w:rPr>
          <w:t>Hatch</w:t>
        </w:r>
      </w:hyperlink>
      <w:r w:rsidR="00C678E8" w:rsidRPr="00900254">
        <w:rPr>
          <w:rFonts w:ascii="Calibri" w:hAnsi="Calibri"/>
          <w:sz w:val="24"/>
          <w:szCs w:val="24"/>
        </w:rPr>
        <w:t>, S.L.</w:t>
      </w:r>
      <w:r w:rsidR="00C678E8" w:rsidRPr="00900254">
        <w:rPr>
          <w:rFonts w:ascii="Calibri" w:hAnsi="Calibri" w:cs="Lucida Grande"/>
          <w:bCs/>
          <w:sz w:val="24"/>
          <w:szCs w:val="24"/>
          <w:lang w:eastAsia="en-GB"/>
        </w:rPr>
        <w:t xml:space="preserve"> (2005). </w:t>
      </w:r>
      <w:r w:rsidR="00C678E8" w:rsidRPr="00900254">
        <w:rPr>
          <w:rFonts w:ascii="Calibri" w:hAnsi="Calibri" w:cs="Lucida Grande"/>
          <w:bCs/>
          <w:kern w:val="36"/>
          <w:sz w:val="24"/>
          <w:szCs w:val="24"/>
        </w:rPr>
        <w:t xml:space="preserve">Conceptualizing and Identifying Cumulative Adversity and Protective Resources: Implications for Understanding Health Inequalities. </w:t>
      </w:r>
      <w:r w:rsidR="00C678E8" w:rsidRPr="00900254">
        <w:rPr>
          <w:rFonts w:ascii="Calibri" w:hAnsi="Calibri"/>
          <w:i/>
          <w:sz w:val="24"/>
          <w:szCs w:val="24"/>
        </w:rPr>
        <w:t>Journal of Gerontology, Series B: Psychological Sciences and Social Sciences</w:t>
      </w:r>
      <w:r w:rsidR="00C678E8" w:rsidRPr="00900254">
        <w:rPr>
          <w:rFonts w:ascii="Calibri" w:hAnsi="Calibri" w:cs="Lucida Grande"/>
          <w:sz w:val="24"/>
          <w:szCs w:val="24"/>
        </w:rPr>
        <w:t xml:space="preserve">, </w:t>
      </w:r>
      <w:r w:rsidR="00BB27B0" w:rsidRPr="00BB27B0">
        <w:rPr>
          <w:rStyle w:val="slug-vol"/>
          <w:rFonts w:ascii="Calibri" w:hAnsi="Calibri" w:cs="Lucida Grande"/>
          <w:i/>
          <w:sz w:val="24"/>
          <w:szCs w:val="24"/>
        </w:rPr>
        <w:t>60</w:t>
      </w:r>
      <w:r w:rsidR="00C678E8" w:rsidRPr="00900254">
        <w:rPr>
          <w:rStyle w:val="slug-vol"/>
          <w:rFonts w:ascii="Calibri" w:hAnsi="Calibri" w:cs="Lucida Grande"/>
          <w:sz w:val="24"/>
          <w:szCs w:val="24"/>
        </w:rPr>
        <w:t>,</w:t>
      </w:r>
      <w:r w:rsidR="00C678E8" w:rsidRPr="00900254">
        <w:rPr>
          <w:rStyle w:val="slug-issue"/>
          <w:rFonts w:ascii="Calibri" w:hAnsi="Calibri" w:cs="Lucida Grande"/>
          <w:sz w:val="24"/>
          <w:szCs w:val="24"/>
        </w:rPr>
        <w:t xml:space="preserve"> </w:t>
      </w:r>
      <w:r w:rsidR="00C678E8" w:rsidRPr="00900254">
        <w:rPr>
          <w:rFonts w:ascii="Calibri" w:hAnsi="Calibri" w:cs="Lucida Grande"/>
          <w:sz w:val="24"/>
          <w:szCs w:val="24"/>
        </w:rPr>
        <w:t>S130-S134</w:t>
      </w:r>
    </w:p>
    <w:p w:rsidR="00C678E8" w:rsidRPr="00900254" w:rsidRDefault="00C678E8" w:rsidP="000342D8">
      <w:pPr>
        <w:spacing w:after="100" w:line="480" w:lineRule="auto"/>
        <w:textAlignment w:val="top"/>
        <w:outlineLvl w:val="2"/>
        <w:rPr>
          <w:rFonts w:ascii="Calibri" w:hAnsi="Calibri"/>
          <w:sz w:val="24"/>
          <w:szCs w:val="24"/>
        </w:rPr>
      </w:pPr>
      <w:r w:rsidRPr="00900254">
        <w:rPr>
          <w:rFonts w:ascii="Calibri" w:hAnsi="Calibri"/>
          <w:sz w:val="24"/>
          <w:szCs w:val="24"/>
        </w:rPr>
        <w:t xml:space="preserve">House, J.S. (2001). Social isolation kills, but how and why? </w:t>
      </w:r>
      <w:r w:rsidRPr="00FB6558">
        <w:rPr>
          <w:rFonts w:ascii="Calibri" w:hAnsi="Calibri"/>
          <w:i/>
          <w:sz w:val="24"/>
          <w:szCs w:val="24"/>
        </w:rPr>
        <w:t>Psychosomatic Medicine</w:t>
      </w:r>
      <w:r w:rsidRPr="00900254">
        <w:rPr>
          <w:rFonts w:ascii="Calibri" w:hAnsi="Calibri"/>
          <w:sz w:val="24"/>
          <w:szCs w:val="24"/>
        </w:rPr>
        <w:t xml:space="preserve">, </w:t>
      </w:r>
      <w:r w:rsidR="00BB27B0" w:rsidRPr="00BB27B0">
        <w:rPr>
          <w:rFonts w:ascii="Calibri" w:hAnsi="Calibri"/>
          <w:i/>
          <w:sz w:val="24"/>
          <w:szCs w:val="24"/>
        </w:rPr>
        <w:t>63</w:t>
      </w:r>
      <w:r w:rsidRPr="00900254">
        <w:rPr>
          <w:rFonts w:ascii="Calibri" w:hAnsi="Calibri"/>
          <w:sz w:val="24"/>
          <w:szCs w:val="24"/>
        </w:rPr>
        <w:t>, 273-274.</w:t>
      </w:r>
    </w:p>
    <w:p w:rsidR="00C678E8" w:rsidRPr="00900254" w:rsidRDefault="00C678E8" w:rsidP="000342D8">
      <w:pPr>
        <w:spacing w:after="100" w:line="480" w:lineRule="auto"/>
        <w:textAlignment w:val="top"/>
        <w:outlineLvl w:val="2"/>
        <w:rPr>
          <w:rFonts w:ascii="Calibri" w:hAnsi="Calibri"/>
          <w:sz w:val="24"/>
          <w:szCs w:val="24"/>
        </w:rPr>
      </w:pPr>
      <w:r w:rsidRPr="00900254">
        <w:rPr>
          <w:rFonts w:ascii="Calibri" w:hAnsi="Calibri"/>
          <w:sz w:val="24"/>
          <w:szCs w:val="24"/>
        </w:rPr>
        <w:t xml:space="preserve">Kamiya, Y., Doyle, M., Henretta, J. &amp; Timonen, V. (2013). Depressive symptoms among older adults: The impact of early and later life circumstances and marital status. </w:t>
      </w:r>
      <w:r w:rsidRPr="00900254">
        <w:rPr>
          <w:rFonts w:ascii="Calibri" w:hAnsi="Calibri"/>
          <w:i/>
          <w:sz w:val="24"/>
          <w:szCs w:val="24"/>
        </w:rPr>
        <w:t>Aging &amp; Mental Health</w:t>
      </w:r>
      <w:r w:rsidRPr="00900254">
        <w:rPr>
          <w:rFonts w:ascii="Calibri" w:hAnsi="Calibri"/>
          <w:sz w:val="24"/>
          <w:szCs w:val="24"/>
        </w:rPr>
        <w:t xml:space="preserve">, </w:t>
      </w:r>
      <w:r w:rsidR="00BB27B0" w:rsidRPr="00BB27B0">
        <w:rPr>
          <w:rFonts w:ascii="Calibri" w:hAnsi="Calibri"/>
          <w:i/>
          <w:sz w:val="24"/>
          <w:szCs w:val="24"/>
        </w:rPr>
        <w:t>17</w:t>
      </w:r>
      <w:r w:rsidRPr="00900254">
        <w:rPr>
          <w:rFonts w:ascii="Calibri" w:hAnsi="Calibri"/>
          <w:sz w:val="24"/>
          <w:szCs w:val="24"/>
        </w:rPr>
        <w:t>, 349-357.</w:t>
      </w:r>
    </w:p>
    <w:p w:rsidR="00565897" w:rsidRDefault="00BB27B0">
      <w:pPr>
        <w:pStyle w:val="PlainText"/>
        <w:spacing w:line="480" w:lineRule="auto"/>
        <w:rPr>
          <w:rFonts w:asciiTheme="minorHAnsi" w:hAnsiTheme="minorHAnsi"/>
          <w:sz w:val="24"/>
          <w:szCs w:val="24"/>
        </w:rPr>
      </w:pPr>
      <w:r w:rsidRPr="00BB27B0">
        <w:rPr>
          <w:rFonts w:asciiTheme="minorHAnsi" w:hAnsiTheme="minorHAnsi"/>
          <w:noProof/>
          <w:sz w:val="24"/>
          <w:szCs w:val="24"/>
        </w:rPr>
        <w:t xml:space="preserve">Keenan, D. </w:t>
      </w:r>
      <w:r w:rsidRPr="00BB27B0">
        <w:rPr>
          <w:rFonts w:asciiTheme="minorHAnsi" w:hAnsiTheme="minorHAnsi"/>
          <w:sz w:val="24"/>
          <w:szCs w:val="24"/>
        </w:rPr>
        <w:t>(2006)</w:t>
      </w:r>
      <w:r w:rsidR="00FB6474">
        <w:rPr>
          <w:rFonts w:asciiTheme="minorHAnsi" w:hAnsiTheme="minorHAnsi"/>
          <w:sz w:val="24"/>
          <w:szCs w:val="24"/>
        </w:rPr>
        <w:t>.</w:t>
      </w:r>
      <w:r w:rsidRPr="00BB27B0">
        <w:rPr>
          <w:rFonts w:asciiTheme="minorHAnsi" w:hAnsiTheme="minorHAnsi"/>
          <w:sz w:val="24"/>
          <w:szCs w:val="24"/>
        </w:rPr>
        <w:t xml:space="preserve"> </w:t>
      </w:r>
      <w:r w:rsidRPr="00BB27B0">
        <w:rPr>
          <w:rFonts w:asciiTheme="minorHAnsi" w:hAnsiTheme="minorHAnsi"/>
          <w:i/>
          <w:sz w:val="24"/>
          <w:szCs w:val="24"/>
        </w:rPr>
        <w:t>Post-Famine Ireland: Social Structure Ireland as it really was</w:t>
      </w:r>
      <w:r w:rsidR="00FB6474">
        <w:rPr>
          <w:rFonts w:asciiTheme="minorHAnsi" w:hAnsiTheme="minorHAnsi"/>
          <w:sz w:val="24"/>
          <w:szCs w:val="24"/>
        </w:rPr>
        <w:t>. Xlibris Corpo</w:t>
      </w:r>
      <w:r w:rsidRPr="00BB27B0">
        <w:rPr>
          <w:rFonts w:asciiTheme="minorHAnsi" w:hAnsiTheme="minorHAnsi"/>
          <w:sz w:val="24"/>
          <w:szCs w:val="24"/>
        </w:rPr>
        <w:t>ration.</w:t>
      </w:r>
    </w:p>
    <w:p w:rsidR="00C678E8" w:rsidRPr="00900254" w:rsidRDefault="00C678E8" w:rsidP="000342D8">
      <w:pPr>
        <w:spacing w:after="100" w:line="480" w:lineRule="auto"/>
        <w:jc w:val="both"/>
        <w:rPr>
          <w:rFonts w:ascii="Calibri" w:hAnsi="Calibri"/>
          <w:noProof/>
          <w:sz w:val="24"/>
          <w:szCs w:val="24"/>
        </w:rPr>
      </w:pPr>
      <w:r w:rsidRPr="00900254">
        <w:rPr>
          <w:rFonts w:ascii="Calibri" w:hAnsi="Calibri"/>
          <w:noProof/>
          <w:sz w:val="24"/>
          <w:szCs w:val="24"/>
        </w:rPr>
        <w:t>Kennedy, R.E. (1973)</w:t>
      </w:r>
      <w:r w:rsidR="00FB6474">
        <w:rPr>
          <w:rFonts w:ascii="Calibri" w:hAnsi="Calibri"/>
          <w:noProof/>
          <w:sz w:val="24"/>
          <w:szCs w:val="24"/>
        </w:rPr>
        <w:t>.</w:t>
      </w:r>
      <w:r w:rsidRPr="00900254">
        <w:rPr>
          <w:rFonts w:ascii="Calibri" w:hAnsi="Calibri"/>
          <w:noProof/>
          <w:sz w:val="24"/>
          <w:szCs w:val="24"/>
        </w:rPr>
        <w:t xml:space="preserve"> </w:t>
      </w:r>
      <w:r w:rsidRPr="00900254">
        <w:rPr>
          <w:rFonts w:ascii="Calibri" w:hAnsi="Calibri"/>
          <w:i/>
          <w:noProof/>
          <w:sz w:val="24"/>
          <w:szCs w:val="24"/>
        </w:rPr>
        <w:t>The Irish: Emigration, Marriage and Fertility</w:t>
      </w:r>
      <w:r w:rsidRPr="00900254">
        <w:rPr>
          <w:rFonts w:ascii="Calibri" w:hAnsi="Calibri"/>
          <w:noProof/>
          <w:sz w:val="24"/>
          <w:szCs w:val="24"/>
        </w:rPr>
        <w:t xml:space="preserve">. London, University of California Press. </w:t>
      </w:r>
    </w:p>
    <w:p w:rsidR="00C678E8" w:rsidRDefault="00C678E8" w:rsidP="000342D8">
      <w:pPr>
        <w:spacing w:after="100" w:line="480" w:lineRule="auto"/>
        <w:textAlignment w:val="top"/>
        <w:outlineLvl w:val="2"/>
        <w:rPr>
          <w:rFonts w:ascii="Calibri" w:hAnsi="Calibri"/>
          <w:color w:val="000000"/>
          <w:sz w:val="24"/>
          <w:szCs w:val="24"/>
        </w:rPr>
      </w:pPr>
      <w:r w:rsidRPr="00900254">
        <w:rPr>
          <w:rFonts w:ascii="Calibri" w:hAnsi="Calibri"/>
          <w:color w:val="000000"/>
          <w:sz w:val="24"/>
          <w:szCs w:val="24"/>
        </w:rPr>
        <w:t>Lillard, L.A. &amp; Waite, L.J. (1995)</w:t>
      </w:r>
      <w:r w:rsidR="00094A5C">
        <w:rPr>
          <w:rFonts w:ascii="Calibri" w:hAnsi="Calibri"/>
          <w:color w:val="000000"/>
          <w:sz w:val="24"/>
          <w:szCs w:val="24"/>
        </w:rPr>
        <w:t>.</w:t>
      </w:r>
      <w:r w:rsidRPr="00900254">
        <w:rPr>
          <w:rFonts w:ascii="Calibri" w:hAnsi="Calibri"/>
          <w:color w:val="000000"/>
          <w:sz w:val="24"/>
          <w:szCs w:val="24"/>
        </w:rPr>
        <w:t xml:space="preserve"> ‘Til death do us part: Marital disruption and mortality. </w:t>
      </w:r>
      <w:r w:rsidRPr="00900254">
        <w:rPr>
          <w:rFonts w:ascii="Calibri" w:hAnsi="Calibri"/>
          <w:i/>
          <w:color w:val="000000"/>
          <w:sz w:val="24"/>
          <w:szCs w:val="24"/>
        </w:rPr>
        <w:t>American Journal of Sociology</w:t>
      </w:r>
      <w:r w:rsidRPr="00900254">
        <w:rPr>
          <w:rFonts w:ascii="Calibri" w:hAnsi="Calibri"/>
          <w:color w:val="000000"/>
          <w:sz w:val="24"/>
          <w:szCs w:val="24"/>
        </w:rPr>
        <w:t xml:space="preserve">, </w:t>
      </w:r>
      <w:r w:rsidR="00BB27B0" w:rsidRPr="00BB27B0">
        <w:rPr>
          <w:rFonts w:ascii="Calibri" w:hAnsi="Calibri"/>
          <w:i/>
          <w:color w:val="000000"/>
          <w:sz w:val="24"/>
          <w:szCs w:val="24"/>
        </w:rPr>
        <w:t>100</w:t>
      </w:r>
      <w:r w:rsidRPr="00900254">
        <w:rPr>
          <w:rFonts w:ascii="Calibri" w:hAnsi="Calibri"/>
          <w:color w:val="000000"/>
          <w:sz w:val="24"/>
          <w:szCs w:val="24"/>
        </w:rPr>
        <w:t>, 1131-1156.</w:t>
      </w:r>
    </w:p>
    <w:p w:rsidR="00C678E8" w:rsidRPr="00900254" w:rsidRDefault="00C678E8" w:rsidP="000342D8">
      <w:pPr>
        <w:spacing w:after="100" w:line="480" w:lineRule="auto"/>
        <w:textAlignment w:val="top"/>
        <w:outlineLvl w:val="2"/>
        <w:rPr>
          <w:rFonts w:ascii="Calibri" w:hAnsi="Calibri"/>
          <w:sz w:val="24"/>
          <w:szCs w:val="24"/>
        </w:rPr>
      </w:pPr>
      <w:r w:rsidRPr="00510D78">
        <w:rPr>
          <w:rFonts w:ascii="Calibri" w:hAnsi="Calibri"/>
          <w:sz w:val="24"/>
          <w:szCs w:val="24"/>
        </w:rPr>
        <w:t xml:space="preserve">Looker, E. D. (1989). Accuracy of proxy reports of parental status characteristics. </w:t>
      </w:r>
      <w:r w:rsidR="00BB27B0" w:rsidRPr="00BB27B0">
        <w:rPr>
          <w:rFonts w:ascii="Calibri" w:hAnsi="Calibri"/>
          <w:i/>
          <w:sz w:val="24"/>
          <w:szCs w:val="24"/>
        </w:rPr>
        <w:t>Social Education</w:t>
      </w:r>
      <w:r w:rsidRPr="00510D78">
        <w:rPr>
          <w:rFonts w:ascii="Calibri" w:hAnsi="Calibri"/>
          <w:sz w:val="24"/>
          <w:szCs w:val="24"/>
        </w:rPr>
        <w:t xml:space="preserve">, </w:t>
      </w:r>
      <w:r w:rsidR="00BB27B0" w:rsidRPr="00BB27B0">
        <w:rPr>
          <w:rFonts w:ascii="Calibri" w:hAnsi="Calibri"/>
          <w:i/>
          <w:sz w:val="24"/>
          <w:szCs w:val="24"/>
        </w:rPr>
        <w:t>62</w:t>
      </w:r>
      <w:r w:rsidRPr="00510D78">
        <w:rPr>
          <w:rFonts w:ascii="Calibri" w:hAnsi="Calibri"/>
          <w:sz w:val="24"/>
          <w:szCs w:val="24"/>
        </w:rPr>
        <w:t>, 257-276.</w:t>
      </w:r>
    </w:p>
    <w:p w:rsidR="00C678E8" w:rsidRDefault="00C678E8" w:rsidP="000342D8">
      <w:pPr>
        <w:spacing w:after="100" w:line="480" w:lineRule="auto"/>
        <w:rPr>
          <w:rFonts w:ascii="Calibri" w:hAnsi="Calibri"/>
          <w:noProof/>
          <w:sz w:val="24"/>
          <w:szCs w:val="24"/>
        </w:rPr>
      </w:pPr>
      <w:r w:rsidRPr="00900254">
        <w:rPr>
          <w:rFonts w:ascii="Calibri" w:hAnsi="Calibri"/>
          <w:noProof/>
          <w:sz w:val="24"/>
          <w:szCs w:val="24"/>
        </w:rPr>
        <w:t>MacCurtain, M. and ÓCorráin, D (1979)</w:t>
      </w:r>
      <w:r w:rsidR="00094A5C">
        <w:rPr>
          <w:rFonts w:ascii="Calibri" w:hAnsi="Calibri"/>
          <w:noProof/>
          <w:sz w:val="24"/>
          <w:szCs w:val="24"/>
        </w:rPr>
        <w:t>.</w:t>
      </w:r>
      <w:r w:rsidRPr="00900254">
        <w:rPr>
          <w:rFonts w:ascii="Calibri" w:hAnsi="Calibri"/>
          <w:noProof/>
          <w:sz w:val="24"/>
          <w:szCs w:val="24"/>
        </w:rPr>
        <w:t xml:space="preserve"> </w:t>
      </w:r>
      <w:r w:rsidRPr="00900254">
        <w:rPr>
          <w:rFonts w:ascii="Calibri" w:hAnsi="Calibri"/>
          <w:i/>
          <w:noProof/>
          <w:sz w:val="24"/>
          <w:szCs w:val="24"/>
        </w:rPr>
        <w:t>Women in Irish society</w:t>
      </w:r>
      <w:r w:rsidR="00094A5C">
        <w:rPr>
          <w:rFonts w:ascii="Calibri" w:hAnsi="Calibri"/>
          <w:i/>
          <w:noProof/>
          <w:sz w:val="24"/>
          <w:szCs w:val="24"/>
        </w:rPr>
        <w:t xml:space="preserve"> - </w:t>
      </w:r>
      <w:r w:rsidRPr="00900254">
        <w:rPr>
          <w:rFonts w:ascii="Calibri" w:hAnsi="Calibri"/>
          <w:i/>
          <w:noProof/>
          <w:sz w:val="24"/>
          <w:szCs w:val="24"/>
        </w:rPr>
        <w:t xml:space="preserve"> the historical dimension</w:t>
      </w:r>
      <w:r w:rsidRPr="00900254">
        <w:rPr>
          <w:rFonts w:ascii="Calibri" w:hAnsi="Calibri"/>
          <w:noProof/>
          <w:sz w:val="24"/>
          <w:szCs w:val="24"/>
        </w:rPr>
        <w:t>. Na</w:t>
      </w:r>
      <w:r w:rsidR="00094A5C">
        <w:rPr>
          <w:rFonts w:ascii="Calibri" w:hAnsi="Calibri"/>
          <w:noProof/>
          <w:sz w:val="24"/>
          <w:szCs w:val="24"/>
        </w:rPr>
        <w:t>a</w:t>
      </w:r>
      <w:r w:rsidRPr="00900254">
        <w:rPr>
          <w:rFonts w:ascii="Calibri" w:hAnsi="Calibri"/>
          <w:noProof/>
          <w:sz w:val="24"/>
          <w:szCs w:val="24"/>
        </w:rPr>
        <w:t>s</w:t>
      </w:r>
      <w:r w:rsidR="00094A5C">
        <w:rPr>
          <w:rFonts w:ascii="Calibri" w:hAnsi="Calibri"/>
          <w:noProof/>
          <w:sz w:val="24"/>
          <w:szCs w:val="24"/>
        </w:rPr>
        <w:t>,</w:t>
      </w:r>
      <w:r w:rsidRPr="00900254">
        <w:rPr>
          <w:rFonts w:ascii="Calibri" w:hAnsi="Calibri"/>
          <w:noProof/>
          <w:sz w:val="24"/>
          <w:szCs w:val="24"/>
        </w:rPr>
        <w:t xml:space="preserve"> Arlen House.</w:t>
      </w:r>
    </w:p>
    <w:p w:rsidR="00C678E8" w:rsidRPr="00900254" w:rsidRDefault="00C678E8" w:rsidP="000342D8">
      <w:pPr>
        <w:spacing w:after="100" w:line="480" w:lineRule="auto"/>
        <w:rPr>
          <w:rFonts w:ascii="Calibri" w:hAnsi="Calibri"/>
          <w:sz w:val="24"/>
          <w:szCs w:val="24"/>
        </w:rPr>
      </w:pPr>
      <w:r w:rsidRPr="00900254">
        <w:rPr>
          <w:rFonts w:ascii="Calibri" w:hAnsi="Calibri"/>
          <w:sz w:val="24"/>
          <w:szCs w:val="24"/>
          <w:lang w:eastAsia="en-GB"/>
        </w:rPr>
        <w:t>ÓLuanaigh, C.</w:t>
      </w:r>
      <w:r w:rsidRPr="00900254">
        <w:rPr>
          <w:rFonts w:ascii="Calibri" w:hAnsi="Calibri"/>
          <w:sz w:val="24"/>
          <w:szCs w:val="24"/>
          <w:vertAlign w:val="superscript"/>
          <w:lang w:eastAsia="en-GB"/>
        </w:rPr>
        <w:t xml:space="preserve"> </w:t>
      </w:r>
      <w:r w:rsidRPr="00900254">
        <w:rPr>
          <w:rFonts w:ascii="Calibri" w:hAnsi="Calibri"/>
          <w:sz w:val="24"/>
          <w:szCs w:val="24"/>
          <w:lang w:eastAsia="en-GB"/>
        </w:rPr>
        <w:t xml:space="preserve">&amp; Lawlor, B.A. (2008). </w:t>
      </w:r>
      <w:r w:rsidRPr="00900254">
        <w:rPr>
          <w:rStyle w:val="maintitle"/>
          <w:rFonts w:ascii="Calibri" w:hAnsi="Calibri"/>
          <w:sz w:val="24"/>
          <w:szCs w:val="24"/>
        </w:rPr>
        <w:t xml:space="preserve">Loneliness and the health of older people. </w:t>
      </w:r>
      <w:r w:rsidRPr="00900254">
        <w:rPr>
          <w:rFonts w:ascii="Calibri" w:hAnsi="Calibri"/>
          <w:i/>
          <w:sz w:val="24"/>
          <w:szCs w:val="24"/>
        </w:rPr>
        <w:t>International Journal of Geriatric Psychiatry</w:t>
      </w:r>
      <w:r w:rsidRPr="00900254">
        <w:rPr>
          <w:rFonts w:ascii="Calibri" w:hAnsi="Calibri"/>
          <w:sz w:val="24"/>
          <w:szCs w:val="24"/>
        </w:rPr>
        <w:t xml:space="preserve">, </w:t>
      </w:r>
      <w:r w:rsidR="00BB27B0" w:rsidRPr="00BB27B0">
        <w:rPr>
          <w:rFonts w:ascii="Calibri" w:hAnsi="Calibri"/>
          <w:i/>
          <w:sz w:val="24"/>
          <w:szCs w:val="24"/>
        </w:rPr>
        <w:t>23</w:t>
      </w:r>
      <w:r w:rsidRPr="00900254">
        <w:rPr>
          <w:rFonts w:ascii="Calibri" w:hAnsi="Calibri"/>
          <w:sz w:val="24"/>
          <w:szCs w:val="24"/>
        </w:rPr>
        <w:t>, 1213-1221.</w:t>
      </w:r>
    </w:p>
    <w:p w:rsidR="00C678E8" w:rsidRPr="00900254" w:rsidRDefault="00C678E8" w:rsidP="000342D8">
      <w:pPr>
        <w:spacing w:after="100" w:line="480" w:lineRule="auto"/>
        <w:rPr>
          <w:rFonts w:ascii="Calibri" w:hAnsi="Calibri"/>
          <w:sz w:val="24"/>
          <w:szCs w:val="24"/>
        </w:rPr>
      </w:pPr>
      <w:r w:rsidRPr="00900254">
        <w:rPr>
          <w:rFonts w:ascii="Calibri" w:hAnsi="Calibri"/>
          <w:sz w:val="24"/>
          <w:szCs w:val="24"/>
        </w:rPr>
        <w:lastRenderedPageBreak/>
        <w:t>O’Rand, A.M. (1996). The</w:t>
      </w:r>
      <w:r w:rsidR="00094A5C">
        <w:rPr>
          <w:rFonts w:ascii="Calibri" w:hAnsi="Calibri"/>
          <w:sz w:val="24"/>
          <w:szCs w:val="24"/>
        </w:rPr>
        <w:t xml:space="preserve"> </w:t>
      </w:r>
      <w:r w:rsidRPr="00900254">
        <w:rPr>
          <w:rFonts w:ascii="Calibri" w:hAnsi="Calibri"/>
          <w:sz w:val="24"/>
          <w:szCs w:val="24"/>
        </w:rPr>
        <w:t>precious and the</w:t>
      </w:r>
      <w:r w:rsidR="00094A5C">
        <w:rPr>
          <w:rFonts w:ascii="Calibri" w:hAnsi="Calibri"/>
          <w:sz w:val="24"/>
          <w:szCs w:val="24"/>
        </w:rPr>
        <w:t xml:space="preserve"> </w:t>
      </w:r>
      <w:r w:rsidRPr="00900254">
        <w:rPr>
          <w:rFonts w:ascii="Calibri" w:hAnsi="Calibri"/>
          <w:sz w:val="24"/>
          <w:szCs w:val="24"/>
        </w:rPr>
        <w:t>precocious: Understanding cumulative disadvantage and cumulative advantage over the life course.</w:t>
      </w:r>
      <w:r w:rsidRPr="00900254">
        <w:rPr>
          <w:rFonts w:ascii="Calibri" w:hAnsi="Calibri"/>
          <w:i/>
          <w:sz w:val="24"/>
          <w:szCs w:val="24"/>
        </w:rPr>
        <w:t xml:space="preserve"> The Gerontologist,</w:t>
      </w:r>
      <w:r w:rsidR="00094A5C">
        <w:rPr>
          <w:rFonts w:ascii="Calibri" w:hAnsi="Calibri"/>
          <w:i/>
          <w:sz w:val="24"/>
          <w:szCs w:val="24"/>
        </w:rPr>
        <w:t xml:space="preserve"> </w:t>
      </w:r>
      <w:r w:rsidR="00BB27B0" w:rsidRPr="00BB27B0">
        <w:rPr>
          <w:rFonts w:ascii="Calibri" w:hAnsi="Calibri"/>
          <w:i/>
          <w:sz w:val="24"/>
          <w:szCs w:val="24"/>
        </w:rPr>
        <w:t>36</w:t>
      </w:r>
      <w:r w:rsidRPr="00900254">
        <w:rPr>
          <w:rFonts w:ascii="Calibri" w:hAnsi="Calibri"/>
          <w:sz w:val="24"/>
          <w:szCs w:val="24"/>
        </w:rPr>
        <w:t>, 230–</w:t>
      </w:r>
      <w:r w:rsidR="00094A5C">
        <w:rPr>
          <w:rFonts w:ascii="Calibri" w:hAnsi="Calibri"/>
          <w:sz w:val="24"/>
          <w:szCs w:val="24"/>
        </w:rPr>
        <w:t>2</w:t>
      </w:r>
      <w:r w:rsidRPr="00900254">
        <w:rPr>
          <w:rFonts w:ascii="Calibri" w:hAnsi="Calibri"/>
          <w:sz w:val="24"/>
          <w:szCs w:val="24"/>
        </w:rPr>
        <w:t>38.</w:t>
      </w:r>
    </w:p>
    <w:p w:rsidR="00C678E8" w:rsidRPr="00900254" w:rsidRDefault="0051695C" w:rsidP="000342D8">
      <w:pPr>
        <w:shd w:val="clear" w:color="auto" w:fill="FFFFFF"/>
        <w:spacing w:after="100" w:line="480" w:lineRule="auto"/>
        <w:rPr>
          <w:rFonts w:ascii="Calibri" w:eastAsia="Arial Unicode MS" w:hAnsi="Calibri" w:cs="Arial Unicode MS"/>
          <w:sz w:val="24"/>
          <w:szCs w:val="24"/>
          <w:lang w:eastAsia="en-GB"/>
        </w:rPr>
      </w:pPr>
      <w:hyperlink r:id="rId17" w:history="1">
        <w:r w:rsidR="00C678E8" w:rsidRPr="00900254">
          <w:rPr>
            <w:rFonts w:ascii="Calibri" w:eastAsia="Arial Unicode MS" w:hAnsi="Calibri" w:cs="Arial Unicode MS"/>
            <w:sz w:val="24"/>
            <w:szCs w:val="24"/>
            <w:lang w:eastAsia="en-GB"/>
          </w:rPr>
          <w:t>Palloni</w:t>
        </w:r>
      </w:hyperlink>
      <w:r w:rsidR="00C678E8" w:rsidRPr="00900254">
        <w:rPr>
          <w:rFonts w:ascii="Calibri" w:eastAsia="Arial Unicode MS" w:hAnsi="Calibri" w:cs="Arial Unicode MS"/>
          <w:sz w:val="24"/>
          <w:szCs w:val="24"/>
          <w:lang w:eastAsia="en-GB"/>
        </w:rPr>
        <w:t xml:space="preserve">, A., </w:t>
      </w:r>
      <w:hyperlink r:id="rId18" w:history="1">
        <w:r w:rsidR="00C678E8" w:rsidRPr="00900254">
          <w:rPr>
            <w:rFonts w:ascii="Calibri" w:eastAsia="Arial Unicode MS" w:hAnsi="Calibri" w:cs="Arial Unicode MS"/>
            <w:sz w:val="24"/>
            <w:szCs w:val="24"/>
            <w:lang w:eastAsia="en-GB"/>
          </w:rPr>
          <w:t>Milesi</w:t>
        </w:r>
      </w:hyperlink>
      <w:r w:rsidR="00C678E8" w:rsidRPr="00900254">
        <w:rPr>
          <w:rFonts w:ascii="Calibri" w:eastAsia="Arial Unicode MS" w:hAnsi="Calibri" w:cs="Arial Unicode MS"/>
          <w:sz w:val="24"/>
          <w:szCs w:val="24"/>
          <w:lang w:eastAsia="en-GB"/>
        </w:rPr>
        <w:t>, C.,</w:t>
      </w:r>
      <w:hyperlink r:id="rId19" w:history="1">
        <w:r w:rsidR="00C678E8" w:rsidRPr="00900254">
          <w:rPr>
            <w:rFonts w:ascii="Calibri" w:eastAsia="Arial Unicode MS" w:hAnsi="Calibri" w:cs="Arial Unicode MS"/>
            <w:sz w:val="24"/>
            <w:szCs w:val="24"/>
            <w:lang w:eastAsia="en-GB"/>
          </w:rPr>
          <w:t>White</w:t>
        </w:r>
      </w:hyperlink>
      <w:r w:rsidR="00C678E8" w:rsidRPr="00900254">
        <w:rPr>
          <w:rFonts w:ascii="Calibri" w:eastAsia="Arial Unicode MS" w:hAnsi="Calibri" w:cs="Arial Unicode MS"/>
          <w:sz w:val="24"/>
          <w:szCs w:val="24"/>
          <w:lang w:eastAsia="en-GB"/>
        </w:rPr>
        <w:t xml:space="preserve">, R.G. and </w:t>
      </w:r>
      <w:hyperlink r:id="rId20" w:history="1">
        <w:r w:rsidR="00C678E8" w:rsidRPr="00900254">
          <w:rPr>
            <w:rFonts w:ascii="Calibri" w:eastAsia="Arial Unicode MS" w:hAnsi="Calibri" w:cs="Arial Unicode MS"/>
            <w:sz w:val="24"/>
            <w:szCs w:val="24"/>
            <w:lang w:eastAsia="en-GB"/>
          </w:rPr>
          <w:t>Turner</w:t>
        </w:r>
      </w:hyperlink>
      <w:r w:rsidR="00C678E8" w:rsidRPr="00900254">
        <w:rPr>
          <w:rFonts w:ascii="Calibri" w:hAnsi="Calibri"/>
          <w:sz w:val="24"/>
          <w:szCs w:val="24"/>
        </w:rPr>
        <w:t>, A.</w:t>
      </w:r>
      <w:r w:rsidR="00C678E8" w:rsidRPr="00900254">
        <w:rPr>
          <w:rFonts w:ascii="Calibri" w:eastAsia="Arial Unicode MS" w:hAnsi="Calibri" w:cs="Arial Unicode MS"/>
          <w:sz w:val="24"/>
          <w:szCs w:val="24"/>
          <w:lang w:eastAsia="en-GB"/>
        </w:rPr>
        <w:t xml:space="preserve"> (2009).</w:t>
      </w:r>
      <w:r w:rsidR="00C678E8" w:rsidRPr="00900254">
        <w:rPr>
          <w:rFonts w:ascii="Calibri" w:eastAsia="Arial Unicode MS" w:hAnsi="Calibri" w:cs="Arial Unicode MS"/>
          <w:bCs/>
          <w:kern w:val="36"/>
          <w:sz w:val="24"/>
          <w:szCs w:val="24"/>
        </w:rPr>
        <w:t xml:space="preserve">Early childhood health, reproduction of economic inequalities and the persistence of health and mortality differentials. </w:t>
      </w:r>
      <w:r w:rsidR="00C678E8" w:rsidRPr="00900254">
        <w:rPr>
          <w:rFonts w:ascii="Calibri" w:eastAsia="Arial Unicode MS" w:hAnsi="Calibri" w:cs="Arial Unicode MS"/>
          <w:bCs/>
          <w:i/>
          <w:kern w:val="36"/>
          <w:sz w:val="24"/>
          <w:szCs w:val="24"/>
        </w:rPr>
        <w:t>Social Science and Medicine</w:t>
      </w:r>
      <w:r w:rsidR="00C678E8" w:rsidRPr="00900254">
        <w:rPr>
          <w:rFonts w:ascii="Calibri" w:eastAsia="Arial Unicode MS" w:hAnsi="Calibri" w:cs="Arial Unicode MS"/>
          <w:bCs/>
          <w:kern w:val="36"/>
          <w:sz w:val="24"/>
          <w:szCs w:val="24"/>
        </w:rPr>
        <w:t xml:space="preserve">, </w:t>
      </w:r>
      <w:r w:rsidR="00BB27B0" w:rsidRPr="00BB27B0">
        <w:rPr>
          <w:rFonts w:ascii="Calibri" w:eastAsia="Arial Unicode MS" w:hAnsi="Calibri" w:cs="Arial Unicode MS"/>
          <w:bCs/>
          <w:i/>
          <w:kern w:val="36"/>
          <w:sz w:val="24"/>
          <w:szCs w:val="24"/>
        </w:rPr>
        <w:t>68</w:t>
      </w:r>
      <w:r w:rsidR="00C678E8" w:rsidRPr="00900254">
        <w:rPr>
          <w:rFonts w:ascii="Calibri" w:eastAsia="Arial Unicode MS" w:hAnsi="Calibri" w:cs="Arial Unicode MS"/>
          <w:bCs/>
          <w:kern w:val="36"/>
          <w:sz w:val="24"/>
          <w:szCs w:val="24"/>
        </w:rPr>
        <w:t>, 1575-1582.</w:t>
      </w:r>
    </w:p>
    <w:p w:rsidR="00C678E8" w:rsidRPr="00900254" w:rsidRDefault="00C678E8" w:rsidP="000342D8">
      <w:pPr>
        <w:spacing w:after="100" w:line="480" w:lineRule="auto"/>
        <w:rPr>
          <w:rFonts w:ascii="Calibri" w:hAnsi="Calibri"/>
          <w:sz w:val="24"/>
          <w:szCs w:val="24"/>
          <w:lang w:eastAsia="en-GB"/>
        </w:rPr>
      </w:pPr>
      <w:r w:rsidRPr="00900254">
        <w:rPr>
          <w:rFonts w:ascii="Calibri" w:hAnsi="Calibri"/>
          <w:sz w:val="24"/>
          <w:szCs w:val="24"/>
          <w:lang w:eastAsia="en-GB"/>
        </w:rPr>
        <w:t xml:space="preserve">Park, N.S., Jang, Y, Lee, B.S., Haley, W.E. &amp; Chiriboga, D.A. (2013). The mediating role of loneliness in the relation between social engagement and depressive symptoms among older Korean Americans: Do men and women differ? </w:t>
      </w:r>
      <w:r w:rsidRPr="00900254">
        <w:rPr>
          <w:rFonts w:ascii="Calibri" w:hAnsi="Calibri"/>
          <w:i/>
          <w:sz w:val="24"/>
          <w:szCs w:val="24"/>
          <w:lang w:eastAsia="en-GB"/>
        </w:rPr>
        <w:t xml:space="preserve"> The Journals of Gerontology, Series B: Psychological Sciences and Social Sciences</w:t>
      </w:r>
      <w:r w:rsidRPr="00900254">
        <w:rPr>
          <w:rFonts w:ascii="Calibri" w:hAnsi="Calibri"/>
          <w:sz w:val="24"/>
          <w:szCs w:val="24"/>
          <w:lang w:eastAsia="en-GB"/>
        </w:rPr>
        <w:t xml:space="preserve">, </w:t>
      </w:r>
      <w:r w:rsidR="00BB27B0" w:rsidRPr="00BB27B0">
        <w:rPr>
          <w:rFonts w:ascii="Calibri" w:hAnsi="Calibri"/>
          <w:i/>
          <w:sz w:val="24"/>
          <w:szCs w:val="24"/>
          <w:lang w:eastAsia="en-GB"/>
        </w:rPr>
        <w:t>68</w:t>
      </w:r>
      <w:r w:rsidR="00094A5C">
        <w:rPr>
          <w:rFonts w:ascii="Calibri" w:hAnsi="Calibri"/>
          <w:sz w:val="24"/>
          <w:szCs w:val="24"/>
          <w:lang w:eastAsia="en-GB"/>
        </w:rPr>
        <w:t xml:space="preserve">, </w:t>
      </w:r>
      <w:r w:rsidRPr="00900254">
        <w:rPr>
          <w:rFonts w:ascii="Calibri" w:hAnsi="Calibri"/>
          <w:sz w:val="24"/>
          <w:szCs w:val="24"/>
          <w:lang w:eastAsia="en-GB"/>
        </w:rPr>
        <w:t>193-201.</w:t>
      </w:r>
    </w:p>
    <w:p w:rsidR="00C678E8" w:rsidRPr="00900254" w:rsidRDefault="00C678E8" w:rsidP="000342D8">
      <w:pPr>
        <w:spacing w:after="100" w:line="480" w:lineRule="auto"/>
        <w:rPr>
          <w:rFonts w:ascii="Calibri" w:hAnsi="Calibri"/>
          <w:sz w:val="24"/>
          <w:szCs w:val="24"/>
        </w:rPr>
      </w:pPr>
      <w:r w:rsidRPr="00900254">
        <w:rPr>
          <w:rStyle w:val="authornames"/>
          <w:rFonts w:ascii="Calibri" w:hAnsi="Calibri" w:cs="Helvetica"/>
          <w:sz w:val="24"/>
          <w:szCs w:val="24"/>
        </w:rPr>
        <w:t>Perissinotto, C.M., Stijacic Cenzer, I. &amp; Covinsky, K.E. (2012).</w:t>
      </w:r>
      <w:r w:rsidRPr="00900254">
        <w:rPr>
          <w:rFonts w:ascii="Calibri" w:hAnsi="Calibri" w:cs="Helvetica"/>
          <w:bCs/>
          <w:sz w:val="24"/>
          <w:szCs w:val="24"/>
        </w:rPr>
        <w:t xml:space="preserve"> Loneliness in older persons - </w:t>
      </w:r>
      <w:r w:rsidRPr="00900254">
        <w:rPr>
          <w:rStyle w:val="titleseparator5"/>
          <w:rFonts w:ascii="Calibri" w:hAnsi="Calibri" w:cs="Helvetica"/>
          <w:bCs/>
          <w:sz w:val="24"/>
          <w:szCs w:val="24"/>
        </w:rPr>
        <w:t xml:space="preserve">: </w:t>
      </w:r>
      <w:r w:rsidRPr="00900254">
        <w:rPr>
          <w:rStyle w:val="subtitle7"/>
          <w:rFonts w:ascii="Calibri" w:hAnsi="Calibri" w:cs="Helvetica"/>
          <w:bCs/>
          <w:sz w:val="24"/>
          <w:szCs w:val="24"/>
        </w:rPr>
        <w:t xml:space="preserve">A predictor of functional decline and death. </w:t>
      </w:r>
      <w:r w:rsidRPr="00900254">
        <w:rPr>
          <w:rStyle w:val="subtitle7"/>
          <w:rFonts w:ascii="Calibri" w:hAnsi="Calibri" w:cs="Helvetica"/>
          <w:bCs/>
          <w:i/>
          <w:sz w:val="24"/>
          <w:szCs w:val="24"/>
        </w:rPr>
        <w:t>Archives of International Medicine</w:t>
      </w:r>
      <w:r w:rsidRPr="00900254">
        <w:rPr>
          <w:rStyle w:val="subtitle7"/>
          <w:rFonts w:ascii="Calibri" w:hAnsi="Calibri" w:cs="Helvetica"/>
          <w:bCs/>
          <w:sz w:val="24"/>
          <w:szCs w:val="24"/>
        </w:rPr>
        <w:t xml:space="preserve">, </w:t>
      </w:r>
      <w:r w:rsidR="00BB27B0" w:rsidRPr="00BB27B0">
        <w:rPr>
          <w:rFonts w:ascii="Calibri" w:hAnsi="Calibri"/>
          <w:i/>
          <w:sz w:val="24"/>
          <w:szCs w:val="24"/>
        </w:rPr>
        <w:t>172</w:t>
      </w:r>
      <w:r w:rsidR="00EA08D6">
        <w:rPr>
          <w:rFonts w:ascii="Calibri" w:hAnsi="Calibri"/>
          <w:sz w:val="24"/>
          <w:szCs w:val="24"/>
        </w:rPr>
        <w:t xml:space="preserve">, </w:t>
      </w:r>
      <w:r w:rsidRPr="00900254">
        <w:rPr>
          <w:rFonts w:ascii="Calibri" w:hAnsi="Calibri"/>
          <w:sz w:val="24"/>
          <w:szCs w:val="24"/>
        </w:rPr>
        <w:t>1078-</w:t>
      </w:r>
      <w:r w:rsidR="00EA08D6">
        <w:rPr>
          <w:rFonts w:ascii="Calibri" w:hAnsi="Calibri"/>
          <w:sz w:val="24"/>
          <w:szCs w:val="24"/>
        </w:rPr>
        <w:t>10</w:t>
      </w:r>
      <w:r w:rsidRPr="00900254">
        <w:rPr>
          <w:rFonts w:ascii="Calibri" w:hAnsi="Calibri"/>
          <w:sz w:val="24"/>
          <w:szCs w:val="24"/>
        </w:rPr>
        <w:t>83.</w:t>
      </w:r>
    </w:p>
    <w:p w:rsidR="00C678E8" w:rsidRPr="00900254" w:rsidRDefault="00C678E8" w:rsidP="000342D8">
      <w:pPr>
        <w:spacing w:after="100" w:line="480" w:lineRule="auto"/>
        <w:rPr>
          <w:rFonts w:ascii="Calibri" w:hAnsi="Calibri"/>
          <w:sz w:val="24"/>
          <w:szCs w:val="24"/>
        </w:rPr>
      </w:pPr>
      <w:r w:rsidRPr="00900254">
        <w:rPr>
          <w:rFonts w:ascii="Calibri" w:hAnsi="Calibri"/>
          <w:sz w:val="24"/>
          <w:szCs w:val="24"/>
        </w:rPr>
        <w:t>Pollitt, R.A., Rose, K.M., &amp; Kaufman, J.S. (2005</w:t>
      </w:r>
      <w:r w:rsidR="00C2399E">
        <w:rPr>
          <w:rFonts w:ascii="Calibri" w:hAnsi="Calibri"/>
          <w:sz w:val="24"/>
          <w:szCs w:val="24"/>
        </w:rPr>
        <w:t>).</w:t>
      </w:r>
      <w:r w:rsidRPr="00900254">
        <w:rPr>
          <w:rFonts w:ascii="Calibri" w:hAnsi="Calibri"/>
          <w:sz w:val="24"/>
          <w:szCs w:val="24"/>
        </w:rPr>
        <w:t xml:space="preserve"> Evaluating the evidence for models of life course socioeconomic factors and cardiovascular outcomes: A systematic review</w:t>
      </w:r>
      <w:r>
        <w:rPr>
          <w:rFonts w:ascii="Calibri" w:hAnsi="Calibri"/>
          <w:sz w:val="24"/>
          <w:szCs w:val="24"/>
        </w:rPr>
        <w:t xml:space="preserve">. </w:t>
      </w:r>
      <w:r w:rsidRPr="00FB6558">
        <w:rPr>
          <w:rFonts w:ascii="Calibri" w:hAnsi="Calibri"/>
          <w:i/>
          <w:sz w:val="24"/>
          <w:szCs w:val="24"/>
        </w:rPr>
        <w:t>BMC Public Health</w:t>
      </w:r>
      <w:r w:rsidRPr="00900254">
        <w:rPr>
          <w:rFonts w:ascii="Calibri" w:hAnsi="Calibri"/>
          <w:sz w:val="24"/>
          <w:szCs w:val="24"/>
        </w:rPr>
        <w:t xml:space="preserve">, </w:t>
      </w:r>
      <w:r w:rsidR="00BB27B0" w:rsidRPr="00BB27B0">
        <w:rPr>
          <w:rFonts w:ascii="Calibri" w:hAnsi="Calibri"/>
          <w:i/>
          <w:sz w:val="24"/>
          <w:szCs w:val="24"/>
        </w:rPr>
        <w:t>5</w:t>
      </w:r>
      <w:r w:rsidRPr="00900254">
        <w:rPr>
          <w:rFonts w:ascii="Calibri" w:hAnsi="Calibri"/>
          <w:sz w:val="24"/>
          <w:szCs w:val="24"/>
        </w:rPr>
        <w:t>, 7.</w:t>
      </w:r>
    </w:p>
    <w:p w:rsidR="00C678E8" w:rsidRDefault="00C678E8" w:rsidP="000342D8">
      <w:pPr>
        <w:spacing w:after="100" w:line="480" w:lineRule="auto"/>
        <w:rPr>
          <w:rFonts w:ascii="Calibri" w:hAnsi="Calibri"/>
          <w:color w:val="000000"/>
          <w:sz w:val="24"/>
          <w:szCs w:val="24"/>
        </w:rPr>
      </w:pPr>
      <w:r w:rsidRPr="00900254">
        <w:rPr>
          <w:rFonts w:ascii="Calibri" w:hAnsi="Calibri"/>
          <w:color w:val="000000"/>
          <w:sz w:val="24"/>
          <w:szCs w:val="24"/>
        </w:rPr>
        <w:t>Rogers, R.G. (1995)</w:t>
      </w:r>
      <w:r w:rsidR="00155B43">
        <w:rPr>
          <w:rFonts w:ascii="Calibri" w:hAnsi="Calibri"/>
          <w:color w:val="000000"/>
          <w:sz w:val="24"/>
          <w:szCs w:val="24"/>
        </w:rPr>
        <w:t>.</w:t>
      </w:r>
      <w:r w:rsidRPr="00900254">
        <w:rPr>
          <w:rFonts w:ascii="Calibri" w:hAnsi="Calibri"/>
          <w:color w:val="000000"/>
          <w:sz w:val="24"/>
          <w:szCs w:val="24"/>
        </w:rPr>
        <w:t xml:space="preserve"> Marriage, sex, and mortality. </w:t>
      </w:r>
      <w:r w:rsidRPr="00900254">
        <w:rPr>
          <w:rFonts w:ascii="Calibri" w:hAnsi="Calibri"/>
          <w:i/>
          <w:color w:val="000000"/>
          <w:sz w:val="24"/>
          <w:szCs w:val="24"/>
        </w:rPr>
        <w:t>Journal of Marriage and the Family</w:t>
      </w:r>
      <w:r w:rsidRPr="00900254">
        <w:rPr>
          <w:rFonts w:ascii="Calibri" w:hAnsi="Calibri"/>
          <w:color w:val="000000"/>
          <w:sz w:val="24"/>
          <w:szCs w:val="24"/>
        </w:rPr>
        <w:t xml:space="preserve">, </w:t>
      </w:r>
      <w:r w:rsidR="00BB27B0" w:rsidRPr="00BB27B0">
        <w:rPr>
          <w:rFonts w:ascii="Calibri" w:hAnsi="Calibri"/>
          <w:i/>
          <w:color w:val="000000"/>
          <w:sz w:val="24"/>
          <w:szCs w:val="24"/>
        </w:rPr>
        <w:t>57</w:t>
      </w:r>
      <w:r w:rsidRPr="00900254">
        <w:rPr>
          <w:rFonts w:ascii="Calibri" w:hAnsi="Calibri"/>
          <w:color w:val="000000"/>
          <w:sz w:val="24"/>
          <w:szCs w:val="24"/>
        </w:rPr>
        <w:t>, 515-526.</w:t>
      </w:r>
    </w:p>
    <w:p w:rsidR="00C2399E" w:rsidRPr="00900254" w:rsidRDefault="00C2399E" w:rsidP="000342D8">
      <w:pPr>
        <w:spacing w:after="100" w:line="480" w:lineRule="auto"/>
        <w:rPr>
          <w:rFonts w:ascii="Calibri" w:hAnsi="Calibri"/>
          <w:color w:val="000000"/>
          <w:sz w:val="24"/>
          <w:szCs w:val="24"/>
        </w:rPr>
      </w:pPr>
      <w:r>
        <w:rPr>
          <w:rFonts w:ascii="Calibri" w:hAnsi="Calibri"/>
          <w:color w:val="000000"/>
          <w:sz w:val="24"/>
          <w:szCs w:val="24"/>
        </w:rPr>
        <w:t xml:space="preserve">Rote, S., Hill, T.D. &amp; Elllison, C.G. (2012). Religious attendance and loneliness in later life. </w:t>
      </w:r>
      <w:r w:rsidR="00BB27B0" w:rsidRPr="00BB27B0">
        <w:rPr>
          <w:rFonts w:ascii="Calibri" w:hAnsi="Calibri"/>
          <w:i/>
          <w:color w:val="000000"/>
          <w:sz w:val="24"/>
          <w:szCs w:val="24"/>
        </w:rPr>
        <w:t>The Gerontologist</w:t>
      </w:r>
      <w:r>
        <w:rPr>
          <w:rFonts w:ascii="Calibri" w:hAnsi="Calibri"/>
          <w:color w:val="000000"/>
          <w:sz w:val="24"/>
          <w:szCs w:val="24"/>
        </w:rPr>
        <w:t xml:space="preserve">, </w:t>
      </w:r>
      <w:r w:rsidR="00BB27B0" w:rsidRPr="00BB27B0">
        <w:rPr>
          <w:rFonts w:ascii="Calibri" w:hAnsi="Calibri"/>
          <w:i/>
          <w:color w:val="000000"/>
          <w:sz w:val="24"/>
          <w:szCs w:val="24"/>
        </w:rPr>
        <w:t>53</w:t>
      </w:r>
      <w:r>
        <w:rPr>
          <w:rFonts w:ascii="Calibri" w:hAnsi="Calibri"/>
          <w:color w:val="000000"/>
          <w:sz w:val="24"/>
          <w:szCs w:val="24"/>
        </w:rPr>
        <w:t>, 39-50.</w:t>
      </w:r>
    </w:p>
    <w:p w:rsidR="00C678E8" w:rsidRDefault="00C678E8" w:rsidP="000342D8">
      <w:pPr>
        <w:spacing w:after="100" w:line="480" w:lineRule="auto"/>
        <w:rPr>
          <w:rFonts w:ascii="Calibri" w:hAnsi="Calibri"/>
          <w:sz w:val="24"/>
          <w:szCs w:val="24"/>
        </w:rPr>
      </w:pPr>
      <w:r w:rsidRPr="00900254">
        <w:rPr>
          <w:rFonts w:ascii="Calibri" w:hAnsi="Calibri"/>
          <w:sz w:val="24"/>
          <w:szCs w:val="24"/>
        </w:rPr>
        <w:t>Russell, D., Peplau, L.A., &amp; Cutrona, C.E. (1980).  The revised UCLA Loneliness Scale:  Concurrent and discriminant validity evidence</w:t>
      </w:r>
      <w:r w:rsidRPr="00900254">
        <w:rPr>
          <w:rFonts w:ascii="Calibri" w:hAnsi="Calibri"/>
          <w:i/>
          <w:sz w:val="24"/>
          <w:szCs w:val="24"/>
        </w:rPr>
        <w:t>.  Journal of Personality and Social Psychology</w:t>
      </w:r>
      <w:r w:rsidRPr="00900254">
        <w:rPr>
          <w:rFonts w:ascii="Calibri" w:hAnsi="Calibri"/>
          <w:sz w:val="24"/>
          <w:szCs w:val="24"/>
        </w:rPr>
        <w:t xml:space="preserve">, </w:t>
      </w:r>
      <w:r w:rsidR="00BB27B0" w:rsidRPr="00BB27B0">
        <w:rPr>
          <w:rFonts w:ascii="Calibri" w:hAnsi="Calibri"/>
          <w:i/>
          <w:sz w:val="24"/>
          <w:szCs w:val="24"/>
        </w:rPr>
        <w:t>39</w:t>
      </w:r>
      <w:r w:rsidRPr="00900254">
        <w:rPr>
          <w:rFonts w:ascii="Calibri" w:hAnsi="Calibri"/>
          <w:sz w:val="24"/>
          <w:szCs w:val="24"/>
        </w:rPr>
        <w:t>, 472-480.</w:t>
      </w:r>
    </w:p>
    <w:p w:rsidR="00C678E8" w:rsidRPr="00900254" w:rsidRDefault="00C678E8" w:rsidP="000342D8">
      <w:pPr>
        <w:pStyle w:val="summary-title"/>
        <w:spacing w:before="0" w:beforeAutospacing="0" w:afterAutospacing="0" w:line="480" w:lineRule="auto"/>
        <w:rPr>
          <w:rFonts w:ascii="Calibri" w:hAnsi="Calibri" w:cs="Arial"/>
          <w:sz w:val="24"/>
          <w:szCs w:val="24"/>
        </w:rPr>
      </w:pPr>
      <w:r w:rsidRPr="00900254">
        <w:rPr>
          <w:rFonts w:ascii="Calibri" w:hAnsi="Calibri" w:cs="Arial"/>
          <w:sz w:val="24"/>
          <w:szCs w:val="24"/>
        </w:rPr>
        <w:lastRenderedPageBreak/>
        <w:t>Smith, J.P. (2009). The impact of childhood health on adult labor market outcomes.</w:t>
      </w:r>
      <w:r w:rsidRPr="00900254">
        <w:rPr>
          <w:rFonts w:ascii="Calibri" w:hAnsi="Calibri" w:cs="Arial"/>
          <w:i/>
          <w:iCs/>
          <w:sz w:val="24"/>
          <w:szCs w:val="24"/>
        </w:rPr>
        <w:t xml:space="preserve"> Review of Economics and Statistics</w:t>
      </w:r>
      <w:r w:rsidRPr="00900254">
        <w:rPr>
          <w:rFonts w:ascii="Calibri" w:hAnsi="Calibri" w:cs="Arial"/>
          <w:sz w:val="24"/>
          <w:szCs w:val="24"/>
        </w:rPr>
        <w:t xml:space="preserve">, </w:t>
      </w:r>
      <w:r w:rsidR="00BB27B0" w:rsidRPr="00BB27B0">
        <w:rPr>
          <w:rFonts w:ascii="Calibri" w:hAnsi="Calibri" w:cs="Arial"/>
          <w:i/>
          <w:sz w:val="24"/>
          <w:szCs w:val="24"/>
        </w:rPr>
        <w:t>91</w:t>
      </w:r>
      <w:r w:rsidRPr="00900254">
        <w:rPr>
          <w:rFonts w:ascii="Calibri" w:hAnsi="Calibri" w:cs="Arial"/>
          <w:sz w:val="24"/>
          <w:szCs w:val="24"/>
        </w:rPr>
        <w:t>, 478-489.</w:t>
      </w:r>
    </w:p>
    <w:p w:rsidR="00C678E8" w:rsidRPr="00900254" w:rsidRDefault="00C678E8" w:rsidP="000342D8">
      <w:pPr>
        <w:pStyle w:val="summary-title"/>
        <w:spacing w:before="0" w:beforeAutospacing="0" w:afterAutospacing="0" w:line="480" w:lineRule="auto"/>
        <w:jc w:val="left"/>
        <w:rPr>
          <w:rFonts w:ascii="Calibri" w:hAnsi="Calibri"/>
          <w:bCs/>
          <w:sz w:val="24"/>
          <w:szCs w:val="24"/>
        </w:rPr>
      </w:pPr>
      <w:r w:rsidRPr="00900254">
        <w:rPr>
          <w:rFonts w:ascii="Calibri" w:hAnsi="Calibri" w:cs="Arial"/>
          <w:sz w:val="24"/>
          <w:szCs w:val="24"/>
        </w:rPr>
        <w:t xml:space="preserve">Steptoe, A., Owen, N., Kunz-Ebrecht, S.R. &amp; Brydon, L. (2004). Loneliness and neuroendocrine, cardiovascular, and inflammatory stress responses in middle-aged men and women.  </w:t>
      </w:r>
      <w:r w:rsidRPr="00900254">
        <w:rPr>
          <w:rFonts w:ascii="Calibri" w:hAnsi="Calibri" w:cs="Arial"/>
          <w:i/>
          <w:sz w:val="24"/>
          <w:szCs w:val="24"/>
        </w:rPr>
        <w:t>Psychoneuroendrocrinology</w:t>
      </w:r>
      <w:r w:rsidRPr="00900254">
        <w:rPr>
          <w:rFonts w:ascii="Calibri" w:hAnsi="Calibri" w:cs="Arial"/>
          <w:sz w:val="24"/>
          <w:szCs w:val="24"/>
        </w:rPr>
        <w:t xml:space="preserve">, </w:t>
      </w:r>
      <w:r w:rsidR="00BB27B0" w:rsidRPr="00BB27B0">
        <w:rPr>
          <w:rFonts w:ascii="Calibri" w:hAnsi="Calibri" w:cs="Arial"/>
          <w:i/>
          <w:sz w:val="24"/>
          <w:szCs w:val="24"/>
        </w:rPr>
        <w:t>29</w:t>
      </w:r>
      <w:r w:rsidRPr="00900254">
        <w:rPr>
          <w:rFonts w:ascii="Calibri" w:hAnsi="Calibri" w:cs="Arial"/>
          <w:sz w:val="24"/>
          <w:szCs w:val="24"/>
        </w:rPr>
        <w:t>, 593-611.</w:t>
      </w:r>
    </w:p>
    <w:p w:rsidR="00C678E8" w:rsidRPr="00900254" w:rsidRDefault="00C678E8" w:rsidP="000342D8">
      <w:pPr>
        <w:spacing w:after="100" w:line="480" w:lineRule="auto"/>
        <w:rPr>
          <w:rFonts w:ascii="Calibri" w:hAnsi="Calibri"/>
          <w:sz w:val="24"/>
          <w:szCs w:val="24"/>
        </w:rPr>
      </w:pPr>
      <w:r w:rsidRPr="00900254">
        <w:rPr>
          <w:rFonts w:ascii="Calibri" w:hAnsi="Calibri"/>
          <w:sz w:val="24"/>
          <w:szCs w:val="24"/>
        </w:rPr>
        <w:t xml:space="preserve">Tomaka, J., Thompson, S. &amp; Palacios, R. (2006). The relation of social isolation, loneliness and social support to disease outcomes among the elderly. </w:t>
      </w:r>
      <w:r w:rsidRPr="00900254">
        <w:rPr>
          <w:rFonts w:ascii="Calibri" w:hAnsi="Calibri"/>
          <w:i/>
          <w:sz w:val="24"/>
          <w:szCs w:val="24"/>
        </w:rPr>
        <w:t>Journal of Aging and Health</w:t>
      </w:r>
      <w:r w:rsidRPr="00900254">
        <w:rPr>
          <w:rFonts w:ascii="Calibri" w:hAnsi="Calibri"/>
          <w:sz w:val="24"/>
          <w:szCs w:val="24"/>
        </w:rPr>
        <w:t xml:space="preserve">, </w:t>
      </w:r>
      <w:r w:rsidR="00BB27B0" w:rsidRPr="00BB27B0">
        <w:rPr>
          <w:rFonts w:ascii="Calibri" w:hAnsi="Calibri"/>
          <w:i/>
          <w:sz w:val="24"/>
          <w:szCs w:val="24"/>
        </w:rPr>
        <w:t>18</w:t>
      </w:r>
      <w:r w:rsidRPr="00900254">
        <w:rPr>
          <w:rFonts w:ascii="Calibri" w:hAnsi="Calibri"/>
          <w:sz w:val="24"/>
          <w:szCs w:val="24"/>
        </w:rPr>
        <w:t>, 359 -384.</w:t>
      </w:r>
    </w:p>
    <w:p w:rsidR="00C678E8" w:rsidRPr="00900254" w:rsidRDefault="00C678E8" w:rsidP="000342D8">
      <w:pPr>
        <w:autoSpaceDE w:val="0"/>
        <w:autoSpaceDN w:val="0"/>
        <w:adjustRightInd w:val="0"/>
        <w:spacing w:after="100" w:line="480" w:lineRule="auto"/>
        <w:rPr>
          <w:rFonts w:ascii="Calibri" w:hAnsi="Calibri"/>
          <w:sz w:val="24"/>
          <w:szCs w:val="24"/>
        </w:rPr>
      </w:pPr>
      <w:r w:rsidRPr="00900254">
        <w:rPr>
          <w:rFonts w:ascii="Calibri" w:hAnsi="Calibri"/>
          <w:sz w:val="24"/>
          <w:szCs w:val="24"/>
        </w:rPr>
        <w:t>van Baarsen, B. (2002)</w:t>
      </w:r>
      <w:r w:rsidR="00155B43">
        <w:rPr>
          <w:rFonts w:ascii="Calibri" w:hAnsi="Calibri"/>
          <w:sz w:val="24"/>
          <w:szCs w:val="24"/>
        </w:rPr>
        <w:t>.</w:t>
      </w:r>
      <w:r w:rsidRPr="00900254">
        <w:rPr>
          <w:rFonts w:ascii="Calibri" w:hAnsi="Calibri"/>
          <w:sz w:val="24"/>
          <w:szCs w:val="24"/>
        </w:rPr>
        <w:t xml:space="preserve"> Theories on coping with loss: The impact of social support and self-esteem on adjustment to emotional and social loneliness following a partner’s death in later life.</w:t>
      </w:r>
      <w:r w:rsidRPr="00900254">
        <w:rPr>
          <w:rFonts w:ascii="Calibri" w:hAnsi="Calibri"/>
          <w:i/>
          <w:sz w:val="24"/>
          <w:szCs w:val="24"/>
        </w:rPr>
        <w:t xml:space="preserve"> Journal</w:t>
      </w:r>
      <w:r w:rsidR="00155B43">
        <w:rPr>
          <w:rFonts w:ascii="Calibri" w:hAnsi="Calibri"/>
          <w:i/>
          <w:sz w:val="24"/>
          <w:szCs w:val="24"/>
        </w:rPr>
        <w:t>s</w:t>
      </w:r>
      <w:r w:rsidRPr="00900254">
        <w:rPr>
          <w:rFonts w:ascii="Calibri" w:hAnsi="Calibri"/>
          <w:i/>
          <w:sz w:val="24"/>
          <w:szCs w:val="24"/>
        </w:rPr>
        <w:t xml:space="preserve"> of Gerontology: Social Sciences</w:t>
      </w:r>
      <w:r w:rsidRPr="00900254">
        <w:rPr>
          <w:rFonts w:ascii="Calibri" w:hAnsi="Calibri"/>
          <w:sz w:val="24"/>
          <w:szCs w:val="24"/>
        </w:rPr>
        <w:t xml:space="preserve">, </w:t>
      </w:r>
      <w:r w:rsidR="00BB27B0" w:rsidRPr="00BB27B0">
        <w:rPr>
          <w:rFonts w:ascii="Calibri" w:hAnsi="Calibri"/>
          <w:i/>
          <w:sz w:val="24"/>
          <w:szCs w:val="24"/>
        </w:rPr>
        <w:t>57</w:t>
      </w:r>
      <w:r w:rsidRPr="00900254">
        <w:rPr>
          <w:rFonts w:ascii="Calibri" w:hAnsi="Calibri"/>
          <w:sz w:val="24"/>
          <w:szCs w:val="24"/>
        </w:rPr>
        <w:t xml:space="preserve">, S33-S42. </w:t>
      </w:r>
    </w:p>
    <w:p w:rsidR="00C678E8" w:rsidRPr="00900254" w:rsidRDefault="00C678E8" w:rsidP="000342D8">
      <w:pPr>
        <w:autoSpaceDE w:val="0"/>
        <w:autoSpaceDN w:val="0"/>
        <w:adjustRightInd w:val="0"/>
        <w:spacing w:after="100" w:line="480" w:lineRule="auto"/>
        <w:rPr>
          <w:rFonts w:ascii="Calibri" w:hAnsi="Calibri" w:cs="AdvbasSN"/>
          <w:sz w:val="24"/>
          <w:szCs w:val="24"/>
        </w:rPr>
      </w:pPr>
      <w:r w:rsidRPr="00900254">
        <w:rPr>
          <w:rFonts w:ascii="Calibri" w:hAnsi="Calibri"/>
          <w:sz w:val="24"/>
          <w:szCs w:val="24"/>
        </w:rPr>
        <w:t>Victor, C.R., Scambler, S.J., Bowling, A. &amp; Bond, J.</w:t>
      </w:r>
      <w:r w:rsidRPr="00900254">
        <w:rPr>
          <w:rFonts w:ascii="Calibri" w:hAnsi="Calibri" w:cs="AdvP40798"/>
          <w:sz w:val="24"/>
          <w:szCs w:val="24"/>
        </w:rPr>
        <w:t xml:space="preserve"> (2005).</w:t>
      </w:r>
      <w:r w:rsidRPr="00900254">
        <w:rPr>
          <w:rFonts w:ascii="Calibri" w:hAnsi="Calibri" w:cs="AdvbasSN"/>
          <w:sz w:val="24"/>
          <w:szCs w:val="24"/>
        </w:rPr>
        <w:t xml:space="preserve"> The prevalence of, and risk factors for, loneliness in later life: A survey of older people in Great Britain.</w:t>
      </w:r>
      <w:r w:rsidRPr="00900254">
        <w:rPr>
          <w:rFonts w:ascii="Calibri" w:hAnsi="Calibri" w:cs="AdvbasSN-i"/>
          <w:sz w:val="24"/>
          <w:szCs w:val="24"/>
        </w:rPr>
        <w:t xml:space="preserve"> </w:t>
      </w:r>
      <w:r w:rsidRPr="00900254">
        <w:rPr>
          <w:rFonts w:ascii="Calibri" w:hAnsi="Calibri" w:cs="AdvbasSN-i"/>
          <w:i/>
          <w:sz w:val="24"/>
          <w:szCs w:val="24"/>
        </w:rPr>
        <w:t>Ageing &amp; Society</w:t>
      </w:r>
      <w:r w:rsidRPr="00900254">
        <w:rPr>
          <w:rFonts w:ascii="Calibri" w:hAnsi="Calibri" w:cs="AdvbasSN-i"/>
          <w:sz w:val="24"/>
          <w:szCs w:val="24"/>
        </w:rPr>
        <w:t xml:space="preserve">, </w:t>
      </w:r>
      <w:r w:rsidR="00BB27B0" w:rsidRPr="00BB27B0">
        <w:rPr>
          <w:rFonts w:ascii="Calibri" w:hAnsi="Calibri" w:cs="AdvbasSNsb"/>
          <w:i/>
          <w:sz w:val="24"/>
          <w:szCs w:val="24"/>
        </w:rPr>
        <w:t>25</w:t>
      </w:r>
      <w:r w:rsidRPr="00900254">
        <w:rPr>
          <w:rFonts w:ascii="Calibri" w:hAnsi="Calibri" w:cs="AdvbasSN"/>
          <w:sz w:val="24"/>
          <w:szCs w:val="24"/>
        </w:rPr>
        <w:t>, 357–375.</w:t>
      </w:r>
    </w:p>
    <w:p w:rsidR="00C678E8" w:rsidRPr="00900254" w:rsidRDefault="00C678E8" w:rsidP="000342D8">
      <w:pPr>
        <w:autoSpaceDE w:val="0"/>
        <w:autoSpaceDN w:val="0"/>
        <w:adjustRightInd w:val="0"/>
        <w:spacing w:after="100" w:line="480" w:lineRule="auto"/>
        <w:rPr>
          <w:rFonts w:ascii="Calibri" w:hAnsi="Calibri" w:cs="AdvbasSN"/>
          <w:sz w:val="24"/>
          <w:szCs w:val="24"/>
        </w:rPr>
      </w:pPr>
      <w:r w:rsidRPr="00900254">
        <w:rPr>
          <w:rFonts w:ascii="Calibri" w:hAnsi="Calibri" w:cs="AdvbasSN"/>
          <w:sz w:val="24"/>
          <w:szCs w:val="24"/>
        </w:rPr>
        <w:t xml:space="preserve">Wilson, R.S., Krueger, K.R., Arnold, S.E., Schneider, J.A., Kelly, J.F., Barnes, L.L., &amp; Bennett, D.A. (2007). Loneliness and risk of Alzheimer Disease. </w:t>
      </w:r>
      <w:r w:rsidRPr="00900254">
        <w:rPr>
          <w:rFonts w:ascii="Calibri" w:hAnsi="Calibri" w:cs="AdvbasSN"/>
          <w:i/>
          <w:sz w:val="24"/>
          <w:szCs w:val="24"/>
        </w:rPr>
        <w:t xml:space="preserve"> Archives of General Psychiatry</w:t>
      </w:r>
      <w:r w:rsidRPr="00900254">
        <w:rPr>
          <w:rFonts w:ascii="Calibri" w:hAnsi="Calibri" w:cs="AdvbasSN"/>
          <w:sz w:val="24"/>
          <w:szCs w:val="24"/>
        </w:rPr>
        <w:t xml:space="preserve">, </w:t>
      </w:r>
      <w:r w:rsidR="00BB27B0" w:rsidRPr="00BB27B0">
        <w:rPr>
          <w:rFonts w:ascii="Calibri" w:hAnsi="Calibri" w:cs="AdvbasSN"/>
          <w:i/>
          <w:sz w:val="24"/>
          <w:szCs w:val="24"/>
        </w:rPr>
        <w:t>64</w:t>
      </w:r>
      <w:r w:rsidRPr="00900254">
        <w:rPr>
          <w:rFonts w:ascii="Calibri" w:hAnsi="Calibri" w:cs="AdvbasSN"/>
          <w:sz w:val="24"/>
          <w:szCs w:val="24"/>
        </w:rPr>
        <w:t>, 234-240.</w:t>
      </w:r>
    </w:p>
    <w:p w:rsidR="00C678E8" w:rsidRPr="008F3F29" w:rsidRDefault="00C678E8" w:rsidP="000342D8">
      <w:pPr>
        <w:spacing w:after="100" w:line="480" w:lineRule="auto"/>
        <w:rPr>
          <w:rFonts w:asciiTheme="minorHAnsi" w:hAnsiTheme="minorHAnsi"/>
          <w:i/>
          <w:sz w:val="24"/>
          <w:szCs w:val="24"/>
        </w:rPr>
      </w:pPr>
      <w:r w:rsidRPr="00841406">
        <w:rPr>
          <w:rFonts w:ascii="Calibri" w:hAnsi="Calibri"/>
          <w:sz w:val="24"/>
          <w:szCs w:val="24"/>
        </w:rPr>
        <w:t xml:space="preserve">Whelan, B.J. and Savva, G. M. </w:t>
      </w:r>
      <w:r>
        <w:rPr>
          <w:rFonts w:ascii="Calibri" w:hAnsi="Calibri"/>
          <w:sz w:val="24"/>
          <w:szCs w:val="24"/>
        </w:rPr>
        <w:t>(</w:t>
      </w:r>
      <w:r w:rsidRPr="00841406">
        <w:rPr>
          <w:rFonts w:ascii="Calibri" w:hAnsi="Calibri"/>
          <w:sz w:val="24"/>
          <w:szCs w:val="24"/>
        </w:rPr>
        <w:t>2013</w:t>
      </w:r>
      <w:r w:rsidRPr="00413C22">
        <w:rPr>
          <w:rFonts w:ascii="Calibri" w:hAnsi="Calibri"/>
          <w:sz w:val="24"/>
          <w:szCs w:val="24"/>
          <w:u w:val="single"/>
        </w:rPr>
        <w:t xml:space="preserve">). </w:t>
      </w:r>
      <w:hyperlink r:id="rId21" w:history="1">
        <w:r w:rsidRPr="00413C22">
          <w:rPr>
            <w:rStyle w:val="Hyperlink"/>
            <w:rFonts w:ascii="Calibri" w:hAnsi="Calibri"/>
            <w:color w:val="auto"/>
            <w:sz w:val="24"/>
            <w:szCs w:val="24"/>
          </w:rPr>
          <w:t>Design and Methodology of the TILDA Study</w:t>
        </w:r>
      </w:hyperlink>
      <w:r w:rsidRPr="00413C22">
        <w:rPr>
          <w:rFonts w:ascii="Calibri" w:hAnsi="Calibri"/>
          <w:sz w:val="24"/>
          <w:szCs w:val="24"/>
          <w:u w:val="single"/>
        </w:rPr>
        <w:t>.</w:t>
      </w:r>
      <w:r w:rsidRPr="00841406">
        <w:rPr>
          <w:rFonts w:ascii="Calibri" w:hAnsi="Calibri"/>
          <w:sz w:val="24"/>
          <w:szCs w:val="24"/>
        </w:rPr>
        <w:t xml:space="preserve"> </w:t>
      </w:r>
      <w:r w:rsidR="00BB27B0" w:rsidRPr="00BB27B0">
        <w:rPr>
          <w:rStyle w:val="Emphasis"/>
          <w:rFonts w:asciiTheme="minorHAnsi" w:hAnsiTheme="minorHAnsi"/>
          <w:b w:val="0"/>
          <w:sz w:val="24"/>
          <w:szCs w:val="24"/>
        </w:rPr>
        <w:t xml:space="preserve">Journal of the American Geriatrics Society </w:t>
      </w:r>
      <w:r w:rsidR="00BB27B0" w:rsidRPr="00BB27B0">
        <w:rPr>
          <w:rFonts w:asciiTheme="minorHAnsi" w:hAnsiTheme="minorHAnsi"/>
          <w:i/>
          <w:sz w:val="24"/>
          <w:szCs w:val="24"/>
        </w:rPr>
        <w:t>61</w:t>
      </w:r>
      <w:r w:rsidR="00EA08D6">
        <w:rPr>
          <w:rFonts w:asciiTheme="minorHAnsi" w:hAnsiTheme="minorHAnsi"/>
          <w:sz w:val="24"/>
          <w:szCs w:val="24"/>
        </w:rPr>
        <w:t>,</w:t>
      </w:r>
      <w:r w:rsidR="00BB27B0" w:rsidRPr="00BB27B0">
        <w:rPr>
          <w:rFonts w:asciiTheme="minorHAnsi" w:hAnsiTheme="minorHAnsi"/>
          <w:i/>
          <w:sz w:val="24"/>
          <w:szCs w:val="24"/>
        </w:rPr>
        <w:t xml:space="preserve"> S265-68.</w:t>
      </w:r>
    </w:p>
    <w:p w:rsidR="00C678E8" w:rsidRDefault="00C678E8" w:rsidP="002C4012">
      <w:pPr>
        <w:spacing w:after="0" w:line="240" w:lineRule="auto"/>
        <w:rPr>
          <w:rFonts w:ascii="Calibri" w:hAnsi="Calibri"/>
          <w:color w:val="000000"/>
          <w:sz w:val="24"/>
          <w:szCs w:val="24"/>
        </w:rPr>
      </w:pPr>
      <w:r>
        <w:rPr>
          <w:rFonts w:ascii="Calibri" w:hAnsi="Calibri"/>
          <w:b/>
          <w:sz w:val="24"/>
          <w:szCs w:val="24"/>
        </w:rPr>
        <w:br w:type="page"/>
      </w:r>
      <w:r w:rsidRPr="00FD7328">
        <w:rPr>
          <w:rFonts w:ascii="Calibri" w:hAnsi="Calibri"/>
          <w:color w:val="000000"/>
          <w:sz w:val="24"/>
          <w:szCs w:val="24"/>
        </w:rPr>
        <w:lastRenderedPageBreak/>
        <w:t xml:space="preserve">Table 1: Distribution of marital status </w:t>
      </w:r>
      <w:r>
        <w:rPr>
          <w:rFonts w:ascii="Calibri" w:hAnsi="Calibri"/>
          <w:color w:val="000000"/>
          <w:sz w:val="24"/>
          <w:szCs w:val="24"/>
        </w:rPr>
        <w:t>among</w:t>
      </w:r>
      <w:r w:rsidRPr="00FD7328">
        <w:rPr>
          <w:rFonts w:ascii="Calibri" w:hAnsi="Calibri"/>
          <w:color w:val="000000"/>
          <w:sz w:val="24"/>
          <w:szCs w:val="24"/>
        </w:rPr>
        <w:t xml:space="preserve"> people aged 65 and over</w:t>
      </w:r>
      <w:r>
        <w:rPr>
          <w:rFonts w:ascii="Calibri" w:hAnsi="Calibri"/>
          <w:color w:val="000000"/>
          <w:sz w:val="24"/>
          <w:szCs w:val="24"/>
        </w:rPr>
        <w:t xml:space="preserve"> in Ireland</w:t>
      </w:r>
    </w:p>
    <w:p w:rsidR="00C678E8" w:rsidRPr="00FD7328" w:rsidRDefault="00C678E8" w:rsidP="002C4012">
      <w:pPr>
        <w:spacing w:after="0" w:line="240" w:lineRule="auto"/>
        <w:rPr>
          <w:rFonts w:ascii="Calibri" w:hAnsi="Calibri"/>
          <w:color w:val="000000"/>
          <w:sz w:val="24"/>
          <w:szCs w:val="24"/>
        </w:rPr>
      </w:pPr>
    </w:p>
    <w:p w:rsidR="00565897" w:rsidRDefault="00C678E8">
      <w:pPr>
        <w:autoSpaceDE w:val="0"/>
        <w:autoSpaceDN w:val="0"/>
        <w:adjustRightInd w:val="0"/>
        <w:spacing w:after="0" w:line="240" w:lineRule="auto"/>
        <w:jc w:val="both"/>
        <w:rPr>
          <w:rFonts w:ascii="Calibri" w:hAnsi="Calibri"/>
          <w:color w:val="000000"/>
          <w:sz w:val="24"/>
          <w:szCs w:val="24"/>
        </w:rPr>
      </w:pPr>
      <w:r w:rsidRPr="00FD7328">
        <w:rPr>
          <w:rFonts w:ascii="Calibri" w:hAnsi="Calibri"/>
          <w:color w:val="000000"/>
          <w:sz w:val="24"/>
          <w:szCs w:val="24"/>
        </w:rPr>
        <w:object w:dxaOrig="13280" w:dyaOrig="4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1pt;height:209.25pt" o:ole="">
            <v:imagedata r:id="rId22" o:title=""/>
          </v:shape>
          <o:OLEObject Type="Embed" ProgID="Excel.Sheet.12" ShapeID="_x0000_i1025" DrawAspect="Content" ObjectID="_1480423302" r:id="rId23"/>
        </w:object>
      </w:r>
    </w:p>
    <w:p w:rsidR="00C678E8" w:rsidRDefault="00703FA2" w:rsidP="00703FA2">
      <w:pPr>
        <w:spacing w:after="0" w:line="240" w:lineRule="auto"/>
        <w:rPr>
          <w:rFonts w:ascii="Calibri" w:hAnsi="Calibri"/>
          <w:color w:val="000000"/>
          <w:sz w:val="24"/>
          <w:szCs w:val="24"/>
        </w:rPr>
        <w:sectPr w:rsidR="00C678E8" w:rsidSect="00D16B37">
          <w:headerReference w:type="even" r:id="rId24"/>
          <w:headerReference w:type="default" r:id="rId25"/>
          <w:footerReference w:type="even" r:id="rId26"/>
          <w:footerReference w:type="default" r:id="rId27"/>
          <w:headerReference w:type="first" r:id="rId28"/>
          <w:footerReference w:type="first" r:id="rId29"/>
          <w:pgSz w:w="11900" w:h="16840" w:code="9"/>
          <w:pgMar w:top="1440" w:right="1800" w:bottom="1440" w:left="1800" w:header="706" w:footer="706" w:gutter="0"/>
          <w:cols w:space="708"/>
        </w:sectPr>
      </w:pPr>
      <w:r>
        <w:rPr>
          <w:rFonts w:ascii="Calibri" w:hAnsi="Calibri"/>
          <w:color w:val="000000"/>
          <w:sz w:val="24"/>
          <w:szCs w:val="24"/>
        </w:rPr>
        <w:t>Estimates are weighted</w:t>
      </w:r>
    </w:p>
    <w:p w:rsidR="00C678E8" w:rsidRDefault="00C678E8" w:rsidP="002C4012">
      <w:pPr>
        <w:spacing w:after="240" w:line="480" w:lineRule="auto"/>
        <w:jc w:val="both"/>
        <w:rPr>
          <w:rFonts w:ascii="Calibri" w:hAnsi="Calibri"/>
          <w:color w:val="000000"/>
          <w:sz w:val="24"/>
          <w:szCs w:val="24"/>
        </w:rPr>
      </w:pPr>
      <w:r w:rsidRPr="00FD7328">
        <w:rPr>
          <w:rFonts w:ascii="Calibri" w:hAnsi="Calibri"/>
          <w:color w:val="000000"/>
          <w:sz w:val="24"/>
          <w:szCs w:val="24"/>
        </w:rPr>
        <w:lastRenderedPageBreak/>
        <w:t>Table 2: Descriptive statistics</w:t>
      </w:r>
    </w:p>
    <w:tbl>
      <w:tblPr>
        <w:tblW w:w="15500" w:type="dxa"/>
        <w:tblInd w:w="93" w:type="dxa"/>
        <w:tblLook w:val="0000" w:firstRow="0" w:lastRow="0" w:firstColumn="0" w:lastColumn="0" w:noHBand="0" w:noVBand="0"/>
      </w:tblPr>
      <w:tblGrid>
        <w:gridCol w:w="3620"/>
        <w:gridCol w:w="1320"/>
        <w:gridCol w:w="1320"/>
        <w:gridCol w:w="1320"/>
        <w:gridCol w:w="1320"/>
        <w:gridCol w:w="1320"/>
        <w:gridCol w:w="1320"/>
        <w:gridCol w:w="1320"/>
        <w:gridCol w:w="1320"/>
        <w:gridCol w:w="1320"/>
      </w:tblGrid>
      <w:tr w:rsidR="00C678E8" w:rsidRPr="00B03499" w:rsidTr="00B03499">
        <w:trPr>
          <w:trHeight w:val="330"/>
        </w:trPr>
        <w:tc>
          <w:tcPr>
            <w:tcW w:w="3620" w:type="dxa"/>
            <w:tcBorders>
              <w:top w:val="nil"/>
              <w:left w:val="nil"/>
              <w:bottom w:val="nil"/>
              <w:right w:val="nil"/>
            </w:tcBorders>
            <w:noWrap/>
            <w:vAlign w:val="center"/>
          </w:tcPr>
          <w:p w:rsidR="00C678E8" w:rsidRPr="00B03499" w:rsidRDefault="00C678E8" w:rsidP="00B03499">
            <w:pPr>
              <w:spacing w:after="0" w:line="240" w:lineRule="auto"/>
              <w:rPr>
                <w:rFonts w:eastAsia="MS Mincho"/>
                <w:color w:val="000000"/>
                <w:lang w:val="en-US" w:eastAsia="ja-JP"/>
              </w:rPr>
            </w:pPr>
          </w:p>
        </w:tc>
        <w:tc>
          <w:tcPr>
            <w:tcW w:w="5280" w:type="dxa"/>
            <w:gridSpan w:val="4"/>
            <w:tcBorders>
              <w:top w:val="single" w:sz="8" w:space="0" w:color="auto"/>
              <w:left w:val="nil"/>
              <w:bottom w:val="single" w:sz="8" w:space="0" w:color="auto"/>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men</w:t>
            </w:r>
          </w:p>
        </w:tc>
        <w:tc>
          <w:tcPr>
            <w:tcW w:w="5280" w:type="dxa"/>
            <w:gridSpan w:val="4"/>
            <w:tcBorders>
              <w:top w:val="single" w:sz="8" w:space="0" w:color="auto"/>
              <w:left w:val="single" w:sz="4" w:space="0" w:color="auto"/>
              <w:bottom w:val="single" w:sz="8" w:space="0" w:color="auto"/>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women </w:t>
            </w:r>
          </w:p>
        </w:tc>
        <w:tc>
          <w:tcPr>
            <w:tcW w:w="1320" w:type="dxa"/>
            <w:tcBorders>
              <w:top w:val="single" w:sz="4" w:space="0" w:color="auto"/>
              <w:left w:val="nil"/>
              <w:bottom w:val="nil"/>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Pr>
                <w:rFonts w:ascii="Calibri" w:eastAsia="MS Mincho" w:hAnsi="Calibri"/>
                <w:color w:val="000000"/>
                <w:sz w:val="24"/>
                <w:szCs w:val="24"/>
                <w:lang w:val="en-US" w:eastAsia="ja-JP"/>
              </w:rPr>
              <w:t>N</w:t>
            </w:r>
          </w:p>
        </w:tc>
      </w:tr>
      <w:tr w:rsidR="00C678E8" w:rsidRPr="00B03499" w:rsidTr="00B03499">
        <w:trPr>
          <w:trHeight w:val="315"/>
        </w:trPr>
        <w:tc>
          <w:tcPr>
            <w:tcW w:w="3620" w:type="dxa"/>
            <w:vMerge w:val="restart"/>
            <w:tcBorders>
              <w:top w:val="nil"/>
              <w:left w:val="nil"/>
              <w:bottom w:val="single" w:sz="8" w:space="0" w:color="000000"/>
              <w:right w:val="nil"/>
            </w:tcBorders>
            <w:vAlign w:val="center"/>
          </w:tcPr>
          <w:p w:rsidR="00C678E8" w:rsidRPr="00B03499" w:rsidRDefault="00C678E8" w:rsidP="00B03499">
            <w:pPr>
              <w:spacing w:after="0" w:line="240" w:lineRule="auto"/>
              <w:rPr>
                <w:rFonts w:ascii="Calibri" w:eastAsia="MS Mincho" w:hAnsi="Calibri"/>
                <w:b/>
                <w:bCs/>
                <w:color w:val="000000"/>
                <w:sz w:val="24"/>
                <w:szCs w:val="24"/>
                <w:lang w:val="en-US" w:eastAsia="ja-JP"/>
              </w:rPr>
            </w:pPr>
          </w:p>
        </w:tc>
        <w:tc>
          <w:tcPr>
            <w:tcW w:w="1320" w:type="dxa"/>
            <w:vMerge w:val="restart"/>
            <w:tcBorders>
              <w:top w:val="nil"/>
              <w:left w:val="nil"/>
              <w:bottom w:val="single" w:sz="8" w:space="0" w:color="000000"/>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married</w:t>
            </w:r>
          </w:p>
        </w:tc>
        <w:tc>
          <w:tcPr>
            <w:tcW w:w="1320" w:type="dxa"/>
            <w:vMerge w:val="restart"/>
            <w:tcBorders>
              <w:top w:val="nil"/>
              <w:left w:val="nil"/>
              <w:bottom w:val="single" w:sz="8" w:space="0" w:color="000000"/>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never married</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separated/</w:t>
            </w:r>
          </w:p>
        </w:tc>
        <w:tc>
          <w:tcPr>
            <w:tcW w:w="1320" w:type="dxa"/>
            <w:vMerge w:val="restart"/>
            <w:tcBorders>
              <w:top w:val="nil"/>
              <w:left w:val="nil"/>
              <w:bottom w:val="single" w:sz="8" w:space="0" w:color="000000"/>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widowed</w:t>
            </w:r>
          </w:p>
        </w:tc>
        <w:tc>
          <w:tcPr>
            <w:tcW w:w="1320" w:type="dxa"/>
            <w:vMerge w:val="restart"/>
            <w:tcBorders>
              <w:top w:val="nil"/>
              <w:left w:val="single" w:sz="4" w:space="0" w:color="auto"/>
              <w:bottom w:val="single" w:sz="8" w:space="0" w:color="000000"/>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married</w:t>
            </w:r>
          </w:p>
        </w:tc>
        <w:tc>
          <w:tcPr>
            <w:tcW w:w="1320" w:type="dxa"/>
            <w:vMerge w:val="restart"/>
            <w:tcBorders>
              <w:top w:val="nil"/>
              <w:left w:val="nil"/>
              <w:bottom w:val="single" w:sz="8" w:space="0" w:color="000000"/>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never married</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separated/</w:t>
            </w:r>
          </w:p>
        </w:tc>
        <w:tc>
          <w:tcPr>
            <w:tcW w:w="1320" w:type="dxa"/>
            <w:vMerge w:val="restart"/>
            <w:tcBorders>
              <w:top w:val="nil"/>
              <w:left w:val="nil"/>
              <w:bottom w:val="single" w:sz="8" w:space="0" w:color="000000"/>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widowed</w:t>
            </w:r>
          </w:p>
        </w:tc>
        <w:tc>
          <w:tcPr>
            <w:tcW w:w="1320" w:type="dxa"/>
            <w:vMerge w:val="restart"/>
            <w:tcBorders>
              <w:top w:val="single" w:sz="8" w:space="0" w:color="auto"/>
              <w:left w:val="nil"/>
              <w:bottom w:val="single" w:sz="8" w:space="0" w:color="000000"/>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p>
        </w:tc>
      </w:tr>
      <w:tr w:rsidR="00C678E8" w:rsidRPr="00B03499" w:rsidTr="00B03499">
        <w:trPr>
          <w:trHeight w:val="330"/>
        </w:trPr>
        <w:tc>
          <w:tcPr>
            <w:tcW w:w="3620" w:type="dxa"/>
            <w:vMerge/>
            <w:tcBorders>
              <w:top w:val="nil"/>
              <w:left w:val="nil"/>
              <w:bottom w:val="single" w:sz="8" w:space="0" w:color="000000"/>
              <w:right w:val="nil"/>
            </w:tcBorders>
            <w:vAlign w:val="center"/>
          </w:tcPr>
          <w:p w:rsidR="00C678E8" w:rsidRPr="00B03499" w:rsidRDefault="00C678E8" w:rsidP="00B03499">
            <w:pPr>
              <w:spacing w:after="0" w:line="240" w:lineRule="auto"/>
              <w:rPr>
                <w:rFonts w:ascii="Calibri" w:eastAsia="MS Mincho" w:hAnsi="Calibri"/>
                <w:b/>
                <w:bCs/>
                <w:color w:val="000000"/>
                <w:sz w:val="24"/>
                <w:szCs w:val="24"/>
                <w:lang w:val="en-US" w:eastAsia="ja-JP"/>
              </w:rPr>
            </w:pPr>
          </w:p>
        </w:tc>
        <w:tc>
          <w:tcPr>
            <w:tcW w:w="1320" w:type="dxa"/>
            <w:vMerge/>
            <w:tcBorders>
              <w:top w:val="nil"/>
              <w:left w:val="nil"/>
              <w:bottom w:val="single" w:sz="8" w:space="0" w:color="000000"/>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p>
        </w:tc>
        <w:tc>
          <w:tcPr>
            <w:tcW w:w="1320" w:type="dxa"/>
            <w:vMerge/>
            <w:tcBorders>
              <w:top w:val="nil"/>
              <w:left w:val="nil"/>
              <w:bottom w:val="single" w:sz="8" w:space="0" w:color="000000"/>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p>
        </w:tc>
        <w:tc>
          <w:tcPr>
            <w:tcW w:w="1320" w:type="dxa"/>
            <w:tcBorders>
              <w:top w:val="nil"/>
              <w:left w:val="nil"/>
              <w:bottom w:val="single" w:sz="8" w:space="0" w:color="auto"/>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divorced</w:t>
            </w:r>
          </w:p>
        </w:tc>
        <w:tc>
          <w:tcPr>
            <w:tcW w:w="1320" w:type="dxa"/>
            <w:vMerge/>
            <w:tcBorders>
              <w:top w:val="nil"/>
              <w:left w:val="nil"/>
              <w:bottom w:val="single" w:sz="8" w:space="0" w:color="000000"/>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p>
        </w:tc>
        <w:tc>
          <w:tcPr>
            <w:tcW w:w="1320" w:type="dxa"/>
            <w:vMerge/>
            <w:tcBorders>
              <w:top w:val="nil"/>
              <w:left w:val="single" w:sz="4" w:space="0" w:color="auto"/>
              <w:bottom w:val="single" w:sz="8" w:space="0" w:color="000000"/>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p>
        </w:tc>
        <w:tc>
          <w:tcPr>
            <w:tcW w:w="1320" w:type="dxa"/>
            <w:vMerge/>
            <w:tcBorders>
              <w:top w:val="nil"/>
              <w:left w:val="nil"/>
              <w:bottom w:val="single" w:sz="8" w:space="0" w:color="000000"/>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p>
        </w:tc>
        <w:tc>
          <w:tcPr>
            <w:tcW w:w="1320" w:type="dxa"/>
            <w:tcBorders>
              <w:top w:val="nil"/>
              <w:left w:val="nil"/>
              <w:bottom w:val="single" w:sz="8" w:space="0" w:color="auto"/>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divorced</w:t>
            </w:r>
          </w:p>
        </w:tc>
        <w:tc>
          <w:tcPr>
            <w:tcW w:w="1320" w:type="dxa"/>
            <w:vMerge/>
            <w:tcBorders>
              <w:top w:val="nil"/>
              <w:left w:val="nil"/>
              <w:bottom w:val="single" w:sz="8" w:space="0" w:color="000000"/>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p>
        </w:tc>
        <w:tc>
          <w:tcPr>
            <w:tcW w:w="1320" w:type="dxa"/>
            <w:vMerge/>
            <w:tcBorders>
              <w:top w:val="single" w:sz="8" w:space="0" w:color="auto"/>
              <w:left w:val="nil"/>
              <w:bottom w:val="single" w:sz="8" w:space="0" w:color="000000"/>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b/>
                <w:bCs/>
                <w:color w:val="000000"/>
                <w:sz w:val="24"/>
                <w:szCs w:val="24"/>
                <w:lang w:val="en-US" w:eastAsia="ja-JP"/>
              </w:rPr>
            </w:pPr>
            <w:r w:rsidRPr="00B03499">
              <w:rPr>
                <w:rFonts w:ascii="Calibri" w:eastAsia="MS Mincho" w:hAnsi="Calibri"/>
                <w:b/>
                <w:bCs/>
                <w:color w:val="000000"/>
                <w:sz w:val="24"/>
                <w:szCs w:val="24"/>
                <w:lang w:val="en-US" w:eastAsia="ja-JP"/>
              </w:rPr>
              <w:t>Demographic characteristics</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single" w:sz="4" w:space="0" w:color="auto"/>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Age (mean) </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72.4</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73.7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70.1</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77.2</w:t>
            </w: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71.2</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75.6</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68.5</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77.3</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2645</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Current residence </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r w:rsidRPr="00B03499">
              <w:rPr>
                <w:rFonts w:eastAsia="MS Mincho"/>
                <w:color w:val="000000"/>
                <w:lang w:val="en-US" w:eastAsia="ja-JP"/>
              </w:rPr>
              <w:t> </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 Dublin</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25.6</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15.9</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29.7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26.6</w:t>
            </w: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28.1</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33.7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30.9</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25.2</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670</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 Other city or town</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29.6</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25.2</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32.6</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32.1</w:t>
            </w: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29.2</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37.1</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41.1</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28.1</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738</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 Rural area</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44.8</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58.8</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37.6</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41.3</w:t>
            </w: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42.7</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29.1</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27.9</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46.7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1237</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b/>
                <w:bCs/>
                <w:color w:val="000000"/>
                <w:sz w:val="24"/>
                <w:szCs w:val="24"/>
                <w:lang w:val="en-US" w:eastAsia="ja-JP"/>
              </w:rPr>
            </w:pPr>
            <w:r w:rsidRPr="00B03499">
              <w:rPr>
                <w:rFonts w:ascii="Calibri" w:eastAsia="MS Mincho" w:hAnsi="Calibri"/>
                <w:b/>
                <w:bCs/>
                <w:color w:val="000000"/>
                <w:sz w:val="24"/>
                <w:szCs w:val="24"/>
                <w:lang w:val="en-US" w:eastAsia="ja-JP"/>
              </w:rPr>
              <w:t>Early life circumstances</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Father's occupation</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  Professional</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10.2</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21.8</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5.5</w:t>
            </w:r>
          </w:p>
        </w:tc>
        <w:tc>
          <w:tcPr>
            <w:tcW w:w="1320" w:type="dxa"/>
            <w:tcBorders>
              <w:top w:val="nil"/>
              <w:left w:val="single" w:sz="4" w:space="0" w:color="auto"/>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10.3</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18.6</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24.4</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6.3</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327</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  Manual</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56.9</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48.8</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48.4</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59.8</w:t>
            </w:r>
          </w:p>
        </w:tc>
        <w:tc>
          <w:tcPr>
            <w:tcW w:w="1320" w:type="dxa"/>
            <w:tcBorders>
              <w:top w:val="nil"/>
              <w:left w:val="single" w:sz="4" w:space="0" w:color="auto"/>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56.4</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40.1</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59.2</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53.8</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1297</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  Non-manual</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8.9</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5.6</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11.3</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7.4</w:t>
            </w:r>
          </w:p>
        </w:tc>
        <w:tc>
          <w:tcPr>
            <w:tcW w:w="1320" w:type="dxa"/>
            <w:tcBorders>
              <w:top w:val="nil"/>
              <w:left w:val="single" w:sz="4" w:space="0" w:color="auto"/>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9.2</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11.1</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6.1</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6.1</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248</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  Farmers </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23.6</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42.8</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18.3</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27.1</w:t>
            </w:r>
          </w:p>
        </w:tc>
        <w:tc>
          <w:tcPr>
            <w:tcW w:w="1320" w:type="dxa"/>
            <w:tcBorders>
              <w:top w:val="nil"/>
              <w:left w:val="single" w:sz="4" w:space="0" w:color="auto"/>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24.1</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30.2</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10.3</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33.7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703</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Family financial well-being</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single" w:sz="4" w:space="0" w:color="auto"/>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 well-off</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9.6</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7.3</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9.7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7.7</w:t>
            </w:r>
          </w:p>
        </w:tc>
        <w:tc>
          <w:tcPr>
            <w:tcW w:w="1320" w:type="dxa"/>
            <w:tcBorders>
              <w:top w:val="nil"/>
              <w:left w:val="single" w:sz="4" w:space="0" w:color="auto"/>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7.8</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12</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21.8</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9</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306</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 average</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63</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65.9</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69.1</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59</w:t>
            </w:r>
          </w:p>
        </w:tc>
        <w:tc>
          <w:tcPr>
            <w:tcW w:w="1320" w:type="dxa"/>
            <w:tcBorders>
              <w:top w:val="nil"/>
              <w:left w:val="single" w:sz="4" w:space="0" w:color="auto"/>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70.6</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69.3</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55.9</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71.6</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1774</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 poor</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27.4</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26.8</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21.8</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33.3</w:t>
            </w:r>
          </w:p>
        </w:tc>
        <w:tc>
          <w:tcPr>
            <w:tcW w:w="1320" w:type="dxa"/>
            <w:tcBorders>
              <w:top w:val="nil"/>
              <w:left w:val="single" w:sz="4" w:space="0" w:color="auto"/>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21.6</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18.7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22.3</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19.4</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565</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Residential location (=rural)</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58.1</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76.5</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63.8</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63.2</w:t>
            </w: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59.1</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61.5</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51.8</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70.7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1651</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Childhood  health (=poor)</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5.9</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10.7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8.6</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5.7</w:t>
            </w: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6.2</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9.7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9.8</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9.1</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178</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Parental substance problem (=yes)</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4.5</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6.6</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9.6</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w:t>
            </w: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4.5</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6.6</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9.6</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143</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 Missing</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1.8</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8.2</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0</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2.5</w:t>
            </w: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1.8</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8.2</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0</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2.5</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70</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b/>
                <w:bCs/>
                <w:color w:val="000000"/>
                <w:sz w:val="24"/>
                <w:szCs w:val="24"/>
                <w:lang w:val="en-US" w:eastAsia="ja-JP"/>
              </w:rPr>
            </w:pPr>
            <w:r w:rsidRPr="00B03499">
              <w:rPr>
                <w:rFonts w:ascii="Calibri" w:eastAsia="MS Mincho" w:hAnsi="Calibri"/>
                <w:b/>
                <w:bCs/>
                <w:color w:val="000000"/>
                <w:sz w:val="24"/>
                <w:szCs w:val="24"/>
                <w:lang w:val="en-US" w:eastAsia="ja-JP"/>
              </w:rPr>
              <w:lastRenderedPageBreak/>
              <w:t>Early adult life circumstances</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Education</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  primary </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52.2</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72.8</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49.5</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66.6</w:t>
            </w: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47.9</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31.4</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40.8</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68.7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1083</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  secondary </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32.3</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18.6</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32.1</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24.9</w:t>
            </w: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39.4</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44.7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38.7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23.8</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833</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  tertiary </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15.4</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9</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18.5</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8.5</w:t>
            </w: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12.8</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23.9</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20.6</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7.5</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663</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b/>
                <w:bCs/>
                <w:color w:val="000000"/>
                <w:sz w:val="24"/>
                <w:szCs w:val="24"/>
                <w:lang w:val="en-US" w:eastAsia="ja-JP"/>
              </w:rPr>
            </w:pPr>
            <w:r w:rsidRPr="00B03499">
              <w:rPr>
                <w:rFonts w:ascii="Calibri" w:eastAsia="MS Mincho" w:hAnsi="Calibri"/>
                <w:b/>
                <w:bCs/>
                <w:color w:val="000000"/>
                <w:sz w:val="24"/>
                <w:szCs w:val="24"/>
                <w:lang w:val="en-US" w:eastAsia="ja-JP"/>
              </w:rPr>
              <w:t>Late adult life circumstances</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eastAsia="MS Mincho"/>
                <w:color w:val="000000"/>
                <w:lang w:val="en-US" w:eastAsia="ja-JP"/>
              </w:rPr>
            </w:pPr>
          </w:p>
        </w:tc>
        <w:tc>
          <w:tcPr>
            <w:tcW w:w="1320" w:type="dxa"/>
            <w:tcBorders>
              <w:top w:val="nil"/>
              <w:left w:val="nil"/>
              <w:bottom w:val="nil"/>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Household Income (mean)</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32920</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16602</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17333</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27607</w:t>
            </w: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29514</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21560</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17000</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17187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2645</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Own a house</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97.8</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78.8</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50.7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87.7</w:t>
            </w:r>
          </w:p>
        </w:tc>
        <w:tc>
          <w:tcPr>
            <w:tcW w:w="1320" w:type="dxa"/>
            <w:tcBorders>
              <w:top w:val="nil"/>
              <w:left w:val="single" w:sz="4" w:space="0" w:color="auto"/>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96.3</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78.9</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74.2</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92</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2645</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Self-reported health  (=poor)</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16.7</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14.9</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15.2</w:t>
            </w: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14.9</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16.2</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25.3</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18.4</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396</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IADL (mean)</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0.14</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0.13</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0.12</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0.24</w:t>
            </w: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0.13</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0.32</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0.41</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0.49</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2645</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Driving</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sz w:val="24"/>
                <w:szCs w:val="24"/>
                <w:lang w:val="en-US" w:eastAsia="ja-JP"/>
              </w:rPr>
            </w:pP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sz w:val="24"/>
                <w:szCs w:val="24"/>
                <w:lang w:val="en-US" w:eastAsia="ja-JP"/>
              </w:rPr>
            </w:pP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sz w:val="24"/>
                <w:szCs w:val="24"/>
                <w:lang w:val="en-US" w:eastAsia="ja-JP"/>
              </w:rPr>
            </w:pP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sz w:val="24"/>
                <w:szCs w:val="24"/>
                <w:lang w:val="en-US" w:eastAsia="ja-JP"/>
              </w:rPr>
            </w:pP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eastAsia="MS Mincho"/>
                <w:color w:val="000000"/>
                <w:sz w:val="24"/>
                <w:szCs w:val="24"/>
                <w:lang w:val="en-US" w:eastAsia="ja-JP"/>
              </w:rPr>
            </w:pPr>
            <w:r w:rsidRPr="00B03499">
              <w:rPr>
                <w:rFonts w:eastAsia="MS Mincho"/>
                <w:color w:val="000000"/>
                <w:sz w:val="24"/>
                <w:szCs w:val="24"/>
                <w:lang w:val="en-US" w:eastAsia="ja-JP"/>
              </w:rPr>
              <w:t> </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sz w:val="24"/>
                <w:szCs w:val="24"/>
                <w:lang w:val="en-US" w:eastAsia="ja-JP"/>
              </w:rPr>
            </w:pP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sz w:val="24"/>
                <w:szCs w:val="24"/>
                <w:lang w:val="en-US" w:eastAsia="ja-JP"/>
              </w:rPr>
            </w:pP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eastAsia="MS Mincho"/>
                <w:color w:val="000000"/>
                <w:sz w:val="24"/>
                <w:szCs w:val="24"/>
                <w:lang w:val="en-US" w:eastAsia="ja-JP"/>
              </w:rPr>
            </w:pPr>
          </w:p>
        </w:tc>
        <w:tc>
          <w:tcPr>
            <w:tcW w:w="1320" w:type="dxa"/>
            <w:tcBorders>
              <w:top w:val="nil"/>
              <w:left w:val="nil"/>
              <w:bottom w:val="nil"/>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  never drove                                                   </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5.1</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16.8</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14.8</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6.7</w:t>
            </w: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34.1</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33.4</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31.6</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49.8</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524</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  used to drive</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87.6</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61.3</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71.7</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77.4</w:t>
            </w: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56.6</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55.2</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58.8</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41.3</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1882</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b/>
                <w:bCs/>
                <w:color w:val="000000"/>
                <w:sz w:val="24"/>
                <w:szCs w:val="24"/>
                <w:lang w:val="en-US" w:eastAsia="ja-JP"/>
              </w:rPr>
            </w:pPr>
            <w:r w:rsidRPr="00B03499">
              <w:rPr>
                <w:rFonts w:ascii="Calibri" w:eastAsia="MS Mincho" w:hAnsi="Calibri"/>
                <w:b/>
                <w:bCs/>
                <w:color w:val="000000"/>
                <w:sz w:val="24"/>
                <w:szCs w:val="24"/>
                <w:lang w:val="en-US" w:eastAsia="ja-JP"/>
              </w:rPr>
              <w:t xml:space="preserve">  drive</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7.3</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21.8</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13.4</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15.9</w:t>
            </w: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9.2</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11.4</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9.6</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8.9</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239</w:t>
            </w: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b/>
                <w:bCs/>
                <w:color w:val="000000"/>
                <w:sz w:val="24"/>
                <w:szCs w:val="24"/>
                <w:lang w:val="en-US" w:eastAsia="ja-JP"/>
              </w:rPr>
            </w:pPr>
            <w:r w:rsidRPr="00B03499">
              <w:rPr>
                <w:rFonts w:ascii="Calibri" w:eastAsia="MS Mincho" w:hAnsi="Calibri"/>
                <w:b/>
                <w:bCs/>
                <w:color w:val="000000"/>
                <w:sz w:val="24"/>
                <w:szCs w:val="24"/>
                <w:lang w:val="en-US" w:eastAsia="ja-JP"/>
              </w:rPr>
              <w:t>Mental Health</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lang w:val="en-US" w:eastAsia="ja-JP"/>
              </w:rPr>
            </w:pP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lang w:val="en-US" w:eastAsia="ja-JP"/>
              </w:rPr>
            </w:pP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lang w:val="en-US" w:eastAsia="ja-JP"/>
              </w:rPr>
            </w:pP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lang w:val="en-US" w:eastAsia="ja-JP"/>
              </w:rPr>
            </w:pPr>
            <w:r w:rsidRPr="00B03499">
              <w:rPr>
                <w:rFonts w:ascii="Calibri" w:eastAsia="MS Mincho" w:hAnsi="Calibri"/>
                <w:color w:val="000000"/>
                <w:lang w:val="en-US" w:eastAsia="ja-JP"/>
              </w:rPr>
              <w:t> </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lang w:val="en-US" w:eastAsia="ja-JP"/>
              </w:rPr>
            </w:pP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lang w:val="en-US" w:eastAsia="ja-JP"/>
              </w:rPr>
            </w:pP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lang w:val="en-US" w:eastAsia="ja-JP"/>
              </w:rPr>
            </w:pPr>
          </w:p>
        </w:tc>
        <w:tc>
          <w:tcPr>
            <w:tcW w:w="1320" w:type="dxa"/>
            <w:tcBorders>
              <w:top w:val="nil"/>
              <w:left w:val="nil"/>
              <w:bottom w:val="nil"/>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p>
        </w:tc>
      </w:tr>
      <w:tr w:rsidR="00C678E8" w:rsidRPr="00B03499" w:rsidTr="00B03499">
        <w:trPr>
          <w:trHeight w:val="315"/>
        </w:trPr>
        <w:tc>
          <w:tcPr>
            <w:tcW w:w="3620" w:type="dxa"/>
            <w:tcBorders>
              <w:top w:val="nil"/>
              <w:left w:val="nil"/>
              <w:bottom w:val="nil"/>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 xml:space="preserve"> Loneliness (mean)</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1.4</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3.1</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2.9</w:t>
            </w:r>
          </w:p>
        </w:tc>
        <w:tc>
          <w:tcPr>
            <w:tcW w:w="1320" w:type="dxa"/>
            <w:tcBorders>
              <w:top w:val="nil"/>
              <w:left w:val="single" w:sz="4" w:space="0" w:color="auto"/>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1.7</w:t>
            </w:r>
          </w:p>
        </w:tc>
        <w:tc>
          <w:tcPr>
            <w:tcW w:w="1320" w:type="dxa"/>
            <w:tcBorders>
              <w:top w:val="nil"/>
              <w:left w:val="nil"/>
              <w:bottom w:val="nil"/>
              <w:right w:val="nil"/>
            </w:tcBorders>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2.2</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2.2</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2.7</w:t>
            </w:r>
          </w:p>
        </w:tc>
        <w:tc>
          <w:tcPr>
            <w:tcW w:w="1320" w:type="dxa"/>
            <w:tcBorders>
              <w:top w:val="nil"/>
              <w:left w:val="nil"/>
              <w:bottom w:val="nil"/>
              <w:right w:val="nil"/>
            </w:tcBorders>
            <w:noWrap/>
            <w:vAlign w:val="center"/>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2645</w:t>
            </w:r>
          </w:p>
        </w:tc>
      </w:tr>
      <w:tr w:rsidR="00C678E8" w:rsidRPr="00B03499" w:rsidTr="00B03499">
        <w:trPr>
          <w:trHeight w:val="315"/>
        </w:trPr>
        <w:tc>
          <w:tcPr>
            <w:tcW w:w="3620" w:type="dxa"/>
            <w:tcBorders>
              <w:top w:val="nil"/>
              <w:left w:val="nil"/>
              <w:bottom w:val="single" w:sz="4" w:space="0" w:color="auto"/>
              <w:right w:val="nil"/>
            </w:tcBorders>
            <w:vAlign w:val="center"/>
          </w:tcPr>
          <w:p w:rsidR="00C678E8" w:rsidRPr="00B03499" w:rsidRDefault="00C678E8" w:rsidP="00B03499">
            <w:pPr>
              <w:spacing w:after="0" w:line="240" w:lineRule="auto"/>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Sample size (N)</w:t>
            </w:r>
          </w:p>
        </w:tc>
        <w:tc>
          <w:tcPr>
            <w:tcW w:w="1320" w:type="dxa"/>
            <w:tcBorders>
              <w:top w:val="nil"/>
              <w:left w:val="nil"/>
              <w:bottom w:val="single" w:sz="4" w:space="0" w:color="auto"/>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931</w:t>
            </w:r>
          </w:p>
        </w:tc>
        <w:tc>
          <w:tcPr>
            <w:tcW w:w="1320" w:type="dxa"/>
            <w:tcBorders>
              <w:top w:val="nil"/>
              <w:left w:val="nil"/>
              <w:bottom w:val="single" w:sz="4" w:space="0" w:color="auto"/>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144</w:t>
            </w:r>
          </w:p>
        </w:tc>
        <w:tc>
          <w:tcPr>
            <w:tcW w:w="1320" w:type="dxa"/>
            <w:tcBorders>
              <w:top w:val="nil"/>
              <w:left w:val="nil"/>
              <w:bottom w:val="single" w:sz="4" w:space="0" w:color="auto"/>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42</w:t>
            </w:r>
          </w:p>
        </w:tc>
        <w:tc>
          <w:tcPr>
            <w:tcW w:w="1320" w:type="dxa"/>
            <w:tcBorders>
              <w:top w:val="nil"/>
              <w:left w:val="nil"/>
              <w:bottom w:val="single" w:sz="4" w:space="0" w:color="auto"/>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182</w:t>
            </w:r>
          </w:p>
        </w:tc>
        <w:tc>
          <w:tcPr>
            <w:tcW w:w="1320" w:type="dxa"/>
            <w:tcBorders>
              <w:top w:val="nil"/>
              <w:left w:val="single" w:sz="4" w:space="0" w:color="auto"/>
              <w:bottom w:val="single" w:sz="4" w:space="0" w:color="auto"/>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686</w:t>
            </w:r>
          </w:p>
        </w:tc>
        <w:tc>
          <w:tcPr>
            <w:tcW w:w="1320" w:type="dxa"/>
            <w:tcBorders>
              <w:top w:val="nil"/>
              <w:left w:val="nil"/>
              <w:bottom w:val="single" w:sz="4" w:space="0" w:color="auto"/>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123</w:t>
            </w:r>
          </w:p>
        </w:tc>
        <w:tc>
          <w:tcPr>
            <w:tcW w:w="1320" w:type="dxa"/>
            <w:tcBorders>
              <w:top w:val="nil"/>
              <w:left w:val="nil"/>
              <w:bottom w:val="single" w:sz="4" w:space="0" w:color="auto"/>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43</w:t>
            </w:r>
          </w:p>
        </w:tc>
        <w:tc>
          <w:tcPr>
            <w:tcW w:w="1320" w:type="dxa"/>
            <w:tcBorders>
              <w:top w:val="nil"/>
              <w:left w:val="nil"/>
              <w:bottom w:val="single" w:sz="4" w:space="0" w:color="auto"/>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491</w:t>
            </w:r>
          </w:p>
        </w:tc>
        <w:tc>
          <w:tcPr>
            <w:tcW w:w="1320" w:type="dxa"/>
            <w:tcBorders>
              <w:top w:val="nil"/>
              <w:left w:val="nil"/>
              <w:bottom w:val="single" w:sz="4" w:space="0" w:color="auto"/>
              <w:right w:val="nil"/>
            </w:tcBorders>
            <w:noWrap/>
            <w:vAlign w:val="bottom"/>
          </w:tcPr>
          <w:p w:rsidR="00C678E8" w:rsidRPr="00B03499" w:rsidRDefault="00C678E8" w:rsidP="00B03499">
            <w:pPr>
              <w:spacing w:after="0" w:line="240" w:lineRule="auto"/>
              <w:jc w:val="center"/>
              <w:rPr>
                <w:rFonts w:ascii="Calibri" w:eastAsia="MS Mincho" w:hAnsi="Calibri"/>
                <w:color w:val="000000"/>
                <w:sz w:val="24"/>
                <w:szCs w:val="24"/>
                <w:lang w:val="en-US" w:eastAsia="ja-JP"/>
              </w:rPr>
            </w:pPr>
            <w:r w:rsidRPr="00B03499">
              <w:rPr>
                <w:rFonts w:ascii="Calibri" w:eastAsia="MS Mincho" w:hAnsi="Calibri"/>
                <w:color w:val="000000"/>
                <w:sz w:val="24"/>
                <w:szCs w:val="24"/>
                <w:lang w:val="en-US" w:eastAsia="ja-JP"/>
              </w:rPr>
              <w:t>2645</w:t>
            </w:r>
          </w:p>
        </w:tc>
      </w:tr>
    </w:tbl>
    <w:p w:rsidR="00565897" w:rsidRDefault="00703FA2">
      <w:pPr>
        <w:spacing w:after="0" w:line="240" w:lineRule="auto"/>
        <w:jc w:val="both"/>
        <w:rPr>
          <w:rFonts w:ascii="Calibri" w:hAnsi="Calibri"/>
          <w:color w:val="000000"/>
          <w:sz w:val="24"/>
          <w:szCs w:val="24"/>
        </w:rPr>
      </w:pPr>
      <w:r>
        <w:rPr>
          <w:rFonts w:ascii="Calibri" w:hAnsi="Calibri"/>
          <w:color w:val="000000"/>
          <w:sz w:val="24"/>
          <w:szCs w:val="24"/>
        </w:rPr>
        <w:t>Estimated are weighted</w:t>
      </w:r>
    </w:p>
    <w:p w:rsidR="00565897" w:rsidRDefault="00703FA2">
      <w:pPr>
        <w:spacing w:after="0" w:line="240" w:lineRule="auto"/>
        <w:jc w:val="both"/>
        <w:rPr>
          <w:rFonts w:ascii="Calibri" w:hAnsi="Calibri"/>
          <w:color w:val="000000"/>
          <w:sz w:val="24"/>
          <w:szCs w:val="24"/>
        </w:rPr>
      </w:pPr>
      <w:r>
        <w:rPr>
          <w:rFonts w:ascii="Calibri" w:hAnsi="Calibri"/>
          <w:color w:val="000000"/>
          <w:sz w:val="24"/>
          <w:szCs w:val="24"/>
        </w:rPr>
        <w:t>Sample size is unweighted</w:t>
      </w:r>
    </w:p>
    <w:p w:rsidR="00C678E8" w:rsidRPr="00FD7328" w:rsidRDefault="00C678E8" w:rsidP="002C4012">
      <w:pPr>
        <w:spacing w:after="240" w:line="480" w:lineRule="auto"/>
        <w:jc w:val="both"/>
        <w:rPr>
          <w:rFonts w:ascii="Calibri" w:hAnsi="Calibri"/>
          <w:color w:val="000000"/>
          <w:sz w:val="24"/>
          <w:szCs w:val="24"/>
        </w:rPr>
      </w:pPr>
    </w:p>
    <w:p w:rsidR="00C678E8" w:rsidRPr="00FD7328" w:rsidRDefault="00C678E8" w:rsidP="002C4012">
      <w:pPr>
        <w:spacing w:after="240" w:line="480" w:lineRule="auto"/>
        <w:jc w:val="both"/>
        <w:rPr>
          <w:rFonts w:ascii="Calibri" w:hAnsi="Calibri"/>
          <w:color w:val="000000"/>
          <w:sz w:val="24"/>
          <w:szCs w:val="24"/>
        </w:rPr>
      </w:pPr>
    </w:p>
    <w:p w:rsidR="00C678E8" w:rsidRPr="00FD7328" w:rsidRDefault="00C678E8" w:rsidP="002C4012">
      <w:pPr>
        <w:spacing w:after="240" w:line="480" w:lineRule="auto"/>
        <w:jc w:val="both"/>
        <w:rPr>
          <w:rFonts w:ascii="Calibri" w:hAnsi="Calibri"/>
          <w:color w:val="000000"/>
          <w:sz w:val="24"/>
          <w:szCs w:val="24"/>
        </w:rPr>
        <w:sectPr w:rsidR="00C678E8" w:rsidRPr="00FD7328" w:rsidSect="00D16B37">
          <w:pgSz w:w="16834" w:h="11909" w:orient="landscape" w:code="9"/>
          <w:pgMar w:top="1800" w:right="1440" w:bottom="1800" w:left="1440" w:header="706" w:footer="706" w:gutter="0"/>
          <w:cols w:space="708"/>
        </w:sectPr>
      </w:pPr>
    </w:p>
    <w:p w:rsidR="00C678E8" w:rsidRDefault="00C678E8" w:rsidP="002C4012">
      <w:pPr>
        <w:spacing w:after="240" w:line="480" w:lineRule="auto"/>
        <w:jc w:val="both"/>
        <w:rPr>
          <w:rFonts w:ascii="Calibri" w:hAnsi="Calibri"/>
          <w:color w:val="000000"/>
          <w:sz w:val="24"/>
          <w:szCs w:val="24"/>
        </w:rPr>
      </w:pPr>
      <w:r w:rsidRPr="00FD7328">
        <w:rPr>
          <w:rFonts w:ascii="Calibri" w:hAnsi="Calibri"/>
          <w:color w:val="000000"/>
          <w:sz w:val="24"/>
          <w:szCs w:val="24"/>
        </w:rPr>
        <w:lastRenderedPageBreak/>
        <w:t>Table 3: Multinomial logi</w:t>
      </w:r>
      <w:r>
        <w:rPr>
          <w:rFonts w:ascii="Calibri" w:hAnsi="Calibri"/>
          <w:color w:val="000000"/>
          <w:sz w:val="24"/>
          <w:szCs w:val="24"/>
        </w:rPr>
        <w:t>s</w:t>
      </w:r>
      <w:r w:rsidRPr="00FD7328">
        <w:rPr>
          <w:rFonts w:ascii="Calibri" w:hAnsi="Calibri"/>
          <w:color w:val="000000"/>
          <w:sz w:val="24"/>
          <w:szCs w:val="24"/>
        </w:rPr>
        <w:t>t</w:t>
      </w:r>
      <w:r>
        <w:rPr>
          <w:rFonts w:ascii="Calibri" w:hAnsi="Calibri"/>
          <w:color w:val="000000"/>
          <w:sz w:val="24"/>
          <w:szCs w:val="24"/>
        </w:rPr>
        <w:t>ic</w:t>
      </w:r>
      <w:r w:rsidRPr="00FD7328">
        <w:rPr>
          <w:rFonts w:ascii="Calibri" w:hAnsi="Calibri"/>
          <w:color w:val="000000"/>
          <w:sz w:val="24"/>
          <w:szCs w:val="24"/>
        </w:rPr>
        <w:t xml:space="preserve"> regression of early life circumstance and marital status (results in Odds Ratio)</w:t>
      </w:r>
    </w:p>
    <w:tbl>
      <w:tblPr>
        <w:tblW w:w="10560" w:type="dxa"/>
        <w:tblInd w:w="93" w:type="dxa"/>
        <w:tblLook w:val="00A0" w:firstRow="1" w:lastRow="0" w:firstColumn="1" w:lastColumn="0" w:noHBand="0" w:noVBand="0"/>
      </w:tblPr>
      <w:tblGrid>
        <w:gridCol w:w="2760"/>
        <w:gridCol w:w="1300"/>
        <w:gridCol w:w="1372"/>
        <w:gridCol w:w="1300"/>
        <w:gridCol w:w="1300"/>
        <w:gridCol w:w="1300"/>
        <w:gridCol w:w="1300"/>
      </w:tblGrid>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p>
        </w:tc>
        <w:tc>
          <w:tcPr>
            <w:tcW w:w="3900" w:type="dxa"/>
            <w:gridSpan w:val="3"/>
            <w:tcBorders>
              <w:top w:val="single" w:sz="4" w:space="0" w:color="auto"/>
              <w:left w:val="nil"/>
              <w:bottom w:val="single" w:sz="4" w:space="0" w:color="auto"/>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men</w:t>
            </w:r>
          </w:p>
        </w:tc>
        <w:tc>
          <w:tcPr>
            <w:tcW w:w="3900" w:type="dxa"/>
            <w:gridSpan w:val="3"/>
            <w:tcBorders>
              <w:top w:val="single" w:sz="4" w:space="0" w:color="auto"/>
              <w:left w:val="nil"/>
              <w:bottom w:val="single" w:sz="4" w:space="0" w:color="auto"/>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women</w:t>
            </w:r>
          </w:p>
        </w:tc>
      </w:tr>
      <w:tr w:rsidR="00C678E8" w:rsidRPr="00A03616" w:rsidTr="00D16B37">
        <w:trPr>
          <w:trHeight w:val="600"/>
        </w:trPr>
        <w:tc>
          <w:tcPr>
            <w:tcW w:w="2760" w:type="dxa"/>
            <w:tcBorders>
              <w:top w:val="nil"/>
              <w:left w:val="nil"/>
              <w:bottom w:val="single" w:sz="4" w:space="0" w:color="auto"/>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 </w:t>
            </w:r>
          </w:p>
        </w:tc>
        <w:tc>
          <w:tcPr>
            <w:tcW w:w="1300" w:type="dxa"/>
            <w:tcBorders>
              <w:top w:val="nil"/>
              <w:left w:val="nil"/>
              <w:bottom w:val="single" w:sz="4" w:space="0" w:color="auto"/>
              <w:right w:val="nil"/>
            </w:tcBorders>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never married</w:t>
            </w:r>
          </w:p>
        </w:tc>
        <w:tc>
          <w:tcPr>
            <w:tcW w:w="1300" w:type="dxa"/>
            <w:tcBorders>
              <w:top w:val="nil"/>
              <w:left w:val="nil"/>
              <w:bottom w:val="single" w:sz="4" w:space="0" w:color="auto"/>
              <w:right w:val="nil"/>
            </w:tcBorders>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divorced</w:t>
            </w:r>
          </w:p>
        </w:tc>
        <w:tc>
          <w:tcPr>
            <w:tcW w:w="1300" w:type="dxa"/>
            <w:tcBorders>
              <w:top w:val="nil"/>
              <w:left w:val="nil"/>
              <w:bottom w:val="single" w:sz="4" w:space="0" w:color="auto"/>
              <w:right w:val="nil"/>
            </w:tcBorders>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widowed</w:t>
            </w:r>
          </w:p>
        </w:tc>
        <w:tc>
          <w:tcPr>
            <w:tcW w:w="1300" w:type="dxa"/>
            <w:tcBorders>
              <w:top w:val="nil"/>
              <w:left w:val="nil"/>
              <w:bottom w:val="single" w:sz="4" w:space="0" w:color="auto"/>
              <w:right w:val="nil"/>
            </w:tcBorders>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never married</w:t>
            </w:r>
          </w:p>
        </w:tc>
        <w:tc>
          <w:tcPr>
            <w:tcW w:w="1300" w:type="dxa"/>
            <w:tcBorders>
              <w:top w:val="nil"/>
              <w:left w:val="nil"/>
              <w:bottom w:val="single" w:sz="4" w:space="0" w:color="auto"/>
              <w:right w:val="nil"/>
            </w:tcBorders>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divorced</w:t>
            </w:r>
          </w:p>
        </w:tc>
        <w:tc>
          <w:tcPr>
            <w:tcW w:w="1300" w:type="dxa"/>
            <w:tcBorders>
              <w:top w:val="nil"/>
              <w:left w:val="nil"/>
              <w:bottom w:val="single" w:sz="4" w:space="0" w:color="auto"/>
              <w:right w:val="nil"/>
            </w:tcBorders>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widowed</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age</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1.014</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0.937*</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1.111***</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1.094***</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0.874**</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1.145***</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(0.0159)</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(0.0309)</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(0.0146)</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(0.0186)</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(0.0371)</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(0.0129)</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childhood health</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1.947*</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1.179</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0.982</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1.941</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1.811</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1.463</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(=poor)</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(0.639)</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(0.741)</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(0.360)</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(0.694)</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(0.937)</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(0.370)</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childhood residence</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1.889**</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1.729</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0.945</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1.057</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0.947</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1.127</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(=rural)</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(0.461)</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(0.618)</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(0.182)</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(0.252)</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(0.321)</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(0.172)</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father occupation</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2.085</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0.546</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1.321</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0.583</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0.502</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1.280</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(=manual)</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(0.980)</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(0.262)</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(0.424)</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(0.177)</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(0.211)</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(0.298)</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father occupation</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1.896</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0.938</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1.213</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0.970</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0.515</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1.330</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(=non-manual)</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(1.055)</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(0.530)</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(0.470)</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(0.372)</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(0.315)</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(0.402)</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father occupation</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3.257*</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0.377</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1.028</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0.897</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0.217*</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1.438</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(=farmer)</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(1.574)</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(0.220)</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(0.378)</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(0.296)</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(0.129)</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(0.366)</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childhood family</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1.145</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0.961</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1.237</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0.894</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0.435*</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0.781</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(=average)</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(0.395)</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(0.477)</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(0.383)</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(0.262)</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(0.184)</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(0.166)</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childhood family</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0.859</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0.818</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1.611</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0.948</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0.456</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0.722</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(=poor financially)</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(0.335)</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(0.500)</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(0.553)</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(0.376)</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(0.265)</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(0.189)</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lastRenderedPageBreak/>
              <w:t>parental substance abuse</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1.824</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1.636</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1.384</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0.749</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1.695</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0.800</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(=yes)</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(0.685)</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(0.915)</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(0.515)</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(0.372)</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(0.835)</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(0.246)</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parental substance abuse</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5.402***</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0.00000836</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1.360</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2.564</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1.035</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1.099</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(=missing)</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(2.270)</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(0.00404)</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(0.743)</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(1.245)</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(1.098)</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(0.446)</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secondary education</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0.536**</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0.797</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0.886</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1.716</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0.739</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0.641**</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(0.126)</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(0.330)</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(0.182)</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(0.477)</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(0.301)</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(0.0978)</w:t>
            </w:r>
          </w:p>
        </w:tc>
      </w:tr>
      <w:tr w:rsidR="00C678E8" w:rsidRPr="00A03616" w:rsidTr="00D16B37">
        <w:trPr>
          <w:trHeight w:val="300"/>
        </w:trPr>
        <w:tc>
          <w:tcPr>
            <w:tcW w:w="2760" w:type="dxa"/>
            <w:tcBorders>
              <w:top w:val="nil"/>
              <w:left w:val="nil"/>
              <w:bottom w:val="nil"/>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tertiary education</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0.632</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0.922</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0.681</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3.076***</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0.910</w:t>
            </w:r>
          </w:p>
        </w:tc>
        <w:tc>
          <w:tcPr>
            <w:tcW w:w="1300" w:type="dxa"/>
            <w:tcBorders>
              <w:top w:val="nil"/>
              <w:left w:val="nil"/>
              <w:bottom w:val="nil"/>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0.749</w:t>
            </w:r>
          </w:p>
        </w:tc>
      </w:tr>
      <w:tr w:rsidR="00C678E8" w:rsidRPr="00A03616" w:rsidTr="00D16B37">
        <w:trPr>
          <w:trHeight w:val="300"/>
        </w:trPr>
        <w:tc>
          <w:tcPr>
            <w:tcW w:w="2760" w:type="dxa"/>
            <w:tcBorders>
              <w:top w:val="nil"/>
              <w:left w:val="nil"/>
              <w:bottom w:val="single" w:sz="4" w:space="0" w:color="auto"/>
              <w:right w:val="nil"/>
            </w:tcBorders>
            <w:noWrap/>
            <w:vAlign w:val="bottom"/>
          </w:tcPr>
          <w:p w:rsidR="00C678E8" w:rsidRPr="007A3A1C" w:rsidRDefault="00C678E8" w:rsidP="00D16B37">
            <w:pPr>
              <w:spacing w:after="0" w:line="480" w:lineRule="auto"/>
              <w:rPr>
                <w:rFonts w:ascii="Calibri" w:hAnsi="Calibri"/>
                <w:color w:val="000000"/>
                <w:sz w:val="24"/>
                <w:szCs w:val="24"/>
                <w:lang w:val="en-US"/>
              </w:rPr>
            </w:pPr>
            <w:r w:rsidRPr="007A3A1C">
              <w:rPr>
                <w:rFonts w:ascii="Calibri" w:hAnsi="Calibri"/>
                <w:color w:val="000000"/>
                <w:sz w:val="24"/>
                <w:szCs w:val="24"/>
                <w:lang w:val="en-US"/>
              </w:rPr>
              <w:t> </w:t>
            </w:r>
          </w:p>
        </w:tc>
        <w:tc>
          <w:tcPr>
            <w:tcW w:w="1300" w:type="dxa"/>
            <w:tcBorders>
              <w:top w:val="nil"/>
              <w:left w:val="nil"/>
              <w:bottom w:val="single" w:sz="4" w:space="0" w:color="auto"/>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(0.169)</w:t>
            </w:r>
          </w:p>
        </w:tc>
        <w:tc>
          <w:tcPr>
            <w:tcW w:w="1300" w:type="dxa"/>
            <w:tcBorders>
              <w:top w:val="nil"/>
              <w:left w:val="nil"/>
              <w:bottom w:val="single" w:sz="4" w:space="0" w:color="auto"/>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(0.405)</w:t>
            </w:r>
          </w:p>
        </w:tc>
        <w:tc>
          <w:tcPr>
            <w:tcW w:w="1300" w:type="dxa"/>
            <w:tcBorders>
              <w:top w:val="nil"/>
              <w:left w:val="nil"/>
              <w:bottom w:val="single" w:sz="4" w:space="0" w:color="auto"/>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(0.170)</w:t>
            </w:r>
          </w:p>
        </w:tc>
        <w:tc>
          <w:tcPr>
            <w:tcW w:w="1300" w:type="dxa"/>
            <w:tcBorders>
              <w:top w:val="nil"/>
              <w:left w:val="nil"/>
              <w:bottom w:val="single" w:sz="4" w:space="0" w:color="auto"/>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(0.915)</w:t>
            </w:r>
          </w:p>
        </w:tc>
        <w:tc>
          <w:tcPr>
            <w:tcW w:w="1300" w:type="dxa"/>
            <w:tcBorders>
              <w:top w:val="nil"/>
              <w:left w:val="nil"/>
              <w:bottom w:val="single" w:sz="4" w:space="0" w:color="auto"/>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(0.397)</w:t>
            </w:r>
          </w:p>
        </w:tc>
        <w:tc>
          <w:tcPr>
            <w:tcW w:w="1300" w:type="dxa"/>
            <w:tcBorders>
              <w:top w:val="nil"/>
              <w:left w:val="nil"/>
              <w:bottom w:val="single" w:sz="4" w:space="0" w:color="auto"/>
              <w:right w:val="nil"/>
            </w:tcBorders>
            <w:noWrap/>
            <w:vAlign w:val="bottom"/>
          </w:tcPr>
          <w:p w:rsidR="00C678E8" w:rsidRPr="007A3A1C" w:rsidRDefault="00C678E8" w:rsidP="00D16B37">
            <w:pPr>
              <w:spacing w:after="0" w:line="480" w:lineRule="auto"/>
              <w:jc w:val="center"/>
              <w:rPr>
                <w:rFonts w:ascii="Calibri" w:hAnsi="Calibri"/>
                <w:color w:val="000000"/>
                <w:sz w:val="24"/>
                <w:szCs w:val="24"/>
                <w:lang w:val="en-US"/>
              </w:rPr>
            </w:pPr>
            <w:r w:rsidRPr="007A3A1C">
              <w:rPr>
                <w:rFonts w:ascii="Calibri" w:hAnsi="Calibri"/>
                <w:color w:val="000000"/>
                <w:sz w:val="24"/>
                <w:szCs w:val="24"/>
                <w:lang w:val="en-US"/>
              </w:rPr>
              <w:t>(0.139)</w:t>
            </w:r>
          </w:p>
        </w:tc>
      </w:tr>
    </w:tbl>
    <w:p w:rsidR="00C678E8" w:rsidRDefault="00C678E8" w:rsidP="002C4012">
      <w:pPr>
        <w:spacing w:after="240" w:line="480" w:lineRule="auto"/>
        <w:jc w:val="both"/>
        <w:rPr>
          <w:rFonts w:ascii="Calibri" w:hAnsi="Calibri"/>
          <w:color w:val="000000"/>
          <w:sz w:val="24"/>
          <w:szCs w:val="24"/>
        </w:rPr>
      </w:pPr>
    </w:p>
    <w:p w:rsidR="00C678E8" w:rsidRDefault="00C678E8" w:rsidP="002C4012">
      <w:pPr>
        <w:spacing w:after="240" w:line="480" w:lineRule="auto"/>
        <w:jc w:val="both"/>
        <w:rPr>
          <w:rFonts w:ascii="Lucida Grande" w:hAnsi="Lucida Grande" w:cs="Lucida Grande"/>
          <w:color w:val="000000"/>
        </w:rPr>
      </w:pPr>
      <w:r w:rsidRPr="00CA27F0">
        <w:rPr>
          <w:rFonts w:ascii="Lucida Grande" w:hAnsi="Lucida Grande" w:cs="Lucida Grande"/>
          <w:color w:val="000000"/>
        </w:rPr>
        <w:t>Exponentiated coefficients; Standard errors in parentheses</w:t>
      </w:r>
    </w:p>
    <w:p w:rsidR="00C678E8" w:rsidRDefault="00C678E8" w:rsidP="002C4012">
      <w:pPr>
        <w:spacing w:after="240" w:line="480" w:lineRule="auto"/>
        <w:jc w:val="both"/>
        <w:rPr>
          <w:rFonts w:ascii="Calibri" w:hAnsi="Calibri"/>
          <w:color w:val="000000"/>
          <w:sz w:val="24"/>
          <w:szCs w:val="24"/>
        </w:rPr>
      </w:pPr>
      <w:r>
        <w:rPr>
          <w:rFonts w:ascii="Calibri" w:hAnsi="Calibri"/>
          <w:color w:val="000000"/>
          <w:sz w:val="24"/>
          <w:szCs w:val="24"/>
        </w:rPr>
        <w:t>*p&lt;0.05, **p&lt;0.01, ***p&lt;0.001</w:t>
      </w:r>
    </w:p>
    <w:p w:rsidR="00C678E8" w:rsidRPr="00FD7328" w:rsidRDefault="00C678E8" w:rsidP="002C4012">
      <w:pPr>
        <w:spacing w:after="240" w:line="480" w:lineRule="auto"/>
        <w:jc w:val="both"/>
        <w:rPr>
          <w:rFonts w:ascii="Calibri" w:hAnsi="Calibri"/>
          <w:color w:val="000000"/>
          <w:sz w:val="24"/>
          <w:szCs w:val="24"/>
        </w:rPr>
      </w:pPr>
      <w:r>
        <w:rPr>
          <w:rFonts w:ascii="Calibri" w:hAnsi="Calibri"/>
          <w:color w:val="000000"/>
          <w:sz w:val="24"/>
          <w:szCs w:val="24"/>
        </w:rPr>
        <w:t xml:space="preserve">  </w:t>
      </w:r>
    </w:p>
    <w:p w:rsidR="00C678E8" w:rsidRPr="00FD7328" w:rsidRDefault="00C678E8" w:rsidP="002C4012">
      <w:pPr>
        <w:autoSpaceDE w:val="0"/>
        <w:autoSpaceDN w:val="0"/>
        <w:adjustRightInd w:val="0"/>
        <w:spacing w:after="240" w:line="480" w:lineRule="auto"/>
        <w:jc w:val="both"/>
        <w:rPr>
          <w:rFonts w:ascii="Calibri" w:hAnsi="Calibri"/>
          <w:color w:val="000000"/>
          <w:sz w:val="24"/>
          <w:szCs w:val="24"/>
        </w:rPr>
      </w:pPr>
    </w:p>
    <w:p w:rsidR="00C678E8" w:rsidRDefault="00C678E8" w:rsidP="002C4012">
      <w:pPr>
        <w:autoSpaceDE w:val="0"/>
        <w:autoSpaceDN w:val="0"/>
        <w:adjustRightInd w:val="0"/>
        <w:spacing w:after="240" w:line="480" w:lineRule="auto"/>
        <w:jc w:val="both"/>
        <w:rPr>
          <w:rFonts w:ascii="Calibri" w:hAnsi="Calibri"/>
          <w:color w:val="000000"/>
          <w:sz w:val="24"/>
          <w:szCs w:val="24"/>
        </w:rPr>
      </w:pPr>
      <w:r>
        <w:rPr>
          <w:rFonts w:ascii="Calibri" w:hAnsi="Calibri"/>
          <w:color w:val="000000"/>
          <w:sz w:val="24"/>
          <w:szCs w:val="24"/>
        </w:rPr>
        <w:br w:type="page"/>
      </w:r>
      <w:r w:rsidRPr="00FD7328">
        <w:rPr>
          <w:rFonts w:ascii="Calibri" w:hAnsi="Calibri"/>
          <w:color w:val="000000"/>
          <w:sz w:val="24"/>
          <w:szCs w:val="24"/>
        </w:rPr>
        <w:lastRenderedPageBreak/>
        <w:t xml:space="preserve">Table 4: Effects (OLS regression) of early and late life circumstances on loneliness, men </w:t>
      </w:r>
    </w:p>
    <w:tbl>
      <w:tblPr>
        <w:tblW w:w="8175" w:type="dxa"/>
        <w:tblInd w:w="93" w:type="dxa"/>
        <w:tblLook w:val="0000" w:firstRow="0" w:lastRow="0" w:firstColumn="0" w:lastColumn="0" w:noHBand="0" w:noVBand="0"/>
      </w:tblPr>
      <w:tblGrid>
        <w:gridCol w:w="2895"/>
        <w:gridCol w:w="1320"/>
        <w:gridCol w:w="1320"/>
        <w:gridCol w:w="1320"/>
        <w:gridCol w:w="1320"/>
      </w:tblGrid>
      <w:tr w:rsidR="00C678E8" w:rsidRPr="00310CAA" w:rsidTr="00D16B37">
        <w:trPr>
          <w:trHeight w:val="315"/>
        </w:trPr>
        <w:tc>
          <w:tcPr>
            <w:tcW w:w="2895" w:type="dxa"/>
            <w:tcBorders>
              <w:top w:val="nil"/>
              <w:left w:val="nil"/>
              <w:bottom w:val="nil"/>
              <w:right w:val="nil"/>
            </w:tcBorders>
            <w:noWrap/>
            <w:vAlign w:val="bottom"/>
          </w:tcPr>
          <w:p w:rsidR="00C678E8" w:rsidRPr="00310CAA" w:rsidRDefault="00C678E8" w:rsidP="00D16B37">
            <w:pPr>
              <w:spacing w:after="0" w:line="240" w:lineRule="auto"/>
              <w:rPr>
                <w:rFonts w:ascii="Calibri" w:eastAsia="MS Mincho" w:hAnsi="Calibri"/>
                <w:color w:val="000000"/>
                <w:sz w:val="24"/>
                <w:szCs w:val="24"/>
                <w:lang w:val="en-US" w:eastAsia="ja-JP"/>
              </w:rPr>
            </w:pPr>
          </w:p>
        </w:tc>
        <w:tc>
          <w:tcPr>
            <w:tcW w:w="5280" w:type="dxa"/>
            <w:gridSpan w:val="4"/>
            <w:tcBorders>
              <w:top w:val="single" w:sz="4" w:space="0" w:color="auto"/>
              <w:left w:val="nil"/>
              <w:bottom w:val="single" w:sz="4" w:space="0" w:color="auto"/>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men</w:t>
            </w:r>
          </w:p>
        </w:tc>
      </w:tr>
      <w:tr w:rsidR="00C678E8" w:rsidRPr="00310CAA" w:rsidTr="00D16B37">
        <w:trPr>
          <w:trHeight w:val="315"/>
        </w:trPr>
        <w:tc>
          <w:tcPr>
            <w:tcW w:w="2895" w:type="dxa"/>
            <w:tcBorders>
              <w:top w:val="nil"/>
              <w:left w:val="nil"/>
              <w:bottom w:val="single" w:sz="4" w:space="0" w:color="auto"/>
              <w:right w:val="nil"/>
            </w:tcBorders>
            <w:noWrap/>
            <w:vAlign w:val="bottom"/>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 </w:t>
            </w:r>
          </w:p>
        </w:tc>
        <w:tc>
          <w:tcPr>
            <w:tcW w:w="1320" w:type="dxa"/>
            <w:tcBorders>
              <w:top w:val="nil"/>
              <w:left w:val="nil"/>
              <w:bottom w:val="single" w:sz="4" w:space="0" w:color="auto"/>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Model 1</w:t>
            </w:r>
          </w:p>
        </w:tc>
        <w:tc>
          <w:tcPr>
            <w:tcW w:w="1320" w:type="dxa"/>
            <w:tcBorders>
              <w:top w:val="nil"/>
              <w:left w:val="nil"/>
              <w:bottom w:val="single" w:sz="4" w:space="0" w:color="auto"/>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Model 2</w:t>
            </w:r>
          </w:p>
        </w:tc>
        <w:tc>
          <w:tcPr>
            <w:tcW w:w="1320" w:type="dxa"/>
            <w:tcBorders>
              <w:top w:val="nil"/>
              <w:left w:val="nil"/>
              <w:bottom w:val="single" w:sz="4" w:space="0" w:color="auto"/>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Model 3</w:t>
            </w:r>
          </w:p>
        </w:tc>
        <w:tc>
          <w:tcPr>
            <w:tcW w:w="1320" w:type="dxa"/>
            <w:tcBorders>
              <w:top w:val="nil"/>
              <w:left w:val="nil"/>
              <w:bottom w:val="single" w:sz="4" w:space="0" w:color="auto"/>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Model 4</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age</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0.00897</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0.00719</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-0.0118</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-0.0191*</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(0.00940)</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(0.00946)</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(0.00927)</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(0.00935)</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childhood health</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0.413</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0.421</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0.348</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0.291</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(=poor)</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(0.236)</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(0.236)</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(0.225)</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(0.220)</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childhood residence</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0.147</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0.117</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0.0624</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0.0913</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(=rural)</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(0.131)</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(0.132)</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(0.126)</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(0.131)</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father occupation</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-0.0188</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-0.161</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-0.211</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-0.182</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(=manual)</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(0.194)</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(0.202)</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(0.192)</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(0.188)</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father occupation</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-0.0143</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-0.0512</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-0.101</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-0.0693</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(=non-manual)</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(0.247)</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(0.247)</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(0.235)</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(0.230)</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father occupation</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0.0663</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-0.0852</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-0.151</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-0.0821</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(=farmer)</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(0.220)</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(0.229)</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(0.218)</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(0.216)</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childhood family</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0.257</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0.204</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0.162</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0.201</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(=average)</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(0.192)</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(0.193)</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(0.184)</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(0.180)</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childhood family</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0.728***</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0.639**</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0.586**</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0.528*</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(=poor financially)</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(0.218)</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(0.223)</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(0.212)</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(0.208)</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parental substance abuse</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0.718**</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0.738**</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0.612*</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0.638**</w:t>
            </w:r>
          </w:p>
        </w:tc>
      </w:tr>
      <w:tr w:rsidR="00C678E8" w:rsidRPr="00310CAA" w:rsidTr="00D16B37">
        <w:trPr>
          <w:trHeight w:val="315"/>
        </w:trPr>
        <w:tc>
          <w:tcPr>
            <w:tcW w:w="2895" w:type="dxa"/>
            <w:tcBorders>
              <w:top w:val="nil"/>
              <w:left w:val="nil"/>
              <w:bottom w:val="nil"/>
              <w:right w:val="nil"/>
            </w:tcBorders>
            <w:noWrap/>
            <w:vAlign w:val="bottom"/>
          </w:tcPr>
          <w:p w:rsidR="00C678E8" w:rsidRPr="00310CAA" w:rsidRDefault="00C678E8" w:rsidP="00D16B37">
            <w:pPr>
              <w:spacing w:after="0" w:line="240" w:lineRule="auto"/>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(0.252)</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(0.252)</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(0.240)</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(0.235)</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parental substance abuse</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1.272***</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1.273***</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0.983**</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0.976**</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(=missing)</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(0.369)</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(0.369)</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(0.354)</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(0.346)</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secondary education</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-0.0889</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0.00157</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0.0797</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(0.141)</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(0.134)</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(0.133)</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tertiary education</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-0.382*</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-0.269</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-0.0900</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(0.161)</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(0.153)</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(0.155)</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never married</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1.328***</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1.173***</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(0.180)</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(0.186)</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sep/divorced</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1.229***</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0.963**</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(0.308)</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(0.320)</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widow</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1.608***</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1.570***</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(0.163)</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(0.161)</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current poor health</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0.833***</w:t>
            </w:r>
          </w:p>
        </w:tc>
      </w:tr>
      <w:tr w:rsidR="00C678E8" w:rsidRPr="00310CAA" w:rsidTr="00D16B37">
        <w:trPr>
          <w:trHeight w:val="315"/>
        </w:trPr>
        <w:tc>
          <w:tcPr>
            <w:tcW w:w="2895" w:type="dxa"/>
            <w:tcBorders>
              <w:top w:val="nil"/>
              <w:left w:val="nil"/>
              <w:bottom w:val="nil"/>
              <w:right w:val="nil"/>
            </w:tcBorders>
            <w:noWrap/>
            <w:vAlign w:val="bottom"/>
          </w:tcPr>
          <w:p w:rsidR="00C678E8" w:rsidRPr="00310CAA" w:rsidRDefault="00C678E8" w:rsidP="00D16B37">
            <w:pPr>
              <w:spacing w:after="0" w:line="240" w:lineRule="auto"/>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(0.154)</w:t>
            </w:r>
          </w:p>
        </w:tc>
      </w:tr>
      <w:tr w:rsidR="00C678E8" w:rsidRPr="00310CAA" w:rsidTr="00D16B37">
        <w:trPr>
          <w:trHeight w:val="315"/>
        </w:trPr>
        <w:tc>
          <w:tcPr>
            <w:tcW w:w="2895" w:type="dxa"/>
            <w:tcBorders>
              <w:top w:val="nil"/>
              <w:left w:val="nil"/>
              <w:bottom w:val="nil"/>
              <w:right w:val="nil"/>
            </w:tcBorders>
            <w:noWrap/>
            <w:vAlign w:val="bottom"/>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IADLs</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0.348***</w:t>
            </w:r>
          </w:p>
        </w:tc>
      </w:tr>
      <w:tr w:rsidR="00C678E8" w:rsidRPr="00310CAA" w:rsidTr="00D16B37">
        <w:trPr>
          <w:trHeight w:val="315"/>
        </w:trPr>
        <w:tc>
          <w:tcPr>
            <w:tcW w:w="2895" w:type="dxa"/>
            <w:tcBorders>
              <w:top w:val="nil"/>
              <w:left w:val="nil"/>
              <w:bottom w:val="nil"/>
              <w:right w:val="nil"/>
            </w:tcBorders>
            <w:noWrap/>
            <w:vAlign w:val="bottom"/>
          </w:tcPr>
          <w:p w:rsidR="00C678E8" w:rsidRPr="00310CAA" w:rsidRDefault="00C678E8" w:rsidP="00D16B37">
            <w:pPr>
              <w:spacing w:after="0" w:line="240" w:lineRule="auto"/>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(0.0909)</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other city than Dublin</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-0.0521</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(0.148)</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lastRenderedPageBreak/>
              <w:t>rural</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-0.0787</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(0.152)</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log(income)</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-0.0696</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(0.0467)</w:t>
            </w:r>
          </w:p>
        </w:tc>
      </w:tr>
      <w:tr w:rsidR="00C678E8" w:rsidRPr="00310CAA" w:rsidTr="00D16B37">
        <w:trPr>
          <w:trHeight w:val="315"/>
        </w:trPr>
        <w:tc>
          <w:tcPr>
            <w:tcW w:w="2895" w:type="dxa"/>
            <w:tcBorders>
              <w:top w:val="nil"/>
              <w:left w:val="nil"/>
              <w:bottom w:val="nil"/>
              <w:right w:val="nil"/>
            </w:tcBorders>
            <w:noWrap/>
            <w:vAlign w:val="center"/>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own house</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-0.416</w:t>
            </w:r>
          </w:p>
        </w:tc>
      </w:tr>
      <w:tr w:rsidR="00C678E8" w:rsidRPr="00310CAA" w:rsidTr="00D16B37">
        <w:trPr>
          <w:trHeight w:val="315"/>
        </w:trPr>
        <w:tc>
          <w:tcPr>
            <w:tcW w:w="2895" w:type="dxa"/>
            <w:tcBorders>
              <w:top w:val="nil"/>
              <w:left w:val="nil"/>
              <w:bottom w:val="nil"/>
              <w:right w:val="nil"/>
            </w:tcBorders>
            <w:noWrap/>
            <w:vAlign w:val="bottom"/>
          </w:tcPr>
          <w:p w:rsidR="00C678E8" w:rsidRPr="00310CAA" w:rsidRDefault="00C678E8" w:rsidP="00D16B37">
            <w:pPr>
              <w:spacing w:after="0" w:line="240" w:lineRule="auto"/>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(0.232)</w:t>
            </w:r>
          </w:p>
        </w:tc>
      </w:tr>
      <w:tr w:rsidR="00C678E8" w:rsidRPr="00310CAA" w:rsidTr="00D16B37">
        <w:trPr>
          <w:trHeight w:val="315"/>
        </w:trPr>
        <w:tc>
          <w:tcPr>
            <w:tcW w:w="2895" w:type="dxa"/>
            <w:tcBorders>
              <w:top w:val="nil"/>
              <w:left w:val="nil"/>
              <w:bottom w:val="nil"/>
              <w:right w:val="nil"/>
            </w:tcBorders>
            <w:noWrap/>
            <w:vAlign w:val="bottom"/>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drive</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-0.205</w:t>
            </w:r>
          </w:p>
        </w:tc>
      </w:tr>
      <w:tr w:rsidR="00C678E8" w:rsidRPr="00310CAA" w:rsidTr="00D16B37">
        <w:trPr>
          <w:trHeight w:val="315"/>
        </w:trPr>
        <w:tc>
          <w:tcPr>
            <w:tcW w:w="2895" w:type="dxa"/>
            <w:tcBorders>
              <w:top w:val="nil"/>
              <w:left w:val="nil"/>
              <w:bottom w:val="nil"/>
              <w:right w:val="nil"/>
            </w:tcBorders>
            <w:noWrap/>
            <w:vAlign w:val="bottom"/>
          </w:tcPr>
          <w:p w:rsidR="00C678E8" w:rsidRPr="00310CAA" w:rsidRDefault="00C678E8" w:rsidP="00D16B37">
            <w:pPr>
              <w:spacing w:after="0" w:line="240" w:lineRule="auto"/>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(0.239)</w:t>
            </w:r>
          </w:p>
        </w:tc>
      </w:tr>
      <w:tr w:rsidR="00C678E8" w:rsidRPr="00310CAA" w:rsidTr="00D16B37">
        <w:trPr>
          <w:trHeight w:val="315"/>
        </w:trPr>
        <w:tc>
          <w:tcPr>
            <w:tcW w:w="2895" w:type="dxa"/>
            <w:tcBorders>
              <w:top w:val="nil"/>
              <w:left w:val="nil"/>
              <w:bottom w:val="nil"/>
              <w:right w:val="nil"/>
            </w:tcBorders>
            <w:noWrap/>
            <w:vAlign w:val="bottom"/>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used to drive</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-0.00687</w:t>
            </w:r>
          </w:p>
        </w:tc>
      </w:tr>
      <w:tr w:rsidR="00C678E8" w:rsidRPr="00310CAA" w:rsidTr="00D16B37">
        <w:trPr>
          <w:trHeight w:val="315"/>
        </w:trPr>
        <w:tc>
          <w:tcPr>
            <w:tcW w:w="2895" w:type="dxa"/>
            <w:tcBorders>
              <w:top w:val="nil"/>
              <w:left w:val="nil"/>
              <w:bottom w:val="nil"/>
              <w:right w:val="nil"/>
            </w:tcBorders>
            <w:noWrap/>
            <w:vAlign w:val="bottom"/>
          </w:tcPr>
          <w:p w:rsidR="00C678E8" w:rsidRPr="00310CAA" w:rsidRDefault="00C678E8" w:rsidP="00D16B37">
            <w:pPr>
              <w:spacing w:after="0" w:line="240" w:lineRule="auto"/>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(0.286)</w:t>
            </w:r>
          </w:p>
        </w:tc>
      </w:tr>
      <w:tr w:rsidR="00C678E8" w:rsidRPr="00310CAA" w:rsidTr="00D16B37">
        <w:trPr>
          <w:trHeight w:val="315"/>
        </w:trPr>
        <w:tc>
          <w:tcPr>
            <w:tcW w:w="2895" w:type="dxa"/>
            <w:tcBorders>
              <w:top w:val="nil"/>
              <w:left w:val="nil"/>
              <w:bottom w:val="nil"/>
              <w:right w:val="nil"/>
            </w:tcBorders>
            <w:noWrap/>
            <w:vAlign w:val="bottom"/>
          </w:tcPr>
          <w:p w:rsidR="00C678E8" w:rsidRPr="00310CAA" w:rsidRDefault="00C678E8" w:rsidP="00D16B37">
            <w:pPr>
              <w:spacing w:after="0" w:line="240" w:lineRule="auto"/>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_cons</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0.622</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1.067</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2.122**</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3.689***</w:t>
            </w:r>
          </w:p>
        </w:tc>
      </w:tr>
      <w:tr w:rsidR="00C678E8" w:rsidRPr="00310CAA" w:rsidTr="00D16B37">
        <w:trPr>
          <w:trHeight w:val="315"/>
        </w:trPr>
        <w:tc>
          <w:tcPr>
            <w:tcW w:w="2895" w:type="dxa"/>
            <w:tcBorders>
              <w:top w:val="nil"/>
              <w:left w:val="nil"/>
              <w:bottom w:val="nil"/>
              <w:right w:val="nil"/>
            </w:tcBorders>
            <w:noWrap/>
            <w:vAlign w:val="bottom"/>
          </w:tcPr>
          <w:p w:rsidR="00C678E8" w:rsidRPr="00310CAA" w:rsidRDefault="00C678E8" w:rsidP="00D16B37">
            <w:pPr>
              <w:spacing w:after="0" w:line="240" w:lineRule="auto"/>
              <w:rPr>
                <w:rFonts w:ascii="Calibri" w:eastAsia="MS Mincho" w:hAnsi="Calibri"/>
                <w:color w:val="000000"/>
                <w:sz w:val="24"/>
                <w:szCs w:val="24"/>
                <w:lang w:val="en-US" w:eastAsia="ja-JP"/>
              </w:rPr>
            </w:pP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(0.721)</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(0.757)</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(0.735)</w:t>
            </w:r>
          </w:p>
        </w:tc>
        <w:tc>
          <w:tcPr>
            <w:tcW w:w="1320" w:type="dxa"/>
            <w:tcBorders>
              <w:top w:val="nil"/>
              <w:left w:val="nil"/>
              <w:bottom w:val="nil"/>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(0.941)</w:t>
            </w:r>
          </w:p>
        </w:tc>
      </w:tr>
      <w:tr w:rsidR="00C678E8" w:rsidRPr="00310CAA" w:rsidTr="00D16B37">
        <w:trPr>
          <w:trHeight w:val="315"/>
        </w:trPr>
        <w:tc>
          <w:tcPr>
            <w:tcW w:w="2895" w:type="dxa"/>
            <w:tcBorders>
              <w:top w:val="nil"/>
              <w:left w:val="nil"/>
              <w:bottom w:val="single" w:sz="4" w:space="0" w:color="auto"/>
              <w:right w:val="nil"/>
            </w:tcBorders>
            <w:noWrap/>
            <w:vAlign w:val="bottom"/>
          </w:tcPr>
          <w:p w:rsidR="00C678E8" w:rsidRPr="00310CAA" w:rsidRDefault="00C678E8" w:rsidP="00D16B37">
            <w:pPr>
              <w:spacing w:after="0" w:line="240" w:lineRule="auto"/>
              <w:rPr>
                <w:rFonts w:ascii="Calibri" w:eastAsia="MS Mincho" w:hAnsi="Calibri"/>
                <w:b/>
                <w:color w:val="000000"/>
                <w:sz w:val="24"/>
                <w:szCs w:val="24"/>
                <w:lang w:val="en-US" w:eastAsia="ja-JP"/>
              </w:rPr>
            </w:pPr>
            <w:r w:rsidRPr="00310CAA">
              <w:rPr>
                <w:rFonts w:ascii="Calibri" w:eastAsia="MS Mincho" w:hAnsi="Calibri"/>
                <w:b/>
                <w:color w:val="000000"/>
                <w:sz w:val="24"/>
                <w:szCs w:val="24"/>
                <w:lang w:val="en-US" w:eastAsia="ja-JP"/>
              </w:rPr>
              <w:t>N</w:t>
            </w:r>
          </w:p>
        </w:tc>
        <w:tc>
          <w:tcPr>
            <w:tcW w:w="1320" w:type="dxa"/>
            <w:tcBorders>
              <w:top w:val="nil"/>
              <w:left w:val="nil"/>
              <w:bottom w:val="single" w:sz="4" w:space="0" w:color="auto"/>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1299</w:t>
            </w:r>
          </w:p>
        </w:tc>
        <w:tc>
          <w:tcPr>
            <w:tcW w:w="1320" w:type="dxa"/>
            <w:tcBorders>
              <w:top w:val="nil"/>
              <w:left w:val="nil"/>
              <w:bottom w:val="single" w:sz="4" w:space="0" w:color="auto"/>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1299</w:t>
            </w:r>
          </w:p>
        </w:tc>
        <w:tc>
          <w:tcPr>
            <w:tcW w:w="1320" w:type="dxa"/>
            <w:tcBorders>
              <w:top w:val="nil"/>
              <w:left w:val="nil"/>
              <w:bottom w:val="single" w:sz="4" w:space="0" w:color="auto"/>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1299</w:t>
            </w:r>
          </w:p>
        </w:tc>
        <w:tc>
          <w:tcPr>
            <w:tcW w:w="1320" w:type="dxa"/>
            <w:tcBorders>
              <w:top w:val="nil"/>
              <w:left w:val="nil"/>
              <w:bottom w:val="single" w:sz="4" w:space="0" w:color="auto"/>
              <w:right w:val="nil"/>
            </w:tcBorders>
            <w:noWrap/>
            <w:vAlign w:val="bottom"/>
          </w:tcPr>
          <w:p w:rsidR="00C678E8" w:rsidRPr="00310CAA" w:rsidRDefault="00C678E8" w:rsidP="00D16B37">
            <w:pPr>
              <w:spacing w:after="0" w:line="240" w:lineRule="auto"/>
              <w:jc w:val="center"/>
              <w:rPr>
                <w:rFonts w:ascii="Calibri" w:eastAsia="MS Mincho" w:hAnsi="Calibri"/>
                <w:color w:val="000000"/>
                <w:sz w:val="24"/>
                <w:szCs w:val="24"/>
                <w:lang w:val="en-US" w:eastAsia="ja-JP"/>
              </w:rPr>
            </w:pPr>
            <w:r w:rsidRPr="00310CAA">
              <w:rPr>
                <w:rFonts w:ascii="Calibri" w:eastAsia="MS Mincho" w:hAnsi="Calibri"/>
                <w:color w:val="000000"/>
                <w:sz w:val="24"/>
                <w:szCs w:val="24"/>
                <w:lang w:val="en-US" w:eastAsia="ja-JP"/>
              </w:rPr>
              <w:t>1299</w:t>
            </w:r>
          </w:p>
        </w:tc>
      </w:tr>
    </w:tbl>
    <w:p w:rsidR="00C678E8" w:rsidRDefault="00C678E8" w:rsidP="002C4012">
      <w:pPr>
        <w:rPr>
          <w:rFonts w:ascii="Lucida Grande" w:hAnsi="Lucida Grande" w:cs="Lucida Grande"/>
          <w:color w:val="000000"/>
        </w:rPr>
      </w:pPr>
    </w:p>
    <w:p w:rsidR="00C678E8" w:rsidRDefault="00C678E8" w:rsidP="002C4012">
      <w:pPr>
        <w:rPr>
          <w:rFonts w:ascii="Lucida Grande" w:hAnsi="Lucida Grande" w:cs="Lucida Grande"/>
          <w:color w:val="000000"/>
        </w:rPr>
      </w:pPr>
      <w:r w:rsidRPr="008B6D9D">
        <w:rPr>
          <w:rFonts w:ascii="Lucida Grande" w:hAnsi="Lucida Grande" w:cs="Lucida Grande"/>
          <w:color w:val="000000"/>
        </w:rPr>
        <w:t>Standard errors in parentheses</w:t>
      </w:r>
    </w:p>
    <w:p w:rsidR="00C678E8" w:rsidRDefault="00C678E8" w:rsidP="002C4012">
      <w:pPr>
        <w:spacing w:after="240" w:line="480" w:lineRule="auto"/>
        <w:jc w:val="both"/>
        <w:rPr>
          <w:rFonts w:ascii="Calibri" w:hAnsi="Calibri"/>
          <w:color w:val="000000"/>
          <w:sz w:val="24"/>
          <w:szCs w:val="24"/>
        </w:rPr>
      </w:pPr>
      <w:r>
        <w:rPr>
          <w:rFonts w:ascii="Calibri" w:hAnsi="Calibri"/>
          <w:color w:val="000000"/>
          <w:sz w:val="24"/>
          <w:szCs w:val="24"/>
        </w:rPr>
        <w:t>*p&lt;0.05, **p&lt;0.01, ***p&lt;0.001</w:t>
      </w:r>
    </w:p>
    <w:p w:rsidR="00C678E8" w:rsidRDefault="00C678E8" w:rsidP="002C4012">
      <w:pPr>
        <w:rPr>
          <w:rFonts w:ascii="Calibri" w:hAnsi="Calibri"/>
          <w:color w:val="000000"/>
          <w:sz w:val="24"/>
          <w:szCs w:val="24"/>
        </w:rPr>
      </w:pPr>
      <w:r>
        <w:rPr>
          <w:rFonts w:ascii="Calibri" w:hAnsi="Calibri"/>
          <w:color w:val="000000"/>
          <w:sz w:val="24"/>
          <w:szCs w:val="24"/>
        </w:rPr>
        <w:br w:type="page"/>
      </w:r>
    </w:p>
    <w:p w:rsidR="00C678E8" w:rsidRDefault="00C678E8" w:rsidP="002C4012">
      <w:pPr>
        <w:spacing w:line="240" w:lineRule="auto"/>
        <w:rPr>
          <w:rFonts w:ascii="Calibri" w:hAnsi="Calibri"/>
          <w:color w:val="000000"/>
          <w:sz w:val="24"/>
          <w:szCs w:val="24"/>
        </w:rPr>
      </w:pPr>
      <w:r w:rsidRPr="00FD7328">
        <w:rPr>
          <w:rFonts w:ascii="Calibri" w:hAnsi="Calibri"/>
          <w:color w:val="000000"/>
          <w:sz w:val="24"/>
          <w:szCs w:val="24"/>
        </w:rPr>
        <w:lastRenderedPageBreak/>
        <w:t xml:space="preserve">Table 5: Effects (OLS regression) of early and late life conditions on loneliness, women </w:t>
      </w:r>
    </w:p>
    <w:p w:rsidR="00C678E8" w:rsidRDefault="00C678E8" w:rsidP="002C4012">
      <w:pPr>
        <w:spacing w:line="240" w:lineRule="auto"/>
        <w:rPr>
          <w:rFonts w:ascii="Calibri" w:hAnsi="Calibri"/>
          <w:color w:val="000000"/>
          <w:sz w:val="24"/>
          <w:szCs w:val="24"/>
        </w:rPr>
      </w:pPr>
    </w:p>
    <w:tbl>
      <w:tblPr>
        <w:tblW w:w="7960" w:type="dxa"/>
        <w:tblInd w:w="93" w:type="dxa"/>
        <w:tblLook w:val="0000" w:firstRow="0" w:lastRow="0" w:firstColumn="0" w:lastColumn="0" w:noHBand="0" w:noVBand="0"/>
      </w:tblPr>
      <w:tblGrid>
        <w:gridCol w:w="2895"/>
        <w:gridCol w:w="1152"/>
        <w:gridCol w:w="1330"/>
        <w:gridCol w:w="1330"/>
        <w:gridCol w:w="1290"/>
      </w:tblGrid>
      <w:tr w:rsidR="00C678E8" w:rsidRPr="001106A8" w:rsidTr="00D16B37">
        <w:trPr>
          <w:trHeight w:val="315"/>
        </w:trPr>
        <w:tc>
          <w:tcPr>
            <w:tcW w:w="2895" w:type="dxa"/>
            <w:tcBorders>
              <w:top w:val="nil"/>
              <w:left w:val="nil"/>
              <w:bottom w:val="nil"/>
              <w:right w:val="nil"/>
            </w:tcBorders>
            <w:noWrap/>
            <w:vAlign w:val="bottom"/>
          </w:tcPr>
          <w:p w:rsidR="00C678E8" w:rsidRPr="001106A8" w:rsidRDefault="00C678E8" w:rsidP="00D16B37">
            <w:pPr>
              <w:spacing w:after="0" w:line="240" w:lineRule="auto"/>
              <w:rPr>
                <w:rFonts w:ascii="Calibri" w:eastAsia="MS Mincho" w:hAnsi="Calibri"/>
                <w:color w:val="000000"/>
                <w:sz w:val="24"/>
                <w:szCs w:val="24"/>
                <w:lang w:val="en-US" w:eastAsia="ja-JP"/>
              </w:rPr>
            </w:pPr>
          </w:p>
        </w:tc>
        <w:tc>
          <w:tcPr>
            <w:tcW w:w="5065" w:type="dxa"/>
            <w:gridSpan w:val="4"/>
            <w:tcBorders>
              <w:top w:val="single" w:sz="4" w:space="0" w:color="auto"/>
              <w:left w:val="nil"/>
              <w:bottom w:val="single" w:sz="4" w:space="0" w:color="auto"/>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women</w:t>
            </w:r>
          </w:p>
        </w:tc>
      </w:tr>
      <w:tr w:rsidR="00C678E8" w:rsidRPr="001106A8" w:rsidTr="00D16B37">
        <w:trPr>
          <w:trHeight w:val="315"/>
        </w:trPr>
        <w:tc>
          <w:tcPr>
            <w:tcW w:w="2895" w:type="dxa"/>
            <w:tcBorders>
              <w:top w:val="nil"/>
              <w:left w:val="nil"/>
              <w:bottom w:val="single" w:sz="4" w:space="0" w:color="auto"/>
              <w:right w:val="nil"/>
            </w:tcBorders>
            <w:noWrap/>
            <w:vAlign w:val="bottom"/>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 </w:t>
            </w:r>
          </w:p>
        </w:tc>
        <w:tc>
          <w:tcPr>
            <w:tcW w:w="1115" w:type="dxa"/>
            <w:tcBorders>
              <w:top w:val="nil"/>
              <w:left w:val="nil"/>
              <w:bottom w:val="single" w:sz="4" w:space="0" w:color="auto"/>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Model 1</w:t>
            </w:r>
          </w:p>
        </w:tc>
        <w:tc>
          <w:tcPr>
            <w:tcW w:w="1330" w:type="dxa"/>
            <w:tcBorders>
              <w:top w:val="nil"/>
              <w:left w:val="nil"/>
              <w:bottom w:val="single" w:sz="4" w:space="0" w:color="auto"/>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Model 2</w:t>
            </w:r>
          </w:p>
        </w:tc>
        <w:tc>
          <w:tcPr>
            <w:tcW w:w="1330" w:type="dxa"/>
            <w:tcBorders>
              <w:top w:val="nil"/>
              <w:left w:val="nil"/>
              <w:bottom w:val="single" w:sz="4" w:space="0" w:color="auto"/>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Model 3</w:t>
            </w:r>
          </w:p>
        </w:tc>
        <w:tc>
          <w:tcPr>
            <w:tcW w:w="1290" w:type="dxa"/>
            <w:tcBorders>
              <w:top w:val="nil"/>
              <w:left w:val="nil"/>
              <w:bottom w:val="single" w:sz="4" w:space="0" w:color="auto"/>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Model 4</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age</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0.0191*</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0.0166</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-0.0110</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-0.0204*</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(0.00928)</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(0.00941)</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(0.00994)</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(0.0103)</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childhood health</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0.401</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0.387</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0.313</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0.0723</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(=poor)</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(0.229)</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(0.229)</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(0.225)</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(0.221)</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childhood residence</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0.0814</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0.0843</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0.0599</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-0.152</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(=rural)</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(0.139)</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(0.139)</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(0.136)</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(0.141)</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father occupation</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-0.00778</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-0.0784</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-0.108</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-0.173</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(=manual)</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(0.194)</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(0.200)</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(0.197)</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(0.192)</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father occupation</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-0.435</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-0.427</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-0.472</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-0.519*</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(=non-manual)</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(0.263)</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(0.264)</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(0.259)</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(0.253)</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father occupation</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-0.280</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-0.334</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-0.393</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-0.448*</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(=farmer)</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(0.218)</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(0.222)</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(0.218)</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(0.212)</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childhood family</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0.470*</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0.418*</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0.460*</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0.397*</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(=average)</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(0.188)</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(0.192)</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(0.188)</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(0.184)</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childhood family</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0.821***</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0.709**</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0.773***</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0.686**</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(=poor financially)</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(0.231)</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(0.239)</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(0.234)</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(0.229)</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parental substance abuse</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0.308</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0.302</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0.345</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0.429</w:t>
            </w:r>
          </w:p>
        </w:tc>
      </w:tr>
      <w:tr w:rsidR="00C678E8" w:rsidRPr="001106A8" w:rsidTr="00D16B37">
        <w:trPr>
          <w:trHeight w:val="315"/>
        </w:trPr>
        <w:tc>
          <w:tcPr>
            <w:tcW w:w="2895" w:type="dxa"/>
            <w:tcBorders>
              <w:top w:val="nil"/>
              <w:left w:val="nil"/>
              <w:bottom w:val="nil"/>
              <w:right w:val="nil"/>
            </w:tcBorders>
            <w:noWrap/>
            <w:vAlign w:val="bottom"/>
          </w:tcPr>
          <w:p w:rsidR="00C678E8" w:rsidRPr="001106A8" w:rsidRDefault="00C678E8" w:rsidP="00D16B37">
            <w:pPr>
              <w:spacing w:after="0" w:line="240" w:lineRule="auto"/>
              <w:rPr>
                <w:rFonts w:ascii="Calibri" w:eastAsia="MS Mincho" w:hAnsi="Calibri"/>
                <w:color w:val="000000"/>
                <w:sz w:val="24"/>
                <w:szCs w:val="24"/>
                <w:lang w:val="en-US" w:eastAsia="ja-JP"/>
              </w:rPr>
            </w:pP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(0.266)</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(0.266)</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(0.260)</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(0.254)</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parental substance abuse</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1.037**</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1.041**</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1.010**</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0.828*</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(=missing)</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(0.358)</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(0.357)</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(0.351)</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(0.343)</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secondary education</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-0.314*</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-0.234</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-0.0371</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(0.142)</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(0.140)</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(0.141)</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tertiary education</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-0.233</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-0.194</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0.0683</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(0.168)</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(0.166)</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(0.171)</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never married</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0.636**</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0.644**</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(0.211)</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(0.211)</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sep/divorced</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0.268</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0.177</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(0.325)</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(0.323)</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widow</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1.038***</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1.038***</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(0.135)</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(0.134)</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current poor health</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1.219***</w:t>
            </w:r>
          </w:p>
        </w:tc>
      </w:tr>
      <w:tr w:rsidR="00C678E8" w:rsidRPr="001106A8" w:rsidTr="00D16B37">
        <w:trPr>
          <w:trHeight w:val="315"/>
        </w:trPr>
        <w:tc>
          <w:tcPr>
            <w:tcW w:w="2895" w:type="dxa"/>
            <w:tcBorders>
              <w:top w:val="nil"/>
              <w:left w:val="nil"/>
              <w:bottom w:val="nil"/>
              <w:right w:val="nil"/>
            </w:tcBorders>
            <w:noWrap/>
            <w:vAlign w:val="bottom"/>
          </w:tcPr>
          <w:p w:rsidR="00C678E8" w:rsidRPr="001106A8" w:rsidRDefault="00C678E8" w:rsidP="00D16B37">
            <w:pPr>
              <w:spacing w:after="0" w:line="240" w:lineRule="auto"/>
              <w:rPr>
                <w:rFonts w:ascii="Calibri" w:eastAsia="MS Mincho" w:hAnsi="Calibri"/>
                <w:color w:val="000000"/>
                <w:sz w:val="24"/>
                <w:szCs w:val="24"/>
                <w:lang w:val="en-US" w:eastAsia="ja-JP"/>
              </w:rPr>
            </w:pP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(0.167)</w:t>
            </w:r>
          </w:p>
        </w:tc>
      </w:tr>
      <w:tr w:rsidR="00C678E8" w:rsidRPr="001106A8" w:rsidTr="00D16B37">
        <w:trPr>
          <w:trHeight w:val="315"/>
        </w:trPr>
        <w:tc>
          <w:tcPr>
            <w:tcW w:w="2895" w:type="dxa"/>
            <w:tcBorders>
              <w:top w:val="nil"/>
              <w:left w:val="nil"/>
              <w:bottom w:val="nil"/>
              <w:right w:val="nil"/>
            </w:tcBorders>
            <w:noWrap/>
            <w:vAlign w:val="bottom"/>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IADLs</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0.150</w:t>
            </w:r>
          </w:p>
        </w:tc>
      </w:tr>
      <w:tr w:rsidR="00C678E8" w:rsidRPr="001106A8" w:rsidTr="00D16B37">
        <w:trPr>
          <w:trHeight w:val="315"/>
        </w:trPr>
        <w:tc>
          <w:tcPr>
            <w:tcW w:w="2895" w:type="dxa"/>
            <w:tcBorders>
              <w:top w:val="nil"/>
              <w:left w:val="nil"/>
              <w:bottom w:val="nil"/>
              <w:right w:val="nil"/>
            </w:tcBorders>
            <w:noWrap/>
            <w:vAlign w:val="bottom"/>
          </w:tcPr>
          <w:p w:rsidR="00C678E8" w:rsidRPr="001106A8" w:rsidRDefault="00C678E8" w:rsidP="00D16B37">
            <w:pPr>
              <w:spacing w:after="0" w:line="240" w:lineRule="auto"/>
              <w:rPr>
                <w:rFonts w:ascii="Calibri" w:eastAsia="MS Mincho" w:hAnsi="Calibri"/>
                <w:color w:val="000000"/>
                <w:sz w:val="24"/>
                <w:szCs w:val="24"/>
                <w:lang w:val="en-US" w:eastAsia="ja-JP"/>
              </w:rPr>
            </w:pP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(0.0777)</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other city than Dublin</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0.252</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(0.157)</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rural</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0.509**</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(0.155)</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log(income)</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-0.0437</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(0.0531)</w:t>
            </w:r>
          </w:p>
        </w:tc>
      </w:tr>
      <w:tr w:rsidR="00C678E8" w:rsidRPr="001106A8" w:rsidTr="00D16B37">
        <w:trPr>
          <w:trHeight w:val="315"/>
        </w:trPr>
        <w:tc>
          <w:tcPr>
            <w:tcW w:w="2895" w:type="dxa"/>
            <w:tcBorders>
              <w:top w:val="nil"/>
              <w:left w:val="nil"/>
              <w:bottom w:val="nil"/>
              <w:right w:val="nil"/>
            </w:tcBorders>
            <w:noWrap/>
            <w:vAlign w:val="center"/>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own house</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-0.0345</w:t>
            </w:r>
          </w:p>
        </w:tc>
      </w:tr>
      <w:tr w:rsidR="00C678E8" w:rsidRPr="001106A8" w:rsidTr="00D16B37">
        <w:trPr>
          <w:trHeight w:val="315"/>
        </w:trPr>
        <w:tc>
          <w:tcPr>
            <w:tcW w:w="2895" w:type="dxa"/>
            <w:tcBorders>
              <w:top w:val="nil"/>
              <w:left w:val="nil"/>
              <w:bottom w:val="nil"/>
              <w:right w:val="nil"/>
            </w:tcBorders>
            <w:noWrap/>
            <w:vAlign w:val="bottom"/>
          </w:tcPr>
          <w:p w:rsidR="00C678E8" w:rsidRPr="001106A8" w:rsidRDefault="00C678E8" w:rsidP="00D16B37">
            <w:pPr>
              <w:spacing w:after="0" w:line="240" w:lineRule="auto"/>
              <w:rPr>
                <w:rFonts w:ascii="Calibri" w:eastAsia="MS Mincho" w:hAnsi="Calibri"/>
                <w:color w:val="000000"/>
                <w:sz w:val="24"/>
                <w:szCs w:val="24"/>
                <w:lang w:val="en-US" w:eastAsia="ja-JP"/>
              </w:rPr>
            </w:pP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(0.238)</w:t>
            </w:r>
          </w:p>
        </w:tc>
      </w:tr>
      <w:tr w:rsidR="00C678E8" w:rsidRPr="001106A8" w:rsidTr="00D16B37">
        <w:trPr>
          <w:trHeight w:val="315"/>
        </w:trPr>
        <w:tc>
          <w:tcPr>
            <w:tcW w:w="2895" w:type="dxa"/>
            <w:tcBorders>
              <w:top w:val="nil"/>
              <w:left w:val="nil"/>
              <w:bottom w:val="nil"/>
              <w:right w:val="nil"/>
            </w:tcBorders>
            <w:noWrap/>
            <w:vAlign w:val="bottom"/>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drive</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-0.186</w:t>
            </w:r>
          </w:p>
        </w:tc>
      </w:tr>
      <w:tr w:rsidR="00C678E8" w:rsidRPr="001106A8" w:rsidTr="00D16B37">
        <w:trPr>
          <w:trHeight w:val="315"/>
        </w:trPr>
        <w:tc>
          <w:tcPr>
            <w:tcW w:w="2895" w:type="dxa"/>
            <w:tcBorders>
              <w:top w:val="nil"/>
              <w:left w:val="nil"/>
              <w:bottom w:val="nil"/>
              <w:right w:val="nil"/>
            </w:tcBorders>
            <w:noWrap/>
            <w:vAlign w:val="bottom"/>
          </w:tcPr>
          <w:p w:rsidR="00C678E8" w:rsidRPr="001106A8" w:rsidRDefault="00C678E8" w:rsidP="00D16B37">
            <w:pPr>
              <w:spacing w:after="0" w:line="240" w:lineRule="auto"/>
              <w:rPr>
                <w:rFonts w:ascii="Calibri" w:eastAsia="MS Mincho" w:hAnsi="Calibri"/>
                <w:color w:val="000000"/>
                <w:sz w:val="24"/>
                <w:szCs w:val="24"/>
                <w:lang w:val="en-US" w:eastAsia="ja-JP"/>
              </w:rPr>
            </w:pP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(0.144)</w:t>
            </w:r>
          </w:p>
        </w:tc>
      </w:tr>
      <w:tr w:rsidR="00C678E8" w:rsidRPr="001106A8" w:rsidTr="00D16B37">
        <w:trPr>
          <w:trHeight w:val="315"/>
        </w:trPr>
        <w:tc>
          <w:tcPr>
            <w:tcW w:w="2895" w:type="dxa"/>
            <w:tcBorders>
              <w:top w:val="nil"/>
              <w:left w:val="nil"/>
              <w:bottom w:val="nil"/>
              <w:right w:val="nil"/>
            </w:tcBorders>
            <w:noWrap/>
            <w:vAlign w:val="bottom"/>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used to drive</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-0.241</w:t>
            </w:r>
          </w:p>
        </w:tc>
      </w:tr>
      <w:tr w:rsidR="00C678E8" w:rsidRPr="001106A8" w:rsidTr="00D16B37">
        <w:trPr>
          <w:trHeight w:val="315"/>
        </w:trPr>
        <w:tc>
          <w:tcPr>
            <w:tcW w:w="2895" w:type="dxa"/>
            <w:tcBorders>
              <w:top w:val="nil"/>
              <w:left w:val="nil"/>
              <w:bottom w:val="nil"/>
              <w:right w:val="nil"/>
            </w:tcBorders>
            <w:noWrap/>
            <w:vAlign w:val="bottom"/>
          </w:tcPr>
          <w:p w:rsidR="00C678E8" w:rsidRPr="001106A8" w:rsidRDefault="00C678E8" w:rsidP="00D16B37">
            <w:pPr>
              <w:spacing w:after="0" w:line="240" w:lineRule="auto"/>
              <w:rPr>
                <w:rFonts w:ascii="Calibri" w:eastAsia="MS Mincho" w:hAnsi="Calibri"/>
                <w:color w:val="000000"/>
                <w:sz w:val="24"/>
                <w:szCs w:val="24"/>
                <w:lang w:val="en-US" w:eastAsia="ja-JP"/>
              </w:rPr>
            </w:pP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(0.214)</w:t>
            </w:r>
          </w:p>
        </w:tc>
      </w:tr>
      <w:tr w:rsidR="00C678E8" w:rsidRPr="001106A8" w:rsidTr="00D16B37">
        <w:trPr>
          <w:trHeight w:val="315"/>
        </w:trPr>
        <w:tc>
          <w:tcPr>
            <w:tcW w:w="2895" w:type="dxa"/>
            <w:tcBorders>
              <w:top w:val="nil"/>
              <w:left w:val="nil"/>
              <w:bottom w:val="nil"/>
              <w:right w:val="nil"/>
            </w:tcBorders>
            <w:noWrap/>
            <w:vAlign w:val="bottom"/>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_cons</w:t>
            </w: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0.236</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0.701</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2.242**</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3.129**</w:t>
            </w:r>
          </w:p>
        </w:tc>
      </w:tr>
      <w:tr w:rsidR="00C678E8" w:rsidRPr="001106A8" w:rsidTr="00D16B37">
        <w:trPr>
          <w:trHeight w:val="315"/>
        </w:trPr>
        <w:tc>
          <w:tcPr>
            <w:tcW w:w="2895" w:type="dxa"/>
            <w:tcBorders>
              <w:top w:val="nil"/>
              <w:left w:val="nil"/>
              <w:bottom w:val="nil"/>
              <w:right w:val="nil"/>
            </w:tcBorders>
            <w:noWrap/>
            <w:vAlign w:val="bottom"/>
          </w:tcPr>
          <w:p w:rsidR="00C678E8" w:rsidRPr="001106A8" w:rsidRDefault="00C678E8" w:rsidP="00D16B37">
            <w:pPr>
              <w:spacing w:after="0" w:line="240" w:lineRule="auto"/>
              <w:rPr>
                <w:rFonts w:ascii="Calibri" w:eastAsia="MS Mincho" w:hAnsi="Calibri"/>
                <w:color w:val="000000"/>
                <w:sz w:val="24"/>
                <w:szCs w:val="24"/>
                <w:lang w:val="en-US" w:eastAsia="ja-JP"/>
              </w:rPr>
            </w:pPr>
          </w:p>
        </w:tc>
        <w:tc>
          <w:tcPr>
            <w:tcW w:w="1115"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(0.713)</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(0.761)</w:t>
            </w:r>
          </w:p>
        </w:tc>
        <w:tc>
          <w:tcPr>
            <w:tcW w:w="133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(0.780)</w:t>
            </w:r>
          </w:p>
        </w:tc>
        <w:tc>
          <w:tcPr>
            <w:tcW w:w="1290" w:type="dxa"/>
            <w:tcBorders>
              <w:top w:val="nil"/>
              <w:left w:val="nil"/>
              <w:bottom w:val="nil"/>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(1.020)</w:t>
            </w:r>
          </w:p>
        </w:tc>
      </w:tr>
      <w:tr w:rsidR="00C678E8" w:rsidRPr="001106A8" w:rsidTr="00D16B37">
        <w:trPr>
          <w:trHeight w:val="315"/>
        </w:trPr>
        <w:tc>
          <w:tcPr>
            <w:tcW w:w="2895" w:type="dxa"/>
            <w:tcBorders>
              <w:top w:val="nil"/>
              <w:left w:val="nil"/>
              <w:bottom w:val="single" w:sz="4" w:space="0" w:color="auto"/>
              <w:right w:val="nil"/>
            </w:tcBorders>
            <w:noWrap/>
            <w:vAlign w:val="bottom"/>
          </w:tcPr>
          <w:p w:rsidR="00C678E8" w:rsidRPr="001106A8" w:rsidRDefault="00C678E8" w:rsidP="00D16B37">
            <w:pPr>
              <w:spacing w:after="0" w:line="240" w:lineRule="auto"/>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N</w:t>
            </w:r>
          </w:p>
        </w:tc>
        <w:tc>
          <w:tcPr>
            <w:tcW w:w="1115" w:type="dxa"/>
            <w:tcBorders>
              <w:top w:val="nil"/>
              <w:left w:val="nil"/>
              <w:bottom w:val="single" w:sz="4" w:space="0" w:color="auto"/>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1346</w:t>
            </w:r>
          </w:p>
        </w:tc>
        <w:tc>
          <w:tcPr>
            <w:tcW w:w="1330" w:type="dxa"/>
            <w:tcBorders>
              <w:top w:val="nil"/>
              <w:left w:val="nil"/>
              <w:bottom w:val="single" w:sz="4" w:space="0" w:color="auto"/>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1346</w:t>
            </w:r>
          </w:p>
        </w:tc>
        <w:tc>
          <w:tcPr>
            <w:tcW w:w="1330" w:type="dxa"/>
            <w:tcBorders>
              <w:top w:val="nil"/>
              <w:left w:val="nil"/>
              <w:bottom w:val="single" w:sz="4" w:space="0" w:color="auto"/>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1346</w:t>
            </w:r>
          </w:p>
        </w:tc>
        <w:tc>
          <w:tcPr>
            <w:tcW w:w="1290" w:type="dxa"/>
            <w:tcBorders>
              <w:top w:val="nil"/>
              <w:left w:val="nil"/>
              <w:bottom w:val="single" w:sz="4" w:space="0" w:color="auto"/>
              <w:right w:val="nil"/>
            </w:tcBorders>
            <w:noWrap/>
            <w:vAlign w:val="bottom"/>
          </w:tcPr>
          <w:p w:rsidR="00C678E8" w:rsidRPr="001106A8" w:rsidRDefault="00C678E8" w:rsidP="00D16B37">
            <w:pPr>
              <w:spacing w:after="0" w:line="240" w:lineRule="auto"/>
              <w:jc w:val="center"/>
              <w:rPr>
                <w:rFonts w:ascii="Calibri" w:eastAsia="MS Mincho" w:hAnsi="Calibri"/>
                <w:color w:val="000000"/>
                <w:sz w:val="24"/>
                <w:szCs w:val="24"/>
                <w:lang w:val="en-US" w:eastAsia="ja-JP"/>
              </w:rPr>
            </w:pPr>
            <w:r w:rsidRPr="001106A8">
              <w:rPr>
                <w:rFonts w:ascii="Calibri" w:eastAsia="MS Mincho" w:hAnsi="Calibri"/>
                <w:color w:val="000000"/>
                <w:sz w:val="24"/>
                <w:szCs w:val="24"/>
                <w:lang w:val="en-US" w:eastAsia="ja-JP"/>
              </w:rPr>
              <w:t>1346</w:t>
            </w:r>
          </w:p>
        </w:tc>
      </w:tr>
    </w:tbl>
    <w:p w:rsidR="00C678E8" w:rsidRDefault="00C678E8" w:rsidP="002C4012">
      <w:pPr>
        <w:spacing w:line="240" w:lineRule="auto"/>
        <w:rPr>
          <w:rFonts w:ascii="Calibri" w:hAnsi="Calibri"/>
          <w:color w:val="000000"/>
          <w:sz w:val="24"/>
          <w:szCs w:val="24"/>
        </w:rPr>
      </w:pPr>
    </w:p>
    <w:p w:rsidR="00C678E8" w:rsidRDefault="00C678E8" w:rsidP="002C4012">
      <w:pPr>
        <w:spacing w:line="240" w:lineRule="auto"/>
        <w:rPr>
          <w:rFonts w:ascii="Lucida Grande" w:hAnsi="Lucida Grande" w:cs="Lucida Grande"/>
          <w:color w:val="000000"/>
        </w:rPr>
      </w:pPr>
      <w:r w:rsidRPr="00F43270">
        <w:rPr>
          <w:rFonts w:ascii="Lucida Grande" w:hAnsi="Lucida Grande" w:cs="Lucida Grande"/>
          <w:color w:val="000000"/>
        </w:rPr>
        <w:t>Standard errors in parentheses</w:t>
      </w:r>
    </w:p>
    <w:p w:rsidR="00C678E8" w:rsidRDefault="00C678E8" w:rsidP="002C4012">
      <w:pPr>
        <w:spacing w:after="240" w:line="480" w:lineRule="auto"/>
        <w:jc w:val="both"/>
        <w:rPr>
          <w:rFonts w:ascii="Calibri" w:hAnsi="Calibri"/>
          <w:color w:val="000000"/>
          <w:sz w:val="24"/>
          <w:szCs w:val="24"/>
        </w:rPr>
      </w:pPr>
      <w:r>
        <w:rPr>
          <w:rFonts w:ascii="Calibri" w:hAnsi="Calibri"/>
          <w:color w:val="000000"/>
          <w:sz w:val="24"/>
          <w:szCs w:val="24"/>
        </w:rPr>
        <w:t>*p&lt;0.05, **p&lt;0.01, ***p&lt;0.001</w:t>
      </w:r>
    </w:p>
    <w:p w:rsidR="00C678E8" w:rsidRPr="00FD7328" w:rsidRDefault="00C678E8" w:rsidP="002C4012">
      <w:pPr>
        <w:spacing w:line="240" w:lineRule="auto"/>
        <w:rPr>
          <w:rFonts w:ascii="Calibri" w:hAnsi="Calibri"/>
          <w:color w:val="000000"/>
          <w:sz w:val="24"/>
          <w:szCs w:val="24"/>
        </w:rPr>
      </w:pPr>
    </w:p>
    <w:p w:rsidR="00C678E8" w:rsidRPr="00FD7328" w:rsidRDefault="00C678E8" w:rsidP="002C4012">
      <w:pPr>
        <w:autoSpaceDE w:val="0"/>
        <w:autoSpaceDN w:val="0"/>
        <w:adjustRightInd w:val="0"/>
        <w:spacing w:after="240" w:line="480" w:lineRule="auto"/>
        <w:jc w:val="both"/>
        <w:rPr>
          <w:rFonts w:ascii="Calibri" w:hAnsi="Calibri"/>
          <w:color w:val="000000"/>
          <w:sz w:val="24"/>
          <w:szCs w:val="24"/>
        </w:rPr>
      </w:pPr>
    </w:p>
    <w:p w:rsidR="00C678E8" w:rsidRPr="00FD7328" w:rsidRDefault="00C678E8" w:rsidP="002C4012">
      <w:pPr>
        <w:autoSpaceDE w:val="0"/>
        <w:autoSpaceDN w:val="0"/>
        <w:adjustRightInd w:val="0"/>
        <w:spacing w:after="240" w:line="480" w:lineRule="auto"/>
        <w:jc w:val="both"/>
        <w:rPr>
          <w:rFonts w:ascii="Calibri" w:hAnsi="Calibri"/>
          <w:color w:val="000000"/>
          <w:sz w:val="24"/>
          <w:szCs w:val="24"/>
        </w:rPr>
      </w:pPr>
    </w:p>
    <w:p w:rsidR="00C678E8" w:rsidRPr="00FD7328" w:rsidRDefault="00565897" w:rsidP="002C4012">
      <w:pPr>
        <w:spacing w:after="0" w:line="480" w:lineRule="auto"/>
        <w:ind w:left="720" w:hanging="720"/>
        <w:rPr>
          <w:rFonts w:ascii="Calibri" w:hAnsi="Calibri"/>
          <w:noProof/>
          <w:color w:val="000000"/>
          <w:szCs w:val="24"/>
        </w:rPr>
      </w:pPr>
      <w:r w:rsidRPr="00FD7328">
        <w:rPr>
          <w:rFonts w:ascii="Calibri" w:hAnsi="Calibri"/>
          <w:color w:val="000000"/>
          <w:sz w:val="24"/>
          <w:szCs w:val="24"/>
        </w:rPr>
        <w:fldChar w:fldCharType="begin"/>
      </w:r>
      <w:r w:rsidR="00C678E8" w:rsidRPr="00FD7328">
        <w:rPr>
          <w:rFonts w:ascii="Calibri" w:hAnsi="Calibri"/>
          <w:color w:val="000000"/>
          <w:sz w:val="24"/>
          <w:szCs w:val="24"/>
        </w:rPr>
        <w:instrText xml:space="preserve"> ADDIN EN.REFLIST </w:instrText>
      </w:r>
      <w:r w:rsidRPr="00FD7328">
        <w:rPr>
          <w:rFonts w:ascii="Calibri" w:hAnsi="Calibri"/>
          <w:color w:val="000000"/>
          <w:sz w:val="24"/>
          <w:szCs w:val="24"/>
        </w:rPr>
        <w:fldChar w:fldCharType="separate"/>
      </w:r>
    </w:p>
    <w:p w:rsidR="00C678E8" w:rsidRPr="00FD7328" w:rsidRDefault="00565897" w:rsidP="002C4012">
      <w:pPr>
        <w:spacing w:line="480" w:lineRule="auto"/>
        <w:rPr>
          <w:rFonts w:ascii="Calibri" w:hAnsi="Calibri"/>
          <w:color w:val="000000"/>
          <w:sz w:val="24"/>
          <w:szCs w:val="24"/>
        </w:rPr>
      </w:pPr>
      <w:r w:rsidRPr="00FD7328">
        <w:rPr>
          <w:rFonts w:ascii="Calibri" w:hAnsi="Calibri"/>
          <w:color w:val="000000"/>
          <w:sz w:val="24"/>
          <w:szCs w:val="24"/>
        </w:rPr>
        <w:fldChar w:fldCharType="end"/>
      </w:r>
    </w:p>
    <w:p w:rsidR="00C678E8" w:rsidRPr="00FD7328" w:rsidRDefault="00C678E8" w:rsidP="002C4012">
      <w:pPr>
        <w:rPr>
          <w:rFonts w:ascii="Calibri" w:hAnsi="Calibri"/>
        </w:rPr>
      </w:pPr>
    </w:p>
    <w:p w:rsidR="00C678E8" w:rsidRPr="00900254" w:rsidRDefault="00C678E8" w:rsidP="002C4012">
      <w:pPr>
        <w:spacing w:after="0" w:line="480" w:lineRule="auto"/>
        <w:rPr>
          <w:rFonts w:ascii="Calibri" w:hAnsi="Calibri"/>
          <w:b/>
          <w:sz w:val="24"/>
          <w:szCs w:val="24"/>
        </w:rPr>
      </w:pPr>
    </w:p>
    <w:p w:rsidR="00C678E8" w:rsidRPr="00900254" w:rsidRDefault="00C678E8" w:rsidP="00305FD7">
      <w:pPr>
        <w:spacing w:after="0" w:line="240" w:lineRule="auto"/>
        <w:rPr>
          <w:rFonts w:ascii="Calibri" w:hAnsi="Calibri"/>
          <w:b/>
          <w:sz w:val="24"/>
          <w:szCs w:val="24"/>
        </w:rPr>
      </w:pPr>
    </w:p>
    <w:sectPr w:rsidR="00C678E8" w:rsidRPr="00900254" w:rsidSect="00FE7716">
      <w:headerReference w:type="even" r:id="rId30"/>
      <w:headerReference w:type="default" r:id="rId31"/>
      <w:footerReference w:type="even" r:id="rId32"/>
      <w:footerReference w:type="default" r:id="rId33"/>
      <w:headerReference w:type="first" r:id="rId34"/>
      <w:footerReference w:type="first" r:id="rId35"/>
      <w:pgSz w:w="12240" w:h="15840" w:code="9"/>
      <w:pgMar w:top="1440" w:right="1440" w:bottom="1440" w:left="1440"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695C" w:rsidRDefault="0051695C" w:rsidP="00710270">
      <w:pPr>
        <w:spacing w:after="0" w:line="240" w:lineRule="auto"/>
      </w:pPr>
      <w:r>
        <w:separator/>
      </w:r>
    </w:p>
  </w:endnote>
  <w:endnote w:type="continuationSeparator" w:id="0">
    <w:p w:rsidR="0051695C" w:rsidRDefault="0051695C" w:rsidP="00710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Grande">
    <w:altName w:val="Arial"/>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dvbasSN">
    <w:panose1 w:val="00000000000000000000"/>
    <w:charset w:val="00"/>
    <w:family w:val="auto"/>
    <w:notTrueType/>
    <w:pitch w:val="default"/>
    <w:sig w:usb0="00000003" w:usb1="00000000" w:usb2="00000000" w:usb3="00000000" w:csb0="00000001" w:csb1="00000000"/>
  </w:font>
  <w:font w:name="AdvbasSN-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dvPSSAB-R">
    <w:panose1 w:val="00000000000000000000"/>
    <w:charset w:val="00"/>
    <w:family w:val="roman"/>
    <w:notTrueType/>
    <w:pitch w:val="default"/>
    <w:sig w:usb0="00000003" w:usb1="00000000" w:usb2="00000000" w:usb3="00000000" w:csb0="00000001" w:csb1="00000000"/>
  </w:font>
  <w:font w:name="AdvP40798">
    <w:panose1 w:val="00000000000000000000"/>
    <w:charset w:val="00"/>
    <w:family w:val="auto"/>
    <w:notTrueType/>
    <w:pitch w:val="default"/>
    <w:sig w:usb0="00000003" w:usb1="00000000" w:usb2="00000000" w:usb3="00000000" w:csb0="00000001" w:csb1="00000000"/>
  </w:font>
  <w:font w:name="AdvbasSNsb">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8B4" w:rsidRDefault="002008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387" w:rsidRDefault="0051695C">
    <w:pPr>
      <w:pStyle w:val="Footer"/>
      <w:jc w:val="right"/>
    </w:pPr>
    <w:r>
      <w:fldChar w:fldCharType="begin"/>
    </w:r>
    <w:r>
      <w:instrText xml:space="preserve"> PAGE   \* MERGEFORMAT </w:instrText>
    </w:r>
    <w:r>
      <w:fldChar w:fldCharType="separate"/>
    </w:r>
    <w:r w:rsidR="00D515C1">
      <w:rPr>
        <w:noProof/>
      </w:rPr>
      <w:t>1</w:t>
    </w:r>
    <w:r>
      <w:rPr>
        <w:noProof/>
      </w:rPr>
      <w:fldChar w:fldCharType="end"/>
    </w:r>
  </w:p>
  <w:p w:rsidR="00670387" w:rsidRDefault="006703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8B4" w:rsidRDefault="002008B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387" w:rsidRDefault="0067038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387" w:rsidRDefault="0051695C">
    <w:pPr>
      <w:pStyle w:val="Footer"/>
      <w:jc w:val="center"/>
    </w:pPr>
    <w:r>
      <w:fldChar w:fldCharType="begin"/>
    </w:r>
    <w:r>
      <w:instrText xml:space="preserve"> PAGE   \* MERGEFORMAT </w:instrText>
    </w:r>
    <w:r>
      <w:fldChar w:fldCharType="separate"/>
    </w:r>
    <w:r w:rsidR="00D515C1">
      <w:rPr>
        <w:noProof/>
      </w:rPr>
      <w:t>35</w:t>
    </w:r>
    <w:r>
      <w:rPr>
        <w:noProof/>
      </w:rPr>
      <w:fldChar w:fldCharType="end"/>
    </w:r>
  </w:p>
  <w:p w:rsidR="00670387" w:rsidRDefault="0067038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387" w:rsidRDefault="006703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695C" w:rsidRDefault="0051695C" w:rsidP="00710270">
      <w:pPr>
        <w:spacing w:after="0" w:line="240" w:lineRule="auto"/>
      </w:pPr>
      <w:r>
        <w:separator/>
      </w:r>
    </w:p>
  </w:footnote>
  <w:footnote w:type="continuationSeparator" w:id="0">
    <w:p w:rsidR="0051695C" w:rsidRDefault="0051695C" w:rsidP="007102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D4B" w:rsidRDefault="0051695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002626" o:spid="_x0000_s2051" type="#_x0000_t136" style="position:absolute;margin-left:0;margin-top:0;width:511.95pt;height:73.1pt;rotation:315;z-index:-251654144;mso-position-horizontal:center;mso-position-horizontal-relative:margin;mso-position-vertical:center;mso-position-vertical-relative:margin" o:allowincell="f" fillcolor="silver" stroked="f">
          <v:fill opacity=".5"/>
          <v:textpath style="font-family:&quot;Cambria&quot;;font-size:1pt" string="Do not circulat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D4B" w:rsidRDefault="0051695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002627" o:spid="_x0000_s2052" type="#_x0000_t136" style="position:absolute;margin-left:0;margin-top:0;width:511.95pt;height:73.1pt;rotation:315;z-index:-251652096;mso-position-horizontal:center;mso-position-horizontal-relative:margin;mso-position-vertical:center;mso-position-vertical-relative:margin" o:allowincell="f" fillcolor="silver" stroked="f">
          <v:fill opacity=".5"/>
          <v:textpath style="font-family:&quot;Cambria&quot;;font-size:1pt" string="Do not circulate"/>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D4B" w:rsidRDefault="0051695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002625" o:spid="_x0000_s2050" type="#_x0000_t136" style="position:absolute;margin-left:0;margin-top:0;width:511.95pt;height:73.1pt;rotation:315;z-index:-251656192;mso-position-horizontal:center;mso-position-horizontal-relative:margin;mso-position-vertical:center;mso-position-vertical-relative:margin" o:allowincell="f" fillcolor="silver" stroked="f">
          <v:fill opacity=".5"/>
          <v:textpath style="font-family:&quot;Cambria&quot;;font-size:1pt" string="Do not circulate"/>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387" w:rsidRDefault="0051695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002629" o:spid="_x0000_s2054" type="#_x0000_t136" style="position:absolute;margin-left:0;margin-top:0;width:511.95pt;height:73.1pt;rotation:315;z-index:-251648000;mso-position-horizontal:center;mso-position-horizontal-relative:margin;mso-position-vertical:center;mso-position-vertical-relative:margin" o:allowincell="f" fillcolor="silver" stroked="f">
          <v:fill opacity=".5"/>
          <v:textpath style="font-family:&quot;Cambria&quot;;font-size:1pt" string="Do not circulate"/>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387" w:rsidRDefault="0051695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002630" o:spid="_x0000_s2055" type="#_x0000_t136" style="position:absolute;margin-left:0;margin-top:0;width:511.95pt;height:73.1pt;rotation:315;z-index:-251645952;mso-position-horizontal:center;mso-position-horizontal-relative:margin;mso-position-vertical:center;mso-position-vertical-relative:margin" o:allowincell="f" fillcolor="silver" stroked="f">
          <v:fill opacity=".5"/>
          <v:textpath style="font-family:&quot;Cambria&quot;;font-size:1pt" string="Do not circulate"/>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387" w:rsidRDefault="0051695C">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002628" o:spid="_x0000_s2053" type="#_x0000_t136" style="position:absolute;margin-left:0;margin-top:0;width:511.95pt;height:73.1pt;rotation:315;z-index:-251650048;mso-position-horizontal:center;mso-position-horizontal-relative:margin;mso-position-vertical:center;mso-position-vertical-relative:margin" o:allowincell="f" fillcolor="silver" stroked="f">
          <v:fill opacity=".5"/>
          <v:textpath style="font-family:&quot;Cambria&quot;;font-size:1pt" string="Do not circulat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D276FB"/>
    <w:multiLevelType w:val="hybridMultilevel"/>
    <w:tmpl w:val="BCE04E20"/>
    <w:lvl w:ilvl="0" w:tplc="51489932">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1">
    <w:nsid w:val="316C2744"/>
    <w:multiLevelType w:val="hybridMultilevel"/>
    <w:tmpl w:val="BCE04E20"/>
    <w:lvl w:ilvl="0" w:tplc="51489932">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2">
    <w:nsid w:val="4C8602A3"/>
    <w:multiLevelType w:val="hybridMultilevel"/>
    <w:tmpl w:val="AF725170"/>
    <w:lvl w:ilvl="0" w:tplc="18090011">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3">
    <w:nsid w:val="4D4B7E01"/>
    <w:multiLevelType w:val="hybridMultilevel"/>
    <w:tmpl w:val="AF725170"/>
    <w:lvl w:ilvl="0" w:tplc="18090011">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4">
    <w:nsid w:val="50C73923"/>
    <w:multiLevelType w:val="hybridMultilevel"/>
    <w:tmpl w:val="BCE04E20"/>
    <w:lvl w:ilvl="0" w:tplc="51489932">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5">
    <w:nsid w:val="5BBE60A2"/>
    <w:multiLevelType w:val="hybridMultilevel"/>
    <w:tmpl w:val="6B6EC37A"/>
    <w:lvl w:ilvl="0" w:tplc="1809000F">
      <w:start w:val="1"/>
      <w:numFmt w:val="decimal"/>
      <w:lvlText w:val="%1."/>
      <w:lvlJc w:val="left"/>
      <w:pPr>
        <w:ind w:left="720" w:hanging="360"/>
      </w:pPr>
      <w:rPr>
        <w:rFonts w:cs="Times New Roman" w:hint="default"/>
      </w:rPr>
    </w:lvl>
    <w:lvl w:ilvl="1" w:tplc="18090019">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num w:numId="1">
    <w:abstractNumId w:val="0"/>
  </w:num>
  <w:num w:numId="2">
    <w:abstractNumId w:val="4"/>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7068B"/>
    <w:rsid w:val="0000178F"/>
    <w:rsid w:val="000342D8"/>
    <w:rsid w:val="000343AC"/>
    <w:rsid w:val="0003522E"/>
    <w:rsid w:val="00035898"/>
    <w:rsid w:val="000374EF"/>
    <w:rsid w:val="00040ECD"/>
    <w:rsid w:val="00041DDF"/>
    <w:rsid w:val="00042406"/>
    <w:rsid w:val="000547B2"/>
    <w:rsid w:val="00055451"/>
    <w:rsid w:val="000556FF"/>
    <w:rsid w:val="0006174C"/>
    <w:rsid w:val="000720E3"/>
    <w:rsid w:val="00081D9A"/>
    <w:rsid w:val="00083819"/>
    <w:rsid w:val="00085F6D"/>
    <w:rsid w:val="000861BA"/>
    <w:rsid w:val="000863EC"/>
    <w:rsid w:val="00087F10"/>
    <w:rsid w:val="00094A5C"/>
    <w:rsid w:val="000A24E9"/>
    <w:rsid w:val="000A42CC"/>
    <w:rsid w:val="000A4808"/>
    <w:rsid w:val="000B0AAA"/>
    <w:rsid w:val="000D1DD0"/>
    <w:rsid w:val="000F20BA"/>
    <w:rsid w:val="001030C8"/>
    <w:rsid w:val="00105722"/>
    <w:rsid w:val="001106A8"/>
    <w:rsid w:val="00115C67"/>
    <w:rsid w:val="00120727"/>
    <w:rsid w:val="00121F4B"/>
    <w:rsid w:val="00133105"/>
    <w:rsid w:val="00135D6D"/>
    <w:rsid w:val="001368B0"/>
    <w:rsid w:val="0015162F"/>
    <w:rsid w:val="00155B43"/>
    <w:rsid w:val="00157259"/>
    <w:rsid w:val="00162A20"/>
    <w:rsid w:val="00165487"/>
    <w:rsid w:val="00165726"/>
    <w:rsid w:val="00170405"/>
    <w:rsid w:val="00172963"/>
    <w:rsid w:val="0017550C"/>
    <w:rsid w:val="00184394"/>
    <w:rsid w:val="00192EB0"/>
    <w:rsid w:val="00195B23"/>
    <w:rsid w:val="001B31EA"/>
    <w:rsid w:val="001B746A"/>
    <w:rsid w:val="001C1D4B"/>
    <w:rsid w:val="001D21F8"/>
    <w:rsid w:val="001D5D14"/>
    <w:rsid w:val="001E4763"/>
    <w:rsid w:val="001E6516"/>
    <w:rsid w:val="001F4C1E"/>
    <w:rsid w:val="001F616E"/>
    <w:rsid w:val="002008B4"/>
    <w:rsid w:val="00200B7C"/>
    <w:rsid w:val="00205F5C"/>
    <w:rsid w:val="00210110"/>
    <w:rsid w:val="002135D6"/>
    <w:rsid w:val="00215296"/>
    <w:rsid w:val="00216625"/>
    <w:rsid w:val="00221036"/>
    <w:rsid w:val="00224C37"/>
    <w:rsid w:val="002313BE"/>
    <w:rsid w:val="00252E42"/>
    <w:rsid w:val="00252FDF"/>
    <w:rsid w:val="002560DE"/>
    <w:rsid w:val="0025675C"/>
    <w:rsid w:val="002703AD"/>
    <w:rsid w:val="00273023"/>
    <w:rsid w:val="00281668"/>
    <w:rsid w:val="0028354A"/>
    <w:rsid w:val="002917C1"/>
    <w:rsid w:val="00292ABB"/>
    <w:rsid w:val="00294AAC"/>
    <w:rsid w:val="002A34A1"/>
    <w:rsid w:val="002A4CF3"/>
    <w:rsid w:val="002A630C"/>
    <w:rsid w:val="002A7960"/>
    <w:rsid w:val="002B5B94"/>
    <w:rsid w:val="002C3F06"/>
    <w:rsid w:val="002C4012"/>
    <w:rsid w:val="002C607D"/>
    <w:rsid w:val="002C79D3"/>
    <w:rsid w:val="002D0C18"/>
    <w:rsid w:val="002E13F6"/>
    <w:rsid w:val="002E146E"/>
    <w:rsid w:val="002F5B59"/>
    <w:rsid w:val="002F7EA1"/>
    <w:rsid w:val="00300130"/>
    <w:rsid w:val="00303ED5"/>
    <w:rsid w:val="00305FD7"/>
    <w:rsid w:val="00310CAA"/>
    <w:rsid w:val="003214E9"/>
    <w:rsid w:val="003231C9"/>
    <w:rsid w:val="003254D1"/>
    <w:rsid w:val="003265FC"/>
    <w:rsid w:val="00326F10"/>
    <w:rsid w:val="00330CAE"/>
    <w:rsid w:val="0033267C"/>
    <w:rsid w:val="003328C7"/>
    <w:rsid w:val="00334FCE"/>
    <w:rsid w:val="00335BE9"/>
    <w:rsid w:val="0033674B"/>
    <w:rsid w:val="00337DC4"/>
    <w:rsid w:val="003452C4"/>
    <w:rsid w:val="0034531F"/>
    <w:rsid w:val="00346AAD"/>
    <w:rsid w:val="00351162"/>
    <w:rsid w:val="00364FC3"/>
    <w:rsid w:val="00365A1C"/>
    <w:rsid w:val="003779FD"/>
    <w:rsid w:val="00381712"/>
    <w:rsid w:val="0038287B"/>
    <w:rsid w:val="00383B51"/>
    <w:rsid w:val="00386C56"/>
    <w:rsid w:val="00387EA7"/>
    <w:rsid w:val="00390DD9"/>
    <w:rsid w:val="00392C0C"/>
    <w:rsid w:val="00394688"/>
    <w:rsid w:val="00396A20"/>
    <w:rsid w:val="00396EF2"/>
    <w:rsid w:val="003A3419"/>
    <w:rsid w:val="003C300E"/>
    <w:rsid w:val="003C448D"/>
    <w:rsid w:val="003C7C30"/>
    <w:rsid w:val="003E2244"/>
    <w:rsid w:val="003E2D63"/>
    <w:rsid w:val="003E36AC"/>
    <w:rsid w:val="003E5A1A"/>
    <w:rsid w:val="003E5E0F"/>
    <w:rsid w:val="003F3B5F"/>
    <w:rsid w:val="003F49F5"/>
    <w:rsid w:val="003F6D83"/>
    <w:rsid w:val="0040239D"/>
    <w:rsid w:val="00413633"/>
    <w:rsid w:val="00413C22"/>
    <w:rsid w:val="00416D0D"/>
    <w:rsid w:val="00421002"/>
    <w:rsid w:val="00423194"/>
    <w:rsid w:val="004238B5"/>
    <w:rsid w:val="00436E4F"/>
    <w:rsid w:val="004376DF"/>
    <w:rsid w:val="00440107"/>
    <w:rsid w:val="004422D1"/>
    <w:rsid w:val="004469B3"/>
    <w:rsid w:val="0045025B"/>
    <w:rsid w:val="00455359"/>
    <w:rsid w:val="00456D53"/>
    <w:rsid w:val="00460022"/>
    <w:rsid w:val="0046696E"/>
    <w:rsid w:val="00472087"/>
    <w:rsid w:val="0047762A"/>
    <w:rsid w:val="00483073"/>
    <w:rsid w:val="00490897"/>
    <w:rsid w:val="004960CD"/>
    <w:rsid w:val="004A4B3E"/>
    <w:rsid w:val="004A6F7C"/>
    <w:rsid w:val="004B33E7"/>
    <w:rsid w:val="004B50C8"/>
    <w:rsid w:val="004C0552"/>
    <w:rsid w:val="004C1568"/>
    <w:rsid w:val="004D1E8C"/>
    <w:rsid w:val="004D7D55"/>
    <w:rsid w:val="004E3ED5"/>
    <w:rsid w:val="004E6950"/>
    <w:rsid w:val="004F3039"/>
    <w:rsid w:val="004F557F"/>
    <w:rsid w:val="004F64A7"/>
    <w:rsid w:val="004F738A"/>
    <w:rsid w:val="004F7DA6"/>
    <w:rsid w:val="00507BAC"/>
    <w:rsid w:val="00510D78"/>
    <w:rsid w:val="00511A3F"/>
    <w:rsid w:val="005146A7"/>
    <w:rsid w:val="0051695C"/>
    <w:rsid w:val="005169E6"/>
    <w:rsid w:val="005171B0"/>
    <w:rsid w:val="005269AA"/>
    <w:rsid w:val="00531EFF"/>
    <w:rsid w:val="0053210A"/>
    <w:rsid w:val="00532D45"/>
    <w:rsid w:val="0054108D"/>
    <w:rsid w:val="00552E5A"/>
    <w:rsid w:val="0056064A"/>
    <w:rsid w:val="005629F2"/>
    <w:rsid w:val="00563609"/>
    <w:rsid w:val="00565897"/>
    <w:rsid w:val="00570BF6"/>
    <w:rsid w:val="00575101"/>
    <w:rsid w:val="005801BF"/>
    <w:rsid w:val="0058266C"/>
    <w:rsid w:val="00583BC9"/>
    <w:rsid w:val="005847FB"/>
    <w:rsid w:val="00584E4D"/>
    <w:rsid w:val="005928D7"/>
    <w:rsid w:val="0059555F"/>
    <w:rsid w:val="00597717"/>
    <w:rsid w:val="005A0F62"/>
    <w:rsid w:val="005B0895"/>
    <w:rsid w:val="005B0AC5"/>
    <w:rsid w:val="005C317B"/>
    <w:rsid w:val="005D01FE"/>
    <w:rsid w:val="005D50A0"/>
    <w:rsid w:val="005D54DF"/>
    <w:rsid w:val="005D739F"/>
    <w:rsid w:val="005E1D44"/>
    <w:rsid w:val="005E57D0"/>
    <w:rsid w:val="005F554C"/>
    <w:rsid w:val="0060608C"/>
    <w:rsid w:val="006078AA"/>
    <w:rsid w:val="00612FFC"/>
    <w:rsid w:val="00630941"/>
    <w:rsid w:val="006356A2"/>
    <w:rsid w:val="00640DDF"/>
    <w:rsid w:val="00644C40"/>
    <w:rsid w:val="006559D3"/>
    <w:rsid w:val="006614CB"/>
    <w:rsid w:val="00670387"/>
    <w:rsid w:val="006722BC"/>
    <w:rsid w:val="00672596"/>
    <w:rsid w:val="006736B1"/>
    <w:rsid w:val="006814FC"/>
    <w:rsid w:val="0068279C"/>
    <w:rsid w:val="006925F6"/>
    <w:rsid w:val="00693A22"/>
    <w:rsid w:val="006A258D"/>
    <w:rsid w:val="006A26AD"/>
    <w:rsid w:val="006A2E27"/>
    <w:rsid w:val="006D2333"/>
    <w:rsid w:val="006D79DA"/>
    <w:rsid w:val="006F4C54"/>
    <w:rsid w:val="006F6CF7"/>
    <w:rsid w:val="006F6E4D"/>
    <w:rsid w:val="006F7684"/>
    <w:rsid w:val="00703FA2"/>
    <w:rsid w:val="00710270"/>
    <w:rsid w:val="00710DBA"/>
    <w:rsid w:val="007141C8"/>
    <w:rsid w:val="007148D5"/>
    <w:rsid w:val="00723DB1"/>
    <w:rsid w:val="0074386B"/>
    <w:rsid w:val="00752B87"/>
    <w:rsid w:val="007603BB"/>
    <w:rsid w:val="00761DE0"/>
    <w:rsid w:val="00762053"/>
    <w:rsid w:val="0076549A"/>
    <w:rsid w:val="00770D39"/>
    <w:rsid w:val="0077365C"/>
    <w:rsid w:val="0077366E"/>
    <w:rsid w:val="00773A3A"/>
    <w:rsid w:val="00773E61"/>
    <w:rsid w:val="00792FFC"/>
    <w:rsid w:val="007976BF"/>
    <w:rsid w:val="007A0FD9"/>
    <w:rsid w:val="007A119D"/>
    <w:rsid w:val="007A3A1C"/>
    <w:rsid w:val="007B5BE6"/>
    <w:rsid w:val="007B725D"/>
    <w:rsid w:val="007D1BDD"/>
    <w:rsid w:val="007E1E2E"/>
    <w:rsid w:val="007E21BE"/>
    <w:rsid w:val="007E4519"/>
    <w:rsid w:val="00807B42"/>
    <w:rsid w:val="00812B35"/>
    <w:rsid w:val="00820F3B"/>
    <w:rsid w:val="00824CF0"/>
    <w:rsid w:val="008264F8"/>
    <w:rsid w:val="008269CE"/>
    <w:rsid w:val="008320B3"/>
    <w:rsid w:val="008409B2"/>
    <w:rsid w:val="00841406"/>
    <w:rsid w:val="00850450"/>
    <w:rsid w:val="00860355"/>
    <w:rsid w:val="00862C37"/>
    <w:rsid w:val="00862D08"/>
    <w:rsid w:val="00866790"/>
    <w:rsid w:val="00872CC6"/>
    <w:rsid w:val="00874CD7"/>
    <w:rsid w:val="00882634"/>
    <w:rsid w:val="00893684"/>
    <w:rsid w:val="008A00E1"/>
    <w:rsid w:val="008A332C"/>
    <w:rsid w:val="008A4290"/>
    <w:rsid w:val="008B5FBC"/>
    <w:rsid w:val="008B6D9D"/>
    <w:rsid w:val="008C1B65"/>
    <w:rsid w:val="008D2B38"/>
    <w:rsid w:val="008D3BC5"/>
    <w:rsid w:val="008D4D75"/>
    <w:rsid w:val="008E3A28"/>
    <w:rsid w:val="008E3FFC"/>
    <w:rsid w:val="008E57E3"/>
    <w:rsid w:val="008E63E7"/>
    <w:rsid w:val="008F2C45"/>
    <w:rsid w:val="008F3F29"/>
    <w:rsid w:val="00900254"/>
    <w:rsid w:val="009131FC"/>
    <w:rsid w:val="009140FB"/>
    <w:rsid w:val="00914BF4"/>
    <w:rsid w:val="0092191C"/>
    <w:rsid w:val="00922F21"/>
    <w:rsid w:val="0093058D"/>
    <w:rsid w:val="0093720E"/>
    <w:rsid w:val="009446C8"/>
    <w:rsid w:val="0094530A"/>
    <w:rsid w:val="00954A12"/>
    <w:rsid w:val="00955B7B"/>
    <w:rsid w:val="00956988"/>
    <w:rsid w:val="00957ACB"/>
    <w:rsid w:val="0097006A"/>
    <w:rsid w:val="00971946"/>
    <w:rsid w:val="009737F1"/>
    <w:rsid w:val="00976C99"/>
    <w:rsid w:val="00982CD5"/>
    <w:rsid w:val="00985DBD"/>
    <w:rsid w:val="00991C6D"/>
    <w:rsid w:val="00991CD8"/>
    <w:rsid w:val="009A407D"/>
    <w:rsid w:val="009A5A62"/>
    <w:rsid w:val="009B2404"/>
    <w:rsid w:val="009C29A5"/>
    <w:rsid w:val="009C339A"/>
    <w:rsid w:val="009C463E"/>
    <w:rsid w:val="009D1BDC"/>
    <w:rsid w:val="009D315D"/>
    <w:rsid w:val="009E3BE7"/>
    <w:rsid w:val="009F0B22"/>
    <w:rsid w:val="009F22EC"/>
    <w:rsid w:val="009F2A85"/>
    <w:rsid w:val="009F664A"/>
    <w:rsid w:val="00A02066"/>
    <w:rsid w:val="00A03616"/>
    <w:rsid w:val="00A037D4"/>
    <w:rsid w:val="00A07942"/>
    <w:rsid w:val="00A10CE6"/>
    <w:rsid w:val="00A13363"/>
    <w:rsid w:val="00A275CC"/>
    <w:rsid w:val="00A30BDD"/>
    <w:rsid w:val="00A53748"/>
    <w:rsid w:val="00A565C1"/>
    <w:rsid w:val="00A62D52"/>
    <w:rsid w:val="00A6418F"/>
    <w:rsid w:val="00A700E3"/>
    <w:rsid w:val="00A7199F"/>
    <w:rsid w:val="00A8580F"/>
    <w:rsid w:val="00A945CB"/>
    <w:rsid w:val="00AA0365"/>
    <w:rsid w:val="00AA6DBD"/>
    <w:rsid w:val="00AD27F1"/>
    <w:rsid w:val="00AE2340"/>
    <w:rsid w:val="00B03499"/>
    <w:rsid w:val="00B170AC"/>
    <w:rsid w:val="00B236E2"/>
    <w:rsid w:val="00B238B6"/>
    <w:rsid w:val="00B5188E"/>
    <w:rsid w:val="00B52E3F"/>
    <w:rsid w:val="00B540E7"/>
    <w:rsid w:val="00B550AB"/>
    <w:rsid w:val="00B645EE"/>
    <w:rsid w:val="00B7068B"/>
    <w:rsid w:val="00B83EF4"/>
    <w:rsid w:val="00B90C5D"/>
    <w:rsid w:val="00B90D73"/>
    <w:rsid w:val="00B956A4"/>
    <w:rsid w:val="00B96EE3"/>
    <w:rsid w:val="00BA02A9"/>
    <w:rsid w:val="00BA26B1"/>
    <w:rsid w:val="00BA379A"/>
    <w:rsid w:val="00BB12DF"/>
    <w:rsid w:val="00BB1825"/>
    <w:rsid w:val="00BB27B0"/>
    <w:rsid w:val="00BB4D6D"/>
    <w:rsid w:val="00BB5EF7"/>
    <w:rsid w:val="00BB6B40"/>
    <w:rsid w:val="00BB71C1"/>
    <w:rsid w:val="00BC5EC6"/>
    <w:rsid w:val="00BD7854"/>
    <w:rsid w:val="00BF7A44"/>
    <w:rsid w:val="00C01CB4"/>
    <w:rsid w:val="00C07AD2"/>
    <w:rsid w:val="00C16BC6"/>
    <w:rsid w:val="00C17E11"/>
    <w:rsid w:val="00C2399E"/>
    <w:rsid w:val="00C34482"/>
    <w:rsid w:val="00C36E4C"/>
    <w:rsid w:val="00C44C1B"/>
    <w:rsid w:val="00C4582B"/>
    <w:rsid w:val="00C46067"/>
    <w:rsid w:val="00C4616D"/>
    <w:rsid w:val="00C47BF9"/>
    <w:rsid w:val="00C56925"/>
    <w:rsid w:val="00C64C19"/>
    <w:rsid w:val="00C678E8"/>
    <w:rsid w:val="00C742B9"/>
    <w:rsid w:val="00C87E52"/>
    <w:rsid w:val="00C907A2"/>
    <w:rsid w:val="00C91B58"/>
    <w:rsid w:val="00C92993"/>
    <w:rsid w:val="00C96033"/>
    <w:rsid w:val="00CA094D"/>
    <w:rsid w:val="00CA0A19"/>
    <w:rsid w:val="00CA1C4B"/>
    <w:rsid w:val="00CA27F0"/>
    <w:rsid w:val="00CA2A4F"/>
    <w:rsid w:val="00CB09BB"/>
    <w:rsid w:val="00CB62FB"/>
    <w:rsid w:val="00CC39F0"/>
    <w:rsid w:val="00CC3F6C"/>
    <w:rsid w:val="00CD3EBD"/>
    <w:rsid w:val="00CD7963"/>
    <w:rsid w:val="00CE51DA"/>
    <w:rsid w:val="00CF47C0"/>
    <w:rsid w:val="00D02859"/>
    <w:rsid w:val="00D035A9"/>
    <w:rsid w:val="00D035FE"/>
    <w:rsid w:val="00D036AF"/>
    <w:rsid w:val="00D062D7"/>
    <w:rsid w:val="00D16B37"/>
    <w:rsid w:val="00D16C1F"/>
    <w:rsid w:val="00D271F5"/>
    <w:rsid w:val="00D27624"/>
    <w:rsid w:val="00D36312"/>
    <w:rsid w:val="00D37356"/>
    <w:rsid w:val="00D515C1"/>
    <w:rsid w:val="00D522D6"/>
    <w:rsid w:val="00D53687"/>
    <w:rsid w:val="00D62F7D"/>
    <w:rsid w:val="00D6658B"/>
    <w:rsid w:val="00D66A43"/>
    <w:rsid w:val="00D679E1"/>
    <w:rsid w:val="00D7168D"/>
    <w:rsid w:val="00D72FB6"/>
    <w:rsid w:val="00D83936"/>
    <w:rsid w:val="00DA4446"/>
    <w:rsid w:val="00DA633B"/>
    <w:rsid w:val="00DA6F01"/>
    <w:rsid w:val="00DC2337"/>
    <w:rsid w:val="00DD3252"/>
    <w:rsid w:val="00DD387F"/>
    <w:rsid w:val="00DE0464"/>
    <w:rsid w:val="00DE1D6F"/>
    <w:rsid w:val="00E059C1"/>
    <w:rsid w:val="00E07269"/>
    <w:rsid w:val="00E168AD"/>
    <w:rsid w:val="00E17F06"/>
    <w:rsid w:val="00E23949"/>
    <w:rsid w:val="00E4090D"/>
    <w:rsid w:val="00E4634A"/>
    <w:rsid w:val="00E5157D"/>
    <w:rsid w:val="00E60728"/>
    <w:rsid w:val="00E73E30"/>
    <w:rsid w:val="00E74C55"/>
    <w:rsid w:val="00E764B9"/>
    <w:rsid w:val="00E76D3F"/>
    <w:rsid w:val="00E942F4"/>
    <w:rsid w:val="00EA00FA"/>
    <w:rsid w:val="00EA08D6"/>
    <w:rsid w:val="00EA5832"/>
    <w:rsid w:val="00EB218E"/>
    <w:rsid w:val="00ED21E1"/>
    <w:rsid w:val="00ED47F9"/>
    <w:rsid w:val="00ED544A"/>
    <w:rsid w:val="00EE4EF7"/>
    <w:rsid w:val="00EF3A3A"/>
    <w:rsid w:val="00F04466"/>
    <w:rsid w:val="00F16052"/>
    <w:rsid w:val="00F16B7E"/>
    <w:rsid w:val="00F20BBF"/>
    <w:rsid w:val="00F214B7"/>
    <w:rsid w:val="00F27E7E"/>
    <w:rsid w:val="00F3084E"/>
    <w:rsid w:val="00F336F2"/>
    <w:rsid w:val="00F35F97"/>
    <w:rsid w:val="00F363E4"/>
    <w:rsid w:val="00F415EA"/>
    <w:rsid w:val="00F43270"/>
    <w:rsid w:val="00F47050"/>
    <w:rsid w:val="00F52E9F"/>
    <w:rsid w:val="00F537EB"/>
    <w:rsid w:val="00F54A21"/>
    <w:rsid w:val="00F56CA8"/>
    <w:rsid w:val="00F61B2C"/>
    <w:rsid w:val="00F67749"/>
    <w:rsid w:val="00F75CE6"/>
    <w:rsid w:val="00F851A4"/>
    <w:rsid w:val="00F85A8E"/>
    <w:rsid w:val="00FB171B"/>
    <w:rsid w:val="00FB2F4C"/>
    <w:rsid w:val="00FB474B"/>
    <w:rsid w:val="00FB6474"/>
    <w:rsid w:val="00FB6558"/>
    <w:rsid w:val="00FC0376"/>
    <w:rsid w:val="00FC142D"/>
    <w:rsid w:val="00FC4B3D"/>
    <w:rsid w:val="00FD5E12"/>
    <w:rsid w:val="00FD6503"/>
    <w:rsid w:val="00FD6AEF"/>
    <w:rsid w:val="00FD7328"/>
    <w:rsid w:val="00FD7BB0"/>
    <w:rsid w:val="00FE1149"/>
    <w:rsid w:val="00FE4BA2"/>
    <w:rsid w:val="00FE6965"/>
    <w:rsid w:val="00FE7716"/>
    <w:rsid w:val="00FF5A6F"/>
    <w:rsid w:val="00FF5F4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libri" w:hAnsi="Cambria" w:cs="Times New Roman"/>
        <w:sz w:val="22"/>
        <w:szCs w:val="22"/>
        <w:lang w:val="en-US" w:eastAsia="ja-JP"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B7068B"/>
    <w:pPr>
      <w:spacing w:after="200" w:line="276" w:lineRule="auto"/>
    </w:pPr>
    <w:rPr>
      <w:rFonts w:eastAsia="Times New Roman"/>
      <w:lang w:val="en-IE" w:eastAsia="en-US"/>
    </w:rPr>
  </w:style>
  <w:style w:type="paragraph" w:styleId="Heading1">
    <w:name w:val="heading 1"/>
    <w:basedOn w:val="Normal"/>
    <w:next w:val="Normal"/>
    <w:link w:val="Heading1Char"/>
    <w:uiPriority w:val="99"/>
    <w:qFormat/>
    <w:rsid w:val="005146A7"/>
    <w:pPr>
      <w:spacing w:before="480" w:after="0"/>
      <w:contextualSpacing/>
      <w:outlineLvl w:val="0"/>
    </w:pPr>
    <w:rPr>
      <w:rFonts w:eastAsia="Calibri"/>
      <w:smallCaps/>
      <w:spacing w:val="5"/>
      <w:sz w:val="36"/>
      <w:szCs w:val="36"/>
      <w:lang w:val="en-US"/>
    </w:rPr>
  </w:style>
  <w:style w:type="paragraph" w:styleId="Heading2">
    <w:name w:val="heading 2"/>
    <w:basedOn w:val="Normal"/>
    <w:next w:val="Normal"/>
    <w:link w:val="Heading2Char"/>
    <w:uiPriority w:val="99"/>
    <w:qFormat/>
    <w:rsid w:val="005146A7"/>
    <w:pPr>
      <w:spacing w:before="200" w:after="0" w:line="271" w:lineRule="auto"/>
      <w:outlineLvl w:val="1"/>
    </w:pPr>
    <w:rPr>
      <w:rFonts w:eastAsia="Calibri"/>
      <w:smallCaps/>
      <w:sz w:val="28"/>
      <w:szCs w:val="28"/>
      <w:lang w:val="en-US"/>
    </w:rPr>
  </w:style>
  <w:style w:type="paragraph" w:styleId="Heading3">
    <w:name w:val="heading 3"/>
    <w:basedOn w:val="Normal"/>
    <w:next w:val="Normal"/>
    <w:link w:val="Heading3Char"/>
    <w:uiPriority w:val="99"/>
    <w:qFormat/>
    <w:rsid w:val="005146A7"/>
    <w:pPr>
      <w:spacing w:before="200" w:after="0" w:line="271" w:lineRule="auto"/>
      <w:outlineLvl w:val="2"/>
    </w:pPr>
    <w:rPr>
      <w:rFonts w:eastAsia="Calibri"/>
      <w:i/>
      <w:iCs/>
      <w:smallCaps/>
      <w:spacing w:val="5"/>
      <w:sz w:val="26"/>
      <w:szCs w:val="26"/>
      <w:lang w:val="en-US"/>
    </w:rPr>
  </w:style>
  <w:style w:type="paragraph" w:styleId="Heading4">
    <w:name w:val="heading 4"/>
    <w:basedOn w:val="Normal"/>
    <w:next w:val="Normal"/>
    <w:link w:val="Heading4Char"/>
    <w:uiPriority w:val="99"/>
    <w:qFormat/>
    <w:rsid w:val="005146A7"/>
    <w:pPr>
      <w:spacing w:after="0" w:line="271" w:lineRule="auto"/>
      <w:outlineLvl w:val="3"/>
    </w:pPr>
    <w:rPr>
      <w:rFonts w:eastAsia="Calibri"/>
      <w:b/>
      <w:bCs/>
      <w:spacing w:val="5"/>
      <w:sz w:val="24"/>
      <w:szCs w:val="24"/>
      <w:lang w:val="en-US"/>
    </w:rPr>
  </w:style>
  <w:style w:type="paragraph" w:styleId="Heading5">
    <w:name w:val="heading 5"/>
    <w:basedOn w:val="Normal"/>
    <w:next w:val="Normal"/>
    <w:link w:val="Heading5Char"/>
    <w:uiPriority w:val="99"/>
    <w:qFormat/>
    <w:rsid w:val="005146A7"/>
    <w:pPr>
      <w:spacing w:after="0" w:line="271" w:lineRule="auto"/>
      <w:outlineLvl w:val="4"/>
    </w:pPr>
    <w:rPr>
      <w:rFonts w:eastAsia="Calibri"/>
      <w:i/>
      <w:iCs/>
      <w:sz w:val="24"/>
      <w:szCs w:val="24"/>
      <w:lang w:val="en-US"/>
    </w:rPr>
  </w:style>
  <w:style w:type="paragraph" w:styleId="Heading6">
    <w:name w:val="heading 6"/>
    <w:basedOn w:val="Normal"/>
    <w:next w:val="Normal"/>
    <w:link w:val="Heading6Char"/>
    <w:uiPriority w:val="99"/>
    <w:qFormat/>
    <w:rsid w:val="005146A7"/>
    <w:pPr>
      <w:shd w:val="clear" w:color="auto" w:fill="FFFFFF"/>
      <w:spacing w:after="0" w:line="271" w:lineRule="auto"/>
      <w:outlineLvl w:val="5"/>
    </w:pPr>
    <w:rPr>
      <w:rFonts w:eastAsia="Calibri"/>
      <w:b/>
      <w:bCs/>
      <w:color w:val="595959"/>
      <w:spacing w:val="5"/>
      <w:sz w:val="20"/>
      <w:szCs w:val="20"/>
      <w:lang w:val="en-US"/>
    </w:rPr>
  </w:style>
  <w:style w:type="paragraph" w:styleId="Heading7">
    <w:name w:val="heading 7"/>
    <w:basedOn w:val="Normal"/>
    <w:next w:val="Normal"/>
    <w:link w:val="Heading7Char"/>
    <w:uiPriority w:val="99"/>
    <w:qFormat/>
    <w:rsid w:val="005146A7"/>
    <w:pPr>
      <w:spacing w:after="0"/>
      <w:outlineLvl w:val="6"/>
    </w:pPr>
    <w:rPr>
      <w:rFonts w:eastAsia="Calibri"/>
      <w:b/>
      <w:bCs/>
      <w:i/>
      <w:iCs/>
      <w:color w:val="5A5A5A"/>
      <w:sz w:val="20"/>
      <w:szCs w:val="20"/>
      <w:lang w:val="en-US"/>
    </w:rPr>
  </w:style>
  <w:style w:type="paragraph" w:styleId="Heading8">
    <w:name w:val="heading 8"/>
    <w:basedOn w:val="Normal"/>
    <w:next w:val="Normal"/>
    <w:link w:val="Heading8Char"/>
    <w:uiPriority w:val="99"/>
    <w:qFormat/>
    <w:rsid w:val="005146A7"/>
    <w:pPr>
      <w:spacing w:after="0"/>
      <w:outlineLvl w:val="7"/>
    </w:pPr>
    <w:rPr>
      <w:rFonts w:eastAsia="Calibri"/>
      <w:b/>
      <w:bCs/>
      <w:color w:val="7F7F7F"/>
      <w:sz w:val="20"/>
      <w:szCs w:val="20"/>
      <w:lang w:val="en-US"/>
    </w:rPr>
  </w:style>
  <w:style w:type="paragraph" w:styleId="Heading9">
    <w:name w:val="heading 9"/>
    <w:basedOn w:val="Normal"/>
    <w:next w:val="Normal"/>
    <w:link w:val="Heading9Char"/>
    <w:uiPriority w:val="99"/>
    <w:qFormat/>
    <w:rsid w:val="005146A7"/>
    <w:pPr>
      <w:spacing w:after="0" w:line="271" w:lineRule="auto"/>
      <w:outlineLvl w:val="8"/>
    </w:pPr>
    <w:rPr>
      <w:rFonts w:eastAsia="Calibri"/>
      <w:b/>
      <w:bCs/>
      <w:i/>
      <w:iCs/>
      <w:color w:val="7F7F7F"/>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146A7"/>
    <w:rPr>
      <w:rFonts w:cs="Times New Roman"/>
      <w:smallCaps/>
      <w:spacing w:val="5"/>
      <w:sz w:val="36"/>
    </w:rPr>
  </w:style>
  <w:style w:type="character" w:customStyle="1" w:styleId="Heading2Char">
    <w:name w:val="Heading 2 Char"/>
    <w:basedOn w:val="DefaultParagraphFont"/>
    <w:link w:val="Heading2"/>
    <w:uiPriority w:val="99"/>
    <w:locked/>
    <w:rsid w:val="005146A7"/>
    <w:rPr>
      <w:rFonts w:cs="Times New Roman"/>
      <w:smallCaps/>
      <w:sz w:val="28"/>
    </w:rPr>
  </w:style>
  <w:style w:type="character" w:customStyle="1" w:styleId="Heading3Char">
    <w:name w:val="Heading 3 Char"/>
    <w:basedOn w:val="DefaultParagraphFont"/>
    <w:link w:val="Heading3"/>
    <w:uiPriority w:val="99"/>
    <w:locked/>
    <w:rsid w:val="005146A7"/>
    <w:rPr>
      <w:rFonts w:cs="Times New Roman"/>
      <w:i/>
      <w:smallCaps/>
      <w:spacing w:val="5"/>
      <w:sz w:val="26"/>
    </w:rPr>
  </w:style>
  <w:style w:type="character" w:customStyle="1" w:styleId="Heading4Char">
    <w:name w:val="Heading 4 Char"/>
    <w:basedOn w:val="DefaultParagraphFont"/>
    <w:link w:val="Heading4"/>
    <w:uiPriority w:val="99"/>
    <w:locked/>
    <w:rsid w:val="005146A7"/>
    <w:rPr>
      <w:rFonts w:cs="Times New Roman"/>
      <w:b/>
      <w:spacing w:val="5"/>
      <w:sz w:val="24"/>
    </w:rPr>
  </w:style>
  <w:style w:type="character" w:customStyle="1" w:styleId="Heading5Char">
    <w:name w:val="Heading 5 Char"/>
    <w:basedOn w:val="DefaultParagraphFont"/>
    <w:link w:val="Heading5"/>
    <w:uiPriority w:val="99"/>
    <w:semiHidden/>
    <w:locked/>
    <w:rsid w:val="005146A7"/>
    <w:rPr>
      <w:rFonts w:cs="Times New Roman"/>
      <w:i/>
      <w:sz w:val="24"/>
    </w:rPr>
  </w:style>
  <w:style w:type="character" w:customStyle="1" w:styleId="Heading6Char">
    <w:name w:val="Heading 6 Char"/>
    <w:basedOn w:val="DefaultParagraphFont"/>
    <w:link w:val="Heading6"/>
    <w:uiPriority w:val="99"/>
    <w:semiHidden/>
    <w:locked/>
    <w:rsid w:val="005146A7"/>
    <w:rPr>
      <w:rFonts w:cs="Times New Roman"/>
      <w:b/>
      <w:color w:val="595959"/>
      <w:spacing w:val="5"/>
      <w:shd w:val="clear" w:color="auto" w:fill="FFFFFF"/>
    </w:rPr>
  </w:style>
  <w:style w:type="character" w:customStyle="1" w:styleId="Heading7Char">
    <w:name w:val="Heading 7 Char"/>
    <w:basedOn w:val="DefaultParagraphFont"/>
    <w:link w:val="Heading7"/>
    <w:uiPriority w:val="99"/>
    <w:semiHidden/>
    <w:locked/>
    <w:rsid w:val="005146A7"/>
    <w:rPr>
      <w:rFonts w:cs="Times New Roman"/>
      <w:b/>
      <w:i/>
      <w:color w:val="5A5A5A"/>
      <w:sz w:val="20"/>
    </w:rPr>
  </w:style>
  <w:style w:type="character" w:customStyle="1" w:styleId="Heading8Char">
    <w:name w:val="Heading 8 Char"/>
    <w:basedOn w:val="DefaultParagraphFont"/>
    <w:link w:val="Heading8"/>
    <w:uiPriority w:val="99"/>
    <w:semiHidden/>
    <w:locked/>
    <w:rsid w:val="005146A7"/>
    <w:rPr>
      <w:rFonts w:cs="Times New Roman"/>
      <w:b/>
      <w:color w:val="7F7F7F"/>
      <w:sz w:val="20"/>
    </w:rPr>
  </w:style>
  <w:style w:type="character" w:customStyle="1" w:styleId="Heading9Char">
    <w:name w:val="Heading 9 Char"/>
    <w:basedOn w:val="DefaultParagraphFont"/>
    <w:link w:val="Heading9"/>
    <w:uiPriority w:val="99"/>
    <w:semiHidden/>
    <w:locked/>
    <w:rsid w:val="005146A7"/>
    <w:rPr>
      <w:rFonts w:cs="Times New Roman"/>
      <w:b/>
      <w:i/>
      <w:color w:val="7F7F7F"/>
      <w:sz w:val="18"/>
    </w:rPr>
  </w:style>
  <w:style w:type="paragraph" w:styleId="TOC1">
    <w:name w:val="toc 1"/>
    <w:basedOn w:val="Normal"/>
    <w:next w:val="Normal"/>
    <w:autoRedefine/>
    <w:uiPriority w:val="99"/>
    <w:rsid w:val="005146A7"/>
    <w:pPr>
      <w:spacing w:after="100"/>
    </w:pPr>
  </w:style>
  <w:style w:type="paragraph" w:styleId="TOC2">
    <w:name w:val="toc 2"/>
    <w:basedOn w:val="Normal"/>
    <w:next w:val="Normal"/>
    <w:autoRedefine/>
    <w:uiPriority w:val="99"/>
    <w:rsid w:val="005146A7"/>
    <w:pPr>
      <w:spacing w:after="100"/>
      <w:ind w:left="220"/>
    </w:pPr>
  </w:style>
  <w:style w:type="paragraph" w:styleId="TOC3">
    <w:name w:val="toc 3"/>
    <w:basedOn w:val="Normal"/>
    <w:next w:val="Normal"/>
    <w:autoRedefine/>
    <w:uiPriority w:val="99"/>
    <w:rsid w:val="005146A7"/>
    <w:pPr>
      <w:spacing w:after="100"/>
      <w:ind w:left="440"/>
    </w:pPr>
  </w:style>
  <w:style w:type="paragraph" w:styleId="Title">
    <w:name w:val="Title"/>
    <w:basedOn w:val="Normal"/>
    <w:next w:val="Normal"/>
    <w:link w:val="TitleChar"/>
    <w:uiPriority w:val="99"/>
    <w:qFormat/>
    <w:rsid w:val="005146A7"/>
    <w:pPr>
      <w:spacing w:after="300" w:line="240" w:lineRule="auto"/>
      <w:contextualSpacing/>
    </w:pPr>
    <w:rPr>
      <w:rFonts w:eastAsia="Calibri"/>
      <w:smallCaps/>
      <w:sz w:val="52"/>
      <w:szCs w:val="52"/>
      <w:lang w:val="en-US"/>
    </w:rPr>
  </w:style>
  <w:style w:type="character" w:customStyle="1" w:styleId="TitleChar">
    <w:name w:val="Title Char"/>
    <w:basedOn w:val="DefaultParagraphFont"/>
    <w:link w:val="Title"/>
    <w:uiPriority w:val="99"/>
    <w:locked/>
    <w:rsid w:val="005146A7"/>
    <w:rPr>
      <w:rFonts w:cs="Times New Roman"/>
      <w:smallCaps/>
      <w:sz w:val="52"/>
    </w:rPr>
  </w:style>
  <w:style w:type="paragraph" w:styleId="Subtitle">
    <w:name w:val="Subtitle"/>
    <w:basedOn w:val="Normal"/>
    <w:next w:val="Normal"/>
    <w:link w:val="SubtitleChar"/>
    <w:uiPriority w:val="99"/>
    <w:qFormat/>
    <w:rsid w:val="005146A7"/>
    <w:rPr>
      <w:rFonts w:eastAsia="Calibri"/>
      <w:i/>
      <w:iCs/>
      <w:smallCaps/>
      <w:spacing w:val="10"/>
      <w:sz w:val="28"/>
      <w:szCs w:val="28"/>
      <w:lang w:val="en-US"/>
    </w:rPr>
  </w:style>
  <w:style w:type="character" w:customStyle="1" w:styleId="SubtitleChar">
    <w:name w:val="Subtitle Char"/>
    <w:basedOn w:val="DefaultParagraphFont"/>
    <w:link w:val="Subtitle"/>
    <w:uiPriority w:val="99"/>
    <w:locked/>
    <w:rsid w:val="005146A7"/>
    <w:rPr>
      <w:rFonts w:cs="Times New Roman"/>
      <w:i/>
      <w:smallCaps/>
      <w:spacing w:val="10"/>
      <w:sz w:val="28"/>
    </w:rPr>
  </w:style>
  <w:style w:type="character" w:styleId="Strong">
    <w:name w:val="Strong"/>
    <w:basedOn w:val="DefaultParagraphFont"/>
    <w:uiPriority w:val="99"/>
    <w:qFormat/>
    <w:rsid w:val="005146A7"/>
    <w:rPr>
      <w:rFonts w:cs="Times New Roman"/>
      <w:b/>
    </w:rPr>
  </w:style>
  <w:style w:type="character" w:styleId="Emphasis">
    <w:name w:val="Emphasis"/>
    <w:basedOn w:val="DefaultParagraphFont"/>
    <w:uiPriority w:val="99"/>
    <w:qFormat/>
    <w:rsid w:val="005146A7"/>
    <w:rPr>
      <w:rFonts w:cs="Times New Roman"/>
      <w:b/>
      <w:i/>
      <w:spacing w:val="10"/>
    </w:rPr>
  </w:style>
  <w:style w:type="paragraph" w:styleId="NoSpacing">
    <w:name w:val="No Spacing"/>
    <w:basedOn w:val="Normal"/>
    <w:link w:val="NoSpacingChar"/>
    <w:uiPriority w:val="99"/>
    <w:qFormat/>
    <w:rsid w:val="005146A7"/>
    <w:pPr>
      <w:spacing w:after="0" w:line="240" w:lineRule="auto"/>
    </w:pPr>
    <w:rPr>
      <w:rFonts w:eastAsia="Calibri"/>
      <w:sz w:val="20"/>
      <w:szCs w:val="20"/>
      <w:lang w:val="en-US"/>
    </w:rPr>
  </w:style>
  <w:style w:type="character" w:customStyle="1" w:styleId="NoSpacingChar">
    <w:name w:val="No Spacing Char"/>
    <w:link w:val="NoSpacing"/>
    <w:uiPriority w:val="99"/>
    <w:locked/>
    <w:rsid w:val="005146A7"/>
  </w:style>
  <w:style w:type="paragraph" w:styleId="ListParagraph">
    <w:name w:val="List Paragraph"/>
    <w:basedOn w:val="Normal"/>
    <w:uiPriority w:val="99"/>
    <w:qFormat/>
    <w:rsid w:val="005146A7"/>
    <w:pPr>
      <w:ind w:left="720"/>
      <w:contextualSpacing/>
    </w:pPr>
  </w:style>
  <w:style w:type="paragraph" w:styleId="Quote">
    <w:name w:val="Quote"/>
    <w:basedOn w:val="Normal"/>
    <w:next w:val="Normal"/>
    <w:link w:val="QuoteChar"/>
    <w:uiPriority w:val="99"/>
    <w:qFormat/>
    <w:rsid w:val="005146A7"/>
    <w:rPr>
      <w:rFonts w:eastAsia="Calibri"/>
      <w:i/>
      <w:iCs/>
      <w:sz w:val="20"/>
      <w:szCs w:val="20"/>
      <w:lang w:val="en-US"/>
    </w:rPr>
  </w:style>
  <w:style w:type="character" w:customStyle="1" w:styleId="QuoteChar">
    <w:name w:val="Quote Char"/>
    <w:basedOn w:val="DefaultParagraphFont"/>
    <w:link w:val="Quote"/>
    <w:uiPriority w:val="99"/>
    <w:locked/>
    <w:rsid w:val="005146A7"/>
    <w:rPr>
      <w:rFonts w:cs="Times New Roman"/>
      <w:i/>
    </w:rPr>
  </w:style>
  <w:style w:type="paragraph" w:styleId="IntenseQuote">
    <w:name w:val="Intense Quote"/>
    <w:basedOn w:val="Normal"/>
    <w:next w:val="Normal"/>
    <w:link w:val="IntenseQuoteChar"/>
    <w:uiPriority w:val="99"/>
    <w:qFormat/>
    <w:rsid w:val="005146A7"/>
    <w:pPr>
      <w:pBdr>
        <w:top w:val="single" w:sz="4" w:space="10" w:color="auto"/>
        <w:bottom w:val="single" w:sz="4" w:space="10" w:color="auto"/>
      </w:pBdr>
      <w:spacing w:before="240" w:after="240" w:line="300" w:lineRule="auto"/>
      <w:ind w:left="1152" w:right="1152"/>
      <w:jc w:val="both"/>
    </w:pPr>
    <w:rPr>
      <w:rFonts w:eastAsia="Calibri"/>
      <w:i/>
      <w:iCs/>
      <w:sz w:val="20"/>
      <w:szCs w:val="20"/>
      <w:lang w:val="en-US"/>
    </w:rPr>
  </w:style>
  <w:style w:type="character" w:customStyle="1" w:styleId="IntenseQuoteChar">
    <w:name w:val="Intense Quote Char"/>
    <w:basedOn w:val="DefaultParagraphFont"/>
    <w:link w:val="IntenseQuote"/>
    <w:uiPriority w:val="99"/>
    <w:locked/>
    <w:rsid w:val="005146A7"/>
    <w:rPr>
      <w:rFonts w:cs="Times New Roman"/>
      <w:i/>
    </w:rPr>
  </w:style>
  <w:style w:type="character" w:styleId="SubtleEmphasis">
    <w:name w:val="Subtle Emphasis"/>
    <w:basedOn w:val="DefaultParagraphFont"/>
    <w:uiPriority w:val="99"/>
    <w:qFormat/>
    <w:rsid w:val="005146A7"/>
    <w:rPr>
      <w:rFonts w:cs="Times New Roman"/>
      <w:i/>
    </w:rPr>
  </w:style>
  <w:style w:type="character" w:styleId="IntenseEmphasis">
    <w:name w:val="Intense Emphasis"/>
    <w:basedOn w:val="DefaultParagraphFont"/>
    <w:uiPriority w:val="99"/>
    <w:qFormat/>
    <w:rsid w:val="005146A7"/>
    <w:rPr>
      <w:rFonts w:cs="Times New Roman"/>
      <w:b/>
      <w:i/>
    </w:rPr>
  </w:style>
  <w:style w:type="character" w:styleId="SubtleReference">
    <w:name w:val="Subtle Reference"/>
    <w:basedOn w:val="DefaultParagraphFont"/>
    <w:uiPriority w:val="99"/>
    <w:qFormat/>
    <w:rsid w:val="005146A7"/>
    <w:rPr>
      <w:rFonts w:cs="Times New Roman"/>
      <w:smallCaps/>
    </w:rPr>
  </w:style>
  <w:style w:type="character" w:styleId="IntenseReference">
    <w:name w:val="Intense Reference"/>
    <w:basedOn w:val="DefaultParagraphFont"/>
    <w:uiPriority w:val="99"/>
    <w:qFormat/>
    <w:rsid w:val="005146A7"/>
    <w:rPr>
      <w:rFonts w:cs="Times New Roman"/>
      <w:b/>
      <w:smallCaps/>
    </w:rPr>
  </w:style>
  <w:style w:type="character" w:styleId="BookTitle">
    <w:name w:val="Book Title"/>
    <w:basedOn w:val="DefaultParagraphFont"/>
    <w:uiPriority w:val="99"/>
    <w:qFormat/>
    <w:rsid w:val="005146A7"/>
    <w:rPr>
      <w:rFonts w:cs="Times New Roman"/>
      <w:i/>
      <w:smallCaps/>
      <w:spacing w:val="5"/>
    </w:rPr>
  </w:style>
  <w:style w:type="paragraph" w:styleId="TOCHeading">
    <w:name w:val="TOC Heading"/>
    <w:basedOn w:val="Heading1"/>
    <w:next w:val="Normal"/>
    <w:uiPriority w:val="99"/>
    <w:qFormat/>
    <w:rsid w:val="005146A7"/>
    <w:pPr>
      <w:outlineLvl w:val="9"/>
    </w:pPr>
  </w:style>
  <w:style w:type="character" w:styleId="Hyperlink">
    <w:name w:val="Hyperlink"/>
    <w:basedOn w:val="DefaultParagraphFont"/>
    <w:uiPriority w:val="99"/>
    <w:rsid w:val="00B7068B"/>
    <w:rPr>
      <w:rFonts w:cs="Times New Roman"/>
      <w:color w:val="0000FF"/>
      <w:u w:val="single"/>
    </w:rPr>
  </w:style>
  <w:style w:type="character" w:customStyle="1" w:styleId="highlight">
    <w:name w:val="highlight"/>
    <w:uiPriority w:val="99"/>
    <w:rsid w:val="00B7068B"/>
  </w:style>
  <w:style w:type="character" w:styleId="HTMLCite">
    <w:name w:val="HTML Cite"/>
    <w:basedOn w:val="DefaultParagraphFont"/>
    <w:uiPriority w:val="99"/>
    <w:semiHidden/>
    <w:rsid w:val="00B7068B"/>
    <w:rPr>
      <w:rFonts w:cs="Times New Roman"/>
      <w:i/>
    </w:rPr>
  </w:style>
  <w:style w:type="paragraph" w:styleId="FootnoteText">
    <w:name w:val="footnote text"/>
    <w:basedOn w:val="Normal"/>
    <w:link w:val="FootnoteTextChar"/>
    <w:uiPriority w:val="99"/>
    <w:semiHidden/>
    <w:rsid w:val="00B7068B"/>
    <w:pPr>
      <w:spacing w:after="0" w:line="240" w:lineRule="auto"/>
      <w:jc w:val="both"/>
    </w:pPr>
    <w:rPr>
      <w:rFonts w:ascii="Arial" w:eastAsia="Calibri" w:hAnsi="Arial"/>
      <w:sz w:val="20"/>
      <w:szCs w:val="20"/>
    </w:rPr>
  </w:style>
  <w:style w:type="character" w:customStyle="1" w:styleId="FootnoteTextChar">
    <w:name w:val="Footnote Text Char"/>
    <w:basedOn w:val="DefaultParagraphFont"/>
    <w:link w:val="FootnoteText"/>
    <w:uiPriority w:val="99"/>
    <w:semiHidden/>
    <w:locked/>
    <w:rsid w:val="00B7068B"/>
    <w:rPr>
      <w:rFonts w:ascii="Arial" w:hAnsi="Arial" w:cs="Times New Roman"/>
      <w:sz w:val="20"/>
      <w:lang w:val="en-IE"/>
    </w:rPr>
  </w:style>
  <w:style w:type="character" w:styleId="FootnoteReference">
    <w:name w:val="footnote reference"/>
    <w:basedOn w:val="DefaultParagraphFont"/>
    <w:uiPriority w:val="99"/>
    <w:semiHidden/>
    <w:rsid w:val="00B7068B"/>
    <w:rPr>
      <w:rFonts w:cs="Times New Roman"/>
      <w:vertAlign w:val="superscript"/>
    </w:rPr>
  </w:style>
  <w:style w:type="paragraph" w:styleId="NormalWeb">
    <w:name w:val="Normal (Web)"/>
    <w:basedOn w:val="Normal"/>
    <w:uiPriority w:val="99"/>
    <w:rsid w:val="00B7068B"/>
    <w:pPr>
      <w:spacing w:before="150" w:after="150" w:afterAutospacing="1" w:line="384" w:lineRule="auto"/>
    </w:pPr>
    <w:rPr>
      <w:rFonts w:ascii="Times New Roman" w:eastAsia="Calibri" w:hAnsi="Times New Roman"/>
      <w:sz w:val="17"/>
      <w:szCs w:val="17"/>
      <w:lang w:eastAsia="en-IE"/>
    </w:rPr>
  </w:style>
  <w:style w:type="paragraph" w:styleId="Footer">
    <w:name w:val="footer"/>
    <w:basedOn w:val="Normal"/>
    <w:link w:val="FooterChar"/>
    <w:uiPriority w:val="99"/>
    <w:rsid w:val="00B7068B"/>
    <w:pPr>
      <w:tabs>
        <w:tab w:val="center" w:pos="4513"/>
        <w:tab w:val="right" w:pos="9026"/>
      </w:tabs>
      <w:spacing w:after="0" w:line="240" w:lineRule="auto"/>
    </w:pPr>
    <w:rPr>
      <w:rFonts w:ascii="Calibri" w:eastAsia="Calibri" w:hAnsi="Calibri"/>
      <w:sz w:val="20"/>
      <w:szCs w:val="20"/>
      <w:lang w:val="en-US"/>
    </w:rPr>
  </w:style>
  <w:style w:type="character" w:customStyle="1" w:styleId="FooterChar">
    <w:name w:val="Footer Char"/>
    <w:basedOn w:val="DefaultParagraphFont"/>
    <w:link w:val="Footer"/>
    <w:uiPriority w:val="99"/>
    <w:locked/>
    <w:rsid w:val="00B7068B"/>
    <w:rPr>
      <w:rFonts w:ascii="Calibri" w:hAnsi="Calibri" w:cs="Times New Roman"/>
    </w:rPr>
  </w:style>
  <w:style w:type="paragraph" w:styleId="BalloonText">
    <w:name w:val="Balloon Text"/>
    <w:basedOn w:val="Normal"/>
    <w:link w:val="BalloonTextChar"/>
    <w:uiPriority w:val="99"/>
    <w:semiHidden/>
    <w:rsid w:val="00B7068B"/>
    <w:pPr>
      <w:spacing w:after="0" w:line="240" w:lineRule="auto"/>
    </w:pPr>
    <w:rPr>
      <w:rFonts w:ascii="Lucida Grande" w:eastAsia="Calibri" w:hAnsi="Lucida Grande"/>
      <w:sz w:val="18"/>
      <w:szCs w:val="18"/>
    </w:rPr>
  </w:style>
  <w:style w:type="character" w:customStyle="1" w:styleId="BalloonTextChar">
    <w:name w:val="Balloon Text Char"/>
    <w:basedOn w:val="DefaultParagraphFont"/>
    <w:link w:val="BalloonText"/>
    <w:uiPriority w:val="99"/>
    <w:semiHidden/>
    <w:locked/>
    <w:rsid w:val="00B7068B"/>
    <w:rPr>
      <w:rFonts w:ascii="Lucida Grande" w:hAnsi="Lucida Grande" w:cs="Times New Roman"/>
      <w:sz w:val="18"/>
      <w:lang w:val="en-IE"/>
    </w:rPr>
  </w:style>
  <w:style w:type="character" w:styleId="CommentReference">
    <w:name w:val="annotation reference"/>
    <w:basedOn w:val="DefaultParagraphFont"/>
    <w:uiPriority w:val="99"/>
    <w:semiHidden/>
    <w:rsid w:val="00B7068B"/>
    <w:rPr>
      <w:rFonts w:cs="Times New Roman"/>
      <w:sz w:val="18"/>
    </w:rPr>
  </w:style>
  <w:style w:type="paragraph" w:styleId="CommentText">
    <w:name w:val="annotation text"/>
    <w:basedOn w:val="Normal"/>
    <w:link w:val="CommentTextChar"/>
    <w:uiPriority w:val="99"/>
    <w:semiHidden/>
    <w:rsid w:val="00B7068B"/>
    <w:pPr>
      <w:spacing w:line="240" w:lineRule="auto"/>
    </w:pPr>
    <w:rPr>
      <w:rFonts w:eastAsia="Calibri"/>
      <w:sz w:val="24"/>
      <w:szCs w:val="24"/>
    </w:rPr>
  </w:style>
  <w:style w:type="character" w:customStyle="1" w:styleId="CommentTextChar">
    <w:name w:val="Comment Text Char"/>
    <w:basedOn w:val="DefaultParagraphFont"/>
    <w:link w:val="CommentText"/>
    <w:uiPriority w:val="99"/>
    <w:semiHidden/>
    <w:locked/>
    <w:rsid w:val="00B7068B"/>
    <w:rPr>
      <w:rFonts w:cs="Times New Roman"/>
      <w:sz w:val="24"/>
      <w:lang w:val="en-IE"/>
    </w:rPr>
  </w:style>
  <w:style w:type="paragraph" w:styleId="CommentSubject">
    <w:name w:val="annotation subject"/>
    <w:basedOn w:val="CommentText"/>
    <w:next w:val="CommentText"/>
    <w:link w:val="CommentSubjectChar"/>
    <w:uiPriority w:val="99"/>
    <w:semiHidden/>
    <w:rsid w:val="00B7068B"/>
    <w:rPr>
      <w:b/>
      <w:bCs/>
      <w:sz w:val="20"/>
      <w:szCs w:val="20"/>
    </w:rPr>
  </w:style>
  <w:style w:type="character" w:customStyle="1" w:styleId="CommentSubjectChar">
    <w:name w:val="Comment Subject Char"/>
    <w:basedOn w:val="CommentTextChar"/>
    <w:link w:val="CommentSubject"/>
    <w:uiPriority w:val="99"/>
    <w:semiHidden/>
    <w:locked/>
    <w:rsid w:val="00B7068B"/>
    <w:rPr>
      <w:rFonts w:cs="Times New Roman"/>
      <w:b/>
      <w:sz w:val="20"/>
      <w:lang w:val="en-IE"/>
    </w:rPr>
  </w:style>
  <w:style w:type="paragraph" w:styleId="Header">
    <w:name w:val="header"/>
    <w:basedOn w:val="Normal"/>
    <w:link w:val="HeaderChar"/>
    <w:uiPriority w:val="99"/>
    <w:semiHidden/>
    <w:rsid w:val="00B7068B"/>
    <w:pPr>
      <w:tabs>
        <w:tab w:val="center" w:pos="4513"/>
        <w:tab w:val="right" w:pos="9026"/>
      </w:tabs>
      <w:spacing w:after="0" w:line="240" w:lineRule="auto"/>
    </w:pPr>
    <w:rPr>
      <w:rFonts w:eastAsia="Calibri"/>
      <w:sz w:val="20"/>
      <w:szCs w:val="20"/>
    </w:rPr>
  </w:style>
  <w:style w:type="character" w:customStyle="1" w:styleId="HeaderChar">
    <w:name w:val="Header Char"/>
    <w:basedOn w:val="DefaultParagraphFont"/>
    <w:link w:val="Header"/>
    <w:uiPriority w:val="99"/>
    <w:semiHidden/>
    <w:locked/>
    <w:rsid w:val="00B7068B"/>
    <w:rPr>
      <w:rFonts w:cs="Times New Roman"/>
      <w:lang w:val="en-IE"/>
    </w:rPr>
  </w:style>
  <w:style w:type="paragraph" w:customStyle="1" w:styleId="Default">
    <w:name w:val="Default"/>
    <w:uiPriority w:val="99"/>
    <w:rsid w:val="00B7068B"/>
    <w:pPr>
      <w:autoSpaceDE w:val="0"/>
      <w:autoSpaceDN w:val="0"/>
      <w:adjustRightInd w:val="0"/>
    </w:pPr>
    <w:rPr>
      <w:rFonts w:ascii="Times New Roman" w:eastAsia="Times New Roman" w:hAnsi="Times New Roman"/>
      <w:color w:val="000000"/>
      <w:sz w:val="24"/>
      <w:szCs w:val="24"/>
      <w:lang w:val="en-GB" w:eastAsia="en-US"/>
    </w:rPr>
  </w:style>
  <w:style w:type="character" w:styleId="FollowedHyperlink">
    <w:name w:val="FollowedHyperlink"/>
    <w:basedOn w:val="DefaultParagraphFont"/>
    <w:uiPriority w:val="99"/>
    <w:semiHidden/>
    <w:rsid w:val="00B7068B"/>
    <w:rPr>
      <w:rFonts w:cs="Times New Roman"/>
      <w:color w:val="800080"/>
      <w:u w:val="single"/>
    </w:rPr>
  </w:style>
  <w:style w:type="paragraph" w:customStyle="1" w:styleId="authors">
    <w:name w:val="authors"/>
    <w:basedOn w:val="Normal"/>
    <w:uiPriority w:val="99"/>
    <w:rsid w:val="00B7068B"/>
    <w:pPr>
      <w:spacing w:before="100" w:beforeAutospacing="1" w:after="100" w:afterAutospacing="1" w:line="240" w:lineRule="auto"/>
    </w:pPr>
    <w:rPr>
      <w:rFonts w:ascii="Times New Roman" w:eastAsia="Calibri" w:hAnsi="Times New Roman"/>
      <w:sz w:val="24"/>
      <w:szCs w:val="24"/>
      <w:lang w:eastAsia="en-IE"/>
    </w:rPr>
  </w:style>
  <w:style w:type="paragraph" w:styleId="PlainText">
    <w:name w:val="Plain Text"/>
    <w:basedOn w:val="Normal"/>
    <w:link w:val="PlainTextChar"/>
    <w:uiPriority w:val="99"/>
    <w:rsid w:val="00BB12DF"/>
    <w:pPr>
      <w:spacing w:after="0" w:line="240" w:lineRule="auto"/>
    </w:pPr>
    <w:rPr>
      <w:rFonts w:ascii="Consolas" w:eastAsia="Calibri" w:hAnsi="Consolas"/>
      <w:sz w:val="21"/>
      <w:szCs w:val="21"/>
    </w:rPr>
  </w:style>
  <w:style w:type="character" w:customStyle="1" w:styleId="PlainTextChar">
    <w:name w:val="Plain Text Char"/>
    <w:basedOn w:val="DefaultParagraphFont"/>
    <w:link w:val="PlainText"/>
    <w:uiPriority w:val="99"/>
    <w:locked/>
    <w:rsid w:val="00BB12DF"/>
    <w:rPr>
      <w:rFonts w:ascii="Consolas" w:hAnsi="Consolas" w:cs="Times New Roman"/>
      <w:sz w:val="21"/>
      <w:lang w:val="en-IE"/>
    </w:rPr>
  </w:style>
  <w:style w:type="character" w:customStyle="1" w:styleId="maintitle">
    <w:name w:val="maintitle"/>
    <w:basedOn w:val="DefaultParagraphFont"/>
    <w:uiPriority w:val="99"/>
    <w:rsid w:val="00850450"/>
    <w:rPr>
      <w:rFonts w:cs="Times New Roman"/>
    </w:rPr>
  </w:style>
  <w:style w:type="character" w:customStyle="1" w:styleId="authornames">
    <w:name w:val="authornames"/>
    <w:basedOn w:val="DefaultParagraphFont"/>
    <w:uiPriority w:val="99"/>
    <w:rsid w:val="00850450"/>
    <w:rPr>
      <w:rFonts w:cs="Times New Roman"/>
    </w:rPr>
  </w:style>
  <w:style w:type="character" w:customStyle="1" w:styleId="titleseparator5">
    <w:name w:val="titleseparator5"/>
    <w:uiPriority w:val="99"/>
    <w:rsid w:val="00850450"/>
    <w:rPr>
      <w:vanish/>
    </w:rPr>
  </w:style>
  <w:style w:type="character" w:customStyle="1" w:styleId="subtitle7">
    <w:name w:val="subtitle7"/>
    <w:uiPriority w:val="99"/>
    <w:rsid w:val="00850450"/>
    <w:rPr>
      <w:sz w:val="20"/>
    </w:rPr>
  </w:style>
  <w:style w:type="character" w:customStyle="1" w:styleId="slug-vol">
    <w:name w:val="slug-vol"/>
    <w:basedOn w:val="DefaultParagraphFont"/>
    <w:uiPriority w:val="99"/>
    <w:rsid w:val="00850450"/>
    <w:rPr>
      <w:rFonts w:cs="Times New Roman"/>
    </w:rPr>
  </w:style>
  <w:style w:type="character" w:customStyle="1" w:styleId="slug-issue">
    <w:name w:val="slug-issue"/>
    <w:basedOn w:val="DefaultParagraphFont"/>
    <w:uiPriority w:val="99"/>
    <w:rsid w:val="00850450"/>
    <w:rPr>
      <w:rFonts w:cs="Times New Roman"/>
    </w:rPr>
  </w:style>
  <w:style w:type="paragraph" w:customStyle="1" w:styleId="summary-title">
    <w:name w:val="summary-title"/>
    <w:basedOn w:val="Normal"/>
    <w:uiPriority w:val="99"/>
    <w:rsid w:val="009F2A85"/>
    <w:pPr>
      <w:spacing w:before="100" w:beforeAutospacing="1" w:after="100" w:afterAutospacing="1" w:line="240" w:lineRule="auto"/>
      <w:jc w:val="both"/>
    </w:pPr>
    <w:rPr>
      <w:rFonts w:ascii="Verdana" w:hAnsi="Verdana"/>
      <w:sz w:val="11"/>
      <w:szCs w:val="11"/>
      <w:lang w:val="en-US"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libri" w:hAnsi="Cambria" w:cs="Times New Roman"/>
        <w:sz w:val="22"/>
        <w:szCs w:val="22"/>
        <w:lang w:val="en-US" w:eastAsia="ja-JP"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B7068B"/>
    <w:pPr>
      <w:spacing w:after="200" w:line="276" w:lineRule="auto"/>
    </w:pPr>
    <w:rPr>
      <w:rFonts w:eastAsia="Times New Roman"/>
      <w:lang w:val="en-IE" w:eastAsia="en-US"/>
    </w:rPr>
  </w:style>
  <w:style w:type="paragraph" w:styleId="Heading1">
    <w:name w:val="heading 1"/>
    <w:basedOn w:val="Normal"/>
    <w:next w:val="Normal"/>
    <w:link w:val="Heading1Char"/>
    <w:uiPriority w:val="99"/>
    <w:qFormat/>
    <w:rsid w:val="005146A7"/>
    <w:pPr>
      <w:spacing w:before="480" w:after="0"/>
      <w:contextualSpacing/>
      <w:outlineLvl w:val="0"/>
    </w:pPr>
    <w:rPr>
      <w:rFonts w:eastAsia="Calibri"/>
      <w:smallCaps/>
      <w:spacing w:val="5"/>
      <w:sz w:val="36"/>
      <w:szCs w:val="36"/>
      <w:lang w:val="en-US"/>
    </w:rPr>
  </w:style>
  <w:style w:type="paragraph" w:styleId="Heading2">
    <w:name w:val="heading 2"/>
    <w:basedOn w:val="Normal"/>
    <w:next w:val="Normal"/>
    <w:link w:val="Heading2Char"/>
    <w:uiPriority w:val="99"/>
    <w:qFormat/>
    <w:rsid w:val="005146A7"/>
    <w:pPr>
      <w:spacing w:before="200" w:after="0" w:line="271" w:lineRule="auto"/>
      <w:outlineLvl w:val="1"/>
    </w:pPr>
    <w:rPr>
      <w:rFonts w:eastAsia="Calibri"/>
      <w:smallCaps/>
      <w:sz w:val="28"/>
      <w:szCs w:val="28"/>
      <w:lang w:val="en-US"/>
    </w:rPr>
  </w:style>
  <w:style w:type="paragraph" w:styleId="Heading3">
    <w:name w:val="heading 3"/>
    <w:basedOn w:val="Normal"/>
    <w:next w:val="Normal"/>
    <w:link w:val="Heading3Char"/>
    <w:uiPriority w:val="99"/>
    <w:qFormat/>
    <w:rsid w:val="005146A7"/>
    <w:pPr>
      <w:spacing w:before="200" w:after="0" w:line="271" w:lineRule="auto"/>
      <w:outlineLvl w:val="2"/>
    </w:pPr>
    <w:rPr>
      <w:rFonts w:eastAsia="Calibri"/>
      <w:i/>
      <w:iCs/>
      <w:smallCaps/>
      <w:spacing w:val="5"/>
      <w:sz w:val="26"/>
      <w:szCs w:val="26"/>
      <w:lang w:val="en-US"/>
    </w:rPr>
  </w:style>
  <w:style w:type="paragraph" w:styleId="Heading4">
    <w:name w:val="heading 4"/>
    <w:basedOn w:val="Normal"/>
    <w:next w:val="Normal"/>
    <w:link w:val="Heading4Char"/>
    <w:uiPriority w:val="99"/>
    <w:qFormat/>
    <w:rsid w:val="005146A7"/>
    <w:pPr>
      <w:spacing w:after="0" w:line="271" w:lineRule="auto"/>
      <w:outlineLvl w:val="3"/>
    </w:pPr>
    <w:rPr>
      <w:rFonts w:eastAsia="Calibri"/>
      <w:b/>
      <w:bCs/>
      <w:spacing w:val="5"/>
      <w:sz w:val="24"/>
      <w:szCs w:val="24"/>
      <w:lang w:val="en-US"/>
    </w:rPr>
  </w:style>
  <w:style w:type="paragraph" w:styleId="Heading5">
    <w:name w:val="heading 5"/>
    <w:basedOn w:val="Normal"/>
    <w:next w:val="Normal"/>
    <w:link w:val="Heading5Char"/>
    <w:uiPriority w:val="99"/>
    <w:qFormat/>
    <w:rsid w:val="005146A7"/>
    <w:pPr>
      <w:spacing w:after="0" w:line="271" w:lineRule="auto"/>
      <w:outlineLvl w:val="4"/>
    </w:pPr>
    <w:rPr>
      <w:rFonts w:eastAsia="Calibri"/>
      <w:i/>
      <w:iCs/>
      <w:sz w:val="24"/>
      <w:szCs w:val="24"/>
      <w:lang w:val="en-US"/>
    </w:rPr>
  </w:style>
  <w:style w:type="paragraph" w:styleId="Heading6">
    <w:name w:val="heading 6"/>
    <w:basedOn w:val="Normal"/>
    <w:next w:val="Normal"/>
    <w:link w:val="Heading6Char"/>
    <w:uiPriority w:val="99"/>
    <w:qFormat/>
    <w:rsid w:val="005146A7"/>
    <w:pPr>
      <w:shd w:val="clear" w:color="auto" w:fill="FFFFFF"/>
      <w:spacing w:after="0" w:line="271" w:lineRule="auto"/>
      <w:outlineLvl w:val="5"/>
    </w:pPr>
    <w:rPr>
      <w:rFonts w:eastAsia="Calibri"/>
      <w:b/>
      <w:bCs/>
      <w:color w:val="595959"/>
      <w:spacing w:val="5"/>
      <w:sz w:val="20"/>
      <w:szCs w:val="20"/>
      <w:lang w:val="en-US"/>
    </w:rPr>
  </w:style>
  <w:style w:type="paragraph" w:styleId="Heading7">
    <w:name w:val="heading 7"/>
    <w:basedOn w:val="Normal"/>
    <w:next w:val="Normal"/>
    <w:link w:val="Heading7Char"/>
    <w:uiPriority w:val="99"/>
    <w:qFormat/>
    <w:rsid w:val="005146A7"/>
    <w:pPr>
      <w:spacing w:after="0"/>
      <w:outlineLvl w:val="6"/>
    </w:pPr>
    <w:rPr>
      <w:rFonts w:eastAsia="Calibri"/>
      <w:b/>
      <w:bCs/>
      <w:i/>
      <w:iCs/>
      <w:color w:val="5A5A5A"/>
      <w:sz w:val="20"/>
      <w:szCs w:val="20"/>
      <w:lang w:val="en-US"/>
    </w:rPr>
  </w:style>
  <w:style w:type="paragraph" w:styleId="Heading8">
    <w:name w:val="heading 8"/>
    <w:basedOn w:val="Normal"/>
    <w:next w:val="Normal"/>
    <w:link w:val="Heading8Char"/>
    <w:uiPriority w:val="99"/>
    <w:qFormat/>
    <w:rsid w:val="005146A7"/>
    <w:pPr>
      <w:spacing w:after="0"/>
      <w:outlineLvl w:val="7"/>
    </w:pPr>
    <w:rPr>
      <w:rFonts w:eastAsia="Calibri"/>
      <w:b/>
      <w:bCs/>
      <w:color w:val="7F7F7F"/>
      <w:sz w:val="20"/>
      <w:szCs w:val="20"/>
      <w:lang w:val="en-US"/>
    </w:rPr>
  </w:style>
  <w:style w:type="paragraph" w:styleId="Heading9">
    <w:name w:val="heading 9"/>
    <w:basedOn w:val="Normal"/>
    <w:next w:val="Normal"/>
    <w:link w:val="Heading9Char"/>
    <w:uiPriority w:val="99"/>
    <w:qFormat/>
    <w:rsid w:val="005146A7"/>
    <w:pPr>
      <w:spacing w:after="0" w:line="271" w:lineRule="auto"/>
      <w:outlineLvl w:val="8"/>
    </w:pPr>
    <w:rPr>
      <w:rFonts w:eastAsia="Calibri"/>
      <w:b/>
      <w:bCs/>
      <w:i/>
      <w:iCs/>
      <w:color w:val="7F7F7F"/>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146A7"/>
    <w:rPr>
      <w:rFonts w:cs="Times New Roman"/>
      <w:smallCaps/>
      <w:spacing w:val="5"/>
      <w:sz w:val="36"/>
    </w:rPr>
  </w:style>
  <w:style w:type="character" w:customStyle="1" w:styleId="Heading2Char">
    <w:name w:val="Heading 2 Char"/>
    <w:basedOn w:val="DefaultParagraphFont"/>
    <w:link w:val="Heading2"/>
    <w:uiPriority w:val="99"/>
    <w:locked/>
    <w:rsid w:val="005146A7"/>
    <w:rPr>
      <w:rFonts w:cs="Times New Roman"/>
      <w:smallCaps/>
      <w:sz w:val="28"/>
    </w:rPr>
  </w:style>
  <w:style w:type="character" w:customStyle="1" w:styleId="Heading3Char">
    <w:name w:val="Heading 3 Char"/>
    <w:basedOn w:val="DefaultParagraphFont"/>
    <w:link w:val="Heading3"/>
    <w:uiPriority w:val="99"/>
    <w:locked/>
    <w:rsid w:val="005146A7"/>
    <w:rPr>
      <w:rFonts w:cs="Times New Roman"/>
      <w:i/>
      <w:smallCaps/>
      <w:spacing w:val="5"/>
      <w:sz w:val="26"/>
    </w:rPr>
  </w:style>
  <w:style w:type="character" w:customStyle="1" w:styleId="Heading4Char">
    <w:name w:val="Heading 4 Char"/>
    <w:basedOn w:val="DefaultParagraphFont"/>
    <w:link w:val="Heading4"/>
    <w:uiPriority w:val="99"/>
    <w:locked/>
    <w:rsid w:val="005146A7"/>
    <w:rPr>
      <w:rFonts w:cs="Times New Roman"/>
      <w:b/>
      <w:spacing w:val="5"/>
      <w:sz w:val="24"/>
    </w:rPr>
  </w:style>
  <w:style w:type="character" w:customStyle="1" w:styleId="Heading5Char">
    <w:name w:val="Heading 5 Char"/>
    <w:basedOn w:val="DefaultParagraphFont"/>
    <w:link w:val="Heading5"/>
    <w:uiPriority w:val="99"/>
    <w:semiHidden/>
    <w:locked/>
    <w:rsid w:val="005146A7"/>
    <w:rPr>
      <w:rFonts w:cs="Times New Roman"/>
      <w:i/>
      <w:sz w:val="24"/>
    </w:rPr>
  </w:style>
  <w:style w:type="character" w:customStyle="1" w:styleId="Heading6Char">
    <w:name w:val="Heading 6 Char"/>
    <w:basedOn w:val="DefaultParagraphFont"/>
    <w:link w:val="Heading6"/>
    <w:uiPriority w:val="99"/>
    <w:semiHidden/>
    <w:locked/>
    <w:rsid w:val="005146A7"/>
    <w:rPr>
      <w:rFonts w:cs="Times New Roman"/>
      <w:b/>
      <w:color w:val="595959"/>
      <w:spacing w:val="5"/>
      <w:shd w:val="clear" w:color="auto" w:fill="FFFFFF"/>
    </w:rPr>
  </w:style>
  <w:style w:type="character" w:customStyle="1" w:styleId="Heading7Char">
    <w:name w:val="Heading 7 Char"/>
    <w:basedOn w:val="DefaultParagraphFont"/>
    <w:link w:val="Heading7"/>
    <w:uiPriority w:val="99"/>
    <w:semiHidden/>
    <w:locked/>
    <w:rsid w:val="005146A7"/>
    <w:rPr>
      <w:rFonts w:cs="Times New Roman"/>
      <w:b/>
      <w:i/>
      <w:color w:val="5A5A5A"/>
      <w:sz w:val="20"/>
    </w:rPr>
  </w:style>
  <w:style w:type="character" w:customStyle="1" w:styleId="Heading8Char">
    <w:name w:val="Heading 8 Char"/>
    <w:basedOn w:val="DefaultParagraphFont"/>
    <w:link w:val="Heading8"/>
    <w:uiPriority w:val="99"/>
    <w:semiHidden/>
    <w:locked/>
    <w:rsid w:val="005146A7"/>
    <w:rPr>
      <w:rFonts w:cs="Times New Roman"/>
      <w:b/>
      <w:color w:val="7F7F7F"/>
      <w:sz w:val="20"/>
    </w:rPr>
  </w:style>
  <w:style w:type="character" w:customStyle="1" w:styleId="Heading9Char">
    <w:name w:val="Heading 9 Char"/>
    <w:basedOn w:val="DefaultParagraphFont"/>
    <w:link w:val="Heading9"/>
    <w:uiPriority w:val="99"/>
    <w:semiHidden/>
    <w:locked/>
    <w:rsid w:val="005146A7"/>
    <w:rPr>
      <w:rFonts w:cs="Times New Roman"/>
      <w:b/>
      <w:i/>
      <w:color w:val="7F7F7F"/>
      <w:sz w:val="18"/>
    </w:rPr>
  </w:style>
  <w:style w:type="paragraph" w:styleId="TOC1">
    <w:name w:val="toc 1"/>
    <w:basedOn w:val="Normal"/>
    <w:next w:val="Normal"/>
    <w:autoRedefine/>
    <w:uiPriority w:val="99"/>
    <w:rsid w:val="005146A7"/>
    <w:pPr>
      <w:spacing w:after="100"/>
    </w:pPr>
  </w:style>
  <w:style w:type="paragraph" w:styleId="TOC2">
    <w:name w:val="toc 2"/>
    <w:basedOn w:val="Normal"/>
    <w:next w:val="Normal"/>
    <w:autoRedefine/>
    <w:uiPriority w:val="99"/>
    <w:rsid w:val="005146A7"/>
    <w:pPr>
      <w:spacing w:after="100"/>
      <w:ind w:left="220"/>
    </w:pPr>
  </w:style>
  <w:style w:type="paragraph" w:styleId="TOC3">
    <w:name w:val="toc 3"/>
    <w:basedOn w:val="Normal"/>
    <w:next w:val="Normal"/>
    <w:autoRedefine/>
    <w:uiPriority w:val="99"/>
    <w:rsid w:val="005146A7"/>
    <w:pPr>
      <w:spacing w:after="100"/>
      <w:ind w:left="440"/>
    </w:pPr>
  </w:style>
  <w:style w:type="paragraph" w:styleId="Title">
    <w:name w:val="Title"/>
    <w:basedOn w:val="Normal"/>
    <w:next w:val="Normal"/>
    <w:link w:val="TitleChar"/>
    <w:uiPriority w:val="99"/>
    <w:qFormat/>
    <w:rsid w:val="005146A7"/>
    <w:pPr>
      <w:spacing w:after="300" w:line="240" w:lineRule="auto"/>
      <w:contextualSpacing/>
    </w:pPr>
    <w:rPr>
      <w:rFonts w:eastAsia="Calibri"/>
      <w:smallCaps/>
      <w:sz w:val="52"/>
      <w:szCs w:val="52"/>
      <w:lang w:val="en-US"/>
    </w:rPr>
  </w:style>
  <w:style w:type="character" w:customStyle="1" w:styleId="TitleChar">
    <w:name w:val="Title Char"/>
    <w:basedOn w:val="DefaultParagraphFont"/>
    <w:link w:val="Title"/>
    <w:uiPriority w:val="99"/>
    <w:locked/>
    <w:rsid w:val="005146A7"/>
    <w:rPr>
      <w:rFonts w:cs="Times New Roman"/>
      <w:smallCaps/>
      <w:sz w:val="52"/>
    </w:rPr>
  </w:style>
  <w:style w:type="paragraph" w:styleId="Subtitle">
    <w:name w:val="Subtitle"/>
    <w:basedOn w:val="Normal"/>
    <w:next w:val="Normal"/>
    <w:link w:val="SubtitleChar"/>
    <w:uiPriority w:val="99"/>
    <w:qFormat/>
    <w:rsid w:val="005146A7"/>
    <w:rPr>
      <w:rFonts w:eastAsia="Calibri"/>
      <w:i/>
      <w:iCs/>
      <w:smallCaps/>
      <w:spacing w:val="10"/>
      <w:sz w:val="28"/>
      <w:szCs w:val="28"/>
      <w:lang w:val="en-US"/>
    </w:rPr>
  </w:style>
  <w:style w:type="character" w:customStyle="1" w:styleId="SubtitleChar">
    <w:name w:val="Subtitle Char"/>
    <w:basedOn w:val="DefaultParagraphFont"/>
    <w:link w:val="Subtitle"/>
    <w:uiPriority w:val="99"/>
    <w:locked/>
    <w:rsid w:val="005146A7"/>
    <w:rPr>
      <w:rFonts w:cs="Times New Roman"/>
      <w:i/>
      <w:smallCaps/>
      <w:spacing w:val="10"/>
      <w:sz w:val="28"/>
    </w:rPr>
  </w:style>
  <w:style w:type="character" w:styleId="Strong">
    <w:name w:val="Strong"/>
    <w:basedOn w:val="DefaultParagraphFont"/>
    <w:uiPriority w:val="99"/>
    <w:qFormat/>
    <w:rsid w:val="005146A7"/>
    <w:rPr>
      <w:rFonts w:cs="Times New Roman"/>
      <w:b/>
    </w:rPr>
  </w:style>
  <w:style w:type="character" w:styleId="Emphasis">
    <w:name w:val="Emphasis"/>
    <w:basedOn w:val="DefaultParagraphFont"/>
    <w:uiPriority w:val="99"/>
    <w:qFormat/>
    <w:rsid w:val="005146A7"/>
    <w:rPr>
      <w:rFonts w:cs="Times New Roman"/>
      <w:b/>
      <w:i/>
      <w:spacing w:val="10"/>
    </w:rPr>
  </w:style>
  <w:style w:type="paragraph" w:styleId="NoSpacing">
    <w:name w:val="No Spacing"/>
    <w:basedOn w:val="Normal"/>
    <w:link w:val="NoSpacingChar"/>
    <w:uiPriority w:val="99"/>
    <w:qFormat/>
    <w:rsid w:val="005146A7"/>
    <w:pPr>
      <w:spacing w:after="0" w:line="240" w:lineRule="auto"/>
    </w:pPr>
    <w:rPr>
      <w:rFonts w:eastAsia="Calibri"/>
      <w:sz w:val="20"/>
      <w:szCs w:val="20"/>
      <w:lang w:val="en-US"/>
    </w:rPr>
  </w:style>
  <w:style w:type="character" w:customStyle="1" w:styleId="NoSpacingChar">
    <w:name w:val="No Spacing Char"/>
    <w:link w:val="NoSpacing"/>
    <w:uiPriority w:val="99"/>
    <w:locked/>
    <w:rsid w:val="005146A7"/>
  </w:style>
  <w:style w:type="paragraph" w:styleId="ListParagraph">
    <w:name w:val="List Paragraph"/>
    <w:basedOn w:val="Normal"/>
    <w:uiPriority w:val="99"/>
    <w:qFormat/>
    <w:rsid w:val="005146A7"/>
    <w:pPr>
      <w:ind w:left="720"/>
      <w:contextualSpacing/>
    </w:pPr>
  </w:style>
  <w:style w:type="paragraph" w:styleId="Quote">
    <w:name w:val="Quote"/>
    <w:basedOn w:val="Normal"/>
    <w:next w:val="Normal"/>
    <w:link w:val="QuoteChar"/>
    <w:uiPriority w:val="99"/>
    <w:qFormat/>
    <w:rsid w:val="005146A7"/>
    <w:rPr>
      <w:rFonts w:eastAsia="Calibri"/>
      <w:i/>
      <w:iCs/>
      <w:sz w:val="20"/>
      <w:szCs w:val="20"/>
      <w:lang w:val="en-US"/>
    </w:rPr>
  </w:style>
  <w:style w:type="character" w:customStyle="1" w:styleId="QuoteChar">
    <w:name w:val="Quote Char"/>
    <w:basedOn w:val="DefaultParagraphFont"/>
    <w:link w:val="Quote"/>
    <w:uiPriority w:val="99"/>
    <w:locked/>
    <w:rsid w:val="005146A7"/>
    <w:rPr>
      <w:rFonts w:cs="Times New Roman"/>
      <w:i/>
    </w:rPr>
  </w:style>
  <w:style w:type="paragraph" w:styleId="IntenseQuote">
    <w:name w:val="Intense Quote"/>
    <w:basedOn w:val="Normal"/>
    <w:next w:val="Normal"/>
    <w:link w:val="IntenseQuoteChar"/>
    <w:uiPriority w:val="99"/>
    <w:qFormat/>
    <w:rsid w:val="005146A7"/>
    <w:pPr>
      <w:pBdr>
        <w:top w:val="single" w:sz="4" w:space="10" w:color="auto"/>
        <w:bottom w:val="single" w:sz="4" w:space="10" w:color="auto"/>
      </w:pBdr>
      <w:spacing w:before="240" w:after="240" w:line="300" w:lineRule="auto"/>
      <w:ind w:left="1152" w:right="1152"/>
      <w:jc w:val="both"/>
    </w:pPr>
    <w:rPr>
      <w:rFonts w:eastAsia="Calibri"/>
      <w:i/>
      <w:iCs/>
      <w:sz w:val="20"/>
      <w:szCs w:val="20"/>
      <w:lang w:val="en-US"/>
    </w:rPr>
  </w:style>
  <w:style w:type="character" w:customStyle="1" w:styleId="IntenseQuoteChar">
    <w:name w:val="Intense Quote Char"/>
    <w:basedOn w:val="DefaultParagraphFont"/>
    <w:link w:val="IntenseQuote"/>
    <w:uiPriority w:val="99"/>
    <w:locked/>
    <w:rsid w:val="005146A7"/>
    <w:rPr>
      <w:rFonts w:cs="Times New Roman"/>
      <w:i/>
    </w:rPr>
  </w:style>
  <w:style w:type="character" w:styleId="SubtleEmphasis">
    <w:name w:val="Subtle Emphasis"/>
    <w:basedOn w:val="DefaultParagraphFont"/>
    <w:uiPriority w:val="99"/>
    <w:qFormat/>
    <w:rsid w:val="005146A7"/>
    <w:rPr>
      <w:rFonts w:cs="Times New Roman"/>
      <w:i/>
    </w:rPr>
  </w:style>
  <w:style w:type="character" w:styleId="IntenseEmphasis">
    <w:name w:val="Intense Emphasis"/>
    <w:basedOn w:val="DefaultParagraphFont"/>
    <w:uiPriority w:val="99"/>
    <w:qFormat/>
    <w:rsid w:val="005146A7"/>
    <w:rPr>
      <w:rFonts w:cs="Times New Roman"/>
      <w:b/>
      <w:i/>
    </w:rPr>
  </w:style>
  <w:style w:type="character" w:styleId="SubtleReference">
    <w:name w:val="Subtle Reference"/>
    <w:basedOn w:val="DefaultParagraphFont"/>
    <w:uiPriority w:val="99"/>
    <w:qFormat/>
    <w:rsid w:val="005146A7"/>
    <w:rPr>
      <w:rFonts w:cs="Times New Roman"/>
      <w:smallCaps/>
    </w:rPr>
  </w:style>
  <w:style w:type="character" w:styleId="IntenseReference">
    <w:name w:val="Intense Reference"/>
    <w:basedOn w:val="DefaultParagraphFont"/>
    <w:uiPriority w:val="99"/>
    <w:qFormat/>
    <w:rsid w:val="005146A7"/>
    <w:rPr>
      <w:rFonts w:cs="Times New Roman"/>
      <w:b/>
      <w:smallCaps/>
    </w:rPr>
  </w:style>
  <w:style w:type="character" w:styleId="BookTitle">
    <w:name w:val="Book Title"/>
    <w:basedOn w:val="DefaultParagraphFont"/>
    <w:uiPriority w:val="99"/>
    <w:qFormat/>
    <w:rsid w:val="005146A7"/>
    <w:rPr>
      <w:rFonts w:cs="Times New Roman"/>
      <w:i/>
      <w:smallCaps/>
      <w:spacing w:val="5"/>
    </w:rPr>
  </w:style>
  <w:style w:type="paragraph" w:styleId="TOCHeading">
    <w:name w:val="TOC Heading"/>
    <w:basedOn w:val="Heading1"/>
    <w:next w:val="Normal"/>
    <w:uiPriority w:val="99"/>
    <w:qFormat/>
    <w:rsid w:val="005146A7"/>
    <w:pPr>
      <w:outlineLvl w:val="9"/>
    </w:pPr>
  </w:style>
  <w:style w:type="character" w:styleId="Hyperlink">
    <w:name w:val="Hyperlink"/>
    <w:basedOn w:val="DefaultParagraphFont"/>
    <w:uiPriority w:val="99"/>
    <w:rsid w:val="00B7068B"/>
    <w:rPr>
      <w:rFonts w:cs="Times New Roman"/>
      <w:color w:val="0000FF"/>
      <w:u w:val="single"/>
    </w:rPr>
  </w:style>
  <w:style w:type="character" w:customStyle="1" w:styleId="highlight">
    <w:name w:val="highlight"/>
    <w:uiPriority w:val="99"/>
    <w:rsid w:val="00B7068B"/>
  </w:style>
  <w:style w:type="character" w:styleId="HTMLCite">
    <w:name w:val="HTML Cite"/>
    <w:basedOn w:val="DefaultParagraphFont"/>
    <w:uiPriority w:val="99"/>
    <w:semiHidden/>
    <w:rsid w:val="00B7068B"/>
    <w:rPr>
      <w:rFonts w:cs="Times New Roman"/>
      <w:i/>
    </w:rPr>
  </w:style>
  <w:style w:type="paragraph" w:styleId="FootnoteText">
    <w:name w:val="footnote text"/>
    <w:basedOn w:val="Normal"/>
    <w:link w:val="FootnoteTextChar"/>
    <w:uiPriority w:val="99"/>
    <w:semiHidden/>
    <w:rsid w:val="00B7068B"/>
    <w:pPr>
      <w:spacing w:after="0" w:line="240" w:lineRule="auto"/>
      <w:jc w:val="both"/>
    </w:pPr>
    <w:rPr>
      <w:rFonts w:ascii="Arial" w:eastAsia="Calibri" w:hAnsi="Arial"/>
      <w:sz w:val="20"/>
      <w:szCs w:val="20"/>
    </w:rPr>
  </w:style>
  <w:style w:type="character" w:customStyle="1" w:styleId="FootnoteTextChar">
    <w:name w:val="Footnote Text Char"/>
    <w:basedOn w:val="DefaultParagraphFont"/>
    <w:link w:val="FootnoteText"/>
    <w:uiPriority w:val="99"/>
    <w:semiHidden/>
    <w:locked/>
    <w:rsid w:val="00B7068B"/>
    <w:rPr>
      <w:rFonts w:ascii="Arial" w:hAnsi="Arial" w:cs="Times New Roman"/>
      <w:sz w:val="20"/>
      <w:lang w:val="en-IE"/>
    </w:rPr>
  </w:style>
  <w:style w:type="character" w:styleId="FootnoteReference">
    <w:name w:val="footnote reference"/>
    <w:basedOn w:val="DefaultParagraphFont"/>
    <w:uiPriority w:val="99"/>
    <w:semiHidden/>
    <w:rsid w:val="00B7068B"/>
    <w:rPr>
      <w:rFonts w:cs="Times New Roman"/>
      <w:vertAlign w:val="superscript"/>
    </w:rPr>
  </w:style>
  <w:style w:type="paragraph" w:styleId="NormalWeb">
    <w:name w:val="Normal (Web)"/>
    <w:basedOn w:val="Normal"/>
    <w:uiPriority w:val="99"/>
    <w:rsid w:val="00B7068B"/>
    <w:pPr>
      <w:spacing w:before="150" w:after="150" w:afterAutospacing="1" w:line="384" w:lineRule="auto"/>
    </w:pPr>
    <w:rPr>
      <w:rFonts w:ascii="Times New Roman" w:eastAsia="Calibri" w:hAnsi="Times New Roman"/>
      <w:sz w:val="17"/>
      <w:szCs w:val="17"/>
      <w:lang w:eastAsia="en-IE"/>
    </w:rPr>
  </w:style>
  <w:style w:type="paragraph" w:styleId="Footer">
    <w:name w:val="footer"/>
    <w:basedOn w:val="Normal"/>
    <w:link w:val="FooterChar"/>
    <w:uiPriority w:val="99"/>
    <w:rsid w:val="00B7068B"/>
    <w:pPr>
      <w:tabs>
        <w:tab w:val="center" w:pos="4513"/>
        <w:tab w:val="right" w:pos="9026"/>
      </w:tabs>
      <w:spacing w:after="0" w:line="240" w:lineRule="auto"/>
    </w:pPr>
    <w:rPr>
      <w:rFonts w:ascii="Calibri" w:eastAsia="Calibri" w:hAnsi="Calibri"/>
      <w:sz w:val="20"/>
      <w:szCs w:val="20"/>
      <w:lang w:val="en-US"/>
    </w:rPr>
  </w:style>
  <w:style w:type="character" w:customStyle="1" w:styleId="FooterChar">
    <w:name w:val="Footer Char"/>
    <w:basedOn w:val="DefaultParagraphFont"/>
    <w:link w:val="Footer"/>
    <w:uiPriority w:val="99"/>
    <w:locked/>
    <w:rsid w:val="00B7068B"/>
    <w:rPr>
      <w:rFonts w:ascii="Calibri" w:hAnsi="Calibri" w:cs="Times New Roman"/>
    </w:rPr>
  </w:style>
  <w:style w:type="paragraph" w:styleId="BalloonText">
    <w:name w:val="Balloon Text"/>
    <w:basedOn w:val="Normal"/>
    <w:link w:val="BalloonTextChar"/>
    <w:uiPriority w:val="99"/>
    <w:semiHidden/>
    <w:rsid w:val="00B7068B"/>
    <w:pPr>
      <w:spacing w:after="0" w:line="240" w:lineRule="auto"/>
    </w:pPr>
    <w:rPr>
      <w:rFonts w:ascii="Lucida Grande" w:eastAsia="Calibri" w:hAnsi="Lucida Grande"/>
      <w:sz w:val="18"/>
      <w:szCs w:val="18"/>
    </w:rPr>
  </w:style>
  <w:style w:type="character" w:customStyle="1" w:styleId="BalloonTextChar">
    <w:name w:val="Balloon Text Char"/>
    <w:basedOn w:val="DefaultParagraphFont"/>
    <w:link w:val="BalloonText"/>
    <w:uiPriority w:val="99"/>
    <w:semiHidden/>
    <w:locked/>
    <w:rsid w:val="00B7068B"/>
    <w:rPr>
      <w:rFonts w:ascii="Lucida Grande" w:hAnsi="Lucida Grande" w:cs="Times New Roman"/>
      <w:sz w:val="18"/>
      <w:lang w:val="en-IE"/>
    </w:rPr>
  </w:style>
  <w:style w:type="character" w:styleId="CommentReference">
    <w:name w:val="annotation reference"/>
    <w:basedOn w:val="DefaultParagraphFont"/>
    <w:uiPriority w:val="99"/>
    <w:semiHidden/>
    <w:rsid w:val="00B7068B"/>
    <w:rPr>
      <w:rFonts w:cs="Times New Roman"/>
      <w:sz w:val="18"/>
    </w:rPr>
  </w:style>
  <w:style w:type="paragraph" w:styleId="CommentText">
    <w:name w:val="annotation text"/>
    <w:basedOn w:val="Normal"/>
    <w:link w:val="CommentTextChar"/>
    <w:uiPriority w:val="99"/>
    <w:semiHidden/>
    <w:rsid w:val="00B7068B"/>
    <w:pPr>
      <w:spacing w:line="240" w:lineRule="auto"/>
    </w:pPr>
    <w:rPr>
      <w:rFonts w:eastAsia="Calibri"/>
      <w:sz w:val="24"/>
      <w:szCs w:val="24"/>
    </w:rPr>
  </w:style>
  <w:style w:type="character" w:customStyle="1" w:styleId="CommentTextChar">
    <w:name w:val="Comment Text Char"/>
    <w:basedOn w:val="DefaultParagraphFont"/>
    <w:link w:val="CommentText"/>
    <w:uiPriority w:val="99"/>
    <w:semiHidden/>
    <w:locked/>
    <w:rsid w:val="00B7068B"/>
    <w:rPr>
      <w:rFonts w:cs="Times New Roman"/>
      <w:sz w:val="24"/>
      <w:lang w:val="en-IE"/>
    </w:rPr>
  </w:style>
  <w:style w:type="paragraph" w:styleId="CommentSubject">
    <w:name w:val="annotation subject"/>
    <w:basedOn w:val="CommentText"/>
    <w:next w:val="CommentText"/>
    <w:link w:val="CommentSubjectChar"/>
    <w:uiPriority w:val="99"/>
    <w:semiHidden/>
    <w:rsid w:val="00B7068B"/>
    <w:rPr>
      <w:b/>
      <w:bCs/>
      <w:sz w:val="20"/>
      <w:szCs w:val="20"/>
    </w:rPr>
  </w:style>
  <w:style w:type="character" w:customStyle="1" w:styleId="CommentSubjectChar">
    <w:name w:val="Comment Subject Char"/>
    <w:basedOn w:val="CommentTextChar"/>
    <w:link w:val="CommentSubject"/>
    <w:uiPriority w:val="99"/>
    <w:semiHidden/>
    <w:locked/>
    <w:rsid w:val="00B7068B"/>
    <w:rPr>
      <w:rFonts w:cs="Times New Roman"/>
      <w:b/>
      <w:sz w:val="20"/>
      <w:lang w:val="en-IE"/>
    </w:rPr>
  </w:style>
  <w:style w:type="paragraph" w:styleId="Header">
    <w:name w:val="header"/>
    <w:basedOn w:val="Normal"/>
    <w:link w:val="HeaderChar"/>
    <w:uiPriority w:val="99"/>
    <w:semiHidden/>
    <w:rsid w:val="00B7068B"/>
    <w:pPr>
      <w:tabs>
        <w:tab w:val="center" w:pos="4513"/>
        <w:tab w:val="right" w:pos="9026"/>
      </w:tabs>
      <w:spacing w:after="0" w:line="240" w:lineRule="auto"/>
    </w:pPr>
    <w:rPr>
      <w:rFonts w:eastAsia="Calibri"/>
      <w:sz w:val="20"/>
      <w:szCs w:val="20"/>
    </w:rPr>
  </w:style>
  <w:style w:type="character" w:customStyle="1" w:styleId="HeaderChar">
    <w:name w:val="Header Char"/>
    <w:basedOn w:val="DefaultParagraphFont"/>
    <w:link w:val="Header"/>
    <w:uiPriority w:val="99"/>
    <w:semiHidden/>
    <w:locked/>
    <w:rsid w:val="00B7068B"/>
    <w:rPr>
      <w:rFonts w:cs="Times New Roman"/>
      <w:lang w:val="en-IE"/>
    </w:rPr>
  </w:style>
  <w:style w:type="paragraph" w:customStyle="1" w:styleId="Default">
    <w:name w:val="Default"/>
    <w:uiPriority w:val="99"/>
    <w:rsid w:val="00B7068B"/>
    <w:pPr>
      <w:autoSpaceDE w:val="0"/>
      <w:autoSpaceDN w:val="0"/>
      <w:adjustRightInd w:val="0"/>
    </w:pPr>
    <w:rPr>
      <w:rFonts w:ascii="Times New Roman" w:eastAsia="Times New Roman" w:hAnsi="Times New Roman"/>
      <w:color w:val="000000"/>
      <w:sz w:val="24"/>
      <w:szCs w:val="24"/>
      <w:lang w:val="en-GB" w:eastAsia="en-US"/>
    </w:rPr>
  </w:style>
  <w:style w:type="character" w:styleId="FollowedHyperlink">
    <w:name w:val="FollowedHyperlink"/>
    <w:basedOn w:val="DefaultParagraphFont"/>
    <w:uiPriority w:val="99"/>
    <w:semiHidden/>
    <w:rsid w:val="00B7068B"/>
    <w:rPr>
      <w:rFonts w:cs="Times New Roman"/>
      <w:color w:val="800080"/>
      <w:u w:val="single"/>
    </w:rPr>
  </w:style>
  <w:style w:type="paragraph" w:customStyle="1" w:styleId="authors">
    <w:name w:val="authors"/>
    <w:basedOn w:val="Normal"/>
    <w:uiPriority w:val="99"/>
    <w:rsid w:val="00B7068B"/>
    <w:pPr>
      <w:spacing w:before="100" w:beforeAutospacing="1" w:after="100" w:afterAutospacing="1" w:line="240" w:lineRule="auto"/>
    </w:pPr>
    <w:rPr>
      <w:rFonts w:ascii="Times New Roman" w:eastAsia="Calibri" w:hAnsi="Times New Roman"/>
      <w:sz w:val="24"/>
      <w:szCs w:val="24"/>
      <w:lang w:eastAsia="en-IE"/>
    </w:rPr>
  </w:style>
  <w:style w:type="paragraph" w:styleId="PlainText">
    <w:name w:val="Plain Text"/>
    <w:basedOn w:val="Normal"/>
    <w:link w:val="PlainTextChar"/>
    <w:uiPriority w:val="99"/>
    <w:rsid w:val="00BB12DF"/>
    <w:pPr>
      <w:spacing w:after="0" w:line="240" w:lineRule="auto"/>
    </w:pPr>
    <w:rPr>
      <w:rFonts w:ascii="Consolas" w:eastAsia="Calibri" w:hAnsi="Consolas"/>
      <w:sz w:val="21"/>
      <w:szCs w:val="21"/>
    </w:rPr>
  </w:style>
  <w:style w:type="character" w:customStyle="1" w:styleId="PlainTextChar">
    <w:name w:val="Plain Text Char"/>
    <w:basedOn w:val="DefaultParagraphFont"/>
    <w:link w:val="PlainText"/>
    <w:uiPriority w:val="99"/>
    <w:locked/>
    <w:rsid w:val="00BB12DF"/>
    <w:rPr>
      <w:rFonts w:ascii="Consolas" w:hAnsi="Consolas" w:cs="Times New Roman"/>
      <w:sz w:val="21"/>
      <w:lang w:val="en-IE"/>
    </w:rPr>
  </w:style>
  <w:style w:type="character" w:customStyle="1" w:styleId="maintitle">
    <w:name w:val="maintitle"/>
    <w:basedOn w:val="DefaultParagraphFont"/>
    <w:uiPriority w:val="99"/>
    <w:rsid w:val="00850450"/>
    <w:rPr>
      <w:rFonts w:cs="Times New Roman"/>
    </w:rPr>
  </w:style>
  <w:style w:type="character" w:customStyle="1" w:styleId="authornames">
    <w:name w:val="authornames"/>
    <w:basedOn w:val="DefaultParagraphFont"/>
    <w:uiPriority w:val="99"/>
    <w:rsid w:val="00850450"/>
    <w:rPr>
      <w:rFonts w:cs="Times New Roman"/>
    </w:rPr>
  </w:style>
  <w:style w:type="character" w:customStyle="1" w:styleId="titleseparator5">
    <w:name w:val="titleseparator5"/>
    <w:uiPriority w:val="99"/>
    <w:rsid w:val="00850450"/>
    <w:rPr>
      <w:vanish/>
    </w:rPr>
  </w:style>
  <w:style w:type="character" w:customStyle="1" w:styleId="subtitle7">
    <w:name w:val="subtitle7"/>
    <w:uiPriority w:val="99"/>
    <w:rsid w:val="00850450"/>
    <w:rPr>
      <w:sz w:val="20"/>
    </w:rPr>
  </w:style>
  <w:style w:type="character" w:customStyle="1" w:styleId="slug-vol">
    <w:name w:val="slug-vol"/>
    <w:basedOn w:val="DefaultParagraphFont"/>
    <w:uiPriority w:val="99"/>
    <w:rsid w:val="00850450"/>
    <w:rPr>
      <w:rFonts w:cs="Times New Roman"/>
    </w:rPr>
  </w:style>
  <w:style w:type="character" w:customStyle="1" w:styleId="slug-issue">
    <w:name w:val="slug-issue"/>
    <w:basedOn w:val="DefaultParagraphFont"/>
    <w:uiPriority w:val="99"/>
    <w:rsid w:val="00850450"/>
    <w:rPr>
      <w:rFonts w:cs="Times New Roman"/>
    </w:rPr>
  </w:style>
  <w:style w:type="paragraph" w:customStyle="1" w:styleId="summary-title">
    <w:name w:val="summary-title"/>
    <w:basedOn w:val="Normal"/>
    <w:uiPriority w:val="99"/>
    <w:rsid w:val="009F2A85"/>
    <w:pPr>
      <w:spacing w:before="100" w:beforeAutospacing="1" w:after="100" w:afterAutospacing="1" w:line="240" w:lineRule="auto"/>
      <w:jc w:val="both"/>
    </w:pPr>
    <w:rPr>
      <w:rFonts w:ascii="Verdana" w:hAnsi="Verdana"/>
      <w:sz w:val="11"/>
      <w:szCs w:val="11"/>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0152903">
      <w:marLeft w:val="0"/>
      <w:marRight w:val="0"/>
      <w:marTop w:val="0"/>
      <w:marBottom w:val="0"/>
      <w:divBdr>
        <w:top w:val="none" w:sz="0" w:space="0" w:color="auto"/>
        <w:left w:val="none" w:sz="0" w:space="0" w:color="auto"/>
        <w:bottom w:val="none" w:sz="0" w:space="0" w:color="auto"/>
        <w:right w:val="none" w:sz="0" w:space="0" w:color="auto"/>
      </w:divBdr>
    </w:div>
    <w:div w:id="1070152904">
      <w:marLeft w:val="0"/>
      <w:marRight w:val="0"/>
      <w:marTop w:val="0"/>
      <w:marBottom w:val="0"/>
      <w:divBdr>
        <w:top w:val="none" w:sz="0" w:space="0" w:color="auto"/>
        <w:left w:val="none" w:sz="0" w:space="0" w:color="auto"/>
        <w:bottom w:val="none" w:sz="0" w:space="0" w:color="auto"/>
        <w:right w:val="none" w:sz="0" w:space="0" w:color="auto"/>
      </w:divBdr>
    </w:div>
    <w:div w:id="174629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iencedirect.com/science/article/pii/S0167629604001262" TargetMode="External"/><Relationship Id="rId13" Type="http://schemas.openxmlformats.org/officeDocument/2006/relationships/hyperlink" Target="http://www.sciencedirect.com/science/article/pii/S0167629604001262" TargetMode="External"/><Relationship Id="rId18" Type="http://schemas.openxmlformats.org/officeDocument/2006/relationships/hyperlink" Target="http://www.sciencedirect.com/science/article/pii/S0277953609000884"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onlinelibrary.wiley.com/doi/10.1111/jgs.12199/pdf" TargetMode="External"/><Relationship Id="rId34"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yperlink" Target="http://www.sciencedirect.com/science/article/pii/S0277953609000884" TargetMode="External"/><Relationship Id="rId17" Type="http://schemas.openxmlformats.org/officeDocument/2006/relationships/hyperlink" Target="http://www.sciencedirect.com/science/article/pii/S0277953609000884" TargetMode="External"/><Relationship Id="rId25" Type="http://schemas.openxmlformats.org/officeDocument/2006/relationships/header" Target="header2.xml"/><Relationship Id="rId33"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sychsocgerontology.oxfordjournals.org/search?author1=Stephani+L.+Hatch&amp;sortspec=date&amp;submit=Submit" TargetMode="External"/><Relationship Id="rId20" Type="http://schemas.openxmlformats.org/officeDocument/2006/relationships/hyperlink" Target="http://www.sciencedirect.com/science/article/pii/S0277953609000884"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ciencedirect.com/science/article/pii/S0277953609000884" TargetMode="External"/><Relationship Id="rId24" Type="http://schemas.openxmlformats.org/officeDocument/2006/relationships/header" Target="header1.xml"/><Relationship Id="rId32" Type="http://schemas.openxmlformats.org/officeDocument/2006/relationships/footer" Target="footer4.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ciencedirect.com/science/article/pii/S0167629604001262" TargetMode="External"/><Relationship Id="rId23" Type="http://schemas.openxmlformats.org/officeDocument/2006/relationships/package" Target="embeddings/Microsoft_Excel_Worksheet1.xlsx"/><Relationship Id="rId28" Type="http://schemas.openxmlformats.org/officeDocument/2006/relationships/header" Target="header3.xml"/><Relationship Id="rId36" Type="http://schemas.openxmlformats.org/officeDocument/2006/relationships/fontTable" Target="fontTable.xml"/><Relationship Id="rId10" Type="http://schemas.openxmlformats.org/officeDocument/2006/relationships/hyperlink" Target="http://www.sciencedirect.com/science/article/pii/S0277953609000884" TargetMode="External"/><Relationship Id="rId19" Type="http://schemas.openxmlformats.org/officeDocument/2006/relationships/hyperlink" Target="http://www.sciencedirect.com/science/article/pii/S0277953609000884" TargetMode="External"/><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www.sciencedirect.com/science/article/pii/S0167629604001262" TargetMode="External"/><Relationship Id="rId14" Type="http://schemas.openxmlformats.org/officeDocument/2006/relationships/hyperlink" Target="http://www.sciencedirect.com/science/article/pii/S0167629604001262" TargetMode="External"/><Relationship Id="rId22" Type="http://schemas.openxmlformats.org/officeDocument/2006/relationships/image" Target="media/image1.emf"/><Relationship Id="rId27" Type="http://schemas.openxmlformats.org/officeDocument/2006/relationships/footer" Target="footer2.xml"/><Relationship Id="rId30" Type="http://schemas.openxmlformats.org/officeDocument/2006/relationships/header" Target="header4.xml"/><Relationship Id="rId35"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7260</Words>
  <Characters>41386</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Loneliness in later life:</vt:lpstr>
    </vt:vector>
  </TitlesOfParts>
  <Company>TCD</Company>
  <LinksUpToDate>false</LinksUpToDate>
  <CharactersWithSpaces>48549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Loneliness in later life:</dc:title>
  <dc:subject/>
  <dc:creator>doylem5</dc:creator>
  <cp:keywords/>
  <dc:description/>
  <cp:lastModifiedBy>Virpi Timonen</cp:lastModifiedBy>
  <cp:revision>3</cp:revision>
  <cp:lastPrinted>2013-06-14T19:37:00Z</cp:lastPrinted>
  <dcterms:created xsi:type="dcterms:W3CDTF">2013-08-12T16:54:00Z</dcterms:created>
  <dcterms:modified xsi:type="dcterms:W3CDTF">2014-12-18T15:55:00Z</dcterms:modified>
</cp:coreProperties>
</file>