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70FFC" w14:textId="45B30ED9" w:rsidR="00BA7721" w:rsidRDefault="006919BD" w:rsidP="00BA7721">
      <w:pPr>
        <w:rPr>
          <w:rFonts w:ascii="Times New Roman" w:hAnsi="Times New Roman" w:cs="Times New Roman"/>
          <w:b/>
          <w:bCs/>
          <w:sz w:val="20"/>
          <w:szCs w:val="20"/>
          <w:lang w:val="en-GB"/>
        </w:rPr>
      </w:pPr>
      <w:r w:rsidRPr="00AE5B1C">
        <w:rPr>
          <w:rFonts w:ascii="Times New Roman" w:hAnsi="Times New Roman" w:cs="Times New Roman"/>
          <w:b/>
          <w:bCs/>
          <w:sz w:val="20"/>
          <w:szCs w:val="20"/>
          <w:lang w:val="en-GB"/>
        </w:rPr>
        <w:t xml:space="preserve">Gone in 60 </w:t>
      </w:r>
      <w:r w:rsidR="00EB3D91" w:rsidRPr="00AE5B1C">
        <w:rPr>
          <w:rFonts w:ascii="Times New Roman" w:hAnsi="Times New Roman" w:cs="Times New Roman"/>
          <w:b/>
          <w:bCs/>
          <w:sz w:val="20"/>
          <w:szCs w:val="20"/>
          <w:lang w:val="en-GB"/>
        </w:rPr>
        <w:t>D</w:t>
      </w:r>
      <w:r w:rsidRPr="00AE5B1C">
        <w:rPr>
          <w:rFonts w:ascii="Times New Roman" w:hAnsi="Times New Roman" w:cs="Times New Roman"/>
          <w:b/>
          <w:bCs/>
          <w:sz w:val="20"/>
          <w:szCs w:val="20"/>
          <w:lang w:val="en-GB"/>
        </w:rPr>
        <w:t>ays</w:t>
      </w:r>
      <w:r w:rsidR="00F76002" w:rsidRPr="00AE5B1C">
        <w:rPr>
          <w:rFonts w:ascii="Times New Roman" w:hAnsi="Times New Roman" w:cs="Times New Roman"/>
          <w:b/>
          <w:bCs/>
          <w:sz w:val="20"/>
          <w:szCs w:val="20"/>
          <w:lang w:val="en-GB"/>
        </w:rPr>
        <w:t xml:space="preserve">: </w:t>
      </w:r>
      <w:r w:rsidR="003A52CE">
        <w:rPr>
          <w:rFonts w:ascii="Times New Roman" w:hAnsi="Times New Roman" w:cs="Times New Roman"/>
          <w:b/>
          <w:bCs/>
          <w:sz w:val="20"/>
          <w:szCs w:val="20"/>
          <w:lang w:val="en-GB"/>
        </w:rPr>
        <w:t>Our first experience with a</w:t>
      </w:r>
      <w:r w:rsidR="00F76002" w:rsidRPr="00AE5B1C">
        <w:rPr>
          <w:rFonts w:ascii="Times New Roman" w:hAnsi="Times New Roman" w:cs="Times New Roman"/>
          <w:b/>
          <w:bCs/>
          <w:sz w:val="20"/>
          <w:szCs w:val="20"/>
          <w:lang w:val="en-GB"/>
        </w:rPr>
        <w:t xml:space="preserve"> </w:t>
      </w:r>
      <w:proofErr w:type="spellStart"/>
      <w:r w:rsidR="00F76002" w:rsidRPr="00AE5B1C">
        <w:rPr>
          <w:rFonts w:ascii="Times New Roman" w:hAnsi="Times New Roman" w:cs="Times New Roman"/>
          <w:b/>
          <w:bCs/>
          <w:sz w:val="20"/>
          <w:szCs w:val="20"/>
          <w:lang w:val="en-GB"/>
        </w:rPr>
        <w:t>bioco</w:t>
      </w:r>
      <w:r w:rsidR="00493DCC" w:rsidRPr="00AE5B1C">
        <w:rPr>
          <w:rFonts w:ascii="Times New Roman" w:hAnsi="Times New Roman" w:cs="Times New Roman"/>
          <w:b/>
          <w:bCs/>
          <w:sz w:val="20"/>
          <w:szCs w:val="20"/>
          <w:lang w:val="en-GB"/>
        </w:rPr>
        <w:t>n</w:t>
      </w:r>
      <w:r w:rsidR="00F76002" w:rsidRPr="00AE5B1C">
        <w:rPr>
          <w:rFonts w:ascii="Times New Roman" w:hAnsi="Times New Roman" w:cs="Times New Roman"/>
          <w:b/>
          <w:bCs/>
          <w:sz w:val="20"/>
          <w:szCs w:val="20"/>
          <w:lang w:val="en-GB"/>
        </w:rPr>
        <w:t>vertible</w:t>
      </w:r>
      <w:proofErr w:type="spellEnd"/>
      <w:r w:rsidR="00F76002" w:rsidRPr="00AE5B1C">
        <w:rPr>
          <w:rFonts w:ascii="Times New Roman" w:hAnsi="Times New Roman" w:cs="Times New Roman"/>
          <w:b/>
          <w:bCs/>
          <w:sz w:val="20"/>
          <w:szCs w:val="20"/>
          <w:lang w:val="en-GB"/>
        </w:rPr>
        <w:t xml:space="preserve"> IVC Filter.</w:t>
      </w:r>
    </w:p>
    <w:p w14:paraId="3DD3A476" w14:textId="77777777" w:rsidR="00F20799" w:rsidRDefault="00F20799" w:rsidP="00BA7721">
      <w:pPr>
        <w:rPr>
          <w:rFonts w:ascii="Times New Roman" w:hAnsi="Times New Roman" w:cs="Times New Roman"/>
          <w:b/>
          <w:bCs/>
          <w:sz w:val="20"/>
          <w:szCs w:val="20"/>
          <w:lang w:val="en-GB"/>
        </w:rPr>
      </w:pPr>
    </w:p>
    <w:p w14:paraId="4ED04F1B" w14:textId="103893D1" w:rsidR="00F20799" w:rsidRDefault="00F20799" w:rsidP="00BA7721">
      <w:pPr>
        <w:rPr>
          <w:rFonts w:ascii="Times New Roman" w:hAnsi="Times New Roman" w:cs="Times New Roman"/>
          <w:b/>
          <w:bCs/>
          <w:sz w:val="20"/>
          <w:szCs w:val="20"/>
          <w:lang w:val="en-GB"/>
        </w:rPr>
      </w:pPr>
      <w:r>
        <w:rPr>
          <w:rFonts w:ascii="Times New Roman" w:hAnsi="Times New Roman" w:cs="Times New Roman"/>
          <w:b/>
          <w:bCs/>
          <w:sz w:val="20"/>
          <w:szCs w:val="20"/>
          <w:lang w:val="en-GB"/>
        </w:rPr>
        <w:t>Authors</w:t>
      </w:r>
    </w:p>
    <w:p w14:paraId="0AE1D0E3" w14:textId="5680381D" w:rsidR="00D846F4" w:rsidRPr="002C2C73" w:rsidRDefault="00D846F4" w:rsidP="00D846F4">
      <w:pPr>
        <w:rPr>
          <w:iCs/>
          <w:sz w:val="20"/>
          <w:szCs w:val="20"/>
        </w:rPr>
      </w:pPr>
      <w:r w:rsidRPr="002C2C73">
        <w:rPr>
          <w:iCs/>
          <w:sz w:val="20"/>
          <w:szCs w:val="20"/>
        </w:rPr>
        <w:t>Lambe G</w:t>
      </w:r>
      <w:r w:rsidRPr="0081447A">
        <w:rPr>
          <w:sz w:val="20"/>
          <w:szCs w:val="20"/>
          <w:vertAlign w:val="superscript"/>
        </w:rPr>
        <w:t>1</w:t>
      </w:r>
      <w:r w:rsidRPr="002C2C73">
        <w:rPr>
          <w:iCs/>
          <w:sz w:val="20"/>
          <w:szCs w:val="20"/>
        </w:rPr>
        <w:t xml:space="preserve">, </w:t>
      </w:r>
      <w:r w:rsidR="008A41AE">
        <w:rPr>
          <w:iCs/>
          <w:sz w:val="20"/>
          <w:szCs w:val="20"/>
        </w:rPr>
        <w:t xml:space="preserve">O’ Mahony </w:t>
      </w:r>
      <w:r w:rsidR="009A2A96">
        <w:rPr>
          <w:iCs/>
          <w:sz w:val="20"/>
          <w:szCs w:val="20"/>
        </w:rPr>
        <w:t>J</w:t>
      </w:r>
      <w:r w:rsidR="009630B6">
        <w:rPr>
          <w:sz w:val="20"/>
          <w:szCs w:val="20"/>
          <w:vertAlign w:val="superscript"/>
        </w:rPr>
        <w:t>1</w:t>
      </w:r>
      <w:r w:rsidRPr="002C2C73">
        <w:rPr>
          <w:iCs/>
          <w:sz w:val="20"/>
          <w:szCs w:val="20"/>
        </w:rPr>
        <w:t>,</w:t>
      </w:r>
      <w:r w:rsidR="00A07800">
        <w:rPr>
          <w:iCs/>
          <w:sz w:val="20"/>
          <w:szCs w:val="20"/>
        </w:rPr>
        <w:t xml:space="preserve"> </w:t>
      </w:r>
      <w:r w:rsidR="0060535D">
        <w:rPr>
          <w:iCs/>
          <w:sz w:val="20"/>
          <w:szCs w:val="20"/>
        </w:rPr>
        <w:t>Courtney M</w:t>
      </w:r>
      <w:r w:rsidR="009630B6" w:rsidRPr="009630B6">
        <w:rPr>
          <w:sz w:val="20"/>
          <w:szCs w:val="20"/>
          <w:vertAlign w:val="superscript"/>
        </w:rPr>
        <w:t>1</w:t>
      </w:r>
      <w:r w:rsidR="0060535D">
        <w:rPr>
          <w:iCs/>
          <w:sz w:val="20"/>
          <w:szCs w:val="20"/>
        </w:rPr>
        <w:t>,</w:t>
      </w:r>
      <w:r w:rsidR="00905D5D">
        <w:rPr>
          <w:iCs/>
          <w:sz w:val="20"/>
          <w:szCs w:val="20"/>
        </w:rPr>
        <w:t xml:space="preserve"> Donlon N</w:t>
      </w:r>
      <w:r w:rsidR="00905D5D" w:rsidRPr="00905D5D">
        <w:rPr>
          <w:sz w:val="20"/>
          <w:szCs w:val="20"/>
          <w:vertAlign w:val="superscript"/>
        </w:rPr>
        <w:t>2</w:t>
      </w:r>
      <w:r w:rsidR="00905D5D">
        <w:rPr>
          <w:iCs/>
          <w:sz w:val="20"/>
          <w:szCs w:val="20"/>
        </w:rPr>
        <w:t>,</w:t>
      </w:r>
      <w:r>
        <w:rPr>
          <w:iCs/>
          <w:sz w:val="20"/>
          <w:szCs w:val="20"/>
        </w:rPr>
        <w:t xml:space="preserve"> Donohoe C</w:t>
      </w:r>
      <w:r w:rsidR="009630B6">
        <w:rPr>
          <w:sz w:val="20"/>
          <w:szCs w:val="20"/>
          <w:vertAlign w:val="superscript"/>
        </w:rPr>
        <w:t>2</w:t>
      </w:r>
      <w:r>
        <w:rPr>
          <w:iCs/>
          <w:sz w:val="20"/>
          <w:szCs w:val="20"/>
        </w:rPr>
        <w:t>,</w:t>
      </w:r>
      <w:r w:rsidRPr="002C2C73">
        <w:rPr>
          <w:iCs/>
          <w:sz w:val="20"/>
          <w:szCs w:val="20"/>
        </w:rPr>
        <w:t xml:space="preserve"> </w:t>
      </w:r>
      <w:r>
        <w:rPr>
          <w:iCs/>
          <w:sz w:val="20"/>
          <w:szCs w:val="20"/>
        </w:rPr>
        <w:t xml:space="preserve">Ryan </w:t>
      </w:r>
      <w:r w:rsidR="000662DC">
        <w:rPr>
          <w:iCs/>
          <w:sz w:val="20"/>
          <w:szCs w:val="20"/>
        </w:rPr>
        <w:t>J</w:t>
      </w:r>
      <w:r>
        <w:rPr>
          <w:iCs/>
          <w:sz w:val="20"/>
          <w:szCs w:val="20"/>
        </w:rPr>
        <w:t>M</w:t>
      </w:r>
      <w:r w:rsidRPr="0081447A">
        <w:rPr>
          <w:sz w:val="20"/>
          <w:szCs w:val="20"/>
          <w:vertAlign w:val="superscript"/>
        </w:rPr>
        <w:t>1</w:t>
      </w:r>
      <w:r w:rsidRPr="002C2C73">
        <w:rPr>
          <w:iCs/>
          <w:sz w:val="20"/>
          <w:szCs w:val="20"/>
        </w:rPr>
        <w:t xml:space="preserve">. </w:t>
      </w:r>
    </w:p>
    <w:p w14:paraId="14175AE7" w14:textId="77777777" w:rsidR="00D846F4" w:rsidRDefault="00D846F4" w:rsidP="00D846F4">
      <w:pPr>
        <w:pStyle w:val="ListParagraph"/>
        <w:numPr>
          <w:ilvl w:val="0"/>
          <w:numId w:val="4"/>
        </w:numPr>
        <w:ind w:left="501"/>
        <w:rPr>
          <w:iCs/>
          <w:sz w:val="20"/>
          <w:szCs w:val="20"/>
        </w:rPr>
      </w:pPr>
      <w:r w:rsidRPr="00341B14">
        <w:rPr>
          <w:iCs/>
          <w:sz w:val="20"/>
          <w:szCs w:val="20"/>
        </w:rPr>
        <w:t>Radiology Department, St. James’s Hospital, James’s Street, Dublin 8, Ireland</w:t>
      </w:r>
    </w:p>
    <w:p w14:paraId="658B69DA" w14:textId="7086A988" w:rsidR="00F20799" w:rsidRPr="006F312B" w:rsidRDefault="00905D5D" w:rsidP="00BA7721">
      <w:pPr>
        <w:pStyle w:val="ListParagraph"/>
        <w:numPr>
          <w:ilvl w:val="0"/>
          <w:numId w:val="4"/>
        </w:numPr>
        <w:ind w:left="501"/>
        <w:rPr>
          <w:iCs/>
          <w:sz w:val="20"/>
          <w:szCs w:val="20"/>
        </w:rPr>
      </w:pPr>
      <w:r>
        <w:rPr>
          <w:iCs/>
          <w:sz w:val="20"/>
          <w:szCs w:val="20"/>
        </w:rPr>
        <w:t xml:space="preserve">Department of Upper GI Surgery, </w:t>
      </w:r>
      <w:r w:rsidRPr="00341B14">
        <w:rPr>
          <w:iCs/>
          <w:sz w:val="20"/>
          <w:szCs w:val="20"/>
        </w:rPr>
        <w:t>St. James’s Hospital, James’s Street, Dublin 8, Ireland</w:t>
      </w:r>
    </w:p>
    <w:p w14:paraId="089CE3CE" w14:textId="77777777" w:rsidR="00BA7721" w:rsidRPr="00AE5B1C" w:rsidRDefault="00BA7721" w:rsidP="00BA7721">
      <w:pPr>
        <w:rPr>
          <w:rFonts w:ascii="Times New Roman" w:hAnsi="Times New Roman" w:cs="Times New Roman"/>
          <w:b/>
          <w:bCs/>
          <w:sz w:val="20"/>
          <w:szCs w:val="20"/>
          <w:lang w:val="en-GB"/>
        </w:rPr>
      </w:pPr>
      <w:r w:rsidRPr="00AE5B1C">
        <w:rPr>
          <w:rFonts w:ascii="Times New Roman" w:hAnsi="Times New Roman" w:cs="Times New Roman"/>
          <w:b/>
          <w:bCs/>
          <w:sz w:val="20"/>
          <w:szCs w:val="20"/>
          <w:lang w:val="en-GB"/>
        </w:rPr>
        <w:t>Corresponding author</w:t>
      </w:r>
    </w:p>
    <w:p w14:paraId="05DC01E6" w14:textId="77777777" w:rsidR="00BA7721" w:rsidRPr="00AE5B1C" w:rsidRDefault="00BA7721" w:rsidP="00BA7721">
      <w:pPr>
        <w:rPr>
          <w:rFonts w:ascii="Times New Roman" w:hAnsi="Times New Roman" w:cs="Times New Roman"/>
          <w:sz w:val="20"/>
          <w:szCs w:val="20"/>
          <w:lang w:val="en-GB"/>
        </w:rPr>
      </w:pPr>
      <w:r w:rsidRPr="00AE5B1C">
        <w:rPr>
          <w:rFonts w:ascii="Times New Roman" w:hAnsi="Times New Roman" w:cs="Times New Roman"/>
          <w:sz w:val="20"/>
          <w:szCs w:val="20"/>
          <w:lang w:val="en-GB"/>
        </w:rPr>
        <w:t>Name: Gerard Lambe</w:t>
      </w:r>
    </w:p>
    <w:p w14:paraId="64418089" w14:textId="31094951" w:rsidR="00BA7721" w:rsidRPr="00AE5B1C" w:rsidRDefault="00BA7721" w:rsidP="00BA7721">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Address: </w:t>
      </w:r>
      <w:r w:rsidR="00A65E5A">
        <w:rPr>
          <w:rFonts w:ascii="Times New Roman" w:hAnsi="Times New Roman" w:cs="Times New Roman"/>
          <w:sz w:val="20"/>
          <w:szCs w:val="20"/>
          <w:lang w:val="en-GB"/>
        </w:rPr>
        <w:t>Radiology Department, St. James’s Hospital, James’s Street, Dublin 8, Ireland.</w:t>
      </w:r>
    </w:p>
    <w:p w14:paraId="3FECF983" w14:textId="660D9513" w:rsidR="00BA7721" w:rsidRPr="00AE5B1C" w:rsidRDefault="00BA7721" w:rsidP="00BA7721">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Email: </w:t>
      </w:r>
      <w:r w:rsidR="003D5433">
        <w:rPr>
          <w:rFonts w:ascii="Times New Roman" w:hAnsi="Times New Roman" w:cs="Times New Roman"/>
          <w:sz w:val="20"/>
          <w:szCs w:val="20"/>
          <w:lang w:val="en-GB"/>
        </w:rPr>
        <w:t>g</w:t>
      </w:r>
      <w:r w:rsidR="00566103">
        <w:rPr>
          <w:rFonts w:ascii="Times New Roman" w:hAnsi="Times New Roman" w:cs="Times New Roman"/>
          <w:sz w:val="20"/>
          <w:szCs w:val="20"/>
          <w:lang w:val="en-GB"/>
        </w:rPr>
        <w:t>erard.lambe@ucdconnect.ie</w:t>
      </w:r>
    </w:p>
    <w:p w14:paraId="0FB43731" w14:textId="32E1DE7D" w:rsidR="000754AC" w:rsidRPr="00AE5B1C" w:rsidRDefault="00350080">
      <w:pPr>
        <w:rPr>
          <w:rFonts w:ascii="Times New Roman" w:hAnsi="Times New Roman" w:cs="Times New Roman"/>
          <w:b/>
          <w:bCs/>
          <w:sz w:val="20"/>
          <w:szCs w:val="20"/>
          <w:lang w:val="en-GB"/>
        </w:rPr>
      </w:pPr>
      <w:r w:rsidRPr="00AE5B1C">
        <w:rPr>
          <w:rFonts w:ascii="Times New Roman" w:hAnsi="Times New Roman" w:cs="Times New Roman"/>
          <w:b/>
          <w:bCs/>
          <w:sz w:val="20"/>
          <w:szCs w:val="20"/>
          <w:lang w:val="en-GB"/>
        </w:rPr>
        <w:t>Abstract</w:t>
      </w:r>
    </w:p>
    <w:p w14:paraId="558A7C66" w14:textId="1A50618F" w:rsidR="00350080" w:rsidRPr="00AE5B1C" w:rsidRDefault="001A7DA9">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The Sentry </w:t>
      </w:r>
      <w:proofErr w:type="spellStart"/>
      <w:r w:rsidRPr="00AE5B1C">
        <w:rPr>
          <w:rFonts w:ascii="Times New Roman" w:hAnsi="Times New Roman" w:cs="Times New Roman"/>
          <w:sz w:val="20"/>
          <w:szCs w:val="20"/>
          <w:lang w:val="en-GB"/>
        </w:rPr>
        <w:t>bioconvertible</w:t>
      </w:r>
      <w:proofErr w:type="spellEnd"/>
      <w:r w:rsidRPr="00AE5B1C">
        <w:rPr>
          <w:rFonts w:ascii="Times New Roman" w:hAnsi="Times New Roman" w:cs="Times New Roman"/>
          <w:sz w:val="20"/>
          <w:szCs w:val="20"/>
          <w:lang w:val="en-GB"/>
        </w:rPr>
        <w:t xml:space="preserve"> IVC filter</w:t>
      </w:r>
      <w:r w:rsidR="003A52CE">
        <w:rPr>
          <w:rFonts w:ascii="Times New Roman" w:hAnsi="Times New Roman" w:cs="Times New Roman"/>
          <w:sz w:val="20"/>
          <w:szCs w:val="20"/>
          <w:lang w:val="en-GB"/>
        </w:rPr>
        <w:t xml:space="preserve"> (Boston Scientific, MA, USA)</w:t>
      </w:r>
      <w:r w:rsidRPr="00AE5B1C">
        <w:rPr>
          <w:rFonts w:ascii="Times New Roman" w:hAnsi="Times New Roman" w:cs="Times New Roman"/>
          <w:sz w:val="20"/>
          <w:szCs w:val="20"/>
          <w:lang w:val="en-GB"/>
        </w:rPr>
        <w:t xml:space="preserve"> contains a bioabsorbable filament</w:t>
      </w:r>
      <w:r w:rsidR="00FF3E46" w:rsidRPr="00AE5B1C">
        <w:rPr>
          <w:rFonts w:ascii="Times New Roman" w:hAnsi="Times New Roman" w:cs="Times New Roman"/>
          <w:sz w:val="20"/>
          <w:szCs w:val="20"/>
          <w:lang w:val="en-GB"/>
        </w:rPr>
        <w:t xml:space="preserve"> which </w:t>
      </w:r>
      <w:proofErr w:type="spellStart"/>
      <w:r w:rsidR="00FF3E46" w:rsidRPr="00AE5B1C">
        <w:rPr>
          <w:rFonts w:ascii="Times New Roman" w:hAnsi="Times New Roman" w:cs="Times New Roman"/>
          <w:sz w:val="20"/>
          <w:szCs w:val="20"/>
          <w:lang w:val="en-GB"/>
        </w:rPr>
        <w:t>hydrolyzes</w:t>
      </w:r>
      <w:proofErr w:type="spellEnd"/>
      <w:r w:rsidR="00FF3E46" w:rsidRPr="00AE5B1C">
        <w:rPr>
          <w:rFonts w:ascii="Times New Roman" w:hAnsi="Times New Roman" w:cs="Times New Roman"/>
          <w:sz w:val="20"/>
          <w:szCs w:val="20"/>
          <w:lang w:val="en-GB"/>
        </w:rPr>
        <w:t xml:space="preserve"> after 60 days</w:t>
      </w:r>
      <w:r w:rsidR="00111B0A" w:rsidRPr="00AE5B1C">
        <w:rPr>
          <w:rFonts w:ascii="Times New Roman" w:hAnsi="Times New Roman" w:cs="Times New Roman"/>
          <w:sz w:val="20"/>
          <w:szCs w:val="20"/>
          <w:lang w:val="en-GB"/>
        </w:rPr>
        <w:t xml:space="preserve"> allowing the arms of the filter to spring open, retract into the vessel wall and </w:t>
      </w:r>
      <w:proofErr w:type="spellStart"/>
      <w:r w:rsidR="00111B0A" w:rsidRPr="00AE5B1C">
        <w:rPr>
          <w:rFonts w:ascii="Times New Roman" w:hAnsi="Times New Roman" w:cs="Times New Roman"/>
          <w:sz w:val="20"/>
          <w:szCs w:val="20"/>
          <w:lang w:val="en-GB"/>
        </w:rPr>
        <w:t>endotheliali</w:t>
      </w:r>
      <w:r w:rsidR="00CF1068" w:rsidRPr="00AE5B1C">
        <w:rPr>
          <w:rFonts w:ascii="Times New Roman" w:hAnsi="Times New Roman" w:cs="Times New Roman"/>
          <w:sz w:val="20"/>
          <w:szCs w:val="20"/>
          <w:lang w:val="en-GB"/>
        </w:rPr>
        <w:t>ze</w:t>
      </w:r>
      <w:proofErr w:type="spellEnd"/>
      <w:r w:rsidR="00CF1068" w:rsidRPr="00AE5B1C">
        <w:rPr>
          <w:rFonts w:ascii="Times New Roman" w:hAnsi="Times New Roman" w:cs="Times New Roman"/>
          <w:sz w:val="20"/>
          <w:szCs w:val="20"/>
          <w:lang w:val="en-GB"/>
        </w:rPr>
        <w:t xml:space="preserve"> leaving an unobstructed IVC lumen. </w:t>
      </w:r>
    </w:p>
    <w:p w14:paraId="29CEBBFF" w14:textId="031BDEBC" w:rsidR="00D65F3A" w:rsidRPr="00AE5B1C" w:rsidRDefault="00D65F3A">
      <w:pPr>
        <w:rPr>
          <w:rFonts w:ascii="Times New Roman" w:hAnsi="Times New Roman" w:cs="Times New Roman"/>
          <w:sz w:val="20"/>
          <w:szCs w:val="20"/>
          <w:lang w:val="en-GB"/>
        </w:rPr>
      </w:pPr>
      <w:r w:rsidRPr="00AE5B1C">
        <w:rPr>
          <w:rFonts w:ascii="Times New Roman" w:hAnsi="Times New Roman" w:cs="Times New Roman"/>
          <w:sz w:val="20"/>
          <w:szCs w:val="20"/>
          <w:lang w:val="en-GB"/>
        </w:rPr>
        <w:t>It is a novel treatment option for patients at transient risk of pulmonary emboli</w:t>
      </w:r>
      <w:r w:rsidR="008D6CC1" w:rsidRPr="00AE5B1C">
        <w:rPr>
          <w:rFonts w:ascii="Times New Roman" w:hAnsi="Times New Roman" w:cs="Times New Roman"/>
          <w:sz w:val="20"/>
          <w:szCs w:val="20"/>
          <w:lang w:val="en-GB"/>
        </w:rPr>
        <w:t xml:space="preserve"> with a contra-indication to anticoagulation. The device provides </w:t>
      </w:r>
      <w:r w:rsidR="003A52CE">
        <w:rPr>
          <w:rFonts w:ascii="Times New Roman" w:hAnsi="Times New Roman" w:cs="Times New Roman"/>
          <w:sz w:val="20"/>
          <w:szCs w:val="20"/>
          <w:lang w:val="en-GB"/>
        </w:rPr>
        <w:t xml:space="preserve">similar protection to other currently available devices against pulmonary emboli </w:t>
      </w:r>
      <w:r w:rsidR="003D790E" w:rsidRPr="00AE5B1C">
        <w:rPr>
          <w:rFonts w:ascii="Times New Roman" w:hAnsi="Times New Roman" w:cs="Times New Roman"/>
          <w:sz w:val="20"/>
          <w:szCs w:val="20"/>
          <w:lang w:val="en-GB"/>
        </w:rPr>
        <w:t>with minimal complications. It represents an effective alternative to retrievable filters</w:t>
      </w:r>
      <w:r w:rsidR="003A52CE">
        <w:rPr>
          <w:rFonts w:ascii="Times New Roman" w:hAnsi="Times New Roman" w:cs="Times New Roman"/>
          <w:sz w:val="20"/>
          <w:szCs w:val="20"/>
          <w:lang w:val="en-GB"/>
        </w:rPr>
        <w:t xml:space="preserve">, the removal of which is variously not attempted, not possible </w:t>
      </w:r>
      <w:r w:rsidR="00A65E5A">
        <w:rPr>
          <w:rFonts w:ascii="Times New Roman" w:hAnsi="Times New Roman" w:cs="Times New Roman"/>
          <w:sz w:val="20"/>
          <w:szCs w:val="20"/>
          <w:lang w:val="en-GB"/>
        </w:rPr>
        <w:t>or</w:t>
      </w:r>
      <w:r w:rsidR="003A52CE">
        <w:rPr>
          <w:rFonts w:ascii="Times New Roman" w:hAnsi="Times New Roman" w:cs="Times New Roman"/>
          <w:sz w:val="20"/>
          <w:szCs w:val="20"/>
          <w:lang w:val="en-GB"/>
        </w:rPr>
        <w:t xml:space="preserve"> associated with high complication rates.</w:t>
      </w:r>
      <w:r w:rsidR="008D6CC1" w:rsidRPr="00AE5B1C">
        <w:rPr>
          <w:rFonts w:ascii="Times New Roman" w:hAnsi="Times New Roman" w:cs="Times New Roman"/>
          <w:sz w:val="20"/>
          <w:szCs w:val="20"/>
          <w:lang w:val="en-GB"/>
        </w:rPr>
        <w:t xml:space="preserve"> </w:t>
      </w:r>
    </w:p>
    <w:p w14:paraId="11B1A255" w14:textId="6B6DCC47" w:rsidR="003B1C0C" w:rsidRPr="00AE5B1C" w:rsidRDefault="003B1C0C">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We review the literature which underpins the development of the </w:t>
      </w:r>
      <w:proofErr w:type="spellStart"/>
      <w:r w:rsidR="00A65E5A">
        <w:rPr>
          <w:rFonts w:ascii="Times New Roman" w:hAnsi="Times New Roman" w:cs="Times New Roman"/>
          <w:sz w:val="20"/>
          <w:szCs w:val="20"/>
          <w:lang w:val="en-GB"/>
        </w:rPr>
        <w:t>bioconvertible</w:t>
      </w:r>
      <w:proofErr w:type="spellEnd"/>
      <w:r w:rsidRPr="00AE5B1C">
        <w:rPr>
          <w:rFonts w:ascii="Times New Roman" w:hAnsi="Times New Roman" w:cs="Times New Roman"/>
          <w:sz w:val="20"/>
          <w:szCs w:val="20"/>
          <w:lang w:val="en-GB"/>
        </w:rPr>
        <w:t xml:space="preserve"> filter. We describe </w:t>
      </w:r>
      <w:r w:rsidR="006605F1">
        <w:rPr>
          <w:rFonts w:ascii="Times New Roman" w:hAnsi="Times New Roman" w:cs="Times New Roman"/>
          <w:sz w:val="20"/>
          <w:szCs w:val="20"/>
          <w:lang w:val="en-GB"/>
        </w:rPr>
        <w:t>our</w:t>
      </w:r>
      <w:r w:rsidRPr="00AE5B1C">
        <w:rPr>
          <w:rFonts w:ascii="Times New Roman" w:hAnsi="Times New Roman" w:cs="Times New Roman"/>
          <w:sz w:val="20"/>
          <w:szCs w:val="20"/>
          <w:lang w:val="en-GB"/>
        </w:rPr>
        <w:t xml:space="preserve"> first deployment of the filter</w:t>
      </w:r>
      <w:r w:rsidR="00AF5573" w:rsidRPr="00AE5B1C">
        <w:rPr>
          <w:rFonts w:ascii="Times New Roman" w:hAnsi="Times New Roman" w:cs="Times New Roman"/>
          <w:sz w:val="20"/>
          <w:szCs w:val="20"/>
          <w:lang w:val="en-GB"/>
        </w:rPr>
        <w:t xml:space="preserve"> in an 85-year-old female with gastric malignancy</w:t>
      </w:r>
      <w:r w:rsidR="004B50BE" w:rsidRPr="00AE5B1C">
        <w:rPr>
          <w:rFonts w:ascii="Times New Roman" w:hAnsi="Times New Roman" w:cs="Times New Roman"/>
          <w:sz w:val="20"/>
          <w:szCs w:val="20"/>
          <w:lang w:val="en-GB"/>
        </w:rPr>
        <w:t xml:space="preserve"> </w:t>
      </w:r>
      <w:r w:rsidR="00A673B8" w:rsidRPr="00AE5B1C">
        <w:rPr>
          <w:rFonts w:ascii="Times New Roman" w:hAnsi="Times New Roman" w:cs="Times New Roman"/>
          <w:sz w:val="20"/>
          <w:szCs w:val="20"/>
          <w:lang w:val="en-GB"/>
        </w:rPr>
        <w:t>(</w:t>
      </w:r>
      <w:r w:rsidR="006605F1">
        <w:rPr>
          <w:rFonts w:ascii="Times New Roman" w:hAnsi="Times New Roman" w:cs="Times New Roman"/>
          <w:sz w:val="20"/>
          <w:szCs w:val="20"/>
          <w:lang w:val="en-GB"/>
        </w:rPr>
        <w:t>who subsequently underwent a</w:t>
      </w:r>
      <w:r w:rsidR="004B50BE" w:rsidRPr="00AE5B1C">
        <w:rPr>
          <w:rFonts w:ascii="Times New Roman" w:hAnsi="Times New Roman" w:cs="Times New Roman"/>
          <w:sz w:val="20"/>
          <w:szCs w:val="20"/>
          <w:lang w:val="en-GB"/>
        </w:rPr>
        <w:t xml:space="preserve"> subtotal gastrectomy</w:t>
      </w:r>
      <w:r w:rsidR="00A673B8" w:rsidRPr="00AE5B1C">
        <w:rPr>
          <w:rFonts w:ascii="Times New Roman" w:hAnsi="Times New Roman" w:cs="Times New Roman"/>
          <w:sz w:val="20"/>
          <w:szCs w:val="20"/>
          <w:lang w:val="en-GB"/>
        </w:rPr>
        <w:t>)</w:t>
      </w:r>
      <w:r w:rsidR="00AF5573" w:rsidRPr="00AE5B1C">
        <w:rPr>
          <w:rFonts w:ascii="Times New Roman" w:hAnsi="Times New Roman" w:cs="Times New Roman"/>
          <w:sz w:val="20"/>
          <w:szCs w:val="20"/>
          <w:lang w:val="en-GB"/>
        </w:rPr>
        <w:t>,</w:t>
      </w:r>
      <w:r w:rsidR="006605F1">
        <w:rPr>
          <w:rFonts w:ascii="Times New Roman" w:hAnsi="Times New Roman" w:cs="Times New Roman"/>
          <w:sz w:val="20"/>
          <w:szCs w:val="20"/>
          <w:lang w:val="en-GB"/>
        </w:rPr>
        <w:t xml:space="preserve"> with a history of</w:t>
      </w:r>
      <w:r w:rsidR="00AF5573" w:rsidRPr="00AE5B1C">
        <w:rPr>
          <w:rFonts w:ascii="Times New Roman" w:hAnsi="Times New Roman" w:cs="Times New Roman"/>
          <w:sz w:val="20"/>
          <w:szCs w:val="20"/>
          <w:lang w:val="en-GB"/>
        </w:rPr>
        <w:t xml:space="preserve"> anaemia and </w:t>
      </w:r>
      <w:r w:rsidR="006605F1">
        <w:rPr>
          <w:rFonts w:ascii="Times New Roman" w:hAnsi="Times New Roman" w:cs="Times New Roman"/>
          <w:sz w:val="20"/>
          <w:szCs w:val="20"/>
          <w:lang w:val="en-GB"/>
        </w:rPr>
        <w:t xml:space="preserve">previous </w:t>
      </w:r>
      <w:r w:rsidR="00AF5573" w:rsidRPr="00AE5B1C">
        <w:rPr>
          <w:rFonts w:ascii="Times New Roman" w:hAnsi="Times New Roman" w:cs="Times New Roman"/>
          <w:sz w:val="20"/>
          <w:szCs w:val="20"/>
          <w:lang w:val="en-GB"/>
        </w:rPr>
        <w:t>pulmonary emboli.</w:t>
      </w:r>
      <w:r w:rsidRPr="00AE5B1C">
        <w:rPr>
          <w:rFonts w:ascii="Times New Roman" w:hAnsi="Times New Roman" w:cs="Times New Roman"/>
          <w:sz w:val="20"/>
          <w:szCs w:val="20"/>
          <w:lang w:val="en-GB"/>
        </w:rPr>
        <w:t xml:space="preserve"> </w:t>
      </w:r>
      <w:r w:rsidR="00AF5573" w:rsidRPr="00AE5B1C">
        <w:rPr>
          <w:rFonts w:ascii="Times New Roman" w:hAnsi="Times New Roman" w:cs="Times New Roman"/>
          <w:sz w:val="20"/>
          <w:szCs w:val="20"/>
          <w:lang w:val="en-GB"/>
        </w:rPr>
        <w:t xml:space="preserve">The </w:t>
      </w:r>
      <w:r w:rsidR="006605F1">
        <w:rPr>
          <w:rFonts w:ascii="Times New Roman" w:hAnsi="Times New Roman" w:cs="Times New Roman"/>
          <w:sz w:val="20"/>
          <w:szCs w:val="20"/>
          <w:lang w:val="en-GB"/>
        </w:rPr>
        <w:t xml:space="preserve">availability of a </w:t>
      </w:r>
      <w:proofErr w:type="spellStart"/>
      <w:r w:rsidR="006605F1">
        <w:rPr>
          <w:rFonts w:ascii="Times New Roman" w:hAnsi="Times New Roman" w:cs="Times New Roman"/>
          <w:sz w:val="20"/>
          <w:szCs w:val="20"/>
          <w:lang w:val="en-GB"/>
        </w:rPr>
        <w:t>bioconvertible</w:t>
      </w:r>
      <w:proofErr w:type="spellEnd"/>
      <w:r w:rsidR="006605F1">
        <w:rPr>
          <w:rFonts w:ascii="Times New Roman" w:hAnsi="Times New Roman" w:cs="Times New Roman"/>
          <w:sz w:val="20"/>
          <w:szCs w:val="20"/>
          <w:lang w:val="en-GB"/>
        </w:rPr>
        <w:t xml:space="preserve"> filter</w:t>
      </w:r>
      <w:r w:rsidR="00D837A8" w:rsidRPr="00AE5B1C">
        <w:rPr>
          <w:rFonts w:ascii="Times New Roman" w:hAnsi="Times New Roman" w:cs="Times New Roman"/>
          <w:sz w:val="20"/>
          <w:szCs w:val="20"/>
          <w:lang w:val="en-GB"/>
        </w:rPr>
        <w:t xml:space="preserve"> constitutes a </w:t>
      </w:r>
      <w:r w:rsidR="006605F1">
        <w:rPr>
          <w:rFonts w:ascii="Times New Roman" w:hAnsi="Times New Roman" w:cs="Times New Roman"/>
          <w:sz w:val="20"/>
          <w:szCs w:val="20"/>
          <w:lang w:val="en-GB"/>
        </w:rPr>
        <w:t>further</w:t>
      </w:r>
      <w:r w:rsidR="00D837A8" w:rsidRPr="00AE5B1C">
        <w:rPr>
          <w:rFonts w:ascii="Times New Roman" w:hAnsi="Times New Roman" w:cs="Times New Roman"/>
          <w:sz w:val="20"/>
          <w:szCs w:val="20"/>
          <w:lang w:val="en-GB"/>
        </w:rPr>
        <w:t xml:space="preserve"> step forward in the management of patients with potential or active thromboembolic disease.  </w:t>
      </w:r>
    </w:p>
    <w:p w14:paraId="21F1483A" w14:textId="1E9E2749" w:rsidR="00CA2AC4" w:rsidRPr="00AE5B1C" w:rsidRDefault="00CA2AC4">
      <w:pPr>
        <w:rPr>
          <w:rFonts w:ascii="Times New Roman" w:hAnsi="Times New Roman" w:cs="Times New Roman"/>
          <w:b/>
          <w:bCs/>
          <w:sz w:val="20"/>
          <w:szCs w:val="20"/>
          <w:lang w:val="en-GB"/>
        </w:rPr>
      </w:pPr>
      <w:r w:rsidRPr="00AE5B1C">
        <w:rPr>
          <w:rFonts w:ascii="Times New Roman" w:hAnsi="Times New Roman" w:cs="Times New Roman"/>
          <w:b/>
          <w:bCs/>
          <w:sz w:val="20"/>
          <w:szCs w:val="20"/>
          <w:lang w:val="en-GB"/>
        </w:rPr>
        <w:t>Key words</w:t>
      </w:r>
    </w:p>
    <w:p w14:paraId="194F8D7E" w14:textId="55B838F8" w:rsidR="00960BD1" w:rsidRPr="00AE5B1C" w:rsidRDefault="00960BD1">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IVC filter </w:t>
      </w:r>
    </w:p>
    <w:p w14:paraId="176E539E" w14:textId="1050BD57" w:rsidR="00206FDF" w:rsidRPr="00AE5B1C" w:rsidRDefault="00206FDF">
      <w:pPr>
        <w:rPr>
          <w:rFonts w:ascii="Times New Roman" w:hAnsi="Times New Roman" w:cs="Times New Roman"/>
          <w:sz w:val="20"/>
          <w:szCs w:val="20"/>
          <w:lang w:val="en-GB"/>
        </w:rPr>
      </w:pPr>
      <w:r w:rsidRPr="00AE5B1C">
        <w:rPr>
          <w:rFonts w:ascii="Times New Roman" w:hAnsi="Times New Roman" w:cs="Times New Roman"/>
          <w:sz w:val="20"/>
          <w:szCs w:val="20"/>
          <w:lang w:val="en-GB"/>
        </w:rPr>
        <w:t>Bioconversion</w:t>
      </w:r>
    </w:p>
    <w:p w14:paraId="713FA4B3" w14:textId="77777777" w:rsidR="00960BD1" w:rsidRPr="00AE5B1C" w:rsidRDefault="00960BD1">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Deep venous thrombosis </w:t>
      </w:r>
    </w:p>
    <w:p w14:paraId="5E046484" w14:textId="77777777" w:rsidR="00960BD1" w:rsidRPr="00AE5B1C" w:rsidRDefault="00960BD1">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Pulmonary embolism </w:t>
      </w:r>
    </w:p>
    <w:p w14:paraId="4947E803" w14:textId="77777777" w:rsidR="00960BD1" w:rsidRPr="00AE5B1C" w:rsidRDefault="00960BD1">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Retrieval </w:t>
      </w:r>
    </w:p>
    <w:p w14:paraId="3455CFD2" w14:textId="1FCEA5B8" w:rsidR="00CA2AC4" w:rsidRPr="00AE5B1C" w:rsidRDefault="00960BD1">
      <w:pPr>
        <w:rPr>
          <w:rFonts w:ascii="Times New Roman" w:hAnsi="Times New Roman" w:cs="Times New Roman"/>
          <w:sz w:val="20"/>
          <w:szCs w:val="20"/>
          <w:lang w:val="en-GB"/>
        </w:rPr>
      </w:pPr>
      <w:r w:rsidRPr="00AE5B1C">
        <w:rPr>
          <w:rFonts w:ascii="Times New Roman" w:hAnsi="Times New Roman" w:cs="Times New Roman"/>
          <w:sz w:val="20"/>
          <w:szCs w:val="20"/>
          <w:lang w:val="en-GB"/>
        </w:rPr>
        <w:t>Anticoagulation</w:t>
      </w:r>
    </w:p>
    <w:p w14:paraId="5896BB5F" w14:textId="77777777" w:rsidR="000754AC" w:rsidRPr="00AE5B1C" w:rsidRDefault="000754AC">
      <w:pPr>
        <w:rPr>
          <w:rFonts w:ascii="Times New Roman" w:hAnsi="Times New Roman" w:cs="Times New Roman"/>
          <w:b/>
          <w:bCs/>
          <w:sz w:val="20"/>
          <w:szCs w:val="20"/>
          <w:lang w:val="en-GB"/>
        </w:rPr>
      </w:pPr>
    </w:p>
    <w:p w14:paraId="5890F1D8" w14:textId="77777777" w:rsidR="000754AC" w:rsidRPr="00AE5B1C" w:rsidRDefault="000754AC">
      <w:pPr>
        <w:rPr>
          <w:rFonts w:ascii="Times New Roman" w:hAnsi="Times New Roman" w:cs="Times New Roman"/>
          <w:b/>
          <w:bCs/>
          <w:sz w:val="20"/>
          <w:szCs w:val="20"/>
          <w:lang w:val="en-GB"/>
        </w:rPr>
      </w:pPr>
    </w:p>
    <w:p w14:paraId="0C92EDBC" w14:textId="77777777" w:rsidR="000754AC" w:rsidRPr="00AE5B1C" w:rsidRDefault="000754AC">
      <w:pPr>
        <w:rPr>
          <w:rFonts w:ascii="Times New Roman" w:hAnsi="Times New Roman" w:cs="Times New Roman"/>
          <w:b/>
          <w:bCs/>
          <w:sz w:val="20"/>
          <w:szCs w:val="20"/>
          <w:lang w:val="en-GB"/>
        </w:rPr>
      </w:pPr>
    </w:p>
    <w:p w14:paraId="374A0065" w14:textId="77777777" w:rsidR="000754AC" w:rsidRPr="00AE5B1C" w:rsidRDefault="000754AC">
      <w:pPr>
        <w:rPr>
          <w:rFonts w:ascii="Times New Roman" w:hAnsi="Times New Roman" w:cs="Times New Roman"/>
          <w:b/>
          <w:bCs/>
          <w:sz w:val="20"/>
          <w:szCs w:val="20"/>
          <w:lang w:val="en-GB"/>
        </w:rPr>
      </w:pPr>
    </w:p>
    <w:p w14:paraId="2335E877" w14:textId="77777777" w:rsidR="000754AC" w:rsidRPr="00AE5B1C" w:rsidRDefault="000754AC">
      <w:pPr>
        <w:rPr>
          <w:rFonts w:ascii="Times New Roman" w:hAnsi="Times New Roman" w:cs="Times New Roman"/>
          <w:b/>
          <w:bCs/>
          <w:sz w:val="20"/>
          <w:szCs w:val="20"/>
          <w:lang w:val="en-GB"/>
        </w:rPr>
      </w:pPr>
    </w:p>
    <w:p w14:paraId="09212960" w14:textId="77777777" w:rsidR="000754AC" w:rsidRPr="00AE5B1C" w:rsidRDefault="000754AC">
      <w:pPr>
        <w:rPr>
          <w:rFonts w:ascii="Times New Roman" w:hAnsi="Times New Roman" w:cs="Times New Roman"/>
          <w:b/>
          <w:bCs/>
          <w:sz w:val="20"/>
          <w:szCs w:val="20"/>
          <w:lang w:val="en-GB"/>
        </w:rPr>
      </w:pPr>
    </w:p>
    <w:p w14:paraId="40C105F6" w14:textId="77777777" w:rsidR="00BC1587" w:rsidRDefault="00BC1587">
      <w:pPr>
        <w:rPr>
          <w:rFonts w:ascii="Times New Roman" w:hAnsi="Times New Roman" w:cs="Times New Roman"/>
          <w:b/>
          <w:bCs/>
          <w:sz w:val="20"/>
          <w:szCs w:val="20"/>
          <w:lang w:val="en-GB"/>
        </w:rPr>
      </w:pPr>
    </w:p>
    <w:p w14:paraId="034E95BE" w14:textId="77777777" w:rsidR="00EF09FC" w:rsidRDefault="00EF09FC">
      <w:pPr>
        <w:rPr>
          <w:rFonts w:ascii="Times New Roman" w:hAnsi="Times New Roman" w:cs="Times New Roman"/>
          <w:b/>
          <w:bCs/>
          <w:sz w:val="20"/>
          <w:szCs w:val="20"/>
          <w:lang w:val="en-GB"/>
        </w:rPr>
      </w:pPr>
    </w:p>
    <w:p w14:paraId="15C76B59" w14:textId="56AB43A3" w:rsidR="00735F4C" w:rsidRPr="00AE5B1C" w:rsidRDefault="00616A4E">
      <w:pPr>
        <w:rPr>
          <w:rFonts w:ascii="Times New Roman" w:hAnsi="Times New Roman" w:cs="Times New Roman"/>
          <w:b/>
          <w:bCs/>
          <w:sz w:val="20"/>
          <w:szCs w:val="20"/>
          <w:lang w:val="en-GB"/>
        </w:rPr>
      </w:pPr>
      <w:r w:rsidRPr="00AE5B1C">
        <w:rPr>
          <w:rFonts w:ascii="Times New Roman" w:hAnsi="Times New Roman" w:cs="Times New Roman"/>
          <w:b/>
          <w:bCs/>
          <w:sz w:val="20"/>
          <w:szCs w:val="20"/>
          <w:lang w:val="en-GB"/>
        </w:rPr>
        <w:lastRenderedPageBreak/>
        <w:t>Background</w:t>
      </w:r>
    </w:p>
    <w:p w14:paraId="75503276" w14:textId="468A47D8" w:rsidR="00616A4E" w:rsidRPr="00AE5B1C" w:rsidRDefault="00616A4E">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The Sentry </w:t>
      </w:r>
      <w:proofErr w:type="spellStart"/>
      <w:r w:rsidR="00243D19" w:rsidRPr="00AE5B1C">
        <w:rPr>
          <w:rFonts w:ascii="Times New Roman" w:hAnsi="Times New Roman" w:cs="Times New Roman"/>
          <w:sz w:val="20"/>
          <w:szCs w:val="20"/>
          <w:lang w:val="en-GB"/>
        </w:rPr>
        <w:t>b</w:t>
      </w:r>
      <w:r w:rsidRPr="00AE5B1C">
        <w:rPr>
          <w:rFonts w:ascii="Times New Roman" w:hAnsi="Times New Roman" w:cs="Times New Roman"/>
          <w:sz w:val="20"/>
          <w:szCs w:val="20"/>
          <w:lang w:val="en-GB"/>
        </w:rPr>
        <w:t>ioconvertible</w:t>
      </w:r>
      <w:proofErr w:type="spellEnd"/>
      <w:r w:rsidRPr="00AE5B1C">
        <w:rPr>
          <w:rFonts w:ascii="Times New Roman" w:hAnsi="Times New Roman" w:cs="Times New Roman"/>
          <w:sz w:val="20"/>
          <w:szCs w:val="20"/>
          <w:lang w:val="en-GB"/>
        </w:rPr>
        <w:t xml:space="preserve"> inferior vena cava (IVC) filter is designed to provide temporary protection against pulmonary embolic disease during transient periods of high risk</w:t>
      </w:r>
      <w:r w:rsidRPr="00AE5B1C">
        <w:rPr>
          <w:rFonts w:ascii="Times New Roman" w:hAnsi="Times New Roman" w:cs="Times New Roman"/>
          <w:sz w:val="20"/>
          <w:szCs w:val="20"/>
          <w:lang w:val="en-GB"/>
        </w:rPr>
        <w:fldChar w:fldCharType="begin"/>
      </w:r>
      <w:r w:rsidRPr="00AE5B1C">
        <w:rPr>
          <w:rFonts w:ascii="Times New Roman" w:hAnsi="Times New Roman" w:cs="Times New Roman"/>
          <w:sz w:val="20"/>
          <w:szCs w:val="20"/>
          <w:lang w:val="en-GB"/>
        </w:rPr>
        <w:instrText xml:space="preserve"> ADDIN ZOTERO_ITEM CSL_CITATION {"citationID":"aKjMmqLL","properties":{"formattedCitation":"[1]","plainCitation":"[1]","noteIndex":0},"citationItems":[{"id":91,"uris":["http://zotero.org/users/7482256/items/A3FBN4WY"],"uri":["http://zotero.org/users/7482256/items/A3FBN4WY"],"itemData":{"id":91,"type":"article-journal","abstract":"The Sentry inferior vena cava (IVC) filter is designed to provide temporary protection against pulmonary embolism (PE) during transient high-risk periods and then to bioconvert after 60 days after implantation. At the time of bioconversion, the device's nitinol arms retract from the filtering position into the caval wall. Subsequently, the stable stent-like nitinol frame is endothelialized. The Sentry bioconvertible IVC filter has been evaluated in a multicenter investigational-device-exemption pivotal trial (NCT01975090) of 129 patients with documented deep vein thrombosis (DVT) or PE, or at temporary risk of developing DVT or PE, and with contraindications to anticoagulation. Successful filter conversion was observed in 95.7% of patients at 6 months (110/115) and 96.4% at 12 months (106/110). Through 12 months, there were no cases of symptomatic PE. The rationale for development of the Sentry bioconvertible device includes the following considerations: (1) the period of highest risk of PE for the vast majority of patients occurs within the first 60 days after an index event, with most of the PEs occurring in the first 30 days; (2) the design of retrievable IVC filters to support their removal after a transitory high-PE-risk period has, in practice, been associated with insecure filter dynamics and time-dependent complications including tilting, fracture, embolization, migration, and IVC perforation; (3) most retrievable IVC filters are placed for temporary protection, but for a variety of reasons they are not removed in any more than half of implanted patients, and when removal is attempted, the procedure is not always successful even with advanced techniques; and (4) analysis of Medicare hospital data suggests that payment for the retrieval procedure does not routinely compensate for expense. The Sentry device is not intended for removal after bioconversion. In initial clinical use, complications have been limited. Long-term results for the Sentry bioconvertible IVC filter are anticipated soon.","container-title":"International Journal of Vascular Medicine","DOI":"10.1155/2019/5795148","ISSN":"2090-2824","journalAbbreviation":"Int J Vasc Med","language":"eng","note":"PMID: 31263598\nPMCID: PMC6556320","page":"5795148","source":"PubMed","title":"The Clinical Rationale for the Sentry Bioconvertible Inferior Vena Cava Filter for the Prevention of Pulmonary Embolism","volume":"2019","author":[{"family":"Dake","given":"Michael D."},{"family":"Ansel","given":"Gary M."},{"family":"Johnson","given":"Matthew S."},{"family":"Mendes","given":"Robert"},{"family":"Smouse","given":"H. Bob"}],"issued":{"date-parts":[["2019"]]}}}],"schema":"https://github.com/citation-style-language/schema/raw/master/csl-citation.json"} </w:instrText>
      </w:r>
      <w:r w:rsidRPr="00AE5B1C">
        <w:rPr>
          <w:rFonts w:ascii="Times New Roman" w:hAnsi="Times New Roman" w:cs="Times New Roman"/>
          <w:sz w:val="20"/>
          <w:szCs w:val="20"/>
          <w:lang w:val="en-GB"/>
        </w:rPr>
        <w:fldChar w:fldCharType="separate"/>
      </w:r>
      <w:r w:rsidRPr="00AE5B1C">
        <w:rPr>
          <w:rFonts w:ascii="Times New Roman" w:hAnsi="Times New Roman" w:cs="Times New Roman"/>
          <w:sz w:val="20"/>
          <w:szCs w:val="20"/>
        </w:rPr>
        <w:t>[1]</w:t>
      </w:r>
      <w:r w:rsidRPr="00AE5B1C">
        <w:rPr>
          <w:rFonts w:ascii="Times New Roman" w:hAnsi="Times New Roman" w:cs="Times New Roman"/>
          <w:sz w:val="20"/>
          <w:szCs w:val="20"/>
          <w:lang w:val="en-GB"/>
        </w:rPr>
        <w:fldChar w:fldCharType="end"/>
      </w:r>
      <w:r w:rsidRPr="00AE5B1C">
        <w:rPr>
          <w:rFonts w:ascii="Times New Roman" w:hAnsi="Times New Roman" w:cs="Times New Roman"/>
          <w:sz w:val="20"/>
          <w:szCs w:val="20"/>
          <w:lang w:val="en-GB"/>
        </w:rPr>
        <w:t xml:space="preserve">. </w:t>
      </w:r>
      <w:r w:rsidR="00DE6DBA" w:rsidRPr="00AE5B1C">
        <w:rPr>
          <w:rFonts w:ascii="Times New Roman" w:hAnsi="Times New Roman" w:cs="Times New Roman"/>
          <w:sz w:val="20"/>
          <w:szCs w:val="20"/>
          <w:lang w:val="en-GB"/>
        </w:rPr>
        <w:t>The filter</w:t>
      </w:r>
      <w:r w:rsidR="00B84F6D" w:rsidRPr="00AE5B1C">
        <w:rPr>
          <w:rFonts w:ascii="Times New Roman" w:hAnsi="Times New Roman" w:cs="Times New Roman"/>
          <w:sz w:val="20"/>
          <w:szCs w:val="20"/>
          <w:lang w:val="en-GB"/>
        </w:rPr>
        <w:t xml:space="preserve"> is made from a single piece of laser-cut nitinol formed into a cylindrical frame. </w:t>
      </w:r>
      <w:r w:rsidRPr="00AE5B1C">
        <w:rPr>
          <w:rFonts w:ascii="Times New Roman" w:hAnsi="Times New Roman" w:cs="Times New Roman"/>
          <w:sz w:val="20"/>
          <w:szCs w:val="20"/>
          <w:lang w:val="en-GB"/>
        </w:rPr>
        <w:t xml:space="preserve">The filter </w:t>
      </w:r>
      <w:r w:rsidR="003C4ACF" w:rsidRPr="00AE5B1C">
        <w:rPr>
          <w:rFonts w:ascii="Times New Roman" w:hAnsi="Times New Roman" w:cs="Times New Roman"/>
          <w:sz w:val="20"/>
          <w:szCs w:val="20"/>
          <w:lang w:val="en-GB"/>
        </w:rPr>
        <w:t xml:space="preserve">is designed to </w:t>
      </w:r>
      <w:proofErr w:type="spellStart"/>
      <w:r w:rsidRPr="00AE5B1C">
        <w:rPr>
          <w:rFonts w:ascii="Times New Roman" w:hAnsi="Times New Roman" w:cs="Times New Roman"/>
          <w:sz w:val="20"/>
          <w:szCs w:val="20"/>
          <w:lang w:val="en-GB"/>
        </w:rPr>
        <w:t>bioconvert</w:t>
      </w:r>
      <w:proofErr w:type="spellEnd"/>
      <w:r w:rsidRPr="00AE5B1C">
        <w:rPr>
          <w:rFonts w:ascii="Times New Roman" w:hAnsi="Times New Roman" w:cs="Times New Roman"/>
          <w:sz w:val="20"/>
          <w:szCs w:val="20"/>
          <w:lang w:val="en-GB"/>
        </w:rPr>
        <w:t xml:space="preserve"> after 60 days when </w:t>
      </w:r>
      <w:r w:rsidR="003C4ACF" w:rsidRPr="00AE5B1C">
        <w:rPr>
          <w:rFonts w:ascii="Times New Roman" w:hAnsi="Times New Roman" w:cs="Times New Roman"/>
          <w:sz w:val="20"/>
          <w:szCs w:val="20"/>
          <w:lang w:val="en-GB"/>
        </w:rPr>
        <w:t>a</w:t>
      </w:r>
      <w:r w:rsidRPr="00AE5B1C">
        <w:rPr>
          <w:rFonts w:ascii="Times New Roman" w:hAnsi="Times New Roman" w:cs="Times New Roman"/>
          <w:sz w:val="20"/>
          <w:szCs w:val="20"/>
          <w:lang w:val="en-GB"/>
        </w:rPr>
        <w:t xml:space="preserve"> bioabsorbable filament made of poly-p-dioxanone </w:t>
      </w:r>
      <w:proofErr w:type="spellStart"/>
      <w:r w:rsidRPr="00AE5B1C">
        <w:rPr>
          <w:rFonts w:ascii="Times New Roman" w:hAnsi="Times New Roman" w:cs="Times New Roman"/>
          <w:sz w:val="20"/>
          <w:szCs w:val="20"/>
          <w:lang w:val="en-GB"/>
        </w:rPr>
        <w:t>hydrolyzes</w:t>
      </w:r>
      <w:proofErr w:type="spellEnd"/>
      <w:r w:rsidRPr="00AE5B1C">
        <w:rPr>
          <w:rFonts w:ascii="Times New Roman" w:hAnsi="Times New Roman" w:cs="Times New Roman"/>
          <w:sz w:val="20"/>
          <w:szCs w:val="20"/>
          <w:lang w:val="en-GB"/>
        </w:rPr>
        <w:t xml:space="preserve"> and releases the arms of the filter. The arms retract into the vessel wall and are </w:t>
      </w:r>
      <w:proofErr w:type="spellStart"/>
      <w:r w:rsidRPr="00AE5B1C">
        <w:rPr>
          <w:rFonts w:ascii="Times New Roman" w:hAnsi="Times New Roman" w:cs="Times New Roman"/>
          <w:sz w:val="20"/>
          <w:szCs w:val="20"/>
          <w:lang w:val="en-GB"/>
        </w:rPr>
        <w:t>endothelialized</w:t>
      </w:r>
      <w:proofErr w:type="spellEnd"/>
      <w:r w:rsidRPr="00AE5B1C">
        <w:rPr>
          <w:rFonts w:ascii="Times New Roman" w:hAnsi="Times New Roman" w:cs="Times New Roman"/>
          <w:sz w:val="20"/>
          <w:szCs w:val="20"/>
          <w:lang w:val="en-GB"/>
        </w:rPr>
        <w:t xml:space="preserve"> leaving an unobstructed IVC lumen</w:t>
      </w:r>
      <w:r w:rsidR="0094136A" w:rsidRPr="00AE5B1C">
        <w:rPr>
          <w:rFonts w:ascii="Times New Roman" w:hAnsi="Times New Roman" w:cs="Times New Roman"/>
          <w:sz w:val="20"/>
          <w:szCs w:val="20"/>
          <w:lang w:val="en-GB"/>
        </w:rPr>
        <w:t xml:space="preserve"> (figure 1)</w:t>
      </w:r>
      <w:r w:rsidRPr="00AE5B1C">
        <w:rPr>
          <w:rFonts w:ascii="Times New Roman" w:hAnsi="Times New Roman" w:cs="Times New Roman"/>
          <w:sz w:val="20"/>
          <w:szCs w:val="20"/>
          <w:lang w:val="en-GB"/>
        </w:rPr>
        <w:t xml:space="preserve">. </w:t>
      </w:r>
    </w:p>
    <w:p w14:paraId="18BB6599" w14:textId="46617E5E" w:rsidR="00616A4E" w:rsidRPr="00AE5B1C" w:rsidRDefault="00616A4E">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The rationale for its </w:t>
      </w:r>
      <w:r w:rsidR="006605F1">
        <w:rPr>
          <w:rFonts w:ascii="Times New Roman" w:hAnsi="Times New Roman" w:cs="Times New Roman"/>
          <w:sz w:val="20"/>
          <w:szCs w:val="20"/>
          <w:lang w:val="en-GB"/>
        </w:rPr>
        <w:t xml:space="preserve">use and </w:t>
      </w:r>
      <w:r w:rsidRPr="00AE5B1C">
        <w:rPr>
          <w:rFonts w:ascii="Times New Roman" w:hAnsi="Times New Roman" w:cs="Times New Roman"/>
          <w:sz w:val="20"/>
          <w:szCs w:val="20"/>
          <w:lang w:val="en-GB"/>
        </w:rPr>
        <w:t>development is multifactorial:</w:t>
      </w:r>
    </w:p>
    <w:p w14:paraId="181AA0C8" w14:textId="48859D58" w:rsidR="00616A4E" w:rsidRPr="00AE5B1C" w:rsidRDefault="00616A4E" w:rsidP="00616A4E">
      <w:pPr>
        <w:pStyle w:val="ListParagraph"/>
        <w:numPr>
          <w:ilvl w:val="0"/>
          <w:numId w:val="2"/>
        </w:num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The highest risk period for pulmonary emboli is the first sixty days after an index event such as hospitalization, </w:t>
      </w:r>
      <w:proofErr w:type="gramStart"/>
      <w:r w:rsidRPr="00AE5B1C">
        <w:rPr>
          <w:rFonts w:ascii="Times New Roman" w:hAnsi="Times New Roman" w:cs="Times New Roman"/>
          <w:sz w:val="20"/>
          <w:szCs w:val="20"/>
          <w:lang w:val="en-GB"/>
        </w:rPr>
        <w:t>trauma</w:t>
      </w:r>
      <w:proofErr w:type="gramEnd"/>
      <w:r w:rsidRPr="00AE5B1C">
        <w:rPr>
          <w:rFonts w:ascii="Times New Roman" w:hAnsi="Times New Roman" w:cs="Times New Roman"/>
          <w:sz w:val="20"/>
          <w:szCs w:val="20"/>
          <w:lang w:val="en-GB"/>
        </w:rPr>
        <w:t xml:space="preserve"> or surgery. The majority of pulmonary emboli occur within the first thirty days</w:t>
      </w:r>
      <w:r w:rsidR="006055EA" w:rsidRPr="00AE5B1C">
        <w:rPr>
          <w:rFonts w:ascii="Times New Roman" w:hAnsi="Times New Roman" w:cs="Times New Roman"/>
          <w:sz w:val="20"/>
          <w:szCs w:val="20"/>
          <w:lang w:val="en-GB"/>
        </w:rPr>
        <w:fldChar w:fldCharType="begin"/>
      </w:r>
      <w:r w:rsidR="006055EA" w:rsidRPr="00AE5B1C">
        <w:rPr>
          <w:rFonts w:ascii="Times New Roman" w:hAnsi="Times New Roman" w:cs="Times New Roman"/>
          <w:sz w:val="20"/>
          <w:szCs w:val="20"/>
          <w:lang w:val="en-GB"/>
        </w:rPr>
        <w:instrText xml:space="preserve"> ADDIN ZOTERO_ITEM CSL_CITATION {"citationID":"TELQqIsx","properties":{"formattedCitation":"[2, 3]","plainCitation":"[2, 3]","noteIndex":0},"citationItems":[{"id":99,"uris":["http://zotero.org/users/7482256/items/JR5CDMZ5"],"uri":["http://zotero.org/users/7482256/items/JR5CDMZ5"],"itemData":{"id":99,"type":"article-journal","abstract":"BACKGROUND: Postoperative pulmonary embolism (PE) remains a major health concern. The purpose of our study was to evaluate our experience with postoperative PE.\nMETHODS: We retrospectively reviewed the medical records of patients who had a postoperative PE at our institution.\nRESULTS: Our study included 115 patients. Prophylaxis was administered preoperatively in 31% of patients and postoperatively in 56% of patients. The diagnosis was obtained by computed tomography scan in 74 patients (64%), ventilation-perfusion scan in 24 patients (21%), angiogram in 8 patients (7%), and other modalities in 9 patients (8%). The time elapsed between surgery and the diagnosis of PE varied significantly by patient age (&lt;40 y: 3 d, compared with 40-60 y: 11 d; P = .02). The majority of patients with PE were treated with anticoagulation (83%). Morbidity and mortality rates both were 9%.\nCONCLUSIONS: Age has a significant impact on the timing of postoperative PE, with the majority of cases being diagnosed with a computed tomography scan, and treated with anticoagulation.","container-title":"American Journal of Surgery","DOI":"10.1016/j.amjsurg.2007.08.014","ISSN":"1879-1883","issue":"6","journalAbbreviation":"Am J Surg","language":"eng","note":"PMID: 18005777","page":"814-818; discussion 818-819","source":"PubMed","title":"Postoperative pulmonary embolism: timing, diagnosis, treatment, and outcomes","title-short":"Postoperative pulmonary embolism","volume":"194","author":[{"family":"Hope","given":"William W."},{"family":"Demeter","given":"Bradley L."},{"family":"Newcomb","given":"William L."},{"family":"Schmelzer","given":"Thomas M."},{"family":"Schiffern","given":"Lynnette M."},{"family":"Heniford","given":"B. Todd"},{"family":"Sing","given":"Ronald F."}],"issued":{"date-parts":[["2007",12]]}}},{"id":97,"uris":["http://zotero.org/users/7482256/items/T9MLY5SL"],"uri":["http://zotero.org/users/7482256/items/T9MLY5SL"],"itemData":{"id":97,"type":"article-journal","abstract":"BACKGROUND: Recent studies using thromboelastography indicate that patients are at risk for hypercoagulability early after injury. Pulmonary embolism (PE) is also well known to cause significant morbidity and mortality after injury and can occur within 72 hours of admission (early PE). Despite this risk, prophylactic anticoagulation is often delayed in patients with certain injuries due to concerns about bleeding.\nSTUDY DESIGN: This was a retrospective study of injured patients with a PE from 2007 to 2013 at 3 level I trauma centers. Data collected included patient demographics, injury patterns, length of stay, timing of prophylaxis for deep vein thrombosis (DVT), and diagnosis of PE. Patients with early PE (≤ 3 days) were compared with those with late PE (&gt;3 days) using bivariate and multivariable analysis.\nRESULTS: A total of 54,964 patients were admitted to the 3 centers during the study period, and 144 (0.26%) were diagnosed with a PE. Eleven were excluded from the study due to a lack of critical data, leaving 133 patients (43% early PE). Factors associated with early PE included long bone fractures in the lower extremity and an Abbreviated Injury Score (AIS) Extremity ≥ 3. Higher Injury Severity Score, severe chest and head trauma (AIS ≥ 3), and not receiving DVT prophylaxis within 48 hours of hospital admission were not associated with early PE.\nCONCLUSIONS: Early PE is a significant clinical entity occurring in nearly half the patients who suffered a PE. Early PE is associated with long bone fractures and severe extremity trauma, but not severe thoracic injury. Timing of prophylactic anticoagulation had no impact on early PE. If further studies confirm this incidence of unsuspected early PE, all admitted trauma patients should be assessed for a hypercoagulable state after injury.","container-title":"Journal of the American College of Surgeons","DOI":"10.1016/j.jamcollsurg.2014.12.032","ISSN":"1879-1190","issue":"4","journalAbbreviation":"J Am Coll Surg","language":"eng","note":"PMID: 25724603","page":"731-736","source":"PubMed","title":"Factors associated with pulmonary embolism within 72 hours of admission after trauma: a multicenter study","title-short":"Factors associated with pulmonary embolism within 72 hours of admission after trauma","volume":"220","author":[{"family":"Coleman","given":"Jamie J."},{"family":"Zarzaur","given":"Ben L."},{"family":"Katona","given":"Chad W."},{"family":"Plummer","given":"Zachary J."},{"family":"Johnson","given":"Laura S."},{"family":"Fecher","given":"Alison"},{"family":"O'Rear","given":"Jamie M."},{"family":"Feliciano","given":"David V."},{"family":"Rozycki","given":"Grace S."}],"issued":{"date-parts":[["2015",4]]}}}],"schema":"https://github.com/citation-style-language/schema/raw/master/csl-citation.json"} </w:instrText>
      </w:r>
      <w:r w:rsidR="006055EA" w:rsidRPr="00AE5B1C">
        <w:rPr>
          <w:rFonts w:ascii="Times New Roman" w:hAnsi="Times New Roman" w:cs="Times New Roman"/>
          <w:sz w:val="20"/>
          <w:szCs w:val="20"/>
          <w:lang w:val="en-GB"/>
        </w:rPr>
        <w:fldChar w:fldCharType="separate"/>
      </w:r>
      <w:r w:rsidR="006055EA" w:rsidRPr="00AE5B1C">
        <w:rPr>
          <w:rFonts w:ascii="Times New Roman" w:hAnsi="Times New Roman" w:cs="Times New Roman"/>
          <w:sz w:val="20"/>
          <w:szCs w:val="20"/>
        </w:rPr>
        <w:t>[2, 3]</w:t>
      </w:r>
      <w:r w:rsidR="006055EA" w:rsidRPr="00AE5B1C">
        <w:rPr>
          <w:rFonts w:ascii="Times New Roman" w:hAnsi="Times New Roman" w:cs="Times New Roman"/>
          <w:sz w:val="20"/>
          <w:szCs w:val="20"/>
          <w:lang w:val="en-GB"/>
        </w:rPr>
        <w:fldChar w:fldCharType="end"/>
      </w:r>
      <w:r w:rsidR="006055EA" w:rsidRPr="00AE5B1C">
        <w:rPr>
          <w:rFonts w:ascii="Times New Roman" w:hAnsi="Times New Roman" w:cs="Times New Roman"/>
          <w:sz w:val="20"/>
          <w:szCs w:val="20"/>
          <w:lang w:val="en-GB"/>
        </w:rPr>
        <w:t>.</w:t>
      </w:r>
    </w:p>
    <w:p w14:paraId="48F2246A" w14:textId="5D1B30E7" w:rsidR="006055EA" w:rsidRPr="00AE5B1C" w:rsidRDefault="006055EA" w:rsidP="00616A4E">
      <w:pPr>
        <w:pStyle w:val="ListParagraph"/>
        <w:numPr>
          <w:ilvl w:val="0"/>
          <w:numId w:val="2"/>
        </w:num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There are several complications associated with unretrieved filters including recurrent deep vein thrombosis (DVT), IVC thrombosis, organ penetration, strut fracture and migration. The risks increase with the length of time the filter is in situ </w:t>
      </w:r>
      <w:r w:rsidRPr="00AE5B1C">
        <w:rPr>
          <w:rFonts w:ascii="Times New Roman" w:hAnsi="Times New Roman" w:cs="Times New Roman"/>
          <w:sz w:val="20"/>
          <w:szCs w:val="20"/>
          <w:lang w:val="en-GB"/>
        </w:rPr>
        <w:fldChar w:fldCharType="begin"/>
      </w:r>
      <w:r w:rsidRPr="00AE5B1C">
        <w:rPr>
          <w:rFonts w:ascii="Times New Roman" w:hAnsi="Times New Roman" w:cs="Times New Roman"/>
          <w:sz w:val="20"/>
          <w:szCs w:val="20"/>
          <w:lang w:val="en-GB"/>
        </w:rPr>
        <w:instrText xml:space="preserve"> ADDIN ZOTERO_ITEM CSL_CITATION {"citationID":"QDgJYbEB","properties":{"formattedCitation":"[4]","plainCitation":"[4]","noteIndex":0},"citationItems":[{"id":101,"uris":["http://zotero.org/users/7482256/items/GJNY6AA9"],"uri":["http://zotero.org/users/7482256/items/GJNY6AA9"],"itemData":{"id":101,"type":"article-journal","abstract":"PURPOSE: To evaluate retrospectively the safety and retrievability of the Celect IVC filter.\nMATERIALS AND METHODS: All patients undergoing Celect filter placement and retrieval during the period 2007-2012 were assessed for complications and retrievability.\nRESULTS: Of 620 patients who underwent Celect filter placement, 120 presented for removal. The indwelling time in these patients was 158.1 days±103.0 (range, 2-518 d). There were 106 filters (88.3%) removed; 14 filters were left in situ for the following reasons: filter embedment (n=6), caval occlusion (n=3), retained thrombus (n=2), large floating thrombus in IVC (n=2), or tilt &gt;15° (n=1). With filters in place, five patients developed new pulmonary embolism (PE), and two others presented with severe abdominal pain. The available 115 pairs of placement and removal cavagrams suggested limb penetration in 99 cases (86.1%), intracaval migration &gt;2 cm in 5, secondary tilt &gt;15° in 8, filter deformity in 10, retained thrombus within filters in 12, and IVC occlusion in 3. Among 38 available computed tomography (CT) scans, 9 scans (24%) showed asymptomatic limb penetration to the duodenum (n=6), aortic wall (n=2), or kidney (n=1). No filter fracture was found.\nCONCLUSIONS: This study showed a high penetration rate for Celect IVC filters, including penetrations that were symptomatic or involved adjacent structures. Penetration appears to correlate with indwelling time, suggesting that the filter should be removed as soon as PE protection is no longer indicated. Although most of the filters were removed, 5.8% of retrievals were unsuccessful because of technical failure.","container-title":"Journal of vascular and interventional radiology: JVIR","DOI":"10.1016/j.jvir.2012.08.016","ISSN":"1535-7732","issue":"12","journalAbbreviation":"J Vasc Interv Radiol","language":"eng","note":"PMID: 23177101","page":"1557-1563","source":"PubMed","title":"Retrospective review of 120 celect inferior vena cava filter retrievals: experience at a single institution","title-short":"Retrospective review of 120 celect inferior vena cava filter retrievals","volume":"23","author":[{"family":"Zhou","given":"Dayong"},{"family":"Spain","given":"James"},{"family":"Moon","given":"Eunice"},{"family":"Mclennan","given":"Gordon"},{"family":"Sands","given":"Mark J."},{"family":"Wang","given":"Weiping"}],"issued":{"date-parts":[["2012",12]]}}}],"schema":"https://github.com/citation-style-language/schema/raw/master/csl-citation.json"} </w:instrText>
      </w:r>
      <w:r w:rsidRPr="00AE5B1C">
        <w:rPr>
          <w:rFonts w:ascii="Times New Roman" w:hAnsi="Times New Roman" w:cs="Times New Roman"/>
          <w:sz w:val="20"/>
          <w:szCs w:val="20"/>
          <w:lang w:val="en-GB"/>
        </w:rPr>
        <w:fldChar w:fldCharType="separate"/>
      </w:r>
      <w:r w:rsidRPr="00AE5B1C">
        <w:rPr>
          <w:rFonts w:ascii="Times New Roman" w:hAnsi="Times New Roman" w:cs="Times New Roman"/>
          <w:sz w:val="20"/>
          <w:szCs w:val="20"/>
        </w:rPr>
        <w:t>[4]</w:t>
      </w:r>
      <w:r w:rsidRPr="00AE5B1C">
        <w:rPr>
          <w:rFonts w:ascii="Times New Roman" w:hAnsi="Times New Roman" w:cs="Times New Roman"/>
          <w:sz w:val="20"/>
          <w:szCs w:val="20"/>
          <w:lang w:val="en-GB"/>
        </w:rPr>
        <w:fldChar w:fldCharType="end"/>
      </w:r>
      <w:r w:rsidR="00560584" w:rsidRPr="00AE5B1C">
        <w:rPr>
          <w:rFonts w:ascii="Times New Roman" w:hAnsi="Times New Roman" w:cs="Times New Roman"/>
          <w:sz w:val="20"/>
          <w:szCs w:val="20"/>
          <w:lang w:val="en-GB"/>
        </w:rPr>
        <w:t>.</w:t>
      </w:r>
    </w:p>
    <w:p w14:paraId="33F93508" w14:textId="1E21DED6" w:rsidR="00560584" w:rsidRPr="00AE5B1C" w:rsidRDefault="00560584" w:rsidP="00616A4E">
      <w:pPr>
        <w:pStyle w:val="ListParagraph"/>
        <w:numPr>
          <w:ilvl w:val="0"/>
          <w:numId w:val="2"/>
        </w:numPr>
        <w:rPr>
          <w:rFonts w:ascii="Times New Roman" w:hAnsi="Times New Roman" w:cs="Times New Roman"/>
          <w:sz w:val="20"/>
          <w:szCs w:val="20"/>
          <w:lang w:val="en-GB"/>
        </w:rPr>
      </w:pPr>
      <w:r w:rsidRPr="00AE5B1C">
        <w:rPr>
          <w:rFonts w:ascii="Times New Roman" w:hAnsi="Times New Roman" w:cs="Times New Roman"/>
          <w:sz w:val="20"/>
          <w:szCs w:val="20"/>
          <w:lang w:val="en-GB"/>
        </w:rPr>
        <w:t>Retrievable filters are often never retrieved for a variety of reasons, even when the initial indication for pulmonary embolic prophylaxis has passed. Retrieva</w:t>
      </w:r>
      <w:r w:rsidR="00BB6EA5" w:rsidRPr="00AE5B1C">
        <w:rPr>
          <w:rFonts w:ascii="Times New Roman" w:hAnsi="Times New Roman" w:cs="Times New Roman"/>
          <w:sz w:val="20"/>
          <w:szCs w:val="20"/>
          <w:lang w:val="en-GB"/>
        </w:rPr>
        <w:t>l</w:t>
      </w:r>
      <w:r w:rsidRPr="00AE5B1C">
        <w:rPr>
          <w:rFonts w:ascii="Times New Roman" w:hAnsi="Times New Roman" w:cs="Times New Roman"/>
          <w:sz w:val="20"/>
          <w:szCs w:val="20"/>
          <w:lang w:val="en-GB"/>
        </w:rPr>
        <w:t xml:space="preserve"> rates are rarely greater than 50% and sometimes as low as 8.5% </w:t>
      </w:r>
      <w:r w:rsidRPr="00AE5B1C">
        <w:rPr>
          <w:rFonts w:ascii="Times New Roman" w:hAnsi="Times New Roman" w:cs="Times New Roman"/>
          <w:sz w:val="20"/>
          <w:szCs w:val="20"/>
          <w:lang w:val="en-GB"/>
        </w:rPr>
        <w:fldChar w:fldCharType="begin"/>
      </w:r>
      <w:r w:rsidRPr="00AE5B1C">
        <w:rPr>
          <w:rFonts w:ascii="Times New Roman" w:hAnsi="Times New Roman" w:cs="Times New Roman"/>
          <w:sz w:val="20"/>
          <w:szCs w:val="20"/>
          <w:lang w:val="en-GB"/>
        </w:rPr>
        <w:instrText xml:space="preserve"> ADDIN ZOTERO_ITEM CSL_CITATION {"citationID":"sQYnvYTH","properties":{"formattedCitation":"[5\\uc0\\u8211{}7]","plainCitation":"[5–7]","noteIndex":0},"citationItems":[{"id":103,"uris":["http://zotero.org/users/7482256/items/X2RCEQMT"],"uri":["http://zotero.org/users/7482256/items/X2RCEQMT"],"itemData":{"id":103,"type":"article-journal","abstract":"PURPOSE: To review the available literature on retrievable inferior vena cava (IVC) filters to examine the effectiveness and risks of these devices.\nMATERIALS AND METHODS: Investigators searched MEDLINE for clinical trials evaluating retrievable filters and reviewed the complications reported to the Manufacturer and User Facility Device Experience (MAUDE) database of the U.S. Food and Drug Administration (FDA).\nRESULTS: Eligibility criteria were met by 37 studies comprising 6,834 patients. All of the trials had limitations, and no studies were randomized. There were 11 prospective clinical trials; the rest were retrospective studies. Despite the limitations of the evidence, the IVC filters seemed to be effective in preventing pulmonary embolism (PE); the rate of PE after IVC placement was 1.7%. The mean retrieval rate was 34%. Most of the filters became permanent devices. Multiple complications associated with the use of IVC filters were described in the reviewed literature or were reported to the MAUDE database; most of these were associated with long-term use (&gt; 30 days). At the present time, the objective comparison data of different filter designs do not support superiority of any particular design.\nCONCLUSIONS: In high-risk patients for whom anticoagulation is not feasible, retrievable IVC filters seem to be effective in preventing PE. Long-term complications are a serious concern with the use of these filters. The evidence of the effectiveness and the risks was limited by the small number of prospective studies.","container-title":"Journal of vascular and interventional radiology: JVIR","DOI":"10.1016/j.jvir.2011.08.024","ISSN":"1535-7732","issue":"11","journalAbbreviation":"J Vasc Interv Radiol","language":"eng","note":"PMID: 22024114","page":"1522-1530.e3","source":"PubMed","title":"Systematic review of the use of retrievable inferior vena cava filters","volume":"22","author":[{"family":"Angel","given":"Luis F."},{"family":"Tapson","given":"Victor"},{"family":"Galgon","given":"Richard E."},{"family":"Restrepo","given":"Marcos I."},{"family":"Kaufman","given":"John"}],"issued":{"date-parts":[["2011",11]]}}},{"id":105,"uris":["http://zotero.org/users/7482256/items/RRU64A6D"],"uri":["http://zotero.org/users/7482256/items/RRU64A6D"],"itemData":{"id":105,"type":"article-journal","abstract":"OBJECTIVE: To investigate the use of retrievable inferior vena cava (IVC) filters in the current practice and analyze the causes of filter left in situ despite initial plans for retrieval.\nMETHODS: A systematic search of all English-language studies of retrievable IVC filters was conducted, including clinical trials and observational studies published between January 1984 and March 2016.\nRESULTS: A total of 103 studies were identified, including 10 filter models in 20,319 patients. Placement indications were reported for 11,128 (54.8%) patients, including therapeutic (n = 6270; 56.3%) and prophylactic (n = 4858; 43.7%) indications. A total of 13,224 (65.1%) filters were left as permanent devices; 7095 (34.9%) filters were removed. The reasons for filter nonretrieval among the 5308 (40.1%) reported cases were primary permanent indication (21.2%; 1127/5308), death (19.4%; 1031/5308), ongoing pulmonary embolism (PE) protection (19.0%; 1011/5308), failed retrieval (13.7%; 725/5308), loss to follow-up (13.0%; 689/5308), discontinued care (4.4%; 235/5308), physician oversight (4.0%; 213/5308), patient morbidity (2.8%; 149/5308), and patient refusal (2.4%; 128/5308). A total of 7820 patients presented for filter retrieval, and 7095 filters (90.7%) were successfully removed, with a mean indwelling time of 106.6 ± 47.3 days. Breakthrough PE was reported in 2.1% (191/9169) of patients. Filter tilt, recurrent deep vein thrombosis, penetration, IVC thrombosis, migration, and fracture occurred in 7.7% (798/10,348), 7.1% (362/5092), 5.4% (379/7001), 3.9% (345/8788), 1.4% (160/11,679), and 0.5% (50/9509) of patients, respectively.\nCONCLUSIONS: Approximately two-thirds of retrievable filters were not retrieved even though more than 85% of the filters were initially intended for temporary use. The major reasons for filter left in situ despite initial plans for retrieval were death, need for ongoing PE protection, failed retrieval, loss to follow-up, discontinued care, and physician oversight.","container-title":"Cardiovascular and Interventional Radiology","DOI":"10.1007/s00270-018-1880-9","ISSN":"1432-086X","issue":"5","journalAbbreviation":"Cardiovasc Intervent Radiol","language":"eng","note":"PMID: 29359241","page":"675-682","source":"PubMed","title":"Utility of Retrievable Inferior Vena Cava Filters: A Systematic Literature Review and Analysis of the Reasons for Nonretrieval of Filters with Temporary Indications","title-short":"Utility of Retrievable Inferior Vena Cava Filters","volume":"41","author":[{"family":"Jia","given":"Zhongzhi"},{"family":"Fuller","given":"Tyler A."},{"family":"McKinney","given":"J. Mark"},{"family":"Paz-Fumagalli","given":"Ricardo"},{"family":"Frey","given":"Gregory T."},{"family":"Sella","given":"David M."},{"family":"Van Ha","given":"Thuong"},{"family":"Wang","given":"Weiping"}],"issued":{"date-parts":[["2018",5]]}}},{"id":107,"uris":["http://zotero.org/users/7482256/items/8WPEQCCQ"],"uri":["http://zotero.org/users/7482256/items/8WPEQCCQ"],"itemData":{"id":107,"type":"article-journal","abstract":"IMPORTANCE: Retrievable inferior vena cava (IVC) filters were designed to provide temporary protection from pulmonary embolism, sparing patients from long-term complications of permanent filters. However, many retrievable IVC filters are left in place indefinitely.\nOBJECTIVES: To review the medical records of patients with IVC filters to determine patient demographics and date of and indication for IVC filter placement, as well as complications, follow-up data, date of IVC filter retrieval, and use of anticoagulant therapy.\nDESIGN AND SETTING: A retrospective review of IVC filter use between August 1, 2003, and February 28, 2011, was conducted at Boston Medical Center, a tertiary referral center with the largest trauma center in New England.\nPARTICIPANTS: In total, 978 patients. Twenty six patients were excluded from the study because of incomplete medical records.\nINTERVENTION: Placement of retrievable IVC filter.\nMAIN OUTCOME MEASURES: In total, 952 medical records were included in the analysis.\nRESULTS: Of 679 retrievable IVC filters that were placed, 58 (8.5%) were successfully removed. Unsuccessful retrieval attempts were made in 13 patients (18.3% of attempts). Seventy-four venous thrombotic events (7.8% of 952 patients included in the study) occurred after IVC filter placement, including 25 pulmonary emboli, all of which occurred with the IVC filter in place. Forty-eight percent of venous thrombotic events were in patients without venous thromboembolism at the time of IVC filter placement, and 89.4% occurred in patients not receiving anticoagulants. Many IVC filters placed after trauma were inserted when the highest bleeding risk had subsided, and anticoagulant therapy may have been appropriate. While many of these filters were placed because of a perceived contraindication to anticoagulants, 237 patients (24.9%) were discharged on a regimen of anticoagulant therapy.\nCONCLUSION AND RELEVANCE: Our research suggests that the use of IVC filters for prophylaxis and treatment of venous thrombotic events, combined with a low retrieval rate and inconsistent use of anticoagulant therapy, results in suboptimal outcomes due to high rates of venous thromboembolism.","container-title":"JAMA internal medicine","DOI":"10.1001/jamainternmed.2013.343","ISSN":"2168-6114","issue":"7","journalAbbreviation":"JAMA Intern Med","language":"eng","note":"PMID: 23552968","page":"513-517","source":"PubMed","title":"Indications, complications, and management of inferior vena cava filters: the experience in 952 patients at an academic hospital with a level I trauma center","title-short":"Indications, complications, and management of inferior vena cava filters","volume":"173","author":[{"family":"Sarosiek","given":"Shayna"},{"family":"Crowther","given":"Mark"},{"family":"Sloan","given":"J. Mark"}],"issued":{"date-parts":[["2013",4,8]]}}}],"schema":"https://github.com/citation-style-language/schema/raw/master/csl-citation.json"} </w:instrText>
      </w:r>
      <w:r w:rsidRPr="00AE5B1C">
        <w:rPr>
          <w:rFonts w:ascii="Times New Roman" w:hAnsi="Times New Roman" w:cs="Times New Roman"/>
          <w:sz w:val="20"/>
          <w:szCs w:val="20"/>
          <w:lang w:val="en-GB"/>
        </w:rPr>
        <w:fldChar w:fldCharType="separate"/>
      </w:r>
      <w:r w:rsidRPr="00AE5B1C">
        <w:rPr>
          <w:rFonts w:ascii="Times New Roman" w:hAnsi="Times New Roman" w:cs="Times New Roman"/>
          <w:sz w:val="20"/>
          <w:szCs w:val="20"/>
        </w:rPr>
        <w:t>[5–7]</w:t>
      </w:r>
      <w:r w:rsidRPr="00AE5B1C">
        <w:rPr>
          <w:rFonts w:ascii="Times New Roman" w:hAnsi="Times New Roman" w:cs="Times New Roman"/>
          <w:sz w:val="20"/>
          <w:szCs w:val="20"/>
          <w:lang w:val="en-GB"/>
        </w:rPr>
        <w:fldChar w:fldCharType="end"/>
      </w:r>
      <w:r w:rsidRPr="00AE5B1C">
        <w:rPr>
          <w:rFonts w:ascii="Times New Roman" w:hAnsi="Times New Roman" w:cs="Times New Roman"/>
          <w:sz w:val="20"/>
          <w:szCs w:val="20"/>
          <w:lang w:val="en-GB"/>
        </w:rPr>
        <w:t>.</w:t>
      </w:r>
      <w:r w:rsidR="00243D19" w:rsidRPr="00AE5B1C">
        <w:rPr>
          <w:rFonts w:ascii="Times New Roman" w:hAnsi="Times New Roman" w:cs="Times New Roman"/>
          <w:sz w:val="20"/>
          <w:szCs w:val="20"/>
          <w:lang w:val="en-GB"/>
        </w:rPr>
        <w:t xml:space="preserve"> When retrieval is attempted, it is often technically challenging</w:t>
      </w:r>
      <w:r w:rsidR="006605F1">
        <w:rPr>
          <w:rFonts w:ascii="Times New Roman" w:hAnsi="Times New Roman" w:cs="Times New Roman"/>
          <w:sz w:val="20"/>
          <w:szCs w:val="20"/>
          <w:lang w:val="en-GB"/>
        </w:rPr>
        <w:t>,</w:t>
      </w:r>
      <w:r w:rsidR="00243D19" w:rsidRPr="00AE5B1C">
        <w:rPr>
          <w:rFonts w:ascii="Times New Roman" w:hAnsi="Times New Roman" w:cs="Times New Roman"/>
          <w:sz w:val="20"/>
          <w:szCs w:val="20"/>
          <w:lang w:val="en-GB"/>
        </w:rPr>
        <w:t xml:space="preserve"> success rates are variable</w:t>
      </w:r>
      <w:r w:rsidR="006605F1">
        <w:rPr>
          <w:rFonts w:ascii="Times New Roman" w:hAnsi="Times New Roman" w:cs="Times New Roman"/>
          <w:sz w:val="20"/>
          <w:szCs w:val="20"/>
          <w:lang w:val="en-GB"/>
        </w:rPr>
        <w:t xml:space="preserve"> and the procedure is associated with high complication rates </w:t>
      </w:r>
      <w:r w:rsidR="006605F1">
        <w:rPr>
          <w:rFonts w:ascii="Times New Roman" w:hAnsi="Times New Roman" w:cs="Times New Roman"/>
          <w:sz w:val="20"/>
          <w:szCs w:val="20"/>
          <w:lang w:val="en-GB"/>
        </w:rPr>
        <w:fldChar w:fldCharType="begin"/>
      </w:r>
      <w:r w:rsidR="006605F1">
        <w:rPr>
          <w:rFonts w:ascii="Times New Roman" w:hAnsi="Times New Roman" w:cs="Times New Roman"/>
          <w:sz w:val="20"/>
          <w:szCs w:val="20"/>
          <w:lang w:val="en-GB"/>
        </w:rPr>
        <w:instrText xml:space="preserve"> ADDIN ZOTERO_ITEM CSL_CITATION {"citationID":"62MMtetb","properties":{"formattedCitation":"[8]","plainCitation":"[8]","noteIndex":0},"citationItems":[{"id":162,"uris":["http://zotero.org/users/7482256/items/TM7IEABE"],"uri":["http://zotero.org/users/7482256/items/TM7IEABE"],"itemData":{"id":162,"type":"article-journal","abstract":"Annually, approximately 65,000 inferior vena cava (IVC) filters are placed in the United States (Ahmed et al., J Am Coll Radiol 15:1553–1557, 2018). Approximately 35% of filters are eventually retrieved (Angel et al., J Vasc Interv Radiol 22: 1522–1530 e1523, 2011). Complications during filter retrieval depend heavily on technique and filter position. In this paper, we review risk factors and incidence of complications during IVC filter removal. We also discuss ways these complications could be avoided and the appropriate management if they occur.","container-title":"CVIR Endovascular","DOI":"10.1186/s42155-020-00113-6","ISSN":"2520-8934","journalAbbreviation":"CVIR Endovasc","note":"PMID: 32337618\nPMCID: PMC7184068","source":"PubMed Central","title":"Procedural complications of inferior vena cava filter retrieval, an illustrated review","URL":"https://www.ncbi.nlm.nih.gov/pmc/articles/PMC7184068/","volume":"3","author":[{"family":"Quencer","given":"Keith B."},{"family":"Smith","given":"Tyler A."},{"family":"Deipolyi","given":"Amy"},{"family":"Mojibian","given":"Hamid"},{"family":"Ayyagari","given":"Raj"},{"family":"Latich","given":"Igor"},{"family":"Ali","given":"Rahmat"}],"accessed":{"date-parts":[["2021",5,31]]},"issued":{"date-parts":[["2020",4,27]]}}}],"schema":"https://github.com/citation-style-language/schema/raw/master/csl-citation.json"} </w:instrText>
      </w:r>
      <w:r w:rsidR="006605F1">
        <w:rPr>
          <w:rFonts w:ascii="Times New Roman" w:hAnsi="Times New Roman" w:cs="Times New Roman"/>
          <w:sz w:val="20"/>
          <w:szCs w:val="20"/>
          <w:lang w:val="en-GB"/>
        </w:rPr>
        <w:fldChar w:fldCharType="separate"/>
      </w:r>
      <w:r w:rsidR="006605F1" w:rsidRPr="006605F1">
        <w:rPr>
          <w:rFonts w:ascii="Times New Roman" w:hAnsi="Times New Roman" w:cs="Times New Roman"/>
          <w:sz w:val="20"/>
        </w:rPr>
        <w:t>[8]</w:t>
      </w:r>
      <w:r w:rsidR="006605F1">
        <w:rPr>
          <w:rFonts w:ascii="Times New Roman" w:hAnsi="Times New Roman" w:cs="Times New Roman"/>
          <w:sz w:val="20"/>
          <w:szCs w:val="20"/>
          <w:lang w:val="en-GB"/>
        </w:rPr>
        <w:fldChar w:fldCharType="end"/>
      </w:r>
      <w:r w:rsidR="00243D19" w:rsidRPr="00AE5B1C">
        <w:rPr>
          <w:rFonts w:ascii="Times New Roman" w:hAnsi="Times New Roman" w:cs="Times New Roman"/>
          <w:sz w:val="20"/>
          <w:szCs w:val="20"/>
          <w:lang w:val="en-GB"/>
        </w:rPr>
        <w:t>.</w:t>
      </w:r>
    </w:p>
    <w:p w14:paraId="02146F85" w14:textId="256F0546" w:rsidR="00243D19" w:rsidRPr="00AE5B1C" w:rsidRDefault="00560584" w:rsidP="00243D19">
      <w:pPr>
        <w:pStyle w:val="ListParagraph"/>
        <w:numPr>
          <w:ilvl w:val="0"/>
          <w:numId w:val="2"/>
        </w:numPr>
        <w:rPr>
          <w:rFonts w:ascii="Times New Roman" w:hAnsi="Times New Roman" w:cs="Times New Roman"/>
          <w:sz w:val="20"/>
          <w:szCs w:val="20"/>
          <w:lang w:val="en-GB"/>
        </w:rPr>
      </w:pPr>
      <w:r w:rsidRPr="00AE5B1C">
        <w:rPr>
          <w:rFonts w:ascii="Times New Roman" w:hAnsi="Times New Roman" w:cs="Times New Roman"/>
          <w:sz w:val="20"/>
          <w:szCs w:val="20"/>
          <w:lang w:val="en-GB"/>
        </w:rPr>
        <w:t>Retrieval of IVC filters involves significant time and expense</w:t>
      </w:r>
      <w:r w:rsidR="00243D19" w:rsidRPr="00AE5B1C">
        <w:rPr>
          <w:rFonts w:ascii="Times New Roman" w:hAnsi="Times New Roman" w:cs="Times New Roman"/>
          <w:sz w:val="20"/>
          <w:szCs w:val="20"/>
          <w:lang w:val="en-GB"/>
        </w:rPr>
        <w:t>. Medicare data in the United States of America suggests th</w:t>
      </w:r>
      <w:r w:rsidR="002C691D" w:rsidRPr="00AE5B1C">
        <w:rPr>
          <w:rFonts w:ascii="Times New Roman" w:hAnsi="Times New Roman" w:cs="Times New Roman"/>
          <w:sz w:val="20"/>
          <w:szCs w:val="20"/>
          <w:lang w:val="en-GB"/>
        </w:rPr>
        <w:t>at</w:t>
      </w:r>
      <w:r w:rsidR="00243D19" w:rsidRPr="00AE5B1C">
        <w:rPr>
          <w:rFonts w:ascii="Times New Roman" w:hAnsi="Times New Roman" w:cs="Times New Roman"/>
          <w:sz w:val="20"/>
          <w:szCs w:val="20"/>
          <w:lang w:val="en-GB"/>
        </w:rPr>
        <w:t xml:space="preserve"> the payment provided for filter removal does not compensate for the expense of the procedure </w:t>
      </w:r>
      <w:r w:rsidR="00243D19" w:rsidRPr="00AE5B1C">
        <w:rPr>
          <w:rFonts w:ascii="Times New Roman" w:hAnsi="Times New Roman" w:cs="Times New Roman"/>
          <w:sz w:val="20"/>
          <w:szCs w:val="20"/>
          <w:lang w:val="en-GB"/>
        </w:rPr>
        <w:fldChar w:fldCharType="begin"/>
      </w:r>
      <w:r w:rsidR="006605F1">
        <w:rPr>
          <w:rFonts w:ascii="Times New Roman" w:hAnsi="Times New Roman" w:cs="Times New Roman"/>
          <w:sz w:val="20"/>
          <w:szCs w:val="20"/>
          <w:lang w:val="en-GB"/>
        </w:rPr>
        <w:instrText xml:space="preserve"> ADDIN ZOTERO_ITEM CSL_CITATION {"citationID":"isRztIMU","properties":{"formattedCitation":"[9]","plainCitation":"[9]","noteIndex":0},"citationItems":[{"id":110,"uris":["http://zotero.org/users/7482256/items/VT2E4985"],"uri":["http://zotero.org/users/7482256/items/VT2E4985"],"itemData":{"id":110,"type":"article","title":"Centers for Medicare &amp; Medicaid Services, Medicare Outpatient Hospital Standard Analytical File, US Department of Health and Human Services, Baltimore, MD, USA, 2016."}}],"schema":"https://github.com/citation-style-language/schema/raw/master/csl-citation.json"} </w:instrText>
      </w:r>
      <w:r w:rsidR="00243D19" w:rsidRPr="00AE5B1C">
        <w:rPr>
          <w:rFonts w:ascii="Times New Roman" w:hAnsi="Times New Roman" w:cs="Times New Roman"/>
          <w:sz w:val="20"/>
          <w:szCs w:val="20"/>
          <w:lang w:val="en-GB"/>
        </w:rPr>
        <w:fldChar w:fldCharType="separate"/>
      </w:r>
      <w:r w:rsidR="006605F1" w:rsidRPr="006605F1">
        <w:rPr>
          <w:rFonts w:ascii="Times New Roman" w:hAnsi="Times New Roman" w:cs="Times New Roman"/>
          <w:sz w:val="20"/>
        </w:rPr>
        <w:t>[9]</w:t>
      </w:r>
      <w:r w:rsidR="00243D19" w:rsidRPr="00AE5B1C">
        <w:rPr>
          <w:rFonts w:ascii="Times New Roman" w:hAnsi="Times New Roman" w:cs="Times New Roman"/>
          <w:sz w:val="20"/>
          <w:szCs w:val="20"/>
          <w:lang w:val="en-GB"/>
        </w:rPr>
        <w:fldChar w:fldCharType="end"/>
      </w:r>
      <w:r w:rsidR="00243D19" w:rsidRPr="00AE5B1C">
        <w:rPr>
          <w:rFonts w:ascii="Times New Roman" w:hAnsi="Times New Roman" w:cs="Times New Roman"/>
          <w:sz w:val="20"/>
          <w:szCs w:val="20"/>
          <w:lang w:val="en-GB"/>
        </w:rPr>
        <w:t>.</w:t>
      </w:r>
    </w:p>
    <w:p w14:paraId="15C9FE99" w14:textId="3B59F6EA" w:rsidR="00243D19" w:rsidRPr="00AE5B1C" w:rsidRDefault="00243D19" w:rsidP="00243D19">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The Sentry filter has been evaluated in a multicentre prospective trial of 129 patients with either documented DVT/PE or at temporary risk of DVT/PE. It has shown a high rate of successful bioconversion, strong protection against pulmonary emboli and a low rate of device-related complications through two years of follow up </w:t>
      </w:r>
      <w:r w:rsidRPr="00AE5B1C">
        <w:rPr>
          <w:rFonts w:ascii="Times New Roman" w:hAnsi="Times New Roman" w:cs="Times New Roman"/>
          <w:sz w:val="20"/>
          <w:szCs w:val="20"/>
          <w:lang w:val="en-GB"/>
        </w:rPr>
        <w:fldChar w:fldCharType="begin"/>
      </w:r>
      <w:r w:rsidR="006605F1">
        <w:rPr>
          <w:rFonts w:ascii="Times New Roman" w:hAnsi="Times New Roman" w:cs="Times New Roman"/>
          <w:sz w:val="20"/>
          <w:szCs w:val="20"/>
          <w:lang w:val="en-GB"/>
        </w:rPr>
        <w:instrText xml:space="preserve"> ADDIN ZOTERO_ITEM CSL_CITATION {"citationID":"hvJiNFhe","properties":{"formattedCitation":"[10]","plainCitation":"[10]","noteIndex":0},"citationItems":[{"id":88,"uris":["http://zotero.org/users/7482256/items/E5PS37P8"],"uri":["http://zotero.org/users/7482256/items/E5PS37P8"],"itemData":{"id":88,"type":"article-journal","abstract":"PURPOSE: To report final 2-year outcomes with the Sentry bioconvertible inferior vena cava (IVC) filter in patients requiring temporary protection against pulmonary embolism (PE).\nMATERIALS AND METHODS: In a prospective multicenter trial, the Sentry filter was implanted in 129 patients with documented deep vein thrombosis (DVT) and/or PE (67.5%) or who were at temporary risk of developing DVT/PE (32.6%). Patients were monitored and bioconversion status ascertained by radiography, computed tomography (CT), and CT venography through 2 years.\nRESULTS: The composite primary 6-month endpoint of clinical success was achieved in 97.4% (111/114) of patients. The rate of new symptomatic PE was 0% (n = 126) through 1 year and 2.4% (n = 85) through the second year of follow-up, with 2 new nonfatal cases at 581 and 624 days that were adjudicated as not related to the procedure or device. Two patients (1.6%) developed symptomatic caval thrombosis during the first month and underwent successful interventions without recurrence. No other filter-related symptomatic complications occurred through 2 years. There was no filter tilting, migration, embolization, fracture, or caval perforation and no filter-related deaths through 2 years. Filter bioconversion was successful for 95.7% (110/115) of patients at 6 months, 96.4% (106/110) of patients at 12 months, and 96.5% (82/85) of patients at 24 months. Through 24 months of follow-up, there was no evidence of late-stage IVC obstruction or thrombosis after filter bioconversion or of thrombogenicity associated with retracted filter arms.\nCONCLUSIONS: The Sentry IVC filter provided safe and effective protection against PE, with a high rate of intended bioconversion and a low rate of device-related complications, through 2 years of follow-up.","container-title":"Journal of vascular and interventional radiology: JVIR","DOI":"10.1016/j.jvir.2019.08.036","ISSN":"1535-7732","issue":"2","journalAbbreviation":"J Vasc Interv Radiol","language":"eng","note":"PMID: 31711748","page":"221-230.e3","source":"PubMed","title":"Final Two-Year Outcomes for the Sentry Bioconvertible Inferior Vena Cava Filter in Patients Requiring Temporary Protection from Pulmonary Embolism","volume":"31","author":[{"family":"Dake","given":"Michael D."},{"family":"Murphy","given":"Timothy P."},{"family":"Krämer","given":"Albrecht H."},{"family":"Darcy","given":"Michael D."},{"family":"Sewall","given":"Luke E."},{"family":"Curi","given":"Michael A."},{"family":"Johnson","given":"Matthew S."},{"family":"Arena","given":"Frank"},{"family":"Swischuk","given":"James L."},{"family":"Ansel","given":"Gary M."},{"family":"Silver","given":"Mitchell J."},{"family":"Saddekni","given":"Souheil"},{"family":"Brower","given":"Jayson S."},{"family":"Mendes","given":"Robert"},{"literal":"SENTRY Trial Investigators"}],"issued":{"date-parts":[["2020",2]]}}}],"schema":"https://github.com/citation-style-language/schema/raw/master/csl-citation.json"} </w:instrText>
      </w:r>
      <w:r w:rsidRPr="00AE5B1C">
        <w:rPr>
          <w:rFonts w:ascii="Times New Roman" w:hAnsi="Times New Roman" w:cs="Times New Roman"/>
          <w:sz w:val="20"/>
          <w:szCs w:val="20"/>
          <w:lang w:val="en-GB"/>
        </w:rPr>
        <w:fldChar w:fldCharType="separate"/>
      </w:r>
      <w:r w:rsidR="006605F1" w:rsidRPr="006605F1">
        <w:rPr>
          <w:rFonts w:ascii="Times New Roman" w:hAnsi="Times New Roman" w:cs="Times New Roman"/>
          <w:sz w:val="20"/>
        </w:rPr>
        <w:t>[10]</w:t>
      </w:r>
      <w:r w:rsidRPr="00AE5B1C">
        <w:rPr>
          <w:rFonts w:ascii="Times New Roman" w:hAnsi="Times New Roman" w:cs="Times New Roman"/>
          <w:sz w:val="20"/>
          <w:szCs w:val="20"/>
          <w:lang w:val="en-GB"/>
        </w:rPr>
        <w:fldChar w:fldCharType="end"/>
      </w:r>
      <w:r w:rsidRPr="00AE5B1C">
        <w:rPr>
          <w:rFonts w:ascii="Times New Roman" w:hAnsi="Times New Roman" w:cs="Times New Roman"/>
          <w:sz w:val="20"/>
          <w:szCs w:val="20"/>
          <w:lang w:val="en-GB"/>
        </w:rPr>
        <w:t xml:space="preserve">. </w:t>
      </w:r>
    </w:p>
    <w:p w14:paraId="3FF13CCE" w14:textId="36BCACE3" w:rsidR="00243D19" w:rsidRPr="00AE5B1C" w:rsidRDefault="00243D19" w:rsidP="00243D19">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We present </w:t>
      </w:r>
      <w:r w:rsidR="0039745E">
        <w:rPr>
          <w:rFonts w:ascii="Times New Roman" w:hAnsi="Times New Roman" w:cs="Times New Roman"/>
          <w:sz w:val="20"/>
          <w:szCs w:val="20"/>
          <w:lang w:val="en-GB"/>
        </w:rPr>
        <w:t xml:space="preserve">what we believe to be the first use of a </w:t>
      </w:r>
      <w:proofErr w:type="spellStart"/>
      <w:r w:rsidR="0039745E">
        <w:rPr>
          <w:rFonts w:ascii="Times New Roman" w:hAnsi="Times New Roman" w:cs="Times New Roman"/>
          <w:sz w:val="20"/>
          <w:szCs w:val="20"/>
          <w:lang w:val="en-GB"/>
        </w:rPr>
        <w:t>bioconvertible</w:t>
      </w:r>
      <w:proofErr w:type="spellEnd"/>
      <w:r w:rsidRPr="00AE5B1C">
        <w:rPr>
          <w:rFonts w:ascii="Times New Roman" w:hAnsi="Times New Roman" w:cs="Times New Roman"/>
          <w:sz w:val="20"/>
          <w:szCs w:val="20"/>
          <w:lang w:val="en-GB"/>
        </w:rPr>
        <w:t xml:space="preserve"> IVC filter in the Republic of Ireland</w:t>
      </w:r>
      <w:r w:rsidR="001931F7" w:rsidRPr="00AE5B1C">
        <w:rPr>
          <w:rFonts w:ascii="Times New Roman" w:hAnsi="Times New Roman" w:cs="Times New Roman"/>
          <w:sz w:val="20"/>
          <w:szCs w:val="20"/>
          <w:lang w:val="en-GB"/>
        </w:rPr>
        <w:t xml:space="preserve">. </w:t>
      </w:r>
    </w:p>
    <w:p w14:paraId="4CD8CC5F" w14:textId="60D01B16" w:rsidR="00326B9B" w:rsidRPr="00AE5B1C" w:rsidRDefault="00326B9B" w:rsidP="00243D19">
      <w:pPr>
        <w:rPr>
          <w:rFonts w:ascii="Times New Roman" w:hAnsi="Times New Roman" w:cs="Times New Roman"/>
          <w:b/>
          <w:bCs/>
          <w:sz w:val="20"/>
          <w:szCs w:val="20"/>
          <w:lang w:val="en-GB"/>
        </w:rPr>
      </w:pPr>
      <w:r w:rsidRPr="00AE5B1C">
        <w:rPr>
          <w:rFonts w:ascii="Times New Roman" w:hAnsi="Times New Roman" w:cs="Times New Roman"/>
          <w:b/>
          <w:bCs/>
          <w:sz w:val="20"/>
          <w:szCs w:val="20"/>
          <w:lang w:val="en-GB"/>
        </w:rPr>
        <w:t>Case report</w:t>
      </w:r>
    </w:p>
    <w:p w14:paraId="2AAC0FA8" w14:textId="5F11EC37" w:rsidR="00326B9B" w:rsidRPr="00AE5B1C" w:rsidRDefault="00961E40" w:rsidP="00243D19">
      <w:pPr>
        <w:rPr>
          <w:rFonts w:ascii="Times New Roman" w:hAnsi="Times New Roman" w:cs="Times New Roman"/>
          <w:sz w:val="20"/>
          <w:szCs w:val="20"/>
          <w:lang w:val="en-GB"/>
        </w:rPr>
      </w:pPr>
      <w:r w:rsidRPr="00AE5B1C">
        <w:rPr>
          <w:rFonts w:ascii="Times New Roman" w:hAnsi="Times New Roman" w:cs="Times New Roman"/>
          <w:sz w:val="20"/>
          <w:szCs w:val="20"/>
          <w:lang w:val="en-GB"/>
        </w:rPr>
        <w:t>An</w:t>
      </w:r>
      <w:r w:rsidR="00290138" w:rsidRPr="00AE5B1C">
        <w:rPr>
          <w:rFonts w:ascii="Times New Roman" w:hAnsi="Times New Roman" w:cs="Times New Roman"/>
          <w:sz w:val="20"/>
          <w:szCs w:val="20"/>
          <w:lang w:val="en-GB"/>
        </w:rPr>
        <w:t xml:space="preserve"> 85-year-old female was admi</w:t>
      </w:r>
      <w:r w:rsidR="009A73B0" w:rsidRPr="00AE5B1C">
        <w:rPr>
          <w:rFonts w:ascii="Times New Roman" w:hAnsi="Times New Roman" w:cs="Times New Roman"/>
          <w:sz w:val="20"/>
          <w:szCs w:val="20"/>
          <w:lang w:val="en-GB"/>
        </w:rPr>
        <w:t xml:space="preserve">tted electively under the Upper GI Surgery team for a staging laparoscopy for gastric malignancy. </w:t>
      </w:r>
      <w:r w:rsidR="007A7AF3">
        <w:rPr>
          <w:rFonts w:ascii="Times New Roman" w:hAnsi="Times New Roman" w:cs="Times New Roman"/>
          <w:sz w:val="20"/>
          <w:szCs w:val="20"/>
          <w:lang w:val="en-GB"/>
        </w:rPr>
        <w:t>Our institution is a tertiary</w:t>
      </w:r>
      <w:r w:rsidR="005C1FB9">
        <w:rPr>
          <w:rFonts w:ascii="Times New Roman" w:hAnsi="Times New Roman" w:cs="Times New Roman"/>
          <w:sz w:val="20"/>
          <w:szCs w:val="20"/>
          <w:lang w:val="en-GB"/>
        </w:rPr>
        <w:t xml:space="preserve"> referral university teaching hospital and the National Centre for Oesophageal and Gastric Cancer.</w:t>
      </w:r>
    </w:p>
    <w:p w14:paraId="31C22788" w14:textId="0BF6A8E4" w:rsidR="00A57D37" w:rsidRPr="00AE5B1C" w:rsidRDefault="00A57D37" w:rsidP="00243D19">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She had a recent diagnosis of COVID-19 pneumonia in another hospital which was complicated by </w:t>
      </w:r>
      <w:r w:rsidR="00CF48BE" w:rsidRPr="00AE5B1C">
        <w:rPr>
          <w:rFonts w:ascii="Times New Roman" w:hAnsi="Times New Roman" w:cs="Times New Roman"/>
          <w:sz w:val="20"/>
          <w:szCs w:val="20"/>
          <w:lang w:val="en-GB"/>
        </w:rPr>
        <w:t xml:space="preserve">subsegmental pulmonary emboli. She </w:t>
      </w:r>
      <w:r w:rsidR="00787C4B" w:rsidRPr="00AE5B1C">
        <w:rPr>
          <w:rFonts w:ascii="Times New Roman" w:hAnsi="Times New Roman" w:cs="Times New Roman"/>
          <w:sz w:val="20"/>
          <w:szCs w:val="20"/>
          <w:lang w:val="en-GB"/>
        </w:rPr>
        <w:t>was on treatment</w:t>
      </w:r>
      <w:r w:rsidR="00CF48BE" w:rsidRPr="00AE5B1C">
        <w:rPr>
          <w:rFonts w:ascii="Times New Roman" w:hAnsi="Times New Roman" w:cs="Times New Roman"/>
          <w:sz w:val="20"/>
          <w:szCs w:val="20"/>
          <w:lang w:val="en-GB"/>
        </w:rPr>
        <w:t xml:space="preserve"> with</w:t>
      </w:r>
      <w:r w:rsidR="007B7023" w:rsidRPr="00AE5B1C">
        <w:rPr>
          <w:rFonts w:ascii="Times New Roman" w:hAnsi="Times New Roman" w:cs="Times New Roman"/>
          <w:sz w:val="20"/>
          <w:szCs w:val="20"/>
          <w:lang w:val="en-GB"/>
        </w:rPr>
        <w:t xml:space="preserve"> subcutaneous</w:t>
      </w:r>
      <w:r w:rsidR="00CF48BE" w:rsidRPr="00AE5B1C">
        <w:rPr>
          <w:rFonts w:ascii="Times New Roman" w:hAnsi="Times New Roman" w:cs="Times New Roman"/>
          <w:sz w:val="20"/>
          <w:szCs w:val="20"/>
          <w:lang w:val="en-GB"/>
        </w:rPr>
        <w:t xml:space="preserve"> Tinzaparin</w:t>
      </w:r>
      <w:r w:rsidR="007B7023" w:rsidRPr="00AE5B1C">
        <w:rPr>
          <w:rFonts w:ascii="Times New Roman" w:hAnsi="Times New Roman" w:cs="Times New Roman"/>
          <w:sz w:val="20"/>
          <w:szCs w:val="20"/>
          <w:lang w:val="en-GB"/>
        </w:rPr>
        <w:t xml:space="preserve"> injections</w:t>
      </w:r>
      <w:r w:rsidR="00452C0F" w:rsidRPr="00AE5B1C">
        <w:rPr>
          <w:rFonts w:ascii="Times New Roman" w:hAnsi="Times New Roman" w:cs="Times New Roman"/>
          <w:sz w:val="20"/>
          <w:szCs w:val="20"/>
          <w:lang w:val="en-GB"/>
        </w:rPr>
        <w:t xml:space="preserve">. She had </w:t>
      </w:r>
      <w:r w:rsidR="00A33BDE" w:rsidRPr="00AE5B1C">
        <w:rPr>
          <w:rFonts w:ascii="Times New Roman" w:hAnsi="Times New Roman" w:cs="Times New Roman"/>
          <w:sz w:val="20"/>
          <w:szCs w:val="20"/>
          <w:lang w:val="en-GB"/>
        </w:rPr>
        <w:t>experienced prior</w:t>
      </w:r>
      <w:r w:rsidR="00452C0F" w:rsidRPr="00AE5B1C">
        <w:rPr>
          <w:rFonts w:ascii="Times New Roman" w:hAnsi="Times New Roman" w:cs="Times New Roman"/>
          <w:sz w:val="20"/>
          <w:szCs w:val="20"/>
          <w:lang w:val="en-GB"/>
        </w:rPr>
        <w:t xml:space="preserve"> pulmonary emboli eight years earlier which had been managed with Warfarin and subsequently a</w:t>
      </w:r>
      <w:r w:rsidR="00A27D39" w:rsidRPr="00AE5B1C">
        <w:rPr>
          <w:rFonts w:ascii="Times New Roman" w:hAnsi="Times New Roman" w:cs="Times New Roman"/>
          <w:sz w:val="20"/>
          <w:szCs w:val="20"/>
          <w:lang w:val="en-GB"/>
        </w:rPr>
        <w:t xml:space="preserve"> novel oral anticoagulant (NOAC). </w:t>
      </w:r>
    </w:p>
    <w:p w14:paraId="73869B98" w14:textId="77777777" w:rsidR="0062342F" w:rsidRPr="00AE5B1C" w:rsidRDefault="008621B7" w:rsidP="00243D19">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Her past medical history was significant for ischaemic heart disease (with an ejection fraction of less than 30%), type 2 diabetes mellitus, </w:t>
      </w:r>
      <w:proofErr w:type="gramStart"/>
      <w:r w:rsidRPr="00AE5B1C">
        <w:rPr>
          <w:rFonts w:ascii="Times New Roman" w:hAnsi="Times New Roman" w:cs="Times New Roman"/>
          <w:sz w:val="20"/>
          <w:szCs w:val="20"/>
          <w:lang w:val="en-GB"/>
        </w:rPr>
        <w:t>hypertension</w:t>
      </w:r>
      <w:proofErr w:type="gramEnd"/>
      <w:r w:rsidRPr="00AE5B1C">
        <w:rPr>
          <w:rFonts w:ascii="Times New Roman" w:hAnsi="Times New Roman" w:cs="Times New Roman"/>
          <w:sz w:val="20"/>
          <w:szCs w:val="20"/>
          <w:lang w:val="en-GB"/>
        </w:rPr>
        <w:t xml:space="preserve"> and hyperlipidaemia. </w:t>
      </w:r>
      <w:r w:rsidR="002509D4" w:rsidRPr="00AE5B1C">
        <w:rPr>
          <w:rFonts w:ascii="Times New Roman" w:hAnsi="Times New Roman" w:cs="Times New Roman"/>
          <w:sz w:val="20"/>
          <w:szCs w:val="20"/>
          <w:lang w:val="en-GB"/>
        </w:rPr>
        <w:t xml:space="preserve">Her past surgical history consisted of a hysterectomy and open appendicectomy. </w:t>
      </w:r>
    </w:p>
    <w:p w14:paraId="79279236" w14:textId="59D2C5C7" w:rsidR="00275429" w:rsidRPr="00AE5B1C" w:rsidRDefault="0062342F" w:rsidP="00243D19">
      <w:pPr>
        <w:rPr>
          <w:rFonts w:ascii="Times New Roman" w:hAnsi="Times New Roman" w:cs="Times New Roman"/>
          <w:sz w:val="20"/>
          <w:szCs w:val="20"/>
          <w:lang w:val="en-GB"/>
        </w:rPr>
      </w:pPr>
      <w:r w:rsidRPr="00AE5B1C">
        <w:rPr>
          <w:rFonts w:ascii="Times New Roman" w:hAnsi="Times New Roman" w:cs="Times New Roman"/>
          <w:sz w:val="20"/>
          <w:szCs w:val="20"/>
          <w:lang w:val="en-GB"/>
        </w:rPr>
        <w:t>She was an ex-smoker who lived with her son and daughter-in-law. She was independently mobile with a frame at baseline</w:t>
      </w:r>
      <w:r w:rsidR="007247EB" w:rsidRPr="00AE5B1C">
        <w:rPr>
          <w:rFonts w:ascii="Times New Roman" w:hAnsi="Times New Roman" w:cs="Times New Roman"/>
          <w:sz w:val="20"/>
          <w:szCs w:val="20"/>
          <w:lang w:val="en-GB"/>
        </w:rPr>
        <w:t>. However, she was found to be breathless on minimal exertion</w:t>
      </w:r>
      <w:r w:rsidR="003D7DAE" w:rsidRPr="00AE5B1C">
        <w:rPr>
          <w:rFonts w:ascii="Times New Roman" w:hAnsi="Times New Roman" w:cs="Times New Roman"/>
          <w:sz w:val="20"/>
          <w:szCs w:val="20"/>
          <w:lang w:val="en-GB"/>
        </w:rPr>
        <w:t xml:space="preserve"> on </w:t>
      </w:r>
      <w:r w:rsidR="00BA13CD" w:rsidRPr="00AE5B1C">
        <w:rPr>
          <w:rFonts w:ascii="Times New Roman" w:hAnsi="Times New Roman" w:cs="Times New Roman"/>
          <w:sz w:val="20"/>
          <w:szCs w:val="20"/>
          <w:lang w:val="en-GB"/>
        </w:rPr>
        <w:t xml:space="preserve">clinical </w:t>
      </w:r>
      <w:r w:rsidR="003D7DAE" w:rsidRPr="00AE5B1C">
        <w:rPr>
          <w:rFonts w:ascii="Times New Roman" w:hAnsi="Times New Roman" w:cs="Times New Roman"/>
          <w:sz w:val="20"/>
          <w:szCs w:val="20"/>
          <w:lang w:val="en-GB"/>
        </w:rPr>
        <w:t xml:space="preserve">evaluation. </w:t>
      </w:r>
    </w:p>
    <w:p w14:paraId="43A76E35" w14:textId="77777777" w:rsidR="00581A92" w:rsidRPr="00AE5B1C" w:rsidRDefault="00275429" w:rsidP="00243D19">
      <w:pPr>
        <w:rPr>
          <w:rFonts w:ascii="Times New Roman" w:hAnsi="Times New Roman" w:cs="Times New Roman"/>
          <w:sz w:val="20"/>
          <w:szCs w:val="20"/>
          <w:lang w:val="en-GB"/>
        </w:rPr>
      </w:pPr>
      <w:r w:rsidRPr="00AE5B1C">
        <w:rPr>
          <w:rFonts w:ascii="Times New Roman" w:hAnsi="Times New Roman" w:cs="Times New Roman"/>
          <w:sz w:val="20"/>
          <w:szCs w:val="20"/>
          <w:lang w:val="en-GB"/>
        </w:rPr>
        <w:t>A full blood count revealed a haemoglobin of 9.9</w:t>
      </w:r>
      <w:r w:rsidR="00C860F1" w:rsidRPr="00AE5B1C">
        <w:rPr>
          <w:rFonts w:ascii="Times New Roman" w:hAnsi="Times New Roman" w:cs="Times New Roman"/>
          <w:sz w:val="20"/>
          <w:szCs w:val="20"/>
          <w:lang w:val="en-GB"/>
        </w:rPr>
        <w:t xml:space="preserve"> g/dL. Her anaemia was felt to be secondary to </w:t>
      </w:r>
      <w:r w:rsidR="003934D2" w:rsidRPr="00AE5B1C">
        <w:rPr>
          <w:rFonts w:ascii="Times New Roman" w:hAnsi="Times New Roman" w:cs="Times New Roman"/>
          <w:sz w:val="20"/>
          <w:szCs w:val="20"/>
          <w:lang w:val="en-GB"/>
        </w:rPr>
        <w:t>her gastric tumour and a decision was made to hold her anticoagulation until</w:t>
      </w:r>
      <w:r w:rsidR="00581A92" w:rsidRPr="00AE5B1C">
        <w:rPr>
          <w:rFonts w:ascii="Times New Roman" w:hAnsi="Times New Roman" w:cs="Times New Roman"/>
          <w:sz w:val="20"/>
          <w:szCs w:val="20"/>
          <w:lang w:val="en-GB"/>
        </w:rPr>
        <w:t xml:space="preserve"> a subtotal gastrectomy had been performed. </w:t>
      </w:r>
    </w:p>
    <w:p w14:paraId="709ACACC" w14:textId="0D93FF45" w:rsidR="00A27D39" w:rsidRPr="00AE5B1C" w:rsidRDefault="00581A92" w:rsidP="00243D19">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The patient’s case was discussed with Interventional Radiology. </w:t>
      </w:r>
      <w:r w:rsidR="00152514" w:rsidRPr="00AE5B1C">
        <w:rPr>
          <w:rFonts w:ascii="Times New Roman" w:hAnsi="Times New Roman" w:cs="Times New Roman"/>
          <w:sz w:val="20"/>
          <w:szCs w:val="20"/>
          <w:lang w:val="en-GB"/>
        </w:rPr>
        <w:t>It was decided, given the patient w</w:t>
      </w:r>
      <w:r w:rsidR="00400141" w:rsidRPr="00AE5B1C">
        <w:rPr>
          <w:rFonts w:ascii="Times New Roman" w:hAnsi="Times New Roman" w:cs="Times New Roman"/>
          <w:sz w:val="20"/>
          <w:szCs w:val="20"/>
          <w:lang w:val="en-GB"/>
        </w:rPr>
        <w:t>ou</w:t>
      </w:r>
      <w:r w:rsidR="00E14254" w:rsidRPr="00AE5B1C">
        <w:rPr>
          <w:rFonts w:ascii="Times New Roman" w:hAnsi="Times New Roman" w:cs="Times New Roman"/>
          <w:sz w:val="20"/>
          <w:szCs w:val="20"/>
          <w:lang w:val="en-GB"/>
        </w:rPr>
        <w:t>l</w:t>
      </w:r>
      <w:r w:rsidR="00400141" w:rsidRPr="00AE5B1C">
        <w:rPr>
          <w:rFonts w:ascii="Times New Roman" w:hAnsi="Times New Roman" w:cs="Times New Roman"/>
          <w:sz w:val="20"/>
          <w:szCs w:val="20"/>
          <w:lang w:val="en-GB"/>
        </w:rPr>
        <w:t>d</w:t>
      </w:r>
      <w:r w:rsidR="00152514" w:rsidRPr="00AE5B1C">
        <w:rPr>
          <w:rFonts w:ascii="Times New Roman" w:hAnsi="Times New Roman" w:cs="Times New Roman"/>
          <w:sz w:val="20"/>
          <w:szCs w:val="20"/>
          <w:lang w:val="en-GB"/>
        </w:rPr>
        <w:t xml:space="preserve"> remain at risk of further pulmonary emboli for a transient period</w:t>
      </w:r>
      <w:r w:rsidR="00400141" w:rsidRPr="00AE5B1C">
        <w:rPr>
          <w:rFonts w:ascii="Times New Roman" w:hAnsi="Times New Roman" w:cs="Times New Roman"/>
          <w:sz w:val="20"/>
          <w:szCs w:val="20"/>
          <w:lang w:val="en-GB"/>
        </w:rPr>
        <w:t xml:space="preserve"> until her </w:t>
      </w:r>
      <w:r w:rsidR="008C0EDD" w:rsidRPr="00AE5B1C">
        <w:rPr>
          <w:rFonts w:ascii="Times New Roman" w:hAnsi="Times New Roman" w:cs="Times New Roman"/>
          <w:sz w:val="20"/>
          <w:szCs w:val="20"/>
          <w:lang w:val="en-GB"/>
        </w:rPr>
        <w:t>gastrectomy</w:t>
      </w:r>
      <w:r w:rsidR="0039745E">
        <w:rPr>
          <w:rFonts w:ascii="Times New Roman" w:hAnsi="Times New Roman" w:cs="Times New Roman"/>
          <w:sz w:val="20"/>
          <w:szCs w:val="20"/>
          <w:lang w:val="en-GB"/>
        </w:rPr>
        <w:t xml:space="preserve"> and for a short period after her gastrectomy</w:t>
      </w:r>
      <w:r w:rsidR="00400141" w:rsidRPr="00AE5B1C">
        <w:rPr>
          <w:rFonts w:ascii="Times New Roman" w:hAnsi="Times New Roman" w:cs="Times New Roman"/>
          <w:sz w:val="20"/>
          <w:szCs w:val="20"/>
          <w:lang w:val="en-GB"/>
        </w:rPr>
        <w:t xml:space="preserve">, that she would be a suitable candidate for a </w:t>
      </w:r>
      <w:proofErr w:type="spellStart"/>
      <w:r w:rsidR="00400141" w:rsidRPr="00AE5B1C">
        <w:rPr>
          <w:rFonts w:ascii="Times New Roman" w:hAnsi="Times New Roman" w:cs="Times New Roman"/>
          <w:sz w:val="20"/>
          <w:szCs w:val="20"/>
          <w:lang w:val="en-GB"/>
        </w:rPr>
        <w:t>bioconvertible</w:t>
      </w:r>
      <w:proofErr w:type="spellEnd"/>
      <w:r w:rsidR="00400141" w:rsidRPr="00AE5B1C">
        <w:rPr>
          <w:rFonts w:ascii="Times New Roman" w:hAnsi="Times New Roman" w:cs="Times New Roman"/>
          <w:sz w:val="20"/>
          <w:szCs w:val="20"/>
          <w:lang w:val="en-GB"/>
        </w:rPr>
        <w:t xml:space="preserve"> IVC filter. </w:t>
      </w:r>
    </w:p>
    <w:p w14:paraId="633B3805" w14:textId="0D69888A" w:rsidR="00E14254" w:rsidRPr="00AE5B1C" w:rsidRDefault="00C61EC8" w:rsidP="00243D19">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The procedure was discussed with the patient in Interventional Radiology and informed consent was provided. The access site in the right groin was cleaned and draped </w:t>
      </w:r>
      <w:r w:rsidR="00A41EFE" w:rsidRPr="00AE5B1C">
        <w:rPr>
          <w:rFonts w:ascii="Times New Roman" w:hAnsi="Times New Roman" w:cs="Times New Roman"/>
          <w:sz w:val="20"/>
          <w:szCs w:val="20"/>
          <w:lang w:val="en-GB"/>
        </w:rPr>
        <w:t xml:space="preserve">with the patient in a supine position. The right </w:t>
      </w:r>
      <w:r w:rsidR="00A41EFE" w:rsidRPr="00AE5B1C">
        <w:rPr>
          <w:rFonts w:ascii="Times New Roman" w:hAnsi="Times New Roman" w:cs="Times New Roman"/>
          <w:sz w:val="20"/>
          <w:szCs w:val="20"/>
          <w:lang w:val="en-GB"/>
        </w:rPr>
        <w:lastRenderedPageBreak/>
        <w:t xml:space="preserve">common femoral vein was accessed using a </w:t>
      </w:r>
      <w:proofErr w:type="spellStart"/>
      <w:r w:rsidR="0039745E">
        <w:rPr>
          <w:rFonts w:ascii="Times New Roman" w:hAnsi="Times New Roman" w:cs="Times New Roman"/>
          <w:sz w:val="20"/>
          <w:szCs w:val="20"/>
          <w:lang w:val="en-GB"/>
        </w:rPr>
        <w:t>m</w:t>
      </w:r>
      <w:r w:rsidR="00A41EFE" w:rsidRPr="00AE5B1C">
        <w:rPr>
          <w:rFonts w:ascii="Times New Roman" w:hAnsi="Times New Roman" w:cs="Times New Roman"/>
          <w:sz w:val="20"/>
          <w:szCs w:val="20"/>
          <w:lang w:val="en-GB"/>
        </w:rPr>
        <w:t>icropuncture</w:t>
      </w:r>
      <w:proofErr w:type="spellEnd"/>
      <w:r w:rsidR="00A41EFE" w:rsidRPr="00AE5B1C">
        <w:rPr>
          <w:rFonts w:ascii="Times New Roman" w:hAnsi="Times New Roman" w:cs="Times New Roman"/>
          <w:sz w:val="20"/>
          <w:szCs w:val="20"/>
          <w:lang w:val="en-GB"/>
        </w:rPr>
        <w:t xml:space="preserve"> set consisting of a 21</w:t>
      </w:r>
      <w:r w:rsidR="00F342F1" w:rsidRPr="00AE5B1C">
        <w:rPr>
          <w:rFonts w:ascii="Times New Roman" w:hAnsi="Times New Roman" w:cs="Times New Roman"/>
          <w:sz w:val="20"/>
          <w:szCs w:val="20"/>
          <w:lang w:val="en-GB"/>
        </w:rPr>
        <w:t>-</w:t>
      </w:r>
      <w:r w:rsidR="00A41EFE" w:rsidRPr="00AE5B1C">
        <w:rPr>
          <w:rFonts w:ascii="Times New Roman" w:hAnsi="Times New Roman" w:cs="Times New Roman"/>
          <w:sz w:val="20"/>
          <w:szCs w:val="20"/>
          <w:lang w:val="en-GB"/>
        </w:rPr>
        <w:t>gauge needle</w:t>
      </w:r>
      <w:r w:rsidR="003A4212" w:rsidRPr="00AE5B1C">
        <w:rPr>
          <w:rFonts w:ascii="Times New Roman" w:hAnsi="Times New Roman" w:cs="Times New Roman"/>
          <w:sz w:val="20"/>
          <w:szCs w:val="20"/>
          <w:lang w:val="en-GB"/>
        </w:rPr>
        <w:t>,</w:t>
      </w:r>
      <w:r w:rsidR="00F342F1" w:rsidRPr="00AE5B1C">
        <w:rPr>
          <w:rFonts w:ascii="Times New Roman" w:hAnsi="Times New Roman" w:cs="Times New Roman"/>
          <w:sz w:val="20"/>
          <w:szCs w:val="20"/>
          <w:lang w:val="en-GB"/>
        </w:rPr>
        <w:t xml:space="preserve"> a</w:t>
      </w:r>
      <w:r w:rsidR="003A4212" w:rsidRPr="00AE5B1C">
        <w:rPr>
          <w:rFonts w:ascii="Times New Roman" w:hAnsi="Times New Roman" w:cs="Times New Roman"/>
          <w:sz w:val="20"/>
          <w:szCs w:val="20"/>
          <w:lang w:val="en-GB"/>
        </w:rPr>
        <w:t xml:space="preserve"> .018-inch wire and a 5 </w:t>
      </w:r>
      <w:r w:rsidR="00BF1532" w:rsidRPr="00AE5B1C">
        <w:rPr>
          <w:rFonts w:ascii="Times New Roman" w:hAnsi="Times New Roman" w:cs="Times New Roman"/>
          <w:sz w:val="20"/>
          <w:szCs w:val="20"/>
          <w:lang w:val="en-GB"/>
        </w:rPr>
        <w:t>French dilator/sheath. A guidewire was advanced into the IVC</w:t>
      </w:r>
      <w:r w:rsidR="00DE4003" w:rsidRPr="00AE5B1C">
        <w:rPr>
          <w:rFonts w:ascii="Times New Roman" w:hAnsi="Times New Roman" w:cs="Times New Roman"/>
          <w:sz w:val="20"/>
          <w:szCs w:val="20"/>
          <w:lang w:val="en-GB"/>
        </w:rPr>
        <w:t xml:space="preserve"> (figure 2)</w:t>
      </w:r>
      <w:r w:rsidR="00BF1532" w:rsidRPr="00AE5B1C">
        <w:rPr>
          <w:rFonts w:ascii="Times New Roman" w:hAnsi="Times New Roman" w:cs="Times New Roman"/>
          <w:sz w:val="20"/>
          <w:szCs w:val="20"/>
          <w:lang w:val="en-GB"/>
        </w:rPr>
        <w:t xml:space="preserve">. </w:t>
      </w:r>
    </w:p>
    <w:p w14:paraId="0E4D353D" w14:textId="00B44019" w:rsidR="00F127A7" w:rsidRPr="00AE5B1C" w:rsidRDefault="008F4874" w:rsidP="00243D19">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A venogram was performed by injecting contrast through a catheter </w:t>
      </w:r>
      <w:r w:rsidR="00DD1867" w:rsidRPr="00AE5B1C">
        <w:rPr>
          <w:rFonts w:ascii="Times New Roman" w:hAnsi="Times New Roman" w:cs="Times New Roman"/>
          <w:sz w:val="20"/>
          <w:szCs w:val="20"/>
          <w:lang w:val="en-GB"/>
        </w:rPr>
        <w:t xml:space="preserve">to assess for IVC patency, </w:t>
      </w:r>
      <w:proofErr w:type="gramStart"/>
      <w:r w:rsidR="00DD1867" w:rsidRPr="00AE5B1C">
        <w:rPr>
          <w:rFonts w:ascii="Times New Roman" w:hAnsi="Times New Roman" w:cs="Times New Roman"/>
          <w:sz w:val="20"/>
          <w:szCs w:val="20"/>
          <w:lang w:val="en-GB"/>
        </w:rPr>
        <w:t>size</w:t>
      </w:r>
      <w:proofErr w:type="gramEnd"/>
      <w:r w:rsidR="00DD1867" w:rsidRPr="00AE5B1C">
        <w:rPr>
          <w:rFonts w:ascii="Times New Roman" w:hAnsi="Times New Roman" w:cs="Times New Roman"/>
          <w:sz w:val="20"/>
          <w:szCs w:val="20"/>
          <w:lang w:val="en-GB"/>
        </w:rPr>
        <w:t xml:space="preserve"> and anom</w:t>
      </w:r>
      <w:r w:rsidR="002F5DCF" w:rsidRPr="00AE5B1C">
        <w:rPr>
          <w:rFonts w:ascii="Times New Roman" w:hAnsi="Times New Roman" w:cs="Times New Roman"/>
          <w:sz w:val="20"/>
          <w:szCs w:val="20"/>
          <w:lang w:val="en-GB"/>
        </w:rPr>
        <w:t>al</w:t>
      </w:r>
      <w:r w:rsidR="00DD1867" w:rsidRPr="00AE5B1C">
        <w:rPr>
          <w:rFonts w:ascii="Times New Roman" w:hAnsi="Times New Roman" w:cs="Times New Roman"/>
          <w:sz w:val="20"/>
          <w:szCs w:val="20"/>
          <w:lang w:val="en-GB"/>
        </w:rPr>
        <w:t>ies and to identify the location of the renal veins</w:t>
      </w:r>
      <w:r w:rsidR="00DE4003" w:rsidRPr="00AE5B1C">
        <w:rPr>
          <w:rFonts w:ascii="Times New Roman" w:hAnsi="Times New Roman" w:cs="Times New Roman"/>
          <w:sz w:val="20"/>
          <w:szCs w:val="20"/>
          <w:lang w:val="en-GB"/>
        </w:rPr>
        <w:t xml:space="preserve"> (figure 3)</w:t>
      </w:r>
      <w:r w:rsidR="00DD1867" w:rsidRPr="00AE5B1C">
        <w:rPr>
          <w:rFonts w:ascii="Times New Roman" w:hAnsi="Times New Roman" w:cs="Times New Roman"/>
          <w:sz w:val="20"/>
          <w:szCs w:val="20"/>
          <w:lang w:val="en-GB"/>
        </w:rPr>
        <w:t xml:space="preserve">. </w:t>
      </w:r>
      <w:r w:rsidR="000E41DC" w:rsidRPr="00AE5B1C">
        <w:rPr>
          <w:rFonts w:ascii="Times New Roman" w:hAnsi="Times New Roman" w:cs="Times New Roman"/>
          <w:sz w:val="20"/>
          <w:szCs w:val="20"/>
          <w:lang w:val="en-GB"/>
        </w:rPr>
        <w:t>The filter was deployed through a dedicated delivery sheath</w:t>
      </w:r>
      <w:r w:rsidR="00DE4003" w:rsidRPr="00AE5B1C">
        <w:rPr>
          <w:rFonts w:ascii="Times New Roman" w:hAnsi="Times New Roman" w:cs="Times New Roman"/>
          <w:sz w:val="20"/>
          <w:szCs w:val="20"/>
          <w:lang w:val="en-GB"/>
        </w:rPr>
        <w:t xml:space="preserve"> (figure 4)</w:t>
      </w:r>
      <w:r w:rsidR="000E41DC" w:rsidRPr="00AE5B1C">
        <w:rPr>
          <w:rFonts w:ascii="Times New Roman" w:hAnsi="Times New Roman" w:cs="Times New Roman"/>
          <w:sz w:val="20"/>
          <w:szCs w:val="20"/>
          <w:lang w:val="en-GB"/>
        </w:rPr>
        <w:t xml:space="preserve">. A repeat venogram was performed </w:t>
      </w:r>
      <w:r w:rsidR="007971B7">
        <w:rPr>
          <w:rFonts w:ascii="Times New Roman" w:hAnsi="Times New Roman" w:cs="Times New Roman"/>
          <w:sz w:val="20"/>
          <w:szCs w:val="20"/>
          <w:lang w:val="en-GB"/>
        </w:rPr>
        <w:t>which</w:t>
      </w:r>
      <w:r w:rsidR="000E41DC" w:rsidRPr="00AE5B1C">
        <w:rPr>
          <w:rFonts w:ascii="Times New Roman" w:hAnsi="Times New Roman" w:cs="Times New Roman"/>
          <w:sz w:val="20"/>
          <w:szCs w:val="20"/>
          <w:lang w:val="en-GB"/>
        </w:rPr>
        <w:t xml:space="preserve"> confirm</w:t>
      </w:r>
      <w:r w:rsidR="00F127A7" w:rsidRPr="00AE5B1C">
        <w:rPr>
          <w:rFonts w:ascii="Times New Roman" w:hAnsi="Times New Roman" w:cs="Times New Roman"/>
          <w:sz w:val="20"/>
          <w:szCs w:val="20"/>
          <w:lang w:val="en-GB"/>
        </w:rPr>
        <w:t>ed</w:t>
      </w:r>
      <w:r w:rsidR="000E41DC" w:rsidRPr="00AE5B1C">
        <w:rPr>
          <w:rFonts w:ascii="Times New Roman" w:hAnsi="Times New Roman" w:cs="Times New Roman"/>
          <w:sz w:val="20"/>
          <w:szCs w:val="20"/>
          <w:lang w:val="en-GB"/>
        </w:rPr>
        <w:t xml:space="preserve"> satisfactory</w:t>
      </w:r>
      <w:r w:rsidR="000C0337" w:rsidRPr="00AE5B1C">
        <w:rPr>
          <w:rFonts w:ascii="Times New Roman" w:hAnsi="Times New Roman" w:cs="Times New Roman"/>
          <w:sz w:val="20"/>
          <w:szCs w:val="20"/>
          <w:lang w:val="en-GB"/>
        </w:rPr>
        <w:t xml:space="preserve"> deployment of the filter</w:t>
      </w:r>
      <w:r w:rsidR="00C233CD" w:rsidRPr="00AE5B1C">
        <w:rPr>
          <w:rFonts w:ascii="Times New Roman" w:hAnsi="Times New Roman" w:cs="Times New Roman"/>
          <w:sz w:val="20"/>
          <w:szCs w:val="20"/>
          <w:lang w:val="en-GB"/>
        </w:rPr>
        <w:t xml:space="preserve"> (figure 5)</w:t>
      </w:r>
      <w:r w:rsidR="000C0337" w:rsidRPr="00AE5B1C">
        <w:rPr>
          <w:rFonts w:ascii="Times New Roman" w:hAnsi="Times New Roman" w:cs="Times New Roman"/>
          <w:sz w:val="20"/>
          <w:szCs w:val="20"/>
          <w:lang w:val="en-GB"/>
        </w:rPr>
        <w:t xml:space="preserve">. The delivery sheath was </w:t>
      </w:r>
      <w:proofErr w:type="gramStart"/>
      <w:r w:rsidR="000C0337" w:rsidRPr="00AE5B1C">
        <w:rPr>
          <w:rFonts w:ascii="Times New Roman" w:hAnsi="Times New Roman" w:cs="Times New Roman"/>
          <w:sz w:val="20"/>
          <w:szCs w:val="20"/>
          <w:lang w:val="en-GB"/>
        </w:rPr>
        <w:t>removed</w:t>
      </w:r>
      <w:proofErr w:type="gramEnd"/>
      <w:r w:rsidR="000C0337" w:rsidRPr="00AE5B1C">
        <w:rPr>
          <w:rFonts w:ascii="Times New Roman" w:hAnsi="Times New Roman" w:cs="Times New Roman"/>
          <w:sz w:val="20"/>
          <w:szCs w:val="20"/>
          <w:lang w:val="en-GB"/>
        </w:rPr>
        <w:t xml:space="preserve"> and hae</w:t>
      </w:r>
      <w:r w:rsidR="002F5DCF" w:rsidRPr="00AE5B1C">
        <w:rPr>
          <w:rFonts w:ascii="Times New Roman" w:hAnsi="Times New Roman" w:cs="Times New Roman"/>
          <w:sz w:val="20"/>
          <w:szCs w:val="20"/>
          <w:lang w:val="en-GB"/>
        </w:rPr>
        <w:t>m</w:t>
      </w:r>
      <w:r w:rsidR="000C0337" w:rsidRPr="00AE5B1C">
        <w:rPr>
          <w:rFonts w:ascii="Times New Roman" w:hAnsi="Times New Roman" w:cs="Times New Roman"/>
          <w:sz w:val="20"/>
          <w:szCs w:val="20"/>
          <w:lang w:val="en-GB"/>
        </w:rPr>
        <w:t>ostasis was achieved with manual compression</w:t>
      </w:r>
      <w:r w:rsidR="006A2567" w:rsidRPr="00AE5B1C">
        <w:rPr>
          <w:rFonts w:ascii="Times New Roman" w:hAnsi="Times New Roman" w:cs="Times New Roman"/>
          <w:sz w:val="20"/>
          <w:szCs w:val="20"/>
          <w:lang w:val="en-GB"/>
        </w:rPr>
        <w:t xml:space="preserve">. </w:t>
      </w:r>
    </w:p>
    <w:p w14:paraId="3F6248BD" w14:textId="1A6A489A" w:rsidR="008F4874" w:rsidRDefault="006A2567" w:rsidP="00243D19">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The patient was successfully discharged home the following day. She returned for a subtotal gastrectomy as planned </w:t>
      </w:r>
      <w:r w:rsidR="002F5DCF" w:rsidRPr="00AE5B1C">
        <w:rPr>
          <w:rFonts w:ascii="Times New Roman" w:hAnsi="Times New Roman" w:cs="Times New Roman"/>
          <w:sz w:val="20"/>
          <w:szCs w:val="20"/>
          <w:lang w:val="en-GB"/>
        </w:rPr>
        <w:t>three weeks late</w:t>
      </w:r>
      <w:r w:rsidR="0039745E">
        <w:rPr>
          <w:rFonts w:ascii="Times New Roman" w:hAnsi="Times New Roman" w:cs="Times New Roman"/>
          <w:sz w:val="20"/>
          <w:szCs w:val="20"/>
          <w:lang w:val="en-GB"/>
        </w:rPr>
        <w:t>r.</w:t>
      </w:r>
    </w:p>
    <w:p w14:paraId="7A6FF629" w14:textId="54C6C060" w:rsidR="00807DF9" w:rsidRDefault="00807DF9" w:rsidP="00243D19">
      <w:pPr>
        <w:rPr>
          <w:rFonts w:ascii="Times New Roman" w:hAnsi="Times New Roman" w:cs="Times New Roman"/>
          <w:sz w:val="20"/>
          <w:szCs w:val="20"/>
          <w:lang w:val="en-GB"/>
        </w:rPr>
      </w:pPr>
      <w:r>
        <w:rPr>
          <w:rFonts w:ascii="Times New Roman" w:hAnsi="Times New Roman" w:cs="Times New Roman"/>
          <w:sz w:val="20"/>
          <w:szCs w:val="20"/>
          <w:lang w:val="en-GB"/>
        </w:rPr>
        <w:t>Follow-up CT images demonstrate</w:t>
      </w:r>
      <w:r w:rsidR="00E22154">
        <w:rPr>
          <w:rFonts w:ascii="Times New Roman" w:hAnsi="Times New Roman" w:cs="Times New Roman"/>
          <w:sz w:val="20"/>
          <w:szCs w:val="20"/>
          <w:lang w:val="en-GB"/>
        </w:rPr>
        <w:t>d</w:t>
      </w:r>
      <w:r>
        <w:rPr>
          <w:rFonts w:ascii="Times New Roman" w:hAnsi="Times New Roman" w:cs="Times New Roman"/>
          <w:sz w:val="20"/>
          <w:szCs w:val="20"/>
          <w:lang w:val="en-GB"/>
        </w:rPr>
        <w:t xml:space="preserve"> the filter in its filtering configuration (figure 6)</w:t>
      </w:r>
      <w:r w:rsidR="00E156C0">
        <w:rPr>
          <w:rFonts w:ascii="Times New Roman" w:hAnsi="Times New Roman" w:cs="Times New Roman"/>
          <w:sz w:val="20"/>
          <w:szCs w:val="20"/>
          <w:lang w:val="en-GB"/>
        </w:rPr>
        <w:t xml:space="preserve"> and subsequently in its </w:t>
      </w:r>
      <w:proofErr w:type="spellStart"/>
      <w:r w:rsidR="00E156C0">
        <w:rPr>
          <w:rFonts w:ascii="Times New Roman" w:hAnsi="Times New Roman" w:cs="Times New Roman"/>
          <w:sz w:val="20"/>
          <w:szCs w:val="20"/>
          <w:lang w:val="en-GB"/>
        </w:rPr>
        <w:t>bioconverted</w:t>
      </w:r>
      <w:proofErr w:type="spellEnd"/>
      <w:r w:rsidR="00E156C0">
        <w:rPr>
          <w:rFonts w:ascii="Times New Roman" w:hAnsi="Times New Roman" w:cs="Times New Roman"/>
          <w:sz w:val="20"/>
          <w:szCs w:val="20"/>
          <w:lang w:val="en-GB"/>
        </w:rPr>
        <w:t xml:space="preserve"> configuration (figure 7).</w:t>
      </w:r>
    </w:p>
    <w:p w14:paraId="171FA4A6" w14:textId="1F351C72" w:rsidR="00251B4B" w:rsidRPr="00AE5B1C" w:rsidRDefault="00251B4B" w:rsidP="00243D19">
      <w:pPr>
        <w:rPr>
          <w:rFonts w:ascii="Times New Roman" w:hAnsi="Times New Roman" w:cs="Times New Roman"/>
          <w:b/>
          <w:bCs/>
          <w:sz w:val="20"/>
          <w:szCs w:val="20"/>
          <w:lang w:val="en-GB"/>
        </w:rPr>
      </w:pPr>
      <w:r w:rsidRPr="00AE5B1C">
        <w:rPr>
          <w:rFonts w:ascii="Times New Roman" w:hAnsi="Times New Roman" w:cs="Times New Roman"/>
          <w:b/>
          <w:bCs/>
          <w:sz w:val="20"/>
          <w:szCs w:val="20"/>
          <w:lang w:val="en-GB"/>
        </w:rPr>
        <w:t>Discussion</w:t>
      </w:r>
    </w:p>
    <w:p w14:paraId="5390F710" w14:textId="34742E18" w:rsidR="00251B4B" w:rsidRPr="00AE5B1C" w:rsidRDefault="00807E59" w:rsidP="00243D19">
      <w:pPr>
        <w:rPr>
          <w:rFonts w:ascii="Times New Roman" w:hAnsi="Times New Roman" w:cs="Times New Roman"/>
          <w:sz w:val="20"/>
          <w:szCs w:val="20"/>
          <w:lang w:val="en-GB"/>
        </w:rPr>
      </w:pPr>
      <w:r w:rsidRPr="00AE5B1C">
        <w:rPr>
          <w:rFonts w:ascii="Times New Roman" w:hAnsi="Times New Roman" w:cs="Times New Roman"/>
          <w:sz w:val="20"/>
          <w:szCs w:val="20"/>
          <w:lang w:val="en-GB"/>
        </w:rPr>
        <w:t>Venous thromboembolism comprises DVT and PE</w:t>
      </w:r>
      <w:r w:rsidR="00B80032" w:rsidRPr="00AE5B1C">
        <w:rPr>
          <w:rFonts w:ascii="Times New Roman" w:hAnsi="Times New Roman" w:cs="Times New Roman"/>
          <w:sz w:val="20"/>
          <w:szCs w:val="20"/>
          <w:lang w:val="en-GB"/>
        </w:rPr>
        <w:t xml:space="preserve"> and represents a major cause of global morbidity and mortality affecting millions of people every year</w:t>
      </w:r>
      <w:r w:rsidR="000800C0" w:rsidRPr="00AE5B1C">
        <w:rPr>
          <w:rFonts w:ascii="Times New Roman" w:hAnsi="Times New Roman" w:cs="Times New Roman"/>
          <w:sz w:val="20"/>
          <w:szCs w:val="20"/>
          <w:lang w:val="en-GB"/>
        </w:rPr>
        <w:fldChar w:fldCharType="begin"/>
      </w:r>
      <w:r w:rsidR="006605F1">
        <w:rPr>
          <w:rFonts w:ascii="Times New Roman" w:hAnsi="Times New Roman" w:cs="Times New Roman"/>
          <w:sz w:val="20"/>
          <w:szCs w:val="20"/>
          <w:lang w:val="en-GB"/>
        </w:rPr>
        <w:instrText xml:space="preserve"> ADDIN ZOTERO_ITEM CSL_CITATION {"citationID":"iZUerR0J","properties":{"formattedCitation":"[11]","plainCitation":"[11]","noteIndex":0},"citationItems":[{"id":111,"uris":["http://zotero.org/users/7482256/items/I6JPZJSL"],"uri":["http://zotero.org/users/7482256/items/I6JPZJSL"],"itemData":{"id":111,"type":"article-journal","abstract":"Thrombosis is a common pathology underlying ischemic heart disease, ischemic stroke, and venous thromboembolism (VTE). The Global Burden of Diseases, Injuries, and Risk Factors (GBD) Study 2010 documented that ischemic heart disease and stroke collectively caused one in four deaths worldwide. GBD 2010 did not report data for VTE as a cause of death and disability. We performed a systematic review of the literature on the global disease burden caused by VTE in low-income, middle-income and high-income countries. Studies from western Europe, North America, Australia and southern Latin America (Argentina) yielded consistent results, with annual incidence rates ranging from 0.75 to 2.69 per 1000 individuals in the population. The incidence increased to between 2 and 7 per 1000 among those aged ≥ 70 years. Although the incidence is lower in individuals of Chinese and Korean ethnicity, their disease burden is not low, because of population aging. VTE associated with hospitalization was the leading cause of disability-adjusted life-years (DALYs) lost in low-income and middle-income countries, and the second most common cause in high-income countries, being responsible for more DALYs lost than nosocomial pneumonia, catheter-related bloodstream infections, and adverse drug events. VTE causes a major burden of disease across low-income, middle-income and high-income countries. More detailed data on the global burden of VTE should be obtained to inform policy and resource allocation in health systems, and to evaluate whether improved utilization of preventive measures will reduce the burden.","container-title":"Journal of thrombosis and haemostasis: JTH","DOI":"10.1111/jth.12698","ISSN":"1538-7836","issue":"10","journalAbbreviation":"J Thromb Haemost","language":"eng","note":"PMID: 25302663","page":"1580-1590","source":"PubMed","title":"Thrombosis: a major contributor to the global disease burden","title-short":"Thrombosis","volume":"12","author":[{"literal":"ISTH Steering Committee for World Thrombosis Day"}],"issued":{"date-parts":[["2014",10]]}}}],"schema":"https://github.com/citation-style-language/schema/raw/master/csl-citation.json"} </w:instrText>
      </w:r>
      <w:r w:rsidR="000800C0" w:rsidRPr="00AE5B1C">
        <w:rPr>
          <w:rFonts w:ascii="Times New Roman" w:hAnsi="Times New Roman" w:cs="Times New Roman"/>
          <w:sz w:val="20"/>
          <w:szCs w:val="20"/>
          <w:lang w:val="en-GB"/>
        </w:rPr>
        <w:fldChar w:fldCharType="separate"/>
      </w:r>
      <w:r w:rsidR="006605F1" w:rsidRPr="006605F1">
        <w:rPr>
          <w:rFonts w:ascii="Times New Roman" w:hAnsi="Times New Roman" w:cs="Times New Roman"/>
          <w:sz w:val="20"/>
        </w:rPr>
        <w:t>[11]</w:t>
      </w:r>
      <w:r w:rsidR="000800C0" w:rsidRPr="00AE5B1C">
        <w:rPr>
          <w:rFonts w:ascii="Times New Roman" w:hAnsi="Times New Roman" w:cs="Times New Roman"/>
          <w:sz w:val="20"/>
          <w:szCs w:val="20"/>
          <w:lang w:val="en-GB"/>
        </w:rPr>
        <w:fldChar w:fldCharType="end"/>
      </w:r>
      <w:r w:rsidR="00360914" w:rsidRPr="00AE5B1C">
        <w:rPr>
          <w:rFonts w:ascii="Times New Roman" w:hAnsi="Times New Roman" w:cs="Times New Roman"/>
          <w:sz w:val="20"/>
          <w:szCs w:val="20"/>
          <w:lang w:val="en-GB"/>
        </w:rPr>
        <w:t>. It is the third most common ca</w:t>
      </w:r>
      <w:r w:rsidR="002A1B3F" w:rsidRPr="00AE5B1C">
        <w:rPr>
          <w:rFonts w:ascii="Times New Roman" w:hAnsi="Times New Roman" w:cs="Times New Roman"/>
          <w:sz w:val="20"/>
          <w:szCs w:val="20"/>
          <w:lang w:val="en-GB"/>
        </w:rPr>
        <w:t>u</w:t>
      </w:r>
      <w:r w:rsidR="00360914" w:rsidRPr="00AE5B1C">
        <w:rPr>
          <w:rFonts w:ascii="Times New Roman" w:hAnsi="Times New Roman" w:cs="Times New Roman"/>
          <w:sz w:val="20"/>
          <w:szCs w:val="20"/>
          <w:lang w:val="en-GB"/>
        </w:rPr>
        <w:t xml:space="preserve">se of death from cardiovascular disease after myocardial infarction and stroke </w:t>
      </w:r>
      <w:r w:rsidR="000365FF" w:rsidRPr="00AE5B1C">
        <w:rPr>
          <w:rFonts w:ascii="Times New Roman" w:hAnsi="Times New Roman" w:cs="Times New Roman"/>
          <w:sz w:val="20"/>
          <w:szCs w:val="20"/>
          <w:lang w:val="en-GB"/>
        </w:rPr>
        <w:fldChar w:fldCharType="begin"/>
      </w:r>
      <w:r w:rsidR="006605F1">
        <w:rPr>
          <w:rFonts w:ascii="Times New Roman" w:hAnsi="Times New Roman" w:cs="Times New Roman"/>
          <w:sz w:val="20"/>
          <w:szCs w:val="20"/>
          <w:lang w:val="en-GB"/>
        </w:rPr>
        <w:instrText xml:space="preserve"> ADDIN ZOTERO_ITEM CSL_CITATION {"citationID":"3lljYCVb","properties":{"formattedCitation":"[12, 13]","plainCitation":"[12, 13]","noteIndex":0},"citationItems":[{"id":114,"uris":["http://zotero.org/users/7482256/items/RRWMGZGQ"],"uri":["http://zotero.org/users/7482256/items/RRWMGZGQ"],"itemData":{"id":114,"type":"article-journal","abstract":"A community-wide study was conducted in 16 short-stay hospitals in metropolitan Worcester, Mass, to examine the incidence and case-fatality rates of deep vein thrombosis and pulmonary embolism in patients hospitalized between July 1, 1985, and December 31, 1986. The average annual incidence of deep vein thrombosis alone was 48 per 100,000, while the incidence of pulmonary embolism with or without deep vein thrombosis was 23 per 100,000. The incidence rates of deep vein thrombosis and pulmonary embolism increased exponentially with age. The in-hospital case-fatality rate of venous thromboembolism was 12%. Among patients discharged from the hospital, the long-term case-fatality rates were 19%, 25%, and 30% at 1, 2, and 3 years after hospital discharge. Extrapolation of the data from this population-based study suggests that there are approximately 170,000 new cases of clinically recognized venous thromboembolism in patients treated in short-stay hospitals in the United States each year, and 99,000 hospitalizations for recurrent disease. Because of the silent nature of this disease and the low rate of autopsy in the United States, the total incidence, prevalence, and mortality rates of venous thromboembolism remain elusive.","container-title":"Archives of Internal Medicine","ISSN":"0003-9926","issue":"5","journalAbbreviation":"Arch Intern Med","language":"eng","note":"PMID: 2025141","page":"933-938","source":"PubMed","title":"A population-based perspective of the hospital incidence and case-fatality rates of deep vein thrombosis and pulmonary embolism. The Worcester DVT Study","volume":"151","author":[{"family":"Anderson","given":"F. A."},{"family":"Wheeler","given":"H. B."},{"family":"Goldberg","given":"R. J."},{"family":"Hosmer","given":"D. W."},{"family":"Patwardhan","given":"N. A."},{"family":"Jovanovic","given":"B."},{"family":"Forcier","given":"A."},{"family":"Dalen","given":"J. E."}],"issued":{"date-parts":[["1991",5]]}}},{"id":116,"uris":["http://zotero.org/users/7482256/items/KZ3U6N78"],"uri":["http://zotero.org/users/7482256/items/KZ3U6N78"],"itemData":{"id":116,"type":"article-journal","abstract":"BACKGROUND: Estimates of the incidence of venous thrombosis (VT) vary, and data on mortality are limited.\nOBJECTIVES: We estimated the incidence and mortality of a first VT event in a general population.\nMETHODS: From the residents of Nord-Trøndelag county in Norway aged 20 years and older (n = 94 194), we identified all cases with an objectively verified diagnosis of VT that occurred between 1995 and 2001. Patients and diagnosis characteristics were retrieved from medical records.\nRESULTS: Seven hundred and forty patients were identified with a first diagnosis of VT during 516,405 person-years of follow-up. The incidence rate for all first VT events was 1.43 per 1000 person-years [95% confidence interval (CI): 1.33-1.54], that for deep-vein thrombosis (DVT) was 0.93 per 1000 person-years (95% CI: 0.85-1.02), and that for pulmonary embolism (PE) was 0.50 per 1000 person-years (95% CI: 0.44-0.56). The incidence rates increased exponentially with age, and were slightly higher in women than in men. The 30-day case-fatality rate was higher in patients with PE than in those with DVT [9.7% vs. 4.6%, risk ratio 2.1 (95% CI: 1.2-3.7)]; it was also higher in patients with cancer than in patients without cancer [19.1% vs. 3.6%, risk ratio 3.8 (95% CI 1.6-9.2)]. The risk of dying was highest in the first months subsequent to the VT, after which it gradually approached the mortality rate in the general population.\nCONCLUSIONS: This study provides estimates of incidence and mortality of a first VT event in the general population.","container-title":"Journal of thrombosis and haemostasis: JTH","DOI":"10.1111/j.1538-7836.2007.02450.x","ISSN":"1538-7933","issue":"4","journalAbbreviation":"J Thromb Haemost","language":"eng","note":"PMID: 17367492","page":"692-699","source":"PubMed","title":"Incidence and mortality of venous thrombosis: a population-based study","title-short":"Incidence and mortality of venous thrombosis","volume":"5","author":[{"family":"Naess","given":"I. A."},{"family":"Christiansen","given":"S. C."},{"family":"Romundstad","given":"P."},{"family":"Cannegieter","given":"S. C."},{"family":"Rosendaal","given":"F. R."},{"family":"Hammerstrøm","given":"J."}],"issued":{"date-parts":[["2007",4]]}}}],"schema":"https://github.com/citation-style-language/schema/raw/master/csl-citation.json"} </w:instrText>
      </w:r>
      <w:r w:rsidR="000365FF" w:rsidRPr="00AE5B1C">
        <w:rPr>
          <w:rFonts w:ascii="Times New Roman" w:hAnsi="Times New Roman" w:cs="Times New Roman"/>
          <w:sz w:val="20"/>
          <w:szCs w:val="20"/>
          <w:lang w:val="en-GB"/>
        </w:rPr>
        <w:fldChar w:fldCharType="separate"/>
      </w:r>
      <w:r w:rsidR="006605F1" w:rsidRPr="006605F1">
        <w:rPr>
          <w:rFonts w:ascii="Times New Roman" w:hAnsi="Times New Roman" w:cs="Times New Roman"/>
          <w:sz w:val="20"/>
        </w:rPr>
        <w:t>[12, 13]</w:t>
      </w:r>
      <w:r w:rsidR="000365FF" w:rsidRPr="00AE5B1C">
        <w:rPr>
          <w:rFonts w:ascii="Times New Roman" w:hAnsi="Times New Roman" w:cs="Times New Roman"/>
          <w:sz w:val="20"/>
          <w:szCs w:val="20"/>
          <w:lang w:val="en-GB"/>
        </w:rPr>
        <w:fldChar w:fldCharType="end"/>
      </w:r>
      <w:r w:rsidR="009A1BA9" w:rsidRPr="00AE5B1C">
        <w:rPr>
          <w:rFonts w:ascii="Times New Roman" w:hAnsi="Times New Roman" w:cs="Times New Roman"/>
          <w:sz w:val="20"/>
          <w:szCs w:val="20"/>
          <w:lang w:val="en-GB"/>
        </w:rPr>
        <w:t>.</w:t>
      </w:r>
    </w:p>
    <w:p w14:paraId="0F6D0324" w14:textId="571A9C4C" w:rsidR="009A1BA9" w:rsidRPr="00AE5B1C" w:rsidRDefault="009A1BA9" w:rsidP="00243D19">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Anticoagulation is the standard of care </w:t>
      </w:r>
      <w:r w:rsidR="002B5A25" w:rsidRPr="00AE5B1C">
        <w:rPr>
          <w:rFonts w:ascii="Times New Roman" w:hAnsi="Times New Roman" w:cs="Times New Roman"/>
          <w:sz w:val="20"/>
          <w:szCs w:val="20"/>
          <w:lang w:val="en-GB"/>
        </w:rPr>
        <w:t xml:space="preserve">for patients with known DVT/PE or at risk of DVT/PE </w:t>
      </w:r>
      <w:r w:rsidR="003E4606" w:rsidRPr="00AE5B1C">
        <w:rPr>
          <w:rFonts w:ascii="Times New Roman" w:hAnsi="Times New Roman" w:cs="Times New Roman"/>
          <w:sz w:val="20"/>
          <w:szCs w:val="20"/>
          <w:lang w:val="en-GB"/>
        </w:rPr>
        <w:fldChar w:fldCharType="begin"/>
      </w:r>
      <w:r w:rsidR="006605F1">
        <w:rPr>
          <w:rFonts w:ascii="Times New Roman" w:hAnsi="Times New Roman" w:cs="Times New Roman"/>
          <w:sz w:val="20"/>
          <w:szCs w:val="20"/>
          <w:lang w:val="en-GB"/>
        </w:rPr>
        <w:instrText xml:space="preserve"> ADDIN ZOTERO_ITEM CSL_CITATION {"citationID":"75cNUEH5","properties":{"formattedCitation":"[14]","plainCitation":"[14]","noteIndex":0},"citationItems":[{"id":119,"uris":["http://zotero.org/users/7482256/items/3VYU3C7C"],"uri":["http://zotero.org/users/7482256/items/3VYU3C7C"],"itemData":{"id":119,"type":"article-journal","container-title":"The New England Journal of Medicine","DOI":"10.1056/NEJMra072753","ISSN":"1533-4406","issue":"10","journalAbbreviation":"N Engl J Med","language":"eng","note":"PMID: 18322285","page":"1037-1052","source":"PubMed","title":"Acute pulmonary embolism","volume":"358","author":[{"family":"Tapson","given":"Victor F."}],"issued":{"date-parts":[["2008",3,6]]}}}],"schema":"https://github.com/citation-style-language/schema/raw/master/csl-citation.json"} </w:instrText>
      </w:r>
      <w:r w:rsidR="003E4606" w:rsidRPr="00AE5B1C">
        <w:rPr>
          <w:rFonts w:ascii="Times New Roman" w:hAnsi="Times New Roman" w:cs="Times New Roman"/>
          <w:sz w:val="20"/>
          <w:szCs w:val="20"/>
          <w:lang w:val="en-GB"/>
        </w:rPr>
        <w:fldChar w:fldCharType="separate"/>
      </w:r>
      <w:r w:rsidR="006605F1" w:rsidRPr="006605F1">
        <w:rPr>
          <w:rFonts w:ascii="Times New Roman" w:hAnsi="Times New Roman" w:cs="Times New Roman"/>
          <w:sz w:val="20"/>
        </w:rPr>
        <w:t>[14]</w:t>
      </w:r>
      <w:r w:rsidR="003E4606" w:rsidRPr="00AE5B1C">
        <w:rPr>
          <w:rFonts w:ascii="Times New Roman" w:hAnsi="Times New Roman" w:cs="Times New Roman"/>
          <w:sz w:val="20"/>
          <w:szCs w:val="20"/>
          <w:lang w:val="en-GB"/>
        </w:rPr>
        <w:fldChar w:fldCharType="end"/>
      </w:r>
      <w:r w:rsidR="00D26516" w:rsidRPr="00AE5B1C">
        <w:rPr>
          <w:rFonts w:ascii="Times New Roman" w:hAnsi="Times New Roman" w:cs="Times New Roman"/>
          <w:sz w:val="20"/>
          <w:szCs w:val="20"/>
          <w:lang w:val="en-GB"/>
        </w:rPr>
        <w:t xml:space="preserve">. When anticoagulation is contra-indicated or not effective, an IVC filter may be considered </w:t>
      </w:r>
      <w:r w:rsidR="00B35B1C" w:rsidRPr="00AE5B1C">
        <w:rPr>
          <w:rFonts w:ascii="Times New Roman" w:hAnsi="Times New Roman" w:cs="Times New Roman"/>
          <w:sz w:val="20"/>
          <w:szCs w:val="20"/>
          <w:lang w:val="en-GB"/>
        </w:rPr>
        <w:t>in line with careful patient selection criteria devised by m</w:t>
      </w:r>
      <w:r w:rsidR="00F92F1A" w:rsidRPr="00AE5B1C">
        <w:rPr>
          <w:rFonts w:ascii="Times New Roman" w:hAnsi="Times New Roman" w:cs="Times New Roman"/>
          <w:sz w:val="20"/>
          <w:szCs w:val="20"/>
          <w:lang w:val="en-GB"/>
        </w:rPr>
        <w:t xml:space="preserve">any societies and expert panels </w:t>
      </w:r>
      <w:r w:rsidR="0035388B" w:rsidRPr="00AE5B1C">
        <w:rPr>
          <w:rFonts w:ascii="Times New Roman" w:hAnsi="Times New Roman" w:cs="Times New Roman"/>
          <w:sz w:val="20"/>
          <w:szCs w:val="20"/>
          <w:lang w:val="en-GB"/>
        </w:rPr>
        <w:fldChar w:fldCharType="begin"/>
      </w:r>
      <w:r w:rsidR="006605F1">
        <w:rPr>
          <w:rFonts w:ascii="Times New Roman" w:hAnsi="Times New Roman" w:cs="Times New Roman"/>
          <w:sz w:val="20"/>
          <w:szCs w:val="20"/>
          <w:lang w:val="en-GB"/>
        </w:rPr>
        <w:instrText xml:space="preserve"> ADDIN ZOTERO_ITEM CSL_CITATION {"citationID":"8JOYwr5s","properties":{"formattedCitation":"[15, 16]","plainCitation":"[15, 16]","noteIndex":0},"citationItems":[{"id":124,"uris":["http://zotero.org/users/7482256/items/6UT6YIB3"],"uri":["http://zotero.org/users/7482256/items/6UT6YIB3"],"itemData":{"id":124,"type":"article-journal","title":"ACR-SIR-SPR Practice Parameter for the Performance of Infe rior Vena Cava (IVC) Filter Placement for the Prevention of Pulmonary Embolism, 2016, https://www.acr.org/-/media/ACR/ Files/Practice-Parameters/ivc-fiterplacement.pdf?la=en"}},{"id":121,"uris":["http://zotero.org/users/7482256/items/UKN5D397"],"uri":["http://zotero.org/users/7482256/items/UKN5D397"],"itemData":{"id":121,"type":"article-journal","container-title":"Chest","DOI":"10.1378/chest.1412S3","ISSN":"1931-3543","issue":"2 Suppl","journalAbbreviation":"Chest","language":"eng","note":"PMID: 22315257\nPMCID: PMC3278060","page":"7S-47S","source":"PubMed","title":"Executive summary: Antithrombotic Therapy and Prevention of Thrombosis, 9th ed: American College of Chest Physicians Evidence-Based Clinical Practice Guidelines","title-short":"Executive summary","volume":"141","author":[{"family":"Guyatt","given":"Gordon H."},{"family":"Akl","given":"Elie A."},{"family":"Crowther","given":"Mark"},{"family":"Gutterman","given":"David D."},{"family":"Schuünemann","given":"Holger J."},{"literal":"American College of Chest Physicians Antithrombotic Therapy and Prevention of Thrombosis Panel"}],"issued":{"date-parts":[["2012",2]]}}}],"schema":"https://github.com/citation-style-language/schema/raw/master/csl-citation.json"} </w:instrText>
      </w:r>
      <w:r w:rsidR="0035388B" w:rsidRPr="00AE5B1C">
        <w:rPr>
          <w:rFonts w:ascii="Times New Roman" w:hAnsi="Times New Roman" w:cs="Times New Roman"/>
          <w:sz w:val="20"/>
          <w:szCs w:val="20"/>
          <w:lang w:val="en-GB"/>
        </w:rPr>
        <w:fldChar w:fldCharType="separate"/>
      </w:r>
      <w:r w:rsidR="006605F1" w:rsidRPr="006605F1">
        <w:rPr>
          <w:rFonts w:ascii="Times New Roman" w:hAnsi="Times New Roman" w:cs="Times New Roman"/>
          <w:sz w:val="20"/>
        </w:rPr>
        <w:t>[15, 16]</w:t>
      </w:r>
      <w:r w:rsidR="0035388B" w:rsidRPr="00AE5B1C">
        <w:rPr>
          <w:rFonts w:ascii="Times New Roman" w:hAnsi="Times New Roman" w:cs="Times New Roman"/>
          <w:sz w:val="20"/>
          <w:szCs w:val="20"/>
          <w:lang w:val="en-GB"/>
        </w:rPr>
        <w:fldChar w:fldCharType="end"/>
      </w:r>
      <w:r w:rsidR="00FE218D" w:rsidRPr="00AE5B1C">
        <w:rPr>
          <w:rFonts w:ascii="Times New Roman" w:hAnsi="Times New Roman" w:cs="Times New Roman"/>
          <w:sz w:val="20"/>
          <w:szCs w:val="20"/>
          <w:lang w:val="en-GB"/>
        </w:rPr>
        <w:t>.</w:t>
      </w:r>
      <w:r w:rsidR="00E059D9" w:rsidRPr="00AE5B1C">
        <w:rPr>
          <w:rFonts w:ascii="Times New Roman" w:hAnsi="Times New Roman" w:cs="Times New Roman"/>
          <w:sz w:val="20"/>
          <w:szCs w:val="20"/>
          <w:lang w:val="en-GB"/>
        </w:rPr>
        <w:t xml:space="preserve"> Evidence from systematic reviews has shown that IVC filters are effective at providing mechan</w:t>
      </w:r>
      <w:r w:rsidR="00625773" w:rsidRPr="00AE5B1C">
        <w:rPr>
          <w:rFonts w:ascii="Times New Roman" w:hAnsi="Times New Roman" w:cs="Times New Roman"/>
          <w:sz w:val="20"/>
          <w:szCs w:val="20"/>
          <w:lang w:val="en-GB"/>
        </w:rPr>
        <w:t xml:space="preserve">ical protection against pulmonary emboli </w:t>
      </w:r>
      <w:r w:rsidR="0060391F" w:rsidRPr="00AE5B1C">
        <w:rPr>
          <w:rFonts w:ascii="Times New Roman" w:hAnsi="Times New Roman" w:cs="Times New Roman"/>
          <w:sz w:val="20"/>
          <w:szCs w:val="20"/>
          <w:lang w:val="en-GB"/>
        </w:rPr>
        <w:fldChar w:fldCharType="begin"/>
      </w:r>
      <w:r w:rsidR="006605F1">
        <w:rPr>
          <w:rFonts w:ascii="Times New Roman" w:hAnsi="Times New Roman" w:cs="Times New Roman"/>
          <w:sz w:val="20"/>
          <w:szCs w:val="20"/>
          <w:lang w:val="en-GB"/>
        </w:rPr>
        <w:instrText xml:space="preserve"> ADDIN ZOTERO_ITEM CSL_CITATION {"citationID":"YKFTRaWq","properties":{"formattedCitation":"[5, 17, 18]","plainCitation":"[5, 17, 18]","noteIndex":0},"citationItems":[{"id":103,"uris":["http://zotero.org/users/7482256/items/X2RCEQMT"],"uri":["http://zotero.org/users/7482256/items/X2RCEQMT"],"itemData":{"id":103,"type":"article-journal","abstract":"PURPOSE: To review the available literature on retrievable inferior vena cava (IVC) filters to examine the effectiveness and risks of these devices.\nMATERIALS AND METHODS: Investigators searched MEDLINE for clinical trials evaluating retrievable filters and reviewed the complications reported to the Manufacturer and User Facility Device Experience (MAUDE) database of the U.S. Food and Drug Administration (FDA).\nRESULTS: Eligibility criteria were met by 37 studies comprising 6,834 patients. All of the trials had limitations, and no studies were randomized. There were 11 prospective clinical trials; the rest were retrospective studies. Despite the limitations of the evidence, the IVC filters seemed to be effective in preventing pulmonary embolism (PE); the rate of PE after IVC placement was 1.7%. The mean retrieval rate was 34%. Most of the filters became permanent devices. Multiple complications associated with the use of IVC filters were described in the reviewed literature or were reported to the MAUDE database; most of these were associated with long-term use (&gt; 30 days). At the present time, the objective comparison data of different filter designs do not support superiority of any particular design.\nCONCLUSIONS: In high-risk patients for whom anticoagulation is not feasible, retrievable IVC filters seem to be effective in preventing PE. Long-term complications are a serious concern with the use of these filters. The evidence of the effectiveness and the risks was limited by the small number of prospective studies.","container-title":"Journal of vascular and interventional radiology: JVIR","DOI":"10.1016/j.jvir.2011.08.024","ISSN":"1535-7732","issue":"11","journalAbbreviation":"J Vasc Interv Radiol","language":"eng","note":"PMID: 22024114","page":"1522-1530.e3","source":"PubMed","title":"Systematic review of the use of retrievable inferior vena cava filters","volume":"22","author":[{"family":"Angel","given":"Luis F."},{"family":"Tapson","given":"Victor"},{"family":"Galgon","given":"Richard E."},{"family":"Restrepo","given":"Marcos I."},{"family":"Kaufman","given":"John"}],"issued":{"date-parts":[["2011",11]]}}},{"id":127,"uris":["http://zotero.org/users/7482256/items/AP4YQPCP"],"uri":["http://zotero.org/users/7482256/items/AP4YQPCP"],"itemData":{"id":127,"type":"article-journal","abstract":"BACKGROUND: Inferior vena cava (IVC) filters are widely used for prevention of pulmonary embolism (PE). However, uncertainty persists about their efficacy and safety.\nOBJECTIVES: The authors conducted a systematic review and meta-analysis of the published reports on the efficacy and safety of IVC filters.\nMETHODS: The authors searched PubMed, the Cochrane Central Register of Controlled Trials, and ClinicalTrials.gov through October 3, 2016, for randomized controlled trials (RCTs) or prospective controlled observational studies of IVC filters versus none in patients at risk of PE. Inverse variance fixed-effects models with odds ratio (OR) as the effect measure were used for primary analyses. Main outcomes included subsequent PE, PE-related mortality, all-cause mortality, and subsequent deep vein thrombosis (DVT).\nRESULTS: The authors' search retrieved 1,986 studies, of which 11 met criteria for inclusion (6 RCTs and 5 prospective observational studies). Quality of evidence for RCTs was low to moderate. Overall, patients receiving IVC filters had lower risk for subsequent PE (OR: 0.50; 95% confidence interval [CI]: 0.33 to 0.75); increased risk for DVT (OR: 1.70; 95% CI: 1.17 to 2.48); nonsignificantly lower PE-related mortality (OR: 0.51; 95% CI: 0.25 to 1.05); and no change in all-cause mortality (OR: 0.91; 95% CI: 0.70 to 1.19). Limiting the results to RCTs showed similar results. Findings were substantively similar across a wide range of sensitivity analyses.\nCONCLUSIONS: Very few prospective controlled studies, with limited quality of evidence, exist regarding the efficacy and safety of IVC filters. Overall, filters appear to reduce the risk of subsequent PE, increase the risk for DVT, and have no significant effect on overall mortality.","container-title":"Journal of the American College of Cardiology","DOI":"10.1016/j.jacc.2017.07.775","ISSN":"1558-3597","issue":"13","journalAbbreviation":"J Am Coll Cardiol","language":"eng","note":"PMID: 28935036","page":"1587-1597","source":"PubMed","title":"Inferior Vena Cava Filters to Prevent Pulmonary Embolism: Systematic Review and Meta-Analysis","title-short":"Inferior Vena Cava Filters to Prevent Pulmonary Embolism","volume":"70","author":[{"family":"Bikdeli","given":"Behnood"},{"family":"Chatterjee","given":"Saurav"},{"family":"Desai","given":"Nihar R."},{"family":"Kirtane","given":"Ajay J."},{"family":"Desai","given":"Mayur M."},{"family":"Bracken","given":"Michael B."},{"family":"Spencer","given":"Frederick A."},{"family":"Monreal","given":"Manuel"},{"family":"Goldhaber","given":"Samuel Z."},{"family":"Krumholz","given":"Harlan M."}],"issued":{"date-parts":[["2017",9,26]]}}},{"id":129,"uris":["http://zotero.org/users/7482256/items/ZJIV7FVF"],"uri":["http://zotero.org/users/7482256/items/ZJIV7FVF"],"itemData":{"id":129,"type":"article-journal","abstract":"IMPORTANCE: Trauma is known to be one of the strongest risk factors for pulmonary embolism (PE). Current guidelines recommend low-molecular-weight heparin therapy for prevention of PE, but trauma places some patients at risk of excess bleeding. Experts are divided on the role of prophylactic inferior vena cava (IVC) filters to prevent PE.\nOBJECTIVE: To perform a systematic review and meta-analysis examining the comparative effectiveness of prophylactic IVC filters in trauma patients, particularly in preventing PE, fatal PE, and mortality.\nDATA SOURCES: We searched the following databases for primary studies: MEDLINE, EMBASE, Scopus, CINAHL, International Pharmaceutical Abstracts, clinicaltrial.gov, and the Cochrane Library (all through July 31, 2012). We developed a search strategy using medical subject headings terms and text words of key articles that we identified a priori. We reviewed the references of all included articles, relevant review articles, and related systematic reviews to identify articles the database searches might have missed.\nSTUDY SELECTION: We reviewed titles followed by abstracts to identify randomized clinical trials or observational studies with comparison groups reporting on the effectiveness and/or safety of IVC filters for prevention of venous thromboembolism in trauma patients.\nDATA EXTRACTION AND SYNTHESIS: Two investigators independently reviewed abstracts and abstracted data. For studies amenable to pooling with meta-analysis, we pooled using the random-effects model to analyze the relative risks. We graded the quantity, quality, and consistency of the evidence by adapting an evidence-grading scheme recommended by the Agency for Healthcare Research and Quality.\nRESULTS: Eight controlled studies compared the effectiveness of no IVC filter vs IVC filter on PE, fatal PE, deep vein thrombosis, and/or mortality in trauma patients. Evidence showed a consistent reduction of PE (relative risk, 0.20 [95% CI, 0.06-0.70]; I(2)=0%) and fatal PE (0.09 [0.01-0.81]; I(2)=0%) with IVC filter placement, without any statistical heterogeneity. We found no significant difference in the incidence of deep vein thrombosis (relative risk, 1.76 [95% CI, 0.50-6.19]; P=.38; I(2)=56.8%) or mortality (0.70 [0.40-1.23]; I(2)=6.7%). The number needed to treat to prevent 1 additional PE with IVC filters is estimated to range from 109 (95% CI, 93-190) to 962 (819-2565), depending on the baseline PE risk.\nCONCLUSIONS AND RELEVANCE: The strength of evidence is low but supports the association of IVC filter placement with a lower incidence of PE and fatal PE in trauma patients. Which patients experience benefit enough to outweigh the harms associated with IVC filter placement remains unclear. Additional well-designed observational or prospective cohort studies may be informative.","container-title":"JAMA surgery","DOI":"10.1001/jamasurg.2013.3970","ISSN":"2168-6262","issue":"2","journalAbbreviation":"JAMA Surg","language":"eng","note":"PMID: 24195920","page":"194-202","source":"PubMed","title":"The effectiveness of prophylactic inferior vena cava filters in trauma patients: a systematic review and meta-analysis","title-short":"The effectiveness of prophylactic inferior vena cava filters in trauma patients","volume":"149","author":[{"family":"Haut","given":"Elliott R."},{"family":"Garcia","given":"Luis J."},{"family":"Shihab","given":"Hasan M."},{"family":"Brotman","given":"Daniel J."},{"family":"Stevens","given":"Kent A."},{"family":"Sharma","given":"Ritu"},{"family":"Chelladurai","given":"Yohalakshmi"},{"family":"Akande","given":"Tokunbo O."},{"family":"Shermock","given":"Kenneth M."},{"family":"Kebede","given":"Sosena"},{"family":"Segal","given":"Jodi B."},{"family":"Singh","given":"Sonal"}],"issued":{"date-parts":[["2014",2]]}}}],"schema":"https://github.com/citation-style-language/schema/raw/master/csl-citation.json"} </w:instrText>
      </w:r>
      <w:r w:rsidR="0060391F" w:rsidRPr="00AE5B1C">
        <w:rPr>
          <w:rFonts w:ascii="Times New Roman" w:hAnsi="Times New Roman" w:cs="Times New Roman"/>
          <w:sz w:val="20"/>
          <w:szCs w:val="20"/>
          <w:lang w:val="en-GB"/>
        </w:rPr>
        <w:fldChar w:fldCharType="separate"/>
      </w:r>
      <w:r w:rsidR="006605F1" w:rsidRPr="006605F1">
        <w:rPr>
          <w:rFonts w:ascii="Times New Roman" w:hAnsi="Times New Roman" w:cs="Times New Roman"/>
          <w:sz w:val="20"/>
        </w:rPr>
        <w:t>[5, 17, 18]</w:t>
      </w:r>
      <w:r w:rsidR="0060391F" w:rsidRPr="00AE5B1C">
        <w:rPr>
          <w:rFonts w:ascii="Times New Roman" w:hAnsi="Times New Roman" w:cs="Times New Roman"/>
          <w:sz w:val="20"/>
          <w:szCs w:val="20"/>
          <w:lang w:val="en-GB"/>
        </w:rPr>
        <w:fldChar w:fldCharType="end"/>
      </w:r>
      <w:r w:rsidR="002349C5" w:rsidRPr="00AE5B1C">
        <w:rPr>
          <w:rFonts w:ascii="Times New Roman" w:hAnsi="Times New Roman" w:cs="Times New Roman"/>
          <w:sz w:val="20"/>
          <w:szCs w:val="20"/>
          <w:lang w:val="en-GB"/>
        </w:rPr>
        <w:t>.</w:t>
      </w:r>
    </w:p>
    <w:p w14:paraId="63A60E0C" w14:textId="5F25FBAA" w:rsidR="002349C5" w:rsidRPr="00AE5B1C" w:rsidRDefault="007432F9" w:rsidP="00243D19">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The </w:t>
      </w:r>
      <w:r w:rsidR="00113BC0" w:rsidRPr="00AE5B1C">
        <w:rPr>
          <w:rFonts w:ascii="Times New Roman" w:hAnsi="Times New Roman" w:cs="Times New Roman"/>
          <w:sz w:val="20"/>
          <w:szCs w:val="20"/>
          <w:lang w:val="en-GB"/>
        </w:rPr>
        <w:t>concept of IVC interruption</w:t>
      </w:r>
      <w:r w:rsidRPr="00AE5B1C">
        <w:rPr>
          <w:rFonts w:ascii="Times New Roman" w:hAnsi="Times New Roman" w:cs="Times New Roman"/>
          <w:sz w:val="20"/>
          <w:szCs w:val="20"/>
          <w:lang w:val="en-GB"/>
        </w:rPr>
        <w:t xml:space="preserve"> </w:t>
      </w:r>
      <w:r w:rsidR="00201640" w:rsidRPr="00AE5B1C">
        <w:rPr>
          <w:rFonts w:ascii="Times New Roman" w:hAnsi="Times New Roman" w:cs="Times New Roman"/>
          <w:sz w:val="20"/>
          <w:szCs w:val="20"/>
          <w:lang w:val="en-GB"/>
        </w:rPr>
        <w:t xml:space="preserve">to prevent the migration of emboli was </w:t>
      </w:r>
      <w:r w:rsidR="00113BC0" w:rsidRPr="00AE5B1C">
        <w:rPr>
          <w:rFonts w:ascii="Times New Roman" w:hAnsi="Times New Roman" w:cs="Times New Roman"/>
          <w:sz w:val="20"/>
          <w:szCs w:val="20"/>
          <w:lang w:val="en-GB"/>
        </w:rPr>
        <w:t>first mentioned</w:t>
      </w:r>
      <w:r w:rsidR="00201640" w:rsidRPr="00AE5B1C">
        <w:rPr>
          <w:rFonts w:ascii="Times New Roman" w:hAnsi="Times New Roman" w:cs="Times New Roman"/>
          <w:sz w:val="20"/>
          <w:szCs w:val="20"/>
          <w:lang w:val="en-GB"/>
        </w:rPr>
        <w:t xml:space="preserve"> by Armand </w:t>
      </w:r>
      <w:proofErr w:type="spellStart"/>
      <w:r w:rsidR="00201640" w:rsidRPr="00AE5B1C">
        <w:rPr>
          <w:rFonts w:ascii="Times New Roman" w:hAnsi="Times New Roman" w:cs="Times New Roman"/>
          <w:sz w:val="20"/>
          <w:szCs w:val="20"/>
          <w:lang w:val="en-GB"/>
        </w:rPr>
        <w:t>Trosseau</w:t>
      </w:r>
      <w:proofErr w:type="spellEnd"/>
      <w:r w:rsidR="00201640" w:rsidRPr="00AE5B1C">
        <w:rPr>
          <w:rFonts w:ascii="Times New Roman" w:hAnsi="Times New Roman" w:cs="Times New Roman"/>
          <w:sz w:val="20"/>
          <w:szCs w:val="20"/>
          <w:lang w:val="en-GB"/>
        </w:rPr>
        <w:t xml:space="preserve"> in 1865</w:t>
      </w:r>
      <w:r w:rsidR="00CE3FD6" w:rsidRPr="00AE5B1C">
        <w:rPr>
          <w:rFonts w:ascii="Times New Roman" w:hAnsi="Times New Roman" w:cs="Times New Roman"/>
          <w:sz w:val="20"/>
          <w:szCs w:val="20"/>
          <w:lang w:val="en-GB"/>
        </w:rPr>
        <w:fldChar w:fldCharType="begin"/>
      </w:r>
      <w:r w:rsidR="006605F1">
        <w:rPr>
          <w:rFonts w:ascii="Times New Roman" w:hAnsi="Times New Roman" w:cs="Times New Roman"/>
          <w:sz w:val="20"/>
          <w:szCs w:val="20"/>
          <w:lang w:val="en-GB"/>
        </w:rPr>
        <w:instrText xml:space="preserve"> ADDIN ZOTERO_ITEM CSL_CITATION {"citationID":"ACNsynKP","properties":{"formattedCitation":"[19]","plainCitation":"[19]","noteIndex":0},"citationItems":[{"id":132,"uris":["http://zotero.org/users/7482256/items/UTPG5VNX"],"uri":["http://zotero.org/users/7482256/items/UTPG5VNX"],"itemData":{"id":132,"type":"article-journal","title":"Trousseau A (1865) Phlegmasia alba dolens. Clinique Medicale de l'Hotel-Dieu de Paris 3 (94): 654–712"}}],"schema":"https://github.com/citation-style-language/schema/raw/master/csl-citation.json"} </w:instrText>
      </w:r>
      <w:r w:rsidR="00CE3FD6" w:rsidRPr="00AE5B1C">
        <w:rPr>
          <w:rFonts w:ascii="Times New Roman" w:hAnsi="Times New Roman" w:cs="Times New Roman"/>
          <w:sz w:val="20"/>
          <w:szCs w:val="20"/>
          <w:lang w:val="en-GB"/>
        </w:rPr>
        <w:fldChar w:fldCharType="separate"/>
      </w:r>
      <w:r w:rsidR="006605F1" w:rsidRPr="006605F1">
        <w:rPr>
          <w:rFonts w:ascii="Times New Roman" w:hAnsi="Times New Roman" w:cs="Times New Roman"/>
          <w:sz w:val="20"/>
        </w:rPr>
        <w:t>[19]</w:t>
      </w:r>
      <w:r w:rsidR="00CE3FD6" w:rsidRPr="00AE5B1C">
        <w:rPr>
          <w:rFonts w:ascii="Times New Roman" w:hAnsi="Times New Roman" w:cs="Times New Roman"/>
          <w:sz w:val="20"/>
          <w:szCs w:val="20"/>
          <w:lang w:val="en-GB"/>
        </w:rPr>
        <w:fldChar w:fldCharType="end"/>
      </w:r>
      <w:r w:rsidR="008B733E" w:rsidRPr="00AE5B1C">
        <w:rPr>
          <w:rFonts w:ascii="Times New Roman" w:hAnsi="Times New Roman" w:cs="Times New Roman"/>
          <w:sz w:val="20"/>
          <w:szCs w:val="20"/>
          <w:lang w:val="en-GB"/>
        </w:rPr>
        <w:t xml:space="preserve">. Surgically inserted IVC filters were pioneered in the 1960s </w:t>
      </w:r>
      <w:r w:rsidR="00682C04" w:rsidRPr="00AE5B1C">
        <w:rPr>
          <w:rFonts w:ascii="Times New Roman" w:hAnsi="Times New Roman" w:cs="Times New Roman"/>
          <w:sz w:val="20"/>
          <w:szCs w:val="20"/>
          <w:lang w:val="en-GB"/>
        </w:rPr>
        <w:t>but found little favour</w:t>
      </w:r>
      <w:r w:rsidR="00432C82" w:rsidRPr="00AE5B1C">
        <w:rPr>
          <w:rFonts w:ascii="Times New Roman" w:hAnsi="Times New Roman" w:cs="Times New Roman"/>
          <w:sz w:val="20"/>
          <w:szCs w:val="20"/>
          <w:lang w:val="en-GB"/>
        </w:rPr>
        <w:t xml:space="preserve"> until a percutaneous insertion technique was introduced by Greenfield in 1973</w:t>
      </w:r>
      <w:r w:rsidR="00CC5BBF" w:rsidRPr="00AE5B1C">
        <w:rPr>
          <w:rFonts w:ascii="Times New Roman" w:hAnsi="Times New Roman" w:cs="Times New Roman"/>
          <w:sz w:val="20"/>
          <w:szCs w:val="20"/>
          <w:lang w:val="en-GB"/>
        </w:rPr>
        <w:t xml:space="preserve"> </w:t>
      </w:r>
      <w:r w:rsidR="00055D51" w:rsidRPr="00AE5B1C">
        <w:rPr>
          <w:rFonts w:ascii="Times New Roman" w:hAnsi="Times New Roman" w:cs="Times New Roman"/>
          <w:sz w:val="20"/>
          <w:szCs w:val="20"/>
          <w:lang w:val="en-GB"/>
        </w:rPr>
        <w:fldChar w:fldCharType="begin"/>
      </w:r>
      <w:r w:rsidR="006605F1">
        <w:rPr>
          <w:rFonts w:ascii="Times New Roman" w:hAnsi="Times New Roman" w:cs="Times New Roman"/>
          <w:sz w:val="20"/>
          <w:szCs w:val="20"/>
          <w:lang w:val="en-GB"/>
        </w:rPr>
        <w:instrText xml:space="preserve"> ADDIN ZOTERO_ITEM CSL_CITATION {"citationID":"E7j3BhCr","properties":{"formattedCitation":"[20]","plainCitation":"[20]","noteIndex":0},"citationItems":[{"id":133,"uris":["http://zotero.org/users/7482256/items/E5F8HUM6"],"uri":["http://zotero.org/users/7482256/items/E5F8HUM6"],"itemData":{"id":133,"type":"article-journal","abstract":"BACKGROUND: Preventing pulmonary embolization by interrupting vena caval flow has been attempted since 1893. Inferior vena cava (IVC) filters have been available for 20 years, and currently there are five filters commercially available in the United States (Greenfield filter, Titanium Greenfield filter, Simon-Nitinol filter, Bird's Nest filter, and LGM or Vena Tech filter) and two other filters under development (Amplatz filter and Günther filter). Although these devices are widely used, their clinical utility and safety have not been completely evaluated. Controlled clinical trials to determine the clinical role for IVC filters have not been attempted, but numerous case series describing the outcomes of the seven current filters have been published. We have systematically reviewed these studies to clarify what is known about the indications, safety, and effectiveness of IVC filters.\nMETHODS: Using the MEDLINE database, all English-language publications since 1970 that included follow-up clinical information after filter insertion were reviewed and eight methodologic guidelines were employed to assess the scientific quality of the clinical information.\nRESULTS: Twenty-four case series were reviewed: 16 concerned the Greenfield filter (1632 patients), and eight dealt with newer designs (925 patients). Commonly noted methodologic problems included failure to report the initial extent of thromboembolic disease, incomplete description of the patient assembly process, and incomplete and potentially biased outcome assessment. Recurrent clinical pulmonary embolism was rare after filter placement, and only eight deaths from pulmonary embolism were reported. Filter complications were common but rarely life threatening; four (0.16%) deaths from filter complications were noted among the reviewed studies. Thrombotic complications following filter placement included insertion-site deep vein thrombosis and IVC obstruction. These events were rare, but they occurred with all filter types.\nCONCLUSIONS: Inferior vena cava filters appear to be effective in preventing recurrent pulmonary embolism. Despite the large published experience with IVC filters, many questions remain about their indications, safety, and effectiveness. Anticoagulant therapy, if not contraindicated, should be used in conjunction with filters. While there is no ideal filter, some situations call for specific filters. Filter selection and insertion require experience, modern angiographic technique, and collaboration between clinicians caring for patients and the interventional radiologists or surgeons inserting the device.","container-title":"Archives of Internal Medicine","ISSN":"0003-9926","issue":"10","journalAbbreviation":"Arch Intern Med","language":"eng","note":"PMID: 1417371","page":"1985-1994","source":"PubMed","title":"Inferior vena cava filters. Indications, safety, effectiveness","volume":"152","author":[{"family":"Becker","given":"D. M."},{"family":"Philbrick","given":"J. T."},{"family":"Selby","given":"J. B."}],"issued":{"date-parts":[["1992",10]]}}}],"schema":"https://github.com/citation-style-language/schema/raw/master/csl-citation.json"} </w:instrText>
      </w:r>
      <w:r w:rsidR="00055D51" w:rsidRPr="00AE5B1C">
        <w:rPr>
          <w:rFonts w:ascii="Times New Roman" w:hAnsi="Times New Roman" w:cs="Times New Roman"/>
          <w:sz w:val="20"/>
          <w:szCs w:val="20"/>
          <w:lang w:val="en-GB"/>
        </w:rPr>
        <w:fldChar w:fldCharType="separate"/>
      </w:r>
      <w:r w:rsidR="006605F1" w:rsidRPr="006605F1">
        <w:rPr>
          <w:rFonts w:ascii="Times New Roman" w:hAnsi="Times New Roman" w:cs="Times New Roman"/>
          <w:sz w:val="20"/>
        </w:rPr>
        <w:t>[20]</w:t>
      </w:r>
      <w:r w:rsidR="00055D51" w:rsidRPr="00AE5B1C">
        <w:rPr>
          <w:rFonts w:ascii="Times New Roman" w:hAnsi="Times New Roman" w:cs="Times New Roman"/>
          <w:sz w:val="20"/>
          <w:szCs w:val="20"/>
          <w:lang w:val="en-GB"/>
        </w:rPr>
        <w:fldChar w:fldCharType="end"/>
      </w:r>
      <w:r w:rsidR="0021647B" w:rsidRPr="00AE5B1C">
        <w:rPr>
          <w:rFonts w:ascii="Times New Roman" w:hAnsi="Times New Roman" w:cs="Times New Roman"/>
          <w:sz w:val="20"/>
          <w:szCs w:val="20"/>
          <w:lang w:val="en-GB"/>
        </w:rPr>
        <w:t xml:space="preserve">. </w:t>
      </w:r>
      <w:r w:rsidR="00701675" w:rsidRPr="00AE5B1C">
        <w:rPr>
          <w:rFonts w:ascii="Times New Roman" w:hAnsi="Times New Roman" w:cs="Times New Roman"/>
          <w:sz w:val="20"/>
          <w:szCs w:val="20"/>
          <w:lang w:val="en-GB"/>
        </w:rPr>
        <w:t>This was followed by the emergence of retrievable IVC filters in the 1990s</w:t>
      </w:r>
      <w:r w:rsidR="00F9005E" w:rsidRPr="00AE5B1C">
        <w:rPr>
          <w:rFonts w:ascii="Times New Roman" w:hAnsi="Times New Roman" w:cs="Times New Roman"/>
          <w:sz w:val="20"/>
          <w:szCs w:val="20"/>
          <w:lang w:val="en-GB"/>
        </w:rPr>
        <w:t xml:space="preserve"> </w:t>
      </w:r>
      <w:r w:rsidR="00F9005E" w:rsidRPr="00AE5B1C">
        <w:rPr>
          <w:rFonts w:ascii="Times New Roman" w:hAnsi="Times New Roman" w:cs="Times New Roman"/>
          <w:sz w:val="20"/>
          <w:szCs w:val="20"/>
          <w:lang w:val="en-GB"/>
        </w:rPr>
        <w:fldChar w:fldCharType="begin"/>
      </w:r>
      <w:r w:rsidR="006605F1">
        <w:rPr>
          <w:rFonts w:ascii="Times New Roman" w:hAnsi="Times New Roman" w:cs="Times New Roman"/>
          <w:sz w:val="20"/>
          <w:szCs w:val="20"/>
          <w:lang w:val="en-GB"/>
        </w:rPr>
        <w:instrText xml:space="preserve"> ADDIN ZOTERO_ITEM CSL_CITATION {"citationID":"xMYxRhgE","properties":{"formattedCitation":"[21]","plainCitation":"[21]","noteIndex":0},"citationItems":[{"id":135,"uris":["http://zotero.org/users/7482256/items/EQZHDBZ6"],"uri":["http://zotero.org/users/7482256/items/EQZHDBZ6"],"itemData":{"id":135,"type":"article-journal","abstract":"BACKGROUND: Improved inferior vena cava (IVC) filters have led to liberalization of the indications for insertion. Increased use, however, has been followed with a potential for unwarranted insertion. There are only sparse data on trends in the use of IVC filters in patients with pulmonary embolism (PE), patients with deep venous thrombosis (DVT) alone, and patients at high risk. We analyzed the National Hospital Discharge Survey (NHDS) database for such trends.\nMETHODS: We used data from the NHDS, which is based on a national probability sample of discharges from short-stay nonfederal hospitals in 50 states and the District of Columbia. The numbers of sampled patients with DVT, PE, and IVC filters were determined from the International Classification of Diseases, Ninth Revision, Clinical Modification codes at discharge.\nRESULTS: The number of patients who had IVC filters increased from 2000 in 1979 to 49 000 in 1999. In 1999, 45% of IVC filter insertions were in patients with DVT alone, 36% were in patients with PE, and 19% were in patients who presumably were at high risk but did not have DVT or PE listed as a discharge code. The use of IVC filters was more frequent in northeastern states than in western states (P =.01).\nCONCLUSIONS: The use of IVC filters increased markedly during the last 2 decades in patients with PE, patients with DVT alone, and patients at risk who had neither PE nor DVT. Randomized controlled trials may lead to improved risk stratification and limit the number of unnecessary filter insertions.","container-title":"Archives of Internal Medicine","DOI":"10.1001/archinte.164.14.1541","ISSN":"0003-9926","issue":"14","journalAbbreviation":"Arch Intern Med","language":"eng","note":"PMID: 15277286","page":"1541-1545","source":"PubMed","title":"Twenty-one-year trends in the use of inferior vena cava filters","volume":"164","author":[{"family":"Stein","given":"Paul D."},{"family":"Kayali","given":"Fadi"},{"family":"Olson","given":"Ronald E."}],"issued":{"date-parts":[["2004",7,26]]}}}],"schema":"https://github.com/citation-style-language/schema/raw/master/csl-citation.json"} </w:instrText>
      </w:r>
      <w:r w:rsidR="00F9005E" w:rsidRPr="00AE5B1C">
        <w:rPr>
          <w:rFonts w:ascii="Times New Roman" w:hAnsi="Times New Roman" w:cs="Times New Roman"/>
          <w:sz w:val="20"/>
          <w:szCs w:val="20"/>
          <w:lang w:val="en-GB"/>
        </w:rPr>
        <w:fldChar w:fldCharType="separate"/>
      </w:r>
      <w:r w:rsidR="006605F1" w:rsidRPr="006605F1">
        <w:rPr>
          <w:rFonts w:ascii="Times New Roman" w:hAnsi="Times New Roman" w:cs="Times New Roman"/>
          <w:sz w:val="20"/>
        </w:rPr>
        <w:t>[21]</w:t>
      </w:r>
      <w:r w:rsidR="00F9005E" w:rsidRPr="00AE5B1C">
        <w:rPr>
          <w:rFonts w:ascii="Times New Roman" w:hAnsi="Times New Roman" w:cs="Times New Roman"/>
          <w:sz w:val="20"/>
          <w:szCs w:val="20"/>
          <w:lang w:val="en-GB"/>
        </w:rPr>
        <w:fldChar w:fldCharType="end"/>
      </w:r>
      <w:r w:rsidR="00701675" w:rsidRPr="00AE5B1C">
        <w:rPr>
          <w:rFonts w:ascii="Times New Roman" w:hAnsi="Times New Roman" w:cs="Times New Roman"/>
          <w:sz w:val="20"/>
          <w:szCs w:val="20"/>
          <w:lang w:val="en-GB"/>
        </w:rPr>
        <w:t>.</w:t>
      </w:r>
      <w:r w:rsidR="00D2698B" w:rsidRPr="00AE5B1C">
        <w:rPr>
          <w:rFonts w:ascii="Times New Roman" w:hAnsi="Times New Roman" w:cs="Times New Roman"/>
          <w:sz w:val="20"/>
          <w:szCs w:val="20"/>
          <w:lang w:val="en-GB"/>
        </w:rPr>
        <w:t xml:space="preserve"> For the first time, devices could now be removed when the period of high risk for pulmonary embolic disease had passed.</w:t>
      </w:r>
    </w:p>
    <w:p w14:paraId="4A14B782" w14:textId="035CCCF2" w:rsidR="008F252F" w:rsidRPr="00AE5B1C" w:rsidRDefault="00B84BA3" w:rsidP="008F252F">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The retrievable filters were granted </w:t>
      </w:r>
      <w:r w:rsidR="00BF17B1" w:rsidRPr="00AE5B1C">
        <w:rPr>
          <w:rFonts w:ascii="Times New Roman" w:hAnsi="Times New Roman" w:cs="Times New Roman"/>
          <w:sz w:val="20"/>
          <w:szCs w:val="20"/>
          <w:lang w:val="en-GB"/>
        </w:rPr>
        <w:t xml:space="preserve">approval by the US Food and Drug Administration </w:t>
      </w:r>
      <w:r w:rsidR="00030355" w:rsidRPr="00AE5B1C">
        <w:rPr>
          <w:rFonts w:ascii="Times New Roman" w:hAnsi="Times New Roman" w:cs="Times New Roman"/>
          <w:sz w:val="20"/>
          <w:szCs w:val="20"/>
          <w:lang w:val="en-GB"/>
        </w:rPr>
        <w:t xml:space="preserve">(FDA) for both temporary and permanent </w:t>
      </w:r>
      <w:proofErr w:type="gramStart"/>
      <w:r w:rsidR="00C8170A" w:rsidRPr="00AE5B1C">
        <w:rPr>
          <w:rFonts w:ascii="Times New Roman" w:hAnsi="Times New Roman" w:cs="Times New Roman"/>
          <w:sz w:val="20"/>
          <w:szCs w:val="20"/>
          <w:lang w:val="en-GB"/>
        </w:rPr>
        <w:t>indications</w:t>
      </w:r>
      <w:proofErr w:type="gramEnd"/>
      <w:r w:rsidR="00030355" w:rsidRPr="00AE5B1C">
        <w:rPr>
          <w:rFonts w:ascii="Times New Roman" w:hAnsi="Times New Roman" w:cs="Times New Roman"/>
          <w:sz w:val="20"/>
          <w:szCs w:val="20"/>
          <w:lang w:val="en-GB"/>
        </w:rPr>
        <w:t xml:space="preserve"> but it was expected that the majority of these filters would be removed. </w:t>
      </w:r>
      <w:r w:rsidR="009975AC" w:rsidRPr="00AE5B1C">
        <w:rPr>
          <w:rFonts w:ascii="Times New Roman" w:hAnsi="Times New Roman" w:cs="Times New Roman"/>
          <w:sz w:val="20"/>
          <w:szCs w:val="20"/>
          <w:lang w:val="en-GB"/>
        </w:rPr>
        <w:t>However, this has not been the experience</w:t>
      </w:r>
      <w:r w:rsidR="00474B7C">
        <w:rPr>
          <w:rFonts w:ascii="Times New Roman" w:hAnsi="Times New Roman" w:cs="Times New Roman"/>
          <w:sz w:val="20"/>
          <w:szCs w:val="20"/>
          <w:lang w:val="en-GB"/>
        </w:rPr>
        <w:t xml:space="preserve"> either</w:t>
      </w:r>
      <w:r w:rsidR="009975AC" w:rsidRPr="00AE5B1C">
        <w:rPr>
          <w:rFonts w:ascii="Times New Roman" w:hAnsi="Times New Roman" w:cs="Times New Roman"/>
          <w:sz w:val="20"/>
          <w:szCs w:val="20"/>
          <w:lang w:val="en-GB"/>
        </w:rPr>
        <w:t xml:space="preserve"> internationally</w:t>
      </w:r>
      <w:r w:rsidR="0039745E">
        <w:rPr>
          <w:rFonts w:ascii="Times New Roman" w:hAnsi="Times New Roman" w:cs="Times New Roman"/>
          <w:sz w:val="20"/>
          <w:szCs w:val="20"/>
          <w:lang w:val="en-GB"/>
        </w:rPr>
        <w:t xml:space="preserve"> or in Ireland</w:t>
      </w:r>
      <w:r w:rsidR="009975AC" w:rsidRPr="00AE5B1C">
        <w:rPr>
          <w:rFonts w:ascii="Times New Roman" w:hAnsi="Times New Roman" w:cs="Times New Roman"/>
          <w:sz w:val="20"/>
          <w:szCs w:val="20"/>
          <w:lang w:val="en-GB"/>
        </w:rPr>
        <w:t>. Retrieva</w:t>
      </w:r>
      <w:r w:rsidR="00842236" w:rsidRPr="00AE5B1C">
        <w:rPr>
          <w:rFonts w:ascii="Times New Roman" w:hAnsi="Times New Roman" w:cs="Times New Roman"/>
          <w:sz w:val="20"/>
          <w:szCs w:val="20"/>
          <w:lang w:val="en-GB"/>
        </w:rPr>
        <w:t>l</w:t>
      </w:r>
      <w:r w:rsidR="009975AC" w:rsidRPr="00AE5B1C">
        <w:rPr>
          <w:rFonts w:ascii="Times New Roman" w:hAnsi="Times New Roman" w:cs="Times New Roman"/>
          <w:sz w:val="20"/>
          <w:szCs w:val="20"/>
          <w:lang w:val="en-GB"/>
        </w:rPr>
        <w:t xml:space="preserve"> rates are as rarely greater than 50% and sometimes as low as 8.5% </w:t>
      </w:r>
      <w:r w:rsidR="009975AC" w:rsidRPr="00AE5B1C">
        <w:rPr>
          <w:rFonts w:ascii="Times New Roman" w:hAnsi="Times New Roman" w:cs="Times New Roman"/>
          <w:sz w:val="20"/>
          <w:szCs w:val="20"/>
          <w:lang w:val="en-GB"/>
        </w:rPr>
        <w:fldChar w:fldCharType="begin"/>
      </w:r>
      <w:r w:rsidR="009035F3" w:rsidRPr="00AE5B1C">
        <w:rPr>
          <w:rFonts w:ascii="Times New Roman" w:hAnsi="Times New Roman" w:cs="Times New Roman"/>
          <w:sz w:val="20"/>
          <w:szCs w:val="20"/>
          <w:lang w:val="en-GB"/>
        </w:rPr>
        <w:instrText xml:space="preserve"> ADDIN ZOTERO_ITEM CSL_CITATION {"citationID":"3TfcD6KC","properties":{"formattedCitation":"[5\\uc0\\u8211{}7]","plainCitation":"[5–7]","noteIndex":0},"citationItems":[{"id":103,"uris":["http://zotero.org/users/7482256/items/X2RCEQMT"],"uri":["http://zotero.org/users/7482256/items/X2RCEQMT"],"itemData":{"id":103,"type":"article-journal","abstract":"PURPOSE: To review the available literature on retrievable inferior vena cava (IVC) filters to examine the effectiveness and risks of these devices.\nMATERIALS AND METHODS: Investigators searched MEDLINE for clinical trials evaluating retrievable filters and reviewed the complications reported to the Manufacturer and User Facility Device Experience (MAUDE) database of the U.S. Food and Drug Administration (FDA).\nRESULTS: Eligibility criteria were met by 37 studies comprising 6,834 patients. All of the trials had limitations, and no studies were randomized. There were 11 prospective clinical trials; the rest were retrospective studies. Despite the limitations of the evidence, the IVC filters seemed to be effective in preventing pulmonary embolism (PE); the rate of PE after IVC placement was 1.7%. The mean retrieval rate was 34%. Most of the filters became permanent devices. Multiple complications associated with the use of IVC filters were described in the reviewed literature or were reported to the MAUDE database; most of these were associated with long-term use (&gt; 30 days). At the present time, the objective comparison data of different filter designs do not support superiority of any particular design.\nCONCLUSIONS: In high-risk patients for whom anticoagulation is not feasible, retrievable IVC filters seem to be effective in preventing PE. Long-term complications are a serious concern with the use of these filters. The evidence of the effectiveness and the risks was limited by the small number of prospective studies.","container-title":"Journal of vascular and interventional radiology: JVIR","DOI":"10.1016/j.jvir.2011.08.024","ISSN":"1535-7732","issue":"11","journalAbbreviation":"J Vasc Interv Radiol","language":"eng","note":"PMID: 22024114","page":"1522-1530.e3","source":"PubMed","title":"Systematic review of the use of retrievable inferior vena cava filters","volume":"22","author":[{"family":"Angel","given":"Luis F."},{"family":"Tapson","given":"Victor"},{"family":"Galgon","given":"Richard E."},{"family":"Restrepo","given":"Marcos I."},{"family":"Kaufman","given":"John"}],"issued":{"date-parts":[["2011",11]]}}},{"id":105,"uris":["http://zotero.org/users/7482256/items/RRU64A6D"],"uri":["http://zotero.org/users/7482256/items/RRU64A6D"],"itemData":{"id":105,"type":"article-journal","abstract":"OBJECTIVE: To investigate the use of retrievable inferior vena cava (IVC) filters in the current practice and analyze the causes of filter left in situ despite initial plans for retrieval.\nMETHODS: A systematic search of all English-language studies of retrievable IVC filters was conducted, including clinical trials and observational studies published between January 1984 and March 2016.\nRESULTS: A total of 103 studies were identified, including 10 filter models in 20,319 patients. Placement indications were reported for 11,128 (54.8%) patients, including therapeutic (n = 6270; 56.3%) and prophylactic (n = 4858; 43.7%) indications. A total of 13,224 (65.1%) filters were left as permanent devices; 7095 (34.9%) filters were removed. The reasons for filter nonretrieval among the 5308 (40.1%) reported cases were primary permanent indication (21.2%; 1127/5308), death (19.4%; 1031/5308), ongoing pulmonary embolism (PE) protection (19.0%; 1011/5308), failed retrieval (13.7%; 725/5308), loss to follow-up (13.0%; 689/5308), discontinued care (4.4%; 235/5308), physician oversight (4.0%; 213/5308), patient morbidity (2.8%; 149/5308), and patient refusal (2.4%; 128/5308). A total of 7820 patients presented for filter retrieval, and 7095 filters (90.7%) were successfully removed, with a mean indwelling time of 106.6 ± 47.3 days. Breakthrough PE was reported in 2.1% (191/9169) of patients. Filter tilt, recurrent deep vein thrombosis, penetration, IVC thrombosis, migration, and fracture occurred in 7.7% (798/10,348), 7.1% (362/5092), 5.4% (379/7001), 3.9% (345/8788), 1.4% (160/11,679), and 0.5% (50/9509) of patients, respectively.\nCONCLUSIONS: Approximately two-thirds of retrievable filters were not retrieved even though more than 85% of the filters were initially intended for temporary use. The major reasons for filter left in situ despite initial plans for retrieval were death, need for ongoing PE protection, failed retrieval, loss to follow-up, discontinued care, and physician oversight.","container-title":"Cardiovascular and Interventional Radiology","DOI":"10.1007/s00270-018-1880-9","ISSN":"1432-086X","issue":"5","journalAbbreviation":"Cardiovasc Intervent Radiol","language":"eng","note":"PMID: 29359241","page":"675-682","source":"PubMed","title":"Utility of Retrievable Inferior Vena Cava Filters: A Systematic Literature Review and Analysis of the Reasons for Nonretrieval of Filters with Temporary Indications","title-short":"Utility of Retrievable Inferior Vena Cava Filters","volume":"41","author":[{"family":"Jia","given":"Zhongzhi"},{"family":"Fuller","given":"Tyler A."},{"family":"McKinney","given":"J. Mark"},{"family":"Paz-Fumagalli","given":"Ricardo"},{"family":"Frey","given":"Gregory T."},{"family":"Sella","given":"David M."},{"family":"Van Ha","given":"Thuong"},{"family":"Wang","given":"Weiping"}],"issued":{"date-parts":[["2018",5]]}}},{"id":107,"uris":["http://zotero.org/users/7482256/items/8WPEQCCQ"],"uri":["http://zotero.org/users/7482256/items/8WPEQCCQ"],"itemData":{"id":107,"type":"article-journal","abstract":"IMPORTANCE: Retrievable inferior vena cava (IVC) filters were designed to provide temporary protection from pulmonary embolism, sparing patients from long-term complications of permanent filters. However, many retrievable IVC filters are left in place indefinitely.\nOBJECTIVES: To review the medical records of patients with IVC filters to determine patient demographics and date of and indication for IVC filter placement, as well as complications, follow-up data, date of IVC filter retrieval, and use of anticoagulant therapy.\nDESIGN AND SETTING: A retrospective review of IVC filter use between August 1, 2003, and February 28, 2011, was conducted at Boston Medical Center, a tertiary referral center with the largest trauma center in New England.\nPARTICIPANTS: In total, 978 patients. Twenty six patients were excluded from the study because of incomplete medical records.\nINTERVENTION: Placement of retrievable IVC filter.\nMAIN OUTCOME MEASURES: In total, 952 medical records were included in the analysis.\nRESULTS: Of 679 retrievable IVC filters that were placed, 58 (8.5%) were successfully removed. Unsuccessful retrieval attempts were made in 13 patients (18.3% of attempts). Seventy-four venous thrombotic events (7.8% of 952 patients included in the study) occurred after IVC filter placement, including 25 pulmonary emboli, all of which occurred with the IVC filter in place. Forty-eight percent of venous thrombotic events were in patients without venous thromboembolism at the time of IVC filter placement, and 89.4% occurred in patients not receiving anticoagulants. Many IVC filters placed after trauma were inserted when the highest bleeding risk had subsided, and anticoagulant therapy may have been appropriate. While many of these filters were placed because of a perceived contraindication to anticoagulants, 237 patients (24.9%) were discharged on a regimen of anticoagulant therapy.\nCONCLUSION AND RELEVANCE: Our research suggests that the use of IVC filters for prophylaxis and treatment of venous thrombotic events, combined with a low retrieval rate and inconsistent use of anticoagulant therapy, results in suboptimal outcomes due to high rates of venous thromboembolism.","container-title":"JAMA internal medicine","DOI":"10.1001/jamainternmed.2013.343","ISSN":"2168-6114","issue":"7","journalAbbreviation":"JAMA Intern Med","language":"eng","note":"PMID: 23552968","page":"513-517","source":"PubMed","title":"Indications, complications, and management of inferior vena cava filters: the experience in 952 patients at an academic hospital with a level I trauma center","title-short":"Indications, complications, and management of inferior vena cava filters","volume":"173","author":[{"family":"Sarosiek","given":"Shayna"},{"family":"Crowther","given":"Mark"},{"family":"Sloan","given":"J. Mark"}],"issued":{"date-parts":[["2013",4,8]]}}}],"schema":"https://github.com/citation-style-language/schema/raw/master/csl-citation.json"} </w:instrText>
      </w:r>
      <w:r w:rsidR="009975AC" w:rsidRPr="00AE5B1C">
        <w:rPr>
          <w:rFonts w:ascii="Times New Roman" w:hAnsi="Times New Roman" w:cs="Times New Roman"/>
          <w:sz w:val="20"/>
          <w:szCs w:val="20"/>
          <w:lang w:val="en-GB"/>
        </w:rPr>
        <w:fldChar w:fldCharType="separate"/>
      </w:r>
      <w:r w:rsidR="009975AC" w:rsidRPr="00AE5B1C">
        <w:rPr>
          <w:rFonts w:ascii="Times New Roman" w:hAnsi="Times New Roman" w:cs="Times New Roman"/>
          <w:sz w:val="20"/>
          <w:szCs w:val="20"/>
        </w:rPr>
        <w:t>[5–7]</w:t>
      </w:r>
      <w:r w:rsidR="009975AC" w:rsidRPr="00AE5B1C">
        <w:rPr>
          <w:rFonts w:ascii="Times New Roman" w:hAnsi="Times New Roman" w:cs="Times New Roman"/>
          <w:sz w:val="20"/>
          <w:szCs w:val="20"/>
          <w:lang w:val="en-GB"/>
        </w:rPr>
        <w:fldChar w:fldCharType="end"/>
      </w:r>
      <w:r w:rsidR="009975AC" w:rsidRPr="00AE5B1C">
        <w:rPr>
          <w:rFonts w:ascii="Times New Roman" w:hAnsi="Times New Roman" w:cs="Times New Roman"/>
          <w:sz w:val="20"/>
          <w:szCs w:val="20"/>
          <w:lang w:val="en-GB"/>
        </w:rPr>
        <w:t xml:space="preserve">. </w:t>
      </w:r>
      <w:r w:rsidR="00166AAE" w:rsidRPr="00AE5B1C">
        <w:rPr>
          <w:rFonts w:ascii="Times New Roman" w:hAnsi="Times New Roman" w:cs="Times New Roman"/>
          <w:sz w:val="20"/>
          <w:szCs w:val="20"/>
          <w:lang w:val="en-GB"/>
        </w:rPr>
        <w:t xml:space="preserve">An Irish study of </w:t>
      </w:r>
      <w:r w:rsidR="004D6361" w:rsidRPr="00AE5B1C">
        <w:rPr>
          <w:rFonts w:ascii="Times New Roman" w:hAnsi="Times New Roman" w:cs="Times New Roman"/>
          <w:sz w:val="20"/>
          <w:szCs w:val="20"/>
          <w:lang w:val="en-GB"/>
        </w:rPr>
        <w:t xml:space="preserve">fifty-seven patients who underwent IVC filter insertion over a </w:t>
      </w:r>
      <w:r w:rsidR="00927738" w:rsidRPr="00AE5B1C">
        <w:rPr>
          <w:rFonts w:ascii="Times New Roman" w:hAnsi="Times New Roman" w:cs="Times New Roman"/>
          <w:sz w:val="20"/>
          <w:szCs w:val="20"/>
          <w:lang w:val="en-GB"/>
        </w:rPr>
        <w:t>22-month period found that filter retrieval was attempted in 48.9% with a</w:t>
      </w:r>
      <w:r w:rsidR="0039745E">
        <w:rPr>
          <w:rFonts w:ascii="Times New Roman" w:hAnsi="Times New Roman" w:cs="Times New Roman"/>
          <w:sz w:val="20"/>
          <w:szCs w:val="20"/>
          <w:lang w:val="en-GB"/>
        </w:rPr>
        <w:t xml:space="preserve"> technical removal</w:t>
      </w:r>
      <w:r w:rsidR="00927738" w:rsidRPr="00AE5B1C">
        <w:rPr>
          <w:rFonts w:ascii="Times New Roman" w:hAnsi="Times New Roman" w:cs="Times New Roman"/>
          <w:sz w:val="20"/>
          <w:szCs w:val="20"/>
          <w:lang w:val="en-GB"/>
        </w:rPr>
        <w:t xml:space="preserve"> success rate of </w:t>
      </w:r>
      <w:r w:rsidR="00FF14FC" w:rsidRPr="00AE5B1C">
        <w:rPr>
          <w:rFonts w:ascii="Times New Roman" w:hAnsi="Times New Roman" w:cs="Times New Roman"/>
          <w:sz w:val="20"/>
          <w:szCs w:val="20"/>
          <w:lang w:val="en-GB"/>
        </w:rPr>
        <w:t>86.9%</w:t>
      </w:r>
      <w:r w:rsidR="009035F3" w:rsidRPr="00AE5B1C">
        <w:rPr>
          <w:rFonts w:ascii="Times New Roman" w:hAnsi="Times New Roman" w:cs="Times New Roman"/>
          <w:sz w:val="20"/>
          <w:szCs w:val="20"/>
          <w:lang w:val="en-GB"/>
        </w:rPr>
        <w:fldChar w:fldCharType="begin"/>
      </w:r>
      <w:r w:rsidR="006605F1">
        <w:rPr>
          <w:rFonts w:ascii="Times New Roman" w:hAnsi="Times New Roman" w:cs="Times New Roman"/>
          <w:sz w:val="20"/>
          <w:szCs w:val="20"/>
          <w:lang w:val="en-GB"/>
        </w:rPr>
        <w:instrText xml:space="preserve"> ADDIN ZOTERO_ITEM CSL_CITATION {"citationID":"lsbSWZwj","properties":{"formattedCitation":"[22]","plainCitation":"[22]","noteIndex":0},"citationItems":[{"id":138,"uris":["http://zotero.org/users/7482256/items/INWQS42Y"],"uri":["http://zotero.org/users/7482256/items/INWQS42Y"],"itemData":{"id":138,"type":"article-journal","abstract":"BACKGROUND: Inferior vena cava (IVC) filters are widely used in clinical practice to prevent large, clinically significant pulmonary emboli. Modern filters are designed to be retrievable within a specific time window; however, many become lost to follow-up.\nAIM: To examine the insertion and retrieval patterns of IVC filters in a tertiary referral teaching hospital in Ireland.\nMETHODS: A retrospective review of all IVC filter insertions and retrievals was performed in a tertiary referral university teaching hospital which incorporates the national referral centre for pelvic and acetabular trauma, over a 22-month period.\nRESULTS: Fifty-seven patients underwent IVC filter insertion with 100% technical success. The most common indication was prophylaxis in patients at high risk of deep venous thrombosis or pulmonary emboli (64.9%), followed by patients with contra-indication to anticoagulation (24.6%) and breakthrough thromboembolic events despite anticoagulation (10.5%). IVC filter retrievals were attempted in 48.9% of patients with a success rate of 86.9%. The mean dwell time for retrieved IVC filters was 159.4 days.\nCONCLUSION: Inferior vena cava filter insertion and retrieval patterns in our centre were comparable to trends reported internationally with scope for improvement in terms of filter retrieval rates and minimising filter dwell time. Particular vigilance is required in younger patients where the indication for filter insertion was prophylactic.","container-title":"Irish Journal of Medical Science","DOI":"10.1007/s11845-014-1116-1","ISSN":"1863-4362","issue":"2","journalAbbreviation":"Ir J Med Sci","language":"eng","note":"PMID: 24737407","page":"345-348","source":"PubMed","title":"Inferior vena cava filter insertion and retrieval patterns in a tertiary referral centre in Ireland","volume":"184","author":[{"family":"Kok","given":"H. K."},{"family":"Salati","given":"U."},{"family":"O'Brien","given":"C."},{"family":"Govender","given":"P."},{"family":"Torreggiani","given":"W. C."},{"family":"Browne","given":"R."}],"issued":{"date-parts":[["2015",6]]}}}],"schema":"https://github.com/citation-style-language/schema/raw/master/csl-citation.json"} </w:instrText>
      </w:r>
      <w:r w:rsidR="009035F3" w:rsidRPr="00AE5B1C">
        <w:rPr>
          <w:rFonts w:ascii="Times New Roman" w:hAnsi="Times New Roman" w:cs="Times New Roman"/>
          <w:sz w:val="20"/>
          <w:szCs w:val="20"/>
          <w:lang w:val="en-GB"/>
        </w:rPr>
        <w:fldChar w:fldCharType="separate"/>
      </w:r>
      <w:r w:rsidR="006605F1" w:rsidRPr="006605F1">
        <w:rPr>
          <w:rFonts w:ascii="Times New Roman" w:hAnsi="Times New Roman" w:cs="Times New Roman"/>
          <w:sz w:val="20"/>
        </w:rPr>
        <w:t>[22]</w:t>
      </w:r>
      <w:r w:rsidR="009035F3" w:rsidRPr="00AE5B1C">
        <w:rPr>
          <w:rFonts w:ascii="Times New Roman" w:hAnsi="Times New Roman" w:cs="Times New Roman"/>
          <w:sz w:val="20"/>
          <w:szCs w:val="20"/>
          <w:lang w:val="en-GB"/>
        </w:rPr>
        <w:fldChar w:fldCharType="end"/>
      </w:r>
      <w:r w:rsidR="00FF14FC" w:rsidRPr="00AE5B1C">
        <w:rPr>
          <w:rFonts w:ascii="Times New Roman" w:hAnsi="Times New Roman" w:cs="Times New Roman"/>
          <w:sz w:val="20"/>
          <w:szCs w:val="20"/>
          <w:lang w:val="en-GB"/>
        </w:rPr>
        <w:t xml:space="preserve">. </w:t>
      </w:r>
    </w:p>
    <w:p w14:paraId="384E0631" w14:textId="56AAFC33" w:rsidR="007911FD" w:rsidRPr="00AE5B1C" w:rsidRDefault="007911FD" w:rsidP="008F252F">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Complications associated with long-term filters include DVT, IVC thrombosis, organ penetration, strut fracture and migration. The risks appear to increase with the length of time the filter is in situ </w:t>
      </w:r>
      <w:r w:rsidRPr="00AE5B1C">
        <w:rPr>
          <w:rFonts w:ascii="Times New Roman" w:hAnsi="Times New Roman" w:cs="Times New Roman"/>
          <w:sz w:val="20"/>
          <w:szCs w:val="20"/>
          <w:lang w:val="en-GB"/>
        </w:rPr>
        <w:fldChar w:fldCharType="begin"/>
      </w:r>
      <w:r w:rsidR="00340E0E" w:rsidRPr="00AE5B1C">
        <w:rPr>
          <w:rFonts w:ascii="Times New Roman" w:hAnsi="Times New Roman" w:cs="Times New Roman"/>
          <w:sz w:val="20"/>
          <w:szCs w:val="20"/>
          <w:lang w:val="en-GB"/>
        </w:rPr>
        <w:instrText xml:space="preserve"> ADDIN ZOTERO_ITEM CSL_CITATION {"citationID":"cW3JShnH","properties":{"formattedCitation":"[4]","plainCitation":"[4]","noteIndex":0},"citationItems":[{"id":101,"uris":["http://zotero.org/users/7482256/items/GJNY6AA9"],"uri":["http://zotero.org/users/7482256/items/GJNY6AA9"],"itemData":{"id":101,"type":"article-journal","abstract":"PURPOSE: To evaluate retrospectively the safety and retrievability of the Celect IVC filter.\nMATERIALS AND METHODS: All patients undergoing Celect filter placement and retrieval during the period 2007-2012 were assessed for complications and retrievability.\nRESULTS: Of 620 patients who underwent Celect filter placement, 120 presented for removal. The indwelling time in these patients was 158.1 days±103.0 (range, 2-518 d). There were 106 filters (88.3%) removed; 14 filters were left in situ for the following reasons: filter embedment (n=6), caval occlusion (n=3), retained thrombus (n=2), large floating thrombus in IVC (n=2), or tilt &gt;15° (n=1). With filters in place, five patients developed new pulmonary embolism (PE), and two others presented with severe abdominal pain. The available 115 pairs of placement and removal cavagrams suggested limb penetration in 99 cases (86.1%), intracaval migration &gt;2 cm in 5, secondary tilt &gt;15° in 8, filter deformity in 10, retained thrombus within filters in 12, and IVC occlusion in 3. Among 38 available computed tomography (CT) scans, 9 scans (24%) showed asymptomatic limb penetration to the duodenum (n=6), aortic wall (n=2), or kidney (n=1). No filter fracture was found.\nCONCLUSIONS: This study showed a high penetration rate for Celect IVC filters, including penetrations that were symptomatic or involved adjacent structures. Penetration appears to correlate with indwelling time, suggesting that the filter should be removed as soon as PE protection is no longer indicated. Although most of the filters were removed, 5.8% of retrievals were unsuccessful because of technical failure.","container-title":"Journal of vascular and interventional radiology: JVIR","DOI":"10.1016/j.jvir.2012.08.016","ISSN":"1535-7732","issue":"12","journalAbbreviation":"J Vasc Interv Radiol","language":"eng","note":"PMID: 23177101","page":"1557-1563","source":"PubMed","title":"Retrospective review of 120 celect inferior vena cava filter retrievals: experience at a single institution","title-short":"Retrospective review of 120 celect inferior vena cava filter retrievals","volume":"23","author":[{"family":"Zhou","given":"Dayong"},{"family":"Spain","given":"James"},{"family":"Moon","given":"Eunice"},{"family":"Mclennan","given":"Gordon"},{"family":"Sands","given":"Mark J."},{"family":"Wang","given":"Weiping"}],"issued":{"date-parts":[["2012",12]]}}}],"schema":"https://github.com/citation-style-language/schema/raw/master/csl-citation.json"} </w:instrText>
      </w:r>
      <w:r w:rsidRPr="00AE5B1C">
        <w:rPr>
          <w:rFonts w:ascii="Times New Roman" w:hAnsi="Times New Roman" w:cs="Times New Roman"/>
          <w:sz w:val="20"/>
          <w:szCs w:val="20"/>
          <w:lang w:val="en-GB"/>
        </w:rPr>
        <w:fldChar w:fldCharType="separate"/>
      </w:r>
      <w:r w:rsidRPr="00AE5B1C">
        <w:rPr>
          <w:rFonts w:ascii="Times New Roman" w:hAnsi="Times New Roman" w:cs="Times New Roman"/>
          <w:sz w:val="20"/>
          <w:szCs w:val="20"/>
        </w:rPr>
        <w:t>[4]</w:t>
      </w:r>
      <w:r w:rsidRPr="00AE5B1C">
        <w:rPr>
          <w:rFonts w:ascii="Times New Roman" w:hAnsi="Times New Roman" w:cs="Times New Roman"/>
          <w:sz w:val="20"/>
          <w:szCs w:val="20"/>
          <w:lang w:val="en-GB"/>
        </w:rPr>
        <w:fldChar w:fldCharType="end"/>
      </w:r>
      <w:r w:rsidRPr="00AE5B1C">
        <w:rPr>
          <w:rFonts w:ascii="Times New Roman" w:hAnsi="Times New Roman" w:cs="Times New Roman"/>
          <w:sz w:val="20"/>
          <w:szCs w:val="20"/>
          <w:lang w:val="en-GB"/>
        </w:rPr>
        <w:t>.</w:t>
      </w:r>
    </w:p>
    <w:p w14:paraId="768A9EDD" w14:textId="7500ECBB" w:rsidR="00CE4636" w:rsidRPr="00AE5B1C" w:rsidRDefault="00CE4636" w:rsidP="008F252F">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The Sentry device is the world’s first </w:t>
      </w:r>
      <w:proofErr w:type="spellStart"/>
      <w:r w:rsidRPr="00AE5B1C">
        <w:rPr>
          <w:rFonts w:ascii="Times New Roman" w:hAnsi="Times New Roman" w:cs="Times New Roman"/>
          <w:sz w:val="20"/>
          <w:szCs w:val="20"/>
          <w:lang w:val="en-GB"/>
        </w:rPr>
        <w:t>bioconvertible</w:t>
      </w:r>
      <w:proofErr w:type="spellEnd"/>
      <w:r w:rsidRPr="00AE5B1C">
        <w:rPr>
          <w:rFonts w:ascii="Times New Roman" w:hAnsi="Times New Roman" w:cs="Times New Roman"/>
          <w:sz w:val="20"/>
          <w:szCs w:val="20"/>
          <w:lang w:val="en-GB"/>
        </w:rPr>
        <w:t xml:space="preserve"> IVC filter. </w:t>
      </w:r>
      <w:r w:rsidR="0021676B" w:rsidRPr="00AE5B1C">
        <w:rPr>
          <w:rFonts w:ascii="Times New Roman" w:hAnsi="Times New Roman" w:cs="Times New Roman"/>
          <w:sz w:val="20"/>
          <w:szCs w:val="20"/>
          <w:lang w:val="en-GB"/>
        </w:rPr>
        <w:t xml:space="preserve">It offers protection </w:t>
      </w:r>
      <w:r w:rsidR="00181CB1" w:rsidRPr="00AE5B1C">
        <w:rPr>
          <w:rFonts w:ascii="Times New Roman" w:hAnsi="Times New Roman" w:cs="Times New Roman"/>
          <w:sz w:val="20"/>
          <w:szCs w:val="20"/>
          <w:lang w:val="en-GB"/>
        </w:rPr>
        <w:t xml:space="preserve">against </w:t>
      </w:r>
      <w:r w:rsidR="00FD4BF1" w:rsidRPr="00AE5B1C">
        <w:rPr>
          <w:rFonts w:ascii="Times New Roman" w:hAnsi="Times New Roman" w:cs="Times New Roman"/>
          <w:sz w:val="20"/>
          <w:szCs w:val="20"/>
          <w:lang w:val="en-GB"/>
        </w:rPr>
        <w:t>pulmonary emboli</w:t>
      </w:r>
      <w:r w:rsidR="00181CB1" w:rsidRPr="00AE5B1C">
        <w:rPr>
          <w:rFonts w:ascii="Times New Roman" w:hAnsi="Times New Roman" w:cs="Times New Roman"/>
          <w:sz w:val="20"/>
          <w:szCs w:val="20"/>
          <w:lang w:val="en-GB"/>
        </w:rPr>
        <w:t xml:space="preserve"> during a transient risk period without the need for a second procedure to remove it</w:t>
      </w:r>
      <w:r w:rsidR="00FD4BF1" w:rsidRPr="00AE5B1C">
        <w:rPr>
          <w:rFonts w:ascii="Times New Roman" w:hAnsi="Times New Roman" w:cs="Times New Roman"/>
          <w:sz w:val="20"/>
          <w:szCs w:val="20"/>
          <w:lang w:val="en-GB"/>
        </w:rPr>
        <w:t xml:space="preserve"> and without the complications of long-term or permanent filters. </w:t>
      </w:r>
    </w:p>
    <w:p w14:paraId="329D3B10" w14:textId="6B61E330" w:rsidR="00593140" w:rsidRPr="00AE5B1C" w:rsidRDefault="00C73953" w:rsidP="00243D19">
      <w:pPr>
        <w:rPr>
          <w:rFonts w:ascii="Times New Roman" w:hAnsi="Times New Roman" w:cs="Times New Roman"/>
          <w:sz w:val="20"/>
          <w:szCs w:val="20"/>
          <w:lang w:val="en-GB"/>
        </w:rPr>
      </w:pPr>
      <w:r w:rsidRPr="00AE5B1C">
        <w:rPr>
          <w:rFonts w:ascii="Times New Roman" w:hAnsi="Times New Roman" w:cs="Times New Roman"/>
          <w:sz w:val="20"/>
          <w:szCs w:val="20"/>
          <w:lang w:val="en-GB"/>
        </w:rPr>
        <w:t>The filter was evaluated in a multicentre prospective trial of 129 patients with either documented DVT/PE or at temporary risk of DVT/PE</w:t>
      </w:r>
      <w:r w:rsidR="00340E0E" w:rsidRPr="00AE5B1C">
        <w:rPr>
          <w:rFonts w:ascii="Times New Roman" w:hAnsi="Times New Roman" w:cs="Times New Roman"/>
          <w:sz w:val="20"/>
          <w:szCs w:val="20"/>
          <w:lang w:val="en-GB"/>
        </w:rPr>
        <w:t xml:space="preserve"> </w:t>
      </w:r>
      <w:r w:rsidR="00340E0E" w:rsidRPr="00AE5B1C">
        <w:rPr>
          <w:rFonts w:ascii="Times New Roman" w:hAnsi="Times New Roman" w:cs="Times New Roman"/>
          <w:sz w:val="20"/>
          <w:szCs w:val="20"/>
          <w:lang w:val="en-GB"/>
        </w:rPr>
        <w:fldChar w:fldCharType="begin"/>
      </w:r>
      <w:r w:rsidR="006605F1">
        <w:rPr>
          <w:rFonts w:ascii="Times New Roman" w:hAnsi="Times New Roman" w:cs="Times New Roman"/>
          <w:sz w:val="20"/>
          <w:szCs w:val="20"/>
          <w:lang w:val="en-GB"/>
        </w:rPr>
        <w:instrText xml:space="preserve"> ADDIN ZOTERO_ITEM CSL_CITATION {"citationID":"JdRGmjIQ","properties":{"formattedCitation":"[10]","plainCitation":"[10]","noteIndex":0},"citationItems":[{"id":88,"uris":["http://zotero.org/users/7482256/items/E5PS37P8"],"uri":["http://zotero.org/users/7482256/items/E5PS37P8"],"itemData":{"id":88,"type":"article-journal","abstract":"PURPOSE: To report final 2-year outcomes with the Sentry bioconvertible inferior vena cava (IVC) filter in patients requiring temporary protection against pulmonary embolism (PE).\nMATERIALS AND METHODS: In a prospective multicenter trial, the Sentry filter was implanted in 129 patients with documented deep vein thrombosis (DVT) and/or PE (67.5%) or who were at temporary risk of developing DVT/PE (32.6%). Patients were monitored and bioconversion status ascertained by radiography, computed tomography (CT), and CT venography through 2 years.\nRESULTS: The composite primary 6-month endpoint of clinical success was achieved in 97.4% (111/114) of patients. The rate of new symptomatic PE was 0% (n = 126) through 1 year and 2.4% (n = 85) through the second year of follow-up, with 2 new nonfatal cases at 581 and 624 days that were adjudicated as not related to the procedure or device. Two patients (1.6%) developed symptomatic caval thrombosis during the first month and underwent successful interventions without recurrence. No other filter-related symptomatic complications occurred through 2 years. There was no filter tilting, migration, embolization, fracture, or caval perforation and no filter-related deaths through 2 years. Filter bioconversion was successful for 95.7% (110/115) of patients at 6 months, 96.4% (106/110) of patients at 12 months, and 96.5% (82/85) of patients at 24 months. Through 24 months of follow-up, there was no evidence of late-stage IVC obstruction or thrombosis after filter bioconversion or of thrombogenicity associated with retracted filter arms.\nCONCLUSIONS: The Sentry IVC filter provided safe and effective protection against PE, with a high rate of intended bioconversion and a low rate of device-related complications, through 2 years of follow-up.","container-title":"Journal of vascular and interventional radiology: JVIR","DOI":"10.1016/j.jvir.2019.08.036","ISSN":"1535-7732","issue":"2","journalAbbreviation":"J Vasc Interv Radiol","language":"eng","note":"PMID: 31711748","page":"221-230.e3","source":"PubMed","title":"Final Two-Year Outcomes for the Sentry Bioconvertible Inferior Vena Cava Filter in Patients Requiring Temporary Protection from Pulmonary Embolism","volume":"31","author":[{"family":"Dake","given":"Michael D."},{"family":"Murphy","given":"Timothy P."},{"family":"Krämer","given":"Albrecht H."},{"family":"Darcy","given":"Michael D."},{"family":"Sewall","given":"Luke E."},{"family":"Curi","given":"Michael A."},{"family":"Johnson","given":"Matthew S."},{"family":"Arena","given":"Frank"},{"family":"Swischuk","given":"James L."},{"family":"Ansel","given":"Gary M."},{"family":"Silver","given":"Mitchell J."},{"family":"Saddekni","given":"Souheil"},{"family":"Brower","given":"Jayson S."},{"family":"Mendes","given":"Robert"},{"literal":"SENTRY Trial Investigators"}],"issued":{"date-parts":[["2020",2]]}}}],"schema":"https://github.com/citation-style-language/schema/raw/master/csl-citation.json"} </w:instrText>
      </w:r>
      <w:r w:rsidR="00340E0E" w:rsidRPr="00AE5B1C">
        <w:rPr>
          <w:rFonts w:ascii="Times New Roman" w:hAnsi="Times New Roman" w:cs="Times New Roman"/>
          <w:sz w:val="20"/>
          <w:szCs w:val="20"/>
          <w:lang w:val="en-GB"/>
        </w:rPr>
        <w:fldChar w:fldCharType="separate"/>
      </w:r>
      <w:r w:rsidR="006605F1" w:rsidRPr="006605F1">
        <w:rPr>
          <w:rFonts w:ascii="Times New Roman" w:hAnsi="Times New Roman" w:cs="Times New Roman"/>
          <w:sz w:val="20"/>
        </w:rPr>
        <w:t>[10]</w:t>
      </w:r>
      <w:r w:rsidR="00340E0E" w:rsidRPr="00AE5B1C">
        <w:rPr>
          <w:rFonts w:ascii="Times New Roman" w:hAnsi="Times New Roman" w:cs="Times New Roman"/>
          <w:sz w:val="20"/>
          <w:szCs w:val="20"/>
          <w:lang w:val="en-GB"/>
        </w:rPr>
        <w:fldChar w:fldCharType="end"/>
      </w:r>
      <w:r w:rsidRPr="00AE5B1C">
        <w:rPr>
          <w:rFonts w:ascii="Times New Roman" w:hAnsi="Times New Roman" w:cs="Times New Roman"/>
          <w:sz w:val="20"/>
          <w:szCs w:val="20"/>
          <w:lang w:val="en-GB"/>
        </w:rPr>
        <w:t xml:space="preserve">. </w:t>
      </w:r>
      <w:r w:rsidR="00BC19E3" w:rsidRPr="00AE5B1C">
        <w:rPr>
          <w:rFonts w:ascii="Times New Roman" w:hAnsi="Times New Roman" w:cs="Times New Roman"/>
          <w:sz w:val="20"/>
          <w:szCs w:val="20"/>
          <w:lang w:val="en-GB"/>
        </w:rPr>
        <w:t xml:space="preserve">The rate </w:t>
      </w:r>
      <w:r w:rsidR="00DF4AC6" w:rsidRPr="00AE5B1C">
        <w:rPr>
          <w:rFonts w:ascii="Times New Roman" w:hAnsi="Times New Roman" w:cs="Times New Roman"/>
          <w:sz w:val="20"/>
          <w:szCs w:val="20"/>
          <w:lang w:val="en-GB"/>
        </w:rPr>
        <w:t>of new symptomatic PE was 0%</w:t>
      </w:r>
      <w:r w:rsidR="005C47D7" w:rsidRPr="00AE5B1C">
        <w:rPr>
          <w:rFonts w:ascii="Times New Roman" w:hAnsi="Times New Roman" w:cs="Times New Roman"/>
          <w:sz w:val="20"/>
          <w:szCs w:val="20"/>
          <w:lang w:val="en-GB"/>
        </w:rPr>
        <w:t xml:space="preserve"> (n=126)</w:t>
      </w:r>
      <w:r w:rsidR="00DF4AC6" w:rsidRPr="00AE5B1C">
        <w:rPr>
          <w:rFonts w:ascii="Times New Roman" w:hAnsi="Times New Roman" w:cs="Times New Roman"/>
          <w:sz w:val="20"/>
          <w:szCs w:val="20"/>
          <w:lang w:val="en-GB"/>
        </w:rPr>
        <w:t xml:space="preserve"> through one year and 2.4%</w:t>
      </w:r>
      <w:r w:rsidR="005C47D7" w:rsidRPr="00AE5B1C">
        <w:rPr>
          <w:rFonts w:ascii="Times New Roman" w:hAnsi="Times New Roman" w:cs="Times New Roman"/>
          <w:sz w:val="20"/>
          <w:szCs w:val="20"/>
          <w:lang w:val="en-GB"/>
        </w:rPr>
        <w:t xml:space="preserve"> (n=85)</w:t>
      </w:r>
      <w:r w:rsidR="00DF4AC6" w:rsidRPr="00AE5B1C">
        <w:rPr>
          <w:rFonts w:ascii="Times New Roman" w:hAnsi="Times New Roman" w:cs="Times New Roman"/>
          <w:sz w:val="20"/>
          <w:szCs w:val="20"/>
          <w:lang w:val="en-GB"/>
        </w:rPr>
        <w:t xml:space="preserve"> through the second</w:t>
      </w:r>
      <w:r w:rsidR="005C47D7" w:rsidRPr="00AE5B1C">
        <w:rPr>
          <w:rFonts w:ascii="Times New Roman" w:hAnsi="Times New Roman" w:cs="Times New Roman"/>
          <w:sz w:val="20"/>
          <w:szCs w:val="20"/>
          <w:lang w:val="en-GB"/>
        </w:rPr>
        <w:t xml:space="preserve"> year.</w:t>
      </w:r>
      <w:r w:rsidR="00593140" w:rsidRPr="00AE5B1C">
        <w:rPr>
          <w:rFonts w:ascii="Times New Roman" w:hAnsi="Times New Roman" w:cs="Times New Roman"/>
          <w:sz w:val="20"/>
          <w:szCs w:val="20"/>
          <w:lang w:val="en-GB"/>
        </w:rPr>
        <w:t xml:space="preserve"> Results through the first year compare favourably with </w:t>
      </w:r>
      <w:r w:rsidR="00E160FC" w:rsidRPr="00AE5B1C">
        <w:rPr>
          <w:rFonts w:ascii="Times New Roman" w:hAnsi="Times New Roman" w:cs="Times New Roman"/>
          <w:sz w:val="20"/>
          <w:szCs w:val="20"/>
          <w:lang w:val="en-GB"/>
        </w:rPr>
        <w:t>PE rates in recent trials of retrievable filters</w:t>
      </w:r>
      <w:r w:rsidR="0094111B" w:rsidRPr="00AE5B1C">
        <w:rPr>
          <w:rFonts w:ascii="Times New Roman" w:hAnsi="Times New Roman" w:cs="Times New Roman"/>
          <w:sz w:val="20"/>
          <w:szCs w:val="20"/>
          <w:lang w:val="en-GB"/>
        </w:rPr>
        <w:t xml:space="preserve"> </w:t>
      </w:r>
      <w:r w:rsidR="0094111B" w:rsidRPr="00AE5B1C">
        <w:rPr>
          <w:rFonts w:ascii="Times New Roman" w:hAnsi="Times New Roman" w:cs="Times New Roman"/>
          <w:sz w:val="20"/>
          <w:szCs w:val="20"/>
          <w:lang w:val="en-GB"/>
        </w:rPr>
        <w:fldChar w:fldCharType="begin"/>
      </w:r>
      <w:r w:rsidR="006605F1">
        <w:rPr>
          <w:rFonts w:ascii="Times New Roman" w:hAnsi="Times New Roman" w:cs="Times New Roman"/>
          <w:sz w:val="20"/>
          <w:szCs w:val="20"/>
          <w:lang w:val="en-GB"/>
        </w:rPr>
        <w:instrText xml:space="preserve"> ADDIN ZOTERO_ITEM CSL_CITATION {"citationID":"4pumL3dx","properties":{"formattedCitation":"[23, 24]","plainCitation":"[23, 24]","noteIndex":0},"citationItems":[{"id":140,"uris":["http://zotero.org/users/7482256/items/RW7WUGAD"],"uri":["http://zotero.org/users/7482256/items/RW7WUGAD"],"itemData":{"id":140,"type":"article-journal","abstract":"PURPOSE: To assess safety and effectiveness of a nitinol retrievable inferior vena cava (IVC) filter in patients who require caval interruption to protect against pulmonary embolism (PE).\nMATERIALS AND METHODS: Two hundred patients with temporary indications for an IVC filter were enrolled in this prospective, multicenter clinical study. Patients undergoing filter implantation were to be followed for 2 years or for 30 days after filter retrieval. At the time of the present interim report, all 200 patients had been enrolled in the study, and 160 had undergone a retrieval attempt or been followed to 6 months with their filter in place. Primary study endpoints included technical and clinical success of filter placement and retrieval. Patients were also evaluated for recurrent PE, new or worsening deep vein thrombosis, and filter migration, fracture, penetration, and tilt.\nRESULTS: Clinical success of placement was achieved in 94.5% of patients (172 of 182), with a one-sided lower limit of the 95% confidence interval of 90.1%. Technical success rate of filter placement was 99.5%. Technical success rate of retrieval was 97.3%; 108 filters were retrieved in 111 attempts. In two cases, the filter apex could not be engaged with a snare, and one device was engaged but could not be removed. Filter retrievals occurred at a mean indwell time of 165 days (range, 5-632 d). There were no instances of filter fracture, migration, or tilt greater than 15° at the time of retrieval or 6-month follow-up.\nCONCLUSIONS: In this interim report, the nitinol retrievable IVC filter provided protection against pulmonary embolism, and the device could be retrieved with a low rate of complications.","container-title":"Journal of vascular and interventional radiology: JVIR","DOI":"10.1016/j.jvir.2014.07.001","ISSN":"1535-7732","issue":"10","journalAbbreviation":"J Vasc Interv Radiol","language":"eng","note":"PMID: 25066514","page":"1497-1505, 1505.e1","source":"PubMed","title":"The DENALI Trial: an interim analysis of a prospective, multicenter study of the Denali retrievable inferior vena cava filter","title-short":"The DENALI Trial","volume":"25","author":[{"family":"Stavropoulos","given":"S. William"},{"family":"Sing","given":"Ronald F."},{"family":"Elmasri","given":"Fakhir"},{"family":"Silver","given":"Mitchell J."},{"family":"Powell","given":"Alex"},{"family":"Lynch","given":"Frank C."},{"family":"Aal","given":"Ahmed Kamel Abdel"},{"family":"Lansky","given":"Alexandra J."},{"family":"Settlage","given":"Richard A."},{"family":"Muhs","given":"Bart E."},{"literal":"DENALI Trial Investigators"}],"issued":{"date-parts":[["2014",10]]}}},{"id":142,"uris":["http://zotero.org/users/7482256/items/95GKMTI4"],"uri":["http://zotero.org/users/7482256/items/95GKMTI4"],"itemData":{"id":142,"type":"article-journal","abstract":"PURPOSE: To evaluate the safety and effectiveness of the Crux vena cava filter in patients at risk for pulmonary embolism (PE).\nMATERIALS AND METHODS: The Crux Biomedical Evaluation of the Crux Inferior Vena Cava Filter System trial was an international prospective, multicenter, single-arm clinical trial in 125 patients implanted with the Crux filter between June 2010 and June 2011. Follow-up was 180 days after filter placement and 30 days after filter retrieval. The primary objective was to determine whether the clinical success rate was at least 80%. Clinical success was defined as technical success of deployment and freedom from definite PE, filter migration, and device-related adverse events requiring intervention.\nRESULTS: The clinical success rate was 96.0% (120 of 125), with a one-sided lower limit of the 95% confidence interval of 91.8%. The rate of technical success was 98.4% (123 of 125). There were three cases of definite PE (2.4%), two cases of deployment failure, and no cases of device migration, embolization, fracture, or tilting. Investigators observed nine cases of thrombus (all nonocclusive) in or near the filter (six during retrieval evaluation vena cavography, two during computed tomography [CT] scans for PE symptoms, and one during CT for cancer management) and 13 cases of deep vein thrombosis. Device retrieval was attempted at a mean of 84.6 days±57.6 (range, 6-190 d) after implantation and was successful for 98.1% of patients (53 of 54). All deaths (n = 14) were determined to be unrelated to the filter or PE.\nCONCLUSIONS: The Crux vena cava filter performed safely, with high rates of clinical, technical, and retrieval success.","container-title":"Journal of vascular and interventional radiology: JVIR","DOI":"10.1016/j.jvir.2013.01.489","ISSN":"1535-7732","issue":"5","journalAbbreviation":"J Vasc Interv Radiol","language":"eng","note":"PMID: 23622035","page":"609-621","source":"PubMed","title":"The RETRIEVE trial: safety and effectiveness of the retrievable crux vena cava filter","title-short":"The RETRIEVE trial","volume":"24","author":[{"family":"Smouse","given":"H. Bob"},{"family":"Mendes","given":"Robert"},{"family":"Bosiers","given":"Marc"},{"family":"Van Ha","given":"Thuong G."},{"family":"Crabtree","given":"Tami"},{"literal":"RETRIEVE Investigators"}],"issued":{"date-parts":[["2013",5]]}}}],"schema":"https://github.com/citation-style-language/schema/raw/master/csl-citation.json"} </w:instrText>
      </w:r>
      <w:r w:rsidR="0094111B" w:rsidRPr="00AE5B1C">
        <w:rPr>
          <w:rFonts w:ascii="Times New Roman" w:hAnsi="Times New Roman" w:cs="Times New Roman"/>
          <w:sz w:val="20"/>
          <w:szCs w:val="20"/>
          <w:lang w:val="en-GB"/>
        </w:rPr>
        <w:fldChar w:fldCharType="separate"/>
      </w:r>
      <w:r w:rsidR="006605F1" w:rsidRPr="006605F1">
        <w:rPr>
          <w:rFonts w:ascii="Times New Roman" w:hAnsi="Times New Roman" w:cs="Times New Roman"/>
          <w:sz w:val="20"/>
        </w:rPr>
        <w:t>[23, 24]</w:t>
      </w:r>
      <w:r w:rsidR="0094111B" w:rsidRPr="00AE5B1C">
        <w:rPr>
          <w:rFonts w:ascii="Times New Roman" w:hAnsi="Times New Roman" w:cs="Times New Roman"/>
          <w:sz w:val="20"/>
          <w:szCs w:val="20"/>
          <w:lang w:val="en-GB"/>
        </w:rPr>
        <w:fldChar w:fldCharType="end"/>
      </w:r>
      <w:r w:rsidR="002E646E" w:rsidRPr="00AE5B1C">
        <w:rPr>
          <w:rFonts w:ascii="Times New Roman" w:hAnsi="Times New Roman" w:cs="Times New Roman"/>
          <w:sz w:val="20"/>
          <w:szCs w:val="20"/>
          <w:lang w:val="en-GB"/>
        </w:rPr>
        <w:t>.</w:t>
      </w:r>
      <w:r w:rsidR="00885D39" w:rsidRPr="00AE5B1C">
        <w:rPr>
          <w:rFonts w:ascii="Times New Roman" w:hAnsi="Times New Roman" w:cs="Times New Roman"/>
          <w:sz w:val="20"/>
          <w:szCs w:val="20"/>
          <w:lang w:val="en-GB"/>
        </w:rPr>
        <w:t xml:space="preserve"> Both non-fatal </w:t>
      </w:r>
      <w:r w:rsidR="00243B5D" w:rsidRPr="00AE5B1C">
        <w:rPr>
          <w:rFonts w:ascii="Times New Roman" w:hAnsi="Times New Roman" w:cs="Times New Roman"/>
          <w:sz w:val="20"/>
          <w:szCs w:val="20"/>
          <w:lang w:val="en-GB"/>
        </w:rPr>
        <w:t xml:space="preserve">PEs in the second year occurred long after the transient risk period and were </w:t>
      </w:r>
      <w:r w:rsidR="000E1D37" w:rsidRPr="00AE5B1C">
        <w:rPr>
          <w:rFonts w:ascii="Times New Roman" w:hAnsi="Times New Roman" w:cs="Times New Roman"/>
          <w:sz w:val="20"/>
          <w:szCs w:val="20"/>
          <w:lang w:val="en-GB"/>
        </w:rPr>
        <w:t xml:space="preserve">judged by the Central Events Committee to be unrelated to the device or procedure. </w:t>
      </w:r>
    </w:p>
    <w:p w14:paraId="2B9F6F05" w14:textId="627EE862" w:rsidR="005869AD" w:rsidRPr="00AE5B1C" w:rsidRDefault="00A66BEA" w:rsidP="00243D19">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Symptomatic </w:t>
      </w:r>
      <w:r w:rsidR="00E90C71" w:rsidRPr="00AE5B1C">
        <w:rPr>
          <w:rFonts w:ascii="Times New Roman" w:hAnsi="Times New Roman" w:cs="Times New Roman"/>
          <w:sz w:val="20"/>
          <w:szCs w:val="20"/>
          <w:lang w:val="en-GB"/>
        </w:rPr>
        <w:t xml:space="preserve">IVC thrombosis occurred in two patients (1.6%) within the first month. Both cases were </w:t>
      </w:r>
      <w:r w:rsidR="00797ADD" w:rsidRPr="00AE5B1C">
        <w:rPr>
          <w:rFonts w:ascii="Times New Roman" w:hAnsi="Times New Roman" w:cs="Times New Roman"/>
          <w:sz w:val="20"/>
          <w:szCs w:val="20"/>
          <w:lang w:val="en-GB"/>
        </w:rPr>
        <w:t xml:space="preserve">successfully treated without recurrence. There were no episodes of </w:t>
      </w:r>
      <w:r w:rsidR="00E30196" w:rsidRPr="00AE5B1C">
        <w:rPr>
          <w:rFonts w:ascii="Times New Roman" w:hAnsi="Times New Roman" w:cs="Times New Roman"/>
          <w:sz w:val="20"/>
          <w:szCs w:val="20"/>
          <w:lang w:val="en-GB"/>
        </w:rPr>
        <w:t>filter til</w:t>
      </w:r>
      <w:r w:rsidR="007B440C" w:rsidRPr="00AE5B1C">
        <w:rPr>
          <w:rFonts w:ascii="Times New Roman" w:hAnsi="Times New Roman" w:cs="Times New Roman"/>
          <w:sz w:val="20"/>
          <w:szCs w:val="20"/>
          <w:lang w:val="en-GB"/>
        </w:rPr>
        <w:t>ti</w:t>
      </w:r>
      <w:r w:rsidR="00E30196" w:rsidRPr="00AE5B1C">
        <w:rPr>
          <w:rFonts w:ascii="Times New Roman" w:hAnsi="Times New Roman" w:cs="Times New Roman"/>
          <w:sz w:val="20"/>
          <w:szCs w:val="20"/>
          <w:lang w:val="en-GB"/>
        </w:rPr>
        <w:t>ng, migration, embolization, fracture or IVC perforation through two years. There were no filter</w:t>
      </w:r>
      <w:r w:rsidR="00C1095F" w:rsidRPr="00AE5B1C">
        <w:rPr>
          <w:rFonts w:ascii="Times New Roman" w:hAnsi="Times New Roman" w:cs="Times New Roman"/>
          <w:sz w:val="20"/>
          <w:szCs w:val="20"/>
          <w:lang w:val="en-GB"/>
        </w:rPr>
        <w:t>-</w:t>
      </w:r>
      <w:r w:rsidR="00E30196" w:rsidRPr="00AE5B1C">
        <w:rPr>
          <w:rFonts w:ascii="Times New Roman" w:hAnsi="Times New Roman" w:cs="Times New Roman"/>
          <w:sz w:val="20"/>
          <w:szCs w:val="20"/>
          <w:lang w:val="en-GB"/>
        </w:rPr>
        <w:t xml:space="preserve">related deaths. </w:t>
      </w:r>
      <w:r w:rsidR="00F2651A" w:rsidRPr="00AE5B1C">
        <w:rPr>
          <w:rFonts w:ascii="Times New Roman" w:hAnsi="Times New Roman" w:cs="Times New Roman"/>
          <w:sz w:val="20"/>
          <w:szCs w:val="20"/>
          <w:lang w:val="en-GB"/>
        </w:rPr>
        <w:t xml:space="preserve">The filter successfully </w:t>
      </w:r>
      <w:proofErr w:type="spellStart"/>
      <w:r w:rsidR="00F2651A" w:rsidRPr="00AE5B1C">
        <w:rPr>
          <w:rFonts w:ascii="Times New Roman" w:hAnsi="Times New Roman" w:cs="Times New Roman"/>
          <w:sz w:val="20"/>
          <w:szCs w:val="20"/>
          <w:lang w:val="en-GB"/>
        </w:rPr>
        <w:t>bioconverted</w:t>
      </w:r>
      <w:proofErr w:type="spellEnd"/>
      <w:r w:rsidR="00F2651A" w:rsidRPr="00AE5B1C">
        <w:rPr>
          <w:rFonts w:ascii="Times New Roman" w:hAnsi="Times New Roman" w:cs="Times New Roman"/>
          <w:sz w:val="20"/>
          <w:szCs w:val="20"/>
          <w:lang w:val="en-GB"/>
        </w:rPr>
        <w:t xml:space="preserve"> in 95.7% of patients at six months, </w:t>
      </w:r>
      <w:r w:rsidR="00C7604F" w:rsidRPr="00AE5B1C">
        <w:rPr>
          <w:rFonts w:ascii="Times New Roman" w:hAnsi="Times New Roman" w:cs="Times New Roman"/>
          <w:sz w:val="20"/>
          <w:szCs w:val="20"/>
          <w:lang w:val="en-GB"/>
        </w:rPr>
        <w:t xml:space="preserve">96.4% at 12 months and 96.5% at 24 months. </w:t>
      </w:r>
    </w:p>
    <w:p w14:paraId="4EAE2A11" w14:textId="6C5326A8" w:rsidR="006161FD" w:rsidRPr="00AE5B1C" w:rsidRDefault="00263087" w:rsidP="00243D19">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For patients at transient risk of </w:t>
      </w:r>
      <w:r w:rsidR="00D907EF" w:rsidRPr="00AE5B1C">
        <w:rPr>
          <w:rFonts w:ascii="Times New Roman" w:hAnsi="Times New Roman" w:cs="Times New Roman"/>
          <w:sz w:val="20"/>
          <w:szCs w:val="20"/>
          <w:lang w:val="en-GB"/>
        </w:rPr>
        <w:t xml:space="preserve">pulmonary emboli who </w:t>
      </w:r>
      <w:r w:rsidR="00643614" w:rsidRPr="00AE5B1C">
        <w:rPr>
          <w:rFonts w:ascii="Times New Roman" w:hAnsi="Times New Roman" w:cs="Times New Roman"/>
          <w:sz w:val="20"/>
          <w:szCs w:val="20"/>
          <w:lang w:val="en-GB"/>
        </w:rPr>
        <w:t>have a contra-indication to</w:t>
      </w:r>
      <w:r w:rsidR="00D907EF" w:rsidRPr="00AE5B1C">
        <w:rPr>
          <w:rFonts w:ascii="Times New Roman" w:hAnsi="Times New Roman" w:cs="Times New Roman"/>
          <w:sz w:val="20"/>
          <w:szCs w:val="20"/>
          <w:lang w:val="en-GB"/>
        </w:rPr>
        <w:t xml:space="preserve"> anticoagulation</w:t>
      </w:r>
      <w:r w:rsidR="00643614" w:rsidRPr="00AE5B1C">
        <w:rPr>
          <w:rFonts w:ascii="Times New Roman" w:hAnsi="Times New Roman" w:cs="Times New Roman"/>
          <w:sz w:val="20"/>
          <w:szCs w:val="20"/>
          <w:lang w:val="en-GB"/>
        </w:rPr>
        <w:t xml:space="preserve">, </w:t>
      </w:r>
      <w:r w:rsidR="0039745E">
        <w:rPr>
          <w:rFonts w:ascii="Times New Roman" w:hAnsi="Times New Roman" w:cs="Times New Roman"/>
          <w:sz w:val="20"/>
          <w:szCs w:val="20"/>
          <w:lang w:val="en-GB"/>
        </w:rPr>
        <w:t xml:space="preserve">a </w:t>
      </w:r>
      <w:proofErr w:type="spellStart"/>
      <w:r w:rsidR="0039745E">
        <w:rPr>
          <w:rFonts w:ascii="Times New Roman" w:hAnsi="Times New Roman" w:cs="Times New Roman"/>
          <w:sz w:val="20"/>
          <w:szCs w:val="20"/>
          <w:lang w:val="en-GB"/>
        </w:rPr>
        <w:t>bioconvertible</w:t>
      </w:r>
      <w:proofErr w:type="spellEnd"/>
      <w:r w:rsidR="00643614" w:rsidRPr="00AE5B1C">
        <w:rPr>
          <w:rFonts w:ascii="Times New Roman" w:hAnsi="Times New Roman" w:cs="Times New Roman"/>
          <w:sz w:val="20"/>
          <w:szCs w:val="20"/>
          <w:lang w:val="en-GB"/>
        </w:rPr>
        <w:t xml:space="preserve"> IVC filter </w:t>
      </w:r>
      <w:r w:rsidR="0039745E">
        <w:rPr>
          <w:rFonts w:ascii="Times New Roman" w:hAnsi="Times New Roman" w:cs="Times New Roman"/>
          <w:sz w:val="20"/>
          <w:szCs w:val="20"/>
          <w:lang w:val="en-GB"/>
        </w:rPr>
        <w:t xml:space="preserve">appears to </w:t>
      </w:r>
      <w:r w:rsidR="00643614" w:rsidRPr="00AE5B1C">
        <w:rPr>
          <w:rFonts w:ascii="Times New Roman" w:hAnsi="Times New Roman" w:cs="Times New Roman"/>
          <w:sz w:val="20"/>
          <w:szCs w:val="20"/>
          <w:lang w:val="en-GB"/>
        </w:rPr>
        <w:t>provide strong protection against PEs</w:t>
      </w:r>
      <w:r w:rsidR="00505D39" w:rsidRPr="00AE5B1C">
        <w:rPr>
          <w:rFonts w:ascii="Times New Roman" w:hAnsi="Times New Roman" w:cs="Times New Roman"/>
          <w:sz w:val="20"/>
          <w:szCs w:val="20"/>
          <w:lang w:val="en-GB"/>
        </w:rPr>
        <w:t xml:space="preserve"> with minimal complications</w:t>
      </w:r>
      <w:r w:rsidR="008B0A46" w:rsidRPr="00AE5B1C">
        <w:rPr>
          <w:rFonts w:ascii="Times New Roman" w:hAnsi="Times New Roman" w:cs="Times New Roman"/>
          <w:sz w:val="20"/>
          <w:szCs w:val="20"/>
          <w:lang w:val="en-GB"/>
        </w:rPr>
        <w:t>. It offers a new and effective alternative to retrievable IVC filters</w:t>
      </w:r>
      <w:r w:rsidR="00C24D79" w:rsidRPr="00AE5B1C">
        <w:rPr>
          <w:rFonts w:ascii="Times New Roman" w:hAnsi="Times New Roman" w:cs="Times New Roman"/>
          <w:sz w:val="20"/>
          <w:szCs w:val="20"/>
          <w:lang w:val="en-GB"/>
        </w:rPr>
        <w:t xml:space="preserve"> which are often n</w:t>
      </w:r>
      <w:r w:rsidR="00476851" w:rsidRPr="00AE5B1C">
        <w:rPr>
          <w:rFonts w:ascii="Times New Roman" w:hAnsi="Times New Roman" w:cs="Times New Roman"/>
          <w:sz w:val="20"/>
          <w:szCs w:val="20"/>
          <w:lang w:val="en-GB"/>
        </w:rPr>
        <w:t>ot</w:t>
      </w:r>
      <w:r w:rsidR="00C24D79" w:rsidRPr="00AE5B1C">
        <w:rPr>
          <w:rFonts w:ascii="Times New Roman" w:hAnsi="Times New Roman" w:cs="Times New Roman"/>
          <w:sz w:val="20"/>
          <w:szCs w:val="20"/>
          <w:lang w:val="en-GB"/>
        </w:rPr>
        <w:t xml:space="preserve"> removed and </w:t>
      </w:r>
      <w:r w:rsidR="0039745E">
        <w:rPr>
          <w:rFonts w:ascii="Times New Roman" w:hAnsi="Times New Roman" w:cs="Times New Roman"/>
          <w:sz w:val="20"/>
          <w:szCs w:val="20"/>
          <w:lang w:val="en-GB"/>
        </w:rPr>
        <w:t>where removal is associated with</w:t>
      </w:r>
      <w:r w:rsidR="00C24D79" w:rsidRPr="00AE5B1C">
        <w:rPr>
          <w:rFonts w:ascii="Times New Roman" w:hAnsi="Times New Roman" w:cs="Times New Roman"/>
          <w:sz w:val="20"/>
          <w:szCs w:val="20"/>
          <w:lang w:val="en-GB"/>
        </w:rPr>
        <w:t xml:space="preserve"> high complication rates. The </w:t>
      </w:r>
      <w:r w:rsidR="0039745E">
        <w:rPr>
          <w:rFonts w:ascii="Times New Roman" w:hAnsi="Times New Roman" w:cs="Times New Roman"/>
          <w:sz w:val="20"/>
          <w:szCs w:val="20"/>
          <w:lang w:val="en-GB"/>
        </w:rPr>
        <w:t xml:space="preserve">availability of a </w:t>
      </w:r>
      <w:proofErr w:type="spellStart"/>
      <w:r w:rsidR="0039745E">
        <w:rPr>
          <w:rFonts w:ascii="Times New Roman" w:hAnsi="Times New Roman" w:cs="Times New Roman"/>
          <w:sz w:val="20"/>
          <w:szCs w:val="20"/>
          <w:lang w:val="en-GB"/>
        </w:rPr>
        <w:t>bioconvertible</w:t>
      </w:r>
      <w:proofErr w:type="spellEnd"/>
      <w:r w:rsidR="00C24D79" w:rsidRPr="00AE5B1C">
        <w:rPr>
          <w:rFonts w:ascii="Times New Roman" w:hAnsi="Times New Roman" w:cs="Times New Roman"/>
          <w:sz w:val="20"/>
          <w:szCs w:val="20"/>
          <w:lang w:val="en-GB"/>
        </w:rPr>
        <w:t xml:space="preserve"> filter in</w:t>
      </w:r>
      <w:r w:rsidR="00961E40" w:rsidRPr="00AE5B1C">
        <w:rPr>
          <w:rFonts w:ascii="Times New Roman" w:hAnsi="Times New Roman" w:cs="Times New Roman"/>
          <w:sz w:val="20"/>
          <w:szCs w:val="20"/>
          <w:lang w:val="en-GB"/>
        </w:rPr>
        <w:t xml:space="preserve"> the Republic of</w:t>
      </w:r>
      <w:r w:rsidR="00C24D79" w:rsidRPr="00AE5B1C">
        <w:rPr>
          <w:rFonts w:ascii="Times New Roman" w:hAnsi="Times New Roman" w:cs="Times New Roman"/>
          <w:sz w:val="20"/>
          <w:szCs w:val="20"/>
          <w:lang w:val="en-GB"/>
        </w:rPr>
        <w:t xml:space="preserve"> Ireland </w:t>
      </w:r>
      <w:r w:rsidR="00C24D79" w:rsidRPr="00AE5B1C">
        <w:rPr>
          <w:rFonts w:ascii="Times New Roman" w:hAnsi="Times New Roman" w:cs="Times New Roman"/>
          <w:sz w:val="20"/>
          <w:szCs w:val="20"/>
          <w:lang w:val="en-GB"/>
        </w:rPr>
        <w:lastRenderedPageBreak/>
        <w:t xml:space="preserve">represents </w:t>
      </w:r>
      <w:r w:rsidR="00A65E5A">
        <w:rPr>
          <w:rFonts w:ascii="Times New Roman" w:hAnsi="Times New Roman" w:cs="Times New Roman"/>
          <w:sz w:val="20"/>
          <w:szCs w:val="20"/>
          <w:lang w:val="en-GB"/>
        </w:rPr>
        <w:t>a</w:t>
      </w:r>
      <w:r w:rsidR="0039745E">
        <w:rPr>
          <w:rFonts w:ascii="Times New Roman" w:hAnsi="Times New Roman" w:cs="Times New Roman"/>
          <w:sz w:val="20"/>
          <w:szCs w:val="20"/>
          <w:lang w:val="en-GB"/>
        </w:rPr>
        <w:t>nother important management tool in the</w:t>
      </w:r>
      <w:r w:rsidR="00C24D79" w:rsidRPr="00AE5B1C">
        <w:rPr>
          <w:rFonts w:ascii="Times New Roman" w:hAnsi="Times New Roman" w:cs="Times New Roman"/>
          <w:sz w:val="20"/>
          <w:szCs w:val="20"/>
          <w:lang w:val="en-GB"/>
        </w:rPr>
        <w:t xml:space="preserve"> </w:t>
      </w:r>
      <w:r w:rsidR="0039745E">
        <w:rPr>
          <w:rFonts w:ascii="Times New Roman" w:hAnsi="Times New Roman" w:cs="Times New Roman"/>
          <w:sz w:val="20"/>
          <w:szCs w:val="20"/>
          <w:lang w:val="en-GB"/>
        </w:rPr>
        <w:t>treatment</w:t>
      </w:r>
      <w:r w:rsidR="00C24D79" w:rsidRPr="00AE5B1C">
        <w:rPr>
          <w:rFonts w:ascii="Times New Roman" w:hAnsi="Times New Roman" w:cs="Times New Roman"/>
          <w:sz w:val="20"/>
          <w:szCs w:val="20"/>
          <w:lang w:val="en-GB"/>
        </w:rPr>
        <w:t xml:space="preserve"> of patients with potential or active thromboembolic disease.  </w:t>
      </w:r>
    </w:p>
    <w:p w14:paraId="6FF0C914" w14:textId="77777777" w:rsidR="006161FD" w:rsidRPr="00AE5B1C" w:rsidRDefault="006161FD" w:rsidP="006161FD">
      <w:pPr>
        <w:rPr>
          <w:rFonts w:ascii="Times New Roman" w:hAnsi="Times New Roman" w:cs="Times New Roman"/>
          <w:b/>
          <w:bCs/>
          <w:sz w:val="20"/>
          <w:szCs w:val="20"/>
          <w:lang w:val="en-GB"/>
        </w:rPr>
      </w:pPr>
      <w:r w:rsidRPr="00AE5B1C">
        <w:rPr>
          <w:rFonts w:ascii="Times New Roman" w:hAnsi="Times New Roman" w:cs="Times New Roman"/>
          <w:b/>
          <w:bCs/>
          <w:sz w:val="20"/>
          <w:szCs w:val="20"/>
          <w:lang w:val="en-GB"/>
        </w:rPr>
        <w:t>Declarations</w:t>
      </w:r>
    </w:p>
    <w:p w14:paraId="035EF809" w14:textId="77777777" w:rsidR="006161FD" w:rsidRPr="00AE5B1C" w:rsidRDefault="006161FD" w:rsidP="006161FD">
      <w:pPr>
        <w:rPr>
          <w:rFonts w:ascii="Times New Roman" w:hAnsi="Times New Roman" w:cs="Times New Roman"/>
          <w:sz w:val="20"/>
          <w:szCs w:val="20"/>
          <w:lang w:val="en-GB"/>
        </w:rPr>
      </w:pPr>
      <w:r w:rsidRPr="00AE5B1C">
        <w:rPr>
          <w:rFonts w:ascii="Times New Roman" w:hAnsi="Times New Roman" w:cs="Times New Roman"/>
          <w:sz w:val="20"/>
          <w:szCs w:val="20"/>
          <w:lang w:val="en-GB"/>
        </w:rPr>
        <w:t>The authors declare that they have no conflict of interest.</w:t>
      </w:r>
    </w:p>
    <w:p w14:paraId="6D5E16CE" w14:textId="1F05A13C" w:rsidR="006161FD" w:rsidRPr="00AE5B1C" w:rsidRDefault="006161FD" w:rsidP="006161FD">
      <w:pPr>
        <w:rPr>
          <w:rFonts w:ascii="Times New Roman" w:hAnsi="Times New Roman" w:cs="Times New Roman"/>
          <w:sz w:val="20"/>
          <w:szCs w:val="20"/>
          <w:lang w:val="en-GB"/>
        </w:rPr>
      </w:pPr>
      <w:r w:rsidRPr="00AE5B1C">
        <w:rPr>
          <w:rFonts w:ascii="Times New Roman" w:hAnsi="Times New Roman" w:cs="Times New Roman"/>
          <w:sz w:val="20"/>
          <w:szCs w:val="20"/>
          <w:lang w:val="en-GB"/>
        </w:rPr>
        <w:t>No identifiable patient data were used. All images have been anonymised.</w:t>
      </w:r>
    </w:p>
    <w:p w14:paraId="3607322B" w14:textId="4B2C3C78" w:rsidR="00B3597B" w:rsidRPr="00AE5B1C" w:rsidRDefault="00B3597B" w:rsidP="006161FD">
      <w:pPr>
        <w:rPr>
          <w:rFonts w:ascii="Times New Roman" w:hAnsi="Times New Roman" w:cs="Times New Roman"/>
          <w:b/>
          <w:bCs/>
          <w:sz w:val="20"/>
          <w:szCs w:val="20"/>
          <w:lang w:val="en-GB"/>
        </w:rPr>
      </w:pPr>
      <w:r w:rsidRPr="00AE5B1C">
        <w:rPr>
          <w:rFonts w:ascii="Times New Roman" w:hAnsi="Times New Roman" w:cs="Times New Roman"/>
          <w:b/>
          <w:bCs/>
          <w:sz w:val="20"/>
          <w:szCs w:val="20"/>
          <w:lang w:val="en-GB"/>
        </w:rPr>
        <w:t>Funding</w:t>
      </w:r>
    </w:p>
    <w:p w14:paraId="7B18A600" w14:textId="2081ED3F" w:rsidR="00B3597B" w:rsidRPr="00AE5B1C" w:rsidRDefault="00B3597B" w:rsidP="006161FD">
      <w:pPr>
        <w:rPr>
          <w:rFonts w:ascii="Times New Roman" w:hAnsi="Times New Roman" w:cs="Times New Roman"/>
          <w:sz w:val="20"/>
          <w:szCs w:val="20"/>
          <w:lang w:val="en-GB"/>
        </w:rPr>
      </w:pPr>
      <w:r w:rsidRPr="00AE5B1C">
        <w:rPr>
          <w:rFonts w:ascii="Times New Roman" w:hAnsi="Times New Roman" w:cs="Times New Roman"/>
          <w:sz w:val="20"/>
          <w:szCs w:val="20"/>
          <w:lang w:val="en-GB"/>
        </w:rPr>
        <w:t>Not applicable.</w:t>
      </w:r>
    </w:p>
    <w:p w14:paraId="337747C7" w14:textId="2D76E018" w:rsidR="00A84DF3" w:rsidRPr="00AE5B1C" w:rsidRDefault="00A84DF3" w:rsidP="006161FD">
      <w:pPr>
        <w:rPr>
          <w:rFonts w:ascii="Times New Roman" w:hAnsi="Times New Roman" w:cs="Times New Roman"/>
          <w:b/>
          <w:bCs/>
          <w:sz w:val="20"/>
          <w:szCs w:val="20"/>
          <w:lang w:val="en-GB"/>
        </w:rPr>
      </w:pPr>
      <w:r w:rsidRPr="00AE5B1C">
        <w:rPr>
          <w:rFonts w:ascii="Times New Roman" w:hAnsi="Times New Roman" w:cs="Times New Roman"/>
          <w:b/>
          <w:bCs/>
          <w:sz w:val="20"/>
          <w:szCs w:val="20"/>
          <w:lang w:val="en-GB"/>
        </w:rPr>
        <w:t>Figures</w:t>
      </w:r>
    </w:p>
    <w:p w14:paraId="447FC572" w14:textId="345BB89A" w:rsidR="00A84DF3" w:rsidRPr="00AE5B1C" w:rsidRDefault="00DE73D8" w:rsidP="006161FD">
      <w:pPr>
        <w:rPr>
          <w:rFonts w:ascii="Times New Roman" w:hAnsi="Times New Roman" w:cs="Times New Roman"/>
          <w:sz w:val="20"/>
          <w:szCs w:val="20"/>
          <w:lang w:val="en-GB"/>
        </w:rPr>
      </w:pPr>
      <w:r w:rsidRPr="00AE5B1C">
        <w:rPr>
          <w:rFonts w:ascii="Times New Roman" w:hAnsi="Times New Roman" w:cs="Times New Roman"/>
          <w:sz w:val="20"/>
          <w:szCs w:val="20"/>
          <w:lang w:val="en-GB"/>
        </w:rPr>
        <w:t>Fig. 1</w:t>
      </w:r>
      <w:r w:rsidR="00EA3ECF" w:rsidRPr="00AE5B1C">
        <w:rPr>
          <w:rFonts w:ascii="Times New Roman" w:hAnsi="Times New Roman" w:cs="Times New Roman"/>
          <w:sz w:val="20"/>
          <w:szCs w:val="20"/>
          <w:lang w:val="en-GB"/>
        </w:rPr>
        <w:t xml:space="preserve">. </w:t>
      </w:r>
      <w:r w:rsidR="004D7B96" w:rsidRPr="00AE5B1C">
        <w:rPr>
          <w:rFonts w:ascii="Times New Roman" w:hAnsi="Times New Roman" w:cs="Times New Roman"/>
          <w:sz w:val="20"/>
          <w:szCs w:val="20"/>
          <w:lang w:val="en-GB"/>
        </w:rPr>
        <w:t>Photographs</w:t>
      </w:r>
      <w:r w:rsidR="00C25DEF">
        <w:rPr>
          <w:rFonts w:ascii="Times New Roman" w:hAnsi="Times New Roman" w:cs="Times New Roman"/>
          <w:sz w:val="20"/>
          <w:szCs w:val="20"/>
          <w:lang w:val="en-GB"/>
        </w:rPr>
        <w:fldChar w:fldCharType="begin"/>
      </w:r>
      <w:r w:rsidR="006605F1">
        <w:rPr>
          <w:rFonts w:ascii="Times New Roman" w:hAnsi="Times New Roman" w:cs="Times New Roman"/>
          <w:sz w:val="20"/>
          <w:szCs w:val="20"/>
          <w:lang w:val="en-GB"/>
        </w:rPr>
        <w:instrText xml:space="preserve"> ADDIN ZOTERO_ITEM CSL_CITATION {"citationID":"DsW6XLHS","properties":{"formattedCitation":"[25]","plainCitation":"[25]","noteIndex":0},"citationItems":[{"id":94,"uris":["http://zotero.org/users/7482256/items/DMDDLE2G"],"uri":["http://zotero.org/users/7482256/items/DMDDLE2G"],"itemData":{"id":94,"type":"article-journal","abstract":"PURPOSE: To prospectively assess the Sentry bioconvertible inferior vena cava (IVC) filter in patients requiring temporary protection against pulmonary embolism (PE).\nMATERIALS AND METHODS: At 23 sites, 129 patients with documented deep vein thrombosis (DVT) or PE, or at temporary risk of developing DVT or PE, unable to use anticoagulation were enrolled. The primary end point was clinical success, including successful filter deployment, freedom from new symptomatic PE through 60 days before filter bioconversion, and 6-month freedom from filter-related complications. Patients were monitored by means of radiography, computerized tomography (CT), and CT venography to assess filtering configuration through 60 days, filter bioconversion, and incidence of PE and filter-related complications through 12 months.\nRESULTS: Clinical success was achieved in 111 of 114 evaluable patients (97.4%, 95% confidence interval [CI] 92.5%-99.1%). The rate of freedom from new symptomatic PE through 60 days was 100% (n = 129, 95% CI 97.1%-100.0%), and there were no cases of PE through 12 months for either therapeutic or prophylactic indications. Two patients (1.6%) developed symptomatic caval thrombosis during the first month; neither experienced recurrence after successful interventions. There was no filter tilting, migration, embolization, fracture, or caval perforation by the filter, and no filter-related death through 12 months. Filter bioconversion was successful for 95.7% (110/115) at 6 months and for 96.4% (106/110) at 12 months.\nCONCLUSIONS: The Sentry IVC filter provided safe and effective protection against PE, with a high rate of intended bioconversion and a low rate of device-related complications, through 12 months of imaging-intense follow-up.","container-title":"Journal of vascular and interventional radiology: JVIR","DOI":"10.1016/j.jvir.2018.05.009","ISSN":"1535-7732","issue":"10","journalAbbreviation":"J Vasc Interv Radiol","language":"eng","note":"PMID: 30177423","page":"1350-1361.e4","source":"PubMed","title":"One-Year Analysis of the Prospective Multicenter SENTRY Clinical Trial: Safety and Effectiveness of the Novate Sentry Bioconvertible Inferior Vena Cava Filter","title-short":"One-Year Analysis of the Prospective Multicenter SENTRY Clinical Trial","volume":"29","author":[{"family":"Dake","given":"Michael D."},{"family":"Murphy","given":"Timothy P."},{"family":"Krämer","given":"Albrecht H."},{"family":"Darcy","given":"Michael D."},{"family":"Sewall","given":"Luke E."},{"family":"Curi","given":"Michael A."},{"family":"Johnson","given":"Matthew S."},{"family":"Arena","given":"Frank"},{"family":"Swischuk","given":"James L."},{"family":"Ansel","given":"Gary M."},{"family":"Silver","given":"Mitchell J."},{"family":"Saddekni","given":"Souheil"},{"family":"Brower","given":"Jayson S."},{"family":"Mendes","given":"Robert"},{"literal":"SENTRY Trial Investigators"}],"issued":{"date-parts":[["2018",10]]}}}],"schema":"https://github.com/citation-style-language/schema/raw/master/csl-citation.json"} </w:instrText>
      </w:r>
      <w:r w:rsidR="00C25DEF">
        <w:rPr>
          <w:rFonts w:ascii="Times New Roman" w:hAnsi="Times New Roman" w:cs="Times New Roman"/>
          <w:sz w:val="20"/>
          <w:szCs w:val="20"/>
          <w:lang w:val="en-GB"/>
        </w:rPr>
        <w:fldChar w:fldCharType="separate"/>
      </w:r>
      <w:r w:rsidR="006605F1" w:rsidRPr="006605F1">
        <w:rPr>
          <w:rFonts w:ascii="Times New Roman" w:hAnsi="Times New Roman" w:cs="Times New Roman"/>
          <w:sz w:val="20"/>
        </w:rPr>
        <w:t>[25]</w:t>
      </w:r>
      <w:r w:rsidR="00C25DEF">
        <w:rPr>
          <w:rFonts w:ascii="Times New Roman" w:hAnsi="Times New Roman" w:cs="Times New Roman"/>
          <w:sz w:val="20"/>
          <w:szCs w:val="20"/>
          <w:lang w:val="en-GB"/>
        </w:rPr>
        <w:fldChar w:fldCharType="end"/>
      </w:r>
      <w:r w:rsidR="004D7B96" w:rsidRPr="00AE5B1C">
        <w:rPr>
          <w:rFonts w:ascii="Times New Roman" w:hAnsi="Times New Roman" w:cs="Times New Roman"/>
          <w:sz w:val="20"/>
          <w:szCs w:val="20"/>
          <w:lang w:val="en-GB"/>
        </w:rPr>
        <w:t xml:space="preserve"> </w:t>
      </w:r>
      <w:r w:rsidR="002D7E87">
        <w:rPr>
          <w:rFonts w:ascii="Times New Roman" w:hAnsi="Times New Roman" w:cs="Times New Roman"/>
          <w:sz w:val="20"/>
          <w:szCs w:val="20"/>
          <w:lang w:val="en-GB"/>
        </w:rPr>
        <w:t xml:space="preserve">from </w:t>
      </w:r>
      <w:proofErr w:type="spellStart"/>
      <w:r w:rsidR="002D7E87">
        <w:rPr>
          <w:rFonts w:ascii="Times New Roman" w:hAnsi="Times New Roman" w:cs="Times New Roman"/>
          <w:sz w:val="20"/>
          <w:szCs w:val="20"/>
          <w:lang w:val="en-GB"/>
        </w:rPr>
        <w:t>Dake</w:t>
      </w:r>
      <w:proofErr w:type="spellEnd"/>
      <w:r w:rsidR="002D7E87">
        <w:rPr>
          <w:rFonts w:ascii="Times New Roman" w:hAnsi="Times New Roman" w:cs="Times New Roman"/>
          <w:sz w:val="20"/>
          <w:szCs w:val="20"/>
          <w:lang w:val="en-GB"/>
        </w:rPr>
        <w:t xml:space="preserve"> et al </w:t>
      </w:r>
      <w:r w:rsidR="004D7B96" w:rsidRPr="00AE5B1C">
        <w:rPr>
          <w:rFonts w:ascii="Times New Roman" w:hAnsi="Times New Roman" w:cs="Times New Roman"/>
          <w:sz w:val="20"/>
          <w:szCs w:val="20"/>
          <w:lang w:val="en-GB"/>
        </w:rPr>
        <w:t>of the Sentry IVC filter in the</w:t>
      </w:r>
      <w:r w:rsidR="005612E8" w:rsidRPr="00AE5B1C">
        <w:rPr>
          <w:rFonts w:ascii="Times New Roman" w:hAnsi="Times New Roman" w:cs="Times New Roman"/>
          <w:sz w:val="20"/>
          <w:szCs w:val="20"/>
          <w:lang w:val="en-GB"/>
        </w:rPr>
        <w:t xml:space="preserve"> </w:t>
      </w:r>
      <w:r w:rsidR="00F95677" w:rsidRPr="00AE5B1C">
        <w:rPr>
          <w:rFonts w:ascii="Times New Roman" w:hAnsi="Times New Roman" w:cs="Times New Roman"/>
          <w:sz w:val="20"/>
          <w:szCs w:val="20"/>
          <w:lang w:val="en-GB"/>
        </w:rPr>
        <w:t xml:space="preserve">filtering configuration (left) and in the </w:t>
      </w:r>
      <w:proofErr w:type="spellStart"/>
      <w:r w:rsidR="00F95677" w:rsidRPr="00AE5B1C">
        <w:rPr>
          <w:rFonts w:ascii="Times New Roman" w:hAnsi="Times New Roman" w:cs="Times New Roman"/>
          <w:sz w:val="20"/>
          <w:szCs w:val="20"/>
          <w:lang w:val="en-GB"/>
        </w:rPr>
        <w:t>bioconverted</w:t>
      </w:r>
      <w:proofErr w:type="spellEnd"/>
      <w:r w:rsidR="00F95677" w:rsidRPr="00AE5B1C">
        <w:rPr>
          <w:rFonts w:ascii="Times New Roman" w:hAnsi="Times New Roman" w:cs="Times New Roman"/>
          <w:sz w:val="20"/>
          <w:szCs w:val="20"/>
          <w:lang w:val="en-GB"/>
        </w:rPr>
        <w:t xml:space="preserve"> configuration (right). The filter contains a bioabsorbable filament which is designed to </w:t>
      </w:r>
      <w:proofErr w:type="spellStart"/>
      <w:r w:rsidR="00F95677" w:rsidRPr="00AE5B1C">
        <w:rPr>
          <w:rFonts w:ascii="Times New Roman" w:hAnsi="Times New Roman" w:cs="Times New Roman"/>
          <w:sz w:val="20"/>
          <w:szCs w:val="20"/>
          <w:lang w:val="en-GB"/>
        </w:rPr>
        <w:t>hydrolyze</w:t>
      </w:r>
      <w:proofErr w:type="spellEnd"/>
      <w:r w:rsidR="00F95677" w:rsidRPr="00AE5B1C">
        <w:rPr>
          <w:rFonts w:ascii="Times New Roman" w:hAnsi="Times New Roman" w:cs="Times New Roman"/>
          <w:sz w:val="20"/>
          <w:szCs w:val="20"/>
          <w:lang w:val="en-GB"/>
        </w:rPr>
        <w:t xml:space="preserve"> after 60 days allowing the arms of the filter to spring open, retract into the vessel wall and </w:t>
      </w:r>
      <w:proofErr w:type="spellStart"/>
      <w:r w:rsidR="00F95677" w:rsidRPr="00AE5B1C">
        <w:rPr>
          <w:rFonts w:ascii="Times New Roman" w:hAnsi="Times New Roman" w:cs="Times New Roman"/>
          <w:sz w:val="20"/>
          <w:szCs w:val="20"/>
          <w:lang w:val="en-GB"/>
        </w:rPr>
        <w:t>endothelialize</w:t>
      </w:r>
      <w:proofErr w:type="spellEnd"/>
      <w:r w:rsidR="00F95677" w:rsidRPr="00AE5B1C">
        <w:rPr>
          <w:rFonts w:ascii="Times New Roman" w:hAnsi="Times New Roman" w:cs="Times New Roman"/>
          <w:sz w:val="20"/>
          <w:szCs w:val="20"/>
          <w:lang w:val="en-GB"/>
        </w:rPr>
        <w:t xml:space="preserve"> leaving an unobstructed IVC lumen.</w:t>
      </w:r>
    </w:p>
    <w:p w14:paraId="61DD16B2" w14:textId="7EC941EF" w:rsidR="00F95677" w:rsidRPr="00AE5B1C" w:rsidRDefault="00F95677" w:rsidP="006161FD">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Fig. 2. </w:t>
      </w:r>
      <w:r w:rsidR="00B403B8" w:rsidRPr="00AE5B1C">
        <w:rPr>
          <w:rFonts w:ascii="Times New Roman" w:hAnsi="Times New Roman" w:cs="Times New Roman"/>
          <w:sz w:val="20"/>
          <w:szCs w:val="20"/>
          <w:lang w:val="en-GB"/>
        </w:rPr>
        <w:t xml:space="preserve">A guidewire is advanced into the IVC. </w:t>
      </w:r>
    </w:p>
    <w:p w14:paraId="09F376B9" w14:textId="277FEF34" w:rsidR="00961A02" w:rsidRPr="00AE5B1C" w:rsidRDefault="00961A02" w:rsidP="006161FD">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Fig. 3. </w:t>
      </w:r>
      <w:r w:rsidR="006A3418" w:rsidRPr="00AE5B1C">
        <w:rPr>
          <w:rFonts w:ascii="Times New Roman" w:hAnsi="Times New Roman" w:cs="Times New Roman"/>
          <w:sz w:val="20"/>
          <w:szCs w:val="20"/>
          <w:lang w:val="en-GB"/>
        </w:rPr>
        <w:t xml:space="preserve">A venogram is performed </w:t>
      </w:r>
      <w:r w:rsidR="007236BD" w:rsidRPr="00AE5B1C">
        <w:rPr>
          <w:rFonts w:ascii="Times New Roman" w:hAnsi="Times New Roman" w:cs="Times New Roman"/>
          <w:sz w:val="20"/>
          <w:szCs w:val="20"/>
          <w:lang w:val="en-GB"/>
        </w:rPr>
        <w:t>which confirms a single, patent IVC</w:t>
      </w:r>
      <w:r w:rsidR="00564DD5" w:rsidRPr="00AE5B1C">
        <w:rPr>
          <w:rFonts w:ascii="Times New Roman" w:hAnsi="Times New Roman" w:cs="Times New Roman"/>
          <w:sz w:val="20"/>
          <w:szCs w:val="20"/>
          <w:lang w:val="en-GB"/>
        </w:rPr>
        <w:t xml:space="preserve"> and the position of the renal veins. </w:t>
      </w:r>
    </w:p>
    <w:p w14:paraId="7208552F" w14:textId="0BBA93F4" w:rsidR="00564DD5" w:rsidRPr="00AE5B1C" w:rsidRDefault="00564DD5" w:rsidP="006161FD">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Fig. 4. </w:t>
      </w:r>
      <w:r w:rsidR="00CA3834" w:rsidRPr="00AE5B1C">
        <w:rPr>
          <w:rFonts w:ascii="Times New Roman" w:hAnsi="Times New Roman" w:cs="Times New Roman"/>
          <w:sz w:val="20"/>
          <w:szCs w:val="20"/>
          <w:lang w:val="en-GB"/>
        </w:rPr>
        <w:t xml:space="preserve">The filer is deployed in </w:t>
      </w:r>
      <w:r w:rsidR="0039745E">
        <w:rPr>
          <w:rFonts w:ascii="Times New Roman" w:hAnsi="Times New Roman" w:cs="Times New Roman"/>
          <w:sz w:val="20"/>
          <w:szCs w:val="20"/>
          <w:lang w:val="en-GB"/>
        </w:rPr>
        <w:t>the IVC</w:t>
      </w:r>
      <w:r w:rsidR="00CA3834" w:rsidRPr="00AE5B1C">
        <w:rPr>
          <w:rFonts w:ascii="Times New Roman" w:hAnsi="Times New Roman" w:cs="Times New Roman"/>
          <w:sz w:val="20"/>
          <w:szCs w:val="20"/>
          <w:lang w:val="en-GB"/>
        </w:rPr>
        <w:t xml:space="preserve">. </w:t>
      </w:r>
    </w:p>
    <w:p w14:paraId="01E687C4" w14:textId="01C2A65B" w:rsidR="00CA3834" w:rsidRDefault="00CA3834" w:rsidP="006161FD">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Fig. 5. A repeat venogram is performed which confirms satisfactory deployment of the filter. </w:t>
      </w:r>
    </w:p>
    <w:p w14:paraId="2374952D" w14:textId="1A2CA9E5" w:rsidR="00ED0574" w:rsidRDefault="00ED0574" w:rsidP="006161FD">
      <w:pPr>
        <w:rPr>
          <w:rFonts w:ascii="Times New Roman" w:hAnsi="Times New Roman" w:cs="Times New Roman"/>
          <w:sz w:val="20"/>
          <w:szCs w:val="20"/>
          <w:lang w:val="en-GB"/>
        </w:rPr>
      </w:pPr>
      <w:r>
        <w:rPr>
          <w:rFonts w:ascii="Times New Roman" w:hAnsi="Times New Roman" w:cs="Times New Roman"/>
          <w:sz w:val="20"/>
          <w:szCs w:val="20"/>
          <w:lang w:val="en-GB"/>
        </w:rPr>
        <w:t>Fig. 6. Coronal (left) and axial (right) CT</w:t>
      </w:r>
      <w:r w:rsidR="00790F64">
        <w:rPr>
          <w:rFonts w:ascii="Times New Roman" w:hAnsi="Times New Roman" w:cs="Times New Roman"/>
          <w:sz w:val="20"/>
          <w:szCs w:val="20"/>
          <w:lang w:val="en-GB"/>
        </w:rPr>
        <w:t xml:space="preserve"> images</w:t>
      </w:r>
      <w:r>
        <w:rPr>
          <w:rFonts w:ascii="Times New Roman" w:hAnsi="Times New Roman" w:cs="Times New Roman"/>
          <w:sz w:val="20"/>
          <w:szCs w:val="20"/>
          <w:lang w:val="en-GB"/>
        </w:rPr>
        <w:t xml:space="preserve"> in the early post-operative period demonstrate the filter in its expected filtering configuration with the arms of the filter held together by a bioabsorbable filament</w:t>
      </w:r>
      <w:r w:rsidR="0042640F">
        <w:rPr>
          <w:rFonts w:ascii="Times New Roman" w:hAnsi="Times New Roman" w:cs="Times New Roman"/>
          <w:sz w:val="20"/>
          <w:szCs w:val="20"/>
          <w:lang w:val="en-GB"/>
        </w:rPr>
        <w:t>.</w:t>
      </w:r>
    </w:p>
    <w:p w14:paraId="4C6F4690" w14:textId="0A9DE9E2" w:rsidR="0042640F" w:rsidRPr="00AE5B1C" w:rsidRDefault="0042640F" w:rsidP="006161FD">
      <w:pPr>
        <w:rPr>
          <w:rFonts w:ascii="Times New Roman" w:hAnsi="Times New Roman" w:cs="Times New Roman"/>
          <w:sz w:val="20"/>
          <w:szCs w:val="20"/>
          <w:lang w:val="en-GB"/>
        </w:rPr>
      </w:pPr>
      <w:r>
        <w:rPr>
          <w:rFonts w:ascii="Times New Roman" w:hAnsi="Times New Roman" w:cs="Times New Roman"/>
          <w:sz w:val="20"/>
          <w:szCs w:val="20"/>
          <w:lang w:val="en-GB"/>
        </w:rPr>
        <w:t>Fig. 7. Coronal (left) and axial (right) CT</w:t>
      </w:r>
      <w:r w:rsidR="00366BEC">
        <w:rPr>
          <w:rFonts w:ascii="Times New Roman" w:hAnsi="Times New Roman" w:cs="Times New Roman"/>
          <w:sz w:val="20"/>
          <w:szCs w:val="20"/>
          <w:lang w:val="en-GB"/>
        </w:rPr>
        <w:t xml:space="preserve"> images</w:t>
      </w:r>
      <w:r>
        <w:rPr>
          <w:rFonts w:ascii="Times New Roman" w:hAnsi="Times New Roman" w:cs="Times New Roman"/>
          <w:sz w:val="20"/>
          <w:szCs w:val="20"/>
          <w:lang w:val="en-GB"/>
        </w:rPr>
        <w:t xml:space="preserve"> between five and six months later revea</w:t>
      </w:r>
      <w:r w:rsidR="00366BEC">
        <w:rPr>
          <w:rFonts w:ascii="Times New Roman" w:hAnsi="Times New Roman" w:cs="Times New Roman"/>
          <w:sz w:val="20"/>
          <w:szCs w:val="20"/>
          <w:lang w:val="en-GB"/>
        </w:rPr>
        <w:t>l</w:t>
      </w:r>
      <w:r>
        <w:rPr>
          <w:rFonts w:ascii="Times New Roman" w:hAnsi="Times New Roman" w:cs="Times New Roman"/>
          <w:sz w:val="20"/>
          <w:szCs w:val="20"/>
          <w:lang w:val="en-GB"/>
        </w:rPr>
        <w:t xml:space="preserve"> interval bioconversion of the filter. The filter arms have been released and have retracted to the vessel wall leaving an unobstructed lumen.</w:t>
      </w:r>
    </w:p>
    <w:p w14:paraId="3B211941" w14:textId="77777777" w:rsidR="002F44CC" w:rsidRPr="00AE5B1C" w:rsidRDefault="002F44CC" w:rsidP="002F44CC">
      <w:pPr>
        <w:rPr>
          <w:rFonts w:ascii="Times New Roman" w:hAnsi="Times New Roman" w:cs="Times New Roman"/>
          <w:b/>
          <w:bCs/>
          <w:sz w:val="20"/>
          <w:szCs w:val="20"/>
          <w:lang w:val="en-GB"/>
        </w:rPr>
      </w:pPr>
      <w:r w:rsidRPr="00AE5B1C">
        <w:rPr>
          <w:rFonts w:ascii="Times New Roman" w:hAnsi="Times New Roman" w:cs="Times New Roman"/>
          <w:b/>
          <w:bCs/>
          <w:sz w:val="20"/>
          <w:szCs w:val="20"/>
          <w:lang w:val="en-GB"/>
        </w:rPr>
        <w:t>Compliance with Ethical Standards</w:t>
      </w:r>
    </w:p>
    <w:p w14:paraId="7FD294C5" w14:textId="77777777" w:rsidR="002F44CC" w:rsidRPr="00AE5B1C" w:rsidRDefault="002F44CC" w:rsidP="002F44CC">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The authors declare no conflicts of interest. </w:t>
      </w:r>
    </w:p>
    <w:p w14:paraId="4CA258AE" w14:textId="77777777" w:rsidR="002F44CC" w:rsidRPr="00AE5B1C" w:rsidRDefault="002F44CC" w:rsidP="002F44CC">
      <w:pPr>
        <w:rPr>
          <w:rFonts w:ascii="Times New Roman" w:hAnsi="Times New Roman" w:cs="Times New Roman"/>
          <w:sz w:val="20"/>
          <w:szCs w:val="20"/>
          <w:lang w:val="en-GB"/>
        </w:rPr>
      </w:pPr>
      <w:r w:rsidRPr="00AE5B1C">
        <w:rPr>
          <w:rFonts w:ascii="Times New Roman" w:hAnsi="Times New Roman" w:cs="Times New Roman"/>
          <w:sz w:val="20"/>
          <w:szCs w:val="20"/>
          <w:lang w:val="en-GB"/>
        </w:rPr>
        <w:t xml:space="preserve">No funding was received for this study. </w:t>
      </w:r>
    </w:p>
    <w:p w14:paraId="0B30E2A8" w14:textId="572B91B4" w:rsidR="002F44CC" w:rsidRPr="00AE5B1C" w:rsidRDefault="002F44CC" w:rsidP="002F44CC">
      <w:pPr>
        <w:rPr>
          <w:rFonts w:ascii="Times New Roman" w:hAnsi="Times New Roman" w:cs="Times New Roman"/>
          <w:sz w:val="20"/>
          <w:szCs w:val="20"/>
          <w:lang w:val="en-GB"/>
        </w:rPr>
      </w:pPr>
      <w:r w:rsidRPr="00AE5B1C">
        <w:rPr>
          <w:rFonts w:ascii="Times New Roman" w:hAnsi="Times New Roman" w:cs="Times New Roman"/>
          <w:sz w:val="20"/>
          <w:szCs w:val="20"/>
          <w:lang w:val="en-GB"/>
        </w:rPr>
        <w:t>Ethical approval: This article does not contain any studies with human participants or animals performed by any of the authors.</w:t>
      </w:r>
    </w:p>
    <w:p w14:paraId="33268137" w14:textId="4F21A4D2" w:rsidR="00616A4E" w:rsidRPr="00AE5B1C" w:rsidRDefault="00616A4E">
      <w:pPr>
        <w:rPr>
          <w:rFonts w:ascii="Times New Roman" w:hAnsi="Times New Roman" w:cs="Times New Roman"/>
          <w:b/>
          <w:bCs/>
          <w:sz w:val="20"/>
          <w:szCs w:val="20"/>
          <w:lang w:val="en-GB"/>
        </w:rPr>
      </w:pPr>
      <w:r w:rsidRPr="00AE5B1C">
        <w:rPr>
          <w:rFonts w:ascii="Times New Roman" w:hAnsi="Times New Roman" w:cs="Times New Roman"/>
          <w:b/>
          <w:bCs/>
          <w:sz w:val="20"/>
          <w:szCs w:val="20"/>
          <w:lang w:val="en-GB"/>
        </w:rPr>
        <w:t xml:space="preserve">References </w:t>
      </w:r>
    </w:p>
    <w:p w14:paraId="6EF6495D" w14:textId="77777777" w:rsidR="006605F1" w:rsidRPr="006605F1" w:rsidRDefault="00616A4E" w:rsidP="006605F1">
      <w:pPr>
        <w:pStyle w:val="Bibliography"/>
        <w:rPr>
          <w:rFonts w:ascii="Times New Roman" w:hAnsi="Times New Roman" w:cs="Times New Roman"/>
          <w:sz w:val="20"/>
        </w:rPr>
      </w:pPr>
      <w:r w:rsidRPr="00AE5B1C">
        <w:rPr>
          <w:b/>
          <w:bCs/>
          <w:sz w:val="20"/>
          <w:szCs w:val="20"/>
          <w:lang w:val="en-GB"/>
        </w:rPr>
        <w:fldChar w:fldCharType="begin"/>
      </w:r>
      <w:r w:rsidRPr="00AE5B1C">
        <w:rPr>
          <w:b/>
          <w:bCs/>
          <w:sz w:val="20"/>
          <w:szCs w:val="20"/>
          <w:lang w:val="en-GB"/>
        </w:rPr>
        <w:instrText xml:space="preserve"> ADDIN ZOTERO_BIBL {"uncited":[],"omitted":[],"custom":[]} CSL_BIBLIOGRAPHY </w:instrText>
      </w:r>
      <w:r w:rsidRPr="00AE5B1C">
        <w:rPr>
          <w:b/>
          <w:bCs/>
          <w:sz w:val="20"/>
          <w:szCs w:val="20"/>
          <w:lang w:val="en-GB"/>
        </w:rPr>
        <w:fldChar w:fldCharType="separate"/>
      </w:r>
      <w:r w:rsidR="006605F1" w:rsidRPr="006605F1">
        <w:rPr>
          <w:rFonts w:ascii="Times New Roman" w:hAnsi="Times New Roman" w:cs="Times New Roman"/>
          <w:sz w:val="20"/>
        </w:rPr>
        <w:t xml:space="preserve">1. </w:t>
      </w:r>
      <w:r w:rsidR="006605F1" w:rsidRPr="006605F1">
        <w:rPr>
          <w:rFonts w:ascii="Times New Roman" w:hAnsi="Times New Roman" w:cs="Times New Roman"/>
          <w:sz w:val="20"/>
        </w:rPr>
        <w:tab/>
        <w:t>Dake MD, Ansel GM, Johnson MS, et al (2019) The Clinical Rationale for the Sentry Bioconvertible Inferior Vena Cava Filter for the Prevention of Pulmonary Embolism. Int J Vasc Med 2019:5795148. https://doi.org/10.1155/2019/5795148</w:t>
      </w:r>
    </w:p>
    <w:p w14:paraId="79695E5B" w14:textId="77777777" w:rsidR="006605F1" w:rsidRPr="006605F1" w:rsidRDefault="006605F1" w:rsidP="006605F1">
      <w:pPr>
        <w:pStyle w:val="Bibliography"/>
        <w:rPr>
          <w:rFonts w:ascii="Times New Roman" w:hAnsi="Times New Roman" w:cs="Times New Roman"/>
          <w:sz w:val="20"/>
        </w:rPr>
      </w:pPr>
      <w:r w:rsidRPr="006605F1">
        <w:rPr>
          <w:rFonts w:ascii="Times New Roman" w:hAnsi="Times New Roman" w:cs="Times New Roman"/>
          <w:sz w:val="20"/>
        </w:rPr>
        <w:t xml:space="preserve">2. </w:t>
      </w:r>
      <w:r w:rsidRPr="006605F1">
        <w:rPr>
          <w:rFonts w:ascii="Times New Roman" w:hAnsi="Times New Roman" w:cs="Times New Roman"/>
          <w:sz w:val="20"/>
        </w:rPr>
        <w:tab/>
        <w:t>Hope WW, Demeter BL, Newcomb WL, et al (2007) Postoperative pulmonary embolism: timing, diagnosis, treatment, and outcomes. Am J Surg 194:814–818; discussion 818-819. https://doi.org/10.1016/j.amjsurg.2007.08.014</w:t>
      </w:r>
    </w:p>
    <w:p w14:paraId="5A55C6B6" w14:textId="77777777" w:rsidR="006605F1" w:rsidRPr="006605F1" w:rsidRDefault="006605F1" w:rsidP="006605F1">
      <w:pPr>
        <w:pStyle w:val="Bibliography"/>
        <w:rPr>
          <w:rFonts w:ascii="Times New Roman" w:hAnsi="Times New Roman" w:cs="Times New Roman"/>
          <w:sz w:val="20"/>
        </w:rPr>
      </w:pPr>
      <w:r w:rsidRPr="006605F1">
        <w:rPr>
          <w:rFonts w:ascii="Times New Roman" w:hAnsi="Times New Roman" w:cs="Times New Roman"/>
          <w:sz w:val="20"/>
        </w:rPr>
        <w:t xml:space="preserve">3. </w:t>
      </w:r>
      <w:r w:rsidRPr="006605F1">
        <w:rPr>
          <w:rFonts w:ascii="Times New Roman" w:hAnsi="Times New Roman" w:cs="Times New Roman"/>
          <w:sz w:val="20"/>
        </w:rPr>
        <w:tab/>
        <w:t>Coleman JJ, Zarzaur BL, Katona CW, et al (2015) Factors associated with pulmonary embolism within 72 hours of admission after trauma: a multicenter study. J Am Coll Surg 220:731–736. https://doi.org/10.1016/j.jamcollsurg.2014.12.032</w:t>
      </w:r>
    </w:p>
    <w:p w14:paraId="27B5257C" w14:textId="77777777" w:rsidR="006605F1" w:rsidRPr="006605F1" w:rsidRDefault="006605F1" w:rsidP="006605F1">
      <w:pPr>
        <w:pStyle w:val="Bibliography"/>
        <w:rPr>
          <w:rFonts w:ascii="Times New Roman" w:hAnsi="Times New Roman" w:cs="Times New Roman"/>
          <w:sz w:val="20"/>
        </w:rPr>
      </w:pPr>
      <w:r w:rsidRPr="006605F1">
        <w:rPr>
          <w:rFonts w:ascii="Times New Roman" w:hAnsi="Times New Roman" w:cs="Times New Roman"/>
          <w:sz w:val="20"/>
        </w:rPr>
        <w:t xml:space="preserve">4. </w:t>
      </w:r>
      <w:r w:rsidRPr="006605F1">
        <w:rPr>
          <w:rFonts w:ascii="Times New Roman" w:hAnsi="Times New Roman" w:cs="Times New Roman"/>
          <w:sz w:val="20"/>
        </w:rPr>
        <w:tab/>
        <w:t>Zhou D, Spain J, Moon E, et al (2012) Retrospective review of 120 celect inferior vena cava filter retrievals: experience at a single institution. J Vasc Interv Radiol 23:1557–1563. https://doi.org/10.1016/j.jvir.2012.08.016</w:t>
      </w:r>
    </w:p>
    <w:p w14:paraId="6B6BD911" w14:textId="77777777" w:rsidR="006605F1" w:rsidRPr="006605F1" w:rsidRDefault="006605F1" w:rsidP="006605F1">
      <w:pPr>
        <w:pStyle w:val="Bibliography"/>
        <w:rPr>
          <w:rFonts w:ascii="Times New Roman" w:hAnsi="Times New Roman" w:cs="Times New Roman"/>
          <w:sz w:val="20"/>
        </w:rPr>
      </w:pPr>
      <w:r w:rsidRPr="006605F1">
        <w:rPr>
          <w:rFonts w:ascii="Times New Roman" w:hAnsi="Times New Roman" w:cs="Times New Roman"/>
          <w:sz w:val="20"/>
        </w:rPr>
        <w:t xml:space="preserve">5. </w:t>
      </w:r>
      <w:r w:rsidRPr="006605F1">
        <w:rPr>
          <w:rFonts w:ascii="Times New Roman" w:hAnsi="Times New Roman" w:cs="Times New Roman"/>
          <w:sz w:val="20"/>
        </w:rPr>
        <w:tab/>
        <w:t>Angel LF, Tapson V, Galgon RE, et al (2011) Systematic review of the use of retrievable inferior vena cava filters. J Vasc Interv Radiol 22:1522-1530.e3. https://doi.org/10.1016/j.jvir.2011.08.024</w:t>
      </w:r>
    </w:p>
    <w:p w14:paraId="237344E8" w14:textId="77777777" w:rsidR="006605F1" w:rsidRPr="006605F1" w:rsidRDefault="006605F1" w:rsidP="006605F1">
      <w:pPr>
        <w:pStyle w:val="Bibliography"/>
        <w:rPr>
          <w:rFonts w:ascii="Times New Roman" w:hAnsi="Times New Roman" w:cs="Times New Roman"/>
          <w:sz w:val="20"/>
        </w:rPr>
      </w:pPr>
      <w:r w:rsidRPr="006605F1">
        <w:rPr>
          <w:rFonts w:ascii="Times New Roman" w:hAnsi="Times New Roman" w:cs="Times New Roman"/>
          <w:sz w:val="20"/>
        </w:rPr>
        <w:lastRenderedPageBreak/>
        <w:t xml:space="preserve">6. </w:t>
      </w:r>
      <w:r w:rsidRPr="006605F1">
        <w:rPr>
          <w:rFonts w:ascii="Times New Roman" w:hAnsi="Times New Roman" w:cs="Times New Roman"/>
          <w:sz w:val="20"/>
        </w:rPr>
        <w:tab/>
        <w:t>Jia Z, Fuller TA, McKinney JM, et al (2018) Utility of Retrievable Inferior Vena Cava Filters: A Systematic Literature Review and Analysis of the Reasons for Nonretrieval of Filters with Temporary Indications. Cardiovasc Intervent Radiol 41:675–682. https://doi.org/10.1007/s00270-018-1880-9</w:t>
      </w:r>
    </w:p>
    <w:p w14:paraId="18274922" w14:textId="77777777" w:rsidR="006605F1" w:rsidRPr="006605F1" w:rsidRDefault="006605F1" w:rsidP="006605F1">
      <w:pPr>
        <w:pStyle w:val="Bibliography"/>
        <w:rPr>
          <w:rFonts w:ascii="Times New Roman" w:hAnsi="Times New Roman" w:cs="Times New Roman"/>
          <w:sz w:val="20"/>
        </w:rPr>
      </w:pPr>
      <w:r w:rsidRPr="006605F1">
        <w:rPr>
          <w:rFonts w:ascii="Times New Roman" w:hAnsi="Times New Roman" w:cs="Times New Roman"/>
          <w:sz w:val="20"/>
        </w:rPr>
        <w:t xml:space="preserve">7. </w:t>
      </w:r>
      <w:r w:rsidRPr="006605F1">
        <w:rPr>
          <w:rFonts w:ascii="Times New Roman" w:hAnsi="Times New Roman" w:cs="Times New Roman"/>
          <w:sz w:val="20"/>
        </w:rPr>
        <w:tab/>
        <w:t>Sarosiek S, Crowther M, Sloan JM (2013) Indications, complications, and management of inferior vena cava filters: the experience in 952 patients at an academic hospital with a level I trauma center. JAMA Intern Med 173:513–517. https://doi.org/10.1001/jamainternmed.2013.343</w:t>
      </w:r>
    </w:p>
    <w:p w14:paraId="362D5074" w14:textId="77777777" w:rsidR="006605F1" w:rsidRPr="006605F1" w:rsidRDefault="006605F1" w:rsidP="006605F1">
      <w:pPr>
        <w:pStyle w:val="Bibliography"/>
        <w:rPr>
          <w:rFonts w:ascii="Times New Roman" w:hAnsi="Times New Roman" w:cs="Times New Roman"/>
          <w:sz w:val="20"/>
        </w:rPr>
      </w:pPr>
      <w:r w:rsidRPr="006605F1">
        <w:rPr>
          <w:rFonts w:ascii="Times New Roman" w:hAnsi="Times New Roman" w:cs="Times New Roman"/>
          <w:sz w:val="20"/>
        </w:rPr>
        <w:t xml:space="preserve">8. </w:t>
      </w:r>
      <w:r w:rsidRPr="006605F1">
        <w:rPr>
          <w:rFonts w:ascii="Times New Roman" w:hAnsi="Times New Roman" w:cs="Times New Roman"/>
          <w:sz w:val="20"/>
        </w:rPr>
        <w:tab/>
        <w:t>Quencer KB, Smith TA, Deipolyi A, et al (2020) Procedural complications of inferior vena cava filter retrieval, an illustrated review. CVIR Endovasc 3:. https://doi.org/10.1186/s42155-020-00113-6</w:t>
      </w:r>
    </w:p>
    <w:p w14:paraId="03744757" w14:textId="77777777" w:rsidR="006605F1" w:rsidRPr="006605F1" w:rsidRDefault="006605F1" w:rsidP="006605F1">
      <w:pPr>
        <w:pStyle w:val="Bibliography"/>
        <w:rPr>
          <w:rFonts w:ascii="Times New Roman" w:hAnsi="Times New Roman" w:cs="Times New Roman"/>
          <w:sz w:val="20"/>
        </w:rPr>
      </w:pPr>
      <w:r w:rsidRPr="006605F1">
        <w:rPr>
          <w:rFonts w:ascii="Times New Roman" w:hAnsi="Times New Roman" w:cs="Times New Roman"/>
          <w:sz w:val="20"/>
        </w:rPr>
        <w:t xml:space="preserve">9. </w:t>
      </w:r>
      <w:r w:rsidRPr="006605F1">
        <w:rPr>
          <w:rFonts w:ascii="Times New Roman" w:hAnsi="Times New Roman" w:cs="Times New Roman"/>
          <w:sz w:val="20"/>
        </w:rPr>
        <w:tab/>
        <w:t>Centers for Medicare &amp; Medicaid Services, Medicare Outpatient Hospital Standard Analytical File, US Department of Health and Human Services, Baltimore, MD, USA, 2016.</w:t>
      </w:r>
    </w:p>
    <w:p w14:paraId="1EE175E0" w14:textId="2F124739" w:rsidR="006605F1" w:rsidRPr="006605F1" w:rsidRDefault="006605F1" w:rsidP="006605F1">
      <w:pPr>
        <w:pStyle w:val="Bibliography"/>
        <w:rPr>
          <w:rFonts w:ascii="Times New Roman" w:hAnsi="Times New Roman" w:cs="Times New Roman"/>
          <w:sz w:val="20"/>
        </w:rPr>
      </w:pPr>
      <w:r w:rsidRPr="006605F1">
        <w:rPr>
          <w:rFonts w:ascii="Times New Roman" w:hAnsi="Times New Roman" w:cs="Times New Roman"/>
          <w:sz w:val="20"/>
        </w:rPr>
        <w:t xml:space="preserve">10. </w:t>
      </w:r>
      <w:r w:rsidRPr="006605F1">
        <w:rPr>
          <w:rFonts w:ascii="Times New Roman" w:hAnsi="Times New Roman" w:cs="Times New Roman"/>
          <w:sz w:val="20"/>
        </w:rPr>
        <w:tab/>
        <w:t>Dake MD, Murphy TP, Krämer AH, et al (2020) Final Two-Year Outcomes for the Sentry Bioconvertible Inferior Vena Cava Filter in Patients Requiring Temporary Protection from Pulmonary Embolism. J Vasc Interv Radiol 31:221-230.e3. https://doi.org/10.1016/j.jvir.2019.08.036</w:t>
      </w:r>
    </w:p>
    <w:p w14:paraId="4A73DEBA" w14:textId="77777777" w:rsidR="006605F1" w:rsidRPr="006605F1" w:rsidRDefault="006605F1" w:rsidP="006605F1">
      <w:pPr>
        <w:pStyle w:val="Bibliography"/>
        <w:rPr>
          <w:rFonts w:ascii="Times New Roman" w:hAnsi="Times New Roman" w:cs="Times New Roman"/>
          <w:sz w:val="20"/>
        </w:rPr>
      </w:pPr>
      <w:r w:rsidRPr="006605F1">
        <w:rPr>
          <w:rFonts w:ascii="Times New Roman" w:hAnsi="Times New Roman" w:cs="Times New Roman"/>
          <w:sz w:val="20"/>
        </w:rPr>
        <w:t xml:space="preserve">11. </w:t>
      </w:r>
      <w:r w:rsidRPr="006605F1">
        <w:rPr>
          <w:rFonts w:ascii="Times New Roman" w:hAnsi="Times New Roman" w:cs="Times New Roman"/>
          <w:sz w:val="20"/>
        </w:rPr>
        <w:tab/>
        <w:t>ISTH Steering Committee for World Thrombosis Day (2014) Thrombosis: a major contributor to the global disease burden. J Thromb Haemost 12:1580–1590. https://doi.org/10.1111/jth.12698</w:t>
      </w:r>
    </w:p>
    <w:p w14:paraId="5A3462EE" w14:textId="77777777" w:rsidR="006605F1" w:rsidRPr="006605F1" w:rsidRDefault="006605F1" w:rsidP="006605F1">
      <w:pPr>
        <w:pStyle w:val="Bibliography"/>
        <w:rPr>
          <w:rFonts w:ascii="Times New Roman" w:hAnsi="Times New Roman" w:cs="Times New Roman"/>
          <w:sz w:val="20"/>
        </w:rPr>
      </w:pPr>
      <w:r w:rsidRPr="006605F1">
        <w:rPr>
          <w:rFonts w:ascii="Times New Roman" w:hAnsi="Times New Roman" w:cs="Times New Roman"/>
          <w:sz w:val="20"/>
        </w:rPr>
        <w:t xml:space="preserve">12. </w:t>
      </w:r>
      <w:r w:rsidRPr="006605F1">
        <w:rPr>
          <w:rFonts w:ascii="Times New Roman" w:hAnsi="Times New Roman" w:cs="Times New Roman"/>
          <w:sz w:val="20"/>
        </w:rPr>
        <w:tab/>
        <w:t>Anderson FA, Wheeler HB, Goldberg RJ, et al (1991) A population-based perspective of the hospital incidence and case-fatality rates of deep vein thrombosis and pulmonary embolism. The Worcester DVT Study. Arch Intern Med 151:933–938</w:t>
      </w:r>
    </w:p>
    <w:p w14:paraId="26C42ABD" w14:textId="77777777" w:rsidR="006605F1" w:rsidRPr="006605F1" w:rsidRDefault="006605F1" w:rsidP="006605F1">
      <w:pPr>
        <w:pStyle w:val="Bibliography"/>
        <w:rPr>
          <w:rFonts w:ascii="Times New Roman" w:hAnsi="Times New Roman" w:cs="Times New Roman"/>
          <w:sz w:val="20"/>
        </w:rPr>
      </w:pPr>
      <w:r w:rsidRPr="006605F1">
        <w:rPr>
          <w:rFonts w:ascii="Times New Roman" w:hAnsi="Times New Roman" w:cs="Times New Roman"/>
          <w:sz w:val="20"/>
        </w:rPr>
        <w:t xml:space="preserve">13. </w:t>
      </w:r>
      <w:r w:rsidRPr="006605F1">
        <w:rPr>
          <w:rFonts w:ascii="Times New Roman" w:hAnsi="Times New Roman" w:cs="Times New Roman"/>
          <w:sz w:val="20"/>
        </w:rPr>
        <w:tab/>
        <w:t>Naess IA, Christiansen SC, Romundstad P, et al (2007) Incidence and mortality of venous thrombosis: a population-based study. J Thromb Haemost 5:692–699. https://doi.org/10.1111/j.1538-7836.2007.02450.x</w:t>
      </w:r>
    </w:p>
    <w:p w14:paraId="4EA86C2D" w14:textId="77777777" w:rsidR="006605F1" w:rsidRPr="006605F1" w:rsidRDefault="006605F1" w:rsidP="006605F1">
      <w:pPr>
        <w:pStyle w:val="Bibliography"/>
        <w:rPr>
          <w:rFonts w:ascii="Times New Roman" w:hAnsi="Times New Roman" w:cs="Times New Roman"/>
          <w:sz w:val="20"/>
        </w:rPr>
      </w:pPr>
      <w:r w:rsidRPr="006605F1">
        <w:rPr>
          <w:rFonts w:ascii="Times New Roman" w:hAnsi="Times New Roman" w:cs="Times New Roman"/>
          <w:sz w:val="20"/>
        </w:rPr>
        <w:t xml:space="preserve">14. </w:t>
      </w:r>
      <w:r w:rsidRPr="006605F1">
        <w:rPr>
          <w:rFonts w:ascii="Times New Roman" w:hAnsi="Times New Roman" w:cs="Times New Roman"/>
          <w:sz w:val="20"/>
        </w:rPr>
        <w:tab/>
        <w:t>Tapson VF (2008) Acute pulmonary embolism. N Engl J Med 358:1037–1052. https://doi.org/10.1056/NEJMra072753</w:t>
      </w:r>
    </w:p>
    <w:p w14:paraId="2E4ADA2F" w14:textId="77777777" w:rsidR="006605F1" w:rsidRPr="006605F1" w:rsidRDefault="006605F1" w:rsidP="006605F1">
      <w:pPr>
        <w:pStyle w:val="Bibliography"/>
        <w:rPr>
          <w:rFonts w:ascii="Times New Roman" w:hAnsi="Times New Roman" w:cs="Times New Roman"/>
          <w:sz w:val="20"/>
        </w:rPr>
      </w:pPr>
      <w:r w:rsidRPr="006605F1">
        <w:rPr>
          <w:rFonts w:ascii="Times New Roman" w:hAnsi="Times New Roman" w:cs="Times New Roman"/>
          <w:sz w:val="20"/>
        </w:rPr>
        <w:t xml:space="preserve">15. </w:t>
      </w:r>
      <w:r w:rsidRPr="006605F1">
        <w:rPr>
          <w:rFonts w:ascii="Times New Roman" w:hAnsi="Times New Roman" w:cs="Times New Roman"/>
          <w:sz w:val="20"/>
        </w:rPr>
        <w:tab/>
        <w:t>ACR-SIR-SPR Practice Parameter for the Performance of Infe rior Vena Cava (IVC) Filter Placement for the Prevention of Pulmonary Embolism, 2016, https://www.acr.org/-/media/ACR/ Files/Practice-Parameters/ivc-fiterplacement.pdf?la=en</w:t>
      </w:r>
    </w:p>
    <w:p w14:paraId="08A0FCC4" w14:textId="77777777" w:rsidR="006605F1" w:rsidRPr="006605F1" w:rsidRDefault="006605F1" w:rsidP="006605F1">
      <w:pPr>
        <w:pStyle w:val="Bibliography"/>
        <w:rPr>
          <w:rFonts w:ascii="Times New Roman" w:hAnsi="Times New Roman" w:cs="Times New Roman"/>
          <w:sz w:val="20"/>
        </w:rPr>
      </w:pPr>
      <w:r w:rsidRPr="006605F1">
        <w:rPr>
          <w:rFonts w:ascii="Times New Roman" w:hAnsi="Times New Roman" w:cs="Times New Roman"/>
          <w:sz w:val="20"/>
        </w:rPr>
        <w:t xml:space="preserve">16. </w:t>
      </w:r>
      <w:r w:rsidRPr="006605F1">
        <w:rPr>
          <w:rFonts w:ascii="Times New Roman" w:hAnsi="Times New Roman" w:cs="Times New Roman"/>
          <w:sz w:val="20"/>
        </w:rPr>
        <w:tab/>
        <w:t>Guyatt GH, Akl EA, Crowther M, et al (2012) Executive summary: Antithrombotic Therapy and Prevention of Thrombosis, 9th ed: American College of Chest Physicians Evidence-Based Clinical Practice Guidelines. Chest 141:7S-47S. https://doi.org/10.1378/chest.1412S3</w:t>
      </w:r>
    </w:p>
    <w:p w14:paraId="230DADD1" w14:textId="77777777" w:rsidR="006605F1" w:rsidRPr="006605F1" w:rsidRDefault="006605F1" w:rsidP="006605F1">
      <w:pPr>
        <w:pStyle w:val="Bibliography"/>
        <w:rPr>
          <w:rFonts w:ascii="Times New Roman" w:hAnsi="Times New Roman" w:cs="Times New Roman"/>
          <w:sz w:val="20"/>
        </w:rPr>
      </w:pPr>
      <w:r w:rsidRPr="006605F1">
        <w:rPr>
          <w:rFonts w:ascii="Times New Roman" w:hAnsi="Times New Roman" w:cs="Times New Roman"/>
          <w:sz w:val="20"/>
        </w:rPr>
        <w:t xml:space="preserve">17. </w:t>
      </w:r>
      <w:r w:rsidRPr="006605F1">
        <w:rPr>
          <w:rFonts w:ascii="Times New Roman" w:hAnsi="Times New Roman" w:cs="Times New Roman"/>
          <w:sz w:val="20"/>
        </w:rPr>
        <w:tab/>
        <w:t>Bikdeli B, Chatterjee S, Desai NR, et al (2017) Inferior Vena Cava Filters to Prevent Pulmonary Embolism: Systematic Review and Meta-Analysis. J Am Coll Cardiol 70:1587–1597. https://doi.org/10.1016/j.jacc.2017.07.775</w:t>
      </w:r>
    </w:p>
    <w:p w14:paraId="5ED1F0C2" w14:textId="77777777" w:rsidR="006605F1" w:rsidRPr="006605F1" w:rsidRDefault="006605F1" w:rsidP="006605F1">
      <w:pPr>
        <w:pStyle w:val="Bibliography"/>
        <w:rPr>
          <w:rFonts w:ascii="Times New Roman" w:hAnsi="Times New Roman" w:cs="Times New Roman"/>
          <w:sz w:val="20"/>
        </w:rPr>
      </w:pPr>
      <w:r w:rsidRPr="006605F1">
        <w:rPr>
          <w:rFonts w:ascii="Times New Roman" w:hAnsi="Times New Roman" w:cs="Times New Roman"/>
          <w:sz w:val="20"/>
        </w:rPr>
        <w:t xml:space="preserve">18. </w:t>
      </w:r>
      <w:r w:rsidRPr="006605F1">
        <w:rPr>
          <w:rFonts w:ascii="Times New Roman" w:hAnsi="Times New Roman" w:cs="Times New Roman"/>
          <w:sz w:val="20"/>
        </w:rPr>
        <w:tab/>
        <w:t>Haut ER, Garcia LJ, Shihab HM, et al (2014) The effectiveness of prophylactic inferior vena cava filters in trauma patients: a systematic review and meta-analysis. JAMA Surg 149:194–202. https://doi.org/10.1001/jamasurg.2013.3970</w:t>
      </w:r>
    </w:p>
    <w:p w14:paraId="370E2768" w14:textId="77777777" w:rsidR="006605F1" w:rsidRPr="006605F1" w:rsidRDefault="006605F1" w:rsidP="006605F1">
      <w:pPr>
        <w:pStyle w:val="Bibliography"/>
        <w:rPr>
          <w:rFonts w:ascii="Times New Roman" w:hAnsi="Times New Roman" w:cs="Times New Roman"/>
          <w:sz w:val="20"/>
        </w:rPr>
      </w:pPr>
      <w:r w:rsidRPr="006605F1">
        <w:rPr>
          <w:rFonts w:ascii="Times New Roman" w:hAnsi="Times New Roman" w:cs="Times New Roman"/>
          <w:sz w:val="20"/>
        </w:rPr>
        <w:t xml:space="preserve">19. </w:t>
      </w:r>
      <w:r w:rsidRPr="006605F1">
        <w:rPr>
          <w:rFonts w:ascii="Times New Roman" w:hAnsi="Times New Roman" w:cs="Times New Roman"/>
          <w:sz w:val="20"/>
        </w:rPr>
        <w:tab/>
        <w:t>Trousseau A (1865) Phlegmasia alba dolens. Clinique Medicale de l’Hotel-Dieu de Paris 3 (94): 654–712</w:t>
      </w:r>
    </w:p>
    <w:p w14:paraId="350A8DF5" w14:textId="77777777" w:rsidR="006605F1" w:rsidRPr="006605F1" w:rsidRDefault="006605F1" w:rsidP="006605F1">
      <w:pPr>
        <w:pStyle w:val="Bibliography"/>
        <w:rPr>
          <w:rFonts w:ascii="Times New Roman" w:hAnsi="Times New Roman" w:cs="Times New Roman"/>
          <w:sz w:val="20"/>
        </w:rPr>
      </w:pPr>
      <w:r w:rsidRPr="006605F1">
        <w:rPr>
          <w:rFonts w:ascii="Times New Roman" w:hAnsi="Times New Roman" w:cs="Times New Roman"/>
          <w:sz w:val="20"/>
        </w:rPr>
        <w:t xml:space="preserve">20. </w:t>
      </w:r>
      <w:r w:rsidRPr="006605F1">
        <w:rPr>
          <w:rFonts w:ascii="Times New Roman" w:hAnsi="Times New Roman" w:cs="Times New Roman"/>
          <w:sz w:val="20"/>
        </w:rPr>
        <w:tab/>
        <w:t>Becker DM, Philbrick JT, Selby JB (1992) Inferior vena cava filters. Indications, safety, effectiveness. Arch Intern Med 152:1985–1994</w:t>
      </w:r>
    </w:p>
    <w:p w14:paraId="70F4CD49" w14:textId="77777777" w:rsidR="006605F1" w:rsidRPr="006605F1" w:rsidRDefault="006605F1" w:rsidP="006605F1">
      <w:pPr>
        <w:pStyle w:val="Bibliography"/>
        <w:rPr>
          <w:rFonts w:ascii="Times New Roman" w:hAnsi="Times New Roman" w:cs="Times New Roman"/>
          <w:sz w:val="20"/>
        </w:rPr>
      </w:pPr>
      <w:r w:rsidRPr="006605F1">
        <w:rPr>
          <w:rFonts w:ascii="Times New Roman" w:hAnsi="Times New Roman" w:cs="Times New Roman"/>
          <w:sz w:val="20"/>
        </w:rPr>
        <w:t xml:space="preserve">21. </w:t>
      </w:r>
      <w:r w:rsidRPr="006605F1">
        <w:rPr>
          <w:rFonts w:ascii="Times New Roman" w:hAnsi="Times New Roman" w:cs="Times New Roman"/>
          <w:sz w:val="20"/>
        </w:rPr>
        <w:tab/>
        <w:t>Stein PD, Kayali F, Olson RE (2004) Twenty-one-year trends in the use of inferior vena cava filters. Arch Intern Med 164:1541–1545. https://doi.org/10.1001/archinte.164.14.1541</w:t>
      </w:r>
    </w:p>
    <w:p w14:paraId="7A746F30" w14:textId="77777777" w:rsidR="006605F1" w:rsidRPr="006605F1" w:rsidRDefault="006605F1" w:rsidP="006605F1">
      <w:pPr>
        <w:pStyle w:val="Bibliography"/>
        <w:rPr>
          <w:rFonts w:ascii="Times New Roman" w:hAnsi="Times New Roman" w:cs="Times New Roman"/>
          <w:sz w:val="20"/>
        </w:rPr>
      </w:pPr>
      <w:r w:rsidRPr="006605F1">
        <w:rPr>
          <w:rFonts w:ascii="Times New Roman" w:hAnsi="Times New Roman" w:cs="Times New Roman"/>
          <w:sz w:val="20"/>
        </w:rPr>
        <w:t xml:space="preserve">22. </w:t>
      </w:r>
      <w:r w:rsidRPr="006605F1">
        <w:rPr>
          <w:rFonts w:ascii="Times New Roman" w:hAnsi="Times New Roman" w:cs="Times New Roman"/>
          <w:sz w:val="20"/>
        </w:rPr>
        <w:tab/>
        <w:t>Kok HK, Salati U, O’Brien C, et al (2015) Inferior vena cava filter insertion and retrieval patterns in a tertiary referral centre in Ireland. Ir J Med Sci 184:345–348. https://doi.org/10.1007/s11845-014-1116-1</w:t>
      </w:r>
    </w:p>
    <w:p w14:paraId="5FDA8670" w14:textId="77777777" w:rsidR="006605F1" w:rsidRPr="006605F1" w:rsidRDefault="006605F1" w:rsidP="006605F1">
      <w:pPr>
        <w:pStyle w:val="Bibliography"/>
        <w:rPr>
          <w:rFonts w:ascii="Times New Roman" w:hAnsi="Times New Roman" w:cs="Times New Roman"/>
          <w:sz w:val="20"/>
        </w:rPr>
      </w:pPr>
      <w:r w:rsidRPr="006605F1">
        <w:rPr>
          <w:rFonts w:ascii="Times New Roman" w:hAnsi="Times New Roman" w:cs="Times New Roman"/>
          <w:sz w:val="20"/>
        </w:rPr>
        <w:lastRenderedPageBreak/>
        <w:t xml:space="preserve">23. </w:t>
      </w:r>
      <w:r w:rsidRPr="006605F1">
        <w:rPr>
          <w:rFonts w:ascii="Times New Roman" w:hAnsi="Times New Roman" w:cs="Times New Roman"/>
          <w:sz w:val="20"/>
        </w:rPr>
        <w:tab/>
        <w:t>Stavropoulos SW, Sing RF, Elmasri F, et al (2014) The DENALI Trial: an interim analysis of a prospective, multicenter study of the Denali retrievable inferior vena cava filter. J Vasc Interv Radiol 25:1497–1505, 1505.e1. https://doi.org/10.1016/j.jvir.2014.07.001</w:t>
      </w:r>
    </w:p>
    <w:p w14:paraId="5D645638" w14:textId="77777777" w:rsidR="006605F1" w:rsidRPr="006605F1" w:rsidRDefault="006605F1" w:rsidP="006605F1">
      <w:pPr>
        <w:pStyle w:val="Bibliography"/>
        <w:rPr>
          <w:rFonts w:ascii="Times New Roman" w:hAnsi="Times New Roman" w:cs="Times New Roman"/>
          <w:sz w:val="20"/>
        </w:rPr>
      </w:pPr>
      <w:r w:rsidRPr="006605F1">
        <w:rPr>
          <w:rFonts w:ascii="Times New Roman" w:hAnsi="Times New Roman" w:cs="Times New Roman"/>
          <w:sz w:val="20"/>
        </w:rPr>
        <w:t xml:space="preserve">24. </w:t>
      </w:r>
      <w:r w:rsidRPr="006605F1">
        <w:rPr>
          <w:rFonts w:ascii="Times New Roman" w:hAnsi="Times New Roman" w:cs="Times New Roman"/>
          <w:sz w:val="20"/>
        </w:rPr>
        <w:tab/>
        <w:t>Smouse HB, Mendes R, Bosiers M, et al (2013) The RETRIEVE trial: safety and effectiveness of the retrievable crux vena cava filter. J Vasc Interv Radiol 24:609–621. https://doi.org/10.1016/j.jvir.2013.01.489</w:t>
      </w:r>
    </w:p>
    <w:p w14:paraId="6D4C92E2" w14:textId="77777777" w:rsidR="006605F1" w:rsidRPr="006605F1" w:rsidRDefault="006605F1" w:rsidP="006605F1">
      <w:pPr>
        <w:pStyle w:val="Bibliography"/>
        <w:rPr>
          <w:rFonts w:ascii="Times New Roman" w:hAnsi="Times New Roman" w:cs="Times New Roman"/>
          <w:sz w:val="20"/>
        </w:rPr>
      </w:pPr>
      <w:r w:rsidRPr="006605F1">
        <w:rPr>
          <w:rFonts w:ascii="Times New Roman" w:hAnsi="Times New Roman" w:cs="Times New Roman"/>
          <w:sz w:val="20"/>
        </w:rPr>
        <w:t xml:space="preserve">25. </w:t>
      </w:r>
      <w:r w:rsidRPr="006605F1">
        <w:rPr>
          <w:rFonts w:ascii="Times New Roman" w:hAnsi="Times New Roman" w:cs="Times New Roman"/>
          <w:sz w:val="20"/>
        </w:rPr>
        <w:tab/>
        <w:t>Dake MD, Murphy TP, Krämer AH, et al (2018) One-Year Analysis of the Prospective Multicenter SENTRY Clinical Trial: Safety and Effectiveness of the Novate Sentry Bioconvertible Inferior Vena Cava Filter. J Vasc Interv Radiol 29:1350-1361.e4. https://doi.org/10.1016/j.jvir.2018.05.009</w:t>
      </w:r>
    </w:p>
    <w:p w14:paraId="58BCE215" w14:textId="2FC32DD4" w:rsidR="00616A4E" w:rsidRPr="00AE5B1C" w:rsidRDefault="00616A4E">
      <w:pPr>
        <w:rPr>
          <w:rFonts w:ascii="Times New Roman" w:hAnsi="Times New Roman" w:cs="Times New Roman"/>
          <w:b/>
          <w:bCs/>
          <w:sz w:val="20"/>
          <w:szCs w:val="20"/>
          <w:lang w:val="en-GB"/>
        </w:rPr>
      </w:pPr>
      <w:r w:rsidRPr="00AE5B1C">
        <w:rPr>
          <w:rFonts w:ascii="Times New Roman" w:hAnsi="Times New Roman" w:cs="Times New Roman"/>
          <w:b/>
          <w:bCs/>
          <w:sz w:val="20"/>
          <w:szCs w:val="20"/>
          <w:lang w:val="en-GB"/>
        </w:rPr>
        <w:fldChar w:fldCharType="end"/>
      </w:r>
    </w:p>
    <w:p w14:paraId="63E58948" w14:textId="77777777" w:rsidR="00616A4E" w:rsidRDefault="00616A4E">
      <w:pPr>
        <w:rPr>
          <w:b/>
          <w:bCs/>
          <w:lang w:val="en-GB"/>
        </w:rPr>
      </w:pPr>
    </w:p>
    <w:p w14:paraId="4A540976" w14:textId="77777777" w:rsidR="00616A4E" w:rsidRPr="00616A4E" w:rsidRDefault="00616A4E">
      <w:pPr>
        <w:rPr>
          <w:b/>
          <w:bCs/>
          <w:lang w:val="en-GB"/>
        </w:rPr>
      </w:pPr>
    </w:p>
    <w:sectPr w:rsidR="00616A4E" w:rsidRPr="00616A4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A30E2" w14:textId="77777777" w:rsidR="00845548" w:rsidRDefault="00845548" w:rsidP="006308D6">
      <w:pPr>
        <w:spacing w:after="0" w:line="240" w:lineRule="auto"/>
      </w:pPr>
      <w:r>
        <w:separator/>
      </w:r>
    </w:p>
  </w:endnote>
  <w:endnote w:type="continuationSeparator" w:id="0">
    <w:p w14:paraId="1B247ECF" w14:textId="77777777" w:rsidR="00845548" w:rsidRDefault="00845548" w:rsidP="00630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FCDC0" w14:textId="77777777" w:rsidR="00845548" w:rsidRDefault="00845548" w:rsidP="006308D6">
      <w:pPr>
        <w:spacing w:after="0" w:line="240" w:lineRule="auto"/>
      </w:pPr>
      <w:r>
        <w:separator/>
      </w:r>
    </w:p>
  </w:footnote>
  <w:footnote w:type="continuationSeparator" w:id="0">
    <w:p w14:paraId="00F89DC9" w14:textId="77777777" w:rsidR="00845548" w:rsidRDefault="00845548" w:rsidP="006308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4212877"/>
      <w:docPartObj>
        <w:docPartGallery w:val="Page Numbers (Top of Page)"/>
        <w:docPartUnique/>
      </w:docPartObj>
    </w:sdtPr>
    <w:sdtEndPr>
      <w:rPr>
        <w:noProof/>
      </w:rPr>
    </w:sdtEndPr>
    <w:sdtContent>
      <w:p w14:paraId="61B34102" w14:textId="6E8D603E" w:rsidR="006308D6" w:rsidRDefault="006308D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10BE073" w14:textId="77777777" w:rsidR="006308D6" w:rsidRDefault="006308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E1691"/>
    <w:multiLevelType w:val="hybridMultilevel"/>
    <w:tmpl w:val="C1E4C322"/>
    <w:lvl w:ilvl="0" w:tplc="18090017">
      <w:start w:val="1"/>
      <w:numFmt w:val="lowerLetter"/>
      <w:lvlText w:val="%1)"/>
      <w:lvlJc w:val="left"/>
      <w:pPr>
        <w:ind w:left="1440" w:hanging="360"/>
      </w:p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1" w15:restartNumberingAfterBreak="0">
    <w:nsid w:val="38154924"/>
    <w:multiLevelType w:val="hybridMultilevel"/>
    <w:tmpl w:val="C1E4C322"/>
    <w:lvl w:ilvl="0" w:tplc="18090017">
      <w:start w:val="1"/>
      <w:numFmt w:val="lowerLetter"/>
      <w:lvlText w:val="%1)"/>
      <w:lvlJc w:val="left"/>
      <w:pPr>
        <w:ind w:left="1440" w:hanging="360"/>
      </w:p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2" w15:restartNumberingAfterBreak="0">
    <w:nsid w:val="551311C8"/>
    <w:multiLevelType w:val="hybridMultilevel"/>
    <w:tmpl w:val="90A0E3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2A13C8"/>
    <w:multiLevelType w:val="hybridMultilevel"/>
    <w:tmpl w:val="0B5662BE"/>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A4E"/>
    <w:rsid w:val="00030355"/>
    <w:rsid w:val="000365FF"/>
    <w:rsid w:val="00055D51"/>
    <w:rsid w:val="000662DC"/>
    <w:rsid w:val="000754AC"/>
    <w:rsid w:val="000800C0"/>
    <w:rsid w:val="000C0337"/>
    <w:rsid w:val="000E1D37"/>
    <w:rsid w:val="000E41DC"/>
    <w:rsid w:val="00111B0A"/>
    <w:rsid w:val="00113BC0"/>
    <w:rsid w:val="001156F8"/>
    <w:rsid w:val="0013338C"/>
    <w:rsid w:val="00152514"/>
    <w:rsid w:val="00166AAE"/>
    <w:rsid w:val="001721B5"/>
    <w:rsid w:val="00177176"/>
    <w:rsid w:val="00181CB1"/>
    <w:rsid w:val="001931F7"/>
    <w:rsid w:val="001A6EF2"/>
    <w:rsid w:val="001A7DA9"/>
    <w:rsid w:val="001B1446"/>
    <w:rsid w:val="00201640"/>
    <w:rsid w:val="00206FDF"/>
    <w:rsid w:val="0021647B"/>
    <w:rsid w:val="0021676B"/>
    <w:rsid w:val="002349C5"/>
    <w:rsid w:val="0023678B"/>
    <w:rsid w:val="00243B5D"/>
    <w:rsid w:val="00243D19"/>
    <w:rsid w:val="002509D4"/>
    <w:rsid w:val="00251B4B"/>
    <w:rsid w:val="00263087"/>
    <w:rsid w:val="00275429"/>
    <w:rsid w:val="00290138"/>
    <w:rsid w:val="002A1B3F"/>
    <w:rsid w:val="002B5A25"/>
    <w:rsid w:val="002C691D"/>
    <w:rsid w:val="002D7376"/>
    <w:rsid w:val="002D7E87"/>
    <w:rsid w:val="002E646E"/>
    <w:rsid w:val="002F44CC"/>
    <w:rsid w:val="002F5DCF"/>
    <w:rsid w:val="0030311A"/>
    <w:rsid w:val="00326B9B"/>
    <w:rsid w:val="00340E0E"/>
    <w:rsid w:val="00350080"/>
    <w:rsid w:val="0035388B"/>
    <w:rsid w:val="00360914"/>
    <w:rsid w:val="00366BEC"/>
    <w:rsid w:val="003934D2"/>
    <w:rsid w:val="003951BA"/>
    <w:rsid w:val="0039745E"/>
    <w:rsid w:val="003A4212"/>
    <w:rsid w:val="003A52CE"/>
    <w:rsid w:val="003B1C0C"/>
    <w:rsid w:val="003C4ACF"/>
    <w:rsid w:val="003D5433"/>
    <w:rsid w:val="003D790E"/>
    <w:rsid w:val="003D7DAE"/>
    <w:rsid w:val="003E4606"/>
    <w:rsid w:val="00400141"/>
    <w:rsid w:val="00407B6E"/>
    <w:rsid w:val="0042617B"/>
    <w:rsid w:val="0042640F"/>
    <w:rsid w:val="00432C82"/>
    <w:rsid w:val="00452C0F"/>
    <w:rsid w:val="00474B7C"/>
    <w:rsid w:val="00476851"/>
    <w:rsid w:val="00493DCC"/>
    <w:rsid w:val="004A0E4A"/>
    <w:rsid w:val="004B50BE"/>
    <w:rsid w:val="004D6361"/>
    <w:rsid w:val="004D7B96"/>
    <w:rsid w:val="00505D39"/>
    <w:rsid w:val="00560584"/>
    <w:rsid w:val="005612E8"/>
    <w:rsid w:val="00564DD5"/>
    <w:rsid w:val="00566103"/>
    <w:rsid w:val="00572CB4"/>
    <w:rsid w:val="00581A92"/>
    <w:rsid w:val="005869AD"/>
    <w:rsid w:val="00593140"/>
    <w:rsid w:val="005A5CFA"/>
    <w:rsid w:val="005C1FB9"/>
    <w:rsid w:val="005C47D7"/>
    <w:rsid w:val="005E1E90"/>
    <w:rsid w:val="0060391F"/>
    <w:rsid w:val="0060535D"/>
    <w:rsid w:val="006055EA"/>
    <w:rsid w:val="006161FD"/>
    <w:rsid w:val="00616A4E"/>
    <w:rsid w:val="0062342F"/>
    <w:rsid w:val="00625773"/>
    <w:rsid w:val="006308D6"/>
    <w:rsid w:val="00643614"/>
    <w:rsid w:val="006605F1"/>
    <w:rsid w:val="00682C04"/>
    <w:rsid w:val="00687AFA"/>
    <w:rsid w:val="006919BD"/>
    <w:rsid w:val="00691AB7"/>
    <w:rsid w:val="006A2567"/>
    <w:rsid w:val="006A3418"/>
    <w:rsid w:val="006A5350"/>
    <w:rsid w:val="006F312B"/>
    <w:rsid w:val="00701675"/>
    <w:rsid w:val="007236BD"/>
    <w:rsid w:val="007247EB"/>
    <w:rsid w:val="00736C75"/>
    <w:rsid w:val="007432F9"/>
    <w:rsid w:val="00787C4B"/>
    <w:rsid w:val="00790F64"/>
    <w:rsid w:val="007911FD"/>
    <w:rsid w:val="007971B7"/>
    <w:rsid w:val="00797ADD"/>
    <w:rsid w:val="007A55FE"/>
    <w:rsid w:val="007A7AF3"/>
    <w:rsid w:val="007B440C"/>
    <w:rsid w:val="007B7023"/>
    <w:rsid w:val="007D04AC"/>
    <w:rsid w:val="007D56F6"/>
    <w:rsid w:val="00807DF9"/>
    <w:rsid w:val="00807E59"/>
    <w:rsid w:val="008220CF"/>
    <w:rsid w:val="00842236"/>
    <w:rsid w:val="00845548"/>
    <w:rsid w:val="008621B7"/>
    <w:rsid w:val="00885D39"/>
    <w:rsid w:val="008A33DC"/>
    <w:rsid w:val="008A41AE"/>
    <w:rsid w:val="008B0A46"/>
    <w:rsid w:val="008B733E"/>
    <w:rsid w:val="008C0EDD"/>
    <w:rsid w:val="008C4852"/>
    <w:rsid w:val="008D6CC1"/>
    <w:rsid w:val="008F252F"/>
    <w:rsid w:val="008F4874"/>
    <w:rsid w:val="009035F3"/>
    <w:rsid w:val="00905D5D"/>
    <w:rsid w:val="009139C8"/>
    <w:rsid w:val="00927738"/>
    <w:rsid w:val="0094111B"/>
    <w:rsid w:val="0094136A"/>
    <w:rsid w:val="00960BD1"/>
    <w:rsid w:val="00961A02"/>
    <w:rsid w:val="00961E40"/>
    <w:rsid w:val="009630B6"/>
    <w:rsid w:val="009975AC"/>
    <w:rsid w:val="009A1BA9"/>
    <w:rsid w:val="009A2A96"/>
    <w:rsid w:val="009A73B0"/>
    <w:rsid w:val="009E422F"/>
    <w:rsid w:val="009F5601"/>
    <w:rsid w:val="00A07800"/>
    <w:rsid w:val="00A27D39"/>
    <w:rsid w:val="00A33BDE"/>
    <w:rsid w:val="00A41EFE"/>
    <w:rsid w:val="00A4414F"/>
    <w:rsid w:val="00A57D37"/>
    <w:rsid w:val="00A65E5A"/>
    <w:rsid w:val="00A66BEA"/>
    <w:rsid w:val="00A673B8"/>
    <w:rsid w:val="00A84DF3"/>
    <w:rsid w:val="00AE5B1C"/>
    <w:rsid w:val="00AF5573"/>
    <w:rsid w:val="00B105DE"/>
    <w:rsid w:val="00B138A8"/>
    <w:rsid w:val="00B3597B"/>
    <w:rsid w:val="00B35B1C"/>
    <w:rsid w:val="00B403B8"/>
    <w:rsid w:val="00B42299"/>
    <w:rsid w:val="00B80032"/>
    <w:rsid w:val="00B84BA3"/>
    <w:rsid w:val="00B84F6D"/>
    <w:rsid w:val="00B932ED"/>
    <w:rsid w:val="00BA13CD"/>
    <w:rsid w:val="00BA7721"/>
    <w:rsid w:val="00BB6EA5"/>
    <w:rsid w:val="00BC1587"/>
    <w:rsid w:val="00BC19E3"/>
    <w:rsid w:val="00BC78D7"/>
    <w:rsid w:val="00BF1532"/>
    <w:rsid w:val="00BF17B1"/>
    <w:rsid w:val="00C1095F"/>
    <w:rsid w:val="00C233CD"/>
    <w:rsid w:val="00C24D79"/>
    <w:rsid w:val="00C25DEF"/>
    <w:rsid w:val="00C32DE0"/>
    <w:rsid w:val="00C61EC8"/>
    <w:rsid w:val="00C73953"/>
    <w:rsid w:val="00C7604F"/>
    <w:rsid w:val="00C8170A"/>
    <w:rsid w:val="00C860F1"/>
    <w:rsid w:val="00CA1F1D"/>
    <w:rsid w:val="00CA2AC4"/>
    <w:rsid w:val="00CA3834"/>
    <w:rsid w:val="00CC5BBF"/>
    <w:rsid w:val="00CD75F2"/>
    <w:rsid w:val="00CE3FD6"/>
    <w:rsid w:val="00CE4636"/>
    <w:rsid w:val="00CF1068"/>
    <w:rsid w:val="00CF48BE"/>
    <w:rsid w:val="00D01619"/>
    <w:rsid w:val="00D26516"/>
    <w:rsid w:val="00D2698B"/>
    <w:rsid w:val="00D27C7D"/>
    <w:rsid w:val="00D44DB3"/>
    <w:rsid w:val="00D65F3A"/>
    <w:rsid w:val="00D837A8"/>
    <w:rsid w:val="00D846F4"/>
    <w:rsid w:val="00D907EF"/>
    <w:rsid w:val="00DD1867"/>
    <w:rsid w:val="00DE4003"/>
    <w:rsid w:val="00DE6DBA"/>
    <w:rsid w:val="00DE73D8"/>
    <w:rsid w:val="00DF4AC6"/>
    <w:rsid w:val="00E059D9"/>
    <w:rsid w:val="00E14254"/>
    <w:rsid w:val="00E156C0"/>
    <w:rsid w:val="00E160FC"/>
    <w:rsid w:val="00E22154"/>
    <w:rsid w:val="00E30196"/>
    <w:rsid w:val="00E537A3"/>
    <w:rsid w:val="00E90C71"/>
    <w:rsid w:val="00EA3ECF"/>
    <w:rsid w:val="00EB3D91"/>
    <w:rsid w:val="00ED0574"/>
    <w:rsid w:val="00EF09FC"/>
    <w:rsid w:val="00F127A7"/>
    <w:rsid w:val="00F20799"/>
    <w:rsid w:val="00F2651A"/>
    <w:rsid w:val="00F342F1"/>
    <w:rsid w:val="00F76002"/>
    <w:rsid w:val="00F83580"/>
    <w:rsid w:val="00F9005E"/>
    <w:rsid w:val="00F90981"/>
    <w:rsid w:val="00F92F1A"/>
    <w:rsid w:val="00F95677"/>
    <w:rsid w:val="00FA26DC"/>
    <w:rsid w:val="00FD4BF1"/>
    <w:rsid w:val="00FE218D"/>
    <w:rsid w:val="00FE7605"/>
    <w:rsid w:val="00FF14FC"/>
    <w:rsid w:val="00FF3E4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C9613"/>
  <w15:chartTrackingRefBased/>
  <w15:docId w15:val="{D6CC7EE3-31FF-4CA7-A0D4-DE1D3E57B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616A4E"/>
    <w:pPr>
      <w:tabs>
        <w:tab w:val="left" w:pos="384"/>
      </w:tabs>
      <w:spacing w:after="240" w:line="240" w:lineRule="auto"/>
      <w:ind w:left="384" w:hanging="384"/>
    </w:pPr>
  </w:style>
  <w:style w:type="paragraph" w:styleId="ListParagraph">
    <w:name w:val="List Paragraph"/>
    <w:basedOn w:val="Normal"/>
    <w:qFormat/>
    <w:rsid w:val="00616A4E"/>
    <w:pPr>
      <w:ind w:left="720"/>
      <w:contextualSpacing/>
    </w:pPr>
  </w:style>
  <w:style w:type="paragraph" w:styleId="Header">
    <w:name w:val="header"/>
    <w:basedOn w:val="Normal"/>
    <w:link w:val="HeaderChar"/>
    <w:uiPriority w:val="99"/>
    <w:unhideWhenUsed/>
    <w:rsid w:val="006308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08D6"/>
  </w:style>
  <w:style w:type="paragraph" w:styleId="Footer">
    <w:name w:val="footer"/>
    <w:basedOn w:val="Normal"/>
    <w:link w:val="FooterChar"/>
    <w:uiPriority w:val="99"/>
    <w:unhideWhenUsed/>
    <w:rsid w:val="006308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08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27A386-903A-478E-9B8F-5A4AAF43C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14171</Words>
  <Characters>80776</Characters>
  <Application>Microsoft Office Word</Application>
  <DocSecurity>0</DocSecurity>
  <Lines>673</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Gerard Lambe</dc:creator>
  <cp:keywords/>
  <dc:description/>
  <cp:lastModifiedBy>Gerard Lambe</cp:lastModifiedBy>
  <cp:revision>2</cp:revision>
  <dcterms:created xsi:type="dcterms:W3CDTF">2021-11-04T18:40:00Z</dcterms:created>
  <dcterms:modified xsi:type="dcterms:W3CDTF">2021-11-04T18:40:00Z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zotero-version="5.0.96.2"&gt;&lt;session id="uLUGM7zo"/&gt;&lt;style id="http://www.zotero.org/styles/irish-journal-of-medical-science" hasBibliography="1" bibliographyStyleHasBeenSet="1"/&gt;&lt;prefs&gt;&lt;pref name="fieldType" value="Field"/&gt;&lt;/prefs&gt;&lt;/</vt:lpwstr>
  </property>
  <property fmtid="{D5CDD505-2E9C-101B-9397-08002B2CF9AE}" pid="3" name="ZOTERO_PREF_2">
    <vt:lpwstr>data&gt;</vt:lpwstr>
  </property>
</Properties>
</file>