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5D260" w14:textId="77777777" w:rsidR="00514651" w:rsidRDefault="00514651" w:rsidP="009914A5">
      <w:pPr>
        <w:pStyle w:val="Authornames"/>
        <w:rPr>
          <w:b/>
        </w:rPr>
      </w:pPr>
      <w:r w:rsidRPr="00514651">
        <w:rPr>
          <w:b/>
        </w:rPr>
        <w:t xml:space="preserve">Shifting Mindsets; A Critical Commentary on Child Protection and Welfare, Disability, and Online Risk through Critical Literature Review </w:t>
      </w:r>
    </w:p>
    <w:p w14:paraId="3FD71617" w14:textId="514327A6" w:rsidR="00751630" w:rsidRDefault="00751630" w:rsidP="00751630">
      <w:pPr>
        <w:pStyle w:val="Authornames"/>
      </w:pPr>
      <w:r w:rsidRPr="00751630">
        <w:t>Ms. Rose Doolan Maher</w:t>
      </w:r>
      <w:r w:rsidRPr="00751630">
        <w:rPr>
          <w:vertAlign w:val="superscript"/>
        </w:rPr>
        <w:t xml:space="preserve"> </w:t>
      </w:r>
      <w:r w:rsidRPr="00394920">
        <w:rPr>
          <w:vertAlign w:val="superscript"/>
        </w:rPr>
        <w:t>a</w:t>
      </w:r>
      <w:r>
        <w:t>*</w:t>
      </w:r>
      <w:r w:rsidRPr="00751630">
        <w:t xml:space="preserve">, </w:t>
      </w:r>
      <w:proofErr w:type="spellStart"/>
      <w:r w:rsidRPr="00751630">
        <w:t>Dr.</w:t>
      </w:r>
      <w:proofErr w:type="spellEnd"/>
      <w:r w:rsidRPr="00751630">
        <w:t xml:space="preserve"> Susan </w:t>
      </w:r>
      <w:proofErr w:type="spellStart"/>
      <w:r w:rsidRPr="00751630">
        <w:t>Flynn</w:t>
      </w:r>
      <w:r w:rsidRPr="00394920">
        <w:rPr>
          <w:vertAlign w:val="superscript"/>
        </w:rPr>
        <w:t>b</w:t>
      </w:r>
      <w:proofErr w:type="spellEnd"/>
      <w:r w:rsidRPr="00751630">
        <w:t xml:space="preserve"> and </w:t>
      </w:r>
      <w:proofErr w:type="spellStart"/>
      <w:r w:rsidRPr="00751630">
        <w:t>Dr.</w:t>
      </w:r>
      <w:proofErr w:type="spellEnd"/>
      <w:r w:rsidRPr="00751630">
        <w:t xml:space="preserve"> Julie Byrne</w:t>
      </w:r>
      <w:r>
        <w:rPr>
          <w:vertAlign w:val="superscript"/>
        </w:rPr>
        <w:t>c</w:t>
      </w:r>
    </w:p>
    <w:p w14:paraId="6CBCC2B8" w14:textId="10B132BB" w:rsidR="00997B0F" w:rsidRDefault="00B64FA3" w:rsidP="00A2360E">
      <w:pPr>
        <w:pStyle w:val="Affiliation"/>
      </w:pPr>
      <w:r w:rsidRPr="00394920">
        <w:rPr>
          <w:vertAlign w:val="superscript"/>
        </w:rPr>
        <w:t>a</w:t>
      </w:r>
      <w:r w:rsidR="00480689" w:rsidRPr="00480689">
        <w:t xml:space="preserve"> </w:t>
      </w:r>
      <w:r w:rsidR="00480689">
        <w:t>School of Social Work and Social Policy</w:t>
      </w:r>
      <w:r>
        <w:t xml:space="preserve">, </w:t>
      </w:r>
      <w:r w:rsidR="00480689">
        <w:t>Trinity College</w:t>
      </w:r>
      <w:r>
        <w:t xml:space="preserve">, </w:t>
      </w:r>
      <w:r w:rsidR="002F32C6">
        <w:t>Dublin</w:t>
      </w:r>
      <w:r>
        <w:t xml:space="preserve">, </w:t>
      </w:r>
      <w:r w:rsidR="002F32C6">
        <w:t>Ireland</w:t>
      </w:r>
      <w:r>
        <w:t>;</w:t>
      </w:r>
      <w:r w:rsidRPr="003152C8">
        <w:t xml:space="preserve"> </w:t>
      </w:r>
      <w:r w:rsidRPr="00394920">
        <w:rPr>
          <w:vertAlign w:val="superscript"/>
        </w:rPr>
        <w:t>b</w:t>
      </w:r>
      <w:r w:rsidR="00A20D72" w:rsidRPr="00A20D72">
        <w:t xml:space="preserve"> </w:t>
      </w:r>
      <w:r w:rsidR="00A20D72">
        <w:t>School of Social Work and Social Policy, Trinity College, Dublin, Ireland</w:t>
      </w:r>
      <w:r>
        <w:t>, Country</w:t>
      </w:r>
      <w:r w:rsidR="004A7569">
        <w:t xml:space="preserve">; </w:t>
      </w:r>
      <w:r w:rsidR="004A7569">
        <w:rPr>
          <w:vertAlign w:val="superscript"/>
        </w:rPr>
        <w:t>c</w:t>
      </w:r>
      <w:r w:rsidR="00A20D72" w:rsidRPr="00A20D72">
        <w:t xml:space="preserve"> </w:t>
      </w:r>
      <w:r w:rsidR="00A20D72">
        <w:t>School of Social Work and Social Policy, Trinity College, Dublin, Ireland</w:t>
      </w:r>
    </w:p>
    <w:p w14:paraId="6FD8A306" w14:textId="77777777" w:rsidR="00DD4347" w:rsidRDefault="00DD4347" w:rsidP="00DD4347">
      <w:pPr>
        <w:shd w:val="clear" w:color="auto" w:fill="FFFFFF"/>
        <w:spacing w:line="240" w:lineRule="auto"/>
      </w:pPr>
    </w:p>
    <w:p w14:paraId="20870EEC" w14:textId="1908F5F4" w:rsidR="000A4428" w:rsidRPr="003E0330" w:rsidRDefault="00DD4347" w:rsidP="003E0330">
      <w:pPr>
        <w:shd w:val="clear" w:color="auto" w:fill="FFFFFF"/>
        <w:spacing w:line="240" w:lineRule="auto"/>
        <w:rPr>
          <w:color w:val="000000"/>
        </w:rPr>
      </w:pPr>
      <w:r>
        <w:t>*</w:t>
      </w:r>
      <w:r w:rsidRPr="00DD4347">
        <w:rPr>
          <w:color w:val="000000"/>
        </w:rPr>
        <w:t xml:space="preserve"> </w:t>
      </w:r>
      <w:r>
        <w:rPr>
          <w:color w:val="000000"/>
        </w:rPr>
        <w:t>Children's Research Centre, Office 309. 3-4 Foster Place,</w:t>
      </w:r>
      <w:r w:rsidR="003E0330">
        <w:rPr>
          <w:color w:val="000000"/>
        </w:rPr>
        <w:t xml:space="preserve"> </w:t>
      </w:r>
      <w:r>
        <w:rPr>
          <w:color w:val="000000"/>
        </w:rPr>
        <w:t>Trinity College Dublin,</w:t>
      </w:r>
      <w:r>
        <w:t xml:space="preserve"> the</w:t>
      </w:r>
      <w:r w:rsidR="003E0330">
        <w:t xml:space="preserve"> </w:t>
      </w:r>
      <w:r>
        <w:t>University of Dublin</w:t>
      </w:r>
      <w:r w:rsidR="003E0330">
        <w:rPr>
          <w:color w:val="000000"/>
        </w:rPr>
        <w:t xml:space="preserve">, </w:t>
      </w:r>
      <w:r>
        <w:rPr>
          <w:color w:val="000000"/>
        </w:rPr>
        <w:t>Dublin 2</w:t>
      </w:r>
      <w:r w:rsidR="003E0330">
        <w:rPr>
          <w:color w:val="000000"/>
        </w:rPr>
        <w:t xml:space="preserve">; </w:t>
      </w:r>
      <w:hyperlink r:id="rId8" w:history="1">
        <w:r w:rsidR="003E0330" w:rsidRPr="00C12C13">
          <w:rPr>
            <w:rStyle w:val="Hyperlink"/>
          </w:rPr>
          <w:t>rosedoolan001@gmail.com</w:t>
        </w:r>
      </w:hyperlink>
    </w:p>
    <w:p w14:paraId="785433CC" w14:textId="60C72E05" w:rsidR="00C14585" w:rsidRDefault="003E0330" w:rsidP="005E2EEA">
      <w:pPr>
        <w:pStyle w:val="Notesoncontributors"/>
      </w:pPr>
      <w:r w:rsidRPr="003E0330">
        <w:rPr>
          <w:b/>
          <w:bCs/>
        </w:rPr>
        <w:t>Rose Doolan Maher</w:t>
      </w:r>
      <w:r w:rsidRPr="003E0330">
        <w:t xml:space="preserve"> is a PhD student in the School of Social Work and Social Policy at Trinity College Dublin in receipt of a Provost Award.  Rose has worked as a social care practitioner since 1994 with service user groups from a variety of different social care environments both nationally and internationally. Rose teaches part-time with Trinity Centre for People with Disabilities and also works as an external supervisor for managers of residential care services within the childcare, disability, and education sector. </w:t>
      </w:r>
      <w:hyperlink r:id="rId9" w:history="1">
        <w:r w:rsidRPr="003E0330">
          <w:rPr>
            <w:rStyle w:val="Hyperlink"/>
          </w:rPr>
          <w:t>https://orcid.org/0000-0002-3391-7224</w:t>
        </w:r>
      </w:hyperlink>
    </w:p>
    <w:p w14:paraId="7EC64741" w14:textId="579AB744" w:rsidR="003E0330" w:rsidRPr="003E0330" w:rsidRDefault="003E0330" w:rsidP="003E0330">
      <w:pPr>
        <w:pStyle w:val="Notesoncontributors"/>
      </w:pPr>
      <w:r w:rsidRPr="003E0330">
        <w:rPr>
          <w:b/>
          <w:bCs/>
        </w:rPr>
        <w:t>Dr Susan Flynn</w:t>
      </w:r>
      <w:r w:rsidRPr="003E0330">
        <w:t xml:space="preserve"> is a University Lecturer at Trinity College Dublin. Her research interests surround areas of disability and child protection, disability theory and practice issues, and social work. Her work features in a diversity of high-quality publications. </w:t>
      </w:r>
      <w:hyperlink r:id="rId10" w:history="1">
        <w:r w:rsidRPr="003E0330">
          <w:rPr>
            <w:rStyle w:val="Hyperlink"/>
          </w:rPr>
          <w:t>https://orcid.org/0000-0002-2807-0866</w:t>
        </w:r>
      </w:hyperlink>
    </w:p>
    <w:p w14:paraId="1C509A75" w14:textId="31640286" w:rsidR="003E0330" w:rsidRPr="003E0330" w:rsidRDefault="003E0330" w:rsidP="003E0330">
      <w:pPr>
        <w:pStyle w:val="Notesoncontributors"/>
      </w:pPr>
      <w:r w:rsidRPr="003E0330">
        <w:rPr>
          <w:b/>
          <w:bCs/>
        </w:rPr>
        <w:t>Dr Julie Byrne</w:t>
      </w:r>
      <w:r w:rsidRPr="003E0330">
        <w:t xml:space="preserve"> is a lecturer at Trinity College Dublin, the University of Ireland where she is also the Director for Undergraduate Teaching and Learning in the School of Social Work and Social Policy. Julie’s research interests include the impact of technology on human services. Her publications have investigated the profession-specific and transversal skill needs created by technology use. </w:t>
      </w:r>
      <w:hyperlink r:id="rId11" w:history="1">
        <w:r w:rsidRPr="003E0330">
          <w:rPr>
            <w:rStyle w:val="Hyperlink"/>
          </w:rPr>
          <w:t>https://orcid.org/0000-0002-5913-1158</w:t>
        </w:r>
      </w:hyperlink>
    </w:p>
    <w:p w14:paraId="5153FE90" w14:textId="1D562A9A" w:rsidR="00C246C5" w:rsidRPr="000D3160" w:rsidRDefault="00C14585" w:rsidP="000D3160">
      <w:pPr>
        <w:pStyle w:val="Authornames"/>
        <w:rPr>
          <w:b/>
        </w:rPr>
      </w:pPr>
      <w:r>
        <w:br w:type="page"/>
      </w:r>
      <w:r w:rsidR="000D3160" w:rsidRPr="00514651">
        <w:rPr>
          <w:b/>
        </w:rPr>
        <w:lastRenderedPageBreak/>
        <w:t>Shifting Mindsets; A Critical Commentary on Child Protection and Welfare, Disability, and Online Risk through Critical Literature Review</w:t>
      </w:r>
    </w:p>
    <w:p w14:paraId="1E59B20E" w14:textId="410CEC58" w:rsidR="00266354" w:rsidRDefault="000D3160" w:rsidP="00E01BAA">
      <w:pPr>
        <w:pStyle w:val="Abstract"/>
      </w:pPr>
      <w:r>
        <w:rPr>
          <w:rFonts w:cs="Calibri"/>
        </w:rPr>
        <w:t>Critical commentary is presented at the complex intersection of child protection and welfare, disability, and internet use. A profound lack of research exists on this topic.</w:t>
      </w:r>
      <w:r>
        <w:rPr>
          <w:rFonts w:cs="Calibri"/>
          <w:bCs/>
        </w:rPr>
        <w:t xml:space="preserve"> </w:t>
      </w:r>
      <w:r>
        <w:rPr>
          <w:rFonts w:cs="Calibri"/>
        </w:rPr>
        <w:t>Findings from a critical literature review focus on the theme of online risk which included the topic of child abuse / online solicitation, cyber victimization/cyberbullying, problematic internet use, and breach of data protection</w:t>
      </w:r>
      <w:r>
        <w:rPr>
          <w:rFonts w:cs="Calibri"/>
          <w:bCs/>
        </w:rPr>
        <w:t xml:space="preserve">. The approach taken to review literature was adopted from </w:t>
      </w:r>
      <w:proofErr w:type="spellStart"/>
      <w:r>
        <w:rPr>
          <w:rFonts w:cs="Calibri"/>
          <w:color w:val="222222"/>
          <w:shd w:val="clear" w:color="auto" w:fill="FFFFFF"/>
        </w:rPr>
        <w:t>Aromataris</w:t>
      </w:r>
      <w:proofErr w:type="spellEnd"/>
      <w:r>
        <w:rPr>
          <w:rFonts w:cs="Calibri"/>
          <w:color w:val="222222"/>
          <w:shd w:val="clear" w:color="auto" w:fill="FFFFFF"/>
        </w:rPr>
        <w:t xml:space="preserve"> and Pearson (2014). Disabled young people are exposed to and impacted by </w:t>
      </w:r>
      <w:r>
        <w:rPr>
          <w:rFonts w:cs="Calibri"/>
        </w:rPr>
        <w:t>harmful online content. Key points, and online resources are highlighted for parents and guardians of disabled children, social care practitioners, safeguarding professionals, and educators. This paper attempts to advance scholarly discourse, policy, and practice, the authors arguing that it is time to shift our mindsets about safeguarding disabled young people online from thoughtful attention to purposeful action</w:t>
      </w:r>
      <w:r w:rsidR="00584738">
        <w:t>.</w:t>
      </w:r>
    </w:p>
    <w:p w14:paraId="72109175" w14:textId="77777777" w:rsidR="0020415E" w:rsidRPr="0020415E" w:rsidRDefault="00997B0F" w:rsidP="00F30DFF">
      <w:pPr>
        <w:pStyle w:val="Keywords"/>
      </w:pPr>
      <w:r w:rsidRPr="00CC22FF">
        <w:t>Keywords: word; another word; lower case except names</w:t>
      </w:r>
    </w:p>
    <w:p w14:paraId="688E1A88" w14:textId="58864A7B" w:rsidR="003A253D" w:rsidRDefault="003A253D" w:rsidP="00106DAF">
      <w:pPr>
        <w:pStyle w:val="Heading1"/>
      </w:pPr>
      <w:r w:rsidRPr="003A253D">
        <w:rPr>
          <w:lang w:val="en-US"/>
        </w:rPr>
        <w:t>Introduction</w:t>
      </w:r>
      <w:r w:rsidRPr="003A253D">
        <w:t xml:space="preserve"> </w:t>
      </w:r>
    </w:p>
    <w:p w14:paraId="74B9F586" w14:textId="77777777" w:rsidR="006F7A6C" w:rsidRDefault="001F0A12" w:rsidP="006F7A6C">
      <w:pPr>
        <w:ind w:right="-46"/>
        <w:contextualSpacing/>
        <w:rPr>
          <w:rFonts w:cs="Calibri"/>
        </w:rPr>
      </w:pPr>
      <w:bookmarkStart w:id="0" w:name="_Hlk147917866"/>
      <w:r>
        <w:rPr>
          <w:rFonts w:cs="Calibri"/>
        </w:rPr>
        <w:t xml:space="preserve">While recent developments in Artificial Intelligence are bringing renewed attention to the impact of the digital world on our societies, the pervasive use of the internet in daily life has been a challenge to grapple with for some time. Not surprisingly, 84% of Europeans are using the Internet on a daily basis (Eurostat, 2022) and 99% of households with children in Ireland are going online every day. Over four in ten of those households are online all the time or almost all the time (CSO, 2022). This paper stems from a funded research project that focuses on the intersection between child protection and welfare, disability and internet use. Vulnerabilities and complexities that exist for disabled young people around their internet use are strongly evidenced in literature (Balan, C. 2018; </w:t>
      </w:r>
      <w:hyperlink w:history="1">
        <w:proofErr w:type="spellStart"/>
        <w:r>
          <w:rPr>
            <w:rFonts w:cs="Calibri"/>
            <w:bCs/>
            <w:shd w:val="clear" w:color="auto" w:fill="FFFFFF"/>
          </w:rPr>
          <w:t>Borgström</w:t>
        </w:r>
        <w:proofErr w:type="spellEnd"/>
      </w:hyperlink>
      <w:r>
        <w:rPr>
          <w:rFonts w:cs="Calibri"/>
        </w:rPr>
        <w:t>, A. 2021; Chadwick, 2019;</w:t>
      </w:r>
      <w:r>
        <w:rPr>
          <w:rFonts w:cs="Calibri"/>
          <w:color w:val="222222"/>
          <w:shd w:val="clear" w:color="auto" w:fill="FFFFFF"/>
        </w:rPr>
        <w:t xml:space="preserve"> Heiman &amp; Shemesh, 2019</w:t>
      </w:r>
      <w:r>
        <w:rPr>
          <w:rFonts w:cs="Calibri"/>
          <w:shd w:val="clear" w:color="auto" w:fill="FFFFFF"/>
        </w:rPr>
        <w:t xml:space="preserve">; </w:t>
      </w:r>
      <w:r>
        <w:rPr>
          <w:rFonts w:cs="Calibri"/>
          <w:shd w:val="clear" w:color="auto" w:fill="FFFFFF"/>
        </w:rPr>
        <w:lastRenderedPageBreak/>
        <w:t>Wells &amp; Mitchell, 2014</w:t>
      </w:r>
      <w:r>
        <w:rPr>
          <w:rFonts w:cs="Calibri"/>
        </w:rPr>
        <w:t>). Attention to such complexities highlights the necessity for deeper consideration and research into the intersection between disability, child protection and internet use. The specific focus for this paper is to present a critical commentary on findings from a critical literature review carried out in June 2022. Within this, emphasis is placed on the theme of online risk whereby young people, inclusive of disabled young people, using the internet are exposed to harm online.</w:t>
      </w:r>
      <w:bookmarkEnd w:id="0"/>
    </w:p>
    <w:p w14:paraId="1D2A19B7" w14:textId="38CEE87E" w:rsidR="001F0A12" w:rsidRPr="006F7A6C" w:rsidRDefault="001F0A12" w:rsidP="006F7A6C">
      <w:pPr>
        <w:ind w:right="-45" w:firstLine="720"/>
        <w:contextualSpacing/>
      </w:pPr>
      <w:r>
        <w:rPr>
          <w:rFonts w:cs="Calibri"/>
        </w:rPr>
        <w:t xml:space="preserve">The authors are based in the Republic of Ireland. The Health Service Executive is the government body that funds services for intellectually disabled people either directly or through voluntary bodies in this country. Children Disability Network Teams are made up of specialised professionals who are situated throughout the Republic of Ireland providing services for children and their families aged between birth and 18 years of age with complex needs (HSE, 2023, para.4). Some definitions elucidated upon in this paper such as </w:t>
      </w:r>
      <w:r>
        <w:rPr>
          <w:rFonts w:cs="Calibri"/>
          <w:i/>
          <w:iCs/>
        </w:rPr>
        <w:t>disability and child protection and welfare</w:t>
      </w:r>
      <w:r>
        <w:rPr>
          <w:rFonts w:cs="Calibri"/>
        </w:rPr>
        <w:t xml:space="preserve"> stem from the country in which this paper is set. This paper will be of particular interest </w:t>
      </w:r>
      <w:bookmarkStart w:id="1" w:name="_Hlk145781989"/>
      <w:r>
        <w:rPr>
          <w:rFonts w:cs="Calibri"/>
        </w:rPr>
        <w:t>to parents and guardians of disabled children, social care practitioners, safeguarding professionals, and educators alike</w:t>
      </w:r>
      <w:bookmarkEnd w:id="1"/>
      <w:r>
        <w:rPr>
          <w:rFonts w:cs="Calibri"/>
        </w:rPr>
        <w:t xml:space="preserve"> within the Republic of Ireland and beyond. It also attempts to </w:t>
      </w:r>
      <w:bookmarkStart w:id="2" w:name="_Hlk145782156"/>
      <w:r>
        <w:rPr>
          <w:rFonts w:cs="Calibri"/>
        </w:rPr>
        <w:t xml:space="preserve">advance scholarly discourse, policy, and practice around the complex intersection between child protection and welfare, disability, and internet use. </w:t>
      </w:r>
      <w:bookmarkEnd w:id="2"/>
      <w:r>
        <w:rPr>
          <w:rFonts w:cs="Calibri"/>
        </w:rPr>
        <w:t xml:space="preserve">Defining what is meant by these terms is essential to frame the context of this paper whilst highlighting key learning for practice. The rationale for this research is explained alongside details of the methodological process.  Critical literature review findings highlight the harmful impact of internet use on disabled young people. Ultimately the authors argue that it is time to shift our mindsets about safeguarding disabled young people online from thoughtful attention to purposeful action. </w:t>
      </w:r>
    </w:p>
    <w:p w14:paraId="2F9E270F" w14:textId="77777777" w:rsidR="006F7A6C" w:rsidRDefault="006F7A6C" w:rsidP="006F7A6C">
      <w:pPr>
        <w:pStyle w:val="Newparagraph"/>
        <w:ind w:firstLine="0"/>
      </w:pPr>
    </w:p>
    <w:p w14:paraId="55A2F506" w14:textId="5D5FBDA8" w:rsidR="006F7A6C" w:rsidRDefault="006F7A6C" w:rsidP="006F7A6C">
      <w:pPr>
        <w:pStyle w:val="Heading1"/>
      </w:pPr>
      <w:r>
        <w:rPr>
          <w:rFonts w:cs="Calibri"/>
          <w:kern w:val="0"/>
        </w:rPr>
        <w:lastRenderedPageBreak/>
        <w:t>Context</w:t>
      </w:r>
      <w:r w:rsidRPr="003A253D">
        <w:t xml:space="preserve"> </w:t>
      </w:r>
    </w:p>
    <w:p w14:paraId="708601C5" w14:textId="77777777" w:rsidR="006F7A6C" w:rsidRDefault="006F7A6C" w:rsidP="006F7A6C">
      <w:pPr>
        <w:pStyle w:val="Paragraph"/>
        <w:contextualSpacing/>
        <w:rPr>
          <w:rFonts w:cs="Calibri"/>
        </w:rPr>
      </w:pPr>
      <w:r w:rsidRPr="006F7A6C">
        <w:rPr>
          <w:rFonts w:cs="Calibri"/>
        </w:rPr>
        <w:t xml:space="preserve">The relevance of this paper lies in a profound knowledge gap on disability and internet use specific to child protection and welfare risk. The paper uses identity first terminology and language such as disabled young person/ children based on research by Sharif et al. (2022) whose survey of over 500 disabled people from 23 countries supports this terminology. The paucity in research within this field is problematic for practitioners attempting to provide holistic, person centred care for disabled children (El Asam et al.,2021; Taylor et al., 2020; Dimitropoulos et al., 2022).  A gap in expertise exists hence difficulties in assisting disabled children in the care sector to navigate the issues which occur while engaging in their digital world from social media apps to virtual gaming to technical access issues. The digital generational gap plays out on a daily basis within families (Piguet, et al., 2019; Dyer, 2018; Sandberg et al., 2021), care environments (Taylor et al., 2020; Dimitropoulos et al., 2022) and educational settings (Goodyear &amp; Armour, 2021; DeLay, 2020). </w:t>
      </w:r>
    </w:p>
    <w:p w14:paraId="4EE84D6E" w14:textId="77777777" w:rsidR="006F7A6C" w:rsidRDefault="006F7A6C" w:rsidP="006F7A6C">
      <w:pPr>
        <w:pStyle w:val="Paragraph"/>
        <w:ind w:firstLine="720"/>
        <w:contextualSpacing/>
        <w:rPr>
          <w:rFonts w:cs="Calibri"/>
        </w:rPr>
      </w:pPr>
      <w:r w:rsidRPr="006F7A6C">
        <w:rPr>
          <w:rFonts w:cs="Calibri"/>
        </w:rPr>
        <w:t>There has been a rapid change in internet use with a consistent influx of new digital media options available. There has also been exponential growth in internet use by all children including disabled children since the Covid 19 pandemic (</w:t>
      </w:r>
      <w:proofErr w:type="spellStart"/>
      <w:r w:rsidRPr="006F7A6C">
        <w:rPr>
          <w:rFonts w:cs="Calibri"/>
        </w:rPr>
        <w:t>Adıbelli</w:t>
      </w:r>
      <w:proofErr w:type="spellEnd"/>
      <w:r w:rsidRPr="006F7A6C">
        <w:rPr>
          <w:rFonts w:cs="Calibri"/>
        </w:rPr>
        <w:t xml:space="preserve"> &amp; </w:t>
      </w:r>
      <w:proofErr w:type="spellStart"/>
      <w:r w:rsidRPr="006F7A6C">
        <w:rPr>
          <w:rFonts w:cs="Calibri"/>
        </w:rPr>
        <w:t>Sümen</w:t>
      </w:r>
      <w:proofErr w:type="spellEnd"/>
      <w:r w:rsidRPr="006F7A6C">
        <w:rPr>
          <w:rFonts w:cs="Calibri"/>
        </w:rPr>
        <w:t>, 2020; Chawla et al., 2021; Ozturk &amp; Ayaz-</w:t>
      </w:r>
      <w:proofErr w:type="spellStart"/>
      <w:r w:rsidRPr="006F7A6C">
        <w:rPr>
          <w:rFonts w:cs="Calibri"/>
        </w:rPr>
        <w:t>Alkaya</w:t>
      </w:r>
      <w:proofErr w:type="spellEnd"/>
      <w:r w:rsidRPr="006F7A6C">
        <w:rPr>
          <w:rFonts w:cs="Calibri"/>
        </w:rPr>
        <w:t xml:space="preserve">, 2021). These changes underpin the rationale for this paper. The lack of engagement of tech companies to regulate platforms (Farid, 2018; Dunn, 2022; </w:t>
      </w:r>
      <w:proofErr w:type="spellStart"/>
      <w:r w:rsidRPr="006F7A6C">
        <w:rPr>
          <w:rFonts w:cs="Calibri"/>
        </w:rPr>
        <w:t>Gurriell</w:t>
      </w:r>
      <w:proofErr w:type="spellEnd"/>
      <w:r w:rsidRPr="006F7A6C">
        <w:rPr>
          <w:rFonts w:cs="Calibri"/>
        </w:rPr>
        <w:t>, 2021; Krishna, 2021) also highlights the importance of addressing this topic.</w:t>
      </w:r>
    </w:p>
    <w:p w14:paraId="0A8783E1" w14:textId="77777777" w:rsidR="006F7A6C" w:rsidRDefault="006F7A6C" w:rsidP="006F7A6C">
      <w:pPr>
        <w:pStyle w:val="Paragraph"/>
        <w:ind w:firstLine="720"/>
        <w:contextualSpacing/>
        <w:rPr>
          <w:rFonts w:cs="Calibri"/>
        </w:rPr>
      </w:pPr>
      <w:r w:rsidRPr="006F7A6C">
        <w:rPr>
          <w:rFonts w:cs="Calibri"/>
          <w:bCs/>
        </w:rPr>
        <w:t>Establishing definitions for disability, child protection and the Internet is essential at this point.</w:t>
      </w:r>
      <w:r w:rsidRPr="006F7A6C">
        <w:rPr>
          <w:rFonts w:cs="Calibri"/>
        </w:rPr>
        <w:t xml:space="preserve"> </w:t>
      </w:r>
      <w:r w:rsidRPr="006F7A6C">
        <w:rPr>
          <w:rFonts w:cs="Calibri"/>
          <w:bCs/>
        </w:rPr>
        <w:t xml:space="preserve"> In keeping with the UN Convention on the Rights of People with Disabilities (2006), the following definition of disability used in the Irish legislative context forms the basis of how disability is understood in this paper. The </w:t>
      </w:r>
      <w:r w:rsidRPr="006F7A6C">
        <w:rPr>
          <w:rFonts w:cs="Calibri"/>
        </w:rPr>
        <w:t xml:space="preserve">Disability Act </w:t>
      </w:r>
      <w:r w:rsidRPr="006F7A6C">
        <w:rPr>
          <w:rFonts w:cs="Calibri"/>
        </w:rPr>
        <w:lastRenderedPageBreak/>
        <w:t xml:space="preserve">2005, </w:t>
      </w:r>
      <w:proofErr w:type="gramStart"/>
      <w:r w:rsidRPr="006F7A6C">
        <w:rPr>
          <w:rFonts w:cs="Calibri"/>
        </w:rPr>
        <w:t>2.-(</w:t>
      </w:r>
      <w:proofErr w:type="gramEnd"/>
      <w:r w:rsidRPr="006F7A6C">
        <w:rPr>
          <w:rFonts w:cs="Calibri"/>
        </w:rPr>
        <w:t xml:space="preserve">1), states </w:t>
      </w:r>
      <w:r w:rsidRPr="006F7A6C">
        <w:rPr>
          <w:rFonts w:cs="Calibri"/>
          <w:bCs/>
        </w:rPr>
        <w:t xml:space="preserve"> </w:t>
      </w:r>
      <w:r w:rsidRPr="006F7A6C">
        <w:rPr>
          <w:rFonts w:cs="Calibri"/>
        </w:rPr>
        <w:t xml:space="preserve">“’Disability’, in relation to a person, means a substantial restriction in the capacity of the person to carry on a profession, business or occupation in the State or to participate in social or cultural life in the State by reason of an enduring physical, sensory, mental health or intellectual impairment”. This definition incorporates mental health which aligns itself with this paper. </w:t>
      </w:r>
    </w:p>
    <w:p w14:paraId="145F0C99" w14:textId="542AD703" w:rsidR="006F7A6C" w:rsidRPr="006F7A6C" w:rsidRDefault="006F7A6C" w:rsidP="006F7A6C">
      <w:pPr>
        <w:pStyle w:val="Paragraph"/>
        <w:ind w:firstLine="720"/>
        <w:contextualSpacing/>
        <w:rPr>
          <w:rFonts w:cs="Calibri"/>
        </w:rPr>
      </w:pPr>
      <w:r w:rsidRPr="006F7A6C">
        <w:rPr>
          <w:rFonts w:cs="Calibri"/>
        </w:rPr>
        <w:t xml:space="preserve">Furthermore, in terms of a conceptual framework, the affirmative non-tragedy lens within child protection and disability is supported (Flynn &amp; McGregor, 2017). The affirmative model, as defined by Swain and French (2000), originates from the arts movement within disability and </w:t>
      </w:r>
      <w:proofErr w:type="gramStart"/>
      <w:r w:rsidRPr="006F7A6C">
        <w:rPr>
          <w:rFonts w:cs="Calibri"/>
        </w:rPr>
        <w:t>challenges</w:t>
      </w:r>
      <w:proofErr w:type="gramEnd"/>
      <w:r w:rsidRPr="006F7A6C">
        <w:rPr>
          <w:rFonts w:cs="Calibri"/>
        </w:rPr>
        <w:t xml:space="preserve"> social identity perceptions.  Exploration of the division between the disabled person and the nondisabled person occurs explaining that the nondisabled person also has impairments. The non tragedy model examines disablement pointing out that hidden disabilities also have a significant disabling impact on individuals. Corker and Shakespeare indicate that ‘‘the global experience of disabled people is too complex to be rendered within one unitary model or set of ideas’’ (2002, p. 15). Therefore, in order to encompass the broad and complex nature of disability study, an all-encompassing, bespoke view of disability that acknowledges the non-tragedy model alongside the social model and human rights model will be the adopted conceptual framework of disability within this paper. </w:t>
      </w:r>
    </w:p>
    <w:p w14:paraId="1D730B39" w14:textId="77777777" w:rsidR="006F7A6C" w:rsidRPr="006F7A6C" w:rsidRDefault="006F7A6C" w:rsidP="006F7A6C">
      <w:pPr>
        <w:pStyle w:val="Paragraph"/>
        <w:ind w:firstLine="720"/>
        <w:contextualSpacing/>
        <w:rPr>
          <w:rFonts w:cs="Calibri"/>
        </w:rPr>
      </w:pPr>
      <w:r w:rsidRPr="006F7A6C">
        <w:rPr>
          <w:rFonts w:cs="Calibri"/>
        </w:rPr>
        <w:t>Child protection and welfare is defined as “government policy and its services working to prevent children being neglected and abused and to intervene when they are. In Ireland, as in many countries, the welfare of children is paramount” (</w:t>
      </w:r>
      <w:hyperlink w:history="1">
        <w:r w:rsidRPr="006F7A6C">
          <w:rPr>
            <w:rStyle w:val="Hyperlink"/>
            <w:rFonts w:cs="Calibri"/>
          </w:rPr>
          <w:t>Department of Children, Equality, Disability, Integration and Youth</w:t>
        </w:r>
      </w:hyperlink>
      <w:r w:rsidRPr="006F7A6C">
        <w:rPr>
          <w:rFonts w:cs="Calibri"/>
        </w:rPr>
        <w:t xml:space="preserve">,  2019, para.2) whilst on the UNICEF </w:t>
      </w:r>
      <w:r w:rsidRPr="006F7A6C">
        <w:rPr>
          <w:rFonts w:cs="Calibri"/>
          <w:iCs/>
        </w:rPr>
        <w:t>(2022)</w:t>
      </w:r>
      <w:r w:rsidRPr="006F7A6C">
        <w:rPr>
          <w:rFonts w:cs="Calibri"/>
          <w:i/>
          <w:iCs/>
        </w:rPr>
        <w:t xml:space="preserve"> </w:t>
      </w:r>
      <w:r w:rsidRPr="006F7A6C">
        <w:rPr>
          <w:rFonts w:cs="Calibri"/>
        </w:rPr>
        <w:t xml:space="preserve">website underpinning the heading </w:t>
      </w:r>
      <w:r w:rsidRPr="006F7A6C">
        <w:rPr>
          <w:rFonts w:cs="Calibri"/>
          <w:i/>
          <w:iCs/>
        </w:rPr>
        <w:t>Protecting Children Online</w:t>
      </w:r>
      <w:r w:rsidRPr="006F7A6C">
        <w:rPr>
          <w:rFonts w:cs="Calibri"/>
        </w:rPr>
        <w:t xml:space="preserve"> are the </w:t>
      </w:r>
      <w:r w:rsidRPr="006F7A6C">
        <w:rPr>
          <w:rFonts w:cs="Calibri"/>
          <w:i/>
          <w:iCs/>
        </w:rPr>
        <w:t xml:space="preserve">words every child must be protected from violence, exploitation, and abuse on the internet. </w:t>
      </w:r>
      <w:r w:rsidRPr="006F7A6C">
        <w:rPr>
          <w:rFonts w:cs="Calibri"/>
          <w:iCs/>
        </w:rPr>
        <w:t xml:space="preserve">UNICEF (2021) identify online risk as exposure to numerous threats in terms </w:t>
      </w:r>
      <w:r w:rsidRPr="006F7A6C">
        <w:rPr>
          <w:rFonts w:cs="Calibri"/>
          <w:iCs/>
        </w:rPr>
        <w:lastRenderedPageBreak/>
        <w:t xml:space="preserve">of online content, online contact, and online conduct. </w:t>
      </w:r>
      <w:r w:rsidRPr="006F7A6C">
        <w:rPr>
          <w:rFonts w:cs="Calibri"/>
        </w:rPr>
        <w:t xml:space="preserve">Online content is defined as the child being “a recipient of advertising content, spam, violent or hateful content, pornographic or unwanted sexual content”.  Online contact refers to a “child as a participant in situations related to being bullied, harassed or stalked, receiving unwanted sexual messages, being groomed, meeting in person contacts first met online”, whilst online conduct refers to a “child as an actor engaging in hacking, gambling, bullying or harassing behaviour, sending sexual material to others” </w:t>
      </w:r>
      <w:r w:rsidRPr="006F7A6C">
        <w:rPr>
          <w:rFonts w:cs="Calibri"/>
          <w:iCs/>
        </w:rPr>
        <w:t>(</w:t>
      </w:r>
      <w:proofErr w:type="spellStart"/>
      <w:r w:rsidRPr="006F7A6C">
        <w:rPr>
          <w:rFonts w:cs="Calibri"/>
        </w:rPr>
        <w:t>Hasebrink</w:t>
      </w:r>
      <w:proofErr w:type="spellEnd"/>
      <w:r w:rsidRPr="006F7A6C">
        <w:rPr>
          <w:rFonts w:cs="Calibri"/>
        </w:rPr>
        <w:t xml:space="preserve"> et al., 2009 in UNICEF, 2021, p. 34) </w:t>
      </w:r>
    </w:p>
    <w:p w14:paraId="7911A7E3" w14:textId="618241AD" w:rsidR="001F0A12" w:rsidRDefault="006F7A6C" w:rsidP="006F7A6C">
      <w:pPr>
        <w:pStyle w:val="Paragraph"/>
        <w:ind w:firstLine="720"/>
        <w:contextualSpacing/>
        <w:rPr>
          <w:rFonts w:cs="Calibri"/>
        </w:rPr>
      </w:pPr>
      <w:r w:rsidRPr="006F7A6C">
        <w:rPr>
          <w:rFonts w:cs="Calibri"/>
        </w:rPr>
        <w:t>Finally, the Internet is defined as the access to all digital media including influential, social and leisure applications. Media are digital when face to face communication is replaced by computerised networks (</w:t>
      </w:r>
      <w:proofErr w:type="spellStart"/>
      <w:r w:rsidRPr="006F7A6C">
        <w:rPr>
          <w:rFonts w:cs="Calibri"/>
        </w:rPr>
        <w:t>Chayko</w:t>
      </w:r>
      <w:proofErr w:type="spellEnd"/>
      <w:r w:rsidRPr="006F7A6C">
        <w:rPr>
          <w:rFonts w:cs="Calibri"/>
        </w:rPr>
        <w:t>, 2020). Digital media can be used for instrumental, socialisation, and entertainment applications (Stavropoulos et al., 2021). Instrumental applications attend to real-life requirements such as employment and health. Socialisation applications are the use of online communities for the purpose of socialising inclusive of engaging in friendships, or sexual or romantic relationships and career development. Entertainment applications provide enjoyment such as digital games and audio-visual recordings.</w:t>
      </w:r>
    </w:p>
    <w:p w14:paraId="4887878A" w14:textId="77777777" w:rsidR="00F42D54" w:rsidRDefault="00F42D54" w:rsidP="00F42D54">
      <w:pPr>
        <w:pStyle w:val="Newparagraph"/>
        <w:ind w:firstLine="0"/>
      </w:pPr>
    </w:p>
    <w:p w14:paraId="30078640" w14:textId="212D2147" w:rsidR="00F42D54" w:rsidRDefault="00F42D54" w:rsidP="00F42D54">
      <w:pPr>
        <w:pStyle w:val="Heading1"/>
      </w:pPr>
      <w:r>
        <w:rPr>
          <w:rFonts w:cs="Calibri"/>
          <w:kern w:val="0"/>
        </w:rPr>
        <w:t>Method</w:t>
      </w:r>
      <w:r w:rsidRPr="003A253D">
        <w:t xml:space="preserve"> </w:t>
      </w:r>
    </w:p>
    <w:p w14:paraId="373CA090" w14:textId="77777777" w:rsidR="00F42D54" w:rsidRDefault="00F42D54" w:rsidP="00F42D54">
      <w:pPr>
        <w:pStyle w:val="Newparagraph"/>
        <w:ind w:firstLine="0"/>
        <w:contextualSpacing/>
        <w:rPr>
          <w:rFonts w:cs="Calibri"/>
        </w:rPr>
      </w:pPr>
      <w:r w:rsidRPr="00F42D54">
        <w:rPr>
          <w:rFonts w:cs="Calibri"/>
          <w:bCs/>
        </w:rPr>
        <w:t>The approach taken to review literature pertaining to child protection and welfare,</w:t>
      </w:r>
      <w:r w:rsidRPr="00F42D54">
        <w:rPr>
          <w:rFonts w:cs="Calibri"/>
        </w:rPr>
        <w:t xml:space="preserve"> </w:t>
      </w:r>
      <w:r w:rsidRPr="00F42D54">
        <w:rPr>
          <w:rFonts w:cs="Calibri"/>
          <w:bCs/>
        </w:rPr>
        <w:t xml:space="preserve">internet use and disability is adopted from </w:t>
      </w:r>
      <w:proofErr w:type="spellStart"/>
      <w:r w:rsidRPr="00F42D54">
        <w:rPr>
          <w:rFonts w:cs="Calibri"/>
        </w:rPr>
        <w:t>Aromataris</w:t>
      </w:r>
      <w:proofErr w:type="spellEnd"/>
      <w:r w:rsidRPr="00F42D54">
        <w:rPr>
          <w:rFonts w:cs="Calibri"/>
        </w:rPr>
        <w:t xml:space="preserve"> and Pearson (2014). The characteristics of this literature review began with the setting out the research question using the PICO mnemonic (Eriksen &amp; Frandsen, 2018). The search terms and phrases used for this critical literature review are delineated below.</w:t>
      </w:r>
    </w:p>
    <w:p w14:paraId="2910A0D1" w14:textId="77777777" w:rsidR="00F42D54" w:rsidRDefault="00F42D54" w:rsidP="00F42D54">
      <w:pPr>
        <w:pStyle w:val="Newparagraph"/>
        <w:ind w:firstLine="0"/>
        <w:contextualSpacing/>
        <w:rPr>
          <w:rFonts w:cs="Calibri"/>
        </w:rPr>
      </w:pPr>
    </w:p>
    <w:p w14:paraId="6881F861" w14:textId="6940CFE7" w:rsidR="00F42D54" w:rsidRDefault="00F42D54" w:rsidP="00F42D54">
      <w:pPr>
        <w:pStyle w:val="Newparagraph"/>
        <w:ind w:firstLine="0"/>
        <w:jc w:val="center"/>
      </w:pPr>
      <w:r>
        <w:lastRenderedPageBreak/>
        <w:t>[Table 1 Here]</w:t>
      </w:r>
    </w:p>
    <w:p w14:paraId="6955D772" w14:textId="77777777" w:rsidR="00F42D54" w:rsidRDefault="00F42D54" w:rsidP="00F42D54">
      <w:pPr>
        <w:pStyle w:val="Newparagraph"/>
        <w:ind w:firstLine="0"/>
        <w:contextualSpacing/>
        <w:jc w:val="center"/>
        <w:rPr>
          <w:rFonts w:cs="Calibri"/>
        </w:rPr>
      </w:pPr>
    </w:p>
    <w:p w14:paraId="4240E7C5" w14:textId="77777777" w:rsidR="0000086E" w:rsidRPr="0000086E" w:rsidRDefault="0000086E" w:rsidP="0000086E">
      <w:pPr>
        <w:pStyle w:val="Newparagraph"/>
        <w:contextualSpacing/>
        <w:rPr>
          <w:rFonts w:cs="Calibri"/>
        </w:rPr>
      </w:pPr>
      <w:r w:rsidRPr="0000086E">
        <w:rPr>
          <w:rFonts w:cs="Calibri"/>
        </w:rPr>
        <w:t>The re</w:t>
      </w:r>
      <w:r w:rsidRPr="0000086E">
        <w:rPr>
          <w:rFonts w:cs="Calibri"/>
          <w:bCs/>
        </w:rPr>
        <w:t>search question formulated was; does internet use pose child protection and welfare risk for children with disabilities?</w:t>
      </w:r>
      <w:r w:rsidRPr="0000086E">
        <w:rPr>
          <w:rFonts w:cs="Calibri"/>
        </w:rPr>
        <w:t xml:space="preserve"> The following inclusion</w:t>
      </w:r>
      <w:r w:rsidRPr="0000086E">
        <w:rPr>
          <w:rFonts w:cs="Calibri"/>
          <w:bCs/>
        </w:rPr>
        <w:t xml:space="preserve"> and exclusion criterion was adopted.</w:t>
      </w:r>
    </w:p>
    <w:p w14:paraId="002A096E" w14:textId="77777777" w:rsidR="0000086E" w:rsidRDefault="0000086E" w:rsidP="0000086E">
      <w:pPr>
        <w:pStyle w:val="Newparagraph"/>
        <w:ind w:firstLine="0"/>
        <w:contextualSpacing/>
        <w:rPr>
          <w:rFonts w:cs="Calibri"/>
        </w:rPr>
      </w:pPr>
    </w:p>
    <w:p w14:paraId="1C85ECA6" w14:textId="4ED6F83F" w:rsidR="0000086E" w:rsidRDefault="0000086E" w:rsidP="0000086E">
      <w:pPr>
        <w:pStyle w:val="Newparagraph"/>
        <w:ind w:firstLine="0"/>
        <w:jc w:val="center"/>
      </w:pPr>
      <w:r>
        <w:t>[Table 2 Here]</w:t>
      </w:r>
    </w:p>
    <w:p w14:paraId="14FB43BE" w14:textId="77777777" w:rsidR="0000086E" w:rsidRDefault="0000086E" w:rsidP="0000086E">
      <w:pPr>
        <w:pStyle w:val="Newparagraph"/>
        <w:ind w:firstLine="0"/>
        <w:jc w:val="center"/>
      </w:pPr>
    </w:p>
    <w:p w14:paraId="4E25E841" w14:textId="77777777" w:rsidR="00A00E74" w:rsidRPr="00A00E74" w:rsidRDefault="00A00E74" w:rsidP="00A00E74">
      <w:pPr>
        <w:pStyle w:val="Newparagraph"/>
      </w:pPr>
      <w:r w:rsidRPr="00A00E74">
        <w:t xml:space="preserve">To address the ‘file-drawer problem’ or ‘publication </w:t>
      </w:r>
      <w:proofErr w:type="spellStart"/>
      <w:r w:rsidRPr="00A00E74">
        <w:t>bias’</w:t>
      </w:r>
      <w:proofErr w:type="spellEnd"/>
      <w:r w:rsidRPr="00A00E74">
        <w:t xml:space="preserve"> (</w:t>
      </w:r>
      <w:proofErr w:type="spellStart"/>
      <w:r w:rsidRPr="00A00E74">
        <w:t>Haddaway</w:t>
      </w:r>
      <w:proofErr w:type="spellEnd"/>
      <w:r w:rsidRPr="00A00E74">
        <w:t xml:space="preserve"> and Bayliss, 2015) a grey literature search was conducted. Key scholars were emailed to obtain unpublished texts. Any documents retrieved were subject to the above inclusion and exclusion criteria.   </w:t>
      </w:r>
    </w:p>
    <w:p w14:paraId="34C812D1" w14:textId="1F4BF063" w:rsidR="0000086E" w:rsidRDefault="00A00E74" w:rsidP="00A00E74">
      <w:pPr>
        <w:pStyle w:val="Newparagraph"/>
      </w:pPr>
      <w:r w:rsidRPr="00A00E74">
        <w:t xml:space="preserve">A comprehensive search of literature was completed for all relevant studies (published and unpublished, grey literature). This literature was evaluated for quality using the Caldwell, Henshaw and Taylor (2011) Research Critique Framework, as well as the Critical Appraisal Skills Program (CASP) framework (Critical Appraisal Skills Programme, 2018). Subsequently, an assessment of the validity of the studies chosen was conducted, exclusion decisions based on quality were documented. We used a combination of qualitative thematic analysis from Braun and Clarke (2006) and Gale et al, (2013) to methodically hand code the final sample of 242 documents to extract themes, one of which, online risk, is presented in this paper. We also considered elements of the Arksey and O’Malley (2005) approach for this literature review, as well as the development of protocols in line with the Joanna Briggs Methods Manual for systematic literature reviews (Santos, </w:t>
      </w:r>
      <w:proofErr w:type="spellStart"/>
      <w:r w:rsidRPr="00A00E74">
        <w:t>Secoli</w:t>
      </w:r>
      <w:proofErr w:type="spellEnd"/>
      <w:r w:rsidRPr="00A00E74">
        <w:t xml:space="preserve"> &amp; </w:t>
      </w:r>
      <w:proofErr w:type="spellStart"/>
      <w:r w:rsidRPr="00A00E74">
        <w:t>Püschel</w:t>
      </w:r>
      <w:proofErr w:type="spellEnd"/>
      <w:r w:rsidRPr="00A00E74">
        <w:t>, 2018).  The PRISMA-</w:t>
      </w:r>
      <w:proofErr w:type="spellStart"/>
      <w:r w:rsidRPr="00A00E74">
        <w:t>ScR</w:t>
      </w:r>
      <w:proofErr w:type="spellEnd"/>
      <w:r w:rsidRPr="00A00E74">
        <w:t xml:space="preserve"> </w:t>
      </w:r>
      <w:r w:rsidRPr="00A00E74">
        <w:lastRenderedPageBreak/>
        <w:t>2018 (</w:t>
      </w:r>
      <w:proofErr w:type="spellStart"/>
      <w:r w:rsidRPr="00A00E74">
        <w:t>Tricco</w:t>
      </w:r>
      <w:proofErr w:type="spellEnd"/>
      <w:r w:rsidRPr="00A00E74">
        <w:t xml:space="preserve"> et al., 2018) (see below) is used to inform the reporting of this desk-based literature review.</w:t>
      </w:r>
    </w:p>
    <w:p w14:paraId="15C01CB9" w14:textId="77777777" w:rsidR="00242C61" w:rsidRDefault="00242C61" w:rsidP="00A00E74">
      <w:pPr>
        <w:pStyle w:val="Newparagraph"/>
      </w:pPr>
    </w:p>
    <w:p w14:paraId="29092115" w14:textId="4F9BCA44" w:rsidR="00242C61" w:rsidRDefault="00242C61" w:rsidP="00242C61">
      <w:pPr>
        <w:pStyle w:val="Newparagraph"/>
        <w:ind w:firstLine="0"/>
        <w:jc w:val="center"/>
      </w:pPr>
      <w:r>
        <w:t xml:space="preserve">[Table </w:t>
      </w:r>
      <w:r w:rsidR="0018664D">
        <w:t>3</w:t>
      </w:r>
      <w:r>
        <w:t xml:space="preserve"> Here]</w:t>
      </w:r>
    </w:p>
    <w:p w14:paraId="44241179" w14:textId="77777777" w:rsidR="00242C61" w:rsidRDefault="00242C61" w:rsidP="00242C61">
      <w:pPr>
        <w:pStyle w:val="Newparagraph"/>
        <w:ind w:firstLine="0"/>
        <w:jc w:val="center"/>
      </w:pPr>
    </w:p>
    <w:p w14:paraId="47D54EB0" w14:textId="1E401148" w:rsidR="006D7D64" w:rsidRDefault="003607D6" w:rsidP="006D7D64">
      <w:pPr>
        <w:pStyle w:val="Heading1"/>
      </w:pPr>
      <w:r w:rsidRPr="003607D6">
        <w:t>Summary</w:t>
      </w:r>
      <w:r w:rsidR="006D7D64" w:rsidRPr="003A253D">
        <w:t xml:space="preserve"> </w:t>
      </w:r>
    </w:p>
    <w:p w14:paraId="6EEA6E77" w14:textId="77777777" w:rsidR="003607D6" w:rsidRDefault="003607D6" w:rsidP="00AA69EC">
      <w:pPr>
        <w:ind w:right="-284"/>
        <w:contextualSpacing/>
      </w:pPr>
      <w:r>
        <w:rPr>
          <w:rFonts w:cs="Calibri"/>
        </w:rPr>
        <w:t>Studies with a focus on disability are highlighted in this summary however the lack of research at the intersection of child protection and welfare, disability and internet use is noted in the literature. Hence, findings about online risk on young people in general are also presented.  Moreover, the positive impact of internet use for disabled young people is evidenced and promoted ranging from social impact (Pang, 2022; McFerran et al., 2021;</w:t>
      </w:r>
      <w:r>
        <w:rPr>
          <w:rFonts w:cs="Calibri"/>
          <w:color w:val="222222"/>
          <w:shd w:val="clear" w:color="auto" w:fill="FFFFFF"/>
        </w:rPr>
        <w:t xml:space="preserve"> Burke et al., 2021)</w:t>
      </w:r>
      <w:r>
        <w:rPr>
          <w:rFonts w:cs="Calibri"/>
        </w:rPr>
        <w:t>, to therapeutic (</w:t>
      </w:r>
      <w:proofErr w:type="spellStart"/>
      <w:r>
        <w:rPr>
          <w:rFonts w:cs="Calibri"/>
          <w:color w:val="222222"/>
          <w:shd w:val="clear" w:color="auto" w:fill="FFFFFF"/>
        </w:rPr>
        <w:t>Comeras</w:t>
      </w:r>
      <w:proofErr w:type="spellEnd"/>
      <w:r>
        <w:rPr>
          <w:rFonts w:cs="Calibri"/>
          <w:color w:val="222222"/>
          <w:shd w:val="clear" w:color="auto" w:fill="FFFFFF"/>
        </w:rPr>
        <w:t>–</w:t>
      </w:r>
      <w:proofErr w:type="spellStart"/>
      <w:r>
        <w:rPr>
          <w:rFonts w:cs="Calibri"/>
          <w:color w:val="222222"/>
          <w:shd w:val="clear" w:color="auto" w:fill="FFFFFF"/>
        </w:rPr>
        <w:t>Cheuca</w:t>
      </w:r>
      <w:proofErr w:type="spellEnd"/>
      <w:r>
        <w:rPr>
          <w:rFonts w:cs="Calibri"/>
          <w:color w:val="222222"/>
          <w:shd w:val="clear" w:color="auto" w:fill="FFFFFF"/>
        </w:rPr>
        <w:t xml:space="preserve"> et al., 2021; Gerhardt &amp; Smith, 2020; Samson et al., 2021) </w:t>
      </w:r>
      <w:r>
        <w:rPr>
          <w:rFonts w:cs="Calibri"/>
        </w:rPr>
        <w:t>and educational impacts</w:t>
      </w:r>
      <w:r>
        <w:rPr>
          <w:rFonts w:cs="Calibri"/>
          <w:color w:val="222222"/>
          <w:shd w:val="clear" w:color="auto" w:fill="FFFFFF"/>
        </w:rPr>
        <w:t xml:space="preserve"> (Singh &amp; Balhara 2021; Vassallo et al., 2022; Hirvonen et al., 2021)</w:t>
      </w:r>
      <w:r>
        <w:rPr>
          <w:rFonts w:cs="Calibri"/>
        </w:rPr>
        <w:t>. However, 45% of all literature pertaining to the topic of disability, child protection and the internet in this critical literature review related to online risk, hence this is the core focus of this paper.</w:t>
      </w:r>
    </w:p>
    <w:p w14:paraId="329CB5C8" w14:textId="77777777" w:rsidR="003607D6" w:rsidRDefault="003607D6" w:rsidP="003607D6">
      <w:pPr>
        <w:ind w:right="-284" w:firstLine="720"/>
        <w:contextualSpacing/>
      </w:pPr>
      <w:r>
        <w:rPr>
          <w:rFonts w:cs="Calibri"/>
        </w:rPr>
        <w:t>Types of online harm discussed under headings include child abuse / online solicitation, cyber victimisation/ cyber bullying, problematic internet use and breach of data protection. This evidence of online risk in literature is set against the backdrop of the added vulnerabilities that exist for disabled young people online (</w:t>
      </w:r>
      <w:r>
        <w:rPr>
          <w:rFonts w:cs="Calibri"/>
          <w:color w:val="222222"/>
          <w:shd w:val="clear" w:color="auto" w:fill="FFFFFF"/>
        </w:rPr>
        <w:t>Volkova</w:t>
      </w:r>
      <w:r>
        <w:rPr>
          <w:rFonts w:cs="Calibri"/>
        </w:rPr>
        <w:t xml:space="preserve"> et al., 2019; </w:t>
      </w:r>
      <w:r>
        <w:rPr>
          <w:rFonts w:cs="Calibri"/>
          <w:color w:val="222222"/>
          <w:shd w:val="clear" w:color="auto" w:fill="FFFFFF"/>
        </w:rPr>
        <w:t xml:space="preserve">Alfredsson et al., 2020; Martinez-Cao et al., 2021; Falla et al., 2021; </w:t>
      </w:r>
      <w:proofErr w:type="spellStart"/>
      <w:r>
        <w:rPr>
          <w:rFonts w:cs="Calibri"/>
          <w:color w:val="222222"/>
          <w:shd w:val="clear" w:color="auto" w:fill="FFFFFF"/>
        </w:rPr>
        <w:t>Hafiar</w:t>
      </w:r>
      <w:proofErr w:type="spellEnd"/>
      <w:r>
        <w:rPr>
          <w:rFonts w:cs="Calibri"/>
          <w:color w:val="222222"/>
          <w:shd w:val="clear" w:color="auto" w:fill="FFFFFF"/>
        </w:rPr>
        <w:t xml:space="preserve"> et al.,2020)</w:t>
      </w:r>
      <w:r>
        <w:rPr>
          <w:rFonts w:cs="Calibri"/>
        </w:rPr>
        <w:t xml:space="preserve">.  The availability of the internet is noted with Ahmadu and Kontagora (2022) referring to the global village in terms of how the internet has changed our social interactions. Likewise, Stocker et al. (2023) </w:t>
      </w:r>
      <w:proofErr w:type="gramStart"/>
      <w:r>
        <w:rPr>
          <w:rFonts w:cs="Calibri"/>
        </w:rPr>
        <w:t>provide</w:t>
      </w:r>
      <w:proofErr w:type="gramEnd"/>
      <w:r>
        <w:rPr>
          <w:rFonts w:cs="Calibri"/>
        </w:rPr>
        <w:t xml:space="preserve"> insights into the rapid expansion of broadband and </w:t>
      </w:r>
      <w:r>
        <w:rPr>
          <w:rFonts w:cs="Calibri"/>
        </w:rPr>
        <w:lastRenderedPageBreak/>
        <w:t>devices that increase access to multimedia virtual applications. With this growing access comes a price and that is increased exposure to online harm.</w:t>
      </w:r>
    </w:p>
    <w:p w14:paraId="531CC0B5" w14:textId="38DC2A3C" w:rsidR="00797B8C" w:rsidRDefault="003607D6" w:rsidP="003607D6">
      <w:pPr>
        <w:pStyle w:val="Newparagraph"/>
        <w:contextualSpacing/>
        <w:rPr>
          <w:rFonts w:cs="Calibri"/>
        </w:rPr>
      </w:pPr>
      <w:r>
        <w:rPr>
          <w:rFonts w:cs="Calibri"/>
          <w:bCs/>
        </w:rPr>
        <w:t xml:space="preserve">Unique complexities exist at the intersection of disability, child protection and the Internet. Author and online technology expert </w:t>
      </w:r>
      <w:r>
        <w:rPr>
          <w:rFonts w:cs="Calibri"/>
        </w:rPr>
        <w:t xml:space="preserve">Roisin </w:t>
      </w:r>
      <w:proofErr w:type="spellStart"/>
      <w:r>
        <w:rPr>
          <w:rFonts w:cs="Calibri"/>
        </w:rPr>
        <w:t>Kiberd</w:t>
      </w:r>
      <w:proofErr w:type="spellEnd"/>
      <w:r>
        <w:rPr>
          <w:rFonts w:cs="Calibri"/>
        </w:rPr>
        <w:t xml:space="preserve"> writes “I too am addicted to the screen. Sometimes I think I have spent so much of my life online that I was raised by the internet. I’ve forgotten where the borders are, where technology ends and where I begin” (2021, </w:t>
      </w:r>
      <w:proofErr w:type="spellStart"/>
      <w:r>
        <w:rPr>
          <w:rFonts w:cs="Calibri"/>
        </w:rPr>
        <w:t>p.xi</w:t>
      </w:r>
      <w:proofErr w:type="spellEnd"/>
      <w:r>
        <w:rPr>
          <w:rFonts w:cs="Calibri"/>
        </w:rPr>
        <w:t>). Roisin describes the profound impact the internet has had on her teenage and young adult life explaining how her mental health and the internet merged sending her into a spiral that resulted in an attempted suicide. Roisin’s experience presents a stark truth about our current reality which is that the digital world remains central to many young people with disabilities and their social realities (Didden, et al 2009; Disability Federation of Ireland 2020).</w:t>
      </w:r>
    </w:p>
    <w:p w14:paraId="7616454C" w14:textId="77777777" w:rsidR="00A50988" w:rsidRDefault="00A50988" w:rsidP="00A50988">
      <w:pPr>
        <w:pStyle w:val="Newparagraph"/>
        <w:ind w:firstLine="0"/>
        <w:contextualSpacing/>
        <w:rPr>
          <w:rFonts w:cs="Calibri"/>
        </w:rPr>
      </w:pPr>
    </w:p>
    <w:p w14:paraId="13529F6F" w14:textId="730FAFF5" w:rsidR="0039712B" w:rsidRDefault="0039712B" w:rsidP="00A50988">
      <w:pPr>
        <w:pStyle w:val="Newparagraph"/>
        <w:ind w:firstLine="0"/>
        <w:contextualSpacing/>
        <w:rPr>
          <w:b/>
          <w:bCs/>
          <w:i/>
          <w:iCs/>
        </w:rPr>
      </w:pPr>
      <w:r w:rsidRPr="0039712B">
        <w:rPr>
          <w:b/>
          <w:bCs/>
          <w:i/>
          <w:iCs/>
        </w:rPr>
        <w:t>Child abuse / online solicitation</w:t>
      </w:r>
    </w:p>
    <w:p w14:paraId="4673B913" w14:textId="27E44930" w:rsidR="00FB6043" w:rsidRDefault="00537945" w:rsidP="00A50988">
      <w:pPr>
        <w:pStyle w:val="Newparagraph"/>
        <w:ind w:firstLine="0"/>
        <w:contextualSpacing/>
        <w:rPr>
          <w:b/>
          <w:bCs/>
          <w:i/>
          <w:iCs/>
        </w:rPr>
      </w:pPr>
      <w:r>
        <w:rPr>
          <w:rFonts w:cs="Calibri"/>
        </w:rPr>
        <w:t xml:space="preserve">Wurtele and Kenny (2016) posit that as online risk has grown, understanding of these risks such as online sexual exploitation and ideas on how to prevent their negative impacts on young people are difficult to keep up with. Within this the </w:t>
      </w:r>
      <w:r>
        <w:rPr>
          <w:rFonts w:cs="Calibri"/>
          <w:color w:val="222222"/>
          <w:shd w:val="clear" w:color="auto" w:fill="FFFFFF"/>
        </w:rPr>
        <w:t xml:space="preserve">exponential global growth of online distribution and production of child abuse material and grooming is heavily portrayed in literature (Mount et al.,2021; </w:t>
      </w:r>
      <w:r>
        <w:rPr>
          <w:rFonts w:cs="Calibri"/>
        </w:rPr>
        <w:t xml:space="preserve">Ali et al., 2021; Chiu and Quayle, 2022; Longobardi et al., 2021; Hong et al., 2020; Gandolfi et al., 2020; </w:t>
      </w:r>
      <w:proofErr w:type="spellStart"/>
      <w:r>
        <w:rPr>
          <w:rFonts w:cs="Calibri"/>
        </w:rPr>
        <w:t>Joleby</w:t>
      </w:r>
      <w:proofErr w:type="spellEnd"/>
      <w:r>
        <w:rPr>
          <w:rFonts w:cs="Calibri"/>
        </w:rPr>
        <w:t xml:space="preserve"> et al.,2020). Forni et al. (2020) warn that factors such as the length of time online and not knowing who exactly are friends online relate to an increased risk of cybercrime including online sexual solicitation. The extent of online harm specific to solicitation and exposure to child sexual images is extensive and worrisome, the</w:t>
      </w:r>
      <w:r>
        <w:rPr>
          <w:rFonts w:cs="Calibri"/>
          <w:color w:val="000000"/>
          <w:lang w:val="en-US"/>
        </w:rPr>
        <w:t xml:space="preserve"> complex and diverse nature of online grooming plays out as offenders visit children’s gaming sites as </w:t>
      </w:r>
      <w:r>
        <w:rPr>
          <w:rFonts w:cs="Calibri"/>
          <w:color w:val="000000"/>
          <w:lang w:val="en-US"/>
        </w:rPr>
        <w:lastRenderedPageBreak/>
        <w:t xml:space="preserve">a way of finding minors in order to engage in sexual activity with them. </w:t>
      </w:r>
      <w:r>
        <w:rPr>
          <w:rFonts w:cs="Calibri"/>
        </w:rPr>
        <w:t>Witting (2021) adds the dimensions of the transnational nature of child sexual abuse which was the exception prior to the internet, but currently it is the rule. Studies indicating increased susceptibility to online solicitation due to disability are presented by Powell et al. (2022) and Katz et al. (2021).</w:t>
      </w:r>
    </w:p>
    <w:p w14:paraId="695B907C" w14:textId="77777777" w:rsidR="0039712B" w:rsidRDefault="0039712B" w:rsidP="00A50988">
      <w:pPr>
        <w:pStyle w:val="Newparagraph"/>
        <w:ind w:firstLine="0"/>
        <w:contextualSpacing/>
        <w:rPr>
          <w:b/>
          <w:bCs/>
          <w:i/>
          <w:iCs/>
        </w:rPr>
      </w:pPr>
    </w:p>
    <w:p w14:paraId="70C5860B" w14:textId="77777777" w:rsidR="0039712B" w:rsidRDefault="0039712B" w:rsidP="0039712B">
      <w:pPr>
        <w:pStyle w:val="Newparagraph"/>
        <w:ind w:firstLine="0"/>
        <w:contextualSpacing/>
        <w:rPr>
          <w:b/>
          <w:bCs/>
          <w:i/>
          <w:iCs/>
        </w:rPr>
      </w:pPr>
      <w:r w:rsidRPr="0039712B">
        <w:rPr>
          <w:b/>
          <w:bCs/>
          <w:i/>
          <w:iCs/>
        </w:rPr>
        <w:t>Cyber victimisation/ cyber bullying</w:t>
      </w:r>
    </w:p>
    <w:p w14:paraId="4B7132BA" w14:textId="268C6E52" w:rsidR="00537945" w:rsidRPr="0039712B" w:rsidRDefault="00537945" w:rsidP="0039712B">
      <w:pPr>
        <w:pStyle w:val="Newparagraph"/>
        <w:ind w:firstLine="0"/>
        <w:contextualSpacing/>
        <w:rPr>
          <w:b/>
          <w:bCs/>
          <w:i/>
          <w:iCs/>
        </w:rPr>
      </w:pPr>
      <w:r>
        <w:rPr>
          <w:rFonts w:cs="Calibri"/>
        </w:rPr>
        <w:t xml:space="preserve">As difficult and complex as online grooming is, the task of child protection and welfare professionals in keeping disabled children safe online is even more complex. Cyber victimisation and cyber bullying feature heavily within the literature (Olson, 2021; </w:t>
      </w:r>
      <w:proofErr w:type="spellStart"/>
      <w:r>
        <w:rPr>
          <w:rFonts w:cs="Calibri"/>
        </w:rPr>
        <w:t>Audrin</w:t>
      </w:r>
      <w:proofErr w:type="spellEnd"/>
      <w:r>
        <w:rPr>
          <w:rFonts w:cs="Calibri"/>
        </w:rPr>
        <w:t xml:space="preserve"> &amp; </w:t>
      </w:r>
      <w:proofErr w:type="spellStart"/>
      <w:r>
        <w:rPr>
          <w:rFonts w:cs="Calibri"/>
        </w:rPr>
        <w:t>Blaya</w:t>
      </w:r>
      <w:proofErr w:type="spellEnd"/>
      <w:r>
        <w:rPr>
          <w:rFonts w:cs="Calibri"/>
        </w:rPr>
        <w:t xml:space="preserve">, 2020; Craig et al., 2020; </w:t>
      </w:r>
      <w:proofErr w:type="spellStart"/>
      <w:r>
        <w:rPr>
          <w:rFonts w:cs="Calibri"/>
          <w:color w:val="222222"/>
          <w:shd w:val="clear" w:color="auto" w:fill="FFFFFF"/>
        </w:rPr>
        <w:t>Dhungana</w:t>
      </w:r>
      <w:proofErr w:type="spellEnd"/>
      <w:r>
        <w:rPr>
          <w:rFonts w:cs="Calibri"/>
          <w:color w:val="222222"/>
          <w:shd w:val="clear" w:color="auto" w:fill="FFFFFF"/>
        </w:rPr>
        <w:t xml:space="preserve"> </w:t>
      </w:r>
      <w:proofErr w:type="spellStart"/>
      <w:r>
        <w:rPr>
          <w:rFonts w:cs="Calibri"/>
          <w:color w:val="222222"/>
          <w:shd w:val="clear" w:color="auto" w:fill="FFFFFF"/>
        </w:rPr>
        <w:t>Sainju</w:t>
      </w:r>
      <w:proofErr w:type="spellEnd"/>
      <w:r>
        <w:rPr>
          <w:rFonts w:cs="Calibri"/>
          <w:color w:val="222222"/>
          <w:shd w:val="clear" w:color="auto" w:fill="FFFFFF"/>
        </w:rPr>
        <w:t>, 2020</w:t>
      </w:r>
      <w:r>
        <w:rPr>
          <w:rFonts w:cs="Calibri"/>
        </w:rPr>
        <w:t>;</w:t>
      </w:r>
      <w:r>
        <w:rPr>
          <w:rFonts w:cs="Calibri"/>
          <w:color w:val="222222"/>
          <w:shd w:val="clear" w:color="auto" w:fill="FFFFFF"/>
        </w:rPr>
        <w:t xml:space="preserve"> Díaz, </w:t>
      </w:r>
      <w:r>
        <w:rPr>
          <w:rFonts w:cs="Calibri"/>
        </w:rPr>
        <w:t xml:space="preserve">et al., 2021; </w:t>
      </w:r>
      <w:r>
        <w:rPr>
          <w:rFonts w:cs="Calibri"/>
          <w:color w:val="222222"/>
          <w:shd w:val="clear" w:color="auto" w:fill="FFFFFF"/>
        </w:rPr>
        <w:t xml:space="preserve">Faura-Garcia ,2021). Within this </w:t>
      </w:r>
      <w:proofErr w:type="spellStart"/>
      <w:r>
        <w:rPr>
          <w:rFonts w:cs="Calibri"/>
        </w:rPr>
        <w:t>Audrin</w:t>
      </w:r>
      <w:proofErr w:type="spellEnd"/>
      <w:r>
        <w:rPr>
          <w:rFonts w:cs="Calibri"/>
        </w:rPr>
        <w:t xml:space="preserve"> and </w:t>
      </w:r>
      <w:proofErr w:type="spellStart"/>
      <w:r>
        <w:rPr>
          <w:rFonts w:cs="Calibri"/>
        </w:rPr>
        <w:t>Blaya</w:t>
      </w:r>
      <w:proofErr w:type="spellEnd"/>
      <w:r>
        <w:rPr>
          <w:rFonts w:cs="Calibri"/>
        </w:rPr>
        <w:t xml:space="preserve"> (2020) study of over 1, 000 young people report the consequences of cyber victimisation as low self-esteem, anxiety, low social ability, impulsivity and deviant behaviour. The added vulnerabilities of young people with disabilities in relation to cyber bullying and cyber victimisation is highlighted by Wright and Wachs (2020) and Good and Fang (2015).</w:t>
      </w:r>
    </w:p>
    <w:p w14:paraId="1A23B420" w14:textId="77777777" w:rsidR="0039712B" w:rsidRDefault="0039712B" w:rsidP="00A50988">
      <w:pPr>
        <w:pStyle w:val="Newparagraph"/>
        <w:ind w:firstLine="0"/>
        <w:contextualSpacing/>
        <w:rPr>
          <w:b/>
          <w:bCs/>
          <w:i/>
          <w:iCs/>
        </w:rPr>
      </w:pPr>
    </w:p>
    <w:p w14:paraId="5CB1B06F" w14:textId="77777777" w:rsidR="003E3B2E" w:rsidRPr="003E3B2E" w:rsidRDefault="003E3B2E" w:rsidP="003E3B2E">
      <w:pPr>
        <w:pStyle w:val="Newparagraph"/>
        <w:ind w:firstLine="0"/>
        <w:contextualSpacing/>
        <w:rPr>
          <w:b/>
          <w:bCs/>
          <w:i/>
          <w:iCs/>
        </w:rPr>
      </w:pPr>
      <w:r w:rsidRPr="003E3B2E">
        <w:rPr>
          <w:b/>
          <w:bCs/>
          <w:i/>
          <w:iCs/>
        </w:rPr>
        <w:t>Problematic internet use (PIU)</w:t>
      </w:r>
    </w:p>
    <w:p w14:paraId="36BC536C" w14:textId="2EE6667D" w:rsidR="0039712B" w:rsidRDefault="00537945" w:rsidP="002246BE">
      <w:pPr>
        <w:pStyle w:val="Newparagraph"/>
        <w:ind w:firstLine="0"/>
        <w:contextualSpacing/>
        <w:rPr>
          <w:rFonts w:cs="Calibri"/>
        </w:rPr>
      </w:pPr>
      <w:r>
        <w:rPr>
          <w:rFonts w:cs="Calibri"/>
        </w:rPr>
        <w:t>In relation to problematic internet use (PIU) Park (2018) highlighted how online social interactions added complexity to normal social interactions for adolescents. Specific attention was paid to the global permanency of online content, the speed at which interactions occur, tethering between online and offline reality whereby adolescents question the genuineness of the “partial reality</w:t>
      </w:r>
      <w:r>
        <w:rPr>
          <w:rFonts w:cs="Calibri"/>
          <w:i/>
        </w:rPr>
        <w:t>”</w:t>
      </w:r>
      <w:r>
        <w:rPr>
          <w:rFonts w:cs="Calibri"/>
        </w:rPr>
        <w:t xml:space="preserve"> that exists online (Park, 2018, p. 439) here, Roisin </w:t>
      </w:r>
      <w:proofErr w:type="spellStart"/>
      <w:r>
        <w:rPr>
          <w:rFonts w:cs="Calibri"/>
        </w:rPr>
        <w:t>Kilberd’s</w:t>
      </w:r>
      <w:proofErr w:type="spellEnd"/>
      <w:r>
        <w:rPr>
          <w:rFonts w:cs="Calibri"/>
        </w:rPr>
        <w:t xml:space="preserve"> (2021) experience as delineated earlier is relatable. PIU also included online hate speech (</w:t>
      </w:r>
      <w:proofErr w:type="spellStart"/>
      <w:r>
        <w:rPr>
          <w:rFonts w:cs="Calibri"/>
          <w:color w:val="222222"/>
          <w:shd w:val="clear" w:color="auto" w:fill="FFFFFF"/>
        </w:rPr>
        <w:t>Miškolci</w:t>
      </w:r>
      <w:proofErr w:type="spellEnd"/>
      <w:r>
        <w:rPr>
          <w:rFonts w:cs="Calibri"/>
        </w:rPr>
        <w:t xml:space="preserve"> et al., 2020; Kaakinen et al., 2018), internet </w:t>
      </w:r>
      <w:r>
        <w:rPr>
          <w:rFonts w:cs="Calibri"/>
        </w:rPr>
        <w:lastRenderedPageBreak/>
        <w:t xml:space="preserve">addiction (Kim et al., 2017; Han et al., 2020; Erdal &amp; Erdal, 2020) as well as Fear </w:t>
      </w:r>
      <w:proofErr w:type="gramStart"/>
      <w:r>
        <w:rPr>
          <w:rFonts w:cs="Calibri"/>
        </w:rPr>
        <w:t>Of</w:t>
      </w:r>
      <w:proofErr w:type="gramEnd"/>
      <w:r>
        <w:rPr>
          <w:rFonts w:cs="Calibri"/>
        </w:rPr>
        <w:t xml:space="preserve"> Missing Out (FOMO), (Park, 2018). Literature presents evidence of numerous </w:t>
      </w:r>
      <w:proofErr w:type="gramStart"/>
      <w:r>
        <w:rPr>
          <w:rFonts w:cs="Calibri"/>
        </w:rPr>
        <w:t>complex</w:t>
      </w:r>
      <w:proofErr w:type="gramEnd"/>
      <w:r>
        <w:rPr>
          <w:rFonts w:cs="Calibri"/>
        </w:rPr>
        <w:t>, diverse and very serious risk for young people whilst using the Internet, it can be of no surprise then that mental health concerns (included earlier in this paper in the definition of disability) are highlighted significantly throughout literature (</w:t>
      </w:r>
      <w:proofErr w:type="spellStart"/>
      <w:r>
        <w:rPr>
          <w:rFonts w:cs="Calibri"/>
        </w:rPr>
        <w:t>Woon</w:t>
      </w:r>
      <w:proofErr w:type="spellEnd"/>
      <w:r>
        <w:rPr>
          <w:rFonts w:cs="Calibri"/>
        </w:rPr>
        <w:t xml:space="preserve">, 2020; </w:t>
      </w:r>
      <w:proofErr w:type="spellStart"/>
      <w:r>
        <w:rPr>
          <w:rFonts w:cs="Calibri"/>
        </w:rPr>
        <w:t>Effatpanah</w:t>
      </w:r>
      <w:proofErr w:type="spellEnd"/>
      <w:r>
        <w:rPr>
          <w:rFonts w:cs="Calibri"/>
        </w:rPr>
        <w:t xml:space="preserve">, et al., 2020; </w:t>
      </w:r>
      <w:r>
        <w:rPr>
          <w:rFonts w:cs="Calibri"/>
          <w:color w:val="222222"/>
          <w:shd w:val="clear" w:color="auto" w:fill="FFFFFF"/>
        </w:rPr>
        <w:t>Nayak &amp; Pai, 2022; Davoudi, et al., 2022</w:t>
      </w:r>
      <w:r>
        <w:rPr>
          <w:rFonts w:cs="Calibri"/>
        </w:rPr>
        <w:t xml:space="preserve">). </w:t>
      </w:r>
      <w:proofErr w:type="spellStart"/>
      <w:r>
        <w:rPr>
          <w:rFonts w:cs="Calibri"/>
          <w:color w:val="000000"/>
          <w:shd w:val="clear" w:color="auto" w:fill="FFFFFF"/>
        </w:rPr>
        <w:t>Gassó</w:t>
      </w:r>
      <w:proofErr w:type="spellEnd"/>
      <w:r>
        <w:rPr>
          <w:rFonts w:cs="Calibri"/>
        </w:rPr>
        <w:t xml:space="preserve"> et al. (2019), for example, analyse the relationship between sexting, mental health and online victimisation referring to teenagers as a vulnerable group. They found the presence of mental health problems, specifically depression and anxiety among adolescents who engage in sexting. </w:t>
      </w:r>
      <w:r>
        <w:rPr>
          <w:rFonts w:cs="Calibri"/>
          <w:color w:val="222222"/>
          <w:shd w:val="clear" w:color="auto" w:fill="FFFFFF"/>
        </w:rPr>
        <w:t xml:space="preserve">Validation for concern about the effects of exposure to online risk came in 2018 with a statement from </w:t>
      </w:r>
      <w:r>
        <w:rPr>
          <w:rFonts w:cs="Calibri"/>
        </w:rPr>
        <w:t>the World Health Organization (WHO) that gaming disorder is a mental health condition in the 11th revision of the International Classification of Diseases (WHO, 2018). Such consequences for young people in relation to their potential exposure to online harm presents evidence of the necessity for practitioners, parents and policy makers to engage proactively and to become empowered through knowledge-sharing, information and training about internet use and the digital world.</w:t>
      </w:r>
    </w:p>
    <w:p w14:paraId="0FF4E350" w14:textId="77777777" w:rsidR="00537945" w:rsidRDefault="00537945" w:rsidP="002246BE">
      <w:pPr>
        <w:pStyle w:val="Newparagraph"/>
        <w:ind w:firstLine="0"/>
        <w:contextualSpacing/>
        <w:rPr>
          <w:b/>
          <w:bCs/>
          <w:i/>
          <w:iCs/>
        </w:rPr>
      </w:pPr>
    </w:p>
    <w:p w14:paraId="4AFE93EA" w14:textId="77777777" w:rsidR="007F5F13" w:rsidRPr="007F5F13" w:rsidRDefault="007F5F13" w:rsidP="007F5F13">
      <w:pPr>
        <w:pStyle w:val="Newparagraph"/>
        <w:ind w:firstLine="0"/>
        <w:contextualSpacing/>
        <w:rPr>
          <w:b/>
          <w:bCs/>
          <w:i/>
          <w:iCs/>
        </w:rPr>
      </w:pPr>
      <w:r w:rsidRPr="007F5F13">
        <w:rPr>
          <w:b/>
          <w:bCs/>
          <w:i/>
          <w:iCs/>
        </w:rPr>
        <w:t>Breach of data protection</w:t>
      </w:r>
    </w:p>
    <w:p w14:paraId="6BD6C959" w14:textId="77777777" w:rsidR="00537945" w:rsidRDefault="00537945" w:rsidP="00537945">
      <w:pPr>
        <w:ind w:right="-284"/>
        <w:rPr>
          <w:rFonts w:cs="Calibri"/>
        </w:rPr>
      </w:pPr>
      <w:r>
        <w:rPr>
          <w:rFonts w:cs="Calibri"/>
          <w:color w:val="222222"/>
          <w:shd w:val="clear" w:color="auto" w:fill="FFFFFF"/>
        </w:rPr>
        <w:t xml:space="preserve">Sharing information online is a growing trend (Brosch,2016), a specific example is provided by Megan Mennes (2014) who blogs about her son Quinn who has a disability. She writes an open letter to a troll who refers to her child with Down syndrome as ugly on a website called “Mummy pages”. Lupton and Williamson (2017) draw attention to the fact that children have become objects of digital surveillance, children are engaging in sharing information themselves with parents, teachers, care givers, family members, </w:t>
      </w:r>
      <w:r>
        <w:rPr>
          <w:rFonts w:cs="Calibri"/>
          <w:color w:val="222222"/>
          <w:shd w:val="clear" w:color="auto" w:fill="FFFFFF"/>
        </w:rPr>
        <w:lastRenderedPageBreak/>
        <w:t xml:space="preserve">friends’ health care professionals who are also sharing children’s information on their behalf.    </w:t>
      </w:r>
      <w:r>
        <w:rPr>
          <w:rFonts w:cs="Calibri"/>
        </w:rPr>
        <w:t>Keen (2022) explains that parents and children’s concepts of online privacy harm focused on social rather that technological concerns, thus presenting concerns for children’s digital privacy. The permanency and persuasive nature of data alongside the lack of regulation comes to the fore within this literature review (</w:t>
      </w:r>
      <w:r>
        <w:rPr>
          <w:rFonts w:cs="Calibri"/>
          <w:color w:val="222222"/>
          <w:shd w:val="clear" w:color="auto" w:fill="FFFFFF"/>
        </w:rPr>
        <w:t xml:space="preserve">Biçer &amp; Yıldırım, 2022; Fussey &amp; Sandhu, 2022; </w:t>
      </w:r>
      <w:proofErr w:type="spellStart"/>
      <w:r>
        <w:rPr>
          <w:rFonts w:cs="Calibri"/>
          <w:color w:val="222222"/>
          <w:shd w:val="clear" w:color="auto" w:fill="FFFFFF"/>
        </w:rPr>
        <w:t>Veretilnykova</w:t>
      </w:r>
      <w:proofErr w:type="spellEnd"/>
      <w:r>
        <w:rPr>
          <w:rFonts w:cs="Calibri"/>
          <w:color w:val="222222"/>
          <w:shd w:val="clear" w:color="auto" w:fill="FFFFFF"/>
        </w:rPr>
        <w:t xml:space="preserve"> &amp; </w:t>
      </w:r>
      <w:proofErr w:type="spellStart"/>
      <w:r>
        <w:rPr>
          <w:rFonts w:cs="Calibri"/>
          <w:color w:val="222222"/>
          <w:shd w:val="clear" w:color="auto" w:fill="FFFFFF"/>
        </w:rPr>
        <w:t>Dogruel</w:t>
      </w:r>
      <w:proofErr w:type="spellEnd"/>
      <w:r>
        <w:rPr>
          <w:rFonts w:cs="Calibri"/>
          <w:color w:val="222222"/>
          <w:shd w:val="clear" w:color="auto" w:fill="FFFFFF"/>
        </w:rPr>
        <w:t xml:space="preserve">, 2021). Furthermore, debates about </w:t>
      </w:r>
      <w:r>
        <w:rPr>
          <w:rFonts w:cs="Calibri"/>
          <w:i/>
          <w:color w:val="222222"/>
          <w:shd w:val="clear" w:color="auto" w:fill="FFFFFF"/>
        </w:rPr>
        <w:t>sharenting</w:t>
      </w:r>
      <w:r>
        <w:rPr>
          <w:rFonts w:cs="Calibri"/>
          <w:color w:val="222222"/>
          <w:shd w:val="clear" w:color="auto" w:fill="FFFFFF"/>
        </w:rPr>
        <w:t xml:space="preserve"> bear out whereby </w:t>
      </w:r>
      <w:r>
        <w:rPr>
          <w:rFonts w:cs="Calibri"/>
        </w:rPr>
        <w:t xml:space="preserve">children’s rights to privacy, protection and independence is jeopardised by their </w:t>
      </w:r>
      <w:proofErr w:type="gramStart"/>
      <w:r>
        <w:rPr>
          <w:rFonts w:cs="Calibri"/>
        </w:rPr>
        <w:t>parents</w:t>
      </w:r>
      <w:proofErr w:type="gramEnd"/>
      <w:r>
        <w:rPr>
          <w:rFonts w:cs="Calibri"/>
        </w:rPr>
        <w:t xml:space="preserve"> online behaviour with little or no consequences (</w:t>
      </w:r>
      <w:proofErr w:type="spellStart"/>
      <w:r>
        <w:rPr>
          <w:rFonts w:cs="Calibri"/>
          <w:color w:val="222222"/>
          <w:shd w:val="clear" w:color="auto" w:fill="FFFFFF"/>
        </w:rPr>
        <w:t>Iskül</w:t>
      </w:r>
      <w:proofErr w:type="spellEnd"/>
      <w:r>
        <w:rPr>
          <w:rFonts w:cs="Calibri"/>
          <w:color w:val="222222"/>
          <w:shd w:val="clear" w:color="auto" w:fill="FFFFFF"/>
        </w:rPr>
        <w:t xml:space="preserve"> &amp; </w:t>
      </w:r>
      <w:proofErr w:type="spellStart"/>
      <w:r>
        <w:rPr>
          <w:rFonts w:cs="Calibri"/>
          <w:color w:val="222222"/>
          <w:shd w:val="clear" w:color="auto" w:fill="FFFFFF"/>
        </w:rPr>
        <w:t>Joamets</w:t>
      </w:r>
      <w:proofErr w:type="spellEnd"/>
      <w:r>
        <w:rPr>
          <w:rFonts w:cs="Calibri"/>
          <w:color w:val="222222"/>
          <w:shd w:val="clear" w:color="auto" w:fill="FFFFFF"/>
        </w:rPr>
        <w:t xml:space="preserve">, 2021; </w:t>
      </w:r>
      <w:proofErr w:type="spellStart"/>
      <w:r>
        <w:rPr>
          <w:rFonts w:cs="Calibri"/>
          <w:color w:val="222222"/>
          <w:shd w:val="clear" w:color="auto" w:fill="FFFFFF"/>
        </w:rPr>
        <w:t>Alkhallouf</w:t>
      </w:r>
      <w:proofErr w:type="spellEnd"/>
      <w:r>
        <w:rPr>
          <w:rFonts w:cs="Calibri"/>
        </w:rPr>
        <w:t>, 2021;</w:t>
      </w:r>
      <w:r>
        <w:rPr>
          <w:rFonts w:cs="Calibri"/>
          <w:color w:val="222222"/>
          <w:shd w:val="clear" w:color="auto" w:fill="FFFFFF"/>
        </w:rPr>
        <w:t xml:space="preserve"> </w:t>
      </w:r>
      <w:proofErr w:type="spellStart"/>
      <w:r>
        <w:rPr>
          <w:rFonts w:cs="Calibri"/>
          <w:color w:val="222222"/>
          <w:shd w:val="clear" w:color="auto" w:fill="FFFFFF"/>
        </w:rPr>
        <w:t>Demetis</w:t>
      </w:r>
      <w:proofErr w:type="spellEnd"/>
      <w:r>
        <w:rPr>
          <w:rFonts w:cs="Calibri"/>
          <w:color w:val="222222"/>
          <w:shd w:val="clear" w:color="auto" w:fill="FFFFFF"/>
        </w:rPr>
        <w:t xml:space="preserve"> &amp; Kietzmann, 2021)</w:t>
      </w:r>
      <w:r>
        <w:rPr>
          <w:rFonts w:cs="Calibri"/>
        </w:rPr>
        <w:t xml:space="preserve"> thus adding a further layer of complexity to safeguarding online.</w:t>
      </w:r>
    </w:p>
    <w:p w14:paraId="0B8779C6" w14:textId="77777777" w:rsidR="00371D36" w:rsidRDefault="00371D36" w:rsidP="00537945">
      <w:pPr>
        <w:ind w:right="-284"/>
        <w:rPr>
          <w:rFonts w:cs="Calibri"/>
        </w:rPr>
      </w:pPr>
    </w:p>
    <w:p w14:paraId="41CBECF9" w14:textId="77777777" w:rsidR="00371D36" w:rsidRDefault="00371D36" w:rsidP="00371D36">
      <w:pPr>
        <w:ind w:right="-284"/>
        <w:rPr>
          <w:rFonts w:cs="Calibri"/>
        </w:rPr>
      </w:pPr>
      <w:r>
        <w:rPr>
          <w:rFonts w:cs="Calibri"/>
          <w:b/>
        </w:rPr>
        <w:t>Conclusion</w:t>
      </w:r>
      <w:r>
        <w:rPr>
          <w:rFonts w:cs="Calibri"/>
        </w:rPr>
        <w:t xml:space="preserve"> </w:t>
      </w:r>
    </w:p>
    <w:p w14:paraId="5F04E5E5" w14:textId="77777777" w:rsidR="00371D36" w:rsidRPr="00371D36" w:rsidRDefault="00371D36" w:rsidP="00371D36">
      <w:pPr>
        <w:ind w:right="-284"/>
        <w:rPr>
          <w:rFonts w:cs="Calibri"/>
        </w:rPr>
      </w:pPr>
      <w:r w:rsidRPr="00371D36">
        <w:rPr>
          <w:rFonts w:cs="Calibri"/>
        </w:rPr>
        <w:t xml:space="preserve">UNICEF (2020) highlight the role of technological companies and parents and caregivers, in a robust child protection system, advocating for listening to the views of young people as a means to problem solve and keep children safe online.  Additional themes evidenced in the literature include support mechanisms and interventions, Covid 19 implications, legal frameworks and tech companies as well as digital access and research recommendations, these themes provide further insight into the topic of child protection and welfare, internet use and disability. It is not within the remit of this paper to elucidate fully on these themes however the premise of this paper is based on harmful online risk, therefore it is important to explain that new innovative and proactive support mechanisms and interventions exist and assist with online safety. </w:t>
      </w:r>
    </w:p>
    <w:p w14:paraId="149904A0" w14:textId="59F46C5D" w:rsidR="00537945" w:rsidRDefault="00371D36" w:rsidP="00371D36">
      <w:pPr>
        <w:ind w:right="-284" w:firstLine="720"/>
        <w:rPr>
          <w:rFonts w:cs="Calibri"/>
        </w:rPr>
      </w:pPr>
      <w:r w:rsidRPr="00371D36">
        <w:rPr>
          <w:rFonts w:cs="Calibri"/>
        </w:rPr>
        <w:t>Such interventions as presented in the literature include technical practical approaches (</w:t>
      </w:r>
      <w:r w:rsidRPr="00371D36">
        <w:rPr>
          <w:rFonts w:cs="Calibri"/>
          <w:bCs/>
        </w:rPr>
        <w:t>Swansea University, 2023; Hammond et al., 2022;</w:t>
      </w:r>
      <w:r w:rsidRPr="00371D36">
        <w:rPr>
          <w:rFonts w:cs="Calibri"/>
        </w:rPr>
        <w:t xml:space="preserve"> Mount et al.,</w:t>
      </w:r>
      <w:r w:rsidRPr="00371D36">
        <w:rPr>
          <w:rFonts w:cs="Calibri"/>
          <w:bCs/>
        </w:rPr>
        <w:t xml:space="preserve"> </w:t>
      </w:r>
      <w:r w:rsidRPr="00371D36">
        <w:rPr>
          <w:rFonts w:cs="Calibri"/>
        </w:rPr>
        <w:t xml:space="preserve">2021; </w:t>
      </w:r>
      <w:proofErr w:type="spellStart"/>
      <w:r w:rsidRPr="00371D36">
        <w:rPr>
          <w:rFonts w:cs="Calibri"/>
        </w:rPr>
        <w:t>Majib</w:t>
      </w:r>
      <w:proofErr w:type="spellEnd"/>
      <w:r w:rsidRPr="00371D36">
        <w:rPr>
          <w:rFonts w:cs="Calibri"/>
        </w:rPr>
        <w:t>, &amp; Perera, 2020; Sripada et al., 2022), therapeutic interventions (</w:t>
      </w:r>
      <w:proofErr w:type="spellStart"/>
      <w:r w:rsidRPr="00371D36">
        <w:rPr>
          <w:rFonts w:cs="Calibri"/>
        </w:rPr>
        <w:t>Comeras</w:t>
      </w:r>
      <w:proofErr w:type="spellEnd"/>
      <w:r w:rsidRPr="00371D36">
        <w:rPr>
          <w:rFonts w:cs="Calibri"/>
        </w:rPr>
        <w:t>–</w:t>
      </w:r>
      <w:proofErr w:type="spellStart"/>
      <w:r w:rsidRPr="00371D36">
        <w:rPr>
          <w:rFonts w:cs="Calibri"/>
        </w:rPr>
        <w:t>Cheuca</w:t>
      </w:r>
      <w:proofErr w:type="spellEnd"/>
      <w:r w:rsidRPr="00371D36">
        <w:rPr>
          <w:rFonts w:cs="Calibri"/>
        </w:rPr>
        <w:t xml:space="preserve"> et al., </w:t>
      </w:r>
      <w:r w:rsidRPr="00371D36">
        <w:rPr>
          <w:rFonts w:cs="Calibri"/>
        </w:rPr>
        <w:lastRenderedPageBreak/>
        <w:t xml:space="preserve">2021; Gerhardt &amp; Smith, 2020; Samson et al., 2021) as well as the promotion of education and training (Goodyear &amp; Armour, 2021; </w:t>
      </w:r>
      <w:proofErr w:type="spellStart"/>
      <w:r w:rsidRPr="00371D36">
        <w:rPr>
          <w:rFonts w:cs="Calibri"/>
        </w:rPr>
        <w:t>Finkelhor</w:t>
      </w:r>
      <w:proofErr w:type="spellEnd"/>
      <w:r w:rsidRPr="00371D36">
        <w:rPr>
          <w:rFonts w:cs="Calibri"/>
        </w:rPr>
        <w:t xml:space="preserve"> et al., 2021; </w:t>
      </w:r>
      <w:proofErr w:type="spellStart"/>
      <w:r w:rsidRPr="00371D36">
        <w:rPr>
          <w:rFonts w:cs="Calibri"/>
        </w:rPr>
        <w:t>Fedosov</w:t>
      </w:r>
      <w:proofErr w:type="spellEnd"/>
      <w:r w:rsidRPr="00371D36">
        <w:rPr>
          <w:rFonts w:cs="Calibri"/>
        </w:rPr>
        <w:t xml:space="preserve"> &amp; </w:t>
      </w:r>
      <w:proofErr w:type="spellStart"/>
      <w:r w:rsidRPr="00371D36">
        <w:rPr>
          <w:rFonts w:cs="Calibri"/>
        </w:rPr>
        <w:t>Karnaukhova</w:t>
      </w:r>
      <w:proofErr w:type="spellEnd"/>
      <w:r w:rsidRPr="00371D36">
        <w:rPr>
          <w:rFonts w:cs="Calibri"/>
        </w:rPr>
        <w:t>,  2021; Cardoso, et al., 2020).  Imperative to a shift in mindset is the role that Covid 19 played in increasing the level of online activity and the role or lack thereof that tech companies play to ensure all children, including disabled children are kept safe online. Moreover, lack of or outdated regulation places the responsibility for online safety at an individual level be that the disabled child, their parent/ carer or guardian or safeguarding practitioners. The lack of available evidence from the perspective of disabled young people is a limiting factor in this paper. Based on evidence of online risk and harm from literature key points and online resources outlined below may be useful in addressing child protection and welfare for disabled children using the internet.</w:t>
      </w:r>
    </w:p>
    <w:p w14:paraId="0B67A9A9" w14:textId="77777777" w:rsidR="00537945" w:rsidRDefault="00537945" w:rsidP="00537945">
      <w:pPr>
        <w:ind w:right="-284"/>
      </w:pPr>
    </w:p>
    <w:p w14:paraId="1E89BFFD" w14:textId="486B6020" w:rsidR="0018664D" w:rsidRDefault="0018664D" w:rsidP="0018664D">
      <w:pPr>
        <w:pStyle w:val="Newparagraph"/>
        <w:ind w:firstLine="0"/>
        <w:jc w:val="center"/>
      </w:pPr>
      <w:r>
        <w:t>[Table 4 Here]</w:t>
      </w:r>
    </w:p>
    <w:p w14:paraId="2742B24C" w14:textId="680A57BE" w:rsidR="0018664D" w:rsidRDefault="0018664D" w:rsidP="0018664D">
      <w:pPr>
        <w:ind w:right="-284"/>
        <w:jc w:val="center"/>
      </w:pPr>
    </w:p>
    <w:p w14:paraId="6B5F7C87" w14:textId="77777777" w:rsidR="0018664D" w:rsidRPr="0018664D" w:rsidRDefault="0018664D" w:rsidP="0018664D">
      <w:pPr>
        <w:ind w:right="-284"/>
      </w:pPr>
      <w:r w:rsidRPr="0018664D">
        <w:rPr>
          <w:b/>
        </w:rPr>
        <w:t>Acknowledgments</w:t>
      </w:r>
      <w:r w:rsidRPr="0018664D">
        <w:t xml:space="preserve"> </w:t>
      </w:r>
    </w:p>
    <w:p w14:paraId="49393291" w14:textId="77777777" w:rsidR="0018664D" w:rsidRPr="0018664D" w:rsidRDefault="0018664D" w:rsidP="0018664D">
      <w:pPr>
        <w:ind w:right="-284"/>
      </w:pPr>
      <w:r w:rsidRPr="0018664D">
        <w:t>The constructive contribution of peer reviewers is very much appreciated.</w:t>
      </w:r>
    </w:p>
    <w:p w14:paraId="3255B154" w14:textId="77777777" w:rsidR="0018664D" w:rsidRPr="0018664D" w:rsidRDefault="0018664D" w:rsidP="0018664D">
      <w:pPr>
        <w:ind w:right="-284"/>
        <w:rPr>
          <w:b/>
        </w:rPr>
      </w:pPr>
      <w:r w:rsidRPr="0018664D">
        <w:rPr>
          <w:b/>
        </w:rPr>
        <w:t>Funding</w:t>
      </w:r>
    </w:p>
    <w:p w14:paraId="1C80B664" w14:textId="79F0A34C" w:rsidR="0018664D" w:rsidRDefault="0018664D" w:rsidP="0018664D">
      <w:pPr>
        <w:ind w:right="-284"/>
      </w:pPr>
      <w:r w:rsidRPr="0018664D">
        <w:t>This research is funded by the Provost Award, Trinity College Dublin</w:t>
      </w:r>
      <w:r>
        <w:t>.</w:t>
      </w:r>
    </w:p>
    <w:p w14:paraId="7ACD9F42" w14:textId="77777777" w:rsidR="00F93183" w:rsidRPr="00CC22FF" w:rsidRDefault="00F93183" w:rsidP="00F93183">
      <w:pPr>
        <w:pStyle w:val="Tabletitle"/>
        <w:spacing w:line="480" w:lineRule="auto"/>
        <w:contextualSpacing/>
        <w:rPr>
          <w:b/>
          <w:bCs/>
        </w:rPr>
      </w:pPr>
      <w:r w:rsidRPr="00CC22FF">
        <w:rPr>
          <w:b/>
          <w:bCs/>
        </w:rPr>
        <w:t>Declaration of Interest Statement</w:t>
      </w:r>
    </w:p>
    <w:p w14:paraId="76EDD2C4" w14:textId="38F185CE" w:rsidR="00227080" w:rsidRPr="00F93183" w:rsidRDefault="00F93183" w:rsidP="00F93183">
      <w:pPr>
        <w:pStyle w:val="Newparagraph"/>
        <w:ind w:firstLine="0"/>
        <w:contextualSpacing/>
        <w:rPr>
          <w:kern w:val="32"/>
          <w:szCs w:val="32"/>
        </w:rPr>
      </w:pPr>
      <w:proofErr w:type="spellStart"/>
      <w:r w:rsidRPr="00CC22FF">
        <w:t>Eg.</w:t>
      </w:r>
      <w:proofErr w:type="spellEnd"/>
      <w:r w:rsidRPr="00CC22FF">
        <w:t xml:space="preserve"> </w:t>
      </w:r>
      <w:r w:rsidRPr="00CC22FF">
        <w:rPr>
          <w:kern w:val="32"/>
          <w:szCs w:val="32"/>
        </w:rPr>
        <w:t>No potential conflict of interest is reported.</w:t>
      </w:r>
    </w:p>
    <w:p w14:paraId="6AA2F356" w14:textId="77777777" w:rsidR="0018664D" w:rsidRDefault="0018664D" w:rsidP="0018664D">
      <w:pPr>
        <w:ind w:right="-284"/>
      </w:pPr>
    </w:p>
    <w:p w14:paraId="3649A05B" w14:textId="77777777" w:rsidR="002246BE" w:rsidRPr="001E4FE6" w:rsidRDefault="002246BE" w:rsidP="00A50988">
      <w:pPr>
        <w:pStyle w:val="Newparagraph"/>
        <w:ind w:firstLine="0"/>
        <w:contextualSpacing/>
        <w:rPr>
          <w:b/>
          <w:bCs/>
          <w:i/>
          <w:iCs/>
        </w:rPr>
      </w:pPr>
    </w:p>
    <w:p w14:paraId="5E4154AA" w14:textId="77777777" w:rsidR="00242C61" w:rsidRDefault="00242C61" w:rsidP="00242C61">
      <w:pPr>
        <w:pStyle w:val="Newparagraph"/>
        <w:ind w:firstLine="0"/>
      </w:pPr>
    </w:p>
    <w:p w14:paraId="42AEB21C" w14:textId="77777777" w:rsidR="0000086E" w:rsidRPr="00F42D54" w:rsidRDefault="0000086E" w:rsidP="0000086E">
      <w:pPr>
        <w:pStyle w:val="Newparagraph"/>
        <w:ind w:firstLine="0"/>
        <w:contextualSpacing/>
        <w:jc w:val="center"/>
        <w:rPr>
          <w:rFonts w:cs="Calibri"/>
        </w:rPr>
      </w:pPr>
    </w:p>
    <w:p w14:paraId="28F73DB8" w14:textId="7F213008" w:rsidR="00F42D54" w:rsidRPr="00F42D54" w:rsidRDefault="00F42D54" w:rsidP="00F42D54">
      <w:pPr>
        <w:pStyle w:val="Newparagraph"/>
        <w:ind w:firstLine="0"/>
        <w:contextualSpacing/>
      </w:pPr>
      <w:r w:rsidRPr="006F7A6C">
        <w:rPr>
          <w:rFonts w:cs="Calibri"/>
        </w:rPr>
        <w:t xml:space="preserve">  </w:t>
      </w:r>
    </w:p>
    <w:p w14:paraId="0961549E" w14:textId="77777777" w:rsidR="0018664D" w:rsidRDefault="005B3FBA" w:rsidP="003565D4">
      <w:pPr>
        <w:pStyle w:val="Tabletitle"/>
      </w:pPr>
      <w:r>
        <w:lastRenderedPageBreak/>
        <w:br w:type="page"/>
      </w:r>
    </w:p>
    <w:p w14:paraId="6EBE9B29" w14:textId="77777777" w:rsidR="0018664D" w:rsidRDefault="0018664D" w:rsidP="0018664D">
      <w:pPr>
        <w:ind w:left="720" w:right="804" w:hanging="720"/>
        <w:jc w:val="both"/>
      </w:pPr>
      <w:r>
        <w:rPr>
          <w:rFonts w:cs="Calibri"/>
          <w:b/>
        </w:rPr>
        <w:lastRenderedPageBreak/>
        <w:t>References</w:t>
      </w:r>
      <w:r>
        <w:rPr>
          <w:rFonts w:cs="Calibri"/>
          <w:color w:val="222222"/>
          <w:shd w:val="clear" w:color="auto" w:fill="FFFFFF"/>
        </w:rPr>
        <w:t xml:space="preserve"> </w:t>
      </w:r>
    </w:p>
    <w:p w14:paraId="59DB3F5C" w14:textId="77777777" w:rsidR="0018664D" w:rsidRDefault="0018664D" w:rsidP="0018664D">
      <w:pPr>
        <w:ind w:left="720" w:right="804" w:hanging="720"/>
        <w:jc w:val="both"/>
      </w:pPr>
      <w:proofErr w:type="spellStart"/>
      <w:r>
        <w:rPr>
          <w:rFonts w:cs="Calibri"/>
          <w:color w:val="222222"/>
          <w:shd w:val="clear" w:color="auto" w:fill="FFFFFF"/>
        </w:rPr>
        <w:t>Adıbelli</w:t>
      </w:r>
      <w:proofErr w:type="spellEnd"/>
      <w:r>
        <w:rPr>
          <w:rFonts w:cs="Calibri"/>
          <w:color w:val="222222"/>
          <w:shd w:val="clear" w:color="auto" w:fill="FFFFFF"/>
        </w:rPr>
        <w:t xml:space="preserve">, D., &amp; </w:t>
      </w:r>
      <w:proofErr w:type="spellStart"/>
      <w:r>
        <w:rPr>
          <w:rFonts w:cs="Calibri"/>
          <w:color w:val="222222"/>
          <w:shd w:val="clear" w:color="auto" w:fill="FFFFFF"/>
        </w:rPr>
        <w:t>Sümen</w:t>
      </w:r>
      <w:proofErr w:type="spellEnd"/>
      <w:r>
        <w:rPr>
          <w:rFonts w:cs="Calibri"/>
          <w:color w:val="222222"/>
          <w:shd w:val="clear" w:color="auto" w:fill="FFFFFF"/>
        </w:rPr>
        <w:t>, A. (2020). The effect of the coronavirus (COVID-19) pandemic on health-related quality of life in children. </w:t>
      </w:r>
      <w:r>
        <w:rPr>
          <w:rFonts w:cs="Calibri"/>
          <w:i/>
          <w:iCs/>
          <w:color w:val="222222"/>
          <w:shd w:val="clear" w:color="auto" w:fill="FFFFFF"/>
        </w:rPr>
        <w:t>Children and Youth Services Review</w:t>
      </w:r>
      <w:r>
        <w:rPr>
          <w:rFonts w:cs="Calibri"/>
          <w:color w:val="222222"/>
          <w:shd w:val="clear" w:color="auto" w:fill="FFFFFF"/>
        </w:rPr>
        <w:t>, </w:t>
      </w:r>
      <w:r>
        <w:rPr>
          <w:rFonts w:cs="Calibri"/>
          <w:i/>
          <w:iCs/>
          <w:color w:val="222222"/>
          <w:shd w:val="clear" w:color="auto" w:fill="FFFFFF"/>
        </w:rPr>
        <w:t>119</w:t>
      </w:r>
      <w:r>
        <w:rPr>
          <w:rFonts w:cs="Calibri"/>
          <w:color w:val="222222"/>
          <w:shd w:val="clear" w:color="auto" w:fill="FFFFFF"/>
        </w:rPr>
        <w:t>, 105595.</w:t>
      </w:r>
    </w:p>
    <w:p w14:paraId="4B1A8643" w14:textId="77777777" w:rsidR="0018664D" w:rsidRDefault="0018664D" w:rsidP="0018664D">
      <w:pPr>
        <w:ind w:left="720" w:right="804" w:hanging="720"/>
        <w:jc w:val="both"/>
      </w:pPr>
      <w:r>
        <w:rPr>
          <w:rFonts w:cs="Calibri"/>
          <w:color w:val="222222"/>
          <w:shd w:val="clear" w:color="auto" w:fill="FFFFFF"/>
        </w:rPr>
        <w:t xml:space="preserve">Ahmadu, T. S., &amp; Kontagora, H. L. (2022). </w:t>
      </w:r>
      <w:proofErr w:type="gramStart"/>
      <w:r>
        <w:rPr>
          <w:rFonts w:cs="Calibri"/>
          <w:color w:val="222222"/>
          <w:shd w:val="clear" w:color="auto" w:fill="FFFFFF"/>
        </w:rPr>
        <w:t>How</w:t>
      </w:r>
      <w:proofErr w:type="gramEnd"/>
      <w:r>
        <w:rPr>
          <w:rFonts w:cs="Calibri"/>
          <w:color w:val="222222"/>
          <w:shd w:val="clear" w:color="auto" w:fill="FFFFFF"/>
        </w:rPr>
        <w:t xml:space="preserve"> Nigerian Junior Secondary School Students Perceive Internet Child Exploitation. In </w:t>
      </w:r>
      <w:r>
        <w:rPr>
          <w:rFonts w:cs="Calibri"/>
          <w:i/>
          <w:iCs/>
          <w:color w:val="222222"/>
          <w:shd w:val="clear" w:color="auto" w:fill="FFFFFF"/>
        </w:rPr>
        <w:t>Research Anthology on Combating Cyber-Aggression and Online Negativity</w:t>
      </w:r>
      <w:r>
        <w:rPr>
          <w:rFonts w:cs="Calibri"/>
          <w:color w:val="222222"/>
          <w:shd w:val="clear" w:color="auto" w:fill="FFFFFF"/>
        </w:rPr>
        <w:t> (pp. 1401-1417). IGI Global.</w:t>
      </w:r>
    </w:p>
    <w:p w14:paraId="539D8A03" w14:textId="77777777" w:rsidR="0018664D" w:rsidRDefault="0018664D" w:rsidP="0018664D">
      <w:pPr>
        <w:ind w:left="720" w:right="804" w:hanging="720"/>
        <w:jc w:val="both"/>
      </w:pPr>
      <w:r>
        <w:rPr>
          <w:rFonts w:cs="Calibri"/>
          <w:color w:val="222222"/>
          <w:shd w:val="clear" w:color="auto" w:fill="FFFFFF"/>
        </w:rPr>
        <w:t>Alfredsson Ågren, K., Kjellberg, A., &amp; Hemmingsson, H. (2020). Digital participation? Internet use among adolescents with and without intellectual disabilities: A comparative study. </w:t>
      </w:r>
      <w:r>
        <w:rPr>
          <w:rFonts w:cs="Calibri"/>
          <w:i/>
          <w:iCs/>
          <w:color w:val="222222"/>
          <w:shd w:val="clear" w:color="auto" w:fill="FFFFFF"/>
        </w:rPr>
        <w:t>New Media &amp; Society</w:t>
      </w:r>
      <w:r>
        <w:rPr>
          <w:rFonts w:cs="Calibri"/>
          <w:color w:val="222222"/>
          <w:shd w:val="clear" w:color="auto" w:fill="FFFFFF"/>
        </w:rPr>
        <w:t>, </w:t>
      </w:r>
      <w:r>
        <w:rPr>
          <w:rFonts w:cs="Calibri"/>
          <w:i/>
          <w:iCs/>
          <w:color w:val="222222"/>
          <w:shd w:val="clear" w:color="auto" w:fill="FFFFFF"/>
        </w:rPr>
        <w:t>22</w:t>
      </w:r>
      <w:r>
        <w:rPr>
          <w:rFonts w:cs="Calibri"/>
          <w:color w:val="222222"/>
          <w:shd w:val="clear" w:color="auto" w:fill="FFFFFF"/>
        </w:rPr>
        <w:t>(12), 2128-2145.</w:t>
      </w:r>
    </w:p>
    <w:p w14:paraId="5DC46E7A" w14:textId="77777777" w:rsidR="0018664D" w:rsidRDefault="0018664D" w:rsidP="0018664D">
      <w:pPr>
        <w:ind w:left="720" w:right="804" w:hanging="720"/>
        <w:jc w:val="both"/>
      </w:pPr>
      <w:r>
        <w:rPr>
          <w:rFonts w:cs="Calibri"/>
          <w:color w:val="222222"/>
          <w:shd w:val="clear" w:color="auto" w:fill="FFFFFF"/>
        </w:rPr>
        <w:t>Ali, S., Haykal, H. A., &amp; Youssef, E. Y. M. (2021). Child sexual abuse and the internet—a systematic review. </w:t>
      </w:r>
      <w:r>
        <w:rPr>
          <w:rFonts w:cs="Calibri"/>
          <w:i/>
          <w:iCs/>
          <w:color w:val="222222"/>
          <w:shd w:val="clear" w:color="auto" w:fill="FFFFFF"/>
        </w:rPr>
        <w:t>Human Arenas</w:t>
      </w:r>
      <w:r>
        <w:rPr>
          <w:rFonts w:cs="Calibri"/>
          <w:color w:val="222222"/>
          <w:shd w:val="clear" w:color="auto" w:fill="FFFFFF"/>
        </w:rPr>
        <w:t>, 1-18.</w:t>
      </w:r>
    </w:p>
    <w:p w14:paraId="53CF32E8" w14:textId="77777777" w:rsidR="0018664D" w:rsidRDefault="0018664D" w:rsidP="0018664D">
      <w:pPr>
        <w:ind w:left="720" w:right="804" w:hanging="720"/>
        <w:jc w:val="both"/>
      </w:pPr>
      <w:proofErr w:type="spellStart"/>
      <w:r>
        <w:rPr>
          <w:rFonts w:cs="Calibri"/>
          <w:color w:val="222222"/>
          <w:shd w:val="clear" w:color="auto" w:fill="FFFFFF"/>
        </w:rPr>
        <w:t>Alkhallouf</w:t>
      </w:r>
      <w:proofErr w:type="spellEnd"/>
      <w:r>
        <w:rPr>
          <w:rFonts w:cs="Calibri"/>
          <w:color w:val="222222"/>
          <w:shd w:val="clear" w:color="auto" w:fill="FFFFFF"/>
        </w:rPr>
        <w:t>, A. (2021). Parental cyberbullying through a global lens: Children’s digital rights and social media policies. </w:t>
      </w:r>
      <w:r>
        <w:rPr>
          <w:rFonts w:cs="Calibri"/>
          <w:i/>
          <w:iCs/>
          <w:color w:val="222222"/>
          <w:shd w:val="clear" w:color="auto" w:fill="FFFFFF"/>
        </w:rPr>
        <w:t>Journal of Children and Media</w:t>
      </w:r>
      <w:r>
        <w:rPr>
          <w:rFonts w:cs="Calibri"/>
          <w:color w:val="222222"/>
          <w:shd w:val="clear" w:color="auto" w:fill="FFFFFF"/>
        </w:rPr>
        <w:t>, </w:t>
      </w:r>
      <w:r>
        <w:rPr>
          <w:rFonts w:cs="Calibri"/>
          <w:i/>
          <w:iCs/>
          <w:color w:val="222222"/>
          <w:shd w:val="clear" w:color="auto" w:fill="FFFFFF"/>
        </w:rPr>
        <w:t>15</w:t>
      </w:r>
      <w:r>
        <w:rPr>
          <w:rFonts w:cs="Calibri"/>
          <w:color w:val="222222"/>
          <w:shd w:val="clear" w:color="auto" w:fill="FFFFFF"/>
        </w:rPr>
        <w:t>(3), 448-453.</w:t>
      </w:r>
    </w:p>
    <w:p w14:paraId="4EE0E065" w14:textId="77777777" w:rsidR="0018664D" w:rsidRDefault="0018664D" w:rsidP="0018664D">
      <w:pPr>
        <w:ind w:left="720" w:right="804" w:hanging="720"/>
        <w:jc w:val="both"/>
      </w:pPr>
      <w:r>
        <w:rPr>
          <w:rFonts w:cs="Calibri"/>
          <w:color w:val="222222"/>
          <w:shd w:val="clear" w:color="auto" w:fill="FFFFFF"/>
        </w:rPr>
        <w:t>Alper, M., &amp; Goggin, G. (2017). Digital technology and rights in the lives of children with disabilities. </w:t>
      </w:r>
      <w:r>
        <w:rPr>
          <w:rFonts w:cs="Calibri"/>
          <w:i/>
          <w:iCs/>
          <w:color w:val="222222"/>
          <w:shd w:val="clear" w:color="auto" w:fill="FFFFFF"/>
        </w:rPr>
        <w:t>New Media &amp; Society</w:t>
      </w:r>
      <w:r>
        <w:rPr>
          <w:rFonts w:cs="Calibri"/>
          <w:color w:val="222222"/>
          <w:shd w:val="clear" w:color="auto" w:fill="FFFFFF"/>
        </w:rPr>
        <w:t>, </w:t>
      </w:r>
      <w:r>
        <w:rPr>
          <w:rFonts w:cs="Calibri"/>
          <w:i/>
          <w:iCs/>
          <w:color w:val="222222"/>
          <w:shd w:val="clear" w:color="auto" w:fill="FFFFFF"/>
        </w:rPr>
        <w:t>19</w:t>
      </w:r>
      <w:r>
        <w:rPr>
          <w:rFonts w:cs="Calibri"/>
          <w:color w:val="222222"/>
          <w:shd w:val="clear" w:color="auto" w:fill="FFFFFF"/>
        </w:rPr>
        <w:t>(5), 726-740.</w:t>
      </w:r>
    </w:p>
    <w:p w14:paraId="240D7509" w14:textId="77777777" w:rsidR="0018664D" w:rsidRDefault="0018664D" w:rsidP="0018664D">
      <w:pPr>
        <w:ind w:left="720" w:right="804" w:hanging="720"/>
        <w:jc w:val="both"/>
      </w:pPr>
      <w:r>
        <w:rPr>
          <w:rFonts w:cs="Calibri"/>
          <w:shd w:val="clear" w:color="auto" w:fill="FFFFFF"/>
        </w:rPr>
        <w:t>Arksey, H. et O'Malley, L. (2005). Scoping studies: towards a methodological framework. </w:t>
      </w:r>
      <w:r>
        <w:rPr>
          <w:rFonts w:cs="Calibri"/>
          <w:i/>
          <w:iCs/>
        </w:rPr>
        <w:t>International journal of social research methodology</w:t>
      </w:r>
      <w:r>
        <w:rPr>
          <w:rFonts w:cs="Calibri"/>
          <w:shd w:val="clear" w:color="auto" w:fill="FFFFFF"/>
        </w:rPr>
        <w:t>, </w:t>
      </w:r>
      <w:r>
        <w:rPr>
          <w:rFonts w:cs="Calibri"/>
          <w:i/>
          <w:iCs/>
        </w:rPr>
        <w:t>8</w:t>
      </w:r>
      <w:r>
        <w:rPr>
          <w:rFonts w:cs="Calibri"/>
          <w:shd w:val="clear" w:color="auto" w:fill="FFFFFF"/>
        </w:rPr>
        <w:t>(1), 19</w:t>
      </w:r>
      <w:r>
        <w:rPr>
          <w:rFonts w:cs="Calibri"/>
          <w:shd w:val="clear" w:color="auto" w:fill="FFFFFF"/>
        </w:rPr>
        <w:noBreakHyphen/>
        <w:t>32. doi:10.1080/1364557032000119616</w:t>
      </w:r>
    </w:p>
    <w:p w14:paraId="334F94CA" w14:textId="77777777" w:rsidR="0018664D" w:rsidRDefault="0018664D" w:rsidP="0018664D">
      <w:pPr>
        <w:ind w:left="720" w:right="804" w:hanging="720"/>
        <w:jc w:val="both"/>
      </w:pPr>
      <w:proofErr w:type="spellStart"/>
      <w:r>
        <w:rPr>
          <w:rFonts w:cs="Calibri"/>
          <w:color w:val="222222"/>
          <w:shd w:val="clear" w:color="auto" w:fill="FFFFFF"/>
        </w:rPr>
        <w:t>Aromataris</w:t>
      </w:r>
      <w:proofErr w:type="spellEnd"/>
      <w:r>
        <w:rPr>
          <w:rFonts w:cs="Calibri"/>
          <w:color w:val="222222"/>
          <w:shd w:val="clear" w:color="auto" w:fill="FFFFFF"/>
        </w:rPr>
        <w:t>, E., &amp; Pearson, A. (2014). The systematic review: an overview. </w:t>
      </w:r>
      <w:r>
        <w:rPr>
          <w:rFonts w:cs="Calibri"/>
          <w:i/>
          <w:iCs/>
          <w:color w:val="222222"/>
          <w:shd w:val="clear" w:color="auto" w:fill="FFFFFF"/>
        </w:rPr>
        <w:t>AJN The American Journal of Nursing</w:t>
      </w:r>
      <w:r>
        <w:rPr>
          <w:rFonts w:cs="Calibri"/>
          <w:color w:val="222222"/>
          <w:shd w:val="clear" w:color="auto" w:fill="FFFFFF"/>
        </w:rPr>
        <w:t>, </w:t>
      </w:r>
      <w:r>
        <w:rPr>
          <w:rFonts w:cs="Calibri"/>
          <w:i/>
          <w:iCs/>
          <w:color w:val="222222"/>
          <w:shd w:val="clear" w:color="auto" w:fill="FFFFFF"/>
        </w:rPr>
        <w:t>114</w:t>
      </w:r>
      <w:r>
        <w:rPr>
          <w:rFonts w:cs="Calibri"/>
          <w:color w:val="222222"/>
          <w:shd w:val="clear" w:color="auto" w:fill="FFFFFF"/>
        </w:rPr>
        <w:t>(3), 53-58.</w:t>
      </w:r>
    </w:p>
    <w:p w14:paraId="0F0BDDE8" w14:textId="77777777" w:rsidR="0018664D" w:rsidRDefault="0018664D" w:rsidP="0018664D">
      <w:pPr>
        <w:ind w:left="720" w:right="804" w:hanging="720"/>
        <w:jc w:val="both"/>
      </w:pPr>
      <w:proofErr w:type="spellStart"/>
      <w:r>
        <w:rPr>
          <w:rFonts w:cs="Calibri"/>
          <w:color w:val="222222"/>
          <w:shd w:val="clear" w:color="auto" w:fill="FFFFFF"/>
        </w:rPr>
        <w:lastRenderedPageBreak/>
        <w:t>Audrin</w:t>
      </w:r>
      <w:proofErr w:type="spellEnd"/>
      <w:r>
        <w:rPr>
          <w:rFonts w:cs="Calibri"/>
          <w:color w:val="222222"/>
          <w:shd w:val="clear" w:color="auto" w:fill="FFFFFF"/>
        </w:rPr>
        <w:t xml:space="preserve">, C., &amp; </w:t>
      </w:r>
      <w:proofErr w:type="spellStart"/>
      <w:r>
        <w:rPr>
          <w:rFonts w:cs="Calibri"/>
          <w:color w:val="222222"/>
          <w:shd w:val="clear" w:color="auto" w:fill="FFFFFF"/>
        </w:rPr>
        <w:t>Blaya</w:t>
      </w:r>
      <w:proofErr w:type="spellEnd"/>
      <w:r>
        <w:rPr>
          <w:rFonts w:cs="Calibri"/>
          <w:color w:val="222222"/>
          <w:shd w:val="clear" w:color="auto" w:fill="FFFFFF"/>
        </w:rPr>
        <w:t>, C. (2020). Psychological well-being in a connected world: The impact of cyber victimization in children’s and young people’s life in France. </w:t>
      </w:r>
      <w:r>
        <w:rPr>
          <w:rFonts w:cs="Calibri"/>
          <w:i/>
          <w:iCs/>
          <w:color w:val="222222"/>
          <w:shd w:val="clear" w:color="auto" w:fill="FFFFFF"/>
        </w:rPr>
        <w:t>Frontiers in psychology</w:t>
      </w:r>
      <w:r>
        <w:rPr>
          <w:rFonts w:cs="Calibri"/>
          <w:color w:val="222222"/>
          <w:shd w:val="clear" w:color="auto" w:fill="FFFFFF"/>
        </w:rPr>
        <w:t>, </w:t>
      </w:r>
      <w:r>
        <w:rPr>
          <w:rFonts w:cs="Calibri"/>
          <w:i/>
          <w:iCs/>
          <w:color w:val="222222"/>
          <w:shd w:val="clear" w:color="auto" w:fill="FFFFFF"/>
        </w:rPr>
        <w:t>11</w:t>
      </w:r>
      <w:r>
        <w:rPr>
          <w:rFonts w:cs="Calibri"/>
          <w:color w:val="222222"/>
          <w:shd w:val="clear" w:color="auto" w:fill="FFFFFF"/>
        </w:rPr>
        <w:t>, 1427.</w:t>
      </w:r>
    </w:p>
    <w:p w14:paraId="554CBC8F" w14:textId="77777777" w:rsidR="0018664D" w:rsidRDefault="0018664D" w:rsidP="0018664D">
      <w:pPr>
        <w:ind w:left="720" w:right="804" w:hanging="720"/>
        <w:jc w:val="both"/>
      </w:pPr>
      <w:bookmarkStart w:id="3" w:name="_Hlk147959846"/>
      <w:r>
        <w:rPr>
          <w:rFonts w:cs="Calibri"/>
          <w:color w:val="222222"/>
          <w:shd w:val="clear" w:color="auto" w:fill="FFFFFF"/>
        </w:rPr>
        <w:t>BĂLAN, C. (2018). VIRTUAL AUTISM AND ITS EFFECTS ON THE CHILD'S EVOLUTION. </w:t>
      </w:r>
      <w:r>
        <w:rPr>
          <w:rFonts w:cs="Calibri"/>
          <w:i/>
          <w:iCs/>
          <w:color w:val="222222"/>
          <w:shd w:val="clear" w:color="auto" w:fill="FFFFFF"/>
        </w:rPr>
        <w:t>Scientific Research &amp; Education in the Air Force-AFASES</w:t>
      </w:r>
      <w:r>
        <w:rPr>
          <w:rFonts w:cs="Calibri"/>
          <w:color w:val="222222"/>
          <w:shd w:val="clear" w:color="auto" w:fill="FFFFFF"/>
        </w:rPr>
        <w:t>.</w:t>
      </w:r>
    </w:p>
    <w:bookmarkEnd w:id="3"/>
    <w:p w14:paraId="7BEAAB63" w14:textId="77777777" w:rsidR="0018664D" w:rsidRDefault="0018664D" w:rsidP="0018664D">
      <w:pPr>
        <w:ind w:left="720" w:right="804" w:hanging="720"/>
        <w:jc w:val="both"/>
      </w:pPr>
      <w:r>
        <w:rPr>
          <w:rFonts w:cs="Calibri"/>
          <w:color w:val="222222"/>
          <w:shd w:val="clear" w:color="auto" w:fill="FFFFFF"/>
        </w:rPr>
        <w:t xml:space="preserve">Biçer, Ş., &amp; Yıldırım, A. (2022). Digital death and </w:t>
      </w:r>
      <w:proofErr w:type="spellStart"/>
      <w:r>
        <w:rPr>
          <w:rFonts w:cs="Calibri"/>
          <w:color w:val="222222"/>
          <w:shd w:val="clear" w:color="auto" w:fill="FFFFFF"/>
        </w:rPr>
        <w:t>thanatechnology</w:t>
      </w:r>
      <w:proofErr w:type="spellEnd"/>
      <w:r>
        <w:rPr>
          <w:rFonts w:cs="Calibri"/>
          <w:color w:val="222222"/>
          <w:shd w:val="clear" w:color="auto" w:fill="FFFFFF"/>
        </w:rPr>
        <w:t>: New ways of thinking about data (</w:t>
      </w:r>
      <w:proofErr w:type="spellStart"/>
      <w:r>
        <w:rPr>
          <w:rFonts w:cs="Calibri"/>
          <w:color w:val="222222"/>
          <w:shd w:val="clear" w:color="auto" w:fill="FFFFFF"/>
        </w:rPr>
        <w:t>Im</w:t>
      </w:r>
      <w:proofErr w:type="spellEnd"/>
      <w:r>
        <w:rPr>
          <w:rFonts w:cs="Calibri"/>
          <w:color w:val="222222"/>
          <w:shd w:val="clear" w:color="auto" w:fill="FFFFFF"/>
        </w:rPr>
        <w:t>) Mortality and digital transformation. </w:t>
      </w:r>
      <w:r>
        <w:rPr>
          <w:rFonts w:cs="Calibri"/>
          <w:i/>
          <w:iCs/>
          <w:color w:val="222222"/>
          <w:shd w:val="clear" w:color="auto" w:fill="FFFFFF"/>
        </w:rPr>
        <w:t>OMICS: A Journal of Integrative Biology</w:t>
      </w:r>
      <w:r>
        <w:rPr>
          <w:rFonts w:cs="Calibri"/>
          <w:color w:val="222222"/>
          <w:shd w:val="clear" w:color="auto" w:fill="FFFFFF"/>
        </w:rPr>
        <w:t>, </w:t>
      </w:r>
      <w:r>
        <w:rPr>
          <w:rFonts w:cs="Calibri"/>
          <w:i/>
          <w:iCs/>
          <w:color w:val="222222"/>
          <w:shd w:val="clear" w:color="auto" w:fill="FFFFFF"/>
        </w:rPr>
        <w:t>26</w:t>
      </w:r>
      <w:r>
        <w:rPr>
          <w:rFonts w:cs="Calibri"/>
          <w:color w:val="222222"/>
          <w:shd w:val="clear" w:color="auto" w:fill="FFFFFF"/>
        </w:rPr>
        <w:t>(2), 88-92.</w:t>
      </w:r>
    </w:p>
    <w:p w14:paraId="74BDF550" w14:textId="77777777" w:rsidR="0018664D" w:rsidRDefault="0018664D" w:rsidP="0018664D">
      <w:pPr>
        <w:ind w:left="720" w:right="804" w:hanging="720"/>
        <w:jc w:val="both"/>
      </w:pPr>
      <w:bookmarkStart w:id="4" w:name="_Hlk147959878"/>
      <w:proofErr w:type="spellStart"/>
      <w:r>
        <w:rPr>
          <w:rFonts w:cs="Calibri"/>
          <w:color w:val="222222"/>
          <w:shd w:val="clear" w:color="auto" w:fill="FFFFFF"/>
        </w:rPr>
        <w:t>Borgström</w:t>
      </w:r>
      <w:proofErr w:type="spellEnd"/>
      <w:r>
        <w:rPr>
          <w:rFonts w:cs="Calibri"/>
          <w:color w:val="222222"/>
          <w:shd w:val="clear" w:color="auto" w:fill="FFFFFF"/>
        </w:rPr>
        <w:t>, Å. (2023). Tensions between risk, coping and support: young people with intellectual disability in Sweden and Internet-related support. </w:t>
      </w:r>
      <w:r>
        <w:rPr>
          <w:rFonts w:cs="Calibri"/>
          <w:i/>
          <w:iCs/>
          <w:color w:val="222222"/>
          <w:shd w:val="clear" w:color="auto" w:fill="FFFFFF"/>
        </w:rPr>
        <w:t>Disability &amp; Society</w:t>
      </w:r>
      <w:r>
        <w:rPr>
          <w:rFonts w:cs="Calibri"/>
          <w:color w:val="222222"/>
          <w:shd w:val="clear" w:color="auto" w:fill="FFFFFF"/>
        </w:rPr>
        <w:t>, </w:t>
      </w:r>
      <w:r>
        <w:rPr>
          <w:rFonts w:cs="Calibri"/>
          <w:i/>
          <w:iCs/>
          <w:color w:val="222222"/>
          <w:shd w:val="clear" w:color="auto" w:fill="FFFFFF"/>
        </w:rPr>
        <w:t>38</w:t>
      </w:r>
      <w:r>
        <w:rPr>
          <w:rFonts w:cs="Calibri"/>
          <w:color w:val="222222"/>
          <w:shd w:val="clear" w:color="auto" w:fill="FFFFFF"/>
        </w:rPr>
        <w:t>(3), 460-482.</w:t>
      </w:r>
    </w:p>
    <w:bookmarkEnd w:id="4"/>
    <w:p w14:paraId="3679041C" w14:textId="77777777" w:rsidR="0018664D" w:rsidRDefault="0018664D" w:rsidP="0018664D">
      <w:pPr>
        <w:ind w:left="720" w:right="804" w:hanging="720"/>
        <w:jc w:val="both"/>
      </w:pPr>
      <w:r>
        <w:rPr>
          <w:rFonts w:cs="Calibri"/>
          <w:color w:val="222222"/>
          <w:shd w:val="clear" w:color="auto" w:fill="FFFFFF"/>
        </w:rPr>
        <w:t>Braun, V., &amp; Clarke, V. (2006). Using thematic analysis in psychology. </w:t>
      </w:r>
      <w:r>
        <w:rPr>
          <w:rFonts w:cs="Calibri"/>
          <w:i/>
          <w:iCs/>
          <w:color w:val="222222"/>
          <w:shd w:val="clear" w:color="auto" w:fill="FFFFFF"/>
        </w:rPr>
        <w:t>Qualitative research in psychology</w:t>
      </w:r>
      <w:r>
        <w:rPr>
          <w:rFonts w:cs="Calibri"/>
          <w:color w:val="222222"/>
          <w:shd w:val="clear" w:color="auto" w:fill="FFFFFF"/>
        </w:rPr>
        <w:t>, </w:t>
      </w:r>
      <w:r>
        <w:rPr>
          <w:rFonts w:cs="Calibri"/>
          <w:i/>
          <w:iCs/>
          <w:color w:val="222222"/>
          <w:shd w:val="clear" w:color="auto" w:fill="FFFFFF"/>
        </w:rPr>
        <w:t>3</w:t>
      </w:r>
      <w:r>
        <w:rPr>
          <w:rFonts w:cs="Calibri"/>
          <w:color w:val="222222"/>
          <w:shd w:val="clear" w:color="auto" w:fill="FFFFFF"/>
        </w:rPr>
        <w:t>(2), 77-101.</w:t>
      </w:r>
    </w:p>
    <w:p w14:paraId="5B9F7E5C" w14:textId="77777777" w:rsidR="0018664D" w:rsidRDefault="0018664D" w:rsidP="0018664D">
      <w:pPr>
        <w:ind w:left="720" w:right="804" w:hanging="720"/>
        <w:jc w:val="both"/>
      </w:pPr>
      <w:r>
        <w:rPr>
          <w:rFonts w:cs="Calibri"/>
          <w:color w:val="222222"/>
          <w:shd w:val="clear" w:color="auto" w:fill="FFFFFF"/>
        </w:rPr>
        <w:t>Brosch, A. (2016). When the child is born into the Internet: Sharenting as a growing trend among parents on Facebook.</w:t>
      </w:r>
      <w:r>
        <w:rPr>
          <w:rFonts w:cs="Calibri"/>
        </w:rPr>
        <w:t xml:space="preserve"> "</w:t>
      </w:r>
      <w:r>
        <w:rPr>
          <w:rFonts w:cs="Calibri"/>
          <w:i/>
        </w:rPr>
        <w:t>The New Educational Review</w:t>
      </w:r>
      <w:r>
        <w:rPr>
          <w:rFonts w:cs="Calibri"/>
        </w:rPr>
        <w:t>", 1, 225-235. DOI: 10.15804/tner.2016.43.1.19</w:t>
      </w:r>
    </w:p>
    <w:p w14:paraId="10BF879C" w14:textId="77777777" w:rsidR="0018664D" w:rsidRDefault="0018664D" w:rsidP="0018664D">
      <w:pPr>
        <w:ind w:left="720" w:right="804" w:hanging="720"/>
        <w:jc w:val="both"/>
      </w:pPr>
      <w:r>
        <w:rPr>
          <w:rFonts w:cs="Calibri"/>
          <w:color w:val="222222"/>
          <w:shd w:val="clear" w:color="auto" w:fill="FFFFFF"/>
        </w:rPr>
        <w:t xml:space="preserve">Burke, T. A., </w:t>
      </w:r>
      <w:proofErr w:type="spellStart"/>
      <w:r>
        <w:rPr>
          <w:rFonts w:cs="Calibri"/>
          <w:color w:val="222222"/>
          <w:shd w:val="clear" w:color="auto" w:fill="FFFFFF"/>
        </w:rPr>
        <w:t>Kutok</w:t>
      </w:r>
      <w:proofErr w:type="spellEnd"/>
      <w:r>
        <w:rPr>
          <w:rFonts w:cs="Calibri"/>
          <w:color w:val="222222"/>
          <w:shd w:val="clear" w:color="auto" w:fill="FFFFFF"/>
        </w:rPr>
        <w:t xml:space="preserve">, E. R., </w:t>
      </w:r>
      <w:proofErr w:type="spellStart"/>
      <w:r>
        <w:rPr>
          <w:rFonts w:cs="Calibri"/>
          <w:color w:val="222222"/>
          <w:shd w:val="clear" w:color="auto" w:fill="FFFFFF"/>
        </w:rPr>
        <w:t>Dunsiger</w:t>
      </w:r>
      <w:proofErr w:type="spellEnd"/>
      <w:r>
        <w:rPr>
          <w:rFonts w:cs="Calibri"/>
          <w:color w:val="222222"/>
          <w:shd w:val="clear" w:color="auto" w:fill="FFFFFF"/>
        </w:rPr>
        <w:t>, S., Nugent, N. R., Patena, J. V., Riese, A., &amp; Ranney, M. L. (2021). A national snapshot of US adolescents' mental health and changing technology use during COVID-19. </w:t>
      </w:r>
      <w:r>
        <w:rPr>
          <w:rFonts w:cs="Calibri"/>
          <w:i/>
          <w:iCs/>
          <w:color w:val="222222"/>
          <w:shd w:val="clear" w:color="auto" w:fill="FFFFFF"/>
        </w:rPr>
        <w:t>General Hospital Psychiatry</w:t>
      </w:r>
      <w:r>
        <w:rPr>
          <w:rFonts w:cs="Calibri"/>
          <w:color w:val="222222"/>
          <w:shd w:val="clear" w:color="auto" w:fill="FFFFFF"/>
        </w:rPr>
        <w:t>, </w:t>
      </w:r>
      <w:r>
        <w:rPr>
          <w:rFonts w:cs="Calibri"/>
          <w:i/>
          <w:iCs/>
          <w:color w:val="222222"/>
          <w:shd w:val="clear" w:color="auto" w:fill="FFFFFF"/>
        </w:rPr>
        <w:t>71</w:t>
      </w:r>
      <w:r>
        <w:rPr>
          <w:rFonts w:cs="Calibri"/>
          <w:color w:val="222222"/>
          <w:shd w:val="clear" w:color="auto" w:fill="FFFFFF"/>
        </w:rPr>
        <w:t>, 147.</w:t>
      </w:r>
    </w:p>
    <w:p w14:paraId="1EC22CA3" w14:textId="77777777" w:rsidR="0018664D" w:rsidRDefault="0018664D" w:rsidP="0018664D">
      <w:pPr>
        <w:ind w:left="720" w:right="804" w:hanging="720"/>
        <w:jc w:val="both"/>
      </w:pPr>
      <w:r>
        <w:rPr>
          <w:rFonts w:cs="Calibri"/>
          <w:color w:val="222222"/>
          <w:shd w:val="clear" w:color="auto" w:fill="FFFFFF"/>
        </w:rPr>
        <w:t>Caldwell, K., Henshaw, L., &amp; Taylor, G. (2011). Developing a framework for critiquing health research: an early evaluation. </w:t>
      </w:r>
      <w:r>
        <w:rPr>
          <w:rFonts w:cs="Calibri"/>
          <w:i/>
          <w:iCs/>
          <w:color w:val="222222"/>
          <w:shd w:val="clear" w:color="auto" w:fill="FFFFFF"/>
        </w:rPr>
        <w:t>Nurse education today</w:t>
      </w:r>
      <w:r>
        <w:rPr>
          <w:rFonts w:cs="Calibri"/>
          <w:color w:val="222222"/>
          <w:shd w:val="clear" w:color="auto" w:fill="FFFFFF"/>
        </w:rPr>
        <w:t>, </w:t>
      </w:r>
      <w:r>
        <w:rPr>
          <w:rFonts w:cs="Calibri"/>
          <w:i/>
          <w:iCs/>
          <w:color w:val="222222"/>
          <w:shd w:val="clear" w:color="auto" w:fill="FFFFFF"/>
        </w:rPr>
        <w:t>31</w:t>
      </w:r>
      <w:r>
        <w:rPr>
          <w:rFonts w:cs="Calibri"/>
          <w:color w:val="222222"/>
          <w:shd w:val="clear" w:color="auto" w:fill="FFFFFF"/>
        </w:rPr>
        <w:t>(8), e1-e7.</w:t>
      </w:r>
    </w:p>
    <w:p w14:paraId="1A372F33" w14:textId="77777777" w:rsidR="0018664D" w:rsidRDefault="0018664D" w:rsidP="0018664D">
      <w:pPr>
        <w:ind w:left="720" w:right="804" w:hanging="720"/>
        <w:jc w:val="both"/>
      </w:pPr>
      <w:r>
        <w:rPr>
          <w:rFonts w:cs="Calibri"/>
          <w:color w:val="222222"/>
          <w:shd w:val="clear" w:color="auto" w:fill="FFFFFF"/>
        </w:rPr>
        <w:lastRenderedPageBreak/>
        <w:t>Cardoso, P., Hawk, D. V., &amp; Cross, D. (2020). What young people need to make better-informed decisions when communicating with digital images: implications for mental health and well-being. </w:t>
      </w:r>
      <w:r>
        <w:rPr>
          <w:rFonts w:cs="Calibri"/>
          <w:i/>
          <w:iCs/>
          <w:color w:val="222222"/>
          <w:shd w:val="clear" w:color="auto" w:fill="FFFFFF"/>
        </w:rPr>
        <w:t xml:space="preserve">Health Education &amp; </w:t>
      </w:r>
      <w:proofErr w:type="spellStart"/>
      <w:r>
        <w:rPr>
          <w:rFonts w:cs="Calibri"/>
          <w:i/>
          <w:iCs/>
          <w:color w:val="222222"/>
          <w:shd w:val="clear" w:color="auto" w:fill="FFFFFF"/>
        </w:rPr>
        <w:t>Behavior</w:t>
      </w:r>
      <w:proofErr w:type="spellEnd"/>
      <w:r>
        <w:rPr>
          <w:rFonts w:cs="Calibri"/>
          <w:color w:val="222222"/>
          <w:shd w:val="clear" w:color="auto" w:fill="FFFFFF"/>
        </w:rPr>
        <w:t>, </w:t>
      </w:r>
      <w:r>
        <w:rPr>
          <w:rFonts w:cs="Calibri"/>
          <w:i/>
          <w:iCs/>
          <w:color w:val="222222"/>
          <w:shd w:val="clear" w:color="auto" w:fill="FFFFFF"/>
        </w:rPr>
        <w:t>47</w:t>
      </w:r>
      <w:r>
        <w:rPr>
          <w:rFonts w:cs="Calibri"/>
          <w:color w:val="222222"/>
          <w:shd w:val="clear" w:color="auto" w:fill="FFFFFF"/>
        </w:rPr>
        <w:t>(1), 29-36.</w:t>
      </w:r>
    </w:p>
    <w:p w14:paraId="521A8407" w14:textId="77777777" w:rsidR="0018664D" w:rsidRDefault="0018664D" w:rsidP="0018664D">
      <w:pPr>
        <w:ind w:left="720" w:right="804" w:hanging="720"/>
        <w:jc w:val="both"/>
      </w:pPr>
      <w:bookmarkStart w:id="5" w:name="_Hlk147959916"/>
      <w:r>
        <w:rPr>
          <w:rFonts w:cs="Calibri"/>
          <w:color w:val="222222"/>
          <w:shd w:val="clear" w:color="auto" w:fill="FFFFFF"/>
        </w:rPr>
        <w:t>Chadwick, D. D. (2019). Online risk for people with intellectual disabilities. </w:t>
      </w:r>
      <w:r>
        <w:rPr>
          <w:rFonts w:cs="Calibri"/>
          <w:i/>
          <w:iCs/>
          <w:color w:val="222222"/>
          <w:shd w:val="clear" w:color="auto" w:fill="FFFFFF"/>
        </w:rPr>
        <w:t>Tizard Learning Disability Review</w:t>
      </w:r>
      <w:r>
        <w:rPr>
          <w:rFonts w:cs="Calibri"/>
          <w:color w:val="222222"/>
          <w:shd w:val="clear" w:color="auto" w:fill="FFFFFF"/>
        </w:rPr>
        <w:t>, </w:t>
      </w:r>
      <w:r>
        <w:rPr>
          <w:rFonts w:cs="Calibri"/>
          <w:i/>
          <w:iCs/>
          <w:color w:val="222222"/>
          <w:shd w:val="clear" w:color="auto" w:fill="FFFFFF"/>
        </w:rPr>
        <w:t>24</w:t>
      </w:r>
      <w:r>
        <w:rPr>
          <w:rFonts w:cs="Calibri"/>
          <w:color w:val="222222"/>
          <w:shd w:val="clear" w:color="auto" w:fill="FFFFFF"/>
        </w:rPr>
        <w:t>(4), 180-187.</w:t>
      </w:r>
    </w:p>
    <w:bookmarkEnd w:id="5"/>
    <w:p w14:paraId="5E47EBD7" w14:textId="77777777" w:rsidR="0018664D" w:rsidRDefault="0018664D" w:rsidP="0018664D">
      <w:pPr>
        <w:ind w:left="720" w:right="804" w:hanging="720"/>
        <w:jc w:val="both"/>
      </w:pPr>
      <w:r>
        <w:rPr>
          <w:rFonts w:cs="Calibri"/>
          <w:color w:val="222222"/>
          <w:shd w:val="clear" w:color="auto" w:fill="FFFFFF"/>
        </w:rPr>
        <w:t>Chawla, N., Tom, A., Sen, M. S., &amp; Sagar, R. (2021). Psychological impact of COVID-19 on children and adolescents: a systematic review. </w:t>
      </w:r>
      <w:r>
        <w:rPr>
          <w:rFonts w:cs="Calibri"/>
          <w:i/>
          <w:iCs/>
          <w:color w:val="222222"/>
          <w:shd w:val="clear" w:color="auto" w:fill="FFFFFF"/>
        </w:rPr>
        <w:t>Indian Journal of Psychological Medicine</w:t>
      </w:r>
      <w:r>
        <w:rPr>
          <w:rFonts w:cs="Calibri"/>
          <w:color w:val="222222"/>
          <w:shd w:val="clear" w:color="auto" w:fill="FFFFFF"/>
        </w:rPr>
        <w:t>, </w:t>
      </w:r>
      <w:r>
        <w:rPr>
          <w:rFonts w:cs="Calibri"/>
          <w:i/>
          <w:iCs/>
          <w:color w:val="222222"/>
          <w:shd w:val="clear" w:color="auto" w:fill="FFFFFF"/>
        </w:rPr>
        <w:t>43</w:t>
      </w:r>
      <w:r>
        <w:rPr>
          <w:rFonts w:cs="Calibri"/>
          <w:color w:val="222222"/>
          <w:shd w:val="clear" w:color="auto" w:fill="FFFFFF"/>
        </w:rPr>
        <w:t>(4), 294-299.</w:t>
      </w:r>
    </w:p>
    <w:p w14:paraId="082F7525" w14:textId="77777777" w:rsidR="0018664D" w:rsidRDefault="0018664D" w:rsidP="0018664D">
      <w:pPr>
        <w:ind w:left="720" w:right="804" w:hanging="720"/>
        <w:jc w:val="both"/>
      </w:pPr>
      <w:proofErr w:type="spellStart"/>
      <w:r>
        <w:rPr>
          <w:rFonts w:cs="Calibri"/>
          <w:color w:val="222222"/>
          <w:shd w:val="clear" w:color="auto" w:fill="FFFFFF"/>
        </w:rPr>
        <w:t>Chayko</w:t>
      </w:r>
      <w:proofErr w:type="spellEnd"/>
      <w:r>
        <w:rPr>
          <w:rFonts w:cs="Calibri"/>
          <w:color w:val="222222"/>
          <w:shd w:val="clear" w:color="auto" w:fill="FFFFFF"/>
        </w:rPr>
        <w:t>, M. (2020). </w:t>
      </w:r>
      <w:proofErr w:type="spellStart"/>
      <w:r>
        <w:rPr>
          <w:rFonts w:cs="Calibri"/>
          <w:i/>
          <w:iCs/>
          <w:color w:val="222222"/>
          <w:shd w:val="clear" w:color="auto" w:fill="FFFFFF"/>
        </w:rPr>
        <w:t>Superconnected</w:t>
      </w:r>
      <w:proofErr w:type="spellEnd"/>
      <w:r>
        <w:rPr>
          <w:rFonts w:cs="Calibri"/>
          <w:i/>
          <w:iCs/>
          <w:color w:val="222222"/>
          <w:shd w:val="clear" w:color="auto" w:fill="FFFFFF"/>
        </w:rPr>
        <w:t>: The internet, digital media, and techno-social life</w:t>
      </w:r>
      <w:r>
        <w:rPr>
          <w:rFonts w:cs="Calibri"/>
          <w:color w:val="222222"/>
          <w:shd w:val="clear" w:color="auto" w:fill="FFFFFF"/>
        </w:rPr>
        <w:t>. SAGE Publications, Incorporated.</w:t>
      </w:r>
    </w:p>
    <w:p w14:paraId="1FADBE59" w14:textId="77777777" w:rsidR="0018664D" w:rsidRDefault="0018664D" w:rsidP="0018664D">
      <w:pPr>
        <w:ind w:left="720" w:right="804" w:hanging="720"/>
        <w:jc w:val="both"/>
      </w:pPr>
      <w:r>
        <w:rPr>
          <w:rFonts w:cs="Calibri"/>
          <w:color w:val="222222"/>
          <w:shd w:val="clear" w:color="auto" w:fill="FFFFFF"/>
        </w:rPr>
        <w:t>Checklist, C. A. S. P., &amp; How, C. S. (2018). Critical appraisal skills programme. 2018. </w:t>
      </w:r>
      <w:r>
        <w:rPr>
          <w:rFonts w:cs="Calibri"/>
          <w:i/>
          <w:iCs/>
          <w:color w:val="222222"/>
          <w:shd w:val="clear" w:color="auto" w:fill="FFFFFF"/>
        </w:rPr>
        <w:t xml:space="preserve">URL: </w:t>
      </w:r>
      <w:hyperlink r:id="rId12" w:history="1">
        <w:r>
          <w:rPr>
            <w:rStyle w:val="Hyperlink"/>
            <w:rFonts w:cs="Calibri"/>
            <w:i/>
            <w:iCs/>
            <w:shd w:val="clear" w:color="auto" w:fill="FFFFFF"/>
          </w:rPr>
          <w:t>https://casp-uk</w:t>
        </w:r>
      </w:hyperlink>
      <w:r>
        <w:rPr>
          <w:rFonts w:cs="Calibri"/>
          <w:i/>
          <w:iCs/>
          <w:color w:val="222222"/>
          <w:shd w:val="clear" w:color="auto" w:fill="FFFFFF"/>
        </w:rPr>
        <w:t>. Retrieved April 5, 2022, from net/</w:t>
      </w:r>
      <w:proofErr w:type="spellStart"/>
      <w:r>
        <w:rPr>
          <w:rFonts w:cs="Calibri"/>
          <w:i/>
          <w:iCs/>
          <w:color w:val="222222"/>
          <w:shd w:val="clear" w:color="auto" w:fill="FFFFFF"/>
        </w:rPr>
        <w:t>wp</w:t>
      </w:r>
      <w:proofErr w:type="spellEnd"/>
      <w:r>
        <w:rPr>
          <w:rFonts w:cs="Calibri"/>
          <w:i/>
          <w:iCs/>
          <w:color w:val="222222"/>
          <w:shd w:val="clear" w:color="auto" w:fill="FFFFFF"/>
        </w:rPr>
        <w:t xml:space="preserve">-content/uploads/2018/01/CASP-Qualitative-Checklist-2018. Pdf. </w:t>
      </w:r>
    </w:p>
    <w:p w14:paraId="676C0EC2" w14:textId="77777777" w:rsidR="0018664D" w:rsidRDefault="0018664D" w:rsidP="0018664D">
      <w:pPr>
        <w:ind w:left="720" w:right="804" w:hanging="720"/>
        <w:jc w:val="both"/>
      </w:pPr>
      <w:r>
        <w:rPr>
          <w:rFonts w:cs="Calibri"/>
          <w:color w:val="222222"/>
          <w:shd w:val="clear" w:color="auto" w:fill="FFFFFF"/>
        </w:rPr>
        <w:t>Chiu, J., &amp; Quayle, E. (2022). Understanding online grooming: An interpretative phenomenological analysis of adolescents' offline meetings with adult perpetrators. </w:t>
      </w:r>
      <w:r>
        <w:rPr>
          <w:rFonts w:cs="Calibri"/>
          <w:i/>
          <w:iCs/>
          <w:color w:val="222222"/>
          <w:shd w:val="clear" w:color="auto" w:fill="FFFFFF"/>
        </w:rPr>
        <w:t>Child Abuse &amp; Neglect</w:t>
      </w:r>
      <w:r>
        <w:rPr>
          <w:rFonts w:cs="Calibri"/>
          <w:color w:val="222222"/>
          <w:shd w:val="clear" w:color="auto" w:fill="FFFFFF"/>
        </w:rPr>
        <w:t>, </w:t>
      </w:r>
      <w:r>
        <w:rPr>
          <w:rFonts w:cs="Calibri"/>
          <w:i/>
          <w:iCs/>
          <w:color w:val="222222"/>
          <w:shd w:val="clear" w:color="auto" w:fill="FFFFFF"/>
        </w:rPr>
        <w:t>128</w:t>
      </w:r>
      <w:r>
        <w:rPr>
          <w:rFonts w:cs="Calibri"/>
          <w:color w:val="222222"/>
          <w:shd w:val="clear" w:color="auto" w:fill="FFFFFF"/>
        </w:rPr>
        <w:t>, 105600.</w:t>
      </w:r>
    </w:p>
    <w:p w14:paraId="377F0BAF" w14:textId="77777777" w:rsidR="0018664D" w:rsidRDefault="0018664D" w:rsidP="0018664D">
      <w:pPr>
        <w:ind w:left="720" w:right="804" w:hanging="720"/>
        <w:jc w:val="both"/>
      </w:pPr>
      <w:proofErr w:type="spellStart"/>
      <w:r>
        <w:rPr>
          <w:rFonts w:cs="Calibri"/>
          <w:color w:val="222222"/>
          <w:shd w:val="clear" w:color="auto" w:fill="FFFFFF"/>
        </w:rPr>
        <w:t>Comeras-Chueca</w:t>
      </w:r>
      <w:proofErr w:type="spellEnd"/>
      <w:r>
        <w:rPr>
          <w:rFonts w:cs="Calibri"/>
          <w:color w:val="222222"/>
          <w:shd w:val="clear" w:color="auto" w:fill="FFFFFF"/>
        </w:rPr>
        <w:t>, C., Marin-</w:t>
      </w:r>
      <w:proofErr w:type="spellStart"/>
      <w:r>
        <w:rPr>
          <w:rFonts w:cs="Calibri"/>
          <w:color w:val="222222"/>
          <w:shd w:val="clear" w:color="auto" w:fill="FFFFFF"/>
        </w:rPr>
        <w:t>Puyalto</w:t>
      </w:r>
      <w:proofErr w:type="spellEnd"/>
      <w:r>
        <w:rPr>
          <w:rFonts w:cs="Calibri"/>
          <w:color w:val="222222"/>
          <w:shd w:val="clear" w:color="auto" w:fill="FFFFFF"/>
        </w:rPr>
        <w:t xml:space="preserve">, J., Matute-Llorente, A., Vicente-Rodriguez, G., </w:t>
      </w:r>
      <w:proofErr w:type="spellStart"/>
      <w:r>
        <w:rPr>
          <w:rFonts w:cs="Calibri"/>
          <w:color w:val="222222"/>
          <w:shd w:val="clear" w:color="auto" w:fill="FFFFFF"/>
        </w:rPr>
        <w:t>Casajus</w:t>
      </w:r>
      <w:proofErr w:type="spellEnd"/>
      <w:r>
        <w:rPr>
          <w:rFonts w:cs="Calibri"/>
          <w:color w:val="222222"/>
          <w:shd w:val="clear" w:color="auto" w:fill="FFFFFF"/>
        </w:rPr>
        <w:t>, J. A., &amp; Gonzalez-Aguero, A. (2021). Effects of active video games on health-related physical fitness and motor competence in children and adolescents with overweight or obesity: systematic review and meta-analysis. </w:t>
      </w:r>
      <w:r>
        <w:rPr>
          <w:rFonts w:cs="Calibri"/>
          <w:i/>
          <w:iCs/>
          <w:color w:val="222222"/>
          <w:shd w:val="clear" w:color="auto" w:fill="FFFFFF"/>
        </w:rPr>
        <w:t>JMIR Serious Games</w:t>
      </w:r>
      <w:r>
        <w:rPr>
          <w:rFonts w:cs="Calibri"/>
          <w:color w:val="222222"/>
          <w:shd w:val="clear" w:color="auto" w:fill="FFFFFF"/>
        </w:rPr>
        <w:t>, </w:t>
      </w:r>
      <w:r>
        <w:rPr>
          <w:rFonts w:cs="Calibri"/>
          <w:i/>
          <w:iCs/>
          <w:color w:val="222222"/>
          <w:shd w:val="clear" w:color="auto" w:fill="FFFFFF"/>
        </w:rPr>
        <w:t>9</w:t>
      </w:r>
      <w:r>
        <w:rPr>
          <w:rFonts w:cs="Calibri"/>
          <w:color w:val="222222"/>
          <w:shd w:val="clear" w:color="auto" w:fill="FFFFFF"/>
        </w:rPr>
        <w:t>(4), e29981.</w:t>
      </w:r>
    </w:p>
    <w:p w14:paraId="1FEFFEEF" w14:textId="77777777" w:rsidR="0018664D" w:rsidRDefault="0018664D" w:rsidP="0018664D">
      <w:pPr>
        <w:ind w:left="720" w:right="804" w:hanging="720"/>
        <w:jc w:val="both"/>
      </w:pPr>
      <w:r>
        <w:rPr>
          <w:rFonts w:cs="Calibri"/>
          <w:color w:val="222222"/>
          <w:shd w:val="clear" w:color="auto" w:fill="FFFFFF"/>
        </w:rPr>
        <w:t>Corker, M., &amp; Shakespeare, T. (Eds.). (2002). </w:t>
      </w:r>
      <w:r>
        <w:rPr>
          <w:rFonts w:cs="Calibri"/>
          <w:i/>
          <w:iCs/>
          <w:color w:val="222222"/>
          <w:shd w:val="clear" w:color="auto" w:fill="FFFFFF"/>
        </w:rPr>
        <w:t>Disability/postmodernity: Embodying disability theory</w:t>
      </w:r>
      <w:r>
        <w:rPr>
          <w:rFonts w:cs="Calibri"/>
          <w:color w:val="222222"/>
          <w:shd w:val="clear" w:color="auto" w:fill="FFFFFF"/>
        </w:rPr>
        <w:t>. Bloomsbury Publishing.</w:t>
      </w:r>
    </w:p>
    <w:p w14:paraId="5513DFCE" w14:textId="77777777" w:rsidR="0018664D" w:rsidRDefault="0018664D" w:rsidP="0018664D">
      <w:pPr>
        <w:ind w:left="720" w:right="804" w:hanging="720"/>
        <w:jc w:val="both"/>
      </w:pPr>
      <w:r>
        <w:rPr>
          <w:rFonts w:cs="Calibri"/>
          <w:color w:val="222222"/>
          <w:shd w:val="clear" w:color="auto" w:fill="FFFFFF"/>
        </w:rPr>
        <w:lastRenderedPageBreak/>
        <w:t xml:space="preserve">Craig, W., </w:t>
      </w:r>
      <w:proofErr w:type="spellStart"/>
      <w:r>
        <w:rPr>
          <w:rFonts w:cs="Calibri"/>
          <w:color w:val="222222"/>
          <w:shd w:val="clear" w:color="auto" w:fill="FFFFFF"/>
        </w:rPr>
        <w:t>Boniel</w:t>
      </w:r>
      <w:proofErr w:type="spellEnd"/>
      <w:r>
        <w:rPr>
          <w:rFonts w:cs="Calibri"/>
          <w:color w:val="222222"/>
          <w:shd w:val="clear" w:color="auto" w:fill="FFFFFF"/>
        </w:rPr>
        <w:t>-Nissim, M., King, N., Walsh, S. D., Boer, M., Donnelly, P. D., ... &amp; Pickett, W. (2020). Social media use and cyber-bullying: A cross-national analysis of young people in 42 countries. </w:t>
      </w:r>
      <w:r>
        <w:rPr>
          <w:rFonts w:cs="Calibri"/>
          <w:i/>
          <w:iCs/>
          <w:color w:val="222222"/>
          <w:shd w:val="clear" w:color="auto" w:fill="FFFFFF"/>
        </w:rPr>
        <w:t>Journal of Adolescent Health</w:t>
      </w:r>
      <w:r>
        <w:rPr>
          <w:rFonts w:cs="Calibri"/>
          <w:color w:val="222222"/>
          <w:shd w:val="clear" w:color="auto" w:fill="FFFFFF"/>
        </w:rPr>
        <w:t>, </w:t>
      </w:r>
      <w:r>
        <w:rPr>
          <w:rFonts w:cs="Calibri"/>
          <w:i/>
          <w:iCs/>
          <w:color w:val="222222"/>
          <w:shd w:val="clear" w:color="auto" w:fill="FFFFFF"/>
        </w:rPr>
        <w:t>66</w:t>
      </w:r>
      <w:r>
        <w:rPr>
          <w:rFonts w:cs="Calibri"/>
          <w:color w:val="222222"/>
          <w:shd w:val="clear" w:color="auto" w:fill="FFFFFF"/>
        </w:rPr>
        <w:t>(6), S100-S108.</w:t>
      </w:r>
    </w:p>
    <w:p w14:paraId="767DB886" w14:textId="77777777" w:rsidR="0018664D" w:rsidRDefault="0018664D" w:rsidP="0018664D">
      <w:pPr>
        <w:ind w:left="720" w:right="804" w:hanging="720"/>
        <w:jc w:val="both"/>
      </w:pPr>
      <w:r>
        <w:rPr>
          <w:rFonts w:cs="Calibri"/>
        </w:rPr>
        <w:t xml:space="preserve">CSO (Central Statistics Office), (2022). </w:t>
      </w:r>
      <w:r>
        <w:rPr>
          <w:rFonts w:cs="Calibri"/>
          <w:i/>
        </w:rPr>
        <w:t>Internet Coverage and Usage in Ireland 2022.</w:t>
      </w:r>
      <w:r>
        <w:rPr>
          <w:rFonts w:cs="Calibri"/>
        </w:rPr>
        <w:t xml:space="preserve"> Retrieved June 5, 2022, from </w:t>
      </w:r>
      <w:hyperlink r:id="rId13" w:history="1">
        <w:r>
          <w:rPr>
            <w:rStyle w:val="Hyperlink"/>
            <w:rFonts w:cs="Calibri"/>
          </w:rPr>
          <w:t>https://www.cso.ie/en/releasesandpublications/ep/p-isshict/internetcoverageandusageinireland2022/frequencyofinternetusage/</w:t>
        </w:r>
      </w:hyperlink>
      <w:r>
        <w:rPr>
          <w:rFonts w:cs="Calibri"/>
        </w:rPr>
        <w:t xml:space="preserve">. </w:t>
      </w:r>
    </w:p>
    <w:p w14:paraId="501CF2F3" w14:textId="77777777" w:rsidR="0018664D" w:rsidRDefault="0018664D" w:rsidP="0018664D">
      <w:pPr>
        <w:ind w:left="720" w:right="804" w:hanging="720"/>
        <w:jc w:val="both"/>
      </w:pPr>
      <w:r>
        <w:rPr>
          <w:rFonts w:cs="Calibri"/>
          <w:color w:val="222222"/>
          <w:shd w:val="clear" w:color="auto" w:fill="FFFFFF"/>
        </w:rPr>
        <w:t xml:space="preserve">Davoudi, M., Shirvani, S., Foroughi, A., &amp; </w:t>
      </w:r>
      <w:proofErr w:type="spellStart"/>
      <w:r>
        <w:rPr>
          <w:rFonts w:cs="Calibri"/>
          <w:color w:val="222222"/>
          <w:shd w:val="clear" w:color="auto" w:fill="FFFFFF"/>
        </w:rPr>
        <w:t>Rajaeiramsheh</w:t>
      </w:r>
      <w:proofErr w:type="spellEnd"/>
      <w:r>
        <w:rPr>
          <w:rFonts w:cs="Calibri"/>
          <w:color w:val="222222"/>
          <w:shd w:val="clear" w:color="auto" w:fill="FFFFFF"/>
        </w:rPr>
        <w:t>, F. (2022). Online Gambling in Iranian Social Media Users: Prevalence, Related Variables and Psychiatric Correlations. </w:t>
      </w:r>
      <w:r>
        <w:rPr>
          <w:rFonts w:cs="Calibri"/>
          <w:i/>
          <w:iCs/>
          <w:color w:val="222222"/>
          <w:shd w:val="clear" w:color="auto" w:fill="FFFFFF"/>
        </w:rPr>
        <w:t>Journal of gambling studies</w:t>
      </w:r>
      <w:r>
        <w:rPr>
          <w:rFonts w:cs="Calibri"/>
          <w:color w:val="222222"/>
          <w:shd w:val="clear" w:color="auto" w:fill="FFFFFF"/>
        </w:rPr>
        <w:t>, </w:t>
      </w:r>
      <w:r>
        <w:rPr>
          <w:rFonts w:cs="Calibri"/>
          <w:i/>
          <w:iCs/>
          <w:color w:val="222222"/>
          <w:shd w:val="clear" w:color="auto" w:fill="FFFFFF"/>
        </w:rPr>
        <w:t>38</w:t>
      </w:r>
      <w:r>
        <w:rPr>
          <w:rFonts w:cs="Calibri"/>
          <w:color w:val="222222"/>
          <w:shd w:val="clear" w:color="auto" w:fill="FFFFFF"/>
        </w:rPr>
        <w:t>(2), 397-409.</w:t>
      </w:r>
    </w:p>
    <w:p w14:paraId="01A1414D" w14:textId="77777777" w:rsidR="0018664D" w:rsidRDefault="0018664D" w:rsidP="0018664D">
      <w:pPr>
        <w:ind w:left="720" w:right="804" w:hanging="720"/>
        <w:jc w:val="both"/>
      </w:pPr>
      <w:r>
        <w:rPr>
          <w:rFonts w:cs="Calibri"/>
          <w:color w:val="222222"/>
          <w:shd w:val="clear" w:color="auto" w:fill="FFFFFF"/>
        </w:rPr>
        <w:t>DeLay, B. A. (2020). </w:t>
      </w:r>
      <w:r>
        <w:rPr>
          <w:rFonts w:cs="Calibri"/>
          <w:i/>
          <w:iCs/>
          <w:color w:val="222222"/>
          <w:shd w:val="clear" w:color="auto" w:fill="FFFFFF"/>
        </w:rPr>
        <w:t xml:space="preserve">Middle School </w:t>
      </w:r>
      <w:proofErr w:type="spellStart"/>
      <w:r>
        <w:rPr>
          <w:rFonts w:cs="Calibri"/>
          <w:i/>
          <w:iCs/>
          <w:color w:val="222222"/>
          <w:shd w:val="clear" w:color="auto" w:fill="FFFFFF"/>
        </w:rPr>
        <w:t>Counselors’</w:t>
      </w:r>
      <w:proofErr w:type="spellEnd"/>
      <w:r>
        <w:rPr>
          <w:rFonts w:cs="Calibri"/>
          <w:i/>
          <w:iCs/>
          <w:color w:val="222222"/>
          <w:shd w:val="clear" w:color="auto" w:fill="FFFFFF"/>
        </w:rPr>
        <w:t xml:space="preserve"> Experiences Helping Digital Natives from Problem to Solution with Regard to Social Media Use</w:t>
      </w:r>
      <w:r>
        <w:rPr>
          <w:rFonts w:cs="Calibri"/>
          <w:color w:val="222222"/>
          <w:shd w:val="clear" w:color="auto" w:fill="FFFFFF"/>
        </w:rPr>
        <w:t> (Doctoral dissertation, Delaware Valley University).</w:t>
      </w:r>
    </w:p>
    <w:p w14:paraId="2252E577" w14:textId="77777777" w:rsidR="0018664D" w:rsidRDefault="0018664D" w:rsidP="0018664D">
      <w:pPr>
        <w:ind w:left="720" w:right="804" w:hanging="720"/>
        <w:jc w:val="both"/>
      </w:pPr>
      <w:proofErr w:type="spellStart"/>
      <w:r>
        <w:rPr>
          <w:rFonts w:cs="Calibri"/>
          <w:color w:val="222222"/>
          <w:shd w:val="clear" w:color="auto" w:fill="FFFFFF"/>
        </w:rPr>
        <w:t>Demetis</w:t>
      </w:r>
      <w:proofErr w:type="spellEnd"/>
      <w:r>
        <w:rPr>
          <w:rFonts w:cs="Calibri"/>
          <w:color w:val="222222"/>
          <w:shd w:val="clear" w:color="auto" w:fill="FFFFFF"/>
        </w:rPr>
        <w:t>, D., &amp; Kietzmann, J. (2021). Online child sexual exploitation: A new MIS challenge. </w:t>
      </w:r>
      <w:r>
        <w:rPr>
          <w:rFonts w:cs="Calibri"/>
          <w:i/>
          <w:iCs/>
          <w:color w:val="222222"/>
          <w:shd w:val="clear" w:color="auto" w:fill="FFFFFF"/>
        </w:rPr>
        <w:t>Journal of the Association for Information Systems</w:t>
      </w:r>
      <w:r>
        <w:rPr>
          <w:rFonts w:cs="Calibri"/>
          <w:color w:val="222222"/>
          <w:shd w:val="clear" w:color="auto" w:fill="FFFFFF"/>
        </w:rPr>
        <w:t>, </w:t>
      </w:r>
      <w:r>
        <w:rPr>
          <w:rFonts w:cs="Calibri"/>
          <w:i/>
          <w:iCs/>
          <w:color w:val="222222"/>
          <w:shd w:val="clear" w:color="auto" w:fill="FFFFFF"/>
        </w:rPr>
        <w:t>22</w:t>
      </w:r>
      <w:r>
        <w:rPr>
          <w:rFonts w:cs="Calibri"/>
          <w:color w:val="222222"/>
          <w:shd w:val="clear" w:color="auto" w:fill="FFFFFF"/>
        </w:rPr>
        <w:t>(1), 9.</w:t>
      </w:r>
    </w:p>
    <w:p w14:paraId="6139CC70" w14:textId="77777777" w:rsidR="0018664D" w:rsidRDefault="00000000" w:rsidP="0018664D">
      <w:pPr>
        <w:ind w:left="720" w:right="804" w:hanging="720"/>
        <w:jc w:val="both"/>
      </w:pPr>
      <w:hyperlink w:history="1">
        <w:r w:rsidR="0018664D">
          <w:rPr>
            <w:rFonts w:cs="Calibri"/>
            <w:shd w:val="clear" w:color="auto" w:fill="FFFFFF"/>
          </w:rPr>
          <w:t>Department of Children, Equality, Disability, Integration and Youth</w:t>
        </w:r>
      </w:hyperlink>
      <w:r w:rsidR="0018664D">
        <w:rPr>
          <w:rFonts w:cs="Calibri"/>
          <w:shd w:val="clear" w:color="auto" w:fill="FFFFFF"/>
        </w:rPr>
        <w:t> </w:t>
      </w:r>
      <w:r w:rsidR="0018664D">
        <w:rPr>
          <w:rFonts w:cs="Calibri"/>
        </w:rPr>
        <w:t xml:space="preserve"> (2019). “</w:t>
      </w:r>
      <w:r w:rsidR="0018664D">
        <w:rPr>
          <w:rFonts w:cs="Calibri"/>
          <w:i/>
        </w:rPr>
        <w:t>Child Protection and Welfare</w:t>
      </w:r>
      <w:r w:rsidR="0018664D">
        <w:rPr>
          <w:rFonts w:cs="Calibri"/>
        </w:rPr>
        <w:t xml:space="preserve">”. Retrieved June 5, 2022, from </w:t>
      </w:r>
      <w:hyperlink r:id="rId14" w:anchor=":~:text=Child%20protection%20is%20often%20the,welfare%20of%20children%20is%20paramount" w:history="1">
        <w:r w:rsidR="0018664D">
          <w:rPr>
            <w:rStyle w:val="Hyperlink"/>
            <w:rFonts w:cs="Calibri"/>
            <w:lang w:val="en-US"/>
          </w:rPr>
          <w:t>https://www.gov.ie/en/policy-information/3a3b69-child-protection-and-welfare/#:~:text=Child%20protection%20is%20often%20the,welfare%20of%20children%20is%20paramount</w:t>
        </w:r>
      </w:hyperlink>
      <w:r w:rsidR="0018664D">
        <w:rPr>
          <w:rFonts w:cs="Calibri"/>
        </w:rPr>
        <w:t xml:space="preserve">. </w:t>
      </w:r>
    </w:p>
    <w:p w14:paraId="0164D19A" w14:textId="77777777" w:rsidR="0018664D" w:rsidRDefault="0018664D" w:rsidP="0018664D">
      <w:pPr>
        <w:ind w:left="720" w:right="804" w:hanging="720"/>
        <w:jc w:val="both"/>
      </w:pPr>
      <w:proofErr w:type="spellStart"/>
      <w:r>
        <w:rPr>
          <w:rFonts w:cs="Calibri"/>
          <w:color w:val="222222"/>
          <w:shd w:val="clear" w:color="auto" w:fill="FFFFFF"/>
        </w:rPr>
        <w:lastRenderedPageBreak/>
        <w:t>Dhungana</w:t>
      </w:r>
      <w:proofErr w:type="spellEnd"/>
      <w:r>
        <w:rPr>
          <w:rFonts w:cs="Calibri"/>
          <w:color w:val="222222"/>
          <w:shd w:val="clear" w:color="auto" w:fill="FFFFFF"/>
        </w:rPr>
        <w:t xml:space="preserve"> </w:t>
      </w:r>
      <w:proofErr w:type="spellStart"/>
      <w:r>
        <w:rPr>
          <w:rFonts w:cs="Calibri"/>
          <w:color w:val="222222"/>
          <w:shd w:val="clear" w:color="auto" w:fill="FFFFFF"/>
        </w:rPr>
        <w:t>Sainju</w:t>
      </w:r>
      <w:proofErr w:type="spellEnd"/>
      <w:r>
        <w:rPr>
          <w:rFonts w:cs="Calibri"/>
          <w:color w:val="222222"/>
          <w:shd w:val="clear" w:color="auto" w:fill="FFFFFF"/>
        </w:rPr>
        <w:t>, K. 2020. Beyond the schoolyard: A multilevel examination of individual, school and school district variables associated with traditional and cyber peer aggression. In </w:t>
      </w:r>
      <w:r>
        <w:rPr>
          <w:rFonts w:cs="Calibri"/>
          <w:i/>
          <w:iCs/>
          <w:color w:val="222222"/>
          <w:shd w:val="clear" w:color="auto" w:fill="FFFFFF"/>
        </w:rPr>
        <w:t>Child &amp; Youth Care Forum</w:t>
      </w:r>
      <w:r>
        <w:rPr>
          <w:rFonts w:cs="Calibri"/>
          <w:color w:val="222222"/>
          <w:shd w:val="clear" w:color="auto" w:fill="FFFFFF"/>
        </w:rPr>
        <w:t> (Vol. 49, No. 5, pp. 769-797). Springer US.</w:t>
      </w:r>
    </w:p>
    <w:p w14:paraId="13C9A1C4" w14:textId="77777777" w:rsidR="0018664D" w:rsidRDefault="0018664D" w:rsidP="0018664D">
      <w:pPr>
        <w:ind w:left="720" w:right="804" w:hanging="720"/>
        <w:jc w:val="both"/>
      </w:pPr>
      <w:r>
        <w:rPr>
          <w:rFonts w:cs="Calibri"/>
          <w:color w:val="222222"/>
          <w:shd w:val="clear" w:color="auto" w:fill="FFFFFF"/>
        </w:rPr>
        <w:t>Díaz, K. I., Fite, P. J., Abel, M. R., &amp; Doyle, R. L. (2021, December). Varying experiences of cyber victimization among middle and high school students. In </w:t>
      </w:r>
      <w:r>
        <w:rPr>
          <w:rFonts w:cs="Calibri"/>
          <w:i/>
          <w:iCs/>
          <w:color w:val="222222"/>
          <w:shd w:val="clear" w:color="auto" w:fill="FFFFFF"/>
        </w:rPr>
        <w:t>Child &amp; Youth Care Forum</w:t>
      </w:r>
      <w:r>
        <w:rPr>
          <w:rFonts w:cs="Calibri"/>
          <w:color w:val="222222"/>
          <w:shd w:val="clear" w:color="auto" w:fill="FFFFFF"/>
        </w:rPr>
        <w:t> (Vol. 50, pp. 1087-1105). Springer US.</w:t>
      </w:r>
    </w:p>
    <w:p w14:paraId="394FA51C" w14:textId="77777777" w:rsidR="0018664D" w:rsidRDefault="0018664D" w:rsidP="0018664D">
      <w:pPr>
        <w:ind w:left="720" w:right="804" w:hanging="720"/>
        <w:jc w:val="both"/>
      </w:pPr>
      <w:r>
        <w:rPr>
          <w:rFonts w:cs="Calibri"/>
          <w:color w:val="222222"/>
          <w:shd w:val="clear" w:color="auto" w:fill="FFFFFF"/>
        </w:rPr>
        <w:t xml:space="preserve">Didden, R., Scholte, R. H., </w:t>
      </w:r>
      <w:proofErr w:type="spellStart"/>
      <w:r>
        <w:rPr>
          <w:rFonts w:cs="Calibri"/>
          <w:color w:val="222222"/>
          <w:shd w:val="clear" w:color="auto" w:fill="FFFFFF"/>
        </w:rPr>
        <w:t>Korzilius</w:t>
      </w:r>
      <w:proofErr w:type="spellEnd"/>
      <w:r>
        <w:rPr>
          <w:rFonts w:cs="Calibri"/>
          <w:color w:val="222222"/>
          <w:shd w:val="clear" w:color="auto" w:fill="FFFFFF"/>
        </w:rPr>
        <w:t xml:space="preserve">, H., De Moor, J. M., Vermeulen, A., O’Reilly, M., ... &amp; </w:t>
      </w:r>
      <w:proofErr w:type="spellStart"/>
      <w:r>
        <w:rPr>
          <w:rFonts w:cs="Calibri"/>
          <w:color w:val="222222"/>
          <w:shd w:val="clear" w:color="auto" w:fill="FFFFFF"/>
        </w:rPr>
        <w:t>Lancioni</w:t>
      </w:r>
      <w:proofErr w:type="spellEnd"/>
      <w:r>
        <w:rPr>
          <w:rFonts w:cs="Calibri"/>
          <w:color w:val="222222"/>
          <w:shd w:val="clear" w:color="auto" w:fill="FFFFFF"/>
        </w:rPr>
        <w:t>, G. E. (2009). Cyberbullying among students with intellectual and developmental disability in special education settings. </w:t>
      </w:r>
      <w:r>
        <w:rPr>
          <w:rFonts w:cs="Calibri"/>
          <w:i/>
          <w:iCs/>
          <w:color w:val="222222"/>
          <w:shd w:val="clear" w:color="auto" w:fill="FFFFFF"/>
        </w:rPr>
        <w:t>Developmental neurorehabilitation</w:t>
      </w:r>
      <w:r>
        <w:rPr>
          <w:rFonts w:cs="Calibri"/>
          <w:color w:val="222222"/>
          <w:shd w:val="clear" w:color="auto" w:fill="FFFFFF"/>
        </w:rPr>
        <w:t>, </w:t>
      </w:r>
      <w:r>
        <w:rPr>
          <w:rFonts w:cs="Calibri"/>
          <w:i/>
          <w:iCs/>
          <w:color w:val="222222"/>
          <w:shd w:val="clear" w:color="auto" w:fill="FFFFFF"/>
        </w:rPr>
        <w:t>12</w:t>
      </w:r>
      <w:r>
        <w:rPr>
          <w:rFonts w:cs="Calibri"/>
          <w:color w:val="222222"/>
          <w:shd w:val="clear" w:color="auto" w:fill="FFFFFF"/>
        </w:rPr>
        <w:t>(3), 146-151.</w:t>
      </w:r>
    </w:p>
    <w:p w14:paraId="3F7DFE66" w14:textId="77777777" w:rsidR="0018664D" w:rsidRDefault="0018664D" w:rsidP="0018664D">
      <w:pPr>
        <w:ind w:left="720" w:right="804" w:hanging="720"/>
        <w:jc w:val="both"/>
      </w:pPr>
      <w:r>
        <w:rPr>
          <w:rFonts w:cs="Calibri"/>
          <w:color w:val="222222"/>
          <w:shd w:val="clear" w:color="auto" w:fill="FFFFFF"/>
        </w:rPr>
        <w:t>Dimitropoulos, G., Lindenbach, D., Devoe, D. J., Gunn, E., Cullen, O., Bhattarai, A., ... &amp; Arnold, P. D. (2022). Experiences of Canadian mental health providers in identifying and responding to online and in-person sexual abuse and exploitation of their child and adolescent clients. </w:t>
      </w:r>
      <w:r>
        <w:rPr>
          <w:rFonts w:cs="Calibri"/>
          <w:i/>
          <w:iCs/>
          <w:color w:val="222222"/>
          <w:shd w:val="clear" w:color="auto" w:fill="FFFFFF"/>
        </w:rPr>
        <w:t>Child Abuse &amp; Neglect</w:t>
      </w:r>
      <w:r>
        <w:rPr>
          <w:rFonts w:cs="Calibri"/>
          <w:color w:val="222222"/>
          <w:shd w:val="clear" w:color="auto" w:fill="FFFFFF"/>
        </w:rPr>
        <w:t>, </w:t>
      </w:r>
      <w:r>
        <w:rPr>
          <w:rFonts w:cs="Calibri"/>
          <w:i/>
          <w:iCs/>
          <w:color w:val="222222"/>
          <w:shd w:val="clear" w:color="auto" w:fill="FFFFFF"/>
        </w:rPr>
        <w:t>124</w:t>
      </w:r>
      <w:r>
        <w:rPr>
          <w:rFonts w:cs="Calibri"/>
          <w:color w:val="222222"/>
          <w:shd w:val="clear" w:color="auto" w:fill="FFFFFF"/>
        </w:rPr>
        <w:t>, 105448.</w:t>
      </w:r>
    </w:p>
    <w:p w14:paraId="5F955B55" w14:textId="77777777" w:rsidR="0018664D" w:rsidRDefault="0018664D" w:rsidP="0018664D">
      <w:pPr>
        <w:ind w:left="720" w:right="804" w:hanging="720"/>
        <w:jc w:val="both"/>
        <w:rPr>
          <w:rFonts w:cs="Calibri"/>
          <w:iCs/>
        </w:rPr>
      </w:pPr>
      <w:r>
        <w:rPr>
          <w:rFonts w:cs="Calibri"/>
          <w:iCs/>
        </w:rPr>
        <w:t>Disability Act 2005.  Dublin, The Stationery Office.</w:t>
      </w:r>
    </w:p>
    <w:p w14:paraId="7FDDA245" w14:textId="77777777" w:rsidR="0018664D" w:rsidRDefault="0018664D" w:rsidP="0018664D">
      <w:pPr>
        <w:ind w:left="720" w:right="804" w:hanging="720"/>
        <w:jc w:val="both"/>
      </w:pPr>
      <w:bookmarkStart w:id="6" w:name="_Hlk147959714"/>
      <w:r>
        <w:rPr>
          <w:rFonts w:cs="Calibri"/>
        </w:rPr>
        <w:t xml:space="preserve">Disability Federation of Ireland (2020). </w:t>
      </w:r>
      <w:r>
        <w:rPr>
          <w:rFonts w:cs="Calibri"/>
          <w:i/>
        </w:rPr>
        <w:t>Impact of COVID-19 on people with disabilities and the disability sector</w:t>
      </w:r>
      <w:r>
        <w:rPr>
          <w:rFonts w:cs="Calibri"/>
        </w:rPr>
        <w:t xml:space="preserve">. Retrieved June 6, 2022, from </w:t>
      </w:r>
      <w:hyperlink r:id="rId15" w:history="1">
        <w:r>
          <w:rPr>
            <w:rStyle w:val="Hyperlink"/>
            <w:rFonts w:cs="Calibri"/>
          </w:rPr>
          <w:t>https://www.disability-federation.ie/assets/files/pdf/dfi_submission_impact_o</w:t>
        </w:r>
        <w:bookmarkStart w:id="7" w:name="_Hlt145788547"/>
        <w:bookmarkStart w:id="8" w:name="_Hlt145788548"/>
        <w:r>
          <w:rPr>
            <w:rStyle w:val="Hyperlink"/>
            <w:rFonts w:cs="Calibri"/>
          </w:rPr>
          <w:t>f</w:t>
        </w:r>
        <w:bookmarkEnd w:id="7"/>
        <w:bookmarkEnd w:id="8"/>
        <w:r>
          <w:rPr>
            <w:rStyle w:val="Hyperlink"/>
            <w:rFonts w:cs="Calibri"/>
          </w:rPr>
          <w:t>_covid-19_on_people_with_disabilities_and_the_disability_sector_290620_1.pdf</w:t>
        </w:r>
      </w:hyperlink>
      <w:bookmarkEnd w:id="6"/>
      <w:r>
        <w:rPr>
          <w:rFonts w:cs="Calibri"/>
        </w:rPr>
        <w:t xml:space="preserve">. </w:t>
      </w:r>
    </w:p>
    <w:p w14:paraId="74A71B76" w14:textId="77777777" w:rsidR="0018664D" w:rsidRDefault="0018664D" w:rsidP="0018664D">
      <w:pPr>
        <w:ind w:left="720" w:right="804" w:hanging="720"/>
        <w:jc w:val="both"/>
      </w:pPr>
      <w:r>
        <w:rPr>
          <w:rFonts w:cs="Calibri"/>
        </w:rPr>
        <w:lastRenderedPageBreak/>
        <w:t xml:space="preserve">Dunn, Suzie (2022). Disarming Cyber Misogyny </w:t>
      </w:r>
      <w:proofErr w:type="spellStart"/>
      <w:r>
        <w:rPr>
          <w:rFonts w:cs="Calibri"/>
          <w:i/>
        </w:rPr>
        <w:t>Herizons</w:t>
      </w:r>
      <w:proofErr w:type="spellEnd"/>
      <w:r>
        <w:rPr>
          <w:rFonts w:cs="Calibri"/>
          <w:i/>
        </w:rPr>
        <w:t>;</w:t>
      </w:r>
      <w:r>
        <w:t xml:space="preserve"> </w:t>
      </w:r>
      <w:r>
        <w:rPr>
          <w:rFonts w:cs="Calibri"/>
          <w:i/>
        </w:rPr>
        <w:t>https://herizons.ca/archives/cover/how-to-stop-cyber-misogyny</w:t>
      </w:r>
      <w:r>
        <w:rPr>
          <w:rFonts w:cs="Calibri"/>
        </w:rPr>
        <w:t>.  Accessed June 5, 2023</w:t>
      </w:r>
    </w:p>
    <w:p w14:paraId="49D57B5F" w14:textId="77777777" w:rsidR="0018664D" w:rsidRDefault="0018664D" w:rsidP="0018664D">
      <w:pPr>
        <w:ind w:left="720" w:right="804" w:hanging="720"/>
        <w:jc w:val="both"/>
      </w:pPr>
      <w:r>
        <w:rPr>
          <w:rFonts w:cs="Calibri"/>
          <w:color w:val="222222"/>
          <w:shd w:val="clear" w:color="auto" w:fill="FFFFFF"/>
        </w:rPr>
        <w:t>Dyer, T. (2018). The effects of social media on children. </w:t>
      </w:r>
      <w:r>
        <w:rPr>
          <w:rFonts w:cs="Calibri"/>
          <w:i/>
          <w:iCs/>
          <w:color w:val="222222"/>
          <w:shd w:val="clear" w:color="auto" w:fill="FFFFFF"/>
        </w:rPr>
        <w:t>Dalhousie Journal of Interdisciplinary Management</w:t>
      </w:r>
      <w:r>
        <w:rPr>
          <w:rFonts w:cs="Calibri"/>
          <w:color w:val="222222"/>
          <w:shd w:val="clear" w:color="auto" w:fill="FFFFFF"/>
        </w:rPr>
        <w:t>, </w:t>
      </w:r>
      <w:r>
        <w:rPr>
          <w:rFonts w:cs="Calibri"/>
          <w:i/>
          <w:iCs/>
          <w:color w:val="222222"/>
          <w:shd w:val="clear" w:color="auto" w:fill="FFFFFF"/>
        </w:rPr>
        <w:t>14</w:t>
      </w:r>
      <w:r>
        <w:rPr>
          <w:rFonts w:cs="Calibri"/>
          <w:color w:val="222222"/>
          <w:shd w:val="clear" w:color="auto" w:fill="FFFFFF"/>
        </w:rPr>
        <w:t>.</w:t>
      </w:r>
    </w:p>
    <w:p w14:paraId="1DEACEF2" w14:textId="77777777" w:rsidR="0018664D" w:rsidRDefault="0018664D" w:rsidP="0018664D">
      <w:pPr>
        <w:ind w:left="720" w:right="804" w:hanging="720"/>
        <w:jc w:val="both"/>
      </w:pPr>
      <w:proofErr w:type="spellStart"/>
      <w:r>
        <w:rPr>
          <w:rFonts w:cs="Calibri"/>
          <w:color w:val="222222"/>
          <w:shd w:val="clear" w:color="auto" w:fill="FFFFFF"/>
        </w:rPr>
        <w:t>Effatpanah</w:t>
      </w:r>
      <w:proofErr w:type="spellEnd"/>
      <w:r>
        <w:rPr>
          <w:rFonts w:cs="Calibri"/>
          <w:color w:val="222222"/>
          <w:shd w:val="clear" w:color="auto" w:fill="FFFFFF"/>
        </w:rPr>
        <w:t xml:space="preserve">, M., </w:t>
      </w:r>
      <w:proofErr w:type="spellStart"/>
      <w:r>
        <w:rPr>
          <w:rFonts w:cs="Calibri"/>
          <w:color w:val="222222"/>
          <w:shd w:val="clear" w:color="auto" w:fill="FFFFFF"/>
        </w:rPr>
        <w:t>Moharrami</w:t>
      </w:r>
      <w:proofErr w:type="spellEnd"/>
      <w:r>
        <w:rPr>
          <w:rFonts w:cs="Calibri"/>
          <w:color w:val="222222"/>
          <w:shd w:val="clear" w:color="auto" w:fill="FFFFFF"/>
        </w:rPr>
        <w:t xml:space="preserve">, M., Damavandi, G. R., </w:t>
      </w:r>
      <w:proofErr w:type="spellStart"/>
      <w:r>
        <w:rPr>
          <w:rFonts w:cs="Calibri"/>
          <w:color w:val="222222"/>
          <w:shd w:val="clear" w:color="auto" w:fill="FFFFFF"/>
        </w:rPr>
        <w:t>Aminikhah</w:t>
      </w:r>
      <w:proofErr w:type="spellEnd"/>
      <w:r>
        <w:rPr>
          <w:rFonts w:cs="Calibri"/>
          <w:color w:val="222222"/>
          <w:shd w:val="clear" w:color="auto" w:fill="FFFFFF"/>
        </w:rPr>
        <w:t xml:space="preserve">, M., Nezhad, M. H., Khatami, F., ... &amp; </w:t>
      </w:r>
      <w:proofErr w:type="spellStart"/>
      <w:r>
        <w:rPr>
          <w:rFonts w:cs="Calibri"/>
          <w:color w:val="222222"/>
          <w:shd w:val="clear" w:color="auto" w:fill="FFFFFF"/>
        </w:rPr>
        <w:t>Yekaninejad</w:t>
      </w:r>
      <w:proofErr w:type="spellEnd"/>
      <w:r>
        <w:rPr>
          <w:rFonts w:cs="Calibri"/>
          <w:color w:val="222222"/>
          <w:shd w:val="clear" w:color="auto" w:fill="FFFFFF"/>
        </w:rPr>
        <w:t xml:space="preserve">, M. S. (2020). Association of internet addiction with emotional and </w:t>
      </w:r>
      <w:proofErr w:type="spellStart"/>
      <w:r>
        <w:rPr>
          <w:rFonts w:cs="Calibri"/>
          <w:color w:val="222222"/>
          <w:shd w:val="clear" w:color="auto" w:fill="FFFFFF"/>
        </w:rPr>
        <w:t>behavioral</w:t>
      </w:r>
      <w:proofErr w:type="spellEnd"/>
      <w:r>
        <w:rPr>
          <w:rFonts w:cs="Calibri"/>
          <w:color w:val="222222"/>
          <w:shd w:val="clear" w:color="auto" w:fill="FFFFFF"/>
        </w:rPr>
        <w:t xml:space="preserve"> characteristics of adolescents. </w:t>
      </w:r>
      <w:r>
        <w:rPr>
          <w:rFonts w:cs="Calibri"/>
          <w:i/>
          <w:iCs/>
          <w:color w:val="222222"/>
          <w:shd w:val="clear" w:color="auto" w:fill="FFFFFF"/>
        </w:rPr>
        <w:t>Iranian journal of psychiatry</w:t>
      </w:r>
      <w:r>
        <w:rPr>
          <w:rFonts w:cs="Calibri"/>
          <w:color w:val="222222"/>
          <w:shd w:val="clear" w:color="auto" w:fill="FFFFFF"/>
        </w:rPr>
        <w:t>, </w:t>
      </w:r>
      <w:r>
        <w:rPr>
          <w:rFonts w:cs="Calibri"/>
          <w:i/>
          <w:iCs/>
          <w:color w:val="222222"/>
          <w:shd w:val="clear" w:color="auto" w:fill="FFFFFF"/>
        </w:rPr>
        <w:t>15</w:t>
      </w:r>
      <w:r>
        <w:rPr>
          <w:rFonts w:cs="Calibri"/>
          <w:color w:val="222222"/>
          <w:shd w:val="clear" w:color="auto" w:fill="FFFFFF"/>
        </w:rPr>
        <w:t>(1), 55.</w:t>
      </w:r>
    </w:p>
    <w:p w14:paraId="5411CED0" w14:textId="77777777" w:rsidR="0018664D" w:rsidRDefault="0018664D" w:rsidP="0018664D">
      <w:pPr>
        <w:ind w:left="720" w:right="804" w:hanging="720"/>
        <w:jc w:val="both"/>
      </w:pPr>
      <w:r>
        <w:rPr>
          <w:rFonts w:cs="Calibri"/>
          <w:color w:val="222222"/>
          <w:shd w:val="clear" w:color="auto" w:fill="FFFFFF"/>
        </w:rPr>
        <w:t xml:space="preserve">El-Asam, A., Katz, A., Street, C., Nazar, N. M., &amp; </w:t>
      </w:r>
      <w:proofErr w:type="spellStart"/>
      <w:r>
        <w:rPr>
          <w:rFonts w:cs="Calibri"/>
          <w:color w:val="222222"/>
          <w:shd w:val="clear" w:color="auto" w:fill="FFFFFF"/>
        </w:rPr>
        <w:t>Livanou</w:t>
      </w:r>
      <w:proofErr w:type="spellEnd"/>
      <w:r>
        <w:rPr>
          <w:rFonts w:cs="Calibri"/>
          <w:color w:val="222222"/>
          <w:shd w:val="clear" w:color="auto" w:fill="FFFFFF"/>
        </w:rPr>
        <w:t>, M. (2021). Children’s services for the digital age: A qualitative study into current procedures and online risks among service users. </w:t>
      </w:r>
      <w:r>
        <w:rPr>
          <w:rFonts w:cs="Calibri"/>
          <w:i/>
          <w:iCs/>
          <w:color w:val="222222"/>
          <w:shd w:val="clear" w:color="auto" w:fill="FFFFFF"/>
        </w:rPr>
        <w:t>Children and Youth Services Review</w:t>
      </w:r>
      <w:r>
        <w:rPr>
          <w:rFonts w:cs="Calibri"/>
          <w:color w:val="222222"/>
          <w:shd w:val="clear" w:color="auto" w:fill="FFFFFF"/>
        </w:rPr>
        <w:t>, </w:t>
      </w:r>
      <w:r>
        <w:rPr>
          <w:rFonts w:cs="Calibri"/>
          <w:i/>
          <w:iCs/>
          <w:color w:val="222222"/>
          <w:shd w:val="clear" w:color="auto" w:fill="FFFFFF"/>
        </w:rPr>
        <w:t>122</w:t>
      </w:r>
      <w:r>
        <w:rPr>
          <w:rFonts w:cs="Calibri"/>
          <w:color w:val="222222"/>
          <w:shd w:val="clear" w:color="auto" w:fill="FFFFFF"/>
        </w:rPr>
        <w:t>, 105872.</w:t>
      </w:r>
    </w:p>
    <w:p w14:paraId="4A37E48B" w14:textId="77777777" w:rsidR="0018664D" w:rsidRDefault="0018664D" w:rsidP="0018664D">
      <w:pPr>
        <w:ind w:left="720" w:right="804" w:hanging="720"/>
        <w:jc w:val="both"/>
      </w:pPr>
      <w:r>
        <w:rPr>
          <w:rFonts w:cs="Calibri"/>
          <w:color w:val="222222"/>
          <w:shd w:val="clear" w:color="auto" w:fill="FFFFFF"/>
        </w:rPr>
        <w:t xml:space="preserve">Erdal, K., &amp; Erdal, G. (2020). The hidden danger in digital </w:t>
      </w:r>
      <w:proofErr w:type="gramStart"/>
      <w:r>
        <w:rPr>
          <w:rFonts w:cs="Calibri"/>
          <w:color w:val="222222"/>
          <w:shd w:val="clear" w:color="auto" w:fill="FFFFFF"/>
        </w:rPr>
        <w:t>children</w:t>
      </w:r>
      <w:proofErr w:type="gramEnd"/>
      <w:r>
        <w:rPr>
          <w:rFonts w:cs="Calibri"/>
          <w:color w:val="222222"/>
          <w:shd w:val="clear" w:color="auto" w:fill="FFFFFF"/>
        </w:rPr>
        <w:t xml:space="preserve"> games: gambling. </w:t>
      </w:r>
      <w:r>
        <w:rPr>
          <w:rFonts w:cs="Calibri"/>
          <w:i/>
          <w:iCs/>
          <w:color w:val="222222"/>
          <w:shd w:val="clear" w:color="auto" w:fill="FFFFFF"/>
        </w:rPr>
        <w:t xml:space="preserve">The hidden danger in digital </w:t>
      </w:r>
      <w:proofErr w:type="gramStart"/>
      <w:r>
        <w:rPr>
          <w:rFonts w:cs="Calibri"/>
          <w:i/>
          <w:iCs/>
          <w:color w:val="222222"/>
          <w:shd w:val="clear" w:color="auto" w:fill="FFFFFF"/>
        </w:rPr>
        <w:t>children</w:t>
      </w:r>
      <w:proofErr w:type="gramEnd"/>
      <w:r>
        <w:rPr>
          <w:rFonts w:cs="Calibri"/>
          <w:i/>
          <w:iCs/>
          <w:color w:val="222222"/>
          <w:shd w:val="clear" w:color="auto" w:fill="FFFFFF"/>
        </w:rPr>
        <w:t xml:space="preserve"> games: Gambling". </w:t>
      </w:r>
      <w:proofErr w:type="spellStart"/>
      <w:r>
        <w:rPr>
          <w:rFonts w:cs="Calibri"/>
          <w:i/>
          <w:iCs/>
          <w:color w:val="222222"/>
          <w:shd w:val="clear" w:color="auto" w:fill="FFFFFF"/>
        </w:rPr>
        <w:t>Tarih</w:t>
      </w:r>
      <w:proofErr w:type="spellEnd"/>
      <w:r>
        <w:rPr>
          <w:rFonts w:cs="Calibri"/>
          <w:i/>
          <w:iCs/>
          <w:color w:val="222222"/>
          <w:shd w:val="clear" w:color="auto" w:fill="FFFFFF"/>
        </w:rPr>
        <w:t xml:space="preserve"> </w:t>
      </w:r>
      <w:proofErr w:type="spellStart"/>
      <w:r>
        <w:rPr>
          <w:rFonts w:cs="Calibri"/>
          <w:i/>
          <w:iCs/>
          <w:color w:val="222222"/>
          <w:shd w:val="clear" w:color="auto" w:fill="FFFFFF"/>
        </w:rPr>
        <w:t>Kültür</w:t>
      </w:r>
      <w:proofErr w:type="spellEnd"/>
      <w:r>
        <w:rPr>
          <w:rFonts w:cs="Calibri"/>
          <w:i/>
          <w:iCs/>
          <w:color w:val="222222"/>
          <w:shd w:val="clear" w:color="auto" w:fill="FFFFFF"/>
        </w:rPr>
        <w:t xml:space="preserve"> </w:t>
      </w:r>
      <w:proofErr w:type="spellStart"/>
      <w:r>
        <w:rPr>
          <w:rFonts w:cs="Calibri"/>
          <w:i/>
          <w:iCs/>
          <w:color w:val="222222"/>
          <w:shd w:val="clear" w:color="auto" w:fill="FFFFFF"/>
        </w:rPr>
        <w:t>ve</w:t>
      </w:r>
      <w:proofErr w:type="spellEnd"/>
      <w:r>
        <w:rPr>
          <w:rFonts w:cs="Calibri"/>
          <w:i/>
          <w:iCs/>
          <w:color w:val="222222"/>
          <w:shd w:val="clear" w:color="auto" w:fill="FFFFFF"/>
        </w:rPr>
        <w:t xml:space="preserve"> Sanat </w:t>
      </w:r>
      <w:proofErr w:type="spellStart"/>
      <w:r>
        <w:rPr>
          <w:rFonts w:cs="Calibri"/>
          <w:i/>
          <w:iCs/>
          <w:color w:val="222222"/>
          <w:shd w:val="clear" w:color="auto" w:fill="FFFFFF"/>
        </w:rPr>
        <w:t>Araştırmaları</w:t>
      </w:r>
      <w:proofErr w:type="spellEnd"/>
      <w:r>
        <w:rPr>
          <w:rFonts w:cs="Calibri"/>
          <w:i/>
          <w:iCs/>
          <w:color w:val="222222"/>
          <w:shd w:val="clear" w:color="auto" w:fill="FFFFFF"/>
        </w:rPr>
        <w:t xml:space="preserve"> </w:t>
      </w:r>
      <w:proofErr w:type="spellStart"/>
      <w:r>
        <w:rPr>
          <w:rFonts w:cs="Calibri"/>
          <w:i/>
          <w:iCs/>
          <w:color w:val="222222"/>
          <w:shd w:val="clear" w:color="auto" w:fill="FFFFFF"/>
        </w:rPr>
        <w:t>Dergisi</w:t>
      </w:r>
      <w:proofErr w:type="spellEnd"/>
      <w:r>
        <w:rPr>
          <w:rFonts w:cs="Calibri"/>
          <w:i/>
          <w:iCs/>
          <w:color w:val="222222"/>
          <w:shd w:val="clear" w:color="auto" w:fill="FFFFFF"/>
        </w:rPr>
        <w:t>-Journal of History Culture and Art Research</w:t>
      </w:r>
      <w:r>
        <w:rPr>
          <w:rFonts w:cs="Calibri"/>
          <w:color w:val="222222"/>
          <w:shd w:val="clear" w:color="auto" w:fill="FFFFFF"/>
        </w:rPr>
        <w:t>, </w:t>
      </w:r>
      <w:r>
        <w:rPr>
          <w:rFonts w:cs="Calibri"/>
          <w:i/>
          <w:iCs/>
          <w:color w:val="222222"/>
          <w:shd w:val="clear" w:color="auto" w:fill="FFFFFF"/>
        </w:rPr>
        <w:t>9</w:t>
      </w:r>
      <w:r>
        <w:rPr>
          <w:rFonts w:cs="Calibri"/>
          <w:color w:val="222222"/>
          <w:shd w:val="clear" w:color="auto" w:fill="FFFFFF"/>
        </w:rPr>
        <w:t>(3), 366-373.</w:t>
      </w:r>
    </w:p>
    <w:p w14:paraId="5D478050" w14:textId="77777777" w:rsidR="0018664D" w:rsidRDefault="0018664D" w:rsidP="0018664D">
      <w:pPr>
        <w:ind w:left="720" w:right="804" w:hanging="720"/>
        <w:jc w:val="both"/>
      </w:pPr>
      <w:r>
        <w:rPr>
          <w:rFonts w:cs="Calibri"/>
          <w:color w:val="222222"/>
          <w:shd w:val="clear" w:color="auto" w:fill="FFFFFF"/>
        </w:rPr>
        <w:t>Eriksen, M. B., &amp; Frandsen, T. F. (2018). The impact of patient, intervention, comparison, outcome (PICO) as a search strategy tool on literature search quality: a systematic review. </w:t>
      </w:r>
      <w:r>
        <w:rPr>
          <w:rFonts w:cs="Calibri"/>
          <w:i/>
          <w:iCs/>
          <w:color w:val="222222"/>
          <w:shd w:val="clear" w:color="auto" w:fill="FFFFFF"/>
        </w:rPr>
        <w:t>Journal of the Medical Library Association: JMLA</w:t>
      </w:r>
      <w:r>
        <w:rPr>
          <w:rFonts w:cs="Calibri"/>
          <w:color w:val="222222"/>
          <w:shd w:val="clear" w:color="auto" w:fill="FFFFFF"/>
        </w:rPr>
        <w:t>, </w:t>
      </w:r>
      <w:r>
        <w:rPr>
          <w:rFonts w:cs="Calibri"/>
          <w:i/>
          <w:iCs/>
          <w:color w:val="222222"/>
          <w:shd w:val="clear" w:color="auto" w:fill="FFFFFF"/>
        </w:rPr>
        <w:t>106</w:t>
      </w:r>
      <w:r>
        <w:rPr>
          <w:rFonts w:cs="Calibri"/>
          <w:color w:val="222222"/>
          <w:shd w:val="clear" w:color="auto" w:fill="FFFFFF"/>
        </w:rPr>
        <w:t>(4), 420.</w:t>
      </w:r>
    </w:p>
    <w:p w14:paraId="1B125269" w14:textId="77777777" w:rsidR="0018664D" w:rsidRDefault="0018664D" w:rsidP="0018664D">
      <w:pPr>
        <w:ind w:left="720" w:right="804" w:hanging="720"/>
        <w:jc w:val="both"/>
      </w:pPr>
      <w:bookmarkStart w:id="9" w:name="_Hlk147959784"/>
      <w:r>
        <w:rPr>
          <w:rFonts w:cs="Calibri"/>
        </w:rPr>
        <w:t xml:space="preserve">Eurostat (2022). </w:t>
      </w:r>
      <w:r>
        <w:rPr>
          <w:rFonts w:cs="Calibri"/>
          <w:i/>
        </w:rPr>
        <w:t xml:space="preserve">Digital economy and society statistics - households and individual. </w:t>
      </w:r>
      <w:r>
        <w:rPr>
          <w:rFonts w:cs="Calibri"/>
          <w:iCs/>
        </w:rPr>
        <w:t xml:space="preserve">Retrieved June 5, 2023 from </w:t>
      </w:r>
      <w:hyperlink r:id="rId16" w:anchor="Use_of_internet" w:history="1">
        <w:r>
          <w:rPr>
            <w:rStyle w:val="Hyperlink"/>
            <w:rFonts w:cs="Calibri"/>
            <w:iCs/>
          </w:rPr>
          <w:t>https://ec.europa.eu/eurostat/statistics-</w:t>
        </w:r>
        <w:r>
          <w:rPr>
            <w:rStyle w:val="Hyperlink"/>
            <w:rFonts w:cs="Calibri"/>
            <w:iCs/>
          </w:rPr>
          <w:lastRenderedPageBreak/>
          <w:t>explained/index.php?title=Digital_economy_and_society_statistics_-_households_and_individuals#Use_of_internet</w:t>
        </w:r>
      </w:hyperlink>
      <w:bookmarkEnd w:id="9"/>
      <w:r>
        <w:rPr>
          <w:rFonts w:cs="Calibri"/>
        </w:rPr>
        <w:t xml:space="preserve">. </w:t>
      </w:r>
    </w:p>
    <w:p w14:paraId="28F0355A" w14:textId="77777777" w:rsidR="0018664D" w:rsidRDefault="0018664D" w:rsidP="0018664D">
      <w:pPr>
        <w:ind w:left="720" w:right="804" w:hanging="720"/>
        <w:jc w:val="both"/>
      </w:pPr>
      <w:r>
        <w:rPr>
          <w:rFonts w:cs="Calibri"/>
          <w:color w:val="222222"/>
          <w:shd w:val="clear" w:color="auto" w:fill="FFFFFF"/>
        </w:rPr>
        <w:t>Falla, D., Sánchez, S., &amp; Casas, J. A. (2021). What do we know about bullying in schoolchildren with disabilities? A systematic review of recent work. </w:t>
      </w:r>
      <w:r>
        <w:rPr>
          <w:rFonts w:cs="Calibri"/>
          <w:i/>
          <w:iCs/>
          <w:color w:val="222222"/>
          <w:shd w:val="clear" w:color="auto" w:fill="FFFFFF"/>
        </w:rPr>
        <w:t>Sustainability</w:t>
      </w:r>
      <w:r>
        <w:rPr>
          <w:rFonts w:cs="Calibri"/>
          <w:color w:val="222222"/>
          <w:shd w:val="clear" w:color="auto" w:fill="FFFFFF"/>
        </w:rPr>
        <w:t>, </w:t>
      </w:r>
      <w:r>
        <w:rPr>
          <w:rFonts w:cs="Calibri"/>
          <w:i/>
          <w:iCs/>
          <w:color w:val="222222"/>
          <w:shd w:val="clear" w:color="auto" w:fill="FFFFFF"/>
        </w:rPr>
        <w:t>13</w:t>
      </w:r>
      <w:r>
        <w:rPr>
          <w:rFonts w:cs="Calibri"/>
          <w:color w:val="222222"/>
          <w:shd w:val="clear" w:color="auto" w:fill="FFFFFF"/>
        </w:rPr>
        <w:t>(1), 416.</w:t>
      </w:r>
    </w:p>
    <w:p w14:paraId="223B81CF" w14:textId="77777777" w:rsidR="0018664D" w:rsidRDefault="0018664D" w:rsidP="0018664D">
      <w:pPr>
        <w:ind w:left="720" w:right="804" w:hanging="720"/>
        <w:jc w:val="both"/>
      </w:pPr>
      <w:r>
        <w:rPr>
          <w:rFonts w:cs="Calibri"/>
          <w:color w:val="222222"/>
          <w:shd w:val="clear" w:color="auto" w:fill="FFFFFF"/>
        </w:rPr>
        <w:t>Farid, H. (2018). Reining in online abuses. </w:t>
      </w:r>
      <w:r>
        <w:rPr>
          <w:rFonts w:cs="Calibri"/>
          <w:i/>
          <w:iCs/>
          <w:color w:val="222222"/>
          <w:shd w:val="clear" w:color="auto" w:fill="FFFFFF"/>
        </w:rPr>
        <w:t>Technology &amp; Innovation</w:t>
      </w:r>
      <w:r>
        <w:rPr>
          <w:rFonts w:cs="Calibri"/>
          <w:color w:val="222222"/>
          <w:shd w:val="clear" w:color="auto" w:fill="FFFFFF"/>
        </w:rPr>
        <w:t>, </w:t>
      </w:r>
      <w:r>
        <w:rPr>
          <w:rFonts w:cs="Calibri"/>
          <w:i/>
          <w:iCs/>
          <w:color w:val="222222"/>
          <w:shd w:val="clear" w:color="auto" w:fill="FFFFFF"/>
        </w:rPr>
        <w:t>19</w:t>
      </w:r>
      <w:r>
        <w:rPr>
          <w:rFonts w:cs="Calibri"/>
          <w:color w:val="222222"/>
          <w:shd w:val="clear" w:color="auto" w:fill="FFFFFF"/>
        </w:rPr>
        <w:t>(3), 593-599.</w:t>
      </w:r>
    </w:p>
    <w:p w14:paraId="5FEF99F2" w14:textId="77777777" w:rsidR="0018664D" w:rsidRDefault="0018664D" w:rsidP="0018664D">
      <w:pPr>
        <w:ind w:left="720" w:right="804" w:hanging="720"/>
        <w:jc w:val="both"/>
      </w:pPr>
      <w:r>
        <w:rPr>
          <w:rFonts w:cs="Calibri"/>
          <w:color w:val="222222"/>
          <w:shd w:val="clear" w:color="auto" w:fill="FFFFFF"/>
        </w:rPr>
        <w:t xml:space="preserve">Faura-Garcia, J., Orue, I., &amp; Calvete, E. (2021). Cyberbullying victimization and </w:t>
      </w:r>
      <w:proofErr w:type="spellStart"/>
      <w:r>
        <w:rPr>
          <w:rFonts w:cs="Calibri"/>
          <w:color w:val="222222"/>
          <w:shd w:val="clear" w:color="auto" w:fill="FFFFFF"/>
        </w:rPr>
        <w:t>nonsuicidal</w:t>
      </w:r>
      <w:proofErr w:type="spellEnd"/>
      <w:r>
        <w:rPr>
          <w:rFonts w:cs="Calibri"/>
          <w:color w:val="222222"/>
          <w:shd w:val="clear" w:color="auto" w:fill="FFFFFF"/>
        </w:rPr>
        <w:t xml:space="preserve"> self-injury in adolescents: The role of maladaptive schemas and dispositional mindfulness. </w:t>
      </w:r>
      <w:r>
        <w:rPr>
          <w:rFonts w:cs="Calibri"/>
          <w:i/>
          <w:iCs/>
          <w:color w:val="222222"/>
          <w:shd w:val="clear" w:color="auto" w:fill="FFFFFF"/>
        </w:rPr>
        <w:t>Child abuse &amp; neglect</w:t>
      </w:r>
      <w:r>
        <w:rPr>
          <w:rFonts w:cs="Calibri"/>
          <w:color w:val="222222"/>
          <w:shd w:val="clear" w:color="auto" w:fill="FFFFFF"/>
        </w:rPr>
        <w:t>, </w:t>
      </w:r>
      <w:r>
        <w:rPr>
          <w:rFonts w:cs="Calibri"/>
          <w:i/>
          <w:iCs/>
          <w:color w:val="222222"/>
          <w:shd w:val="clear" w:color="auto" w:fill="FFFFFF"/>
        </w:rPr>
        <w:t>118</w:t>
      </w:r>
      <w:r>
        <w:rPr>
          <w:rFonts w:cs="Calibri"/>
          <w:color w:val="222222"/>
          <w:shd w:val="clear" w:color="auto" w:fill="FFFFFF"/>
        </w:rPr>
        <w:t>, 105135.</w:t>
      </w:r>
    </w:p>
    <w:p w14:paraId="05F1B827" w14:textId="77777777" w:rsidR="0018664D" w:rsidRDefault="0018664D" w:rsidP="0018664D">
      <w:pPr>
        <w:ind w:left="720" w:right="804" w:hanging="720"/>
        <w:jc w:val="both"/>
      </w:pPr>
      <w:r>
        <w:rPr>
          <w:rFonts w:cs="Calibri"/>
          <w:color w:val="222222"/>
          <w:shd w:val="clear" w:color="auto" w:fill="FFFFFF"/>
        </w:rPr>
        <w:t xml:space="preserve">Fedosov, A., &amp; </w:t>
      </w:r>
      <w:proofErr w:type="spellStart"/>
      <w:r>
        <w:rPr>
          <w:rFonts w:cs="Calibri"/>
          <w:color w:val="222222"/>
          <w:shd w:val="clear" w:color="auto" w:fill="FFFFFF"/>
        </w:rPr>
        <w:t>Karnaukhova</w:t>
      </w:r>
      <w:proofErr w:type="spellEnd"/>
      <w:r>
        <w:rPr>
          <w:rFonts w:cs="Calibri"/>
          <w:color w:val="222222"/>
          <w:shd w:val="clear" w:color="auto" w:fill="FFFFFF"/>
        </w:rPr>
        <w:t>, A. (2021). The Problem of Ensuring the Information Security of Children and Adolescents in the Context of Educational Internet Projects Implementation. </w:t>
      </w:r>
      <w:proofErr w:type="spellStart"/>
      <w:r>
        <w:rPr>
          <w:rFonts w:cs="Calibri"/>
          <w:i/>
          <w:iCs/>
          <w:color w:val="222222"/>
          <w:shd w:val="clear" w:color="auto" w:fill="FFFFFF"/>
        </w:rPr>
        <w:t>Математика</w:t>
      </w:r>
      <w:proofErr w:type="spellEnd"/>
      <w:r>
        <w:rPr>
          <w:rFonts w:cs="Calibri"/>
          <w:i/>
          <w:iCs/>
          <w:color w:val="222222"/>
          <w:shd w:val="clear" w:color="auto" w:fill="FFFFFF"/>
        </w:rPr>
        <w:t xml:space="preserve"> и </w:t>
      </w:r>
      <w:proofErr w:type="spellStart"/>
      <w:r>
        <w:rPr>
          <w:rFonts w:cs="Calibri"/>
          <w:i/>
          <w:iCs/>
          <w:color w:val="222222"/>
          <w:shd w:val="clear" w:color="auto" w:fill="FFFFFF"/>
        </w:rPr>
        <w:t>информатика</w:t>
      </w:r>
      <w:proofErr w:type="spellEnd"/>
      <w:r>
        <w:rPr>
          <w:rFonts w:cs="Calibri"/>
          <w:color w:val="222222"/>
          <w:shd w:val="clear" w:color="auto" w:fill="FFFFFF"/>
        </w:rPr>
        <w:t>, </w:t>
      </w:r>
      <w:r>
        <w:rPr>
          <w:rFonts w:cs="Calibri"/>
          <w:i/>
          <w:iCs/>
          <w:color w:val="222222"/>
          <w:shd w:val="clear" w:color="auto" w:fill="FFFFFF"/>
        </w:rPr>
        <w:t>64</w:t>
      </w:r>
      <w:r>
        <w:rPr>
          <w:rFonts w:cs="Calibri"/>
          <w:color w:val="222222"/>
          <w:shd w:val="clear" w:color="auto" w:fill="FFFFFF"/>
        </w:rPr>
        <w:t>(1), 84-98.</w:t>
      </w:r>
    </w:p>
    <w:p w14:paraId="25325E7A" w14:textId="77777777" w:rsidR="0018664D" w:rsidRDefault="0018664D" w:rsidP="0018664D">
      <w:pPr>
        <w:ind w:left="720" w:right="804" w:hanging="720"/>
        <w:jc w:val="both"/>
      </w:pPr>
      <w:proofErr w:type="spellStart"/>
      <w:r>
        <w:rPr>
          <w:rFonts w:cs="Calibri"/>
          <w:color w:val="222222"/>
          <w:shd w:val="clear" w:color="auto" w:fill="FFFFFF"/>
        </w:rPr>
        <w:t>Finkelhor</w:t>
      </w:r>
      <w:proofErr w:type="spellEnd"/>
      <w:r>
        <w:rPr>
          <w:rFonts w:cs="Calibri"/>
          <w:color w:val="222222"/>
          <w:shd w:val="clear" w:color="auto" w:fill="FFFFFF"/>
        </w:rPr>
        <w:t>, D., Jones, L., &amp; Mitchell, K. (2021). Teaching privacy: A flawed strategy for children’s online safety. </w:t>
      </w:r>
      <w:r>
        <w:rPr>
          <w:rFonts w:cs="Calibri"/>
          <w:i/>
          <w:iCs/>
          <w:color w:val="222222"/>
          <w:shd w:val="clear" w:color="auto" w:fill="FFFFFF"/>
        </w:rPr>
        <w:t>Child Abuse &amp; Neglect</w:t>
      </w:r>
      <w:r>
        <w:rPr>
          <w:rFonts w:cs="Calibri"/>
          <w:color w:val="222222"/>
          <w:shd w:val="clear" w:color="auto" w:fill="FFFFFF"/>
        </w:rPr>
        <w:t>, </w:t>
      </w:r>
      <w:r>
        <w:rPr>
          <w:rFonts w:cs="Calibri"/>
          <w:i/>
          <w:iCs/>
          <w:color w:val="222222"/>
          <w:shd w:val="clear" w:color="auto" w:fill="FFFFFF"/>
        </w:rPr>
        <w:t>117</w:t>
      </w:r>
      <w:r>
        <w:rPr>
          <w:rFonts w:cs="Calibri"/>
          <w:color w:val="222222"/>
          <w:shd w:val="clear" w:color="auto" w:fill="FFFFFF"/>
        </w:rPr>
        <w:t>, 105064.</w:t>
      </w:r>
    </w:p>
    <w:p w14:paraId="185F2B8A" w14:textId="77777777" w:rsidR="0018664D" w:rsidRDefault="0018664D" w:rsidP="0018664D">
      <w:pPr>
        <w:ind w:left="720" w:right="804" w:hanging="720"/>
        <w:jc w:val="both"/>
      </w:pPr>
      <w:r>
        <w:rPr>
          <w:rFonts w:cs="Calibri"/>
          <w:color w:val="222222"/>
          <w:shd w:val="clear" w:color="auto" w:fill="FFFFFF"/>
        </w:rPr>
        <w:t>Flynn, S., &amp; McGregor, C. (2017). Disabled children and child protection: Learning from literature through a non-tragedy lens. </w:t>
      </w:r>
      <w:r>
        <w:rPr>
          <w:rFonts w:cs="Calibri"/>
          <w:i/>
          <w:iCs/>
          <w:color w:val="222222"/>
          <w:shd w:val="clear" w:color="auto" w:fill="FFFFFF"/>
        </w:rPr>
        <w:t>Child Care in Practice</w:t>
      </w:r>
      <w:r>
        <w:rPr>
          <w:rFonts w:cs="Calibri"/>
          <w:color w:val="222222"/>
          <w:shd w:val="clear" w:color="auto" w:fill="FFFFFF"/>
        </w:rPr>
        <w:t>, </w:t>
      </w:r>
      <w:r>
        <w:rPr>
          <w:rFonts w:cs="Calibri"/>
          <w:i/>
          <w:iCs/>
          <w:color w:val="222222"/>
          <w:shd w:val="clear" w:color="auto" w:fill="FFFFFF"/>
        </w:rPr>
        <w:t>23</w:t>
      </w:r>
      <w:r>
        <w:rPr>
          <w:rFonts w:cs="Calibri"/>
          <w:color w:val="222222"/>
          <w:shd w:val="clear" w:color="auto" w:fill="FFFFFF"/>
        </w:rPr>
        <w:t>(3), 258-274.</w:t>
      </w:r>
    </w:p>
    <w:p w14:paraId="16160FF9" w14:textId="77777777" w:rsidR="0018664D" w:rsidRDefault="0018664D" w:rsidP="0018664D">
      <w:pPr>
        <w:ind w:left="720" w:right="804" w:hanging="720"/>
        <w:jc w:val="both"/>
      </w:pPr>
      <w:r>
        <w:rPr>
          <w:rFonts w:cs="Calibri"/>
          <w:color w:val="222222"/>
          <w:shd w:val="clear" w:color="auto" w:fill="FFFFFF"/>
        </w:rPr>
        <w:t xml:space="preserve">Forni, G., </w:t>
      </w:r>
      <w:proofErr w:type="spellStart"/>
      <w:r>
        <w:rPr>
          <w:rFonts w:cs="Calibri"/>
          <w:color w:val="222222"/>
          <w:shd w:val="clear" w:color="auto" w:fill="FFFFFF"/>
        </w:rPr>
        <w:t>Pietronigro</w:t>
      </w:r>
      <w:proofErr w:type="spellEnd"/>
      <w:r>
        <w:rPr>
          <w:rFonts w:cs="Calibri"/>
          <w:color w:val="222222"/>
          <w:shd w:val="clear" w:color="auto" w:fill="FFFFFF"/>
        </w:rPr>
        <w:t xml:space="preserve">, A., Tiwana, N., Gandolfi, C. E., Del Castillo, G., </w:t>
      </w:r>
      <w:proofErr w:type="spellStart"/>
      <w:r>
        <w:rPr>
          <w:rFonts w:cs="Calibri"/>
          <w:color w:val="222222"/>
          <w:shd w:val="clear" w:color="auto" w:fill="FFFFFF"/>
        </w:rPr>
        <w:t>Mosillo</w:t>
      </w:r>
      <w:proofErr w:type="spellEnd"/>
      <w:r>
        <w:rPr>
          <w:rFonts w:cs="Calibri"/>
          <w:color w:val="222222"/>
          <w:shd w:val="clear" w:color="auto" w:fill="FFFFFF"/>
        </w:rPr>
        <w:t xml:space="preserve">, M., &amp; </w:t>
      </w:r>
      <w:proofErr w:type="spellStart"/>
      <w:r>
        <w:rPr>
          <w:rFonts w:cs="Calibri"/>
          <w:color w:val="222222"/>
          <w:shd w:val="clear" w:color="auto" w:fill="FFFFFF"/>
        </w:rPr>
        <w:t>Pellai</w:t>
      </w:r>
      <w:proofErr w:type="spellEnd"/>
      <w:r>
        <w:rPr>
          <w:rFonts w:cs="Calibri"/>
          <w:color w:val="222222"/>
          <w:shd w:val="clear" w:color="auto" w:fill="FFFFFF"/>
        </w:rPr>
        <w:t>, A. 2020. Little red riding hood in the social forest. Online grooming as a public health issue: A narrative review. </w:t>
      </w:r>
      <w:proofErr w:type="spellStart"/>
      <w:r>
        <w:rPr>
          <w:rFonts w:cs="Calibri"/>
          <w:i/>
          <w:iCs/>
          <w:color w:val="222222"/>
          <w:shd w:val="clear" w:color="auto" w:fill="FFFFFF"/>
        </w:rPr>
        <w:t>Annali</w:t>
      </w:r>
      <w:proofErr w:type="spellEnd"/>
      <w:r>
        <w:rPr>
          <w:rFonts w:cs="Calibri"/>
          <w:i/>
          <w:iCs/>
          <w:color w:val="222222"/>
          <w:shd w:val="clear" w:color="auto" w:fill="FFFFFF"/>
        </w:rPr>
        <w:t xml:space="preserve"> Di </w:t>
      </w:r>
      <w:proofErr w:type="spellStart"/>
      <w:r>
        <w:rPr>
          <w:rFonts w:cs="Calibri"/>
          <w:i/>
          <w:iCs/>
          <w:color w:val="222222"/>
          <w:shd w:val="clear" w:color="auto" w:fill="FFFFFF"/>
        </w:rPr>
        <w:t>Igiene</w:t>
      </w:r>
      <w:proofErr w:type="spellEnd"/>
      <w:r>
        <w:rPr>
          <w:rFonts w:cs="Calibri"/>
          <w:i/>
          <w:iCs/>
          <w:color w:val="222222"/>
          <w:shd w:val="clear" w:color="auto" w:fill="FFFFFF"/>
        </w:rPr>
        <w:t xml:space="preserve">: </w:t>
      </w:r>
      <w:proofErr w:type="spellStart"/>
      <w:r>
        <w:rPr>
          <w:rFonts w:cs="Calibri"/>
          <w:i/>
          <w:iCs/>
          <w:color w:val="222222"/>
          <w:shd w:val="clear" w:color="auto" w:fill="FFFFFF"/>
        </w:rPr>
        <w:t>Medicina</w:t>
      </w:r>
      <w:proofErr w:type="spellEnd"/>
      <w:r>
        <w:rPr>
          <w:rFonts w:cs="Calibri"/>
          <w:i/>
          <w:iCs/>
          <w:color w:val="222222"/>
          <w:shd w:val="clear" w:color="auto" w:fill="FFFFFF"/>
        </w:rPr>
        <w:t xml:space="preserve"> </w:t>
      </w:r>
      <w:proofErr w:type="spellStart"/>
      <w:r>
        <w:rPr>
          <w:rFonts w:cs="Calibri"/>
          <w:i/>
          <w:iCs/>
          <w:color w:val="222222"/>
          <w:shd w:val="clear" w:color="auto" w:fill="FFFFFF"/>
        </w:rPr>
        <w:t>Preventiva</w:t>
      </w:r>
      <w:proofErr w:type="spellEnd"/>
      <w:r>
        <w:rPr>
          <w:rFonts w:cs="Calibri"/>
          <w:i/>
          <w:iCs/>
          <w:color w:val="222222"/>
          <w:shd w:val="clear" w:color="auto" w:fill="FFFFFF"/>
        </w:rPr>
        <w:t xml:space="preserve"> e Di </w:t>
      </w:r>
      <w:proofErr w:type="spellStart"/>
      <w:r>
        <w:rPr>
          <w:rFonts w:cs="Calibri"/>
          <w:i/>
          <w:iCs/>
          <w:color w:val="222222"/>
          <w:shd w:val="clear" w:color="auto" w:fill="FFFFFF"/>
        </w:rPr>
        <w:t>Comunita</w:t>
      </w:r>
      <w:proofErr w:type="spellEnd"/>
      <w:r>
        <w:rPr>
          <w:rFonts w:cs="Calibri"/>
          <w:color w:val="222222"/>
          <w:shd w:val="clear" w:color="auto" w:fill="FFFFFF"/>
        </w:rPr>
        <w:t>, </w:t>
      </w:r>
      <w:r>
        <w:rPr>
          <w:rFonts w:cs="Calibri"/>
          <w:i/>
          <w:iCs/>
          <w:color w:val="222222"/>
          <w:shd w:val="clear" w:color="auto" w:fill="FFFFFF"/>
        </w:rPr>
        <w:t>32</w:t>
      </w:r>
      <w:r>
        <w:rPr>
          <w:rFonts w:cs="Calibri"/>
          <w:color w:val="222222"/>
          <w:shd w:val="clear" w:color="auto" w:fill="FFFFFF"/>
        </w:rPr>
        <w:t>(3), 305-318.</w:t>
      </w:r>
    </w:p>
    <w:p w14:paraId="676F77D4" w14:textId="77777777" w:rsidR="0018664D" w:rsidRDefault="0018664D" w:rsidP="0018664D">
      <w:pPr>
        <w:ind w:left="720" w:right="804" w:hanging="720"/>
        <w:jc w:val="both"/>
      </w:pPr>
      <w:r>
        <w:rPr>
          <w:rFonts w:cs="Calibri"/>
          <w:color w:val="222222"/>
          <w:shd w:val="clear" w:color="auto" w:fill="FFFFFF"/>
        </w:rPr>
        <w:lastRenderedPageBreak/>
        <w:t>Fussey, P., &amp; Sandhu, A. (2022). Surveillance arbitration in the era of digital policing. </w:t>
      </w:r>
      <w:r>
        <w:rPr>
          <w:rFonts w:cs="Calibri"/>
          <w:i/>
          <w:iCs/>
          <w:color w:val="222222"/>
          <w:shd w:val="clear" w:color="auto" w:fill="FFFFFF"/>
        </w:rPr>
        <w:t>Theoretical criminology</w:t>
      </w:r>
      <w:r>
        <w:rPr>
          <w:rFonts w:cs="Calibri"/>
          <w:color w:val="222222"/>
          <w:shd w:val="clear" w:color="auto" w:fill="FFFFFF"/>
        </w:rPr>
        <w:t>, </w:t>
      </w:r>
      <w:r>
        <w:rPr>
          <w:rFonts w:cs="Calibri"/>
          <w:i/>
          <w:iCs/>
          <w:color w:val="222222"/>
          <w:shd w:val="clear" w:color="auto" w:fill="FFFFFF"/>
        </w:rPr>
        <w:t>26</w:t>
      </w:r>
      <w:r>
        <w:rPr>
          <w:rFonts w:cs="Calibri"/>
          <w:color w:val="222222"/>
          <w:shd w:val="clear" w:color="auto" w:fill="FFFFFF"/>
        </w:rPr>
        <w:t>(1), 3-22.</w:t>
      </w:r>
    </w:p>
    <w:p w14:paraId="3A54FEF2" w14:textId="77777777" w:rsidR="0018664D" w:rsidRDefault="0018664D" w:rsidP="0018664D">
      <w:pPr>
        <w:ind w:left="720" w:right="804" w:hanging="720"/>
        <w:jc w:val="both"/>
      </w:pPr>
      <w:r>
        <w:rPr>
          <w:rFonts w:cs="Calibri"/>
          <w:shd w:val="clear" w:color="auto" w:fill="FFFFFF"/>
        </w:rPr>
        <w:t>Gale, N. K., Heath, G., Cameron, E., Rashid, S., &amp; Redwood, S. (2013). Using the framework method for the analysis of qualitative data in multi-disciplinary health research. </w:t>
      </w:r>
      <w:r>
        <w:rPr>
          <w:rFonts w:cs="Calibri"/>
          <w:i/>
          <w:iCs/>
          <w:shd w:val="clear" w:color="auto" w:fill="FFFFFF"/>
        </w:rPr>
        <w:t>BMC medical research methodology</w:t>
      </w:r>
      <w:r>
        <w:rPr>
          <w:rFonts w:cs="Calibri"/>
          <w:shd w:val="clear" w:color="auto" w:fill="FFFFFF"/>
        </w:rPr>
        <w:t>, </w:t>
      </w:r>
      <w:r>
        <w:rPr>
          <w:rFonts w:cs="Calibri"/>
          <w:i/>
          <w:iCs/>
          <w:shd w:val="clear" w:color="auto" w:fill="FFFFFF"/>
        </w:rPr>
        <w:t>13</w:t>
      </w:r>
      <w:r>
        <w:rPr>
          <w:rFonts w:cs="Calibri"/>
          <w:shd w:val="clear" w:color="auto" w:fill="FFFFFF"/>
        </w:rPr>
        <w:t>(1), 1-8.</w:t>
      </w:r>
    </w:p>
    <w:p w14:paraId="69C55836" w14:textId="77777777" w:rsidR="0018664D" w:rsidRDefault="0018664D" w:rsidP="0018664D">
      <w:pPr>
        <w:ind w:left="720" w:right="804" w:hanging="720"/>
        <w:jc w:val="both"/>
      </w:pPr>
      <w:r>
        <w:rPr>
          <w:rFonts w:cs="Calibri"/>
          <w:shd w:val="clear" w:color="auto" w:fill="FFFFFF"/>
        </w:rPr>
        <w:t xml:space="preserve">Gandolfi, C. E., </w:t>
      </w:r>
      <w:proofErr w:type="spellStart"/>
      <w:r>
        <w:rPr>
          <w:rFonts w:cs="Calibri"/>
          <w:shd w:val="clear" w:color="auto" w:fill="FFFFFF"/>
        </w:rPr>
        <w:t>Mosillo</w:t>
      </w:r>
      <w:proofErr w:type="spellEnd"/>
      <w:r>
        <w:rPr>
          <w:rFonts w:cs="Calibri"/>
          <w:shd w:val="clear" w:color="auto" w:fill="FFFFFF"/>
        </w:rPr>
        <w:t xml:space="preserve">, M., Del Castillo, G., Forni, G., </w:t>
      </w:r>
      <w:proofErr w:type="spellStart"/>
      <w:r>
        <w:rPr>
          <w:rFonts w:cs="Calibri"/>
          <w:shd w:val="clear" w:color="auto" w:fill="FFFFFF"/>
        </w:rPr>
        <w:t>Pietronigro</w:t>
      </w:r>
      <w:proofErr w:type="spellEnd"/>
      <w:r>
        <w:rPr>
          <w:rFonts w:cs="Calibri"/>
          <w:shd w:val="clear" w:color="auto" w:fill="FFFFFF"/>
        </w:rPr>
        <w:t xml:space="preserve">, A., Tiwana, N., &amp; </w:t>
      </w:r>
      <w:proofErr w:type="spellStart"/>
      <w:r>
        <w:rPr>
          <w:rFonts w:cs="Calibri"/>
          <w:shd w:val="clear" w:color="auto" w:fill="FFFFFF"/>
        </w:rPr>
        <w:t>Pellai</w:t>
      </w:r>
      <w:proofErr w:type="spellEnd"/>
      <w:r>
        <w:rPr>
          <w:rFonts w:cs="Calibri"/>
          <w:shd w:val="clear" w:color="auto" w:fill="FFFFFF"/>
        </w:rPr>
        <w:t>, A. (2020). Online grooming: an analysis of the phenomenon. </w:t>
      </w:r>
      <w:r>
        <w:rPr>
          <w:rFonts w:cs="Calibri"/>
          <w:i/>
          <w:iCs/>
          <w:shd w:val="clear" w:color="auto" w:fill="FFFFFF"/>
        </w:rPr>
        <w:t xml:space="preserve">Minerva </w:t>
      </w:r>
      <w:proofErr w:type="spellStart"/>
      <w:r>
        <w:rPr>
          <w:rFonts w:cs="Calibri"/>
          <w:i/>
          <w:iCs/>
          <w:shd w:val="clear" w:color="auto" w:fill="FFFFFF"/>
        </w:rPr>
        <w:t>Pediatrics</w:t>
      </w:r>
      <w:proofErr w:type="spellEnd"/>
      <w:r>
        <w:rPr>
          <w:rFonts w:cs="Calibri"/>
          <w:shd w:val="clear" w:color="auto" w:fill="FFFFFF"/>
        </w:rPr>
        <w:t>, </w:t>
      </w:r>
      <w:r>
        <w:rPr>
          <w:rFonts w:cs="Calibri"/>
          <w:i/>
          <w:iCs/>
          <w:shd w:val="clear" w:color="auto" w:fill="FFFFFF"/>
        </w:rPr>
        <w:t>73</w:t>
      </w:r>
      <w:r>
        <w:rPr>
          <w:rFonts w:cs="Calibri"/>
          <w:shd w:val="clear" w:color="auto" w:fill="FFFFFF"/>
        </w:rPr>
        <w:t>(3), 272-280.</w:t>
      </w:r>
    </w:p>
    <w:p w14:paraId="52D608B3" w14:textId="77777777" w:rsidR="0018664D" w:rsidRDefault="0018664D" w:rsidP="0018664D">
      <w:pPr>
        <w:ind w:left="720" w:right="804" w:hanging="720"/>
        <w:jc w:val="both"/>
      </w:pPr>
      <w:proofErr w:type="spellStart"/>
      <w:r>
        <w:rPr>
          <w:rFonts w:cs="Calibri"/>
          <w:color w:val="000000"/>
          <w:shd w:val="clear" w:color="auto" w:fill="FFFFFF"/>
        </w:rPr>
        <w:t>Gassó</w:t>
      </w:r>
      <w:proofErr w:type="spellEnd"/>
      <w:r>
        <w:rPr>
          <w:rFonts w:cs="Calibri"/>
          <w:color w:val="000000"/>
          <w:shd w:val="clear" w:color="auto" w:fill="FFFFFF"/>
        </w:rPr>
        <w:t xml:space="preserve">, </w:t>
      </w:r>
      <w:proofErr w:type="spellStart"/>
      <w:r>
        <w:rPr>
          <w:rFonts w:cs="Calibri"/>
          <w:color w:val="000000"/>
          <w:shd w:val="clear" w:color="auto" w:fill="FFFFFF"/>
        </w:rPr>
        <w:t>Klettke</w:t>
      </w:r>
      <w:proofErr w:type="spellEnd"/>
      <w:r>
        <w:rPr>
          <w:rFonts w:cs="Calibri"/>
          <w:color w:val="000000"/>
          <w:shd w:val="clear" w:color="auto" w:fill="FFFFFF"/>
        </w:rPr>
        <w:t>, Agustina, and Montiel, 2019. Sexting, Mental Health, and Victimization Among Adolescents: A Literature Review. </w:t>
      </w:r>
      <w:r>
        <w:rPr>
          <w:rFonts w:cs="Calibri"/>
          <w:i/>
          <w:iCs/>
          <w:color w:val="000000"/>
        </w:rPr>
        <w:t>International Journal of Environmental Research and Public Health</w:t>
      </w:r>
      <w:r>
        <w:rPr>
          <w:rFonts w:cs="Calibri"/>
          <w:color w:val="000000"/>
          <w:shd w:val="clear" w:color="auto" w:fill="FFFFFF"/>
        </w:rPr>
        <w:t>, 16 (13), 2364.</w:t>
      </w:r>
    </w:p>
    <w:p w14:paraId="7818A93E" w14:textId="77777777" w:rsidR="0018664D" w:rsidRDefault="0018664D" w:rsidP="0018664D">
      <w:pPr>
        <w:ind w:left="720" w:right="804" w:hanging="720"/>
        <w:jc w:val="both"/>
      </w:pPr>
      <w:r>
        <w:rPr>
          <w:rFonts w:cs="Calibri"/>
          <w:color w:val="222222"/>
          <w:shd w:val="clear" w:color="auto" w:fill="FFFFFF"/>
        </w:rPr>
        <w:t xml:space="preserve">Gerhardt, L., &amp; Smith, J. (2020). The use of Minecraft in the treatment of trauma for a child with </w:t>
      </w:r>
      <w:proofErr w:type="gramStart"/>
      <w:r>
        <w:rPr>
          <w:rFonts w:cs="Calibri"/>
          <w:color w:val="222222"/>
          <w:shd w:val="clear" w:color="auto" w:fill="FFFFFF"/>
        </w:rPr>
        <w:t>Autism Spectrum Disorder</w:t>
      </w:r>
      <w:proofErr w:type="gramEnd"/>
      <w:r>
        <w:rPr>
          <w:rFonts w:cs="Calibri"/>
          <w:color w:val="222222"/>
          <w:shd w:val="clear" w:color="auto" w:fill="FFFFFF"/>
        </w:rPr>
        <w:t>. </w:t>
      </w:r>
      <w:r>
        <w:rPr>
          <w:rFonts w:cs="Calibri"/>
          <w:i/>
          <w:iCs/>
          <w:color w:val="222222"/>
          <w:shd w:val="clear" w:color="auto" w:fill="FFFFFF"/>
        </w:rPr>
        <w:t>Journal of Family Therapy</w:t>
      </w:r>
      <w:r>
        <w:rPr>
          <w:rFonts w:cs="Calibri"/>
          <w:color w:val="222222"/>
          <w:shd w:val="clear" w:color="auto" w:fill="FFFFFF"/>
        </w:rPr>
        <w:t>, </w:t>
      </w:r>
      <w:r>
        <w:rPr>
          <w:rFonts w:cs="Calibri"/>
          <w:i/>
          <w:iCs/>
          <w:color w:val="222222"/>
          <w:shd w:val="clear" w:color="auto" w:fill="FFFFFF"/>
        </w:rPr>
        <w:t>42</w:t>
      </w:r>
      <w:r>
        <w:rPr>
          <w:rFonts w:cs="Calibri"/>
          <w:color w:val="222222"/>
          <w:shd w:val="clear" w:color="auto" w:fill="FFFFFF"/>
        </w:rPr>
        <w:t>(3), 365-384.</w:t>
      </w:r>
    </w:p>
    <w:p w14:paraId="6521B724" w14:textId="77777777" w:rsidR="0018664D" w:rsidRDefault="0018664D" w:rsidP="005837F7">
      <w:pPr>
        <w:ind w:left="720" w:right="805" w:hanging="720"/>
        <w:contextualSpacing/>
        <w:jc w:val="both"/>
      </w:pPr>
      <w:r>
        <w:rPr>
          <w:rFonts w:cs="Calibri"/>
        </w:rPr>
        <w:t xml:space="preserve">Good, B., and Fang, L. (2015). Promoting Smart and Safe Internet Use among Children with Neurodevelopmental Disorders and Their Parents. </w:t>
      </w:r>
      <w:r>
        <w:rPr>
          <w:rFonts w:cs="Calibri"/>
          <w:i/>
        </w:rPr>
        <w:t>Clinical Social Work Journal</w:t>
      </w:r>
      <w:r>
        <w:rPr>
          <w:rFonts w:cs="Calibri"/>
        </w:rPr>
        <w:t xml:space="preserve"> 43(2): 179–188. </w:t>
      </w:r>
      <w:hyperlink w:history="1">
        <w:r>
          <w:rPr>
            <w:rFonts w:cs="Calibri"/>
            <w:color w:val="0000FF"/>
            <w:u w:val="single"/>
          </w:rPr>
          <w:t>https://doi-org.elib.tcd.ie/10.1007/s10615-015-0519-4</w:t>
        </w:r>
      </w:hyperlink>
    </w:p>
    <w:p w14:paraId="597BD796" w14:textId="77777777" w:rsidR="0018664D" w:rsidRDefault="0018664D" w:rsidP="005837F7">
      <w:pPr>
        <w:ind w:left="720" w:right="805" w:hanging="720"/>
        <w:contextualSpacing/>
        <w:jc w:val="both"/>
      </w:pPr>
      <w:r>
        <w:rPr>
          <w:rFonts w:cs="Calibri"/>
          <w:color w:val="222222"/>
          <w:shd w:val="clear" w:color="auto" w:fill="FFFFFF"/>
        </w:rPr>
        <w:t xml:space="preserve">Goodyear, V. A., &amp; Armour, K. M. (2021). Young People’s health-related learning through social media: What do teachers need to know? </w:t>
      </w:r>
      <w:r>
        <w:rPr>
          <w:rFonts w:cs="Calibri"/>
          <w:i/>
          <w:iCs/>
          <w:color w:val="222222"/>
          <w:shd w:val="clear" w:color="auto" w:fill="FFFFFF"/>
        </w:rPr>
        <w:t>Teaching and Teacher Education</w:t>
      </w:r>
      <w:r>
        <w:rPr>
          <w:rFonts w:cs="Calibri"/>
          <w:color w:val="222222"/>
          <w:shd w:val="clear" w:color="auto" w:fill="FFFFFF"/>
        </w:rPr>
        <w:t>, </w:t>
      </w:r>
      <w:r>
        <w:rPr>
          <w:rFonts w:cs="Calibri"/>
          <w:i/>
          <w:iCs/>
          <w:color w:val="222222"/>
          <w:shd w:val="clear" w:color="auto" w:fill="FFFFFF"/>
        </w:rPr>
        <w:t>102</w:t>
      </w:r>
      <w:r>
        <w:rPr>
          <w:rFonts w:cs="Calibri"/>
          <w:color w:val="222222"/>
          <w:shd w:val="clear" w:color="auto" w:fill="FFFFFF"/>
        </w:rPr>
        <w:t>, 103340.</w:t>
      </w:r>
    </w:p>
    <w:p w14:paraId="7F0A8AD4" w14:textId="77777777" w:rsidR="0018664D" w:rsidRDefault="0018664D" w:rsidP="0018664D">
      <w:pPr>
        <w:ind w:left="720" w:right="804" w:hanging="720"/>
        <w:jc w:val="both"/>
      </w:pPr>
      <w:proofErr w:type="spellStart"/>
      <w:r>
        <w:rPr>
          <w:rFonts w:cs="Calibri"/>
          <w:color w:val="222222"/>
          <w:shd w:val="clear" w:color="auto" w:fill="FFFFFF"/>
        </w:rPr>
        <w:t>Gurriell</w:t>
      </w:r>
      <w:proofErr w:type="spellEnd"/>
      <w:r>
        <w:rPr>
          <w:rFonts w:cs="Calibri"/>
          <w:color w:val="222222"/>
          <w:shd w:val="clear" w:color="auto" w:fill="FFFFFF"/>
        </w:rPr>
        <w:t>, M. (2021). Born into porn but rescued by thorn: The demand for tech companies to scan and search for child sexual abuse images. </w:t>
      </w:r>
      <w:r>
        <w:rPr>
          <w:rFonts w:cs="Calibri"/>
          <w:i/>
          <w:iCs/>
          <w:color w:val="222222"/>
          <w:shd w:val="clear" w:color="auto" w:fill="FFFFFF"/>
        </w:rPr>
        <w:t>Family Court Review</w:t>
      </w:r>
      <w:r>
        <w:rPr>
          <w:rFonts w:cs="Calibri"/>
          <w:color w:val="222222"/>
          <w:shd w:val="clear" w:color="auto" w:fill="FFFFFF"/>
        </w:rPr>
        <w:t>, </w:t>
      </w:r>
      <w:r>
        <w:rPr>
          <w:rFonts w:cs="Calibri"/>
          <w:i/>
          <w:iCs/>
          <w:color w:val="222222"/>
          <w:shd w:val="clear" w:color="auto" w:fill="FFFFFF"/>
        </w:rPr>
        <w:t>59</w:t>
      </w:r>
      <w:r>
        <w:rPr>
          <w:rFonts w:cs="Calibri"/>
          <w:color w:val="222222"/>
          <w:shd w:val="clear" w:color="auto" w:fill="FFFFFF"/>
        </w:rPr>
        <w:t>(4), 840-854.</w:t>
      </w:r>
    </w:p>
    <w:p w14:paraId="527CD216" w14:textId="77777777" w:rsidR="0018664D" w:rsidRDefault="0018664D" w:rsidP="0018664D">
      <w:pPr>
        <w:ind w:left="720" w:right="804" w:hanging="720"/>
        <w:jc w:val="both"/>
      </w:pPr>
      <w:r>
        <w:rPr>
          <w:rFonts w:cs="Calibri"/>
          <w:color w:val="222222"/>
          <w:shd w:val="clear" w:color="auto" w:fill="FFFFFF"/>
        </w:rPr>
        <w:lastRenderedPageBreak/>
        <w:t>Haddaway, N. R., &amp; Bayliss, H. R. (2015). Shades of grey: two forms of grey literature important for reviews in conservation. </w:t>
      </w:r>
      <w:r>
        <w:rPr>
          <w:rFonts w:cs="Calibri"/>
          <w:i/>
          <w:iCs/>
          <w:color w:val="222222"/>
          <w:shd w:val="clear" w:color="auto" w:fill="FFFFFF"/>
        </w:rPr>
        <w:t>Biological Conservation</w:t>
      </w:r>
      <w:r>
        <w:rPr>
          <w:rFonts w:cs="Calibri"/>
          <w:color w:val="222222"/>
          <w:shd w:val="clear" w:color="auto" w:fill="FFFFFF"/>
        </w:rPr>
        <w:t>, </w:t>
      </w:r>
      <w:r>
        <w:rPr>
          <w:rFonts w:cs="Calibri"/>
          <w:i/>
          <w:iCs/>
          <w:color w:val="222222"/>
          <w:shd w:val="clear" w:color="auto" w:fill="FFFFFF"/>
        </w:rPr>
        <w:t>191</w:t>
      </w:r>
      <w:r>
        <w:rPr>
          <w:rFonts w:cs="Calibri"/>
          <w:color w:val="222222"/>
          <w:shd w:val="clear" w:color="auto" w:fill="FFFFFF"/>
        </w:rPr>
        <w:t>, 827-829.</w:t>
      </w:r>
    </w:p>
    <w:p w14:paraId="19948590" w14:textId="77777777" w:rsidR="0018664D" w:rsidRDefault="0018664D" w:rsidP="0018664D">
      <w:pPr>
        <w:ind w:left="720" w:right="804" w:hanging="720"/>
        <w:jc w:val="both"/>
      </w:pPr>
      <w:proofErr w:type="spellStart"/>
      <w:r>
        <w:rPr>
          <w:rFonts w:cs="Calibri"/>
          <w:color w:val="222222"/>
          <w:shd w:val="clear" w:color="auto" w:fill="FFFFFF"/>
        </w:rPr>
        <w:t>Hafiar</w:t>
      </w:r>
      <w:proofErr w:type="spellEnd"/>
      <w:r>
        <w:rPr>
          <w:rFonts w:cs="Calibri"/>
          <w:color w:val="222222"/>
          <w:shd w:val="clear" w:color="auto" w:fill="FFFFFF"/>
        </w:rPr>
        <w:t xml:space="preserve">, H., </w:t>
      </w:r>
      <w:proofErr w:type="spellStart"/>
      <w:r>
        <w:rPr>
          <w:rFonts w:cs="Calibri"/>
          <w:color w:val="222222"/>
          <w:shd w:val="clear" w:color="auto" w:fill="FFFFFF"/>
        </w:rPr>
        <w:t>Sjafirah</w:t>
      </w:r>
      <w:proofErr w:type="spellEnd"/>
      <w:r>
        <w:rPr>
          <w:rFonts w:cs="Calibri"/>
          <w:color w:val="222222"/>
          <w:shd w:val="clear" w:color="auto" w:fill="FFFFFF"/>
        </w:rPr>
        <w:t xml:space="preserve">, N. A., </w:t>
      </w:r>
      <w:proofErr w:type="spellStart"/>
      <w:r>
        <w:rPr>
          <w:rFonts w:cs="Calibri"/>
          <w:color w:val="222222"/>
          <w:shd w:val="clear" w:color="auto" w:fill="FFFFFF"/>
        </w:rPr>
        <w:t>Priyatna</w:t>
      </w:r>
      <w:proofErr w:type="spellEnd"/>
      <w:r>
        <w:rPr>
          <w:rFonts w:cs="Calibri"/>
          <w:color w:val="222222"/>
          <w:shd w:val="clear" w:color="auto" w:fill="FFFFFF"/>
        </w:rPr>
        <w:t xml:space="preserve">, C. C., Lukman, S., </w:t>
      </w:r>
      <w:proofErr w:type="spellStart"/>
      <w:r>
        <w:rPr>
          <w:rFonts w:cs="Calibri"/>
          <w:color w:val="222222"/>
          <w:shd w:val="clear" w:color="auto" w:fill="FFFFFF"/>
        </w:rPr>
        <w:t>Syuderajat</w:t>
      </w:r>
      <w:proofErr w:type="spellEnd"/>
      <w:r>
        <w:rPr>
          <w:rFonts w:cs="Calibri"/>
          <w:color w:val="222222"/>
          <w:shd w:val="clear" w:color="auto" w:fill="FFFFFF"/>
        </w:rPr>
        <w:t xml:space="preserve">, F., &amp; </w:t>
      </w:r>
      <w:proofErr w:type="spellStart"/>
      <w:r>
        <w:rPr>
          <w:rFonts w:cs="Calibri"/>
          <w:color w:val="222222"/>
          <w:shd w:val="clear" w:color="auto" w:fill="FFFFFF"/>
        </w:rPr>
        <w:t>Prastowo</w:t>
      </w:r>
      <w:proofErr w:type="spellEnd"/>
      <w:r>
        <w:rPr>
          <w:rFonts w:cs="Calibri"/>
          <w:color w:val="222222"/>
          <w:shd w:val="clear" w:color="auto" w:fill="FFFFFF"/>
        </w:rPr>
        <w:t>, A. A. (2020). PRECAUTION TOWARDS ACCESS TO INAPPROPRIATE INTERNET CONTENT BY STUDENTS WITH VISUAL IMPAIRMENT.</w:t>
      </w:r>
      <w:r>
        <w:rPr>
          <w:rFonts w:cs="Calibri"/>
        </w:rPr>
        <w:t xml:space="preserve"> </w:t>
      </w:r>
      <w:r>
        <w:rPr>
          <w:rFonts w:cs="Calibri"/>
          <w:i/>
        </w:rPr>
        <w:t>Library Philosophy and Practice</w:t>
      </w:r>
      <w:r>
        <w:rPr>
          <w:rFonts w:cs="Calibri"/>
        </w:rPr>
        <w:t xml:space="preserve"> (e-journal). 3761.</w:t>
      </w:r>
    </w:p>
    <w:p w14:paraId="71D4AA8B" w14:textId="77777777" w:rsidR="0018664D" w:rsidRDefault="0018664D" w:rsidP="0018664D">
      <w:pPr>
        <w:ind w:left="720" w:right="804" w:hanging="720"/>
        <w:jc w:val="both"/>
      </w:pPr>
      <w:r>
        <w:rPr>
          <w:rFonts w:cs="Calibri"/>
          <w:shd w:val="clear" w:color="auto" w:fill="FFFFFF"/>
        </w:rPr>
        <w:t>Hammond, S. P., Polizzi, G., &amp; Bartholomew, K. J. (2022). Using a socio-ecological framework to understand how 8–12-year-olds build and show digital resilience: A multi-perspective and multimethod qualitative study. </w:t>
      </w:r>
      <w:r>
        <w:rPr>
          <w:rFonts w:cs="Calibri"/>
          <w:i/>
          <w:iCs/>
          <w:shd w:val="clear" w:color="auto" w:fill="FFFFFF"/>
        </w:rPr>
        <w:t>Education and Information Technologies</w:t>
      </w:r>
      <w:r>
        <w:rPr>
          <w:rFonts w:cs="Calibri"/>
          <w:shd w:val="clear" w:color="auto" w:fill="FFFFFF"/>
        </w:rPr>
        <w:t>, 1-29.</w:t>
      </w:r>
    </w:p>
    <w:p w14:paraId="069F9069" w14:textId="77777777" w:rsidR="0018664D" w:rsidRDefault="0018664D" w:rsidP="0018664D">
      <w:pPr>
        <w:ind w:left="720" w:right="804" w:hanging="720"/>
        <w:jc w:val="both"/>
      </w:pPr>
      <w:r>
        <w:rPr>
          <w:rFonts w:cs="Calibri"/>
          <w:color w:val="222222"/>
          <w:shd w:val="clear" w:color="auto" w:fill="FFFFFF"/>
        </w:rPr>
        <w:t>Han, H., Jeong, H., Jo, S. J., Son, H. J., &amp; Yim, H. W. (2020). Relationship between the experience of online game genre and high risk of Internet gaming disorder in Korean adolescents. </w:t>
      </w:r>
      <w:r>
        <w:rPr>
          <w:rFonts w:cs="Calibri"/>
          <w:i/>
          <w:iCs/>
          <w:color w:val="222222"/>
          <w:shd w:val="clear" w:color="auto" w:fill="FFFFFF"/>
        </w:rPr>
        <w:t>Epidemiology and health</w:t>
      </w:r>
      <w:r>
        <w:rPr>
          <w:rFonts w:cs="Calibri"/>
          <w:color w:val="222222"/>
          <w:shd w:val="clear" w:color="auto" w:fill="FFFFFF"/>
        </w:rPr>
        <w:t>, </w:t>
      </w:r>
      <w:r>
        <w:rPr>
          <w:rFonts w:cs="Calibri"/>
          <w:i/>
          <w:iCs/>
          <w:color w:val="222222"/>
          <w:shd w:val="clear" w:color="auto" w:fill="FFFFFF"/>
        </w:rPr>
        <w:t>42</w:t>
      </w:r>
      <w:r>
        <w:rPr>
          <w:rFonts w:cs="Calibri"/>
          <w:color w:val="222222"/>
          <w:shd w:val="clear" w:color="auto" w:fill="FFFFFF"/>
        </w:rPr>
        <w:t>.</w:t>
      </w:r>
    </w:p>
    <w:p w14:paraId="3273ADA3" w14:textId="77777777" w:rsidR="0018664D" w:rsidRDefault="0018664D" w:rsidP="0018664D">
      <w:pPr>
        <w:ind w:left="720" w:right="804" w:hanging="720"/>
        <w:jc w:val="both"/>
      </w:pPr>
      <w:r>
        <w:rPr>
          <w:rFonts w:cs="Calibri"/>
          <w:color w:val="222222"/>
          <w:shd w:val="clear" w:color="auto" w:fill="FFFFFF"/>
        </w:rPr>
        <w:t xml:space="preserve">HSE, (2023) Our Health Service. Retrieved 16 September, 2023, from </w:t>
      </w:r>
      <w:hyperlink r:id="rId17" w:history="1">
        <w:r>
          <w:rPr>
            <w:rFonts w:cs="Calibri"/>
            <w:color w:val="0000FF"/>
            <w:u w:val="single"/>
            <w:shd w:val="clear" w:color="auto" w:fill="FFFFFF"/>
          </w:rPr>
          <w:t>https://www.hse.ie/eng/services/list/4/disability/</w:t>
        </w:r>
      </w:hyperlink>
      <w:r>
        <w:rPr>
          <w:rFonts w:cs="Calibri"/>
          <w:color w:val="222222"/>
          <w:shd w:val="clear" w:color="auto" w:fill="FFFFFF"/>
        </w:rPr>
        <w:t xml:space="preserve"> .  </w:t>
      </w:r>
    </w:p>
    <w:p w14:paraId="1AD92779" w14:textId="77777777" w:rsidR="0018664D" w:rsidRDefault="0018664D" w:rsidP="0018664D">
      <w:pPr>
        <w:ind w:left="720" w:right="804" w:hanging="720"/>
        <w:jc w:val="both"/>
      </w:pPr>
      <w:bookmarkStart w:id="10" w:name="_Hlk147959974"/>
      <w:r>
        <w:rPr>
          <w:rFonts w:cs="Calibri"/>
          <w:color w:val="222222"/>
          <w:shd w:val="clear" w:color="auto" w:fill="FFFFFF"/>
        </w:rPr>
        <w:t>Heiman, T., &amp; Olenik Shemesh, D. (2019). Predictors of cyber-victimization of higher-education students with and without learning disabilities. </w:t>
      </w:r>
      <w:r>
        <w:rPr>
          <w:rFonts w:cs="Calibri"/>
          <w:i/>
          <w:iCs/>
          <w:color w:val="222222"/>
          <w:shd w:val="clear" w:color="auto" w:fill="FFFFFF"/>
        </w:rPr>
        <w:t>Journal of Youth Studies</w:t>
      </w:r>
      <w:r>
        <w:rPr>
          <w:rFonts w:cs="Calibri"/>
          <w:color w:val="222222"/>
          <w:shd w:val="clear" w:color="auto" w:fill="FFFFFF"/>
        </w:rPr>
        <w:t>, </w:t>
      </w:r>
      <w:r>
        <w:rPr>
          <w:rFonts w:cs="Calibri"/>
          <w:i/>
          <w:iCs/>
          <w:color w:val="222222"/>
          <w:shd w:val="clear" w:color="auto" w:fill="FFFFFF"/>
        </w:rPr>
        <w:t>22</w:t>
      </w:r>
      <w:r>
        <w:rPr>
          <w:rFonts w:cs="Calibri"/>
          <w:color w:val="222222"/>
          <w:shd w:val="clear" w:color="auto" w:fill="FFFFFF"/>
        </w:rPr>
        <w:t>(2), 205-222.</w:t>
      </w:r>
    </w:p>
    <w:bookmarkEnd w:id="10"/>
    <w:p w14:paraId="17CC1DF5" w14:textId="77777777" w:rsidR="0018664D" w:rsidRDefault="0018664D" w:rsidP="0018664D">
      <w:pPr>
        <w:ind w:left="720" w:right="804" w:hanging="720"/>
        <w:jc w:val="both"/>
      </w:pPr>
      <w:r>
        <w:rPr>
          <w:rFonts w:cs="Calibri"/>
          <w:color w:val="222222"/>
          <w:shd w:val="clear" w:color="auto" w:fill="FFFFFF"/>
        </w:rPr>
        <w:t>Hirvonen, M., Purcell, C., Elliott, L., Bailey, J. V., Simpson, S. A., McDaid, L., ... &amp; STASH Study Team. (2021). Peer-to-peer sharing of social media messages on sexual health in a school-based intervention: Opportunities and challenges identified in the STASH feasibility trial. </w:t>
      </w:r>
      <w:r>
        <w:rPr>
          <w:rFonts w:cs="Calibri"/>
          <w:i/>
          <w:iCs/>
          <w:color w:val="222222"/>
          <w:shd w:val="clear" w:color="auto" w:fill="FFFFFF"/>
        </w:rPr>
        <w:t>Journal of Medical Internet Research</w:t>
      </w:r>
      <w:r>
        <w:rPr>
          <w:rFonts w:cs="Calibri"/>
          <w:color w:val="222222"/>
          <w:shd w:val="clear" w:color="auto" w:fill="FFFFFF"/>
        </w:rPr>
        <w:t>, </w:t>
      </w:r>
      <w:r>
        <w:rPr>
          <w:rFonts w:cs="Calibri"/>
          <w:i/>
          <w:iCs/>
          <w:color w:val="222222"/>
          <w:shd w:val="clear" w:color="auto" w:fill="FFFFFF"/>
        </w:rPr>
        <w:t>23</w:t>
      </w:r>
      <w:r>
        <w:rPr>
          <w:rFonts w:cs="Calibri"/>
          <w:color w:val="222222"/>
          <w:shd w:val="clear" w:color="auto" w:fill="FFFFFF"/>
        </w:rPr>
        <w:t>(2), e20898.</w:t>
      </w:r>
    </w:p>
    <w:p w14:paraId="0CA6010C" w14:textId="77777777" w:rsidR="0018664D" w:rsidRDefault="0018664D" w:rsidP="0018664D">
      <w:pPr>
        <w:ind w:left="720" w:right="804" w:hanging="720"/>
        <w:jc w:val="both"/>
      </w:pPr>
      <w:r>
        <w:rPr>
          <w:rFonts w:cs="Calibri"/>
          <w:color w:val="222222"/>
          <w:shd w:val="clear" w:color="auto" w:fill="FFFFFF"/>
        </w:rPr>
        <w:lastRenderedPageBreak/>
        <w:t xml:space="preserve">Hong, S., Lu, N., Wu, D., Jimenez, D. E., &amp; </w:t>
      </w:r>
      <w:proofErr w:type="spellStart"/>
      <w:r>
        <w:rPr>
          <w:rFonts w:cs="Calibri"/>
          <w:color w:val="222222"/>
          <w:shd w:val="clear" w:color="auto" w:fill="FFFFFF"/>
        </w:rPr>
        <w:t>Milanaik</w:t>
      </w:r>
      <w:proofErr w:type="spellEnd"/>
      <w:r>
        <w:rPr>
          <w:rFonts w:cs="Calibri"/>
          <w:color w:val="222222"/>
          <w:shd w:val="clear" w:color="auto" w:fill="FFFFFF"/>
        </w:rPr>
        <w:t xml:space="preserve">, R. L. (2020). Digital sextortion: Internet predators and </w:t>
      </w:r>
      <w:proofErr w:type="spellStart"/>
      <w:r>
        <w:rPr>
          <w:rFonts w:cs="Calibri"/>
          <w:color w:val="222222"/>
          <w:shd w:val="clear" w:color="auto" w:fill="FFFFFF"/>
        </w:rPr>
        <w:t>pediatric</w:t>
      </w:r>
      <w:proofErr w:type="spellEnd"/>
      <w:r>
        <w:rPr>
          <w:rFonts w:cs="Calibri"/>
          <w:color w:val="222222"/>
          <w:shd w:val="clear" w:color="auto" w:fill="FFFFFF"/>
        </w:rPr>
        <w:t xml:space="preserve"> interventions. </w:t>
      </w:r>
      <w:r>
        <w:rPr>
          <w:rFonts w:cs="Calibri"/>
          <w:i/>
          <w:iCs/>
          <w:color w:val="222222"/>
          <w:shd w:val="clear" w:color="auto" w:fill="FFFFFF"/>
        </w:rPr>
        <w:t xml:space="preserve">Current opinion in </w:t>
      </w:r>
      <w:proofErr w:type="spellStart"/>
      <w:r>
        <w:rPr>
          <w:rFonts w:cs="Calibri"/>
          <w:i/>
          <w:iCs/>
          <w:color w:val="222222"/>
          <w:shd w:val="clear" w:color="auto" w:fill="FFFFFF"/>
        </w:rPr>
        <w:t>pediatrics</w:t>
      </w:r>
      <w:proofErr w:type="spellEnd"/>
      <w:r>
        <w:rPr>
          <w:rFonts w:cs="Calibri"/>
          <w:color w:val="222222"/>
          <w:shd w:val="clear" w:color="auto" w:fill="FFFFFF"/>
        </w:rPr>
        <w:t>, </w:t>
      </w:r>
      <w:r>
        <w:rPr>
          <w:rFonts w:cs="Calibri"/>
          <w:i/>
          <w:iCs/>
          <w:color w:val="222222"/>
          <w:shd w:val="clear" w:color="auto" w:fill="FFFFFF"/>
        </w:rPr>
        <w:t>32</w:t>
      </w:r>
      <w:r>
        <w:rPr>
          <w:rFonts w:cs="Calibri"/>
          <w:color w:val="222222"/>
          <w:shd w:val="clear" w:color="auto" w:fill="FFFFFF"/>
        </w:rPr>
        <w:t>(1), 192-197.</w:t>
      </w:r>
    </w:p>
    <w:p w14:paraId="5782CFF2" w14:textId="77777777" w:rsidR="0018664D" w:rsidRDefault="0018664D" w:rsidP="0018664D">
      <w:pPr>
        <w:ind w:left="720" w:right="804" w:hanging="720"/>
        <w:jc w:val="both"/>
      </w:pPr>
      <w:proofErr w:type="spellStart"/>
      <w:r>
        <w:rPr>
          <w:rFonts w:cs="Calibri"/>
          <w:color w:val="222222"/>
          <w:shd w:val="clear" w:color="auto" w:fill="FFFFFF"/>
        </w:rPr>
        <w:t>Iskül</w:t>
      </w:r>
      <w:proofErr w:type="spellEnd"/>
      <w:r>
        <w:rPr>
          <w:rFonts w:cs="Calibri"/>
          <w:color w:val="222222"/>
          <w:shd w:val="clear" w:color="auto" w:fill="FFFFFF"/>
        </w:rPr>
        <w:t xml:space="preserve">, A. M., &amp; </w:t>
      </w:r>
      <w:proofErr w:type="spellStart"/>
      <w:r>
        <w:rPr>
          <w:rFonts w:cs="Calibri"/>
          <w:color w:val="222222"/>
          <w:shd w:val="clear" w:color="auto" w:fill="FFFFFF"/>
        </w:rPr>
        <w:t>Joamets</w:t>
      </w:r>
      <w:proofErr w:type="spellEnd"/>
      <w:r>
        <w:rPr>
          <w:rFonts w:cs="Calibri"/>
          <w:color w:val="222222"/>
          <w:shd w:val="clear" w:color="auto" w:fill="FFFFFF"/>
        </w:rPr>
        <w:t xml:space="preserve">, K. (2021). Child Right to Privacy and </w:t>
      </w:r>
      <w:proofErr w:type="gramStart"/>
      <w:r>
        <w:rPr>
          <w:rFonts w:cs="Calibri"/>
          <w:color w:val="222222"/>
          <w:shd w:val="clear" w:color="auto" w:fill="FFFFFF"/>
        </w:rPr>
        <w:t>Social Media</w:t>
      </w:r>
      <w:proofErr w:type="gramEnd"/>
      <w:r>
        <w:rPr>
          <w:rFonts w:cs="Calibri"/>
          <w:color w:val="222222"/>
          <w:shd w:val="clear" w:color="auto" w:fill="FFFFFF"/>
        </w:rPr>
        <w:t>–Personal Information Oversharing Parents. </w:t>
      </w:r>
      <w:r>
        <w:rPr>
          <w:rFonts w:cs="Calibri"/>
          <w:i/>
          <w:iCs/>
          <w:color w:val="222222"/>
          <w:shd w:val="clear" w:color="auto" w:fill="FFFFFF"/>
        </w:rPr>
        <w:t>Baltic Journal of Law &amp; Politics</w:t>
      </w:r>
      <w:r>
        <w:rPr>
          <w:rFonts w:cs="Calibri"/>
          <w:color w:val="222222"/>
          <w:shd w:val="clear" w:color="auto" w:fill="FFFFFF"/>
        </w:rPr>
        <w:t>, </w:t>
      </w:r>
      <w:r>
        <w:rPr>
          <w:rFonts w:cs="Calibri"/>
          <w:i/>
          <w:iCs/>
          <w:color w:val="222222"/>
          <w:shd w:val="clear" w:color="auto" w:fill="FFFFFF"/>
        </w:rPr>
        <w:t>14</w:t>
      </w:r>
      <w:r>
        <w:rPr>
          <w:rFonts w:cs="Calibri"/>
          <w:color w:val="222222"/>
          <w:shd w:val="clear" w:color="auto" w:fill="FFFFFF"/>
        </w:rPr>
        <w:t>(2), 101-122.</w:t>
      </w:r>
    </w:p>
    <w:p w14:paraId="507065A8" w14:textId="77777777" w:rsidR="0018664D" w:rsidRDefault="0018664D" w:rsidP="0018664D">
      <w:pPr>
        <w:ind w:left="720" w:right="804" w:hanging="720"/>
        <w:jc w:val="both"/>
      </w:pPr>
      <w:proofErr w:type="spellStart"/>
      <w:r>
        <w:rPr>
          <w:rFonts w:cs="Calibri"/>
          <w:color w:val="222222"/>
          <w:shd w:val="clear" w:color="auto" w:fill="FFFFFF"/>
        </w:rPr>
        <w:t>Joleby</w:t>
      </w:r>
      <w:proofErr w:type="spellEnd"/>
      <w:r>
        <w:rPr>
          <w:rFonts w:cs="Calibri"/>
          <w:color w:val="222222"/>
          <w:shd w:val="clear" w:color="auto" w:fill="FFFFFF"/>
        </w:rPr>
        <w:t xml:space="preserve">, M., Lunde, C., </w:t>
      </w:r>
      <w:proofErr w:type="spellStart"/>
      <w:r>
        <w:rPr>
          <w:rFonts w:cs="Calibri"/>
          <w:color w:val="222222"/>
          <w:shd w:val="clear" w:color="auto" w:fill="FFFFFF"/>
        </w:rPr>
        <w:t>Landström</w:t>
      </w:r>
      <w:proofErr w:type="spellEnd"/>
      <w:r>
        <w:rPr>
          <w:rFonts w:cs="Calibri"/>
          <w:color w:val="222222"/>
          <w:shd w:val="clear" w:color="auto" w:fill="FFFFFF"/>
        </w:rPr>
        <w:t>, S., &amp; Jonsson, L. S. 2020 “All of Me Is Completely Different”: Experiences and Consequences Among Victims of Technology-Assisted Child Sexual Abuse. </w:t>
      </w:r>
      <w:r>
        <w:rPr>
          <w:rFonts w:cs="Calibri"/>
          <w:i/>
          <w:iCs/>
          <w:color w:val="222222"/>
          <w:shd w:val="clear" w:color="auto" w:fill="FFFFFF"/>
        </w:rPr>
        <w:t>Frontiers in psychology</w:t>
      </w:r>
      <w:r>
        <w:rPr>
          <w:rFonts w:cs="Calibri"/>
          <w:color w:val="222222"/>
          <w:shd w:val="clear" w:color="auto" w:fill="FFFFFF"/>
        </w:rPr>
        <w:t>, </w:t>
      </w:r>
      <w:r>
        <w:rPr>
          <w:rFonts w:cs="Calibri"/>
          <w:i/>
          <w:iCs/>
          <w:color w:val="222222"/>
          <w:shd w:val="clear" w:color="auto" w:fill="FFFFFF"/>
        </w:rPr>
        <w:t>11</w:t>
      </w:r>
      <w:r>
        <w:rPr>
          <w:rFonts w:cs="Calibri"/>
          <w:color w:val="222222"/>
          <w:shd w:val="clear" w:color="auto" w:fill="FFFFFF"/>
        </w:rPr>
        <w:t>, 606218.</w:t>
      </w:r>
    </w:p>
    <w:p w14:paraId="02F8C9B5" w14:textId="77777777" w:rsidR="0018664D" w:rsidRDefault="0018664D" w:rsidP="0018664D">
      <w:pPr>
        <w:ind w:left="720" w:right="804" w:hanging="720"/>
        <w:jc w:val="both"/>
      </w:pPr>
      <w:r>
        <w:rPr>
          <w:rFonts w:cs="Calibri"/>
          <w:color w:val="222222"/>
          <w:shd w:val="clear" w:color="auto" w:fill="FFFFFF"/>
        </w:rPr>
        <w:t xml:space="preserve">Kaakinen, M., </w:t>
      </w:r>
      <w:proofErr w:type="spellStart"/>
      <w:r>
        <w:rPr>
          <w:rFonts w:cs="Calibri"/>
          <w:color w:val="222222"/>
          <w:shd w:val="clear" w:color="auto" w:fill="FFFFFF"/>
        </w:rPr>
        <w:t>Keipi</w:t>
      </w:r>
      <w:proofErr w:type="spellEnd"/>
      <w:r>
        <w:rPr>
          <w:rFonts w:cs="Calibri"/>
          <w:color w:val="222222"/>
          <w:shd w:val="clear" w:color="auto" w:fill="FFFFFF"/>
        </w:rPr>
        <w:t>, T., Oksanen, A., &amp; Räsänen, P. (2018). How does social capital associate with being a victim of online hate? Survey evidence from the United States, the United Kingdom, Germany, and Finland. </w:t>
      </w:r>
      <w:r>
        <w:rPr>
          <w:rFonts w:cs="Calibri"/>
          <w:i/>
          <w:iCs/>
          <w:color w:val="222222"/>
          <w:shd w:val="clear" w:color="auto" w:fill="FFFFFF"/>
        </w:rPr>
        <w:t>Policy &amp; Internet</w:t>
      </w:r>
      <w:r>
        <w:rPr>
          <w:rFonts w:cs="Calibri"/>
          <w:color w:val="222222"/>
          <w:shd w:val="clear" w:color="auto" w:fill="FFFFFF"/>
        </w:rPr>
        <w:t>, </w:t>
      </w:r>
      <w:r>
        <w:rPr>
          <w:rFonts w:cs="Calibri"/>
          <w:i/>
          <w:iCs/>
          <w:color w:val="222222"/>
          <w:shd w:val="clear" w:color="auto" w:fill="FFFFFF"/>
        </w:rPr>
        <w:t>10</w:t>
      </w:r>
      <w:r>
        <w:rPr>
          <w:rFonts w:cs="Calibri"/>
          <w:color w:val="222222"/>
          <w:shd w:val="clear" w:color="auto" w:fill="FFFFFF"/>
        </w:rPr>
        <w:t>(3), 302-323.</w:t>
      </w:r>
    </w:p>
    <w:p w14:paraId="1D5ED8E8" w14:textId="77777777" w:rsidR="0018664D" w:rsidRDefault="0018664D" w:rsidP="0018664D">
      <w:pPr>
        <w:ind w:left="720" w:right="805" w:hanging="720"/>
        <w:jc w:val="both"/>
      </w:pPr>
      <w:r>
        <w:rPr>
          <w:rFonts w:cs="Calibri"/>
          <w:shd w:val="clear" w:color="auto" w:fill="FFFFFF"/>
        </w:rPr>
        <w:t xml:space="preserve">Katz, C., Piller, S., </w:t>
      </w:r>
      <w:proofErr w:type="spellStart"/>
      <w:r>
        <w:rPr>
          <w:rFonts w:cs="Calibri"/>
          <w:shd w:val="clear" w:color="auto" w:fill="FFFFFF"/>
        </w:rPr>
        <w:t>Glucklich</w:t>
      </w:r>
      <w:proofErr w:type="spellEnd"/>
      <w:r>
        <w:rPr>
          <w:rFonts w:cs="Calibri"/>
          <w:shd w:val="clear" w:color="auto" w:fill="FFFFFF"/>
        </w:rPr>
        <w:t>, T., &amp; Matty, D. E. (2021). “Stop waking the dead”: Internet child sexual abuse and perspectives on its disclosure. </w:t>
      </w:r>
      <w:r>
        <w:rPr>
          <w:rFonts w:cs="Calibri"/>
          <w:i/>
          <w:iCs/>
          <w:shd w:val="clear" w:color="auto" w:fill="FFFFFF"/>
        </w:rPr>
        <w:t>Journal of interpersonal violence</w:t>
      </w:r>
      <w:r>
        <w:rPr>
          <w:rFonts w:cs="Calibri"/>
          <w:shd w:val="clear" w:color="auto" w:fill="FFFFFF"/>
        </w:rPr>
        <w:t>, </w:t>
      </w:r>
      <w:r>
        <w:rPr>
          <w:rFonts w:cs="Calibri"/>
          <w:i/>
          <w:iCs/>
          <w:shd w:val="clear" w:color="auto" w:fill="FFFFFF"/>
        </w:rPr>
        <w:t>36</w:t>
      </w:r>
      <w:r>
        <w:rPr>
          <w:rFonts w:cs="Calibri"/>
          <w:shd w:val="clear" w:color="auto" w:fill="FFFFFF"/>
        </w:rPr>
        <w:t>(9-10), NP5084-NP5104.</w:t>
      </w:r>
    </w:p>
    <w:p w14:paraId="5AB3FFF1" w14:textId="77777777" w:rsidR="0018664D" w:rsidRDefault="0018664D" w:rsidP="0018664D">
      <w:pPr>
        <w:ind w:left="720" w:right="805" w:hanging="720"/>
        <w:jc w:val="both"/>
      </w:pPr>
      <w:r>
        <w:rPr>
          <w:rFonts w:cs="Calibri"/>
          <w:color w:val="222222"/>
          <w:shd w:val="clear" w:color="auto" w:fill="FFFFFF"/>
        </w:rPr>
        <w:t>Keen, C. (2022). Apathy, convenience or irrelevance? Identifying conceptual barriers to safeguarding children’s data privacy. </w:t>
      </w:r>
      <w:r>
        <w:rPr>
          <w:rFonts w:cs="Calibri"/>
          <w:i/>
          <w:iCs/>
          <w:color w:val="222222"/>
          <w:shd w:val="clear" w:color="auto" w:fill="FFFFFF"/>
        </w:rPr>
        <w:t>New Media &amp; Society</w:t>
      </w:r>
      <w:r>
        <w:rPr>
          <w:rFonts w:cs="Calibri"/>
          <w:color w:val="222222"/>
          <w:shd w:val="clear" w:color="auto" w:fill="FFFFFF"/>
        </w:rPr>
        <w:t>, </w:t>
      </w:r>
      <w:r>
        <w:rPr>
          <w:rFonts w:cs="Calibri"/>
          <w:i/>
          <w:iCs/>
          <w:color w:val="222222"/>
          <w:shd w:val="clear" w:color="auto" w:fill="FFFFFF"/>
        </w:rPr>
        <w:t>24</w:t>
      </w:r>
      <w:r>
        <w:rPr>
          <w:rFonts w:cs="Calibri"/>
          <w:color w:val="222222"/>
          <w:shd w:val="clear" w:color="auto" w:fill="FFFFFF"/>
        </w:rPr>
        <w:t>(1), 50-69.</w:t>
      </w:r>
    </w:p>
    <w:p w14:paraId="466EB238" w14:textId="77777777" w:rsidR="0018664D" w:rsidRDefault="0018664D" w:rsidP="0018664D">
      <w:pPr>
        <w:ind w:left="720" w:right="805" w:hanging="720"/>
        <w:jc w:val="both"/>
      </w:pPr>
      <w:proofErr w:type="spellStart"/>
      <w:r>
        <w:rPr>
          <w:rFonts w:cs="Calibri"/>
          <w:color w:val="222222"/>
          <w:shd w:val="clear" w:color="auto" w:fill="FFFFFF"/>
        </w:rPr>
        <w:t>Kiberd</w:t>
      </w:r>
      <w:proofErr w:type="spellEnd"/>
      <w:r>
        <w:rPr>
          <w:rFonts w:cs="Calibri"/>
          <w:color w:val="222222"/>
          <w:shd w:val="clear" w:color="auto" w:fill="FFFFFF"/>
        </w:rPr>
        <w:t>, R. (2021). </w:t>
      </w:r>
      <w:r>
        <w:rPr>
          <w:rFonts w:cs="Calibri"/>
          <w:i/>
          <w:iCs/>
          <w:color w:val="222222"/>
          <w:shd w:val="clear" w:color="auto" w:fill="FFFFFF"/>
        </w:rPr>
        <w:t>The Disconnect: A Personal Journey Through the Internet</w:t>
      </w:r>
      <w:r>
        <w:rPr>
          <w:rFonts w:cs="Calibri"/>
          <w:color w:val="222222"/>
          <w:shd w:val="clear" w:color="auto" w:fill="FFFFFF"/>
        </w:rPr>
        <w:t>. Serpent's Tail.</w:t>
      </w:r>
    </w:p>
    <w:p w14:paraId="1FB7D6E0" w14:textId="77777777" w:rsidR="0018664D" w:rsidRDefault="0018664D" w:rsidP="0018664D">
      <w:pPr>
        <w:ind w:left="720" w:right="804" w:hanging="720"/>
        <w:jc w:val="both"/>
      </w:pPr>
      <w:r>
        <w:rPr>
          <w:rFonts w:cs="Calibri"/>
          <w:color w:val="222222"/>
          <w:shd w:val="clear" w:color="auto" w:fill="FFFFFF"/>
        </w:rPr>
        <w:t xml:space="preserve">Kim, H., Cho, M. K., Ko, H., Yoo, J. E., &amp; Song, Y. M. (2020). Association between smartphone usage and mental health in South Korean </w:t>
      </w:r>
      <w:r>
        <w:rPr>
          <w:rFonts w:cs="Calibri"/>
          <w:color w:val="222222"/>
          <w:shd w:val="clear" w:color="auto" w:fill="FFFFFF"/>
        </w:rPr>
        <w:lastRenderedPageBreak/>
        <w:t xml:space="preserve">adolescents: The 2017 Korea Youth Risk </w:t>
      </w:r>
      <w:proofErr w:type="spellStart"/>
      <w:r>
        <w:rPr>
          <w:rFonts w:cs="Calibri"/>
          <w:color w:val="222222"/>
          <w:shd w:val="clear" w:color="auto" w:fill="FFFFFF"/>
        </w:rPr>
        <w:t>behavior</w:t>
      </w:r>
      <w:proofErr w:type="spellEnd"/>
      <w:r>
        <w:rPr>
          <w:rFonts w:cs="Calibri"/>
          <w:color w:val="222222"/>
          <w:shd w:val="clear" w:color="auto" w:fill="FFFFFF"/>
        </w:rPr>
        <w:t xml:space="preserve"> web-based survey. </w:t>
      </w:r>
      <w:r>
        <w:rPr>
          <w:rFonts w:cs="Calibri"/>
          <w:i/>
          <w:iCs/>
          <w:color w:val="222222"/>
          <w:shd w:val="clear" w:color="auto" w:fill="FFFFFF"/>
        </w:rPr>
        <w:t>Korean journal of family medicine</w:t>
      </w:r>
      <w:r>
        <w:rPr>
          <w:rFonts w:cs="Calibri"/>
          <w:color w:val="222222"/>
          <w:shd w:val="clear" w:color="auto" w:fill="FFFFFF"/>
        </w:rPr>
        <w:t>, </w:t>
      </w:r>
      <w:r>
        <w:rPr>
          <w:rFonts w:cs="Calibri"/>
          <w:i/>
          <w:iCs/>
          <w:color w:val="222222"/>
          <w:shd w:val="clear" w:color="auto" w:fill="FFFFFF"/>
        </w:rPr>
        <w:t>41</w:t>
      </w:r>
      <w:r>
        <w:rPr>
          <w:rFonts w:cs="Calibri"/>
          <w:color w:val="222222"/>
          <w:shd w:val="clear" w:color="auto" w:fill="FFFFFF"/>
        </w:rPr>
        <w:t>(2), 98.</w:t>
      </w:r>
    </w:p>
    <w:p w14:paraId="6ABB229E" w14:textId="77777777" w:rsidR="0018664D" w:rsidRDefault="0018664D" w:rsidP="0018664D">
      <w:pPr>
        <w:ind w:left="720" w:right="804" w:hanging="720"/>
        <w:jc w:val="both"/>
      </w:pPr>
      <w:r>
        <w:rPr>
          <w:rFonts w:cs="Calibri"/>
          <w:color w:val="222222"/>
          <w:shd w:val="clear" w:color="auto" w:fill="FFFFFF"/>
        </w:rPr>
        <w:t>Krishna, A. (2021). Internet. gov: Tech Companies as Government Agents and the Future of the Fight Against Child Sexual Abuse. </w:t>
      </w:r>
      <w:r>
        <w:rPr>
          <w:rFonts w:cs="Calibri"/>
          <w:i/>
          <w:iCs/>
          <w:color w:val="222222"/>
          <w:shd w:val="clear" w:color="auto" w:fill="FFFFFF"/>
        </w:rPr>
        <w:t>Cal. L. Rev.</w:t>
      </w:r>
      <w:r>
        <w:rPr>
          <w:rFonts w:cs="Calibri"/>
          <w:color w:val="222222"/>
          <w:shd w:val="clear" w:color="auto" w:fill="FFFFFF"/>
        </w:rPr>
        <w:t>, </w:t>
      </w:r>
      <w:r>
        <w:rPr>
          <w:rFonts w:cs="Calibri"/>
          <w:i/>
          <w:iCs/>
          <w:color w:val="222222"/>
          <w:shd w:val="clear" w:color="auto" w:fill="FFFFFF"/>
        </w:rPr>
        <w:t>109</w:t>
      </w:r>
      <w:r>
        <w:rPr>
          <w:rFonts w:cs="Calibri"/>
          <w:color w:val="222222"/>
          <w:shd w:val="clear" w:color="auto" w:fill="FFFFFF"/>
        </w:rPr>
        <w:t>, 1581.</w:t>
      </w:r>
    </w:p>
    <w:p w14:paraId="282C0009" w14:textId="77777777" w:rsidR="0018664D" w:rsidRDefault="0018664D" w:rsidP="0018664D">
      <w:pPr>
        <w:ind w:left="720" w:right="804" w:hanging="720"/>
        <w:jc w:val="both"/>
      </w:pPr>
      <w:r>
        <w:rPr>
          <w:rFonts w:cs="Calibri"/>
          <w:color w:val="222222"/>
          <w:shd w:val="clear" w:color="auto" w:fill="FFFFFF"/>
        </w:rPr>
        <w:t xml:space="preserve">Longobardi, C., Fabris, M. A., </w:t>
      </w:r>
      <w:proofErr w:type="spellStart"/>
      <w:r>
        <w:rPr>
          <w:rFonts w:cs="Calibri"/>
          <w:color w:val="222222"/>
          <w:shd w:val="clear" w:color="auto" w:fill="FFFFFF"/>
        </w:rPr>
        <w:t>Prino</w:t>
      </w:r>
      <w:proofErr w:type="spellEnd"/>
      <w:r>
        <w:rPr>
          <w:rFonts w:cs="Calibri"/>
          <w:color w:val="222222"/>
          <w:shd w:val="clear" w:color="auto" w:fill="FFFFFF"/>
        </w:rPr>
        <w:t xml:space="preserve">, L. E., &amp; Settanni, M. (2021). Online sexual victimization among middle school students: Prevalence and association with online risk </w:t>
      </w:r>
      <w:proofErr w:type="spellStart"/>
      <w:r>
        <w:rPr>
          <w:rFonts w:cs="Calibri"/>
          <w:color w:val="222222"/>
          <w:shd w:val="clear" w:color="auto" w:fill="FFFFFF"/>
        </w:rPr>
        <w:t>behaviors</w:t>
      </w:r>
      <w:proofErr w:type="spellEnd"/>
      <w:r>
        <w:rPr>
          <w:rFonts w:cs="Calibri"/>
          <w:color w:val="222222"/>
          <w:shd w:val="clear" w:color="auto" w:fill="FFFFFF"/>
        </w:rPr>
        <w:t>. </w:t>
      </w:r>
      <w:r>
        <w:rPr>
          <w:rFonts w:cs="Calibri"/>
          <w:i/>
          <w:iCs/>
          <w:color w:val="222222"/>
          <w:shd w:val="clear" w:color="auto" w:fill="FFFFFF"/>
        </w:rPr>
        <w:t>International Journal of Developmental Science</w:t>
      </w:r>
      <w:r>
        <w:rPr>
          <w:rFonts w:cs="Calibri"/>
          <w:color w:val="222222"/>
          <w:shd w:val="clear" w:color="auto" w:fill="FFFFFF"/>
        </w:rPr>
        <w:t>, </w:t>
      </w:r>
      <w:r>
        <w:rPr>
          <w:rFonts w:cs="Calibri"/>
          <w:i/>
          <w:iCs/>
          <w:color w:val="222222"/>
          <w:shd w:val="clear" w:color="auto" w:fill="FFFFFF"/>
        </w:rPr>
        <w:t>15</w:t>
      </w:r>
      <w:r>
        <w:rPr>
          <w:rFonts w:cs="Calibri"/>
          <w:color w:val="222222"/>
          <w:shd w:val="clear" w:color="auto" w:fill="FFFFFF"/>
        </w:rPr>
        <w:t>(1-2), 39-46.</w:t>
      </w:r>
    </w:p>
    <w:p w14:paraId="3B0A1DAE" w14:textId="77777777" w:rsidR="0018664D" w:rsidRDefault="0018664D" w:rsidP="0018664D">
      <w:pPr>
        <w:ind w:left="720" w:right="804" w:hanging="720"/>
        <w:jc w:val="both"/>
      </w:pPr>
      <w:r>
        <w:rPr>
          <w:rFonts w:cs="Calibri"/>
          <w:color w:val="222222"/>
          <w:shd w:val="clear" w:color="auto" w:fill="FFFFFF"/>
        </w:rPr>
        <w:t xml:space="preserve">Lupton, D., &amp; Williamson, B. (2017). The </w:t>
      </w:r>
      <w:proofErr w:type="spellStart"/>
      <w:r>
        <w:rPr>
          <w:rFonts w:cs="Calibri"/>
          <w:color w:val="222222"/>
          <w:shd w:val="clear" w:color="auto" w:fill="FFFFFF"/>
        </w:rPr>
        <w:t>datafied</w:t>
      </w:r>
      <w:proofErr w:type="spellEnd"/>
      <w:r>
        <w:rPr>
          <w:rFonts w:cs="Calibri"/>
          <w:color w:val="222222"/>
          <w:shd w:val="clear" w:color="auto" w:fill="FFFFFF"/>
        </w:rPr>
        <w:t xml:space="preserve"> child: The dataveillance of children and implications for their rights. </w:t>
      </w:r>
      <w:r>
        <w:rPr>
          <w:rFonts w:cs="Calibri"/>
          <w:i/>
          <w:iCs/>
          <w:color w:val="222222"/>
          <w:shd w:val="clear" w:color="auto" w:fill="FFFFFF"/>
        </w:rPr>
        <w:t>New media &amp; society</w:t>
      </w:r>
      <w:r>
        <w:rPr>
          <w:rFonts w:cs="Calibri"/>
          <w:color w:val="222222"/>
          <w:shd w:val="clear" w:color="auto" w:fill="FFFFFF"/>
        </w:rPr>
        <w:t>, </w:t>
      </w:r>
      <w:r>
        <w:rPr>
          <w:rFonts w:cs="Calibri"/>
          <w:i/>
          <w:iCs/>
          <w:color w:val="222222"/>
          <w:shd w:val="clear" w:color="auto" w:fill="FFFFFF"/>
        </w:rPr>
        <w:t>19</w:t>
      </w:r>
      <w:r>
        <w:rPr>
          <w:rFonts w:cs="Calibri"/>
          <w:color w:val="222222"/>
          <w:shd w:val="clear" w:color="auto" w:fill="FFFFFF"/>
        </w:rPr>
        <w:t>(5), 780-794.</w:t>
      </w:r>
    </w:p>
    <w:p w14:paraId="0E216FD6" w14:textId="77777777" w:rsidR="0018664D" w:rsidRDefault="0018664D" w:rsidP="0018664D">
      <w:pPr>
        <w:ind w:left="720" w:right="804" w:hanging="720"/>
        <w:jc w:val="both"/>
      </w:pPr>
      <w:proofErr w:type="spellStart"/>
      <w:r>
        <w:rPr>
          <w:rFonts w:cs="Calibri"/>
          <w:color w:val="222222"/>
          <w:shd w:val="clear" w:color="auto" w:fill="FFFFFF"/>
        </w:rPr>
        <w:t>Majib</w:t>
      </w:r>
      <w:proofErr w:type="spellEnd"/>
      <w:r>
        <w:rPr>
          <w:rFonts w:cs="Calibri"/>
          <w:color w:val="222222"/>
          <w:shd w:val="clear" w:color="auto" w:fill="FFFFFF"/>
        </w:rPr>
        <w:t xml:space="preserve">, Y., &amp; Perera, C. (2020, June). Context aware family </w:t>
      </w:r>
      <w:proofErr w:type="gramStart"/>
      <w:r>
        <w:rPr>
          <w:rFonts w:cs="Calibri"/>
          <w:color w:val="222222"/>
          <w:shd w:val="clear" w:color="auto" w:fill="FFFFFF"/>
        </w:rPr>
        <w:t>dynamics based</w:t>
      </w:r>
      <w:proofErr w:type="gramEnd"/>
      <w:r>
        <w:rPr>
          <w:rFonts w:cs="Calibri"/>
          <w:color w:val="222222"/>
          <w:shd w:val="clear" w:color="auto" w:fill="FFFFFF"/>
        </w:rPr>
        <w:t xml:space="preserve"> Internet of Things access control towards better child safety. In </w:t>
      </w:r>
      <w:r>
        <w:rPr>
          <w:rFonts w:cs="Calibri"/>
          <w:i/>
          <w:iCs/>
          <w:color w:val="222222"/>
          <w:shd w:val="clear" w:color="auto" w:fill="FFFFFF"/>
        </w:rPr>
        <w:t>2020 IEEE 6th World Forum on Internet of Things (WF-IoT)</w:t>
      </w:r>
      <w:r>
        <w:rPr>
          <w:rFonts w:cs="Calibri"/>
          <w:color w:val="222222"/>
          <w:shd w:val="clear" w:color="auto" w:fill="FFFFFF"/>
        </w:rPr>
        <w:t> (pp. 1-6). IEEE.</w:t>
      </w:r>
    </w:p>
    <w:p w14:paraId="33CC0D21" w14:textId="77777777" w:rsidR="0018664D" w:rsidRDefault="0018664D" w:rsidP="0018664D">
      <w:pPr>
        <w:ind w:left="720" w:right="804" w:hanging="720"/>
        <w:jc w:val="both"/>
      </w:pPr>
      <w:r>
        <w:rPr>
          <w:rFonts w:cs="Calibri"/>
          <w:color w:val="222222"/>
          <w:shd w:val="clear" w:color="auto" w:fill="FFFFFF"/>
        </w:rPr>
        <w:t>Martinez-Cao, C., Gomez, L. E., Alcedo, M. Á., &amp; Monsalve, A. (2021). Systematic review of bullying and cyberbullying in young people with intellectual disability. </w:t>
      </w:r>
      <w:r>
        <w:rPr>
          <w:rFonts w:cs="Calibri"/>
          <w:i/>
          <w:iCs/>
          <w:color w:val="222222"/>
          <w:shd w:val="clear" w:color="auto" w:fill="FFFFFF"/>
        </w:rPr>
        <w:t>Education and Training in Autism and Developmental Disabilities</w:t>
      </w:r>
      <w:r>
        <w:rPr>
          <w:rFonts w:cs="Calibri"/>
          <w:color w:val="222222"/>
          <w:shd w:val="clear" w:color="auto" w:fill="FFFFFF"/>
        </w:rPr>
        <w:t>, </w:t>
      </w:r>
      <w:r>
        <w:rPr>
          <w:rFonts w:cs="Calibri"/>
          <w:i/>
          <w:iCs/>
          <w:color w:val="222222"/>
          <w:shd w:val="clear" w:color="auto" w:fill="FFFFFF"/>
        </w:rPr>
        <w:t>56</w:t>
      </w:r>
      <w:r>
        <w:rPr>
          <w:rFonts w:cs="Calibri"/>
          <w:color w:val="222222"/>
          <w:shd w:val="clear" w:color="auto" w:fill="FFFFFF"/>
        </w:rPr>
        <w:t>(1), 3-17.</w:t>
      </w:r>
    </w:p>
    <w:p w14:paraId="36208128" w14:textId="77777777" w:rsidR="0018664D" w:rsidRDefault="0018664D" w:rsidP="0018664D">
      <w:pPr>
        <w:ind w:left="720" w:right="804" w:hanging="720"/>
        <w:jc w:val="both"/>
      </w:pPr>
      <w:r>
        <w:rPr>
          <w:rFonts w:cs="Calibri"/>
          <w:color w:val="222222"/>
          <w:shd w:val="clear" w:color="auto" w:fill="FFFFFF"/>
        </w:rPr>
        <w:t>McFerran, K., Skinner, A., Hall, T., &amp; Thompson, G. (2022). Structure, agency and community: Using online music gatherings to support social inclusion for people with disabilities in Australia during the COVID-19 pandemic. </w:t>
      </w:r>
      <w:r>
        <w:rPr>
          <w:rFonts w:cs="Calibri"/>
          <w:i/>
          <w:iCs/>
          <w:color w:val="222222"/>
          <w:shd w:val="clear" w:color="auto" w:fill="FFFFFF"/>
        </w:rPr>
        <w:t>Nordic Journal of Music Therapy</w:t>
      </w:r>
      <w:r>
        <w:rPr>
          <w:rFonts w:cs="Calibri"/>
          <w:color w:val="222222"/>
          <w:shd w:val="clear" w:color="auto" w:fill="FFFFFF"/>
        </w:rPr>
        <w:t>, </w:t>
      </w:r>
      <w:r>
        <w:rPr>
          <w:rFonts w:cs="Calibri"/>
          <w:i/>
          <w:iCs/>
          <w:color w:val="222222"/>
          <w:shd w:val="clear" w:color="auto" w:fill="FFFFFF"/>
        </w:rPr>
        <w:t>31</w:t>
      </w:r>
      <w:r>
        <w:rPr>
          <w:rFonts w:cs="Calibri"/>
          <w:color w:val="222222"/>
          <w:shd w:val="clear" w:color="auto" w:fill="FFFFFF"/>
        </w:rPr>
        <w:t>(3), 259-272.</w:t>
      </w:r>
    </w:p>
    <w:p w14:paraId="1807B107" w14:textId="77777777" w:rsidR="0018664D" w:rsidRDefault="0018664D" w:rsidP="0018664D">
      <w:pPr>
        <w:ind w:left="720" w:right="804" w:hanging="720"/>
        <w:jc w:val="both"/>
      </w:pPr>
      <w:r>
        <w:rPr>
          <w:rFonts w:cs="Calibri"/>
        </w:rPr>
        <w:t xml:space="preserve">Megan </w:t>
      </w:r>
      <w:r>
        <w:rPr>
          <w:rFonts w:cs="Calibri"/>
          <w:color w:val="222222"/>
          <w:shd w:val="clear" w:color="auto" w:fill="FFFFFF"/>
        </w:rPr>
        <w:t>Mennes</w:t>
      </w:r>
      <w:r>
        <w:rPr>
          <w:rFonts w:cs="Calibri"/>
        </w:rPr>
        <w:t xml:space="preserve"> (2014). Retrieved June 4, 2022, from </w:t>
      </w:r>
      <w:hyperlink w:history="1">
        <w:r>
          <w:rPr>
            <w:rFonts w:cs="Calibri"/>
            <w:color w:val="0000FF"/>
            <w:u w:val="single"/>
          </w:rPr>
          <w:t>Proud mum hits back at internet troll who called her Down's... (mummypages.ie)</w:t>
        </w:r>
      </w:hyperlink>
      <w:r>
        <w:t xml:space="preserve">. </w:t>
      </w:r>
      <w:r>
        <w:rPr>
          <w:rFonts w:cs="Calibri"/>
        </w:rPr>
        <w:t xml:space="preserve"> </w:t>
      </w:r>
    </w:p>
    <w:p w14:paraId="7A1F16AE" w14:textId="77777777" w:rsidR="0018664D" w:rsidRDefault="0018664D" w:rsidP="0018664D">
      <w:pPr>
        <w:ind w:left="720" w:right="804" w:hanging="720"/>
        <w:jc w:val="both"/>
      </w:pPr>
      <w:proofErr w:type="spellStart"/>
      <w:r>
        <w:rPr>
          <w:rFonts w:cs="Calibri"/>
          <w:color w:val="222222"/>
          <w:shd w:val="clear" w:color="auto" w:fill="FFFFFF"/>
        </w:rPr>
        <w:lastRenderedPageBreak/>
        <w:t>Miškolci</w:t>
      </w:r>
      <w:proofErr w:type="spellEnd"/>
      <w:r>
        <w:rPr>
          <w:rFonts w:cs="Calibri"/>
          <w:color w:val="222222"/>
          <w:shd w:val="clear" w:color="auto" w:fill="FFFFFF"/>
        </w:rPr>
        <w:t xml:space="preserve">, J., Kováčová, L., &amp; </w:t>
      </w:r>
      <w:proofErr w:type="spellStart"/>
      <w:r>
        <w:rPr>
          <w:rFonts w:cs="Calibri"/>
          <w:color w:val="222222"/>
          <w:shd w:val="clear" w:color="auto" w:fill="FFFFFF"/>
        </w:rPr>
        <w:t>Rigová</w:t>
      </w:r>
      <w:proofErr w:type="spellEnd"/>
      <w:r>
        <w:rPr>
          <w:rFonts w:cs="Calibri"/>
          <w:color w:val="222222"/>
          <w:shd w:val="clear" w:color="auto" w:fill="FFFFFF"/>
        </w:rPr>
        <w:t>, E. (2020). Countering hate speech on Facebook: The case of the Roma minority in Slovakia. </w:t>
      </w:r>
      <w:r>
        <w:rPr>
          <w:rFonts w:cs="Calibri"/>
          <w:i/>
          <w:iCs/>
          <w:color w:val="222222"/>
          <w:shd w:val="clear" w:color="auto" w:fill="FFFFFF"/>
        </w:rPr>
        <w:t>Social Science Computer Review</w:t>
      </w:r>
      <w:r>
        <w:rPr>
          <w:rFonts w:cs="Calibri"/>
          <w:color w:val="222222"/>
          <w:shd w:val="clear" w:color="auto" w:fill="FFFFFF"/>
        </w:rPr>
        <w:t>, </w:t>
      </w:r>
      <w:r>
        <w:rPr>
          <w:rFonts w:cs="Calibri"/>
          <w:i/>
          <w:iCs/>
          <w:color w:val="222222"/>
          <w:shd w:val="clear" w:color="auto" w:fill="FFFFFF"/>
        </w:rPr>
        <w:t>38</w:t>
      </w:r>
      <w:r>
        <w:rPr>
          <w:rFonts w:cs="Calibri"/>
          <w:color w:val="222222"/>
          <w:shd w:val="clear" w:color="auto" w:fill="FFFFFF"/>
        </w:rPr>
        <w:t>(2), 128-146.</w:t>
      </w:r>
    </w:p>
    <w:p w14:paraId="15B619CF" w14:textId="77777777" w:rsidR="0018664D" w:rsidRDefault="0018664D" w:rsidP="0018664D">
      <w:pPr>
        <w:ind w:left="720" w:right="805" w:hanging="720"/>
        <w:jc w:val="both"/>
      </w:pPr>
      <w:r>
        <w:rPr>
          <w:rFonts w:cs="Calibri"/>
          <w:color w:val="222222"/>
          <w:shd w:val="clear" w:color="auto" w:fill="FFFFFF"/>
        </w:rPr>
        <w:t>Moher, D., Liberati, A., Tetzlaff, J., Altman, D. G., &amp; PRISMA Group*, T. (2009). Preferred reporting items for systematic reviews and meta-analyses: the PRISMA statement. </w:t>
      </w:r>
      <w:r>
        <w:rPr>
          <w:rFonts w:cs="Calibri"/>
          <w:i/>
          <w:iCs/>
          <w:color w:val="222222"/>
          <w:shd w:val="clear" w:color="auto" w:fill="FFFFFF"/>
        </w:rPr>
        <w:t>Annals of internal medicine</w:t>
      </w:r>
      <w:r>
        <w:rPr>
          <w:rFonts w:cs="Calibri"/>
          <w:color w:val="222222"/>
          <w:shd w:val="clear" w:color="auto" w:fill="FFFFFF"/>
        </w:rPr>
        <w:t>, </w:t>
      </w:r>
      <w:r>
        <w:rPr>
          <w:rFonts w:cs="Calibri"/>
          <w:i/>
          <w:iCs/>
          <w:color w:val="222222"/>
          <w:shd w:val="clear" w:color="auto" w:fill="FFFFFF"/>
        </w:rPr>
        <w:t>151</w:t>
      </w:r>
      <w:r>
        <w:rPr>
          <w:rFonts w:cs="Calibri"/>
          <w:color w:val="222222"/>
          <w:shd w:val="clear" w:color="auto" w:fill="FFFFFF"/>
        </w:rPr>
        <w:t>(4), 264-269.</w:t>
      </w:r>
    </w:p>
    <w:p w14:paraId="0608D2C6" w14:textId="77777777" w:rsidR="0018664D" w:rsidRDefault="0018664D" w:rsidP="0018664D">
      <w:pPr>
        <w:ind w:left="720" w:right="805" w:hanging="720"/>
        <w:jc w:val="both"/>
      </w:pPr>
      <w:r>
        <w:rPr>
          <w:rFonts w:cs="Calibri"/>
          <w:color w:val="222222"/>
          <w:shd w:val="clear" w:color="auto" w:fill="FFFFFF"/>
        </w:rPr>
        <w:t>Mount, D., Mazerolle, L., Zahnow, R., &amp; James, L. (2021). Triaging online child abuse material: testing a decision support tool to enhance law enforcement and investigative prioritisation. </w:t>
      </w:r>
      <w:r>
        <w:rPr>
          <w:rFonts w:cs="Calibri"/>
          <w:i/>
          <w:iCs/>
          <w:color w:val="222222"/>
          <w:shd w:val="clear" w:color="auto" w:fill="FFFFFF"/>
        </w:rPr>
        <w:t>Policing: An International Journal</w:t>
      </w:r>
      <w:r>
        <w:rPr>
          <w:rFonts w:cs="Calibri"/>
          <w:color w:val="222222"/>
          <w:shd w:val="clear" w:color="auto" w:fill="FFFFFF"/>
        </w:rPr>
        <w:t>, </w:t>
      </w:r>
      <w:r>
        <w:rPr>
          <w:rFonts w:cs="Calibri"/>
          <w:i/>
          <w:iCs/>
          <w:color w:val="222222"/>
          <w:shd w:val="clear" w:color="auto" w:fill="FFFFFF"/>
        </w:rPr>
        <w:t>44</w:t>
      </w:r>
      <w:r>
        <w:rPr>
          <w:rFonts w:cs="Calibri"/>
          <w:color w:val="222222"/>
          <w:shd w:val="clear" w:color="auto" w:fill="FFFFFF"/>
        </w:rPr>
        <w:t>(4), 628-642.</w:t>
      </w:r>
    </w:p>
    <w:p w14:paraId="1B8AAEBA" w14:textId="77777777" w:rsidR="0018664D" w:rsidRDefault="0018664D" w:rsidP="0018664D">
      <w:pPr>
        <w:ind w:left="720" w:right="804" w:hanging="720"/>
        <w:jc w:val="both"/>
      </w:pPr>
      <w:r>
        <w:rPr>
          <w:rFonts w:cs="Calibri"/>
          <w:color w:val="222222"/>
          <w:shd w:val="clear" w:color="auto" w:fill="FFFFFF"/>
        </w:rPr>
        <w:t>Nayak, S. G., &amp; Pai, M. S. (2022). Smartphone de‐addiction among children and adolescents: An hour of need. </w:t>
      </w:r>
      <w:r>
        <w:rPr>
          <w:rFonts w:cs="Calibri"/>
          <w:i/>
          <w:iCs/>
          <w:color w:val="222222"/>
          <w:shd w:val="clear" w:color="auto" w:fill="FFFFFF"/>
        </w:rPr>
        <w:t>Journal of Child and Adolescent Psychiatric Nursing</w:t>
      </w:r>
      <w:r>
        <w:rPr>
          <w:rFonts w:cs="Calibri"/>
          <w:color w:val="222222"/>
          <w:shd w:val="clear" w:color="auto" w:fill="FFFFFF"/>
        </w:rPr>
        <w:t>, </w:t>
      </w:r>
      <w:r>
        <w:rPr>
          <w:rFonts w:cs="Calibri"/>
          <w:i/>
          <w:iCs/>
          <w:color w:val="222222"/>
          <w:shd w:val="clear" w:color="auto" w:fill="FFFFFF"/>
        </w:rPr>
        <w:t>35</w:t>
      </w:r>
      <w:r>
        <w:rPr>
          <w:rFonts w:cs="Calibri"/>
          <w:color w:val="222222"/>
          <w:shd w:val="clear" w:color="auto" w:fill="FFFFFF"/>
        </w:rPr>
        <w:t>(2), 196-198.</w:t>
      </w:r>
    </w:p>
    <w:p w14:paraId="325DE346" w14:textId="77777777" w:rsidR="0018664D" w:rsidRDefault="0018664D" w:rsidP="0018664D">
      <w:pPr>
        <w:ind w:left="720" w:right="804" w:hanging="720"/>
        <w:jc w:val="both"/>
      </w:pPr>
      <w:r>
        <w:rPr>
          <w:rFonts w:cs="Calibri"/>
          <w:color w:val="222222"/>
          <w:shd w:val="clear" w:color="auto" w:fill="FFFFFF"/>
        </w:rPr>
        <w:t>Olson, C. (2021). </w:t>
      </w:r>
      <w:r>
        <w:rPr>
          <w:rFonts w:cs="Calibri"/>
          <w:i/>
          <w:iCs/>
          <w:color w:val="222222"/>
          <w:shd w:val="clear" w:color="auto" w:fill="FFFFFF"/>
        </w:rPr>
        <w:t>Exploring the Online Information Seeking and Cyberstalking Victimization Experiences of Youth</w:t>
      </w:r>
      <w:r>
        <w:rPr>
          <w:rFonts w:cs="Calibri"/>
          <w:color w:val="222222"/>
          <w:shd w:val="clear" w:color="auto" w:fill="FFFFFF"/>
        </w:rPr>
        <w:t>. The University of Wisconsin-Madison.</w:t>
      </w:r>
    </w:p>
    <w:p w14:paraId="56E4B5C4" w14:textId="77777777" w:rsidR="0018664D" w:rsidRDefault="0018664D" w:rsidP="0018664D">
      <w:pPr>
        <w:ind w:left="720" w:right="804" w:hanging="720"/>
        <w:jc w:val="both"/>
      </w:pPr>
      <w:r>
        <w:rPr>
          <w:rFonts w:cs="Calibri"/>
          <w:color w:val="222222"/>
          <w:shd w:val="clear" w:color="auto" w:fill="FFFFFF"/>
        </w:rPr>
        <w:t>Ozturk, F. O., &amp; Ayaz-</w:t>
      </w:r>
      <w:proofErr w:type="spellStart"/>
      <w:r>
        <w:rPr>
          <w:rFonts w:cs="Calibri"/>
          <w:color w:val="222222"/>
          <w:shd w:val="clear" w:color="auto" w:fill="FFFFFF"/>
        </w:rPr>
        <w:t>Alkaya</w:t>
      </w:r>
      <w:proofErr w:type="spellEnd"/>
      <w:r>
        <w:rPr>
          <w:rFonts w:cs="Calibri"/>
          <w:color w:val="222222"/>
          <w:shd w:val="clear" w:color="auto" w:fill="FFFFFF"/>
        </w:rPr>
        <w:t>, S. (2021). Internet addiction and psychosocial problems among adolescents during the COVID-19 pandemic: A cross-sectional study. </w:t>
      </w:r>
      <w:r>
        <w:rPr>
          <w:rFonts w:cs="Calibri"/>
          <w:i/>
          <w:iCs/>
          <w:color w:val="222222"/>
          <w:shd w:val="clear" w:color="auto" w:fill="FFFFFF"/>
        </w:rPr>
        <w:t>Archives of psychiatric nursing</w:t>
      </w:r>
      <w:r>
        <w:rPr>
          <w:rFonts w:cs="Calibri"/>
          <w:color w:val="222222"/>
          <w:shd w:val="clear" w:color="auto" w:fill="FFFFFF"/>
        </w:rPr>
        <w:t>, </w:t>
      </w:r>
      <w:r>
        <w:rPr>
          <w:rFonts w:cs="Calibri"/>
          <w:i/>
          <w:iCs/>
          <w:color w:val="222222"/>
          <w:shd w:val="clear" w:color="auto" w:fill="FFFFFF"/>
        </w:rPr>
        <w:t>35</w:t>
      </w:r>
      <w:r>
        <w:rPr>
          <w:rFonts w:cs="Calibri"/>
          <w:color w:val="222222"/>
          <w:shd w:val="clear" w:color="auto" w:fill="FFFFFF"/>
        </w:rPr>
        <w:t>(6), 595-601.</w:t>
      </w:r>
    </w:p>
    <w:p w14:paraId="1F1E0908" w14:textId="77777777" w:rsidR="0018664D" w:rsidRDefault="0018664D" w:rsidP="0018664D">
      <w:pPr>
        <w:ind w:left="720" w:right="804" w:hanging="720"/>
        <w:jc w:val="both"/>
      </w:pPr>
      <w:r>
        <w:rPr>
          <w:rFonts w:cs="Calibri"/>
          <w:color w:val="222222"/>
          <w:shd w:val="clear" w:color="auto" w:fill="FFFFFF"/>
        </w:rPr>
        <w:t>Pang, H. (2022). Connecting mobile social media with psychosocial well-being: Understanding relationship between WeChat involvement, network characteristics, online capital and life satisfaction. </w:t>
      </w:r>
      <w:r>
        <w:rPr>
          <w:rFonts w:cs="Calibri"/>
          <w:i/>
          <w:iCs/>
          <w:color w:val="222222"/>
          <w:shd w:val="clear" w:color="auto" w:fill="FFFFFF"/>
        </w:rPr>
        <w:t>Social Networks</w:t>
      </w:r>
      <w:r>
        <w:rPr>
          <w:rFonts w:cs="Calibri"/>
          <w:color w:val="222222"/>
          <w:shd w:val="clear" w:color="auto" w:fill="FFFFFF"/>
        </w:rPr>
        <w:t>, </w:t>
      </w:r>
      <w:r>
        <w:rPr>
          <w:rFonts w:cs="Calibri"/>
          <w:i/>
          <w:iCs/>
          <w:color w:val="222222"/>
          <w:shd w:val="clear" w:color="auto" w:fill="FFFFFF"/>
        </w:rPr>
        <w:t>68</w:t>
      </w:r>
      <w:r>
        <w:rPr>
          <w:rFonts w:cs="Calibri"/>
          <w:color w:val="222222"/>
          <w:shd w:val="clear" w:color="auto" w:fill="FFFFFF"/>
        </w:rPr>
        <w:t>, 256-263.</w:t>
      </w:r>
    </w:p>
    <w:p w14:paraId="5E4D2FCD" w14:textId="77777777" w:rsidR="0018664D" w:rsidRDefault="0018664D" w:rsidP="0018664D">
      <w:pPr>
        <w:ind w:left="720" w:right="804" w:hanging="720"/>
        <w:jc w:val="both"/>
      </w:pPr>
      <w:r>
        <w:rPr>
          <w:rFonts w:cs="Calibri"/>
          <w:color w:val="222222"/>
          <w:shd w:val="clear" w:color="auto" w:fill="FFFFFF"/>
        </w:rPr>
        <w:lastRenderedPageBreak/>
        <w:t>Park, E. Y. (2022). Effect of COVID-19 on Internet Usage of People with Disabilities: A Secondary Data Analysis. </w:t>
      </w:r>
      <w:r>
        <w:rPr>
          <w:rFonts w:cs="Calibri"/>
          <w:i/>
          <w:iCs/>
          <w:color w:val="222222"/>
          <w:shd w:val="clear" w:color="auto" w:fill="FFFFFF"/>
        </w:rPr>
        <w:t>International Journal of Environmental Research and Public Health</w:t>
      </w:r>
      <w:r>
        <w:rPr>
          <w:rFonts w:cs="Calibri"/>
          <w:color w:val="222222"/>
          <w:shd w:val="clear" w:color="auto" w:fill="FFFFFF"/>
        </w:rPr>
        <w:t>, </w:t>
      </w:r>
      <w:r>
        <w:rPr>
          <w:rFonts w:cs="Calibri"/>
          <w:i/>
          <w:iCs/>
          <w:color w:val="222222"/>
          <w:shd w:val="clear" w:color="auto" w:fill="FFFFFF"/>
        </w:rPr>
        <w:t>19</w:t>
      </w:r>
      <w:r>
        <w:rPr>
          <w:rFonts w:cs="Calibri"/>
          <w:color w:val="222222"/>
          <w:shd w:val="clear" w:color="auto" w:fill="FFFFFF"/>
        </w:rPr>
        <w:t>(13), 7813.</w:t>
      </w:r>
    </w:p>
    <w:p w14:paraId="522FB8A4" w14:textId="77777777" w:rsidR="0018664D" w:rsidRDefault="0018664D" w:rsidP="0018664D">
      <w:pPr>
        <w:ind w:left="720" w:right="804" w:hanging="720"/>
        <w:jc w:val="both"/>
      </w:pPr>
      <w:r>
        <w:rPr>
          <w:rFonts w:cs="Calibri"/>
          <w:color w:val="222222"/>
          <w:shd w:val="clear" w:color="auto" w:fill="FFFFFF"/>
        </w:rPr>
        <w:t>Park, S. (2018). FOMO, ephemerality, and online social interactions among young people. </w:t>
      </w:r>
      <w:r>
        <w:rPr>
          <w:rFonts w:cs="Calibri"/>
          <w:i/>
          <w:iCs/>
          <w:color w:val="222222"/>
          <w:shd w:val="clear" w:color="auto" w:fill="FFFFFF"/>
        </w:rPr>
        <w:t>East Asian Science, Technology and Society: An International Journal</w:t>
      </w:r>
      <w:r>
        <w:rPr>
          <w:rFonts w:cs="Calibri"/>
          <w:color w:val="222222"/>
          <w:shd w:val="clear" w:color="auto" w:fill="FFFFFF"/>
        </w:rPr>
        <w:t>, </w:t>
      </w:r>
      <w:r>
        <w:rPr>
          <w:rFonts w:cs="Calibri"/>
          <w:i/>
          <w:iCs/>
          <w:color w:val="222222"/>
          <w:shd w:val="clear" w:color="auto" w:fill="FFFFFF"/>
        </w:rPr>
        <w:t>12</w:t>
      </w:r>
      <w:r>
        <w:rPr>
          <w:rFonts w:cs="Calibri"/>
          <w:color w:val="222222"/>
          <w:shd w:val="clear" w:color="auto" w:fill="FFFFFF"/>
        </w:rPr>
        <w:t>(4), 439-458.</w:t>
      </w:r>
    </w:p>
    <w:p w14:paraId="0BCB5E5F" w14:textId="77777777" w:rsidR="0018664D" w:rsidRDefault="0018664D" w:rsidP="0018664D">
      <w:pPr>
        <w:ind w:left="720" w:right="804" w:hanging="720"/>
        <w:jc w:val="both"/>
      </w:pPr>
      <w:r>
        <w:rPr>
          <w:rFonts w:cs="Calibri"/>
          <w:color w:val="222222"/>
          <w:shd w:val="clear" w:color="auto" w:fill="FFFFFF"/>
        </w:rPr>
        <w:t xml:space="preserve">Piguet, C., Barrense-Dias, Y., </w:t>
      </w:r>
      <w:proofErr w:type="spellStart"/>
      <w:r>
        <w:rPr>
          <w:rFonts w:cs="Calibri"/>
          <w:color w:val="222222"/>
          <w:shd w:val="clear" w:color="auto" w:fill="FFFFFF"/>
        </w:rPr>
        <w:t>Ramelet</w:t>
      </w:r>
      <w:proofErr w:type="spellEnd"/>
      <w:r>
        <w:rPr>
          <w:rFonts w:cs="Calibri"/>
          <w:color w:val="222222"/>
          <w:shd w:val="clear" w:color="auto" w:fill="FFFFFF"/>
        </w:rPr>
        <w:t>, A. S., &amp; Suris, J. C. (2017). Monitoring screen use: A qualitative exploration of family strategies in Swiss homes. </w:t>
      </w:r>
      <w:r>
        <w:rPr>
          <w:rFonts w:cs="Calibri"/>
          <w:i/>
          <w:iCs/>
          <w:color w:val="222222"/>
          <w:shd w:val="clear" w:color="auto" w:fill="FFFFFF"/>
        </w:rPr>
        <w:t>International journal of adolescent medicine and health</w:t>
      </w:r>
      <w:r>
        <w:rPr>
          <w:rFonts w:cs="Calibri"/>
          <w:color w:val="222222"/>
          <w:shd w:val="clear" w:color="auto" w:fill="FFFFFF"/>
        </w:rPr>
        <w:t>, </w:t>
      </w:r>
      <w:r>
        <w:rPr>
          <w:rFonts w:cs="Calibri"/>
          <w:i/>
          <w:iCs/>
          <w:color w:val="222222"/>
          <w:shd w:val="clear" w:color="auto" w:fill="FFFFFF"/>
        </w:rPr>
        <w:t>31</w:t>
      </w:r>
      <w:r>
        <w:rPr>
          <w:rFonts w:cs="Calibri"/>
          <w:color w:val="222222"/>
          <w:shd w:val="clear" w:color="auto" w:fill="FFFFFF"/>
        </w:rPr>
        <w:t>(1), 20160146.</w:t>
      </w:r>
    </w:p>
    <w:p w14:paraId="13F0207B" w14:textId="77777777" w:rsidR="0018664D" w:rsidRDefault="0018664D" w:rsidP="0018664D">
      <w:pPr>
        <w:ind w:left="720" w:right="805" w:hanging="720"/>
        <w:jc w:val="both"/>
      </w:pPr>
      <w:r>
        <w:rPr>
          <w:rFonts w:cs="Calibri"/>
          <w:shd w:val="clear" w:color="auto" w:fill="FFFFFF"/>
        </w:rPr>
        <w:t>Powell, A., Scott, A. J., Flynn, A., &amp; McCook, S. (2022). Perpetration of image-based sexual abuse: Extent, nature and correlates in a multi-country sample. </w:t>
      </w:r>
      <w:r>
        <w:rPr>
          <w:rFonts w:cs="Calibri"/>
          <w:i/>
          <w:iCs/>
          <w:shd w:val="clear" w:color="auto" w:fill="FFFFFF"/>
        </w:rPr>
        <w:t>Journal of interpersonal violence</w:t>
      </w:r>
      <w:r>
        <w:rPr>
          <w:rFonts w:cs="Calibri"/>
          <w:shd w:val="clear" w:color="auto" w:fill="FFFFFF"/>
        </w:rPr>
        <w:t>, </w:t>
      </w:r>
      <w:r>
        <w:rPr>
          <w:rFonts w:cs="Calibri"/>
          <w:i/>
          <w:iCs/>
          <w:shd w:val="clear" w:color="auto" w:fill="FFFFFF"/>
        </w:rPr>
        <w:t>37</w:t>
      </w:r>
      <w:r>
        <w:rPr>
          <w:rFonts w:cs="Calibri"/>
          <w:shd w:val="clear" w:color="auto" w:fill="FFFFFF"/>
        </w:rPr>
        <w:t>(23-24), NP22864-NP22889.</w:t>
      </w:r>
    </w:p>
    <w:p w14:paraId="7E1ACA79" w14:textId="77777777" w:rsidR="0018664D" w:rsidRDefault="0018664D" w:rsidP="0018664D">
      <w:pPr>
        <w:ind w:left="720" w:right="805" w:hanging="720"/>
        <w:jc w:val="both"/>
      </w:pPr>
      <w:r>
        <w:rPr>
          <w:rFonts w:cs="Calibri"/>
          <w:color w:val="222222"/>
          <w:shd w:val="clear" w:color="auto" w:fill="FFFFFF"/>
        </w:rPr>
        <w:t xml:space="preserve">Samson, F., </w:t>
      </w:r>
      <w:proofErr w:type="spellStart"/>
      <w:r>
        <w:rPr>
          <w:rFonts w:cs="Calibri"/>
          <w:color w:val="222222"/>
          <w:shd w:val="clear" w:color="auto" w:fill="FFFFFF"/>
        </w:rPr>
        <w:t>Tafuto</w:t>
      </w:r>
      <w:proofErr w:type="spellEnd"/>
      <w:r>
        <w:rPr>
          <w:rFonts w:cs="Calibri"/>
          <w:color w:val="222222"/>
          <w:shd w:val="clear" w:color="auto" w:fill="FFFFFF"/>
        </w:rPr>
        <w:t>, B., Jose, N., &amp; Kim, L. P. K. (2021). Technology-based CBT in Reducing Symptoms of OCD in Children: A Systematic Review. </w:t>
      </w:r>
      <w:r>
        <w:rPr>
          <w:rFonts w:cs="Calibri"/>
          <w:i/>
          <w:iCs/>
          <w:color w:val="222222"/>
          <w:shd w:val="clear" w:color="auto" w:fill="FFFFFF"/>
        </w:rPr>
        <w:t xml:space="preserve">J Pub Health Issue </w:t>
      </w:r>
      <w:proofErr w:type="spellStart"/>
      <w:r>
        <w:rPr>
          <w:rFonts w:cs="Calibri"/>
          <w:i/>
          <w:iCs/>
          <w:color w:val="222222"/>
          <w:shd w:val="clear" w:color="auto" w:fill="FFFFFF"/>
        </w:rPr>
        <w:t>Pract</w:t>
      </w:r>
      <w:proofErr w:type="spellEnd"/>
      <w:r>
        <w:rPr>
          <w:rFonts w:cs="Calibri"/>
          <w:color w:val="222222"/>
          <w:shd w:val="clear" w:color="auto" w:fill="FFFFFF"/>
        </w:rPr>
        <w:t>, </w:t>
      </w:r>
      <w:r>
        <w:rPr>
          <w:rFonts w:cs="Calibri"/>
          <w:i/>
          <w:iCs/>
          <w:color w:val="222222"/>
          <w:shd w:val="clear" w:color="auto" w:fill="FFFFFF"/>
        </w:rPr>
        <w:t>5</w:t>
      </w:r>
      <w:r>
        <w:rPr>
          <w:rFonts w:cs="Calibri"/>
          <w:color w:val="222222"/>
          <w:shd w:val="clear" w:color="auto" w:fill="FFFFFF"/>
        </w:rPr>
        <w:t>(1), 177.</w:t>
      </w:r>
    </w:p>
    <w:p w14:paraId="64D68236" w14:textId="77777777" w:rsidR="0018664D" w:rsidRDefault="0018664D" w:rsidP="0018664D">
      <w:pPr>
        <w:ind w:left="720" w:right="805" w:hanging="720"/>
        <w:jc w:val="both"/>
      </w:pPr>
      <w:r>
        <w:rPr>
          <w:rFonts w:cs="Calibri"/>
          <w:color w:val="222222"/>
          <w:shd w:val="clear" w:color="auto" w:fill="FFFFFF"/>
        </w:rPr>
        <w:t>Sandberg, H., Sjöberg, U., &amp; Sundin, E. (2021). Toddlers’ digital media practices and everyday parental struggles: interactions and meaning-making as digital media are domesticated. </w:t>
      </w:r>
      <w:proofErr w:type="spellStart"/>
      <w:r>
        <w:rPr>
          <w:rFonts w:cs="Calibri"/>
          <w:i/>
          <w:iCs/>
          <w:color w:val="222222"/>
          <w:shd w:val="clear" w:color="auto" w:fill="FFFFFF"/>
        </w:rPr>
        <w:t>Nordicom</w:t>
      </w:r>
      <w:proofErr w:type="spellEnd"/>
      <w:r>
        <w:rPr>
          <w:rFonts w:cs="Calibri"/>
          <w:i/>
          <w:iCs/>
          <w:color w:val="222222"/>
          <w:shd w:val="clear" w:color="auto" w:fill="FFFFFF"/>
        </w:rPr>
        <w:t xml:space="preserve"> Review</w:t>
      </w:r>
      <w:r>
        <w:rPr>
          <w:rFonts w:cs="Calibri"/>
          <w:color w:val="222222"/>
          <w:shd w:val="clear" w:color="auto" w:fill="FFFFFF"/>
        </w:rPr>
        <w:t>, </w:t>
      </w:r>
      <w:r>
        <w:rPr>
          <w:rFonts w:cs="Calibri"/>
          <w:i/>
          <w:iCs/>
          <w:color w:val="222222"/>
          <w:shd w:val="clear" w:color="auto" w:fill="FFFFFF"/>
        </w:rPr>
        <w:t>42</w:t>
      </w:r>
      <w:r>
        <w:rPr>
          <w:rFonts w:cs="Calibri"/>
          <w:color w:val="222222"/>
          <w:shd w:val="clear" w:color="auto" w:fill="FFFFFF"/>
        </w:rPr>
        <w:t>(s4), 59-78.</w:t>
      </w:r>
    </w:p>
    <w:p w14:paraId="144E2E02" w14:textId="77777777" w:rsidR="0018664D" w:rsidRDefault="0018664D" w:rsidP="0018664D">
      <w:pPr>
        <w:ind w:left="720" w:right="805" w:hanging="720"/>
        <w:jc w:val="both"/>
      </w:pPr>
      <w:r>
        <w:rPr>
          <w:rFonts w:cs="Calibri"/>
          <w:color w:val="222222"/>
          <w:shd w:val="clear" w:color="auto" w:fill="FFFFFF"/>
        </w:rPr>
        <w:t xml:space="preserve">Santos, W. M. D., </w:t>
      </w:r>
      <w:proofErr w:type="spellStart"/>
      <w:r>
        <w:rPr>
          <w:rFonts w:cs="Calibri"/>
          <w:color w:val="222222"/>
          <w:shd w:val="clear" w:color="auto" w:fill="FFFFFF"/>
        </w:rPr>
        <w:t>Secoli</w:t>
      </w:r>
      <w:proofErr w:type="spellEnd"/>
      <w:r>
        <w:rPr>
          <w:rFonts w:cs="Calibri"/>
          <w:color w:val="222222"/>
          <w:shd w:val="clear" w:color="auto" w:fill="FFFFFF"/>
        </w:rPr>
        <w:t xml:space="preserve">, S. R., &amp; </w:t>
      </w:r>
      <w:proofErr w:type="spellStart"/>
      <w:r>
        <w:rPr>
          <w:rFonts w:cs="Calibri"/>
          <w:color w:val="222222"/>
          <w:shd w:val="clear" w:color="auto" w:fill="FFFFFF"/>
        </w:rPr>
        <w:t>Püschel</w:t>
      </w:r>
      <w:proofErr w:type="spellEnd"/>
      <w:r>
        <w:rPr>
          <w:rFonts w:cs="Calibri"/>
          <w:color w:val="222222"/>
          <w:shd w:val="clear" w:color="auto" w:fill="FFFFFF"/>
        </w:rPr>
        <w:t>, V. A. D. A. (2018). The Joanna Briggs Institute approach for systematic reviews. </w:t>
      </w:r>
      <w:proofErr w:type="spellStart"/>
      <w:r>
        <w:rPr>
          <w:rFonts w:cs="Calibri"/>
          <w:i/>
          <w:iCs/>
          <w:color w:val="222222"/>
          <w:shd w:val="clear" w:color="auto" w:fill="FFFFFF"/>
        </w:rPr>
        <w:t>Revista</w:t>
      </w:r>
      <w:proofErr w:type="spellEnd"/>
      <w:r>
        <w:rPr>
          <w:rFonts w:cs="Calibri"/>
          <w:i/>
          <w:iCs/>
          <w:color w:val="222222"/>
          <w:shd w:val="clear" w:color="auto" w:fill="FFFFFF"/>
        </w:rPr>
        <w:t xml:space="preserve"> </w:t>
      </w:r>
      <w:proofErr w:type="spellStart"/>
      <w:r>
        <w:rPr>
          <w:rFonts w:cs="Calibri"/>
          <w:i/>
          <w:iCs/>
          <w:color w:val="222222"/>
          <w:shd w:val="clear" w:color="auto" w:fill="FFFFFF"/>
        </w:rPr>
        <w:t>latino</w:t>
      </w:r>
      <w:proofErr w:type="spellEnd"/>
      <w:r>
        <w:rPr>
          <w:rFonts w:cs="Calibri"/>
          <w:i/>
          <w:iCs/>
          <w:color w:val="222222"/>
          <w:shd w:val="clear" w:color="auto" w:fill="FFFFFF"/>
        </w:rPr>
        <w:t xml:space="preserve">-americana de </w:t>
      </w:r>
      <w:proofErr w:type="spellStart"/>
      <w:r>
        <w:rPr>
          <w:rFonts w:cs="Calibri"/>
          <w:i/>
          <w:iCs/>
          <w:color w:val="222222"/>
          <w:shd w:val="clear" w:color="auto" w:fill="FFFFFF"/>
        </w:rPr>
        <w:t>enfermagem</w:t>
      </w:r>
      <w:proofErr w:type="spellEnd"/>
      <w:r>
        <w:rPr>
          <w:rFonts w:cs="Calibri"/>
          <w:color w:val="222222"/>
          <w:shd w:val="clear" w:color="auto" w:fill="FFFFFF"/>
        </w:rPr>
        <w:t>, </w:t>
      </w:r>
      <w:r>
        <w:rPr>
          <w:rFonts w:cs="Calibri"/>
          <w:i/>
          <w:iCs/>
          <w:color w:val="222222"/>
          <w:shd w:val="clear" w:color="auto" w:fill="FFFFFF"/>
        </w:rPr>
        <w:t>26</w:t>
      </w:r>
      <w:r>
        <w:rPr>
          <w:rFonts w:cs="Calibri"/>
          <w:color w:val="222222"/>
          <w:shd w:val="clear" w:color="auto" w:fill="FFFFFF"/>
        </w:rPr>
        <w:t>, e3074.</w:t>
      </w:r>
    </w:p>
    <w:p w14:paraId="1647B4C8" w14:textId="77777777" w:rsidR="0018664D" w:rsidRDefault="0018664D" w:rsidP="0018664D">
      <w:pPr>
        <w:ind w:left="720" w:right="804" w:hanging="720"/>
        <w:jc w:val="both"/>
      </w:pPr>
      <w:r>
        <w:rPr>
          <w:rFonts w:cs="Calibri"/>
          <w:shd w:val="clear" w:color="auto" w:fill="FFFFFF"/>
        </w:rPr>
        <w:t xml:space="preserve">Sharif, A., McCall, A. L., &amp; Bolante, K. R. (2022, October). Should </w:t>
      </w:r>
      <w:proofErr w:type="spellStart"/>
      <w:r>
        <w:rPr>
          <w:rFonts w:cs="Calibri"/>
          <w:shd w:val="clear" w:color="auto" w:fill="FFFFFF"/>
        </w:rPr>
        <w:t>i</w:t>
      </w:r>
      <w:proofErr w:type="spellEnd"/>
      <w:r>
        <w:rPr>
          <w:rFonts w:cs="Calibri"/>
          <w:shd w:val="clear" w:color="auto" w:fill="FFFFFF"/>
        </w:rPr>
        <w:t xml:space="preserve"> say “disabled people” or “people with disabilities”? Language preferences of </w:t>
      </w:r>
      <w:r>
        <w:rPr>
          <w:rFonts w:cs="Calibri"/>
          <w:shd w:val="clear" w:color="auto" w:fill="FFFFFF"/>
        </w:rPr>
        <w:lastRenderedPageBreak/>
        <w:t>disabled people between identity-and person-first language. In </w:t>
      </w:r>
      <w:r>
        <w:rPr>
          <w:rFonts w:cs="Calibri"/>
          <w:i/>
          <w:iCs/>
          <w:shd w:val="clear" w:color="auto" w:fill="FFFFFF"/>
        </w:rPr>
        <w:t>Proceedings of the 24th International ACM SIGACCESS Conference on Computers and Accessibility</w:t>
      </w:r>
      <w:r>
        <w:rPr>
          <w:rFonts w:cs="Calibri"/>
          <w:shd w:val="clear" w:color="auto" w:fill="FFFFFF"/>
        </w:rPr>
        <w:t> (pp. 1-18).</w:t>
      </w:r>
    </w:p>
    <w:p w14:paraId="57EF1D05" w14:textId="77777777" w:rsidR="0018664D" w:rsidRDefault="0018664D" w:rsidP="0018664D">
      <w:pPr>
        <w:ind w:left="720" w:right="804" w:hanging="720"/>
        <w:jc w:val="both"/>
      </w:pPr>
      <w:r>
        <w:rPr>
          <w:rFonts w:cs="Calibri"/>
          <w:color w:val="222222"/>
          <w:shd w:val="clear" w:color="auto" w:fill="FFFFFF"/>
        </w:rPr>
        <w:t>Singh, S., &amp; Balhara, Y. P. S. (2021). "Screen-time" for children and adolescents in COVID-19 times: Need to have the contextually informed perspective. </w:t>
      </w:r>
      <w:r>
        <w:rPr>
          <w:rFonts w:cs="Calibri"/>
          <w:i/>
          <w:iCs/>
          <w:color w:val="222222"/>
          <w:shd w:val="clear" w:color="auto" w:fill="FFFFFF"/>
        </w:rPr>
        <w:t>Indian Journal of Psychiatry</w:t>
      </w:r>
      <w:r>
        <w:rPr>
          <w:rFonts w:cs="Calibri"/>
          <w:color w:val="222222"/>
          <w:shd w:val="clear" w:color="auto" w:fill="FFFFFF"/>
        </w:rPr>
        <w:t>, </w:t>
      </w:r>
      <w:r>
        <w:rPr>
          <w:rFonts w:cs="Calibri"/>
          <w:i/>
          <w:iCs/>
          <w:color w:val="222222"/>
          <w:shd w:val="clear" w:color="auto" w:fill="FFFFFF"/>
        </w:rPr>
        <w:t>63</w:t>
      </w:r>
      <w:r>
        <w:rPr>
          <w:rFonts w:cs="Calibri"/>
          <w:color w:val="222222"/>
          <w:shd w:val="clear" w:color="auto" w:fill="FFFFFF"/>
        </w:rPr>
        <w:t>(2), 192.</w:t>
      </w:r>
    </w:p>
    <w:p w14:paraId="0B3923C8" w14:textId="77777777" w:rsidR="0018664D" w:rsidRDefault="0018664D" w:rsidP="0018664D">
      <w:pPr>
        <w:ind w:left="720" w:right="804" w:hanging="720"/>
        <w:jc w:val="both"/>
      </w:pPr>
      <w:r>
        <w:rPr>
          <w:rFonts w:cs="Calibri"/>
          <w:color w:val="222222"/>
          <w:shd w:val="clear" w:color="auto" w:fill="FFFFFF"/>
        </w:rPr>
        <w:t xml:space="preserve">Sripada, N. K., </w:t>
      </w:r>
      <w:proofErr w:type="spellStart"/>
      <w:r>
        <w:rPr>
          <w:rFonts w:cs="Calibri"/>
          <w:color w:val="222222"/>
          <w:shd w:val="clear" w:color="auto" w:fill="FFFFFF"/>
        </w:rPr>
        <w:t>Sirikonda</w:t>
      </w:r>
      <w:proofErr w:type="spellEnd"/>
      <w:r>
        <w:rPr>
          <w:rFonts w:cs="Calibri"/>
          <w:color w:val="222222"/>
          <w:shd w:val="clear" w:color="auto" w:fill="FFFFFF"/>
        </w:rPr>
        <w:t xml:space="preserve">, S., Areefa, A., Leena, G., &amp; </w:t>
      </w:r>
      <w:proofErr w:type="spellStart"/>
      <w:r>
        <w:rPr>
          <w:rFonts w:cs="Calibri"/>
          <w:color w:val="222222"/>
          <w:shd w:val="clear" w:color="auto" w:fill="FFFFFF"/>
        </w:rPr>
        <w:t>Sriabhinay</w:t>
      </w:r>
      <w:proofErr w:type="spellEnd"/>
      <w:r>
        <w:rPr>
          <w:rFonts w:cs="Calibri"/>
          <w:color w:val="222222"/>
          <w:shd w:val="clear" w:color="auto" w:fill="FFFFFF"/>
        </w:rPr>
        <w:t>, K. (2022, May). Web-application for detecting cyber bullying using machine learning approach. In </w:t>
      </w:r>
      <w:r>
        <w:rPr>
          <w:rFonts w:cs="Calibri"/>
          <w:i/>
          <w:iCs/>
          <w:color w:val="222222"/>
          <w:shd w:val="clear" w:color="auto" w:fill="FFFFFF"/>
        </w:rPr>
        <w:t>AIP Conference Proceedings</w:t>
      </w:r>
      <w:r>
        <w:rPr>
          <w:rFonts w:cs="Calibri"/>
          <w:color w:val="222222"/>
          <w:shd w:val="clear" w:color="auto" w:fill="FFFFFF"/>
        </w:rPr>
        <w:t> (Vol. 2418, No. 1). AIP Publishing.</w:t>
      </w:r>
    </w:p>
    <w:p w14:paraId="2A1E76C4" w14:textId="77777777" w:rsidR="0018664D" w:rsidRDefault="0018664D" w:rsidP="0018664D">
      <w:pPr>
        <w:ind w:left="720" w:right="804" w:hanging="720"/>
        <w:jc w:val="both"/>
      </w:pPr>
      <w:r>
        <w:rPr>
          <w:rFonts w:cs="Calibri"/>
          <w:color w:val="222222"/>
          <w:shd w:val="clear" w:color="auto" w:fill="FFFFFF"/>
        </w:rPr>
        <w:t xml:space="preserve">Stavropoulos, V., </w:t>
      </w:r>
      <w:proofErr w:type="spellStart"/>
      <w:r>
        <w:rPr>
          <w:rFonts w:cs="Calibri"/>
          <w:color w:val="222222"/>
          <w:shd w:val="clear" w:color="auto" w:fill="FFFFFF"/>
        </w:rPr>
        <w:t>Motti-Stefanidi</w:t>
      </w:r>
      <w:proofErr w:type="spellEnd"/>
      <w:r>
        <w:rPr>
          <w:rFonts w:cs="Calibri"/>
          <w:color w:val="222222"/>
          <w:shd w:val="clear" w:color="auto" w:fill="FFFFFF"/>
        </w:rPr>
        <w:t>, F., &amp; Griffiths, M. D. (2021). Risks and opportunities for youth in the digital era. </w:t>
      </w:r>
      <w:r>
        <w:rPr>
          <w:rFonts w:cs="Calibri"/>
          <w:i/>
          <w:iCs/>
          <w:color w:val="222222"/>
          <w:shd w:val="clear" w:color="auto" w:fill="FFFFFF"/>
        </w:rPr>
        <w:t>European Psychologist</w:t>
      </w:r>
      <w:r>
        <w:rPr>
          <w:rFonts w:cs="Calibri"/>
          <w:color w:val="222222"/>
          <w:shd w:val="clear" w:color="auto" w:fill="FFFFFF"/>
        </w:rPr>
        <w:t>.</w:t>
      </w:r>
    </w:p>
    <w:p w14:paraId="6DBEFF23" w14:textId="77777777" w:rsidR="0018664D" w:rsidRDefault="0018664D" w:rsidP="0018664D">
      <w:pPr>
        <w:ind w:left="720" w:right="804" w:hanging="720"/>
        <w:jc w:val="both"/>
      </w:pPr>
      <w:r>
        <w:rPr>
          <w:rFonts w:cs="Calibri"/>
          <w:color w:val="222222"/>
          <w:shd w:val="clear" w:color="auto" w:fill="FFFFFF"/>
        </w:rPr>
        <w:t xml:space="preserve">Stocker, V., Lehr, W., &amp; </w:t>
      </w:r>
      <w:proofErr w:type="spellStart"/>
      <w:r>
        <w:rPr>
          <w:rFonts w:cs="Calibri"/>
          <w:color w:val="222222"/>
          <w:shd w:val="clear" w:color="auto" w:fill="FFFFFF"/>
        </w:rPr>
        <w:t>Smaragdakis</w:t>
      </w:r>
      <w:proofErr w:type="spellEnd"/>
      <w:r>
        <w:rPr>
          <w:rFonts w:cs="Calibri"/>
          <w:color w:val="222222"/>
          <w:shd w:val="clear" w:color="auto" w:fill="FFFFFF"/>
        </w:rPr>
        <w:t>, G. (2023). COVID-19 and the Internet: Lessons learned. In </w:t>
      </w:r>
      <w:r>
        <w:rPr>
          <w:rFonts w:cs="Calibri"/>
          <w:i/>
          <w:iCs/>
          <w:color w:val="222222"/>
          <w:shd w:val="clear" w:color="auto" w:fill="FFFFFF"/>
        </w:rPr>
        <w:t>Beyond the Pandemic? Exploring the Impact of COVID-19 on Telecommunications and the Internet</w:t>
      </w:r>
      <w:r>
        <w:rPr>
          <w:rFonts w:cs="Calibri"/>
          <w:color w:val="222222"/>
          <w:shd w:val="clear" w:color="auto" w:fill="FFFFFF"/>
        </w:rPr>
        <w:t> (pp. 17-69). Emerald Publishing Limited.</w:t>
      </w:r>
    </w:p>
    <w:p w14:paraId="534EDBEC" w14:textId="77777777" w:rsidR="0018664D" w:rsidRDefault="0018664D" w:rsidP="0018664D">
      <w:pPr>
        <w:ind w:left="720" w:right="804" w:hanging="720"/>
        <w:jc w:val="both"/>
      </w:pPr>
      <w:r>
        <w:rPr>
          <w:rFonts w:cs="Calibri"/>
          <w:color w:val="222222"/>
          <w:shd w:val="clear" w:color="auto" w:fill="FFFFFF"/>
        </w:rPr>
        <w:t>Swain, J., &amp; French, S. (2000). Towards an affirmation model of disability. </w:t>
      </w:r>
      <w:r>
        <w:rPr>
          <w:rFonts w:cs="Calibri"/>
          <w:i/>
          <w:iCs/>
          <w:color w:val="222222"/>
          <w:shd w:val="clear" w:color="auto" w:fill="FFFFFF"/>
        </w:rPr>
        <w:t>Disability &amp; society</w:t>
      </w:r>
      <w:r>
        <w:rPr>
          <w:rFonts w:cs="Calibri"/>
          <w:color w:val="222222"/>
          <w:shd w:val="clear" w:color="auto" w:fill="FFFFFF"/>
        </w:rPr>
        <w:t>, </w:t>
      </w:r>
      <w:r>
        <w:rPr>
          <w:rFonts w:cs="Calibri"/>
          <w:i/>
          <w:iCs/>
          <w:color w:val="222222"/>
          <w:shd w:val="clear" w:color="auto" w:fill="FFFFFF"/>
        </w:rPr>
        <w:t>15</w:t>
      </w:r>
      <w:r>
        <w:rPr>
          <w:rFonts w:cs="Calibri"/>
          <w:color w:val="222222"/>
          <w:shd w:val="clear" w:color="auto" w:fill="FFFFFF"/>
        </w:rPr>
        <w:t>(4), 569-582.</w:t>
      </w:r>
    </w:p>
    <w:p w14:paraId="1357D078" w14:textId="77777777" w:rsidR="0018664D" w:rsidRDefault="0018664D" w:rsidP="0018664D">
      <w:pPr>
        <w:ind w:left="720" w:right="804" w:hanging="720"/>
        <w:jc w:val="both"/>
      </w:pPr>
      <w:r>
        <w:rPr>
          <w:rFonts w:cs="Calibri"/>
        </w:rPr>
        <w:t xml:space="preserve">Swansea University (2023, June 2) </w:t>
      </w:r>
      <w:r>
        <w:rPr>
          <w:rFonts w:cs="Calibri"/>
          <w:i/>
        </w:rPr>
        <w:t>PROJECT DRAGON-S – Developing Resistance against Grooming Online</w:t>
      </w:r>
      <w:r>
        <w:rPr>
          <w:rFonts w:cs="Calibri"/>
        </w:rPr>
        <w:t xml:space="preserve">. </w:t>
      </w:r>
      <w:hyperlink w:history="1">
        <w:r>
          <w:rPr>
            <w:rFonts w:cs="Calibri"/>
          </w:rPr>
          <w:t>https://www.swansea.ac.uk/project-dragon-s/</w:t>
        </w:r>
      </w:hyperlink>
      <w:r>
        <w:rPr>
          <w:rFonts w:cs="Calibri"/>
        </w:rPr>
        <w:t xml:space="preserve">. </w:t>
      </w:r>
    </w:p>
    <w:p w14:paraId="2AE53601" w14:textId="77777777" w:rsidR="0018664D" w:rsidRDefault="0018664D" w:rsidP="0018664D">
      <w:pPr>
        <w:ind w:left="720" w:right="804" w:hanging="720"/>
        <w:jc w:val="both"/>
      </w:pPr>
      <w:r>
        <w:rPr>
          <w:rFonts w:cs="Calibri"/>
          <w:shd w:val="clear" w:color="auto" w:fill="FFFFFF"/>
        </w:rPr>
        <w:t xml:space="preserve">Taylor, E. K., </w:t>
      </w:r>
      <w:proofErr w:type="spellStart"/>
      <w:r>
        <w:rPr>
          <w:rFonts w:cs="Calibri"/>
          <w:shd w:val="clear" w:color="auto" w:fill="FFFFFF"/>
        </w:rPr>
        <w:t>Slemaker</w:t>
      </w:r>
      <w:proofErr w:type="spellEnd"/>
      <w:r>
        <w:rPr>
          <w:rFonts w:cs="Calibri"/>
          <w:shd w:val="clear" w:color="auto" w:fill="FFFFFF"/>
        </w:rPr>
        <w:t xml:space="preserve">, A., &amp; </w:t>
      </w:r>
      <w:proofErr w:type="spellStart"/>
      <w:r>
        <w:rPr>
          <w:rFonts w:cs="Calibri"/>
          <w:shd w:val="clear" w:color="auto" w:fill="FFFFFF"/>
        </w:rPr>
        <w:t>Silovsky</w:t>
      </w:r>
      <w:proofErr w:type="spellEnd"/>
      <w:r>
        <w:rPr>
          <w:rFonts w:cs="Calibri"/>
          <w:shd w:val="clear" w:color="auto" w:fill="FFFFFF"/>
        </w:rPr>
        <w:t>, J. F. (2020). Professionals’ perceptions o</w:t>
      </w:r>
      <w:r>
        <w:rPr>
          <w:rFonts w:cs="Calibri"/>
          <w:color w:val="222222"/>
          <w:shd w:val="clear" w:color="auto" w:fill="FFFFFF"/>
        </w:rPr>
        <w:t xml:space="preserve">f electronic and online sexual </w:t>
      </w:r>
      <w:proofErr w:type="spellStart"/>
      <w:r>
        <w:rPr>
          <w:rFonts w:cs="Calibri"/>
          <w:color w:val="222222"/>
          <w:shd w:val="clear" w:color="auto" w:fill="FFFFFF"/>
        </w:rPr>
        <w:t>behaviors</w:t>
      </w:r>
      <w:proofErr w:type="spellEnd"/>
      <w:r>
        <w:rPr>
          <w:rFonts w:cs="Calibri"/>
          <w:color w:val="222222"/>
          <w:shd w:val="clear" w:color="auto" w:fill="FFFFFF"/>
        </w:rPr>
        <w:t xml:space="preserve"> of youth in their community. </w:t>
      </w:r>
      <w:r>
        <w:rPr>
          <w:rFonts w:cs="Calibri"/>
          <w:i/>
          <w:iCs/>
          <w:color w:val="222222"/>
          <w:shd w:val="clear" w:color="auto" w:fill="FFFFFF"/>
        </w:rPr>
        <w:t>Children and Youth Services Review</w:t>
      </w:r>
      <w:r>
        <w:rPr>
          <w:rFonts w:cs="Calibri"/>
          <w:color w:val="222222"/>
          <w:shd w:val="clear" w:color="auto" w:fill="FFFFFF"/>
        </w:rPr>
        <w:t>, </w:t>
      </w:r>
      <w:r>
        <w:rPr>
          <w:rFonts w:cs="Calibri"/>
          <w:i/>
          <w:iCs/>
          <w:color w:val="222222"/>
          <w:shd w:val="clear" w:color="auto" w:fill="FFFFFF"/>
        </w:rPr>
        <w:t>111</w:t>
      </w:r>
      <w:r>
        <w:rPr>
          <w:rFonts w:cs="Calibri"/>
          <w:color w:val="222222"/>
          <w:shd w:val="clear" w:color="auto" w:fill="FFFFFF"/>
        </w:rPr>
        <w:t>, 104831.</w:t>
      </w:r>
    </w:p>
    <w:p w14:paraId="365596DC" w14:textId="77777777" w:rsidR="0018664D" w:rsidRDefault="0018664D" w:rsidP="0018664D">
      <w:pPr>
        <w:ind w:left="720" w:right="804" w:hanging="720"/>
        <w:jc w:val="both"/>
      </w:pPr>
      <w:proofErr w:type="spellStart"/>
      <w:r>
        <w:rPr>
          <w:rFonts w:cs="Calibri"/>
          <w:color w:val="222222"/>
          <w:shd w:val="clear" w:color="auto" w:fill="FFFFFF"/>
        </w:rPr>
        <w:lastRenderedPageBreak/>
        <w:t>Tricco</w:t>
      </w:r>
      <w:proofErr w:type="spellEnd"/>
      <w:r>
        <w:rPr>
          <w:rFonts w:cs="Calibri"/>
          <w:color w:val="222222"/>
          <w:shd w:val="clear" w:color="auto" w:fill="FFFFFF"/>
        </w:rPr>
        <w:t>, A. C., Lillie, E., Zarin, W., O'Brien, K. K., Colquhoun, H., Levac, D., ... &amp; Straus, S. E. (2018). PRISMA extension for scoping reviews (PRISMA-</w:t>
      </w:r>
      <w:proofErr w:type="spellStart"/>
      <w:r>
        <w:rPr>
          <w:rFonts w:cs="Calibri"/>
          <w:color w:val="222222"/>
          <w:shd w:val="clear" w:color="auto" w:fill="FFFFFF"/>
        </w:rPr>
        <w:t>ScR</w:t>
      </w:r>
      <w:proofErr w:type="spellEnd"/>
      <w:r>
        <w:rPr>
          <w:rFonts w:cs="Calibri"/>
          <w:color w:val="222222"/>
          <w:shd w:val="clear" w:color="auto" w:fill="FFFFFF"/>
        </w:rPr>
        <w:t>): checklist and explanation. </w:t>
      </w:r>
      <w:r>
        <w:rPr>
          <w:rFonts w:cs="Calibri"/>
          <w:i/>
          <w:iCs/>
          <w:color w:val="222222"/>
          <w:shd w:val="clear" w:color="auto" w:fill="FFFFFF"/>
        </w:rPr>
        <w:t>Annals of internal medicine</w:t>
      </w:r>
      <w:r>
        <w:rPr>
          <w:rFonts w:cs="Calibri"/>
          <w:color w:val="222222"/>
          <w:shd w:val="clear" w:color="auto" w:fill="FFFFFF"/>
        </w:rPr>
        <w:t>, </w:t>
      </w:r>
      <w:r>
        <w:rPr>
          <w:rFonts w:cs="Calibri"/>
          <w:i/>
          <w:iCs/>
          <w:color w:val="222222"/>
          <w:shd w:val="clear" w:color="auto" w:fill="FFFFFF"/>
        </w:rPr>
        <w:t>169</w:t>
      </w:r>
      <w:r>
        <w:rPr>
          <w:rFonts w:cs="Calibri"/>
          <w:color w:val="222222"/>
          <w:shd w:val="clear" w:color="auto" w:fill="FFFFFF"/>
        </w:rPr>
        <w:t>(7), 467-473.</w:t>
      </w:r>
    </w:p>
    <w:p w14:paraId="0C894F3D" w14:textId="77777777" w:rsidR="0018664D" w:rsidRDefault="0018664D" w:rsidP="0018664D">
      <w:pPr>
        <w:ind w:left="720" w:right="804" w:hanging="720"/>
        <w:jc w:val="both"/>
      </w:pPr>
      <w:r>
        <w:rPr>
          <w:rFonts w:cs="Calibri"/>
          <w:color w:val="040C28"/>
        </w:rPr>
        <w:t>UN Convention on the Rights of Persons with Disabilities,</w:t>
      </w:r>
      <w:r>
        <w:rPr>
          <w:rFonts w:cs="Calibri"/>
          <w:color w:val="4D5156"/>
          <w:shd w:val="clear" w:color="auto" w:fill="FFFFFF"/>
        </w:rPr>
        <w:t> </w:t>
      </w:r>
      <w:r>
        <w:rPr>
          <w:rFonts w:cs="Calibri"/>
          <w:color w:val="040C28"/>
        </w:rPr>
        <w:t>(2006).</w:t>
      </w:r>
      <w:r>
        <w:rPr>
          <w:rFonts w:cs="Calibri"/>
          <w:color w:val="4D5156"/>
          <w:shd w:val="clear" w:color="auto" w:fill="FFFFFF"/>
        </w:rPr>
        <w:t> </w:t>
      </w:r>
      <w:r>
        <w:rPr>
          <w:rFonts w:cs="Calibri"/>
          <w:color w:val="040C28"/>
        </w:rPr>
        <w:t>Treaty Series, 2515, 3</w:t>
      </w:r>
      <w:r>
        <w:rPr>
          <w:rFonts w:cs="Calibri"/>
          <w:color w:val="4D5156"/>
          <w:shd w:val="clear" w:color="auto" w:fill="FFFFFF"/>
        </w:rPr>
        <w:t>.</w:t>
      </w:r>
      <w:r>
        <w:rPr>
          <w:rFonts w:cs="Calibri"/>
          <w:color w:val="222222"/>
          <w:shd w:val="clear" w:color="auto" w:fill="FFFFFF"/>
        </w:rPr>
        <w:t xml:space="preserve"> Retrieved June 8, 2022, from</w:t>
      </w:r>
      <w:r>
        <w:rPr>
          <w:rFonts w:cs="Calibri"/>
          <w:color w:val="4D5156"/>
          <w:shd w:val="clear" w:color="auto" w:fill="FFFFFF"/>
        </w:rPr>
        <w:t xml:space="preserve"> </w:t>
      </w:r>
      <w:hyperlink r:id="rId18" w:history="1">
        <w:r>
          <w:rPr>
            <w:rFonts w:cs="Calibri"/>
            <w:color w:val="0000FF"/>
            <w:u w:val="single"/>
            <w:shd w:val="clear" w:color="auto" w:fill="FFFFFF"/>
          </w:rPr>
          <w:t>https://social.desa.un.org/issues/disability/crpd/convention-on-the-rights-of-persons-with-disabilities-crpd</w:t>
        </w:r>
      </w:hyperlink>
    </w:p>
    <w:p w14:paraId="0AB19E6C" w14:textId="77777777" w:rsidR="0018664D" w:rsidRDefault="0018664D" w:rsidP="0018664D">
      <w:pPr>
        <w:ind w:left="720" w:right="804" w:hanging="720"/>
        <w:jc w:val="both"/>
      </w:pPr>
      <w:r>
        <w:rPr>
          <w:rFonts w:cs="Calibri"/>
          <w:color w:val="222222"/>
          <w:shd w:val="clear" w:color="auto" w:fill="FFFFFF"/>
        </w:rPr>
        <w:t xml:space="preserve">UNICEF, (2020). </w:t>
      </w:r>
      <w:r>
        <w:rPr>
          <w:rFonts w:cs="Calibri"/>
          <w:i/>
          <w:color w:val="222222"/>
          <w:shd w:val="clear" w:color="auto" w:fill="FFFFFF"/>
        </w:rPr>
        <w:t xml:space="preserve">Harnessing the Power of Technology and Digital Innovation for Children. </w:t>
      </w:r>
      <w:r>
        <w:rPr>
          <w:rFonts w:cs="Calibri"/>
          <w:iCs/>
          <w:color w:val="222222"/>
          <w:shd w:val="clear" w:color="auto" w:fill="FFFFFF"/>
        </w:rPr>
        <w:t>Retrieved June 8, 2022, from</w:t>
      </w:r>
      <w:r>
        <w:rPr>
          <w:rFonts w:cs="Calibri"/>
          <w:i/>
          <w:color w:val="222222"/>
          <w:shd w:val="clear" w:color="auto" w:fill="FFFFFF"/>
        </w:rPr>
        <w:t xml:space="preserve">  </w:t>
      </w:r>
      <w:hyperlink w:history="1">
        <w:r>
          <w:rPr>
            <w:rFonts w:cs="Calibri"/>
            <w:color w:val="0000FF"/>
            <w:u w:val="single"/>
            <w:shd w:val="clear" w:color="auto" w:fill="FFFFFF"/>
          </w:rPr>
          <w:t>https://www.unicef.org/media/100211/file/DIGITAL%20UNICEF.pdf</w:t>
        </w:r>
      </w:hyperlink>
      <w:r>
        <w:rPr>
          <w:rFonts w:cs="Calibri"/>
          <w:color w:val="222222"/>
          <w:shd w:val="clear" w:color="auto" w:fill="FFFFFF"/>
        </w:rPr>
        <w:t xml:space="preserve"> </w:t>
      </w:r>
    </w:p>
    <w:p w14:paraId="5B173EBE" w14:textId="77777777" w:rsidR="0018664D" w:rsidRDefault="0018664D" w:rsidP="0018664D">
      <w:pPr>
        <w:ind w:left="720" w:right="804" w:hanging="720"/>
        <w:jc w:val="both"/>
      </w:pPr>
      <w:r>
        <w:rPr>
          <w:rFonts w:cs="Calibri"/>
          <w:color w:val="222222"/>
          <w:shd w:val="clear" w:color="auto" w:fill="FFFFFF"/>
        </w:rPr>
        <w:t>UNICEF, (2022)</w:t>
      </w:r>
      <w:r>
        <w:rPr>
          <w:rFonts w:cs="Calibri"/>
          <w:i/>
          <w:color w:val="222222"/>
          <w:shd w:val="clear" w:color="auto" w:fill="FFFFFF"/>
        </w:rPr>
        <w:t>. Protecting Children Online</w:t>
      </w:r>
      <w:r>
        <w:rPr>
          <w:rFonts w:cs="Calibri"/>
          <w:color w:val="222222"/>
          <w:shd w:val="clear" w:color="auto" w:fill="FFFFFF"/>
        </w:rPr>
        <w:t xml:space="preserve">. </w:t>
      </w:r>
      <w:bookmarkStart w:id="11" w:name="_Hlk145788984"/>
      <w:r>
        <w:rPr>
          <w:rFonts w:cs="Calibri"/>
          <w:color w:val="222222"/>
          <w:shd w:val="clear" w:color="auto" w:fill="FFFFFF"/>
        </w:rPr>
        <w:t>Retrieved June 8, 2022, from</w:t>
      </w:r>
      <w:bookmarkEnd w:id="11"/>
    </w:p>
    <w:p w14:paraId="25CEF0FE" w14:textId="77777777" w:rsidR="0018664D" w:rsidRDefault="00000000" w:rsidP="0018664D">
      <w:pPr>
        <w:ind w:left="720" w:right="804"/>
        <w:jc w:val="both"/>
      </w:pPr>
      <w:hyperlink w:history="1">
        <w:r w:rsidR="0018664D">
          <w:rPr>
            <w:rFonts w:cs="Calibri"/>
            <w:color w:val="0000FF"/>
            <w:u w:val="single"/>
            <w:shd w:val="clear" w:color="auto" w:fill="FFFFFF"/>
          </w:rPr>
          <w:t>https://www.unicef.org/protection/violence-against-children-online</w:t>
        </w:r>
      </w:hyperlink>
    </w:p>
    <w:p w14:paraId="0EFFFE51" w14:textId="77777777" w:rsidR="0018664D" w:rsidRDefault="0018664D" w:rsidP="0018664D">
      <w:pPr>
        <w:ind w:left="720" w:right="804" w:hanging="720"/>
        <w:jc w:val="both"/>
      </w:pPr>
      <w:r>
        <w:rPr>
          <w:rFonts w:cs="Calibri"/>
          <w:color w:val="222222"/>
          <w:shd w:val="clear" w:color="auto" w:fill="FFFFFF"/>
        </w:rPr>
        <w:t xml:space="preserve">UNICEF, (2021). </w:t>
      </w:r>
      <w:proofErr w:type="spellStart"/>
      <w:r>
        <w:rPr>
          <w:rFonts w:cs="Calibri"/>
        </w:rPr>
        <w:t>Stoilova</w:t>
      </w:r>
      <w:proofErr w:type="spellEnd"/>
      <w:r>
        <w:rPr>
          <w:rFonts w:cs="Calibri"/>
        </w:rPr>
        <w:t xml:space="preserve">, Livingstone &amp; </w:t>
      </w:r>
      <w:proofErr w:type="spellStart"/>
      <w:r>
        <w:rPr>
          <w:rFonts w:cs="Calibri"/>
        </w:rPr>
        <w:t>Khazbak</w:t>
      </w:r>
      <w:proofErr w:type="spellEnd"/>
      <w:r>
        <w:rPr>
          <w:rFonts w:cs="Calibri"/>
        </w:rPr>
        <w:t xml:space="preserve">, </w:t>
      </w:r>
      <w:r>
        <w:rPr>
          <w:rFonts w:cs="Calibri"/>
          <w:i/>
        </w:rPr>
        <w:t xml:space="preserve">Investigating Risks and Opportunities for Children in </w:t>
      </w:r>
      <w:r>
        <w:rPr>
          <w:rFonts w:cs="Calibri"/>
        </w:rPr>
        <w:t xml:space="preserve">Innocenti Discussion Paper 2020-03 </w:t>
      </w:r>
      <w:r>
        <w:rPr>
          <w:rFonts w:cs="Calibri"/>
          <w:i/>
        </w:rPr>
        <w:t xml:space="preserve">a Digital World: A rapid review of the evidence on children’s internet use and outcomes. </w:t>
      </w:r>
      <w:r>
        <w:rPr>
          <w:rFonts w:cs="Calibri"/>
          <w:color w:val="222222"/>
          <w:shd w:val="clear" w:color="auto" w:fill="FFFFFF"/>
        </w:rPr>
        <w:t>Retrieved June 7, 2022, from</w:t>
      </w:r>
      <w:r>
        <w:rPr>
          <w:rFonts w:cs="Calibri"/>
          <w:i/>
        </w:rPr>
        <w:t xml:space="preserve"> </w:t>
      </w:r>
      <w:hyperlink w:history="1">
        <w:r>
          <w:rPr>
            <w:rFonts w:cs="Calibri"/>
            <w:color w:val="0000FF"/>
            <w:u w:val="single"/>
            <w:shd w:val="clear" w:color="auto" w:fill="FFFFFF"/>
          </w:rPr>
          <w:t>https://www.unicef-irc.org/publications/pdf/Investigating-Risks-and-Opportunities-for-Children-in-a-Digital-World.pdf</w:t>
        </w:r>
      </w:hyperlink>
      <w:r>
        <w:rPr>
          <w:rFonts w:cs="Calibri"/>
          <w:color w:val="222222"/>
          <w:shd w:val="clear" w:color="auto" w:fill="FFFFFF"/>
        </w:rPr>
        <w:t xml:space="preserve">. </w:t>
      </w:r>
      <w:r>
        <w:rPr>
          <w:rFonts w:cs="Calibri"/>
          <w:color w:val="4D5156"/>
          <w:shd w:val="clear" w:color="auto" w:fill="FFFFFF"/>
        </w:rPr>
        <w:t xml:space="preserve"> </w:t>
      </w:r>
    </w:p>
    <w:p w14:paraId="0DCC2C31" w14:textId="77777777" w:rsidR="0018664D" w:rsidRDefault="0018664D" w:rsidP="0018664D">
      <w:pPr>
        <w:ind w:left="720" w:right="804" w:hanging="720"/>
        <w:jc w:val="both"/>
      </w:pPr>
      <w:r>
        <w:rPr>
          <w:rFonts w:cs="Calibri"/>
          <w:color w:val="222222"/>
          <w:shd w:val="clear" w:color="auto" w:fill="FFFFFF"/>
        </w:rPr>
        <w:t>Vassallo, A., Jones, A., &amp; Freeman, B. (2022). Social media: frenemy of public health. </w:t>
      </w:r>
      <w:r>
        <w:rPr>
          <w:rFonts w:cs="Calibri"/>
          <w:i/>
          <w:iCs/>
          <w:color w:val="222222"/>
          <w:shd w:val="clear" w:color="auto" w:fill="FFFFFF"/>
        </w:rPr>
        <w:t>Public Health Nutrition</w:t>
      </w:r>
      <w:r>
        <w:rPr>
          <w:rFonts w:cs="Calibri"/>
          <w:color w:val="222222"/>
          <w:shd w:val="clear" w:color="auto" w:fill="FFFFFF"/>
        </w:rPr>
        <w:t>, </w:t>
      </w:r>
      <w:r>
        <w:rPr>
          <w:rFonts w:cs="Calibri"/>
          <w:i/>
          <w:iCs/>
          <w:color w:val="222222"/>
          <w:shd w:val="clear" w:color="auto" w:fill="FFFFFF"/>
        </w:rPr>
        <w:t>25</w:t>
      </w:r>
      <w:r>
        <w:rPr>
          <w:rFonts w:cs="Calibri"/>
          <w:color w:val="222222"/>
          <w:shd w:val="clear" w:color="auto" w:fill="FFFFFF"/>
        </w:rPr>
        <w:t>(1), 61-64.</w:t>
      </w:r>
    </w:p>
    <w:p w14:paraId="6CC80134" w14:textId="77777777" w:rsidR="0018664D" w:rsidRDefault="0018664D" w:rsidP="0018664D">
      <w:pPr>
        <w:ind w:left="720" w:right="804" w:hanging="720"/>
        <w:jc w:val="both"/>
      </w:pPr>
      <w:proofErr w:type="spellStart"/>
      <w:r>
        <w:rPr>
          <w:rFonts w:cs="Calibri"/>
          <w:color w:val="222222"/>
          <w:shd w:val="clear" w:color="auto" w:fill="FFFFFF"/>
        </w:rPr>
        <w:t>Veretilnykova</w:t>
      </w:r>
      <w:proofErr w:type="spellEnd"/>
      <w:r>
        <w:rPr>
          <w:rFonts w:cs="Calibri"/>
          <w:color w:val="222222"/>
          <w:shd w:val="clear" w:color="auto" w:fill="FFFFFF"/>
        </w:rPr>
        <w:t xml:space="preserve">, M., &amp; </w:t>
      </w:r>
      <w:proofErr w:type="spellStart"/>
      <w:r>
        <w:rPr>
          <w:rFonts w:cs="Calibri"/>
          <w:color w:val="222222"/>
          <w:shd w:val="clear" w:color="auto" w:fill="FFFFFF"/>
        </w:rPr>
        <w:t>Dogruel</w:t>
      </w:r>
      <w:proofErr w:type="spellEnd"/>
      <w:r>
        <w:rPr>
          <w:rFonts w:cs="Calibri"/>
          <w:color w:val="222222"/>
          <w:shd w:val="clear" w:color="auto" w:fill="FFFFFF"/>
        </w:rPr>
        <w:t>, L. (2021). Nudging Children and Adolescents toward Online Privacy: An Ethical Perspective. </w:t>
      </w:r>
      <w:r>
        <w:rPr>
          <w:rFonts w:cs="Calibri"/>
          <w:i/>
          <w:iCs/>
          <w:color w:val="222222"/>
          <w:shd w:val="clear" w:color="auto" w:fill="FFFFFF"/>
        </w:rPr>
        <w:t>Journal of Media Ethics</w:t>
      </w:r>
      <w:r>
        <w:rPr>
          <w:rFonts w:cs="Calibri"/>
          <w:color w:val="222222"/>
          <w:shd w:val="clear" w:color="auto" w:fill="FFFFFF"/>
        </w:rPr>
        <w:t>, </w:t>
      </w:r>
      <w:r>
        <w:rPr>
          <w:rFonts w:cs="Calibri"/>
          <w:i/>
          <w:iCs/>
          <w:color w:val="222222"/>
          <w:shd w:val="clear" w:color="auto" w:fill="FFFFFF"/>
        </w:rPr>
        <w:t>36</w:t>
      </w:r>
      <w:r>
        <w:rPr>
          <w:rFonts w:cs="Calibri"/>
          <w:color w:val="222222"/>
          <w:shd w:val="clear" w:color="auto" w:fill="FFFFFF"/>
        </w:rPr>
        <w:t>(3), 128-140.</w:t>
      </w:r>
    </w:p>
    <w:p w14:paraId="4FE32AF1" w14:textId="77777777" w:rsidR="0018664D" w:rsidRDefault="0018664D" w:rsidP="0018664D">
      <w:pPr>
        <w:ind w:left="720" w:right="804" w:hanging="720"/>
        <w:jc w:val="both"/>
      </w:pPr>
      <w:bookmarkStart w:id="12" w:name="_Hlk147959394"/>
      <w:r>
        <w:rPr>
          <w:rFonts w:cs="Calibri"/>
          <w:color w:val="222222"/>
          <w:shd w:val="clear" w:color="auto" w:fill="FFFFFF"/>
        </w:rPr>
        <w:lastRenderedPageBreak/>
        <w:t xml:space="preserve">Volkova, I. P., Koroleva, N. N., </w:t>
      </w:r>
      <w:proofErr w:type="spellStart"/>
      <w:r>
        <w:rPr>
          <w:rFonts w:cs="Calibri"/>
          <w:color w:val="222222"/>
          <w:shd w:val="clear" w:color="auto" w:fill="FFFFFF"/>
        </w:rPr>
        <w:t>Bogdanovskaya</w:t>
      </w:r>
      <w:proofErr w:type="spellEnd"/>
      <w:r>
        <w:rPr>
          <w:rFonts w:cs="Calibri"/>
          <w:color w:val="222222"/>
          <w:shd w:val="clear" w:color="auto" w:fill="FFFFFF"/>
        </w:rPr>
        <w:t xml:space="preserve">, I. M., </w:t>
      </w:r>
      <w:proofErr w:type="spellStart"/>
      <w:r>
        <w:rPr>
          <w:rFonts w:cs="Calibri"/>
          <w:color w:val="222222"/>
          <w:shd w:val="clear" w:color="auto" w:fill="FFFFFF"/>
        </w:rPr>
        <w:t>Ikonnikova</w:t>
      </w:r>
      <w:proofErr w:type="spellEnd"/>
      <w:r>
        <w:rPr>
          <w:rFonts w:cs="Calibri"/>
          <w:color w:val="222222"/>
          <w:shd w:val="clear" w:color="auto" w:fill="FFFFFF"/>
        </w:rPr>
        <w:t xml:space="preserve">, G. Y., &amp; </w:t>
      </w:r>
      <w:proofErr w:type="spellStart"/>
      <w:r>
        <w:rPr>
          <w:rFonts w:cs="Calibri"/>
          <w:color w:val="222222"/>
          <w:shd w:val="clear" w:color="auto" w:fill="FFFFFF"/>
        </w:rPr>
        <w:t>Mashkova</w:t>
      </w:r>
      <w:proofErr w:type="spellEnd"/>
      <w:r>
        <w:rPr>
          <w:rFonts w:cs="Calibri"/>
          <w:color w:val="222222"/>
          <w:shd w:val="clear" w:color="auto" w:fill="FFFFFF"/>
        </w:rPr>
        <w:t>, A. V. (2019). Problematic internet usage by adolescents with disabilities. </w:t>
      </w:r>
      <w:proofErr w:type="spellStart"/>
      <w:r>
        <w:rPr>
          <w:rFonts w:cs="Calibri"/>
          <w:i/>
          <w:iCs/>
          <w:color w:val="222222"/>
          <w:shd w:val="clear" w:color="auto" w:fill="FFFFFF"/>
        </w:rPr>
        <w:t>Образование</w:t>
      </w:r>
      <w:proofErr w:type="spellEnd"/>
      <w:r>
        <w:rPr>
          <w:rFonts w:cs="Calibri"/>
          <w:i/>
          <w:iCs/>
          <w:color w:val="222222"/>
          <w:shd w:val="clear" w:color="auto" w:fill="FFFFFF"/>
        </w:rPr>
        <w:t xml:space="preserve"> и </w:t>
      </w:r>
      <w:proofErr w:type="spellStart"/>
      <w:r>
        <w:rPr>
          <w:rFonts w:cs="Calibri"/>
          <w:i/>
          <w:iCs/>
          <w:color w:val="222222"/>
          <w:shd w:val="clear" w:color="auto" w:fill="FFFFFF"/>
        </w:rPr>
        <w:t>наука</w:t>
      </w:r>
      <w:proofErr w:type="spellEnd"/>
      <w:r>
        <w:rPr>
          <w:rFonts w:cs="Calibri"/>
          <w:color w:val="222222"/>
          <w:shd w:val="clear" w:color="auto" w:fill="FFFFFF"/>
        </w:rPr>
        <w:t>, </w:t>
      </w:r>
      <w:r>
        <w:rPr>
          <w:rFonts w:cs="Calibri"/>
          <w:i/>
          <w:iCs/>
          <w:color w:val="222222"/>
          <w:shd w:val="clear" w:color="auto" w:fill="FFFFFF"/>
        </w:rPr>
        <w:t>21</w:t>
      </w:r>
      <w:r>
        <w:rPr>
          <w:rFonts w:cs="Calibri"/>
          <w:color w:val="222222"/>
          <w:shd w:val="clear" w:color="auto" w:fill="FFFFFF"/>
        </w:rPr>
        <w:t>(9), 98-121.</w:t>
      </w:r>
    </w:p>
    <w:p w14:paraId="58F32D8D" w14:textId="77777777" w:rsidR="0018664D" w:rsidRDefault="0018664D" w:rsidP="0018664D">
      <w:pPr>
        <w:ind w:left="720" w:right="804" w:hanging="720"/>
        <w:jc w:val="both"/>
      </w:pPr>
      <w:bookmarkStart w:id="13" w:name="_Hlk147960014"/>
      <w:bookmarkEnd w:id="12"/>
      <w:r>
        <w:rPr>
          <w:rFonts w:cs="Calibri"/>
          <w:color w:val="222222"/>
          <w:shd w:val="clear" w:color="auto" w:fill="FFFFFF"/>
        </w:rPr>
        <w:t>Wells, M., &amp; Mitchell, K. J. (2014). Patterns of internet use and risk of online victimization for youth with and without disabilities. </w:t>
      </w:r>
      <w:r>
        <w:rPr>
          <w:rFonts w:cs="Calibri"/>
          <w:i/>
          <w:iCs/>
          <w:color w:val="222222"/>
          <w:shd w:val="clear" w:color="auto" w:fill="FFFFFF"/>
        </w:rPr>
        <w:t>The Journal of Special Education</w:t>
      </w:r>
      <w:r>
        <w:rPr>
          <w:rFonts w:cs="Calibri"/>
          <w:color w:val="222222"/>
          <w:shd w:val="clear" w:color="auto" w:fill="FFFFFF"/>
        </w:rPr>
        <w:t>, </w:t>
      </w:r>
      <w:r>
        <w:rPr>
          <w:rFonts w:cs="Calibri"/>
          <w:i/>
          <w:iCs/>
          <w:color w:val="222222"/>
          <w:shd w:val="clear" w:color="auto" w:fill="FFFFFF"/>
        </w:rPr>
        <w:t>48</w:t>
      </w:r>
      <w:r>
        <w:rPr>
          <w:rFonts w:cs="Calibri"/>
          <w:color w:val="222222"/>
          <w:shd w:val="clear" w:color="auto" w:fill="FFFFFF"/>
        </w:rPr>
        <w:t>(3), 204-213.</w:t>
      </w:r>
    </w:p>
    <w:bookmarkEnd w:id="13"/>
    <w:p w14:paraId="04275770" w14:textId="77777777" w:rsidR="0018664D" w:rsidRDefault="0018664D" w:rsidP="0018664D">
      <w:pPr>
        <w:ind w:left="720" w:right="804" w:hanging="720"/>
        <w:jc w:val="both"/>
      </w:pPr>
      <w:r>
        <w:rPr>
          <w:rFonts w:cs="Calibri"/>
          <w:color w:val="222222"/>
          <w:shd w:val="clear" w:color="auto" w:fill="FFFFFF"/>
        </w:rPr>
        <w:t>Witting, S. K. (2021). Transnational by default: online child sexual abuse respects no borders. </w:t>
      </w:r>
      <w:r>
        <w:rPr>
          <w:rFonts w:cs="Calibri"/>
          <w:i/>
          <w:iCs/>
          <w:color w:val="222222"/>
          <w:shd w:val="clear" w:color="auto" w:fill="FFFFFF"/>
        </w:rPr>
        <w:t>The International Journal of Children's Rights</w:t>
      </w:r>
      <w:r>
        <w:rPr>
          <w:rFonts w:cs="Calibri"/>
          <w:color w:val="222222"/>
          <w:shd w:val="clear" w:color="auto" w:fill="FFFFFF"/>
        </w:rPr>
        <w:t>, </w:t>
      </w:r>
      <w:r>
        <w:rPr>
          <w:rFonts w:cs="Calibri"/>
          <w:i/>
          <w:iCs/>
          <w:color w:val="222222"/>
          <w:shd w:val="clear" w:color="auto" w:fill="FFFFFF"/>
        </w:rPr>
        <w:t>29</w:t>
      </w:r>
      <w:r>
        <w:rPr>
          <w:rFonts w:cs="Calibri"/>
          <w:color w:val="222222"/>
          <w:shd w:val="clear" w:color="auto" w:fill="FFFFFF"/>
        </w:rPr>
        <w:t>(3), 731-764.</w:t>
      </w:r>
    </w:p>
    <w:p w14:paraId="745215A9" w14:textId="77777777" w:rsidR="0018664D" w:rsidRDefault="0018664D" w:rsidP="0018664D">
      <w:pPr>
        <w:ind w:left="720" w:right="804" w:hanging="720"/>
        <w:jc w:val="both"/>
      </w:pPr>
      <w:proofErr w:type="spellStart"/>
      <w:r>
        <w:rPr>
          <w:rFonts w:cs="Calibri"/>
          <w:color w:val="222222"/>
          <w:shd w:val="clear" w:color="auto" w:fill="FFFFFF"/>
        </w:rPr>
        <w:t>Woon</w:t>
      </w:r>
      <w:proofErr w:type="spellEnd"/>
      <w:r>
        <w:rPr>
          <w:rFonts w:cs="Calibri"/>
          <w:color w:val="222222"/>
          <w:shd w:val="clear" w:color="auto" w:fill="FFFFFF"/>
        </w:rPr>
        <w:t>, L. S. C. (2020). Internet addiction and mental well-being among secondary school students in a Malaysian district: A cross-sectional survey. </w:t>
      </w:r>
      <w:r>
        <w:rPr>
          <w:rFonts w:cs="Calibri"/>
          <w:i/>
          <w:iCs/>
          <w:color w:val="222222"/>
          <w:shd w:val="clear" w:color="auto" w:fill="FFFFFF"/>
        </w:rPr>
        <w:t>Journal of Clinical Psychiatry</w:t>
      </w:r>
      <w:r>
        <w:rPr>
          <w:rFonts w:cs="Calibri"/>
          <w:color w:val="222222"/>
          <w:shd w:val="clear" w:color="auto" w:fill="FFFFFF"/>
        </w:rPr>
        <w:t>, </w:t>
      </w:r>
      <w:r>
        <w:rPr>
          <w:rFonts w:cs="Calibri"/>
          <w:i/>
          <w:iCs/>
          <w:color w:val="222222"/>
          <w:shd w:val="clear" w:color="auto" w:fill="FFFFFF"/>
        </w:rPr>
        <w:t>23</w:t>
      </w:r>
      <w:r>
        <w:rPr>
          <w:rFonts w:cs="Calibri"/>
          <w:color w:val="222222"/>
          <w:shd w:val="clear" w:color="auto" w:fill="FFFFFF"/>
        </w:rPr>
        <w:t>(4), 526-528.</w:t>
      </w:r>
    </w:p>
    <w:p w14:paraId="0C15FA85" w14:textId="77777777" w:rsidR="0018664D" w:rsidRDefault="0018664D" w:rsidP="0018664D">
      <w:pPr>
        <w:ind w:left="720" w:right="804" w:hanging="720"/>
        <w:jc w:val="both"/>
      </w:pPr>
      <w:r>
        <w:rPr>
          <w:rFonts w:cs="Calibri"/>
        </w:rPr>
        <w:t xml:space="preserve">World Health Organization, (2018). </w:t>
      </w:r>
      <w:r>
        <w:rPr>
          <w:rFonts w:cs="Calibri"/>
          <w:i/>
        </w:rPr>
        <w:t>Gaming Disorder.</w:t>
      </w:r>
      <w:r>
        <w:rPr>
          <w:rFonts w:cs="Calibri"/>
        </w:rPr>
        <w:t xml:space="preserve"> </w:t>
      </w:r>
      <w:r>
        <w:rPr>
          <w:rFonts w:cs="Calibri"/>
          <w:color w:val="222222"/>
          <w:shd w:val="clear" w:color="auto" w:fill="FFFFFF"/>
        </w:rPr>
        <w:t>Retrieved June 8, 2022, from</w:t>
      </w:r>
      <w:r>
        <w:t xml:space="preserve"> </w:t>
      </w:r>
      <w:hyperlink w:history="1">
        <w:r>
          <w:rPr>
            <w:rFonts w:cs="Calibri"/>
            <w:color w:val="0000FF"/>
            <w:u w:val="single"/>
          </w:rPr>
          <w:t>https://www.who.int/standards/classifications/frequently-asked-questions/gaming-disorder</w:t>
        </w:r>
      </w:hyperlink>
    </w:p>
    <w:p w14:paraId="42387930" w14:textId="77777777" w:rsidR="0018664D" w:rsidRDefault="0018664D" w:rsidP="0018664D">
      <w:pPr>
        <w:ind w:left="720" w:right="804" w:hanging="720"/>
        <w:jc w:val="both"/>
        <w:rPr>
          <w:rFonts w:cs="Calibri"/>
        </w:rPr>
      </w:pPr>
      <w:r>
        <w:rPr>
          <w:rFonts w:cs="Calibri"/>
        </w:rPr>
        <w:t xml:space="preserve">Wright, M. F., &amp; Wachs, S. (2020). Parental support, health, and cyberbullying among adolescents with intellectual and developmental disabilities. Journal of Child and Family Studies, 29(9), 2390-2401. </w:t>
      </w:r>
      <w:proofErr w:type="spellStart"/>
      <w:proofErr w:type="gramStart"/>
      <w:r>
        <w:rPr>
          <w:rFonts w:cs="Calibri"/>
        </w:rPr>
        <w:t>doi:http</w:t>
      </w:r>
      <w:proofErr w:type="spellEnd"/>
      <w:r>
        <w:rPr>
          <w:rFonts w:cs="Calibri"/>
        </w:rPr>
        <w:t>://dx.doi.org/10.1007/s10826-020-01739-</w:t>
      </w:r>
      <w:proofErr w:type="gramEnd"/>
    </w:p>
    <w:p w14:paraId="0B8DFB1C" w14:textId="77777777" w:rsidR="0018664D" w:rsidRDefault="0018664D" w:rsidP="0018664D">
      <w:pPr>
        <w:ind w:left="720" w:right="804" w:hanging="720"/>
        <w:jc w:val="both"/>
      </w:pPr>
      <w:r>
        <w:rPr>
          <w:rFonts w:cs="Calibri"/>
          <w:color w:val="222222"/>
          <w:shd w:val="clear" w:color="auto" w:fill="FFFFFF"/>
        </w:rPr>
        <w:t>Wurtele, S. K., &amp; Kenny, M. C. (2016). Technology‐related sexual solicitation of adolescents: A review of prevention efforts. </w:t>
      </w:r>
      <w:r>
        <w:rPr>
          <w:rFonts w:cs="Calibri"/>
          <w:i/>
          <w:iCs/>
          <w:color w:val="222222"/>
          <w:shd w:val="clear" w:color="auto" w:fill="FFFFFF"/>
        </w:rPr>
        <w:t>Child Abuse Review</w:t>
      </w:r>
      <w:r>
        <w:rPr>
          <w:rFonts w:cs="Calibri"/>
          <w:color w:val="222222"/>
          <w:shd w:val="clear" w:color="auto" w:fill="FFFFFF"/>
        </w:rPr>
        <w:t>, </w:t>
      </w:r>
      <w:r>
        <w:rPr>
          <w:rFonts w:cs="Calibri"/>
          <w:i/>
          <w:iCs/>
          <w:color w:val="222222"/>
          <w:shd w:val="clear" w:color="auto" w:fill="FFFFFF"/>
        </w:rPr>
        <w:t>25</w:t>
      </w:r>
      <w:r>
        <w:rPr>
          <w:rFonts w:cs="Calibri"/>
          <w:color w:val="222222"/>
          <w:shd w:val="clear" w:color="auto" w:fill="FFFFFF"/>
        </w:rPr>
        <w:t>(5), 332-344.</w:t>
      </w:r>
    </w:p>
    <w:p w14:paraId="435EC82D" w14:textId="77777777" w:rsidR="0018664D" w:rsidRDefault="0018664D" w:rsidP="003565D4">
      <w:pPr>
        <w:pStyle w:val="Tabletitle"/>
      </w:pPr>
    </w:p>
    <w:p w14:paraId="280B8590" w14:textId="77777777" w:rsidR="00DF099D" w:rsidRDefault="00DF099D" w:rsidP="003565D4">
      <w:pPr>
        <w:pStyle w:val="Tabletitle"/>
      </w:pPr>
    </w:p>
    <w:p w14:paraId="4216CC58" w14:textId="77777777" w:rsidR="00DF099D" w:rsidRDefault="00DF099D" w:rsidP="003565D4">
      <w:pPr>
        <w:pStyle w:val="Tabletitle"/>
      </w:pPr>
    </w:p>
    <w:tbl>
      <w:tblPr>
        <w:tblW w:w="9016" w:type="dxa"/>
        <w:tblCellMar>
          <w:left w:w="10" w:type="dxa"/>
          <w:right w:w="10" w:type="dxa"/>
        </w:tblCellMar>
        <w:tblLook w:val="04A0" w:firstRow="1" w:lastRow="0" w:firstColumn="1" w:lastColumn="0" w:noHBand="0" w:noVBand="1"/>
      </w:tblPr>
      <w:tblGrid>
        <w:gridCol w:w="1413"/>
        <w:gridCol w:w="7603"/>
      </w:tblGrid>
      <w:tr w:rsidR="00DF099D" w14:paraId="63E1DA30" w14:textId="77777777" w:rsidTr="00DB33F6">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93396" w14:textId="77777777" w:rsidR="00DF099D" w:rsidRDefault="00DF099D" w:rsidP="00DB33F6">
            <w:pPr>
              <w:spacing w:line="240" w:lineRule="auto"/>
              <w:ind w:right="95"/>
              <w:jc w:val="both"/>
              <w:rPr>
                <w:rFonts w:cs="Calibri"/>
              </w:rPr>
            </w:pPr>
            <w:r>
              <w:rPr>
                <w:rFonts w:cs="Calibri"/>
              </w:rPr>
              <w:lastRenderedPageBreak/>
              <w:t xml:space="preserve">Concept 1 </w:t>
            </w:r>
          </w:p>
        </w:tc>
        <w:tc>
          <w:tcPr>
            <w:tcW w:w="7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CDD47" w14:textId="77777777" w:rsidR="00DF099D" w:rsidRDefault="00DF099D" w:rsidP="00DB33F6">
            <w:pPr>
              <w:spacing w:line="240" w:lineRule="auto"/>
              <w:ind w:right="95"/>
              <w:jc w:val="both"/>
              <w:rPr>
                <w:rFonts w:cs="Calibri"/>
              </w:rPr>
            </w:pPr>
            <w:r>
              <w:rPr>
                <w:rFonts w:cs="Calibri"/>
              </w:rPr>
              <w:t xml:space="preserve">Child* OR “young person” OR minor OR baby OR infant OR juvenile OR kid OR minor OR toddler OR youngster OR youth OR adolescent OR boy OR girl OR teenager OR schoolboy OR schoolgirl OR young lady OR young man OR youth OR teen OR son OR daughter OR offspring OR progeny OR children OR adolescents OR youngsters OR kids OR teenagers OR young people OR youth AND </w:t>
            </w:r>
          </w:p>
        </w:tc>
      </w:tr>
      <w:tr w:rsidR="00DF099D" w14:paraId="591871AF" w14:textId="77777777" w:rsidTr="00DB33F6">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C44C4" w14:textId="77777777" w:rsidR="00DF099D" w:rsidRDefault="00DF099D" w:rsidP="00DB33F6">
            <w:pPr>
              <w:spacing w:line="240" w:lineRule="auto"/>
              <w:ind w:right="95"/>
              <w:jc w:val="both"/>
              <w:rPr>
                <w:rFonts w:cs="Calibri"/>
              </w:rPr>
            </w:pPr>
            <w:r>
              <w:rPr>
                <w:rFonts w:cs="Calibri"/>
              </w:rPr>
              <w:t>Concept 2</w:t>
            </w:r>
          </w:p>
        </w:tc>
        <w:tc>
          <w:tcPr>
            <w:tcW w:w="7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71188" w14:textId="77777777" w:rsidR="00DF099D" w:rsidRDefault="00DF099D" w:rsidP="00DB33F6">
            <w:pPr>
              <w:spacing w:line="240" w:lineRule="auto"/>
              <w:ind w:right="95"/>
              <w:jc w:val="both"/>
              <w:rPr>
                <w:rFonts w:cs="Calibri"/>
              </w:rPr>
            </w:pPr>
            <w:r>
              <w:rPr>
                <w:rFonts w:cs="Calibri"/>
              </w:rPr>
              <w:t xml:space="preserve">Children with disabilities OR disabled children OR adolescents with disabilities OR disabled adolescents OR children with intellectual disabilities OR children with mental health issues OR children learning difficulties OR differently abled children OR children with special needs OR young person with disabilities OR disabled young person OR school children with disabilities OR teenagers with disabilities OR disabled teenagers AND </w:t>
            </w:r>
          </w:p>
        </w:tc>
      </w:tr>
      <w:tr w:rsidR="00DF099D" w14:paraId="2494F662" w14:textId="77777777" w:rsidTr="00DB33F6">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E3A44" w14:textId="77777777" w:rsidR="00DF099D" w:rsidRDefault="00DF099D" w:rsidP="00DB33F6">
            <w:pPr>
              <w:spacing w:line="240" w:lineRule="auto"/>
              <w:ind w:right="95"/>
              <w:jc w:val="both"/>
              <w:rPr>
                <w:rFonts w:cs="Calibri"/>
              </w:rPr>
            </w:pPr>
            <w:r>
              <w:rPr>
                <w:rFonts w:cs="Calibri"/>
              </w:rPr>
              <w:t>Concept 3</w:t>
            </w:r>
          </w:p>
        </w:tc>
        <w:tc>
          <w:tcPr>
            <w:tcW w:w="7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E0791" w14:textId="77777777" w:rsidR="00DF099D" w:rsidRDefault="00DF099D" w:rsidP="00DB33F6">
            <w:pPr>
              <w:spacing w:line="240" w:lineRule="auto"/>
              <w:ind w:right="95"/>
              <w:jc w:val="both"/>
              <w:rPr>
                <w:rFonts w:cs="Calibri"/>
              </w:rPr>
            </w:pPr>
            <w:r>
              <w:rPr>
                <w:rFonts w:cs="Calibri"/>
              </w:rPr>
              <w:t xml:space="preserve">Disability* OR condition OR disorder OR defect* OR impairment OR illness* OR handicap* OR “learning difficulty” OR “learning disability” OR “intellectual disability” OR “special needs” OR disablement OR differently able OR special educational needs OR mental health problems OR mental health concerns OR disabled AND </w:t>
            </w:r>
          </w:p>
        </w:tc>
      </w:tr>
      <w:tr w:rsidR="00DF099D" w14:paraId="24D9F9DD" w14:textId="77777777" w:rsidTr="00DB33F6">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CC3A1" w14:textId="77777777" w:rsidR="00DF099D" w:rsidRDefault="00DF099D" w:rsidP="00DB33F6">
            <w:pPr>
              <w:spacing w:line="240" w:lineRule="auto"/>
              <w:ind w:right="95"/>
              <w:jc w:val="both"/>
              <w:rPr>
                <w:rFonts w:cs="Calibri"/>
              </w:rPr>
            </w:pPr>
            <w:r>
              <w:rPr>
                <w:rFonts w:cs="Calibri"/>
              </w:rPr>
              <w:t>Concept 4</w:t>
            </w:r>
          </w:p>
        </w:tc>
        <w:tc>
          <w:tcPr>
            <w:tcW w:w="7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9A98A" w14:textId="77777777" w:rsidR="00DF099D" w:rsidRDefault="00DF099D" w:rsidP="00DB33F6">
            <w:pPr>
              <w:spacing w:line="240" w:lineRule="auto"/>
              <w:ind w:right="95"/>
              <w:jc w:val="both"/>
              <w:rPr>
                <w:rFonts w:cs="Calibri"/>
              </w:rPr>
            </w:pPr>
            <w:r>
              <w:rPr>
                <w:rFonts w:cs="Calibri"/>
              </w:rPr>
              <w:t xml:space="preserve">“Child protection” OR welfare OR safeguard* OR protect OR cyber bullying OR child abuse OR child safety OR stalking OR child protection and welfare risks OR online grooming OR online child abuse OR online exploitation OR cyberstalking OR cyberviolence OR digital coercive control OR technology-facilitated stalking OR technology facilitated abuse OR technology facilitated coercive control OR online harassment AND </w:t>
            </w:r>
          </w:p>
        </w:tc>
      </w:tr>
      <w:tr w:rsidR="00DF099D" w14:paraId="428343C6" w14:textId="77777777" w:rsidTr="00DB33F6">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35EE3" w14:textId="77777777" w:rsidR="00DF099D" w:rsidRDefault="00DF099D" w:rsidP="00DB33F6">
            <w:pPr>
              <w:spacing w:line="240" w:lineRule="auto"/>
              <w:ind w:right="95"/>
              <w:jc w:val="both"/>
              <w:rPr>
                <w:rFonts w:cs="Calibri"/>
              </w:rPr>
            </w:pPr>
            <w:r>
              <w:rPr>
                <w:rFonts w:cs="Calibri"/>
              </w:rPr>
              <w:t>Concept 5</w:t>
            </w:r>
          </w:p>
        </w:tc>
        <w:tc>
          <w:tcPr>
            <w:tcW w:w="7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C0EDE" w14:textId="77777777" w:rsidR="00DF099D" w:rsidRDefault="00DF099D" w:rsidP="00DB33F6">
            <w:pPr>
              <w:spacing w:line="240" w:lineRule="auto"/>
              <w:ind w:right="95"/>
              <w:jc w:val="both"/>
              <w:rPr>
                <w:rFonts w:cs="Calibri"/>
              </w:rPr>
            </w:pPr>
            <w:r>
              <w:rPr>
                <w:rFonts w:cs="Calibri"/>
              </w:rPr>
              <w:t xml:space="preserve">Internet* OR “Internet Use” OR “world wide web” OR “social media” OR “global computer network” OR “Facebook” OR “TikTok” OR “Snapchat” OR “WhatsApp” OR “Instagram” OR “House Party” </w:t>
            </w:r>
          </w:p>
        </w:tc>
      </w:tr>
    </w:tbl>
    <w:p w14:paraId="1D45E402" w14:textId="00F52359" w:rsidR="00DF099D" w:rsidRDefault="004E56A8" w:rsidP="00DF099D">
      <w:pPr>
        <w:pStyle w:val="Tabletitle"/>
        <w:rPr>
          <w:bCs/>
        </w:rPr>
      </w:pPr>
      <w:r>
        <w:t xml:space="preserve">Table 1. </w:t>
      </w:r>
      <w:r w:rsidR="00DF099D" w:rsidRPr="00DF099D">
        <w:rPr>
          <w:bCs/>
        </w:rPr>
        <w:t>Search Terms and Phrases</w:t>
      </w:r>
    </w:p>
    <w:p w14:paraId="685B16D5" w14:textId="77777777" w:rsidR="00DF099D" w:rsidRDefault="00DF099D" w:rsidP="00DF099D"/>
    <w:p w14:paraId="3E2CE9E5" w14:textId="77777777" w:rsidR="00DF099D" w:rsidRDefault="00DF099D" w:rsidP="00DF099D"/>
    <w:p w14:paraId="4D3664EE" w14:textId="77777777" w:rsidR="00DF099D" w:rsidRDefault="00DF099D" w:rsidP="00DF099D"/>
    <w:p w14:paraId="12CA744B" w14:textId="77777777" w:rsidR="00DF099D" w:rsidRDefault="00DF099D" w:rsidP="00DF099D"/>
    <w:p w14:paraId="48190C17" w14:textId="77777777" w:rsidR="00DF099D" w:rsidRDefault="00DF099D" w:rsidP="00DF099D"/>
    <w:p w14:paraId="695851A0" w14:textId="77777777" w:rsidR="00DF099D" w:rsidRDefault="00DF099D" w:rsidP="00DF099D"/>
    <w:p w14:paraId="4CD19E4F" w14:textId="77777777" w:rsidR="00DF099D" w:rsidRDefault="00DF099D" w:rsidP="00DF099D"/>
    <w:p w14:paraId="12C1EECE" w14:textId="77777777" w:rsidR="00DF099D" w:rsidRDefault="00DF099D" w:rsidP="00DF099D"/>
    <w:p w14:paraId="6D9AD3D0" w14:textId="77777777" w:rsidR="00DF099D" w:rsidRDefault="00DF099D" w:rsidP="00DF099D"/>
    <w:p w14:paraId="51D77BFC" w14:textId="77777777" w:rsidR="00DF099D" w:rsidRPr="00DF099D" w:rsidRDefault="00DF099D" w:rsidP="00DF099D"/>
    <w:tbl>
      <w:tblPr>
        <w:tblW w:w="9016" w:type="dxa"/>
        <w:tblCellMar>
          <w:left w:w="10" w:type="dxa"/>
          <w:right w:w="10" w:type="dxa"/>
        </w:tblCellMar>
        <w:tblLook w:val="04A0" w:firstRow="1" w:lastRow="0" w:firstColumn="1" w:lastColumn="0" w:noHBand="0" w:noVBand="1"/>
      </w:tblPr>
      <w:tblGrid>
        <w:gridCol w:w="4505"/>
        <w:gridCol w:w="4511"/>
      </w:tblGrid>
      <w:tr w:rsidR="00DF099D" w14:paraId="4E2EFE11" w14:textId="77777777" w:rsidTr="00DB33F6">
        <w:trPr>
          <w:trHeight w:val="736"/>
        </w:trPr>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C8068" w14:textId="77777777" w:rsidR="00DF099D" w:rsidRDefault="00DF099D" w:rsidP="00DB33F6">
            <w:pPr>
              <w:spacing w:before="240" w:after="240" w:line="240" w:lineRule="auto"/>
            </w:pPr>
            <w:r>
              <w:rPr>
                <w:rFonts w:cs="Calibri"/>
                <w:b/>
                <w:bCs/>
                <w:color w:val="000000"/>
                <w:lang w:eastAsia="en-IE"/>
              </w:rPr>
              <w:lastRenderedPageBreak/>
              <w:t>Inclusion Criteria</w:t>
            </w:r>
          </w:p>
        </w:tc>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6D9D0" w14:textId="77777777" w:rsidR="00DF099D" w:rsidRDefault="00DF099D" w:rsidP="00DB33F6">
            <w:pPr>
              <w:spacing w:before="240" w:after="240" w:line="240" w:lineRule="auto"/>
              <w:jc w:val="both"/>
            </w:pPr>
            <w:r>
              <w:rPr>
                <w:rFonts w:cs="Calibri"/>
                <w:b/>
                <w:bCs/>
                <w:color w:val="000000"/>
                <w:shd w:val="clear" w:color="auto" w:fill="FFFFFF"/>
                <w:lang w:eastAsia="en-IE"/>
              </w:rPr>
              <w:t>Exclusion criteria:</w:t>
            </w:r>
          </w:p>
        </w:tc>
      </w:tr>
      <w:tr w:rsidR="00DF099D" w14:paraId="52C74954" w14:textId="77777777" w:rsidTr="00DB33F6">
        <w:tc>
          <w:tcPr>
            <w:tcW w:w="4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5B59A" w14:textId="77777777" w:rsidR="00DF099D" w:rsidRDefault="00DF099D" w:rsidP="00DF099D">
            <w:pPr>
              <w:numPr>
                <w:ilvl w:val="0"/>
                <w:numId w:val="31"/>
              </w:numPr>
              <w:suppressAutoHyphens/>
              <w:autoSpaceDN w:val="0"/>
              <w:spacing w:before="240" w:after="240" w:line="240" w:lineRule="auto"/>
            </w:pPr>
            <w:r>
              <w:rPr>
                <w:rFonts w:cs="Calibri"/>
                <w:color w:val="000000"/>
                <w:lang w:eastAsia="en-IE"/>
              </w:rPr>
              <w:t>Studies based on qualitative and quantitative research strategies.</w:t>
            </w:r>
          </w:p>
          <w:p w14:paraId="50A4D692" w14:textId="77777777" w:rsidR="00DF099D" w:rsidRDefault="00DF099D" w:rsidP="00DF099D">
            <w:pPr>
              <w:numPr>
                <w:ilvl w:val="0"/>
                <w:numId w:val="31"/>
              </w:numPr>
              <w:suppressAutoHyphens/>
              <w:autoSpaceDN w:val="0"/>
              <w:spacing w:before="240" w:after="240" w:line="240" w:lineRule="auto"/>
            </w:pPr>
            <w:r>
              <w:rPr>
                <w:rFonts w:cs="Calibri"/>
                <w:color w:val="000000"/>
                <w:lang w:eastAsia="en-IE"/>
              </w:rPr>
              <w:t xml:space="preserve"> Literature of any publication status.</w:t>
            </w:r>
          </w:p>
          <w:p w14:paraId="5EC8822B" w14:textId="77777777" w:rsidR="00DF099D" w:rsidRDefault="00DF099D" w:rsidP="00DF099D">
            <w:pPr>
              <w:numPr>
                <w:ilvl w:val="0"/>
                <w:numId w:val="31"/>
              </w:numPr>
              <w:suppressAutoHyphens/>
              <w:autoSpaceDN w:val="0"/>
              <w:spacing w:before="240" w:after="240" w:line="240" w:lineRule="auto"/>
            </w:pPr>
            <w:r>
              <w:rPr>
                <w:rFonts w:cs="Calibri"/>
                <w:color w:val="000000"/>
                <w:lang w:eastAsia="en-IE"/>
              </w:rPr>
              <w:t>Literature derived from peer-reviewed journal articles, books and book chapters, reports and grey literature searches.  </w:t>
            </w:r>
          </w:p>
          <w:p w14:paraId="4D369160" w14:textId="77777777" w:rsidR="00DF099D" w:rsidRDefault="00DF099D" w:rsidP="00DB33F6">
            <w:pPr>
              <w:spacing w:before="240" w:after="240" w:line="240" w:lineRule="auto"/>
              <w:rPr>
                <w:rFonts w:cs="Calibri"/>
                <w:b/>
                <w:bCs/>
                <w:color w:val="000000"/>
                <w:lang w:eastAsia="en-IE"/>
              </w:rPr>
            </w:pPr>
          </w:p>
        </w:tc>
        <w:tc>
          <w:tcPr>
            <w:tcW w:w="4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3DCFA" w14:textId="77777777" w:rsidR="00DF099D" w:rsidRDefault="00DF099D" w:rsidP="00DF099D">
            <w:pPr>
              <w:numPr>
                <w:ilvl w:val="0"/>
                <w:numId w:val="32"/>
              </w:numPr>
              <w:suppressAutoHyphens/>
              <w:autoSpaceDN w:val="0"/>
              <w:spacing w:before="240" w:after="240" w:line="240" w:lineRule="auto"/>
              <w:jc w:val="both"/>
              <w:rPr>
                <w:rFonts w:cs="Calibri"/>
                <w:color w:val="000000"/>
                <w:lang w:eastAsia="en-IE"/>
              </w:rPr>
            </w:pPr>
            <w:r>
              <w:rPr>
                <w:rFonts w:cs="Calibri"/>
                <w:color w:val="000000"/>
                <w:lang w:eastAsia="en-IE"/>
              </w:rPr>
              <w:t>Published in a language other than English.</w:t>
            </w:r>
          </w:p>
          <w:p w14:paraId="14F13924" w14:textId="77777777" w:rsidR="00DF099D" w:rsidRDefault="00DF099D" w:rsidP="00DF099D">
            <w:pPr>
              <w:numPr>
                <w:ilvl w:val="0"/>
                <w:numId w:val="32"/>
              </w:numPr>
              <w:suppressAutoHyphens/>
              <w:autoSpaceDN w:val="0"/>
              <w:spacing w:before="240" w:after="240" w:line="240" w:lineRule="auto"/>
              <w:jc w:val="both"/>
              <w:rPr>
                <w:rFonts w:cs="Calibri"/>
                <w:color w:val="000000"/>
                <w:lang w:eastAsia="en-IE"/>
              </w:rPr>
            </w:pPr>
            <w:r>
              <w:rPr>
                <w:rFonts w:cs="Calibri"/>
                <w:color w:val="000000"/>
                <w:lang w:eastAsia="en-IE"/>
              </w:rPr>
              <w:t>Literature that focuses on one or more identities without taking an intersectional approach as a central theme.</w:t>
            </w:r>
          </w:p>
          <w:p w14:paraId="0529D726" w14:textId="77777777" w:rsidR="00DF099D" w:rsidRDefault="00DF099D" w:rsidP="00DF099D">
            <w:pPr>
              <w:numPr>
                <w:ilvl w:val="0"/>
                <w:numId w:val="32"/>
              </w:numPr>
              <w:suppressAutoHyphens/>
              <w:autoSpaceDN w:val="0"/>
              <w:spacing w:before="240" w:after="240" w:line="240" w:lineRule="auto"/>
              <w:jc w:val="both"/>
              <w:rPr>
                <w:rFonts w:cs="Calibri"/>
                <w:color w:val="000000"/>
                <w:lang w:eastAsia="en-IE"/>
              </w:rPr>
            </w:pPr>
            <w:r>
              <w:rPr>
                <w:rFonts w:cs="Calibri"/>
                <w:color w:val="000000"/>
                <w:lang w:eastAsia="en-IE"/>
              </w:rPr>
              <w:t>Research studies deemed to be of insufficient quality as determined using the Caldwell, Henshaw and Taylor (2011) research critique framework, as well as the Critical Appraisal Skills Program (CASP) framework (Critical Appraisal Skills Programme, 2018).</w:t>
            </w:r>
          </w:p>
          <w:p w14:paraId="312F81B5" w14:textId="77777777" w:rsidR="00DF099D" w:rsidRDefault="00DF099D" w:rsidP="00DF099D">
            <w:pPr>
              <w:numPr>
                <w:ilvl w:val="0"/>
                <w:numId w:val="32"/>
              </w:numPr>
              <w:suppressAutoHyphens/>
              <w:autoSpaceDN w:val="0"/>
              <w:spacing w:before="240" w:after="240" w:line="240" w:lineRule="auto"/>
              <w:jc w:val="both"/>
              <w:rPr>
                <w:rFonts w:cs="Calibri"/>
                <w:color w:val="000000"/>
                <w:lang w:eastAsia="en-IE"/>
              </w:rPr>
            </w:pPr>
            <w:r>
              <w:rPr>
                <w:rFonts w:cs="Calibri"/>
                <w:color w:val="000000"/>
                <w:lang w:eastAsia="en-IE"/>
              </w:rPr>
              <w:t>Journals that require hand searching. </w:t>
            </w:r>
          </w:p>
          <w:p w14:paraId="068FB960" w14:textId="77777777" w:rsidR="00DF099D" w:rsidRDefault="00DF099D" w:rsidP="00DF099D">
            <w:pPr>
              <w:numPr>
                <w:ilvl w:val="0"/>
                <w:numId w:val="32"/>
              </w:numPr>
              <w:suppressAutoHyphens/>
              <w:autoSpaceDN w:val="0"/>
              <w:spacing w:before="240" w:after="240" w:line="240" w:lineRule="auto"/>
              <w:jc w:val="both"/>
              <w:rPr>
                <w:rFonts w:cs="Calibri"/>
                <w:color w:val="000000"/>
                <w:lang w:eastAsia="en-IE"/>
              </w:rPr>
            </w:pPr>
            <w:r>
              <w:rPr>
                <w:rFonts w:cs="Calibri"/>
                <w:color w:val="000000"/>
                <w:lang w:eastAsia="en-IE"/>
              </w:rPr>
              <w:t>Relevant literature prior to 2017 - results retrieved were too high and the exclusion of literature prior to 2020 was applied on the 27/07/2022.</w:t>
            </w:r>
          </w:p>
        </w:tc>
      </w:tr>
    </w:tbl>
    <w:p w14:paraId="04655A69" w14:textId="5CD7100E" w:rsidR="00DF099D" w:rsidRDefault="00DF099D" w:rsidP="00DF099D">
      <w:pPr>
        <w:pStyle w:val="Tabletitle"/>
      </w:pPr>
      <w:r>
        <w:t xml:space="preserve">Table 2. </w:t>
      </w:r>
      <w:r w:rsidRPr="00DF099D">
        <w:rPr>
          <w:rFonts w:cs="Calibri"/>
          <w:color w:val="000000"/>
          <w:lang w:eastAsia="en-IE"/>
        </w:rPr>
        <w:t>Inclusion/ Exclusion criteria</w:t>
      </w:r>
    </w:p>
    <w:p w14:paraId="1273ED5A" w14:textId="77777777" w:rsidR="00DF099D" w:rsidRDefault="00DF099D" w:rsidP="00DF099D"/>
    <w:p w14:paraId="63261818" w14:textId="77777777" w:rsidR="00DF099D" w:rsidRDefault="00DF099D" w:rsidP="00DF099D"/>
    <w:p w14:paraId="0A0F4C42" w14:textId="77777777" w:rsidR="00DF099D" w:rsidRDefault="00DF099D" w:rsidP="00DF099D">
      <w:pPr>
        <w:pStyle w:val="Tabletitle"/>
      </w:pPr>
    </w:p>
    <w:p w14:paraId="31602060" w14:textId="77777777" w:rsidR="00DF099D" w:rsidRDefault="00DF099D" w:rsidP="00DF099D">
      <w:pPr>
        <w:pStyle w:val="Tabletitle"/>
      </w:pPr>
    </w:p>
    <w:p w14:paraId="18CC6426" w14:textId="77777777" w:rsidR="00DF099D" w:rsidRDefault="00DF099D" w:rsidP="00DF099D">
      <w:pPr>
        <w:pStyle w:val="Tabletitle"/>
      </w:pPr>
    </w:p>
    <w:p w14:paraId="29688A6C" w14:textId="77777777" w:rsidR="00DF099D" w:rsidRDefault="00DF099D" w:rsidP="00DF099D">
      <w:pPr>
        <w:pStyle w:val="Tabletitle"/>
      </w:pPr>
    </w:p>
    <w:p w14:paraId="65A70619" w14:textId="77777777" w:rsidR="00DF099D" w:rsidRDefault="00DF099D" w:rsidP="00DF099D">
      <w:pPr>
        <w:pStyle w:val="Tabletitle"/>
      </w:pPr>
    </w:p>
    <w:p w14:paraId="01DA4C15" w14:textId="77777777" w:rsidR="00DF099D" w:rsidRDefault="00DF099D" w:rsidP="00DF099D">
      <w:pPr>
        <w:pStyle w:val="Tabletitle"/>
      </w:pPr>
    </w:p>
    <w:p w14:paraId="1A347963" w14:textId="77777777" w:rsidR="00DF099D" w:rsidRDefault="00DF099D" w:rsidP="00DF099D">
      <w:pPr>
        <w:pStyle w:val="Tabletitle"/>
      </w:pPr>
    </w:p>
    <w:p w14:paraId="5A4FE663" w14:textId="496AEB9C" w:rsidR="00B04968" w:rsidRPr="00B04968" w:rsidRDefault="001A7029" w:rsidP="00B04968">
      <w:pPr>
        <w:suppressAutoHyphens/>
        <w:autoSpaceDN w:val="0"/>
        <w:spacing w:before="240" w:after="240" w:line="240" w:lineRule="auto"/>
        <w:ind w:left="700"/>
        <w:rPr>
          <w:rFonts w:eastAsia="Calibri"/>
          <w:kern w:val="3"/>
          <w:sz w:val="22"/>
          <w:szCs w:val="22"/>
          <w:lang w:eastAsia="en-US"/>
        </w:rPr>
      </w:pPr>
      <w:r w:rsidRPr="00B04968">
        <w:rPr>
          <w:rFonts w:eastAsia="Calibri"/>
          <w:noProof/>
          <w:kern w:val="3"/>
          <w:sz w:val="22"/>
          <w:szCs w:val="22"/>
          <w:lang w:eastAsia="en-US"/>
        </w:rPr>
        <w:lastRenderedPageBreak/>
        <mc:AlternateContent>
          <mc:Choice Requires="wps">
            <w:drawing>
              <wp:anchor distT="0" distB="0" distL="114300" distR="114300" simplePos="0" relativeHeight="251678720" behindDoc="0" locked="0" layoutInCell="1" allowOverlap="1" wp14:anchorId="0EF8FDE7" wp14:editId="12AE0138">
                <wp:simplePos x="0" y="0"/>
                <wp:positionH relativeFrom="column">
                  <wp:posOffset>3255645</wp:posOffset>
                </wp:positionH>
                <wp:positionV relativeFrom="paragraph">
                  <wp:posOffset>6351</wp:posOffset>
                </wp:positionV>
                <wp:extent cx="2268220" cy="754380"/>
                <wp:effectExtent l="0" t="0" r="17780" b="26670"/>
                <wp:wrapNone/>
                <wp:docPr id="1364037116" name="Text Box 25"/>
                <wp:cNvGraphicFramePr/>
                <a:graphic xmlns:a="http://schemas.openxmlformats.org/drawingml/2006/main">
                  <a:graphicData uri="http://schemas.microsoft.com/office/word/2010/wordprocessingShape">
                    <wps:wsp>
                      <wps:cNvSpPr txBox="1"/>
                      <wps:spPr>
                        <a:xfrm>
                          <a:off x="0" y="0"/>
                          <a:ext cx="2268220" cy="754380"/>
                        </a:xfrm>
                        <a:prstGeom prst="rect">
                          <a:avLst/>
                        </a:prstGeom>
                        <a:solidFill>
                          <a:srgbClr val="FFFFFF"/>
                        </a:solidFill>
                        <a:ln w="9528">
                          <a:solidFill>
                            <a:srgbClr val="000000"/>
                          </a:solidFill>
                          <a:prstDash val="solid"/>
                        </a:ln>
                      </wps:spPr>
                      <wps:txbx>
                        <w:txbxContent>
                          <w:p w14:paraId="59F1EA11" w14:textId="77777777" w:rsidR="00B04968" w:rsidRPr="001A7029" w:rsidRDefault="00B04968" w:rsidP="00B04968">
                            <w:pPr>
                              <w:jc w:val="center"/>
                              <w:rPr>
                                <w:b/>
                                <w:sz w:val="18"/>
                                <w:szCs w:val="18"/>
                              </w:rPr>
                            </w:pPr>
                            <w:r w:rsidRPr="001A7029">
                              <w:rPr>
                                <w:b/>
                                <w:sz w:val="18"/>
                                <w:szCs w:val="18"/>
                              </w:rPr>
                              <w:t>Additional records identified through other sources.</w:t>
                            </w:r>
                          </w:p>
                          <w:p w14:paraId="30AD7AE6" w14:textId="77777777" w:rsidR="00B04968" w:rsidRPr="001A7029" w:rsidRDefault="00B04968" w:rsidP="00B04968">
                            <w:pPr>
                              <w:jc w:val="center"/>
                              <w:rPr>
                                <w:b/>
                                <w:sz w:val="18"/>
                                <w:szCs w:val="18"/>
                              </w:rPr>
                            </w:pPr>
                            <w:r w:rsidRPr="001A7029">
                              <w:rPr>
                                <w:b/>
                                <w:sz w:val="18"/>
                                <w:szCs w:val="18"/>
                              </w:rPr>
                              <w:t>(n= 76)</w:t>
                            </w:r>
                          </w:p>
                          <w:p w14:paraId="0A50928A" w14:textId="77777777" w:rsidR="00B04968" w:rsidRPr="00B04968" w:rsidRDefault="00B04968" w:rsidP="00B04968">
                            <w:pPr>
                              <w:rPr>
                                <w:sz w:val="20"/>
                                <w:szCs w:val="20"/>
                              </w:rPr>
                            </w:pP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w14:anchorId="0EF8FDE7" id="_x0000_t202" coordsize="21600,21600" o:spt="202" path="m,l,21600r21600,l21600,xe">
                <v:stroke joinstyle="miter"/>
                <v:path gradientshapeok="t" o:connecttype="rect"/>
              </v:shapetype>
              <v:shape id="Text Box 25" o:spid="_x0000_s1026" type="#_x0000_t202" style="position:absolute;left:0;text-align:left;margin-left:256.35pt;margin-top:.5pt;width:178.6pt;height:59.4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" strokeweight=".26467mm">
                <v:textbox>
                  <w:txbxContent>
                    <w:p w14:paraId="59F1EA11" w14:textId="77777777" w:rsidR="00B04968" w:rsidRPr="001A7029" w:rsidRDefault="00B04968" w:rsidP="00B04968">
                      <w:pPr>
                        <w:jc w:val="center"/>
                        <w:rPr>
                          <w:b/>
                          <w:sz w:val="18"/>
                          <w:szCs w:val="18"/>
                        </w:rPr>
                      </w:pPr>
                      <w:r w:rsidRPr="001A7029">
                        <w:rPr>
                          <w:b/>
                          <w:sz w:val="18"/>
                          <w:szCs w:val="18"/>
                        </w:rPr>
                        <w:t>Additional records identified through other sources.</w:t>
                      </w:r>
                    </w:p>
                    <w:p w14:paraId="30AD7AE6" w14:textId="77777777" w:rsidR="00B04968" w:rsidRPr="001A7029" w:rsidRDefault="00B04968" w:rsidP="00B04968">
                      <w:pPr>
                        <w:jc w:val="center"/>
                        <w:rPr>
                          <w:b/>
                          <w:sz w:val="18"/>
                          <w:szCs w:val="18"/>
                        </w:rPr>
                      </w:pPr>
                      <w:r w:rsidRPr="001A7029">
                        <w:rPr>
                          <w:b/>
                          <w:sz w:val="18"/>
                          <w:szCs w:val="18"/>
                        </w:rPr>
                        <w:t>(n= 76)</w:t>
                      </w:r>
                    </w:p>
                    <w:p w14:paraId="0A50928A" w14:textId="77777777" w:rsidR="00B04968" w:rsidRPr="00B04968" w:rsidRDefault="00B04968" w:rsidP="00B04968">
                      <w:pPr>
                        <w:rPr>
                          <w:sz w:val="20"/>
                          <w:szCs w:val="20"/>
                        </w:rPr>
                      </w:pPr>
                    </w:p>
                  </w:txbxContent>
                </v:textbox>
              </v:shape>
            </w:pict>
          </mc:Fallback>
        </mc:AlternateContent>
      </w:r>
      <w:r w:rsidRPr="00B04968">
        <w:rPr>
          <w:rFonts w:eastAsia="Calibri"/>
          <w:noProof/>
          <w:kern w:val="3"/>
          <w:sz w:val="22"/>
          <w:szCs w:val="22"/>
          <w:lang w:eastAsia="en-US"/>
        </w:rPr>
        <mc:AlternateContent>
          <mc:Choice Requires="wps">
            <w:drawing>
              <wp:anchor distT="0" distB="0" distL="114300" distR="114300" simplePos="0" relativeHeight="251673600" behindDoc="0" locked="0" layoutInCell="1" allowOverlap="1" wp14:anchorId="584989FC" wp14:editId="5EDDB4F3">
                <wp:simplePos x="0" y="0"/>
                <wp:positionH relativeFrom="column">
                  <wp:posOffset>329565</wp:posOffset>
                </wp:positionH>
                <wp:positionV relativeFrom="paragraph">
                  <wp:posOffset>5716</wp:posOffset>
                </wp:positionV>
                <wp:extent cx="1984375" cy="762000"/>
                <wp:effectExtent l="0" t="0" r="15875" b="19050"/>
                <wp:wrapNone/>
                <wp:docPr id="691150811" name="Text Box 24"/>
                <wp:cNvGraphicFramePr/>
                <a:graphic xmlns:a="http://schemas.openxmlformats.org/drawingml/2006/main">
                  <a:graphicData uri="http://schemas.microsoft.com/office/word/2010/wordprocessingShape">
                    <wps:wsp>
                      <wps:cNvSpPr txBox="1"/>
                      <wps:spPr>
                        <a:xfrm>
                          <a:off x="0" y="0"/>
                          <a:ext cx="1984375" cy="762000"/>
                        </a:xfrm>
                        <a:prstGeom prst="rect">
                          <a:avLst/>
                        </a:prstGeom>
                        <a:solidFill>
                          <a:srgbClr val="FFFFFF"/>
                        </a:solidFill>
                        <a:ln w="9528">
                          <a:solidFill>
                            <a:srgbClr val="000000"/>
                          </a:solidFill>
                          <a:prstDash val="solid"/>
                        </a:ln>
                      </wps:spPr>
                      <wps:txbx>
                        <w:txbxContent>
                          <w:p w14:paraId="50126876" w14:textId="77777777" w:rsidR="00B04968" w:rsidRPr="001A7029" w:rsidRDefault="00B04968" w:rsidP="00B04968">
                            <w:pPr>
                              <w:jc w:val="center"/>
                              <w:rPr>
                                <w:b/>
                                <w:sz w:val="18"/>
                                <w:szCs w:val="18"/>
                              </w:rPr>
                            </w:pPr>
                            <w:r w:rsidRPr="001A7029">
                              <w:rPr>
                                <w:b/>
                                <w:sz w:val="18"/>
                                <w:szCs w:val="18"/>
                              </w:rPr>
                              <w:t>Records Identified through data-based searching.</w:t>
                            </w:r>
                          </w:p>
                          <w:p w14:paraId="6D3E56C6" w14:textId="77777777" w:rsidR="00B04968" w:rsidRPr="001A7029" w:rsidRDefault="00B04968" w:rsidP="00B04968">
                            <w:pPr>
                              <w:jc w:val="center"/>
                              <w:rPr>
                                <w:b/>
                                <w:sz w:val="18"/>
                                <w:szCs w:val="18"/>
                              </w:rPr>
                            </w:pPr>
                            <w:r w:rsidRPr="001A7029">
                              <w:rPr>
                                <w:b/>
                                <w:sz w:val="18"/>
                                <w:szCs w:val="18"/>
                              </w:rPr>
                              <w:t>(n= 926)</w:t>
                            </w:r>
                          </w:p>
                          <w:p w14:paraId="0B93D6F4" w14:textId="77777777" w:rsidR="00B04968" w:rsidRPr="00B04968" w:rsidRDefault="00B04968" w:rsidP="00B04968">
                            <w:pPr>
                              <w:rPr>
                                <w:sz w:val="20"/>
                                <w:szCs w:val="20"/>
                              </w:rPr>
                            </w:pP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584989FC" id="Text Box 24" o:spid="_x0000_s1027" type="#_x0000_t202" style="position:absolute;left:0;text-align:left;margin-left:25.95pt;margin-top:.45pt;width:156.25pt;height:60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" strokeweight=".26467mm">
                <v:textbox>
                  <w:txbxContent>
                    <w:p w14:paraId="50126876" w14:textId="77777777" w:rsidR="00B04968" w:rsidRPr="001A7029" w:rsidRDefault="00B04968" w:rsidP="00B04968">
                      <w:pPr>
                        <w:jc w:val="center"/>
                        <w:rPr>
                          <w:b/>
                          <w:sz w:val="18"/>
                          <w:szCs w:val="18"/>
                        </w:rPr>
                      </w:pPr>
                      <w:r w:rsidRPr="001A7029">
                        <w:rPr>
                          <w:b/>
                          <w:sz w:val="18"/>
                          <w:szCs w:val="18"/>
                        </w:rPr>
                        <w:t>Records Identified through data-based searching.</w:t>
                      </w:r>
                    </w:p>
                    <w:p w14:paraId="6D3E56C6" w14:textId="77777777" w:rsidR="00B04968" w:rsidRPr="001A7029" w:rsidRDefault="00B04968" w:rsidP="00B04968">
                      <w:pPr>
                        <w:jc w:val="center"/>
                        <w:rPr>
                          <w:b/>
                          <w:sz w:val="18"/>
                          <w:szCs w:val="18"/>
                        </w:rPr>
                      </w:pPr>
                      <w:r w:rsidRPr="001A7029">
                        <w:rPr>
                          <w:b/>
                          <w:sz w:val="18"/>
                          <w:szCs w:val="18"/>
                        </w:rPr>
                        <w:t>(n= 926)</w:t>
                      </w:r>
                    </w:p>
                    <w:p w14:paraId="0B93D6F4" w14:textId="77777777" w:rsidR="00B04968" w:rsidRPr="00B04968" w:rsidRDefault="00B04968" w:rsidP="00B04968">
                      <w:pPr>
                        <w:rPr>
                          <w:sz w:val="20"/>
                          <w:szCs w:val="20"/>
                        </w:rPr>
                      </w:pPr>
                    </w:p>
                  </w:txbxContent>
                </v:textbox>
              </v:shape>
            </w:pict>
          </mc:Fallback>
        </mc:AlternateContent>
      </w:r>
    </w:p>
    <w:p w14:paraId="46464572" w14:textId="33255579" w:rsidR="00B04968" w:rsidRPr="00B04968" w:rsidRDefault="00B04968" w:rsidP="00B04968">
      <w:pPr>
        <w:suppressAutoHyphens/>
        <w:autoSpaceDN w:val="0"/>
        <w:spacing w:before="240" w:after="240" w:line="240" w:lineRule="auto"/>
        <w:ind w:left="700"/>
        <w:rPr>
          <w:rFonts w:eastAsia="Calibri"/>
          <w:kern w:val="3"/>
          <w:sz w:val="22"/>
          <w:szCs w:val="22"/>
          <w:lang w:eastAsia="en-US"/>
        </w:rPr>
      </w:pPr>
      <w:r w:rsidRPr="00B04968">
        <w:rPr>
          <w:rFonts w:eastAsia="Calibri"/>
          <w:sz w:val="22"/>
          <w:szCs w:val="22"/>
          <w:lang w:eastAsia="en-US"/>
        </w:rPr>
        <w:tab/>
      </w:r>
      <w:r w:rsidRPr="00B04968">
        <w:rPr>
          <w:rFonts w:eastAsia="Calibri"/>
          <w:sz w:val="22"/>
          <w:szCs w:val="22"/>
          <w:lang w:eastAsia="en-US"/>
        </w:rPr>
        <w:tab/>
      </w:r>
      <w:r w:rsidRPr="00B04968">
        <w:rPr>
          <w:rFonts w:eastAsia="Calibri"/>
          <w:sz w:val="22"/>
          <w:szCs w:val="22"/>
          <w:lang w:eastAsia="en-US"/>
        </w:rPr>
        <w:tab/>
      </w:r>
      <w:r w:rsidRPr="00B04968">
        <w:rPr>
          <w:rFonts w:eastAsia="Calibri"/>
          <w:sz w:val="22"/>
          <w:szCs w:val="22"/>
          <w:lang w:eastAsia="en-US"/>
        </w:rPr>
        <w:tab/>
      </w:r>
      <w:r w:rsidRPr="00B04968">
        <w:rPr>
          <w:rFonts w:eastAsia="Calibri"/>
          <w:sz w:val="22"/>
          <w:szCs w:val="22"/>
          <w:lang w:eastAsia="en-US"/>
        </w:rPr>
        <w:tab/>
      </w:r>
      <w:r w:rsidRPr="00B04968">
        <w:rPr>
          <w:rFonts w:eastAsia="Calibri"/>
          <w:sz w:val="22"/>
          <w:szCs w:val="22"/>
          <w:lang w:eastAsia="en-US"/>
        </w:rPr>
        <w:tab/>
      </w:r>
      <w:r w:rsidRPr="00B04968">
        <w:rPr>
          <w:rFonts w:eastAsia="Calibri"/>
          <w:b/>
          <w:bCs/>
          <w:sz w:val="22"/>
          <w:szCs w:val="22"/>
          <w:lang w:eastAsia="en-US"/>
        </w:rPr>
        <w:t>→</w:t>
      </w:r>
    </w:p>
    <w:p w14:paraId="10E30C52" w14:textId="2B851B7D" w:rsidR="00B04968" w:rsidRPr="00B04968" w:rsidRDefault="001A7029" w:rsidP="00B04968">
      <w:pPr>
        <w:suppressAutoHyphens/>
        <w:autoSpaceDN w:val="0"/>
        <w:spacing w:before="240" w:after="240" w:line="240" w:lineRule="auto"/>
        <w:ind w:left="700"/>
        <w:rPr>
          <w:rFonts w:eastAsia="Calibri"/>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85888" behindDoc="0" locked="0" layoutInCell="1" allowOverlap="1" wp14:anchorId="152C1860" wp14:editId="562BA66D">
                <wp:simplePos x="0" y="0"/>
                <wp:positionH relativeFrom="column">
                  <wp:posOffset>3406140</wp:posOffset>
                </wp:positionH>
                <wp:positionV relativeFrom="paragraph">
                  <wp:posOffset>140970</wp:posOffset>
                </wp:positionV>
                <wp:extent cx="10800" cy="352800"/>
                <wp:effectExtent l="57150" t="0" r="84455" b="66675"/>
                <wp:wrapNone/>
                <wp:docPr id="1779363383"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type w14:anchorId="2289B736" id="_x0000_t32" coordsize="21600,21600" o:spt="32" o:oned="t" path="m,l21600,21600e" filled="f">
                <v:path arrowok="t" fillok="f" o:connecttype="none"/>
                <o:lock v:ext="edit" shapetype="t"/>
              </v:shapetype>
              <v:shape id="Straight Arrow Connector 22" o:spid="_x0000_s1026" type="#_x0000_t32" style="position:absolute;margin-left:268.2pt;margin-top:11.1pt;width:.85pt;height:27.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" strokeweight=".26467mm">
                <v:stroke endarrow="open"/>
              </v:shape>
            </w:pict>
          </mc:Fallback>
        </mc:AlternateContent>
      </w:r>
      <w:r w:rsidRPr="00B04968">
        <w:rPr>
          <w:rFonts w:eastAsia="Calibri"/>
          <w:noProof/>
          <w:kern w:val="3"/>
          <w:sz w:val="22"/>
          <w:szCs w:val="22"/>
          <w:lang w:eastAsia="en-US"/>
        </w:rPr>
        <mc:AlternateContent>
          <mc:Choice Requires="wps">
            <w:drawing>
              <wp:anchor distT="0" distB="0" distL="114300" distR="114300" simplePos="0" relativeHeight="251660288" behindDoc="0" locked="0" layoutInCell="1" allowOverlap="1" wp14:anchorId="715D2866" wp14:editId="30C60783">
                <wp:simplePos x="0" y="0"/>
                <wp:positionH relativeFrom="column">
                  <wp:posOffset>2139950</wp:posOffset>
                </wp:positionH>
                <wp:positionV relativeFrom="paragraph">
                  <wp:posOffset>126365</wp:posOffset>
                </wp:positionV>
                <wp:extent cx="10800" cy="352800"/>
                <wp:effectExtent l="57150" t="0" r="84455" b="66675"/>
                <wp:wrapNone/>
                <wp:docPr id="1350303316"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2E88CCA1" id="Straight Arrow Connector 22" o:spid="_x0000_s1026" type="#_x0000_t32" style="position:absolute;margin-left:168.5pt;margin-top:9.95pt;width:.85pt;height:2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" strokeweight=".26467mm">
                <v:stroke endarrow="open"/>
              </v:shape>
            </w:pict>
          </mc:Fallback>
        </mc:AlternateContent>
      </w:r>
    </w:p>
    <w:p w14:paraId="715C5A76" w14:textId="762AFFA9" w:rsidR="00B04968" w:rsidRPr="00B04968" w:rsidRDefault="001A7029" w:rsidP="00B04968">
      <w:pPr>
        <w:suppressAutoHyphens/>
        <w:autoSpaceDN w:val="0"/>
        <w:spacing w:before="240" w:after="240" w:line="240" w:lineRule="auto"/>
        <w:ind w:left="700"/>
        <w:rPr>
          <w:rFonts w:eastAsia="Calibri"/>
          <w:kern w:val="3"/>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61312" behindDoc="0" locked="0" layoutInCell="1" allowOverlap="1" wp14:anchorId="43E8F073" wp14:editId="38C7ED16">
                <wp:simplePos x="0" y="0"/>
                <wp:positionH relativeFrom="margin">
                  <wp:align>center</wp:align>
                </wp:positionH>
                <wp:positionV relativeFrom="paragraph">
                  <wp:posOffset>171450</wp:posOffset>
                </wp:positionV>
                <wp:extent cx="2091690" cy="502920"/>
                <wp:effectExtent l="0" t="0" r="22860" b="11430"/>
                <wp:wrapNone/>
                <wp:docPr id="103488643" name="Text Box 21"/>
                <wp:cNvGraphicFramePr/>
                <a:graphic xmlns:a="http://schemas.openxmlformats.org/drawingml/2006/main">
                  <a:graphicData uri="http://schemas.microsoft.com/office/word/2010/wordprocessingShape">
                    <wps:wsp>
                      <wps:cNvSpPr txBox="1"/>
                      <wps:spPr>
                        <a:xfrm>
                          <a:off x="0" y="0"/>
                          <a:ext cx="2091690" cy="502920"/>
                        </a:xfrm>
                        <a:prstGeom prst="rect">
                          <a:avLst/>
                        </a:prstGeom>
                        <a:solidFill>
                          <a:srgbClr val="FFFFFF"/>
                        </a:solidFill>
                        <a:ln w="9528">
                          <a:solidFill>
                            <a:srgbClr val="000000"/>
                          </a:solidFill>
                          <a:prstDash val="solid"/>
                        </a:ln>
                      </wps:spPr>
                      <wps:txbx>
                        <w:txbxContent>
                          <w:p w14:paraId="41AA0D35" w14:textId="77777777" w:rsidR="00B04968" w:rsidRPr="001A7029" w:rsidRDefault="00B04968" w:rsidP="00B04968">
                            <w:pPr>
                              <w:jc w:val="center"/>
                              <w:rPr>
                                <w:b/>
                                <w:sz w:val="18"/>
                                <w:szCs w:val="18"/>
                              </w:rPr>
                            </w:pPr>
                            <w:r w:rsidRPr="001A7029">
                              <w:rPr>
                                <w:b/>
                                <w:sz w:val="18"/>
                                <w:szCs w:val="18"/>
                              </w:rPr>
                              <w:t>Records and duplicates removed.</w:t>
                            </w:r>
                          </w:p>
                          <w:p w14:paraId="33C9776E" w14:textId="77777777" w:rsidR="00B04968" w:rsidRPr="001A7029" w:rsidRDefault="00B04968" w:rsidP="00B04968">
                            <w:pPr>
                              <w:jc w:val="center"/>
                              <w:rPr>
                                <w:b/>
                                <w:sz w:val="18"/>
                                <w:szCs w:val="18"/>
                              </w:rPr>
                            </w:pPr>
                            <w:r w:rsidRPr="001A7029">
                              <w:rPr>
                                <w:b/>
                                <w:sz w:val="18"/>
                                <w:szCs w:val="18"/>
                              </w:rPr>
                              <w:t>(n= 367)</w:t>
                            </w:r>
                          </w:p>
                          <w:p w14:paraId="52F7943F" w14:textId="77777777" w:rsidR="00B04968" w:rsidRDefault="00B04968" w:rsidP="00B04968"/>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43E8F073" id="Text Box 21" o:spid="_x0000_s1028" type="#_x0000_t202" style="position:absolute;left:0;text-align:left;margin-left:0;margin-top:13.5pt;width:164.7pt;height:39.6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" strokeweight=".26467mm">
                <v:textbox>
                  <w:txbxContent>
                    <w:p w14:paraId="41AA0D35" w14:textId="77777777" w:rsidR="00B04968" w:rsidRPr="001A7029" w:rsidRDefault="00B04968" w:rsidP="00B04968">
                      <w:pPr>
                        <w:jc w:val="center"/>
                        <w:rPr>
                          <w:b/>
                          <w:sz w:val="18"/>
                          <w:szCs w:val="18"/>
                        </w:rPr>
                      </w:pPr>
                      <w:r w:rsidRPr="001A7029">
                        <w:rPr>
                          <w:b/>
                          <w:sz w:val="18"/>
                          <w:szCs w:val="18"/>
                        </w:rPr>
                        <w:t>Records and duplicates removed.</w:t>
                      </w:r>
                    </w:p>
                    <w:p w14:paraId="33C9776E" w14:textId="77777777" w:rsidR="00B04968" w:rsidRPr="001A7029" w:rsidRDefault="00B04968" w:rsidP="00B04968">
                      <w:pPr>
                        <w:jc w:val="center"/>
                        <w:rPr>
                          <w:b/>
                          <w:sz w:val="18"/>
                          <w:szCs w:val="18"/>
                        </w:rPr>
                      </w:pPr>
                      <w:r w:rsidRPr="001A7029">
                        <w:rPr>
                          <w:b/>
                          <w:sz w:val="18"/>
                          <w:szCs w:val="18"/>
                        </w:rPr>
                        <w:t>(n= 367)</w:t>
                      </w:r>
                    </w:p>
                    <w:p w14:paraId="52F7943F" w14:textId="77777777" w:rsidR="00B04968" w:rsidRDefault="00B04968" w:rsidP="00B04968"/>
                  </w:txbxContent>
                </v:textbox>
                <w10:wrap anchorx="margin"/>
              </v:shape>
            </w:pict>
          </mc:Fallback>
        </mc:AlternateContent>
      </w:r>
    </w:p>
    <w:p w14:paraId="7F07554D" w14:textId="48761C5D" w:rsidR="00B04968" w:rsidRPr="00B04968" w:rsidRDefault="00B04968" w:rsidP="00B04968">
      <w:pPr>
        <w:suppressAutoHyphens/>
        <w:autoSpaceDN w:val="0"/>
        <w:spacing w:before="240" w:after="240" w:line="240" w:lineRule="auto"/>
        <w:ind w:left="700"/>
        <w:rPr>
          <w:rFonts w:eastAsia="Calibri"/>
          <w:kern w:val="3"/>
          <w:sz w:val="22"/>
          <w:szCs w:val="22"/>
          <w:lang w:eastAsia="en-US"/>
        </w:rPr>
      </w:pPr>
      <w:r w:rsidRPr="00B04968">
        <w:rPr>
          <w:rFonts w:eastAsia="Calibri"/>
          <w:sz w:val="22"/>
          <w:szCs w:val="22"/>
          <w:lang w:eastAsia="en-US"/>
        </w:rPr>
        <w:tab/>
      </w:r>
      <w:r w:rsidRPr="00B04968">
        <w:rPr>
          <w:rFonts w:eastAsia="Calibri"/>
          <w:sz w:val="22"/>
          <w:szCs w:val="22"/>
          <w:lang w:eastAsia="en-US"/>
        </w:rPr>
        <w:tab/>
      </w:r>
    </w:p>
    <w:p w14:paraId="576075AA" w14:textId="6884CDCD" w:rsidR="00B04968" w:rsidRPr="00B04968" w:rsidRDefault="00725FBD" w:rsidP="00B04968">
      <w:pPr>
        <w:suppressAutoHyphens/>
        <w:autoSpaceDN w:val="0"/>
        <w:spacing w:before="240" w:after="240" w:line="240" w:lineRule="auto"/>
        <w:ind w:left="700"/>
        <w:rPr>
          <w:rFonts w:eastAsia="Calibri"/>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87936" behindDoc="0" locked="0" layoutInCell="1" allowOverlap="1" wp14:anchorId="7841B290" wp14:editId="5A6AA31B">
                <wp:simplePos x="0" y="0"/>
                <wp:positionH relativeFrom="margin">
                  <wp:align>center</wp:align>
                </wp:positionH>
                <wp:positionV relativeFrom="paragraph">
                  <wp:posOffset>48260</wp:posOffset>
                </wp:positionV>
                <wp:extent cx="10800" cy="352800"/>
                <wp:effectExtent l="57150" t="0" r="84455" b="66675"/>
                <wp:wrapNone/>
                <wp:docPr id="1352880081"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501EEAA9" id="Straight Arrow Connector 22" o:spid="_x0000_s1026" type="#_x0000_t32" style="position:absolute;margin-left:0;margin-top:3.8pt;width:.85pt;height:27.8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" strokeweight=".26467mm">
                <v:stroke endarrow="open"/>
                <w10:wrap anchorx="margin"/>
              </v:shape>
            </w:pict>
          </mc:Fallback>
        </mc:AlternateContent>
      </w:r>
    </w:p>
    <w:p w14:paraId="2A8EDCFE" w14:textId="5941BE60" w:rsidR="00B04968" w:rsidRPr="00B04968" w:rsidRDefault="00725FBD" w:rsidP="00B04968">
      <w:pPr>
        <w:suppressAutoHyphens/>
        <w:autoSpaceDN w:val="0"/>
        <w:spacing w:before="240" w:after="240" w:line="240" w:lineRule="auto"/>
        <w:ind w:left="700"/>
        <w:rPr>
          <w:rFonts w:eastAsia="Calibri"/>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63360" behindDoc="0" locked="0" layoutInCell="1" allowOverlap="1" wp14:anchorId="0C0C93E0" wp14:editId="166CD2BB">
                <wp:simplePos x="0" y="0"/>
                <wp:positionH relativeFrom="column">
                  <wp:posOffset>4121785</wp:posOffset>
                </wp:positionH>
                <wp:positionV relativeFrom="paragraph">
                  <wp:posOffset>76200</wp:posOffset>
                </wp:positionV>
                <wp:extent cx="1985647" cy="533400"/>
                <wp:effectExtent l="0" t="0" r="14605" b="19050"/>
                <wp:wrapNone/>
                <wp:docPr id="1763572808" name="Text Box 19"/>
                <wp:cNvGraphicFramePr/>
                <a:graphic xmlns:a="http://schemas.openxmlformats.org/drawingml/2006/main">
                  <a:graphicData uri="http://schemas.microsoft.com/office/word/2010/wordprocessingShape">
                    <wps:wsp>
                      <wps:cNvSpPr txBox="1"/>
                      <wps:spPr>
                        <a:xfrm>
                          <a:off x="0" y="0"/>
                          <a:ext cx="1985647" cy="533400"/>
                        </a:xfrm>
                        <a:prstGeom prst="rect">
                          <a:avLst/>
                        </a:prstGeom>
                        <a:solidFill>
                          <a:srgbClr val="FFFFFF"/>
                        </a:solidFill>
                        <a:ln w="9528">
                          <a:solidFill>
                            <a:srgbClr val="000000"/>
                          </a:solidFill>
                          <a:prstDash val="solid"/>
                        </a:ln>
                      </wps:spPr>
                      <wps:txbx>
                        <w:txbxContent>
                          <w:p w14:paraId="7EFF1431" w14:textId="77777777" w:rsidR="00B04968" w:rsidRPr="001A7029" w:rsidRDefault="00B04968" w:rsidP="00B04968">
                            <w:pPr>
                              <w:jc w:val="center"/>
                              <w:rPr>
                                <w:b/>
                                <w:sz w:val="18"/>
                                <w:szCs w:val="18"/>
                              </w:rPr>
                            </w:pPr>
                            <w:r w:rsidRPr="001A7029">
                              <w:rPr>
                                <w:b/>
                                <w:sz w:val="18"/>
                                <w:szCs w:val="18"/>
                              </w:rPr>
                              <w:t>Total records excluded.</w:t>
                            </w:r>
                          </w:p>
                          <w:p w14:paraId="1AB69DCE" w14:textId="77777777" w:rsidR="00B04968" w:rsidRPr="001A7029" w:rsidRDefault="00B04968" w:rsidP="00B04968">
                            <w:pPr>
                              <w:jc w:val="center"/>
                              <w:rPr>
                                <w:b/>
                                <w:sz w:val="18"/>
                                <w:szCs w:val="18"/>
                              </w:rPr>
                            </w:pPr>
                            <w:r w:rsidRPr="001A7029">
                              <w:rPr>
                                <w:b/>
                                <w:sz w:val="18"/>
                                <w:szCs w:val="18"/>
                              </w:rPr>
                              <w:t>(n = 393)</w:t>
                            </w:r>
                          </w:p>
                          <w:p w14:paraId="6AD0A101" w14:textId="77777777" w:rsidR="00B04968" w:rsidRDefault="00B04968" w:rsidP="00B04968"/>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0C0C93E0" id="Text Box 19" o:spid="_x0000_s1029" type="#_x0000_t202" style="position:absolute;left:0;text-align:left;margin-left:324.55pt;margin-top:6pt;width:156.35pt;height:4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" strokeweight=".26467mm">
                <v:textbox>
                  <w:txbxContent>
                    <w:p w14:paraId="7EFF1431" w14:textId="77777777" w:rsidR="00B04968" w:rsidRPr="001A7029" w:rsidRDefault="00B04968" w:rsidP="00B04968">
                      <w:pPr>
                        <w:jc w:val="center"/>
                        <w:rPr>
                          <w:b/>
                          <w:sz w:val="18"/>
                          <w:szCs w:val="18"/>
                        </w:rPr>
                      </w:pPr>
                      <w:r w:rsidRPr="001A7029">
                        <w:rPr>
                          <w:b/>
                          <w:sz w:val="18"/>
                          <w:szCs w:val="18"/>
                        </w:rPr>
                        <w:t>Total records excluded.</w:t>
                      </w:r>
                    </w:p>
                    <w:p w14:paraId="1AB69DCE" w14:textId="77777777" w:rsidR="00B04968" w:rsidRPr="001A7029" w:rsidRDefault="00B04968" w:rsidP="00B04968">
                      <w:pPr>
                        <w:jc w:val="center"/>
                        <w:rPr>
                          <w:b/>
                          <w:sz w:val="18"/>
                          <w:szCs w:val="18"/>
                        </w:rPr>
                      </w:pPr>
                      <w:r w:rsidRPr="001A7029">
                        <w:rPr>
                          <w:b/>
                          <w:sz w:val="18"/>
                          <w:szCs w:val="18"/>
                        </w:rPr>
                        <w:t>(n = 393)</w:t>
                      </w:r>
                    </w:p>
                    <w:p w14:paraId="6AD0A101" w14:textId="77777777" w:rsidR="00B04968" w:rsidRDefault="00B04968" w:rsidP="00B04968"/>
                  </w:txbxContent>
                </v:textbox>
              </v:shape>
            </w:pict>
          </mc:Fallback>
        </mc:AlternateContent>
      </w:r>
      <w:r w:rsidRPr="00B04968">
        <w:rPr>
          <w:rFonts w:eastAsia="Calibri"/>
          <w:noProof/>
          <w:kern w:val="3"/>
          <w:sz w:val="22"/>
          <w:szCs w:val="22"/>
          <w:lang w:eastAsia="en-US"/>
        </w:rPr>
        <mc:AlternateContent>
          <mc:Choice Requires="wps">
            <w:drawing>
              <wp:anchor distT="0" distB="0" distL="114300" distR="114300" simplePos="0" relativeHeight="251664384" behindDoc="0" locked="0" layoutInCell="1" allowOverlap="1" wp14:anchorId="43BFC446" wp14:editId="753562C9">
                <wp:simplePos x="0" y="0"/>
                <wp:positionH relativeFrom="margin">
                  <wp:align>center</wp:align>
                </wp:positionH>
                <wp:positionV relativeFrom="paragraph">
                  <wp:posOffset>90805</wp:posOffset>
                </wp:positionV>
                <wp:extent cx="2091690" cy="518160"/>
                <wp:effectExtent l="0" t="0" r="22860" b="15240"/>
                <wp:wrapNone/>
                <wp:docPr id="197135332" name="Text Box 18"/>
                <wp:cNvGraphicFramePr/>
                <a:graphic xmlns:a="http://schemas.openxmlformats.org/drawingml/2006/main">
                  <a:graphicData uri="http://schemas.microsoft.com/office/word/2010/wordprocessingShape">
                    <wps:wsp>
                      <wps:cNvSpPr txBox="1"/>
                      <wps:spPr>
                        <a:xfrm>
                          <a:off x="0" y="0"/>
                          <a:ext cx="2091690" cy="518160"/>
                        </a:xfrm>
                        <a:prstGeom prst="rect">
                          <a:avLst/>
                        </a:prstGeom>
                        <a:solidFill>
                          <a:srgbClr val="FFFFFF"/>
                        </a:solidFill>
                        <a:ln w="9528">
                          <a:solidFill>
                            <a:srgbClr val="000000"/>
                          </a:solidFill>
                          <a:prstDash val="solid"/>
                        </a:ln>
                      </wps:spPr>
                      <wps:txbx>
                        <w:txbxContent>
                          <w:p w14:paraId="60BD93E7" w14:textId="77777777" w:rsidR="00B04968" w:rsidRPr="001A7029" w:rsidRDefault="00B04968" w:rsidP="00B04968">
                            <w:pPr>
                              <w:jc w:val="center"/>
                              <w:rPr>
                                <w:b/>
                                <w:sz w:val="18"/>
                                <w:szCs w:val="18"/>
                              </w:rPr>
                            </w:pPr>
                            <w:r w:rsidRPr="001A7029">
                              <w:rPr>
                                <w:b/>
                                <w:sz w:val="18"/>
                                <w:szCs w:val="18"/>
                              </w:rPr>
                              <w:t>Records screened.</w:t>
                            </w:r>
                          </w:p>
                          <w:p w14:paraId="63DFFE86" w14:textId="77777777" w:rsidR="00B04968" w:rsidRPr="001A7029" w:rsidRDefault="00B04968" w:rsidP="00B04968">
                            <w:pPr>
                              <w:jc w:val="center"/>
                              <w:rPr>
                                <w:b/>
                                <w:sz w:val="18"/>
                                <w:szCs w:val="18"/>
                              </w:rPr>
                            </w:pPr>
                            <w:r w:rsidRPr="001A7029">
                              <w:rPr>
                                <w:b/>
                                <w:sz w:val="18"/>
                                <w:szCs w:val="18"/>
                              </w:rPr>
                              <w:t>(n = 635)</w:t>
                            </w:r>
                          </w:p>
                          <w:p w14:paraId="23345351" w14:textId="77777777" w:rsidR="00B04968" w:rsidRDefault="00B04968" w:rsidP="00B04968"/>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43BFC446" id="Text Box 18" o:spid="_x0000_s1030" type="#_x0000_t202" style="position:absolute;left:0;text-align:left;margin-left:0;margin-top:7.15pt;width:164.7pt;height:40.8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" strokeweight=".26467mm">
                <v:textbox>
                  <w:txbxContent>
                    <w:p w14:paraId="60BD93E7" w14:textId="77777777" w:rsidR="00B04968" w:rsidRPr="001A7029" w:rsidRDefault="00B04968" w:rsidP="00B04968">
                      <w:pPr>
                        <w:jc w:val="center"/>
                        <w:rPr>
                          <w:b/>
                          <w:sz w:val="18"/>
                          <w:szCs w:val="18"/>
                        </w:rPr>
                      </w:pPr>
                      <w:r w:rsidRPr="001A7029">
                        <w:rPr>
                          <w:b/>
                          <w:sz w:val="18"/>
                          <w:szCs w:val="18"/>
                        </w:rPr>
                        <w:t>Records screened.</w:t>
                      </w:r>
                    </w:p>
                    <w:p w14:paraId="63DFFE86" w14:textId="77777777" w:rsidR="00B04968" w:rsidRPr="001A7029" w:rsidRDefault="00B04968" w:rsidP="00B04968">
                      <w:pPr>
                        <w:jc w:val="center"/>
                        <w:rPr>
                          <w:b/>
                          <w:sz w:val="18"/>
                          <w:szCs w:val="18"/>
                        </w:rPr>
                      </w:pPr>
                      <w:r w:rsidRPr="001A7029">
                        <w:rPr>
                          <w:b/>
                          <w:sz w:val="18"/>
                          <w:szCs w:val="18"/>
                        </w:rPr>
                        <w:t>(n = 635)</w:t>
                      </w:r>
                    </w:p>
                    <w:p w14:paraId="23345351" w14:textId="77777777" w:rsidR="00B04968" w:rsidRDefault="00B04968" w:rsidP="00B04968"/>
                  </w:txbxContent>
                </v:textbox>
                <w10:wrap anchorx="margin"/>
              </v:shape>
            </w:pict>
          </mc:Fallback>
        </mc:AlternateContent>
      </w:r>
    </w:p>
    <w:p w14:paraId="45C0B4C5" w14:textId="307EF6E3" w:rsidR="00B04968" w:rsidRPr="00B04968" w:rsidRDefault="00725FBD" w:rsidP="00B04968">
      <w:pPr>
        <w:suppressAutoHyphens/>
        <w:autoSpaceDN w:val="0"/>
        <w:spacing w:before="240" w:after="240" w:line="240" w:lineRule="auto"/>
        <w:ind w:left="700"/>
        <w:rPr>
          <w:rFonts w:eastAsia="Calibri"/>
          <w:kern w:val="3"/>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96128" behindDoc="0" locked="0" layoutInCell="1" allowOverlap="1" wp14:anchorId="727A62A3" wp14:editId="55220393">
                <wp:simplePos x="0" y="0"/>
                <wp:positionH relativeFrom="margin">
                  <wp:posOffset>5166360</wp:posOffset>
                </wp:positionH>
                <wp:positionV relativeFrom="paragraph">
                  <wp:posOffset>305435</wp:posOffset>
                </wp:positionV>
                <wp:extent cx="10800" cy="352800"/>
                <wp:effectExtent l="57150" t="0" r="84455" b="66675"/>
                <wp:wrapNone/>
                <wp:docPr id="1792244604"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28579B45" id="Straight Arrow Connector 22" o:spid="_x0000_s1026" type="#_x0000_t32" style="position:absolute;margin-left:406.8pt;margin-top:24.05pt;width:.85pt;height:27.8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" strokeweight=".26467mm">
                <v:stroke endarrow="open"/>
                <w10:wrap anchorx="margin"/>
              </v:shape>
            </w:pict>
          </mc:Fallback>
        </mc:AlternateContent>
      </w:r>
      <w:r w:rsidRPr="00B04968">
        <w:rPr>
          <w:rFonts w:eastAsia="Calibri"/>
          <w:noProof/>
          <w:kern w:val="3"/>
          <w:sz w:val="22"/>
          <w:szCs w:val="22"/>
          <w:lang w:eastAsia="en-US"/>
        </w:rPr>
        <mc:AlternateContent>
          <mc:Choice Requires="wps">
            <w:drawing>
              <wp:anchor distT="0" distB="0" distL="114300" distR="114300" simplePos="0" relativeHeight="251689984" behindDoc="0" locked="0" layoutInCell="1" allowOverlap="1" wp14:anchorId="05E99ED6" wp14:editId="73911EC3">
                <wp:simplePos x="0" y="0"/>
                <wp:positionH relativeFrom="margin">
                  <wp:posOffset>2709545</wp:posOffset>
                </wp:positionH>
                <wp:positionV relativeFrom="paragraph">
                  <wp:posOffset>290195</wp:posOffset>
                </wp:positionV>
                <wp:extent cx="10800" cy="352800"/>
                <wp:effectExtent l="57150" t="0" r="84455" b="66675"/>
                <wp:wrapNone/>
                <wp:docPr id="842209473"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60FC3875" id="Straight Arrow Connector 22" o:spid="_x0000_s1026" type="#_x0000_t32" style="position:absolute;margin-left:213.35pt;margin-top:22.85pt;width:.85pt;height:27.8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" strokeweight=".26467mm">
                <v:stroke endarrow="open"/>
                <w10:wrap anchorx="margin"/>
              </v:shape>
            </w:pict>
          </mc:Fallback>
        </mc:AlternateContent>
      </w:r>
    </w:p>
    <w:p w14:paraId="0CE3C1C3" w14:textId="1390EB44" w:rsidR="00B04968" w:rsidRPr="00B04968" w:rsidRDefault="00B04968" w:rsidP="00B04968">
      <w:pPr>
        <w:suppressAutoHyphens/>
        <w:autoSpaceDN w:val="0"/>
        <w:spacing w:before="240" w:after="240" w:line="240" w:lineRule="auto"/>
        <w:ind w:left="700"/>
        <w:rPr>
          <w:rFonts w:eastAsia="Calibri"/>
          <w:kern w:val="3"/>
          <w:sz w:val="22"/>
          <w:szCs w:val="22"/>
          <w:lang w:eastAsia="en-US"/>
        </w:rPr>
      </w:pPr>
    </w:p>
    <w:p w14:paraId="188D014D" w14:textId="7F3762C6" w:rsidR="00B04968" w:rsidRPr="00B04968" w:rsidRDefault="00725FBD" w:rsidP="00B04968">
      <w:pPr>
        <w:suppressAutoHyphens/>
        <w:autoSpaceDN w:val="0"/>
        <w:spacing w:before="240" w:after="240" w:line="240" w:lineRule="auto"/>
        <w:ind w:left="700"/>
        <w:rPr>
          <w:rFonts w:eastAsia="Calibri"/>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66432" behindDoc="0" locked="0" layoutInCell="1" allowOverlap="1" wp14:anchorId="6EF0A449" wp14:editId="4992E0DB">
                <wp:simplePos x="0" y="0"/>
                <wp:positionH relativeFrom="column">
                  <wp:posOffset>4204970</wp:posOffset>
                </wp:positionH>
                <wp:positionV relativeFrom="paragraph">
                  <wp:posOffset>46355</wp:posOffset>
                </wp:positionV>
                <wp:extent cx="1964058" cy="1569720"/>
                <wp:effectExtent l="0" t="0" r="17145" b="11430"/>
                <wp:wrapNone/>
                <wp:docPr id="2076991676" name="Text Box 15"/>
                <wp:cNvGraphicFramePr/>
                <a:graphic xmlns:a="http://schemas.openxmlformats.org/drawingml/2006/main">
                  <a:graphicData uri="http://schemas.microsoft.com/office/word/2010/wordprocessingShape">
                    <wps:wsp>
                      <wps:cNvSpPr txBox="1"/>
                      <wps:spPr>
                        <a:xfrm>
                          <a:off x="0" y="0"/>
                          <a:ext cx="1964058" cy="1569720"/>
                        </a:xfrm>
                        <a:prstGeom prst="rect">
                          <a:avLst/>
                        </a:prstGeom>
                        <a:solidFill>
                          <a:srgbClr val="FFFFFF"/>
                        </a:solidFill>
                        <a:ln w="9528">
                          <a:solidFill>
                            <a:srgbClr val="000000"/>
                          </a:solidFill>
                          <a:prstDash val="solid"/>
                        </a:ln>
                      </wps:spPr>
                      <wps:txbx>
                        <w:txbxContent>
                          <w:p w14:paraId="296D0ED6" w14:textId="77777777" w:rsidR="00B04968" w:rsidRPr="001A7029" w:rsidRDefault="00B04968" w:rsidP="00B04968">
                            <w:pPr>
                              <w:jc w:val="center"/>
                              <w:rPr>
                                <w:b/>
                                <w:sz w:val="18"/>
                                <w:szCs w:val="18"/>
                              </w:rPr>
                            </w:pPr>
                            <w:r w:rsidRPr="001A7029">
                              <w:rPr>
                                <w:b/>
                                <w:sz w:val="18"/>
                                <w:szCs w:val="18"/>
                              </w:rPr>
                              <w:t>Full text articles excluded with reasons.</w:t>
                            </w:r>
                          </w:p>
                          <w:p w14:paraId="57DEFB5C" w14:textId="77777777" w:rsidR="00B04968" w:rsidRPr="001A7029" w:rsidRDefault="00B04968" w:rsidP="00B04968">
                            <w:pPr>
                              <w:jc w:val="center"/>
                              <w:rPr>
                                <w:b/>
                                <w:sz w:val="18"/>
                                <w:szCs w:val="18"/>
                              </w:rPr>
                            </w:pPr>
                            <w:r w:rsidRPr="001A7029">
                              <w:rPr>
                                <w:b/>
                                <w:sz w:val="18"/>
                                <w:szCs w:val="18"/>
                              </w:rPr>
                              <w:t>Not relevant (n= 53)</w:t>
                            </w:r>
                          </w:p>
                          <w:p w14:paraId="205DED89" w14:textId="77777777" w:rsidR="00B04968" w:rsidRPr="001A7029" w:rsidRDefault="00B04968" w:rsidP="00B04968">
                            <w:pPr>
                              <w:jc w:val="center"/>
                              <w:rPr>
                                <w:b/>
                                <w:sz w:val="18"/>
                                <w:szCs w:val="18"/>
                              </w:rPr>
                            </w:pPr>
                            <w:r w:rsidRPr="001A7029">
                              <w:rPr>
                                <w:b/>
                                <w:sz w:val="18"/>
                                <w:szCs w:val="18"/>
                              </w:rPr>
                              <w:t>Out of scope (n=46)</w:t>
                            </w:r>
                          </w:p>
                          <w:p w14:paraId="4E6E76F0" w14:textId="77777777" w:rsidR="00B04968" w:rsidRPr="001A7029" w:rsidRDefault="00B04968" w:rsidP="00B04968">
                            <w:pPr>
                              <w:jc w:val="center"/>
                              <w:rPr>
                                <w:b/>
                                <w:sz w:val="18"/>
                                <w:szCs w:val="18"/>
                              </w:rPr>
                            </w:pPr>
                            <w:r w:rsidRPr="001A7029">
                              <w:rPr>
                                <w:b/>
                                <w:sz w:val="18"/>
                                <w:szCs w:val="18"/>
                              </w:rPr>
                              <w:t>Insufficient detail (n=3)</w:t>
                            </w:r>
                          </w:p>
                          <w:p w14:paraId="7ED5AAAD" w14:textId="77777777" w:rsidR="00B04968" w:rsidRPr="001A7029" w:rsidRDefault="00B04968" w:rsidP="00B04968">
                            <w:pPr>
                              <w:jc w:val="center"/>
                              <w:rPr>
                                <w:b/>
                                <w:sz w:val="18"/>
                                <w:szCs w:val="18"/>
                              </w:rPr>
                            </w:pPr>
                            <w:r w:rsidRPr="001A7029">
                              <w:rPr>
                                <w:b/>
                                <w:sz w:val="18"/>
                                <w:szCs w:val="18"/>
                              </w:rPr>
                              <w:t>Difficulty with reference (n=5)</w:t>
                            </w:r>
                          </w:p>
                          <w:p w14:paraId="6601B8B7" w14:textId="77777777" w:rsidR="00B04968" w:rsidRDefault="00B04968" w:rsidP="00B04968">
                            <w:pPr>
                              <w:jc w:val="center"/>
                              <w:rPr>
                                <w:b/>
                              </w:rPr>
                            </w:pPr>
                          </w:p>
                          <w:p w14:paraId="6B1826B6" w14:textId="77777777" w:rsidR="00B04968" w:rsidRDefault="00B04968" w:rsidP="00B04968"/>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6EF0A449" id="Text Box 15" o:spid="_x0000_s1031" type="#_x0000_t202" style="position:absolute;left:0;text-align:left;margin-left:331.1pt;margin-top:3.65pt;width:154.65pt;height:123.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" strokeweight=".26467mm">
                <v:textbox>
                  <w:txbxContent>
                    <w:p w14:paraId="296D0ED6" w14:textId="77777777" w:rsidR="00B04968" w:rsidRPr="001A7029" w:rsidRDefault="00B04968" w:rsidP="00B04968">
                      <w:pPr>
                        <w:jc w:val="center"/>
                        <w:rPr>
                          <w:b/>
                          <w:sz w:val="18"/>
                          <w:szCs w:val="18"/>
                        </w:rPr>
                      </w:pPr>
                      <w:r w:rsidRPr="001A7029">
                        <w:rPr>
                          <w:b/>
                          <w:sz w:val="18"/>
                          <w:szCs w:val="18"/>
                        </w:rPr>
                        <w:t>Full text articles excluded with reasons.</w:t>
                      </w:r>
                    </w:p>
                    <w:p w14:paraId="57DEFB5C" w14:textId="77777777" w:rsidR="00B04968" w:rsidRPr="001A7029" w:rsidRDefault="00B04968" w:rsidP="00B04968">
                      <w:pPr>
                        <w:jc w:val="center"/>
                        <w:rPr>
                          <w:b/>
                          <w:sz w:val="18"/>
                          <w:szCs w:val="18"/>
                        </w:rPr>
                      </w:pPr>
                      <w:r w:rsidRPr="001A7029">
                        <w:rPr>
                          <w:b/>
                          <w:sz w:val="18"/>
                          <w:szCs w:val="18"/>
                        </w:rPr>
                        <w:t>Not relevant (n= 53)</w:t>
                      </w:r>
                    </w:p>
                    <w:p w14:paraId="205DED89" w14:textId="77777777" w:rsidR="00B04968" w:rsidRPr="001A7029" w:rsidRDefault="00B04968" w:rsidP="00B04968">
                      <w:pPr>
                        <w:jc w:val="center"/>
                        <w:rPr>
                          <w:b/>
                          <w:sz w:val="18"/>
                          <w:szCs w:val="18"/>
                        </w:rPr>
                      </w:pPr>
                      <w:r w:rsidRPr="001A7029">
                        <w:rPr>
                          <w:b/>
                          <w:sz w:val="18"/>
                          <w:szCs w:val="18"/>
                        </w:rPr>
                        <w:t>Out of scope (n=46)</w:t>
                      </w:r>
                    </w:p>
                    <w:p w14:paraId="4E6E76F0" w14:textId="77777777" w:rsidR="00B04968" w:rsidRPr="001A7029" w:rsidRDefault="00B04968" w:rsidP="00B04968">
                      <w:pPr>
                        <w:jc w:val="center"/>
                        <w:rPr>
                          <w:b/>
                          <w:sz w:val="18"/>
                          <w:szCs w:val="18"/>
                        </w:rPr>
                      </w:pPr>
                      <w:r w:rsidRPr="001A7029">
                        <w:rPr>
                          <w:b/>
                          <w:sz w:val="18"/>
                          <w:szCs w:val="18"/>
                        </w:rPr>
                        <w:t>Insufficient detail (n=3)</w:t>
                      </w:r>
                    </w:p>
                    <w:p w14:paraId="7ED5AAAD" w14:textId="77777777" w:rsidR="00B04968" w:rsidRPr="001A7029" w:rsidRDefault="00B04968" w:rsidP="00B04968">
                      <w:pPr>
                        <w:jc w:val="center"/>
                        <w:rPr>
                          <w:b/>
                          <w:sz w:val="18"/>
                          <w:szCs w:val="18"/>
                        </w:rPr>
                      </w:pPr>
                      <w:r w:rsidRPr="001A7029">
                        <w:rPr>
                          <w:b/>
                          <w:sz w:val="18"/>
                          <w:szCs w:val="18"/>
                        </w:rPr>
                        <w:t>Difficulty with reference (n=5)</w:t>
                      </w:r>
                    </w:p>
                    <w:p w14:paraId="6601B8B7" w14:textId="77777777" w:rsidR="00B04968" w:rsidRDefault="00B04968" w:rsidP="00B04968">
                      <w:pPr>
                        <w:jc w:val="center"/>
                        <w:rPr>
                          <w:b/>
                        </w:rPr>
                      </w:pPr>
                    </w:p>
                    <w:p w14:paraId="6B1826B6" w14:textId="77777777" w:rsidR="00B04968" w:rsidRDefault="00B04968" w:rsidP="00B04968"/>
                  </w:txbxContent>
                </v:textbox>
              </v:shape>
            </w:pict>
          </mc:Fallback>
        </mc:AlternateContent>
      </w:r>
      <w:r w:rsidRPr="00B04968">
        <w:rPr>
          <w:rFonts w:eastAsia="Calibri"/>
          <w:noProof/>
          <w:kern w:val="3"/>
          <w:sz w:val="22"/>
          <w:szCs w:val="22"/>
          <w:lang w:eastAsia="en-US"/>
        </w:rPr>
        <mc:AlternateContent>
          <mc:Choice Requires="wps">
            <w:drawing>
              <wp:anchor distT="0" distB="0" distL="114300" distR="114300" simplePos="0" relativeHeight="251667456" behindDoc="0" locked="0" layoutInCell="1" allowOverlap="1" wp14:anchorId="1D57C35F" wp14:editId="7EA7F3F6">
                <wp:simplePos x="0" y="0"/>
                <wp:positionH relativeFrom="column">
                  <wp:posOffset>1651635</wp:posOffset>
                </wp:positionH>
                <wp:positionV relativeFrom="paragraph">
                  <wp:posOffset>29845</wp:posOffset>
                </wp:positionV>
                <wp:extent cx="2101218" cy="784860"/>
                <wp:effectExtent l="0" t="0" r="13335" b="15240"/>
                <wp:wrapNone/>
                <wp:docPr id="1043347530" name="Text Box 14"/>
                <wp:cNvGraphicFramePr/>
                <a:graphic xmlns:a="http://schemas.openxmlformats.org/drawingml/2006/main">
                  <a:graphicData uri="http://schemas.microsoft.com/office/word/2010/wordprocessingShape">
                    <wps:wsp>
                      <wps:cNvSpPr txBox="1"/>
                      <wps:spPr>
                        <a:xfrm>
                          <a:off x="0" y="0"/>
                          <a:ext cx="2101218" cy="784860"/>
                        </a:xfrm>
                        <a:prstGeom prst="rect">
                          <a:avLst/>
                        </a:prstGeom>
                        <a:solidFill>
                          <a:srgbClr val="FFFFFF"/>
                        </a:solidFill>
                        <a:ln w="9528">
                          <a:solidFill>
                            <a:srgbClr val="000000"/>
                          </a:solidFill>
                          <a:prstDash val="solid"/>
                        </a:ln>
                      </wps:spPr>
                      <wps:txbx>
                        <w:txbxContent>
                          <w:p w14:paraId="1891F2FB" w14:textId="77777777" w:rsidR="00B04968" w:rsidRPr="001A7029" w:rsidRDefault="00B04968" w:rsidP="00B04968">
                            <w:pPr>
                              <w:jc w:val="center"/>
                              <w:rPr>
                                <w:b/>
                                <w:sz w:val="18"/>
                                <w:szCs w:val="18"/>
                              </w:rPr>
                            </w:pPr>
                            <w:r w:rsidRPr="001A7029">
                              <w:rPr>
                                <w:b/>
                                <w:sz w:val="18"/>
                                <w:szCs w:val="18"/>
                              </w:rPr>
                              <w:t>Full text articles assessed for eligibility.</w:t>
                            </w:r>
                          </w:p>
                          <w:p w14:paraId="32233929" w14:textId="77777777" w:rsidR="00B04968" w:rsidRPr="001A7029" w:rsidRDefault="00B04968" w:rsidP="00B04968">
                            <w:pPr>
                              <w:jc w:val="center"/>
                              <w:rPr>
                                <w:b/>
                                <w:sz w:val="18"/>
                                <w:szCs w:val="18"/>
                              </w:rPr>
                            </w:pPr>
                            <w:r w:rsidRPr="001A7029">
                              <w:rPr>
                                <w:b/>
                                <w:sz w:val="18"/>
                                <w:szCs w:val="18"/>
                              </w:rPr>
                              <w:t>(n=286)</w:t>
                            </w:r>
                          </w:p>
                          <w:p w14:paraId="0C54B9A8" w14:textId="77777777" w:rsidR="00B04968" w:rsidRDefault="00B04968" w:rsidP="00B04968"/>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1D57C35F" id="Text Box 14" o:spid="_x0000_s1032" type="#_x0000_t202" style="position:absolute;left:0;text-align:left;margin-left:130.05pt;margin-top:2.35pt;width:165.45pt;height:61.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" strokeweight=".26467mm">
                <v:textbox>
                  <w:txbxContent>
                    <w:p w14:paraId="1891F2FB" w14:textId="77777777" w:rsidR="00B04968" w:rsidRPr="001A7029" w:rsidRDefault="00B04968" w:rsidP="00B04968">
                      <w:pPr>
                        <w:jc w:val="center"/>
                        <w:rPr>
                          <w:b/>
                          <w:sz w:val="18"/>
                          <w:szCs w:val="18"/>
                        </w:rPr>
                      </w:pPr>
                      <w:r w:rsidRPr="001A7029">
                        <w:rPr>
                          <w:b/>
                          <w:sz w:val="18"/>
                          <w:szCs w:val="18"/>
                        </w:rPr>
                        <w:t>Full text articles assessed for eligibility.</w:t>
                      </w:r>
                    </w:p>
                    <w:p w14:paraId="32233929" w14:textId="77777777" w:rsidR="00B04968" w:rsidRPr="001A7029" w:rsidRDefault="00B04968" w:rsidP="00B04968">
                      <w:pPr>
                        <w:jc w:val="center"/>
                        <w:rPr>
                          <w:b/>
                          <w:sz w:val="18"/>
                          <w:szCs w:val="18"/>
                        </w:rPr>
                      </w:pPr>
                      <w:r w:rsidRPr="001A7029">
                        <w:rPr>
                          <w:b/>
                          <w:sz w:val="18"/>
                          <w:szCs w:val="18"/>
                        </w:rPr>
                        <w:t>(n=286)</w:t>
                      </w:r>
                    </w:p>
                    <w:p w14:paraId="0C54B9A8" w14:textId="77777777" w:rsidR="00B04968" w:rsidRDefault="00B04968" w:rsidP="00B04968"/>
                  </w:txbxContent>
                </v:textbox>
              </v:shape>
            </w:pict>
          </mc:Fallback>
        </mc:AlternateContent>
      </w:r>
    </w:p>
    <w:p w14:paraId="7477A7EF" w14:textId="0E982E5D" w:rsidR="00B04968" w:rsidRPr="00B04968" w:rsidRDefault="00725FBD" w:rsidP="00B04968">
      <w:pPr>
        <w:suppressAutoHyphens/>
        <w:autoSpaceDN w:val="0"/>
        <w:spacing w:before="240" w:after="240" w:line="240" w:lineRule="auto"/>
        <w:ind w:left="700"/>
        <w:rPr>
          <w:rFonts w:eastAsia="Calibri"/>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68480" behindDoc="0" locked="0" layoutInCell="1" allowOverlap="1" wp14:anchorId="486B2604" wp14:editId="54AB8807">
                <wp:simplePos x="0" y="0"/>
                <wp:positionH relativeFrom="column">
                  <wp:posOffset>3766820</wp:posOffset>
                </wp:positionH>
                <wp:positionV relativeFrom="paragraph">
                  <wp:posOffset>77470</wp:posOffset>
                </wp:positionV>
                <wp:extent cx="441326" cy="9528"/>
                <wp:effectExtent l="0" t="76200" r="15874" b="104772"/>
                <wp:wrapNone/>
                <wp:docPr id="2004102920" name="Straight Arrow Connector 13"/>
                <wp:cNvGraphicFramePr/>
                <a:graphic xmlns:a="http://schemas.openxmlformats.org/drawingml/2006/main">
                  <a:graphicData uri="http://schemas.microsoft.com/office/word/2010/wordprocessingShape">
                    <wps:wsp>
                      <wps:cNvCnPr/>
                      <wps:spPr>
                        <a:xfrm flipV="1">
                          <a:off x="0" y="0"/>
                          <a:ext cx="441326" cy="9528"/>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065DE49E" id="Straight Arrow Connector 13" o:spid="_x0000_s1026" type="#_x0000_t32" style="position:absolute;margin-left:296.6pt;margin-top:6.1pt;width:34.75pt;height:.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" strokeweight=".26467mm">
                <v:stroke endarrow="open"/>
              </v:shape>
            </w:pict>
          </mc:Fallback>
        </mc:AlternateContent>
      </w:r>
    </w:p>
    <w:p w14:paraId="2D72682C" w14:textId="23DB9FFB" w:rsidR="00B04968" w:rsidRPr="00B04968" w:rsidRDefault="00725FBD" w:rsidP="00B04968">
      <w:pPr>
        <w:suppressAutoHyphens/>
        <w:autoSpaceDN w:val="0"/>
        <w:spacing w:before="240" w:after="240" w:line="240" w:lineRule="auto"/>
        <w:ind w:left="700"/>
        <w:rPr>
          <w:rFonts w:eastAsia="Calibri"/>
          <w:kern w:val="3"/>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92032" behindDoc="0" locked="0" layoutInCell="1" allowOverlap="1" wp14:anchorId="5285A323" wp14:editId="3D7770D7">
                <wp:simplePos x="0" y="0"/>
                <wp:positionH relativeFrom="margin">
                  <wp:posOffset>2709545</wp:posOffset>
                </wp:positionH>
                <wp:positionV relativeFrom="paragraph">
                  <wp:posOffset>188595</wp:posOffset>
                </wp:positionV>
                <wp:extent cx="10800" cy="352800"/>
                <wp:effectExtent l="57150" t="0" r="84455" b="66675"/>
                <wp:wrapNone/>
                <wp:docPr id="1504678168"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77AE8C82" id="Straight Arrow Connector 22" o:spid="_x0000_s1026" type="#_x0000_t32" style="position:absolute;margin-left:213.35pt;margin-top:14.85pt;width:.85pt;height:27.8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" strokeweight=".26467mm">
                <v:stroke endarrow="open"/>
                <w10:wrap anchorx="margin"/>
              </v:shape>
            </w:pict>
          </mc:Fallback>
        </mc:AlternateContent>
      </w:r>
    </w:p>
    <w:p w14:paraId="19132CA4" w14:textId="6B6AFF1F" w:rsidR="00B04968" w:rsidRPr="00B04968" w:rsidRDefault="00725FBD" w:rsidP="00B04968">
      <w:pPr>
        <w:suppressAutoHyphens/>
        <w:autoSpaceDN w:val="0"/>
        <w:spacing w:before="240" w:after="240" w:line="240" w:lineRule="auto"/>
        <w:ind w:left="700"/>
        <w:rPr>
          <w:rFonts w:eastAsia="Calibri"/>
          <w:kern w:val="3"/>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82816" behindDoc="0" locked="0" layoutInCell="1" allowOverlap="1" wp14:anchorId="595BD87F" wp14:editId="02CA2CD2">
                <wp:simplePos x="0" y="0"/>
                <wp:positionH relativeFrom="margin">
                  <wp:align>center</wp:align>
                </wp:positionH>
                <wp:positionV relativeFrom="paragraph">
                  <wp:posOffset>226695</wp:posOffset>
                </wp:positionV>
                <wp:extent cx="2186943" cy="571500"/>
                <wp:effectExtent l="0" t="0" r="22860" b="19050"/>
                <wp:wrapNone/>
                <wp:docPr id="650036118" name="Text Box 11"/>
                <wp:cNvGraphicFramePr/>
                <a:graphic xmlns:a="http://schemas.openxmlformats.org/drawingml/2006/main">
                  <a:graphicData uri="http://schemas.microsoft.com/office/word/2010/wordprocessingShape">
                    <wps:wsp>
                      <wps:cNvSpPr txBox="1"/>
                      <wps:spPr>
                        <a:xfrm>
                          <a:off x="0" y="0"/>
                          <a:ext cx="2186943" cy="571500"/>
                        </a:xfrm>
                        <a:prstGeom prst="rect">
                          <a:avLst/>
                        </a:prstGeom>
                        <a:solidFill>
                          <a:srgbClr val="FFFFFF"/>
                        </a:solidFill>
                        <a:ln w="9528">
                          <a:solidFill>
                            <a:srgbClr val="000000"/>
                          </a:solidFill>
                          <a:prstDash val="solid"/>
                        </a:ln>
                      </wps:spPr>
                      <wps:txbx>
                        <w:txbxContent>
                          <w:p w14:paraId="29631AC1" w14:textId="77777777" w:rsidR="00B04968" w:rsidRPr="001A7029" w:rsidRDefault="00B04968" w:rsidP="00B04968">
                            <w:pPr>
                              <w:jc w:val="center"/>
                              <w:rPr>
                                <w:b/>
                                <w:sz w:val="18"/>
                                <w:szCs w:val="18"/>
                              </w:rPr>
                            </w:pPr>
                            <w:r w:rsidRPr="001A7029">
                              <w:rPr>
                                <w:b/>
                                <w:sz w:val="18"/>
                                <w:szCs w:val="18"/>
                              </w:rPr>
                              <w:t xml:space="preserve">Papers included in literature review. </w:t>
                            </w:r>
                          </w:p>
                          <w:p w14:paraId="5A0624D8" w14:textId="77777777" w:rsidR="00B04968" w:rsidRPr="001A7029" w:rsidRDefault="00B04968" w:rsidP="00B04968">
                            <w:pPr>
                              <w:jc w:val="center"/>
                              <w:rPr>
                                <w:b/>
                                <w:sz w:val="18"/>
                                <w:szCs w:val="18"/>
                              </w:rPr>
                            </w:pPr>
                            <w:r w:rsidRPr="001A7029">
                              <w:rPr>
                                <w:b/>
                                <w:sz w:val="18"/>
                                <w:szCs w:val="18"/>
                              </w:rPr>
                              <w:t>(n = 242)</w:t>
                            </w:r>
                          </w:p>
                          <w:p w14:paraId="38C05E4B" w14:textId="77777777" w:rsidR="00B04968" w:rsidRDefault="00B04968" w:rsidP="00B04968"/>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595BD87F" id="Text Box 11" o:spid="_x0000_s1033" type="#_x0000_t202" style="position:absolute;left:0;text-align:left;margin-left:0;margin-top:17.85pt;width:172.2pt;height:45pt;z-index:2516828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" strokeweight=".26467mm">
                <v:textbox>
                  <w:txbxContent>
                    <w:p w14:paraId="29631AC1" w14:textId="77777777" w:rsidR="00B04968" w:rsidRPr="001A7029" w:rsidRDefault="00B04968" w:rsidP="00B04968">
                      <w:pPr>
                        <w:jc w:val="center"/>
                        <w:rPr>
                          <w:b/>
                          <w:sz w:val="18"/>
                          <w:szCs w:val="18"/>
                        </w:rPr>
                      </w:pPr>
                      <w:r w:rsidRPr="001A7029">
                        <w:rPr>
                          <w:b/>
                          <w:sz w:val="18"/>
                          <w:szCs w:val="18"/>
                        </w:rPr>
                        <w:t xml:space="preserve">Papers included in literature review. </w:t>
                      </w:r>
                    </w:p>
                    <w:p w14:paraId="5A0624D8" w14:textId="77777777" w:rsidR="00B04968" w:rsidRPr="001A7029" w:rsidRDefault="00B04968" w:rsidP="00B04968">
                      <w:pPr>
                        <w:jc w:val="center"/>
                        <w:rPr>
                          <w:b/>
                          <w:sz w:val="18"/>
                          <w:szCs w:val="18"/>
                        </w:rPr>
                      </w:pPr>
                      <w:r w:rsidRPr="001A7029">
                        <w:rPr>
                          <w:b/>
                          <w:sz w:val="18"/>
                          <w:szCs w:val="18"/>
                        </w:rPr>
                        <w:t>(n = 242)</w:t>
                      </w:r>
                    </w:p>
                    <w:p w14:paraId="38C05E4B" w14:textId="77777777" w:rsidR="00B04968" w:rsidRDefault="00B04968" w:rsidP="00B04968"/>
                  </w:txbxContent>
                </v:textbox>
                <w10:wrap anchorx="margin"/>
              </v:shape>
            </w:pict>
          </mc:Fallback>
        </mc:AlternateContent>
      </w:r>
    </w:p>
    <w:p w14:paraId="0FA43C17" w14:textId="094C1D4E" w:rsidR="00B04968" w:rsidRPr="00B04968" w:rsidRDefault="00B04968" w:rsidP="00B04968">
      <w:pPr>
        <w:suppressAutoHyphens/>
        <w:autoSpaceDN w:val="0"/>
        <w:spacing w:before="240" w:after="240" w:line="240" w:lineRule="auto"/>
        <w:ind w:left="700"/>
        <w:rPr>
          <w:rFonts w:eastAsia="Calibri"/>
          <w:kern w:val="3"/>
          <w:sz w:val="22"/>
          <w:szCs w:val="22"/>
          <w:lang w:eastAsia="en-US"/>
        </w:rPr>
      </w:pPr>
    </w:p>
    <w:p w14:paraId="2AA1EDC9" w14:textId="7B8C789A" w:rsidR="00B04968" w:rsidRPr="00B04968" w:rsidRDefault="00725FBD" w:rsidP="00B04968">
      <w:pPr>
        <w:suppressAutoHyphens/>
        <w:autoSpaceDN w:val="0"/>
        <w:spacing w:before="240" w:after="240" w:line="240" w:lineRule="auto"/>
        <w:ind w:left="700"/>
        <w:rPr>
          <w:rFonts w:eastAsia="Calibri"/>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70528" behindDoc="0" locked="0" layoutInCell="1" allowOverlap="1" wp14:anchorId="54455503" wp14:editId="56FBB609">
                <wp:simplePos x="0" y="0"/>
                <wp:positionH relativeFrom="margin">
                  <wp:align>center</wp:align>
                </wp:positionH>
                <wp:positionV relativeFrom="paragraph">
                  <wp:posOffset>226060</wp:posOffset>
                </wp:positionV>
                <wp:extent cx="2186943" cy="518160"/>
                <wp:effectExtent l="0" t="0" r="22860" b="15240"/>
                <wp:wrapNone/>
                <wp:docPr id="2121581641" name="Text Box 10"/>
                <wp:cNvGraphicFramePr/>
                <a:graphic xmlns:a="http://schemas.openxmlformats.org/drawingml/2006/main">
                  <a:graphicData uri="http://schemas.microsoft.com/office/word/2010/wordprocessingShape">
                    <wps:wsp>
                      <wps:cNvSpPr txBox="1"/>
                      <wps:spPr>
                        <a:xfrm>
                          <a:off x="0" y="0"/>
                          <a:ext cx="2186943" cy="518160"/>
                        </a:xfrm>
                        <a:prstGeom prst="rect">
                          <a:avLst/>
                        </a:prstGeom>
                        <a:solidFill>
                          <a:srgbClr val="FFFFFF"/>
                        </a:solidFill>
                        <a:ln w="9528">
                          <a:solidFill>
                            <a:srgbClr val="000000"/>
                          </a:solidFill>
                          <a:prstDash val="solid"/>
                        </a:ln>
                      </wps:spPr>
                      <wps:txbx>
                        <w:txbxContent>
                          <w:p w14:paraId="46EE2555" w14:textId="77777777" w:rsidR="00B04968" w:rsidRPr="001A7029" w:rsidRDefault="00B04968" w:rsidP="00B04968">
                            <w:pPr>
                              <w:jc w:val="center"/>
                              <w:rPr>
                                <w:b/>
                                <w:sz w:val="18"/>
                                <w:szCs w:val="18"/>
                              </w:rPr>
                            </w:pPr>
                            <w:r w:rsidRPr="001A7029">
                              <w:rPr>
                                <w:b/>
                                <w:sz w:val="18"/>
                                <w:szCs w:val="18"/>
                              </w:rPr>
                              <w:t>Studies included in qualitative synthesis.</w:t>
                            </w:r>
                          </w:p>
                          <w:p w14:paraId="391B0FA9" w14:textId="77777777" w:rsidR="00B04968" w:rsidRPr="001A7029" w:rsidRDefault="00B04968" w:rsidP="00B04968">
                            <w:pPr>
                              <w:jc w:val="center"/>
                              <w:rPr>
                                <w:b/>
                                <w:sz w:val="18"/>
                                <w:szCs w:val="18"/>
                              </w:rPr>
                            </w:pPr>
                            <w:r w:rsidRPr="001A7029">
                              <w:rPr>
                                <w:b/>
                                <w:sz w:val="18"/>
                                <w:szCs w:val="18"/>
                              </w:rPr>
                              <w:t>(n = 46)</w:t>
                            </w:r>
                          </w:p>
                          <w:p w14:paraId="5E34A1CE" w14:textId="77777777" w:rsidR="00B04968" w:rsidRDefault="00B04968" w:rsidP="00B04968"/>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54455503" id="Text Box 10" o:spid="_x0000_s1034" type="#_x0000_t202" style="position:absolute;left:0;text-align:left;margin-left:0;margin-top:17.8pt;width:172.2pt;height:40.8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" strokeweight=".26467mm">
                <v:textbox>
                  <w:txbxContent>
                    <w:p w14:paraId="46EE2555" w14:textId="77777777" w:rsidR="00B04968" w:rsidRPr="001A7029" w:rsidRDefault="00B04968" w:rsidP="00B04968">
                      <w:pPr>
                        <w:jc w:val="center"/>
                        <w:rPr>
                          <w:b/>
                          <w:sz w:val="18"/>
                          <w:szCs w:val="18"/>
                        </w:rPr>
                      </w:pPr>
                      <w:r w:rsidRPr="001A7029">
                        <w:rPr>
                          <w:b/>
                          <w:sz w:val="18"/>
                          <w:szCs w:val="18"/>
                        </w:rPr>
                        <w:t>Studies included in qualitative synthesis.</w:t>
                      </w:r>
                    </w:p>
                    <w:p w14:paraId="391B0FA9" w14:textId="77777777" w:rsidR="00B04968" w:rsidRPr="001A7029" w:rsidRDefault="00B04968" w:rsidP="00B04968">
                      <w:pPr>
                        <w:jc w:val="center"/>
                        <w:rPr>
                          <w:b/>
                          <w:sz w:val="18"/>
                          <w:szCs w:val="18"/>
                        </w:rPr>
                      </w:pPr>
                      <w:r w:rsidRPr="001A7029">
                        <w:rPr>
                          <w:b/>
                          <w:sz w:val="18"/>
                          <w:szCs w:val="18"/>
                        </w:rPr>
                        <w:t>(n = 46)</w:t>
                      </w:r>
                    </w:p>
                    <w:p w14:paraId="5E34A1CE" w14:textId="77777777" w:rsidR="00B04968" w:rsidRDefault="00B04968" w:rsidP="00B04968"/>
                  </w:txbxContent>
                </v:textbox>
                <w10:wrap anchorx="margin"/>
              </v:shape>
            </w:pict>
          </mc:Fallback>
        </mc:AlternateContent>
      </w:r>
    </w:p>
    <w:p w14:paraId="212C1109" w14:textId="694210E6" w:rsidR="00B04968" w:rsidRPr="00B04968" w:rsidRDefault="00B04968" w:rsidP="00B04968">
      <w:pPr>
        <w:suppressAutoHyphens/>
        <w:autoSpaceDN w:val="0"/>
        <w:spacing w:before="240" w:after="240" w:line="240" w:lineRule="auto"/>
        <w:ind w:left="700"/>
        <w:rPr>
          <w:rFonts w:eastAsia="Calibri"/>
          <w:kern w:val="3"/>
          <w:sz w:val="22"/>
          <w:szCs w:val="22"/>
          <w:lang w:eastAsia="en-US"/>
        </w:rPr>
      </w:pPr>
    </w:p>
    <w:p w14:paraId="32965804" w14:textId="3F421068" w:rsidR="00B04968" w:rsidRPr="00B04968" w:rsidRDefault="00725FBD" w:rsidP="00B04968">
      <w:pPr>
        <w:suppressAutoHyphens/>
        <w:autoSpaceDN w:val="0"/>
        <w:spacing w:before="240" w:after="240" w:line="240" w:lineRule="auto"/>
        <w:ind w:left="700"/>
        <w:rPr>
          <w:rFonts w:eastAsia="Calibri"/>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94080" behindDoc="0" locked="0" layoutInCell="1" allowOverlap="1" wp14:anchorId="7832BC40" wp14:editId="5AEFDD55">
                <wp:simplePos x="0" y="0"/>
                <wp:positionH relativeFrom="column">
                  <wp:posOffset>2708275</wp:posOffset>
                </wp:positionH>
                <wp:positionV relativeFrom="paragraph">
                  <wp:posOffset>116840</wp:posOffset>
                </wp:positionV>
                <wp:extent cx="10800" cy="352800"/>
                <wp:effectExtent l="57150" t="0" r="84455" b="66675"/>
                <wp:wrapNone/>
                <wp:docPr id="587418846"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0CDBAA5E" id="Straight Arrow Connector 22" o:spid="_x0000_s1026" type="#_x0000_t32" style="position:absolute;margin-left:213.25pt;margin-top:9.2pt;width:.85pt;height:27.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" strokeweight=".26467mm">
                <v:stroke endarrow="open"/>
              </v:shape>
            </w:pict>
          </mc:Fallback>
        </mc:AlternateContent>
      </w:r>
    </w:p>
    <w:p w14:paraId="4CBB71CF" w14:textId="3FB82C93" w:rsidR="00B04968" w:rsidRPr="00B04968" w:rsidRDefault="00725FBD" w:rsidP="00B04968">
      <w:pPr>
        <w:suppressAutoHyphens/>
        <w:autoSpaceDN w:val="0"/>
        <w:spacing w:before="240" w:after="240" w:line="240" w:lineRule="auto"/>
        <w:ind w:left="700"/>
        <w:rPr>
          <w:rFonts w:eastAsia="Calibri"/>
          <w:kern w:val="3"/>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72576" behindDoc="0" locked="0" layoutInCell="1" allowOverlap="1" wp14:anchorId="0C3FBE2C" wp14:editId="413D83F3">
                <wp:simplePos x="0" y="0"/>
                <wp:positionH relativeFrom="margin">
                  <wp:posOffset>1628140</wp:posOffset>
                </wp:positionH>
                <wp:positionV relativeFrom="paragraph">
                  <wp:posOffset>163830</wp:posOffset>
                </wp:positionV>
                <wp:extent cx="2162812" cy="779782"/>
                <wp:effectExtent l="0" t="0" r="27940" b="20320"/>
                <wp:wrapNone/>
                <wp:docPr id="61312614" name="Text Box 8"/>
                <wp:cNvGraphicFramePr/>
                <a:graphic xmlns:a="http://schemas.openxmlformats.org/drawingml/2006/main">
                  <a:graphicData uri="http://schemas.microsoft.com/office/word/2010/wordprocessingShape">
                    <wps:wsp>
                      <wps:cNvSpPr txBox="1"/>
                      <wps:spPr>
                        <a:xfrm>
                          <a:off x="0" y="0"/>
                          <a:ext cx="2162812" cy="779782"/>
                        </a:xfrm>
                        <a:prstGeom prst="rect">
                          <a:avLst/>
                        </a:prstGeom>
                        <a:solidFill>
                          <a:srgbClr val="FFFFFF"/>
                        </a:solidFill>
                        <a:ln w="9528">
                          <a:solidFill>
                            <a:srgbClr val="000000"/>
                          </a:solidFill>
                          <a:prstDash val="solid"/>
                        </a:ln>
                      </wps:spPr>
                      <wps:txbx>
                        <w:txbxContent>
                          <w:p w14:paraId="24304CC1" w14:textId="77777777" w:rsidR="00B04968" w:rsidRPr="00725FBD" w:rsidRDefault="00B04968" w:rsidP="00B04968">
                            <w:pPr>
                              <w:jc w:val="center"/>
                              <w:rPr>
                                <w:b/>
                                <w:sz w:val="18"/>
                                <w:szCs w:val="18"/>
                              </w:rPr>
                            </w:pPr>
                            <w:r w:rsidRPr="00725FBD">
                              <w:rPr>
                                <w:b/>
                                <w:sz w:val="18"/>
                                <w:szCs w:val="18"/>
                              </w:rPr>
                              <w:t>Studies included in quantitative synthesis (meta- analysis)</w:t>
                            </w:r>
                          </w:p>
                          <w:p w14:paraId="6BFD57AF" w14:textId="77777777" w:rsidR="00B04968" w:rsidRPr="00725FBD" w:rsidRDefault="00B04968" w:rsidP="00B04968">
                            <w:pPr>
                              <w:jc w:val="center"/>
                              <w:rPr>
                                <w:b/>
                                <w:sz w:val="18"/>
                                <w:szCs w:val="18"/>
                              </w:rPr>
                            </w:pPr>
                            <w:r w:rsidRPr="00725FBD">
                              <w:rPr>
                                <w:b/>
                                <w:sz w:val="18"/>
                                <w:szCs w:val="18"/>
                              </w:rPr>
                              <w:t>(n   = 106)</w:t>
                            </w:r>
                          </w:p>
                          <w:p w14:paraId="7119D107" w14:textId="77777777" w:rsidR="00B04968" w:rsidRPr="001A7029" w:rsidRDefault="00B04968" w:rsidP="00B04968">
                            <w:pPr>
                              <w:rPr>
                                <w:sz w:val="20"/>
                                <w:szCs w:val="20"/>
                              </w:rPr>
                            </w:pPr>
                          </w:p>
                        </w:txbxContent>
                      </wps:txbx>
                      <wps:bodyPr vert="horz" wrap="square" lIns="91440" tIns="45720" rIns="91440" bIns="45720" anchor="t" anchorCtr="0" compatLnSpc="0">
                        <a:noAutofit/>
                      </wps:bodyPr>
                    </wps:wsp>
                  </a:graphicData>
                </a:graphic>
              </wp:anchor>
            </w:drawing>
          </mc:Choice>
          <mc:Fallback>
            <w:pict>
              <v:shape w14:anchorId="0C3FBE2C" id="Text Box 8" o:spid="_x0000_s1035" type="#_x0000_t202" style="position:absolute;left:0;text-align:left;margin-left:128.2pt;margin-top:12.9pt;width:170.3pt;height:61.4pt;z-index:2516725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" strokeweight=".26467mm">
                <v:textbox>
                  <w:txbxContent>
                    <w:p w14:paraId="24304CC1" w14:textId="77777777" w:rsidR="00B04968" w:rsidRPr="00725FBD" w:rsidRDefault="00B04968" w:rsidP="00B04968">
                      <w:pPr>
                        <w:jc w:val="center"/>
                        <w:rPr>
                          <w:b/>
                          <w:sz w:val="18"/>
                          <w:szCs w:val="18"/>
                        </w:rPr>
                      </w:pPr>
                      <w:r w:rsidRPr="00725FBD">
                        <w:rPr>
                          <w:b/>
                          <w:sz w:val="18"/>
                          <w:szCs w:val="18"/>
                        </w:rPr>
                        <w:t>Studies included in quantitative synthesis (meta- analysis)</w:t>
                      </w:r>
                    </w:p>
                    <w:p w14:paraId="6BFD57AF" w14:textId="77777777" w:rsidR="00B04968" w:rsidRPr="00725FBD" w:rsidRDefault="00B04968" w:rsidP="00B04968">
                      <w:pPr>
                        <w:jc w:val="center"/>
                        <w:rPr>
                          <w:b/>
                          <w:sz w:val="18"/>
                          <w:szCs w:val="18"/>
                        </w:rPr>
                      </w:pPr>
                      <w:r w:rsidRPr="00725FBD">
                        <w:rPr>
                          <w:b/>
                          <w:sz w:val="18"/>
                          <w:szCs w:val="18"/>
                        </w:rPr>
                        <w:t>(n   = 106)</w:t>
                      </w:r>
                    </w:p>
                    <w:p w14:paraId="7119D107" w14:textId="77777777" w:rsidR="00B04968" w:rsidRPr="001A7029" w:rsidRDefault="00B04968" w:rsidP="00B04968">
                      <w:pPr>
                        <w:rPr>
                          <w:sz w:val="20"/>
                          <w:szCs w:val="20"/>
                        </w:rPr>
                      </w:pPr>
                    </w:p>
                  </w:txbxContent>
                </v:textbox>
                <w10:wrap anchorx="margin"/>
              </v:shape>
            </w:pict>
          </mc:Fallback>
        </mc:AlternateContent>
      </w:r>
    </w:p>
    <w:p w14:paraId="4E0A02AB" w14:textId="012108B9" w:rsidR="00B04968" w:rsidRPr="00B04968" w:rsidRDefault="00B04968" w:rsidP="00B04968">
      <w:pPr>
        <w:suppressAutoHyphens/>
        <w:autoSpaceDN w:val="0"/>
        <w:spacing w:before="240" w:after="240" w:line="240" w:lineRule="auto"/>
        <w:ind w:left="700"/>
        <w:rPr>
          <w:rFonts w:eastAsia="Calibri"/>
          <w:sz w:val="22"/>
          <w:szCs w:val="22"/>
          <w:lang w:eastAsia="en-US"/>
        </w:rPr>
      </w:pPr>
    </w:p>
    <w:p w14:paraId="7115263F" w14:textId="4E0C0F6A" w:rsidR="00B04968" w:rsidRPr="00B04968" w:rsidRDefault="00B04968" w:rsidP="00B04968">
      <w:pPr>
        <w:suppressAutoHyphens/>
        <w:autoSpaceDN w:val="0"/>
        <w:spacing w:before="240" w:after="240" w:line="240" w:lineRule="auto"/>
        <w:ind w:left="700"/>
        <w:rPr>
          <w:rFonts w:eastAsia="Calibri"/>
          <w:sz w:val="22"/>
          <w:szCs w:val="22"/>
          <w:lang w:eastAsia="en-US"/>
        </w:rPr>
      </w:pPr>
    </w:p>
    <w:p w14:paraId="53692DB4" w14:textId="3837560E" w:rsidR="00B04968" w:rsidRPr="00B04968" w:rsidRDefault="00725FBD" w:rsidP="00B04968">
      <w:pPr>
        <w:suppressAutoHyphens/>
        <w:autoSpaceDN w:val="0"/>
        <w:spacing w:before="240" w:after="240" w:line="240" w:lineRule="auto"/>
        <w:ind w:left="700"/>
        <w:rPr>
          <w:rFonts w:eastAsia="Calibri"/>
          <w:kern w:val="3"/>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98176" behindDoc="0" locked="0" layoutInCell="1" allowOverlap="1" wp14:anchorId="62D4443A" wp14:editId="3DED2B3B">
                <wp:simplePos x="0" y="0"/>
                <wp:positionH relativeFrom="margin">
                  <wp:align>center</wp:align>
                </wp:positionH>
                <wp:positionV relativeFrom="paragraph">
                  <wp:posOffset>5080</wp:posOffset>
                </wp:positionV>
                <wp:extent cx="10800" cy="352800"/>
                <wp:effectExtent l="57150" t="0" r="84455" b="66675"/>
                <wp:wrapNone/>
                <wp:docPr id="1244984830"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1BB2228C" id="Straight Arrow Connector 22" o:spid="_x0000_s1026" type="#_x0000_t32" style="position:absolute;margin-left:0;margin-top:.4pt;width:.85pt;height:27.8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" strokeweight=".26467mm">
                <v:stroke endarrow="open"/>
                <w10:wrap anchorx="margin"/>
              </v:shape>
            </w:pict>
          </mc:Fallback>
        </mc:AlternateContent>
      </w:r>
    </w:p>
    <w:p w14:paraId="050B451C" w14:textId="2B379B0D" w:rsidR="00B04968" w:rsidRPr="00B04968" w:rsidRDefault="00725FBD" w:rsidP="00B04968">
      <w:pPr>
        <w:suppressAutoHyphens/>
        <w:autoSpaceDN w:val="0"/>
        <w:spacing w:before="240" w:after="240" w:line="240" w:lineRule="auto"/>
        <w:ind w:left="700"/>
        <w:rPr>
          <w:rFonts w:eastAsia="Calibri"/>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79744" behindDoc="0" locked="0" layoutInCell="1" allowOverlap="1" wp14:anchorId="156CFAD6" wp14:editId="2DFE5F5A">
                <wp:simplePos x="0" y="0"/>
                <wp:positionH relativeFrom="margin">
                  <wp:posOffset>1555115</wp:posOffset>
                </wp:positionH>
                <wp:positionV relativeFrom="paragraph">
                  <wp:posOffset>60960</wp:posOffset>
                </wp:positionV>
                <wp:extent cx="2271397" cy="548640"/>
                <wp:effectExtent l="0" t="0" r="14605" b="22860"/>
                <wp:wrapNone/>
                <wp:docPr id="61414537" name="Text Box 6"/>
                <wp:cNvGraphicFramePr/>
                <a:graphic xmlns:a="http://schemas.openxmlformats.org/drawingml/2006/main">
                  <a:graphicData uri="http://schemas.microsoft.com/office/word/2010/wordprocessingShape">
                    <wps:wsp>
                      <wps:cNvSpPr txBox="1"/>
                      <wps:spPr>
                        <a:xfrm>
                          <a:off x="0" y="0"/>
                          <a:ext cx="2271397" cy="548640"/>
                        </a:xfrm>
                        <a:prstGeom prst="rect">
                          <a:avLst/>
                        </a:prstGeom>
                        <a:solidFill>
                          <a:srgbClr val="FFFFFF"/>
                        </a:solidFill>
                        <a:ln w="9528">
                          <a:solidFill>
                            <a:srgbClr val="000000"/>
                          </a:solidFill>
                          <a:prstDash val="solid"/>
                        </a:ln>
                      </wps:spPr>
                      <wps:txbx>
                        <w:txbxContent>
                          <w:p w14:paraId="0674EE83" w14:textId="77777777" w:rsidR="00B04968" w:rsidRPr="00725FBD" w:rsidRDefault="00B04968" w:rsidP="00B04968">
                            <w:pPr>
                              <w:jc w:val="center"/>
                              <w:rPr>
                                <w:b/>
                                <w:sz w:val="18"/>
                                <w:szCs w:val="18"/>
                              </w:rPr>
                            </w:pPr>
                            <w:r w:rsidRPr="00725FBD">
                              <w:rPr>
                                <w:b/>
                                <w:sz w:val="18"/>
                                <w:szCs w:val="18"/>
                              </w:rPr>
                              <w:t>Literature reviews</w:t>
                            </w:r>
                          </w:p>
                          <w:p w14:paraId="4EEEB988" w14:textId="77777777" w:rsidR="00B04968" w:rsidRPr="00725FBD" w:rsidRDefault="00B04968" w:rsidP="00B04968">
                            <w:pPr>
                              <w:jc w:val="center"/>
                              <w:rPr>
                                <w:b/>
                                <w:sz w:val="18"/>
                                <w:szCs w:val="18"/>
                              </w:rPr>
                            </w:pPr>
                            <w:r w:rsidRPr="00725FBD">
                              <w:rPr>
                                <w:b/>
                                <w:sz w:val="18"/>
                                <w:szCs w:val="18"/>
                              </w:rPr>
                              <w:t>(n= 59)</w:t>
                            </w:r>
                          </w:p>
                          <w:p w14:paraId="37507B1C" w14:textId="77777777" w:rsidR="00B04968" w:rsidRDefault="00B04968" w:rsidP="00B04968"/>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156CFAD6" id="Text Box 6" o:spid="_x0000_s1036" type="#_x0000_t202" style="position:absolute;left:0;text-align:left;margin-left:122.45pt;margin-top:4.8pt;width:178.85pt;height:43.2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" strokeweight=".26467mm">
                <v:textbox>
                  <w:txbxContent>
                    <w:p w14:paraId="0674EE83" w14:textId="77777777" w:rsidR="00B04968" w:rsidRPr="00725FBD" w:rsidRDefault="00B04968" w:rsidP="00B04968">
                      <w:pPr>
                        <w:jc w:val="center"/>
                        <w:rPr>
                          <w:b/>
                          <w:sz w:val="18"/>
                          <w:szCs w:val="18"/>
                        </w:rPr>
                      </w:pPr>
                      <w:r w:rsidRPr="00725FBD">
                        <w:rPr>
                          <w:b/>
                          <w:sz w:val="18"/>
                          <w:szCs w:val="18"/>
                        </w:rPr>
                        <w:t>Literature reviews</w:t>
                      </w:r>
                    </w:p>
                    <w:p w14:paraId="4EEEB988" w14:textId="77777777" w:rsidR="00B04968" w:rsidRPr="00725FBD" w:rsidRDefault="00B04968" w:rsidP="00B04968">
                      <w:pPr>
                        <w:jc w:val="center"/>
                        <w:rPr>
                          <w:b/>
                          <w:sz w:val="18"/>
                          <w:szCs w:val="18"/>
                        </w:rPr>
                      </w:pPr>
                      <w:r w:rsidRPr="00725FBD">
                        <w:rPr>
                          <w:b/>
                          <w:sz w:val="18"/>
                          <w:szCs w:val="18"/>
                        </w:rPr>
                        <w:t>(n= 59)</w:t>
                      </w:r>
                    </w:p>
                    <w:p w14:paraId="37507B1C" w14:textId="77777777" w:rsidR="00B04968" w:rsidRDefault="00B04968" w:rsidP="00B04968"/>
                  </w:txbxContent>
                </v:textbox>
                <w10:wrap anchorx="margin"/>
              </v:shape>
            </w:pict>
          </mc:Fallback>
        </mc:AlternateContent>
      </w:r>
    </w:p>
    <w:p w14:paraId="1C66FA2C" w14:textId="00FCA15B" w:rsidR="00B04968" w:rsidRPr="00B04968" w:rsidRDefault="00725FBD" w:rsidP="00B04968">
      <w:pPr>
        <w:suppressAutoHyphens/>
        <w:autoSpaceDN w:val="0"/>
        <w:spacing w:before="240" w:after="240" w:line="240" w:lineRule="auto"/>
        <w:ind w:left="700"/>
        <w:rPr>
          <w:rFonts w:eastAsia="Calibri"/>
          <w:kern w:val="3"/>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700224" behindDoc="0" locked="0" layoutInCell="1" allowOverlap="1" wp14:anchorId="4232DCE0" wp14:editId="3FE2F75C">
                <wp:simplePos x="0" y="0"/>
                <wp:positionH relativeFrom="margin">
                  <wp:align>center</wp:align>
                </wp:positionH>
                <wp:positionV relativeFrom="paragraph">
                  <wp:posOffset>295275</wp:posOffset>
                </wp:positionV>
                <wp:extent cx="10800" cy="352800"/>
                <wp:effectExtent l="57150" t="0" r="84455" b="66675"/>
                <wp:wrapNone/>
                <wp:docPr id="1301057770"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2BC89155" id="Straight Arrow Connector 22" o:spid="_x0000_s1026" type="#_x0000_t32" style="position:absolute;margin-left:0;margin-top:23.25pt;width:.85pt;height:27.8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" strokeweight=".26467mm">
                <v:stroke endarrow="open"/>
                <w10:wrap anchorx="margin"/>
              </v:shape>
            </w:pict>
          </mc:Fallback>
        </mc:AlternateContent>
      </w:r>
    </w:p>
    <w:p w14:paraId="359829E6" w14:textId="2B83F938" w:rsidR="00B04968" w:rsidRPr="00B04968" w:rsidRDefault="00B04968" w:rsidP="00B04968">
      <w:pPr>
        <w:suppressAutoHyphens/>
        <w:autoSpaceDN w:val="0"/>
        <w:spacing w:before="240" w:after="240" w:line="240" w:lineRule="auto"/>
        <w:ind w:left="700"/>
        <w:rPr>
          <w:rFonts w:eastAsia="Calibri"/>
          <w:sz w:val="22"/>
          <w:szCs w:val="22"/>
          <w:lang w:eastAsia="en-US"/>
        </w:rPr>
      </w:pPr>
    </w:p>
    <w:p w14:paraId="298C3413" w14:textId="29576212" w:rsidR="00B04968" w:rsidRPr="00B04968" w:rsidRDefault="00725FBD" w:rsidP="00B04968">
      <w:pPr>
        <w:suppressAutoHyphens/>
        <w:autoSpaceDN w:val="0"/>
        <w:spacing w:before="240" w:after="240" w:line="240" w:lineRule="auto"/>
        <w:ind w:left="700"/>
        <w:rPr>
          <w:rFonts w:eastAsia="Calibri"/>
          <w:kern w:val="3"/>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77696" behindDoc="0" locked="0" layoutInCell="1" allowOverlap="1" wp14:anchorId="44FFD548" wp14:editId="36728B25">
                <wp:simplePos x="0" y="0"/>
                <wp:positionH relativeFrom="margin">
                  <wp:posOffset>1544955</wp:posOffset>
                </wp:positionH>
                <wp:positionV relativeFrom="paragraph">
                  <wp:posOffset>27305</wp:posOffset>
                </wp:positionV>
                <wp:extent cx="2268224" cy="518160"/>
                <wp:effectExtent l="0" t="0" r="17780" b="15240"/>
                <wp:wrapNone/>
                <wp:docPr id="1963186235" name="Text Box 3"/>
                <wp:cNvGraphicFramePr/>
                <a:graphic xmlns:a="http://schemas.openxmlformats.org/drawingml/2006/main">
                  <a:graphicData uri="http://schemas.microsoft.com/office/word/2010/wordprocessingShape">
                    <wps:wsp>
                      <wps:cNvSpPr txBox="1"/>
                      <wps:spPr>
                        <a:xfrm>
                          <a:off x="0" y="0"/>
                          <a:ext cx="2268224" cy="518160"/>
                        </a:xfrm>
                        <a:prstGeom prst="rect">
                          <a:avLst/>
                        </a:prstGeom>
                        <a:solidFill>
                          <a:srgbClr val="FFFFFF"/>
                        </a:solidFill>
                        <a:ln w="9528">
                          <a:solidFill>
                            <a:srgbClr val="000000"/>
                          </a:solidFill>
                          <a:prstDash val="solid"/>
                        </a:ln>
                      </wps:spPr>
                      <wps:txbx>
                        <w:txbxContent>
                          <w:p w14:paraId="1897123C" w14:textId="77777777" w:rsidR="00B04968" w:rsidRPr="00725FBD" w:rsidRDefault="00B04968" w:rsidP="00B04968">
                            <w:pPr>
                              <w:jc w:val="center"/>
                              <w:rPr>
                                <w:b/>
                                <w:sz w:val="18"/>
                                <w:szCs w:val="18"/>
                              </w:rPr>
                            </w:pPr>
                            <w:r w:rsidRPr="00725FBD">
                              <w:rPr>
                                <w:b/>
                                <w:sz w:val="18"/>
                                <w:szCs w:val="18"/>
                              </w:rPr>
                              <w:t xml:space="preserve">Mixed Methods </w:t>
                            </w:r>
                          </w:p>
                          <w:p w14:paraId="76A347A2" w14:textId="77777777" w:rsidR="00B04968" w:rsidRPr="00725FBD" w:rsidRDefault="00B04968" w:rsidP="00B04968">
                            <w:pPr>
                              <w:jc w:val="center"/>
                              <w:rPr>
                                <w:b/>
                                <w:sz w:val="18"/>
                                <w:szCs w:val="18"/>
                              </w:rPr>
                            </w:pPr>
                            <w:r w:rsidRPr="00725FBD">
                              <w:rPr>
                                <w:b/>
                                <w:sz w:val="18"/>
                                <w:szCs w:val="18"/>
                              </w:rPr>
                              <w:t>(n = 13)</w:t>
                            </w:r>
                          </w:p>
                          <w:p w14:paraId="710008C3" w14:textId="77777777" w:rsidR="00B04968" w:rsidRPr="001A7029" w:rsidRDefault="00B04968" w:rsidP="00B04968">
                            <w:pPr>
                              <w:jc w:val="center"/>
                              <w:rPr>
                                <w:b/>
                                <w:sz w:val="20"/>
                                <w:szCs w:val="20"/>
                              </w:rPr>
                            </w:pPr>
                          </w:p>
                          <w:p w14:paraId="295D04DF" w14:textId="77777777" w:rsidR="00B04968" w:rsidRPr="001A7029" w:rsidRDefault="00B04968" w:rsidP="00B04968">
                            <w:pPr>
                              <w:jc w:val="center"/>
                              <w:rPr>
                                <w:b/>
                                <w:sz w:val="20"/>
                                <w:szCs w:val="20"/>
                              </w:rPr>
                            </w:pP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44FFD548" id="Text Box 3" o:spid="_x0000_s1037" type="#_x0000_t202" style="position:absolute;left:0;text-align:left;margin-left:121.65pt;margin-top:2.15pt;width:178.6pt;height:40.8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" strokeweight=".26467mm">
                <v:textbox>
                  <w:txbxContent>
                    <w:p w14:paraId="1897123C" w14:textId="77777777" w:rsidR="00B04968" w:rsidRPr="00725FBD" w:rsidRDefault="00B04968" w:rsidP="00B04968">
                      <w:pPr>
                        <w:jc w:val="center"/>
                        <w:rPr>
                          <w:b/>
                          <w:sz w:val="18"/>
                          <w:szCs w:val="18"/>
                        </w:rPr>
                      </w:pPr>
                      <w:r w:rsidRPr="00725FBD">
                        <w:rPr>
                          <w:b/>
                          <w:sz w:val="18"/>
                          <w:szCs w:val="18"/>
                        </w:rPr>
                        <w:t xml:space="preserve">Mixed Methods </w:t>
                      </w:r>
                    </w:p>
                    <w:p w14:paraId="76A347A2" w14:textId="77777777" w:rsidR="00B04968" w:rsidRPr="00725FBD" w:rsidRDefault="00B04968" w:rsidP="00B04968">
                      <w:pPr>
                        <w:jc w:val="center"/>
                        <w:rPr>
                          <w:b/>
                          <w:sz w:val="18"/>
                          <w:szCs w:val="18"/>
                        </w:rPr>
                      </w:pPr>
                      <w:r w:rsidRPr="00725FBD">
                        <w:rPr>
                          <w:b/>
                          <w:sz w:val="18"/>
                          <w:szCs w:val="18"/>
                        </w:rPr>
                        <w:t>(n = 13)</w:t>
                      </w:r>
                    </w:p>
                    <w:p w14:paraId="710008C3" w14:textId="77777777" w:rsidR="00B04968" w:rsidRPr="001A7029" w:rsidRDefault="00B04968" w:rsidP="00B04968">
                      <w:pPr>
                        <w:jc w:val="center"/>
                        <w:rPr>
                          <w:b/>
                          <w:sz w:val="20"/>
                          <w:szCs w:val="20"/>
                        </w:rPr>
                      </w:pPr>
                    </w:p>
                    <w:p w14:paraId="295D04DF" w14:textId="77777777" w:rsidR="00B04968" w:rsidRPr="001A7029" w:rsidRDefault="00B04968" w:rsidP="00B04968">
                      <w:pPr>
                        <w:jc w:val="center"/>
                        <w:rPr>
                          <w:b/>
                          <w:sz w:val="20"/>
                          <w:szCs w:val="20"/>
                        </w:rPr>
                      </w:pPr>
                    </w:p>
                  </w:txbxContent>
                </v:textbox>
                <w10:wrap anchorx="margin"/>
              </v:shape>
            </w:pict>
          </mc:Fallback>
        </mc:AlternateContent>
      </w:r>
    </w:p>
    <w:p w14:paraId="02B67660" w14:textId="6E6C387B" w:rsidR="00B04968" w:rsidRPr="00B04968" w:rsidRDefault="00725FBD" w:rsidP="00B04968">
      <w:pPr>
        <w:suppressAutoHyphens/>
        <w:autoSpaceDN w:val="0"/>
        <w:spacing w:before="240" w:after="240" w:line="240" w:lineRule="auto"/>
        <w:ind w:left="700"/>
        <w:rPr>
          <w:rFonts w:eastAsia="Calibri"/>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702272" behindDoc="0" locked="0" layoutInCell="1" allowOverlap="1" wp14:anchorId="4B44BE11" wp14:editId="64B6073B">
                <wp:simplePos x="0" y="0"/>
                <wp:positionH relativeFrom="margin">
                  <wp:posOffset>2693035</wp:posOffset>
                </wp:positionH>
                <wp:positionV relativeFrom="paragraph">
                  <wp:posOffset>238125</wp:posOffset>
                </wp:positionV>
                <wp:extent cx="10800" cy="352800"/>
                <wp:effectExtent l="57150" t="0" r="84455" b="66675"/>
                <wp:wrapNone/>
                <wp:docPr id="131385076" name="Straight Arrow Connector 22"/>
                <wp:cNvGraphicFramePr/>
                <a:graphic xmlns:a="http://schemas.openxmlformats.org/drawingml/2006/main">
                  <a:graphicData uri="http://schemas.microsoft.com/office/word/2010/wordprocessingShape">
                    <wps:wsp>
                      <wps:cNvCnPr/>
                      <wps:spPr>
                        <a:xfrm>
                          <a:off x="0" y="0"/>
                          <a:ext cx="10800" cy="352800"/>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2EE56AD6" id="Straight Arrow Connector 22" o:spid="_x0000_s1026" type="#_x0000_t32" style="position:absolute;margin-left:212.05pt;margin-top:18.75pt;width:.85pt;height:27.8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" strokeweight=".26467mm">
                <v:stroke endarrow="open"/>
                <w10:wrap anchorx="margin"/>
              </v:shape>
            </w:pict>
          </mc:Fallback>
        </mc:AlternateContent>
      </w:r>
    </w:p>
    <w:p w14:paraId="2CE80091" w14:textId="7264A0E5" w:rsidR="00B04968" w:rsidRPr="00B04968" w:rsidRDefault="00725FBD" w:rsidP="00B04968">
      <w:pPr>
        <w:suppressAutoHyphens/>
        <w:autoSpaceDN w:val="0"/>
        <w:spacing w:before="240" w:after="240" w:line="240" w:lineRule="auto"/>
        <w:rPr>
          <w:rFonts w:eastAsia="Calibri"/>
          <w:kern w:val="3"/>
          <w:sz w:val="22"/>
          <w:szCs w:val="22"/>
          <w:lang w:eastAsia="en-US"/>
        </w:rPr>
      </w:pPr>
      <w:r w:rsidRPr="00B04968">
        <w:rPr>
          <w:rFonts w:eastAsia="Calibri"/>
          <w:noProof/>
          <w:kern w:val="3"/>
          <w:sz w:val="22"/>
          <w:szCs w:val="22"/>
          <w:lang w:eastAsia="en-US"/>
        </w:rPr>
        <mc:AlternateContent>
          <mc:Choice Requires="wps">
            <w:drawing>
              <wp:anchor distT="0" distB="0" distL="114300" distR="114300" simplePos="0" relativeHeight="251681792" behindDoc="0" locked="0" layoutInCell="1" allowOverlap="1" wp14:anchorId="434A02F6" wp14:editId="7CFE1D4A">
                <wp:simplePos x="0" y="0"/>
                <wp:positionH relativeFrom="column">
                  <wp:posOffset>1571722</wp:posOffset>
                </wp:positionH>
                <wp:positionV relativeFrom="paragraph">
                  <wp:posOffset>289901</wp:posOffset>
                </wp:positionV>
                <wp:extent cx="2278383" cy="572771"/>
                <wp:effectExtent l="0" t="0" r="26667" b="17779"/>
                <wp:wrapNone/>
                <wp:docPr id="2084304042" name="Text Box 1"/>
                <wp:cNvGraphicFramePr/>
                <a:graphic xmlns:a="http://schemas.openxmlformats.org/drawingml/2006/main">
                  <a:graphicData uri="http://schemas.microsoft.com/office/word/2010/wordprocessingShape">
                    <wps:wsp>
                      <wps:cNvSpPr txBox="1"/>
                      <wps:spPr>
                        <a:xfrm>
                          <a:off x="0" y="0"/>
                          <a:ext cx="2278383" cy="572771"/>
                        </a:xfrm>
                        <a:prstGeom prst="rect">
                          <a:avLst/>
                        </a:prstGeom>
                        <a:solidFill>
                          <a:srgbClr val="FFFFFF"/>
                        </a:solidFill>
                        <a:ln w="9528">
                          <a:solidFill>
                            <a:srgbClr val="000000"/>
                          </a:solidFill>
                          <a:prstDash val="solid"/>
                        </a:ln>
                      </wps:spPr>
                      <wps:txbx>
                        <w:txbxContent>
                          <w:p w14:paraId="7090A55E" w14:textId="77777777" w:rsidR="00B04968" w:rsidRPr="00725FBD" w:rsidRDefault="00B04968" w:rsidP="00B04968">
                            <w:pPr>
                              <w:jc w:val="center"/>
                              <w:rPr>
                                <w:b/>
                                <w:sz w:val="18"/>
                                <w:szCs w:val="18"/>
                              </w:rPr>
                            </w:pPr>
                            <w:r w:rsidRPr="00725FBD">
                              <w:rPr>
                                <w:b/>
                                <w:sz w:val="18"/>
                                <w:szCs w:val="18"/>
                              </w:rPr>
                              <w:t xml:space="preserve">Grey Literature </w:t>
                            </w:r>
                          </w:p>
                          <w:p w14:paraId="7824F67D" w14:textId="77777777" w:rsidR="00B04968" w:rsidRPr="00725FBD" w:rsidRDefault="00B04968" w:rsidP="00B04968">
                            <w:pPr>
                              <w:jc w:val="center"/>
                              <w:rPr>
                                <w:b/>
                                <w:sz w:val="18"/>
                                <w:szCs w:val="18"/>
                              </w:rPr>
                            </w:pPr>
                            <w:r w:rsidRPr="00725FBD">
                              <w:rPr>
                                <w:b/>
                                <w:sz w:val="18"/>
                                <w:szCs w:val="18"/>
                              </w:rPr>
                              <w:t>(n= 18)</w:t>
                            </w:r>
                          </w:p>
                          <w:p w14:paraId="3D11169E" w14:textId="77777777" w:rsidR="00B04968" w:rsidRPr="001A7029" w:rsidRDefault="00B04968" w:rsidP="00B04968">
                            <w:pPr>
                              <w:rPr>
                                <w:sz w:val="20"/>
                                <w:szCs w:val="20"/>
                              </w:rPr>
                            </w:pPr>
                          </w:p>
                        </w:txbxContent>
                      </wps:txbx>
                      <wps:bodyPr vert="horz" wrap="square" lIns="91440" tIns="45720" rIns="91440" bIns="45720" anchor="t" anchorCtr="0" compatLnSpc="0">
                        <a:noAutofit/>
                      </wps:bodyPr>
                    </wps:wsp>
                  </a:graphicData>
                </a:graphic>
              </wp:anchor>
            </w:drawing>
          </mc:Choice>
          <mc:Fallback>
            <w:pict>
              <v:shape w14:anchorId="434A02F6" id="Text Box 1" o:spid="_x0000_s1038" type="#_x0000_t202" style="position:absolute;margin-left:123.75pt;margin-top:22.85pt;width:179.4pt;height:45.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" strokeweight=".26467mm">
                <v:textbox>
                  <w:txbxContent>
                    <w:p w14:paraId="7090A55E" w14:textId="77777777" w:rsidR="00B04968" w:rsidRPr="00725FBD" w:rsidRDefault="00B04968" w:rsidP="00B04968">
                      <w:pPr>
                        <w:jc w:val="center"/>
                        <w:rPr>
                          <w:b/>
                          <w:sz w:val="18"/>
                          <w:szCs w:val="18"/>
                        </w:rPr>
                      </w:pPr>
                      <w:r w:rsidRPr="00725FBD">
                        <w:rPr>
                          <w:b/>
                          <w:sz w:val="18"/>
                          <w:szCs w:val="18"/>
                        </w:rPr>
                        <w:t xml:space="preserve">Grey Literature </w:t>
                      </w:r>
                    </w:p>
                    <w:p w14:paraId="7824F67D" w14:textId="77777777" w:rsidR="00B04968" w:rsidRPr="00725FBD" w:rsidRDefault="00B04968" w:rsidP="00B04968">
                      <w:pPr>
                        <w:jc w:val="center"/>
                        <w:rPr>
                          <w:b/>
                          <w:sz w:val="18"/>
                          <w:szCs w:val="18"/>
                        </w:rPr>
                      </w:pPr>
                      <w:r w:rsidRPr="00725FBD">
                        <w:rPr>
                          <w:b/>
                          <w:sz w:val="18"/>
                          <w:szCs w:val="18"/>
                        </w:rPr>
                        <w:t>(n= 18)</w:t>
                      </w:r>
                    </w:p>
                    <w:p w14:paraId="3D11169E" w14:textId="77777777" w:rsidR="00B04968" w:rsidRPr="001A7029" w:rsidRDefault="00B04968" w:rsidP="00B04968">
                      <w:pPr>
                        <w:rPr>
                          <w:sz w:val="20"/>
                          <w:szCs w:val="20"/>
                        </w:rPr>
                      </w:pPr>
                    </w:p>
                  </w:txbxContent>
                </v:textbox>
              </v:shape>
            </w:pict>
          </mc:Fallback>
        </mc:AlternateContent>
      </w:r>
    </w:p>
    <w:p w14:paraId="62B7E70C" w14:textId="77777777" w:rsidR="00C96730" w:rsidRDefault="00C96730" w:rsidP="00DF099D">
      <w:pPr>
        <w:pStyle w:val="Tabletitle"/>
      </w:pPr>
    </w:p>
    <w:p w14:paraId="0DAB9112" w14:textId="4B0B8490" w:rsidR="00DF099D" w:rsidRDefault="00DF099D" w:rsidP="00DF099D">
      <w:pPr>
        <w:pStyle w:val="Tabletitle"/>
        <w:rPr>
          <w:rFonts w:cs="Calibri"/>
        </w:rPr>
      </w:pPr>
      <w:r>
        <w:lastRenderedPageBreak/>
        <w:t xml:space="preserve">Table </w:t>
      </w:r>
      <w:r w:rsidR="00C96730">
        <w:t>3</w:t>
      </w:r>
      <w:r>
        <w:t xml:space="preserve">. </w:t>
      </w:r>
      <w:r w:rsidR="00C96730" w:rsidRPr="00C96730">
        <w:rPr>
          <w:bCs/>
        </w:rPr>
        <w:t xml:space="preserve">PRISMA- </w:t>
      </w:r>
      <w:proofErr w:type="spellStart"/>
      <w:r w:rsidR="00C96730" w:rsidRPr="00C96730">
        <w:rPr>
          <w:bCs/>
        </w:rPr>
        <w:t>ScR</w:t>
      </w:r>
      <w:proofErr w:type="spellEnd"/>
      <w:r w:rsidR="00C96730" w:rsidRPr="00C96730">
        <w:rPr>
          <w:bCs/>
        </w:rPr>
        <w:t xml:space="preserve"> Flow Diagram</w:t>
      </w:r>
      <w:r>
        <w:t>.</w:t>
      </w:r>
      <w:r w:rsidRPr="00A506DF">
        <w:t xml:space="preserve"> </w:t>
      </w:r>
      <w:r w:rsidR="00C96730">
        <w:rPr>
          <w:rFonts w:cs="Calibri"/>
        </w:rPr>
        <w:t>Example From: Moher, D., Liberati, A., Tetzlaff, J., Altman, D. G., &amp; The PRISMA Group. (2009).</w:t>
      </w:r>
    </w:p>
    <w:p w14:paraId="709159BF" w14:textId="77777777" w:rsidR="00C96730" w:rsidRDefault="00C96730" w:rsidP="00C96730"/>
    <w:p w14:paraId="3D4E866F" w14:textId="77777777" w:rsidR="00C96730" w:rsidRDefault="00C96730" w:rsidP="00C96730"/>
    <w:p w14:paraId="6BEE719B" w14:textId="77777777" w:rsidR="00C96730" w:rsidRDefault="00C96730" w:rsidP="00C96730"/>
    <w:p w14:paraId="6E19234E" w14:textId="77777777" w:rsidR="00C96730" w:rsidRDefault="00C96730" w:rsidP="00C96730"/>
    <w:p w14:paraId="3612C167" w14:textId="77777777" w:rsidR="00C96730" w:rsidRDefault="00C96730" w:rsidP="00C96730"/>
    <w:p w14:paraId="70F9FFB6" w14:textId="77777777" w:rsidR="00C96730" w:rsidRDefault="00C96730" w:rsidP="00C96730"/>
    <w:p w14:paraId="75A2CEE3" w14:textId="77777777" w:rsidR="00C96730" w:rsidRDefault="00C96730" w:rsidP="00C96730"/>
    <w:p w14:paraId="342A618F" w14:textId="77777777" w:rsidR="00C96730" w:rsidRDefault="00C96730" w:rsidP="00C96730"/>
    <w:p w14:paraId="2AC4454B" w14:textId="77777777" w:rsidR="00C96730" w:rsidRDefault="00C96730" w:rsidP="00C96730"/>
    <w:p w14:paraId="7909CAE8" w14:textId="77777777" w:rsidR="00C96730" w:rsidRDefault="00C96730" w:rsidP="00C96730"/>
    <w:p w14:paraId="0AF5F9B6" w14:textId="77777777" w:rsidR="00C96730" w:rsidRDefault="00C96730" w:rsidP="00C96730"/>
    <w:p w14:paraId="64075E35" w14:textId="77777777" w:rsidR="00C96730" w:rsidRDefault="00C96730" w:rsidP="00C96730"/>
    <w:p w14:paraId="24AF8EBA" w14:textId="77777777" w:rsidR="00C96730" w:rsidRDefault="00C96730" w:rsidP="00C96730"/>
    <w:p w14:paraId="5ED6AEA7" w14:textId="77777777" w:rsidR="00C96730" w:rsidRDefault="00C96730" w:rsidP="00C96730"/>
    <w:p w14:paraId="60F02AD3" w14:textId="77777777" w:rsidR="00C96730" w:rsidRDefault="00C96730" w:rsidP="00C96730"/>
    <w:p w14:paraId="57AFAE2A" w14:textId="77777777" w:rsidR="00C96730" w:rsidRDefault="00C96730" w:rsidP="00C96730"/>
    <w:p w14:paraId="2AAE744D" w14:textId="77777777" w:rsidR="00C96730" w:rsidRDefault="00C96730" w:rsidP="00C96730"/>
    <w:p w14:paraId="6BBBCF37" w14:textId="77777777" w:rsidR="00C96730" w:rsidRDefault="00C96730" w:rsidP="00C96730"/>
    <w:p w14:paraId="47118EB7" w14:textId="77777777" w:rsidR="00C96730" w:rsidRDefault="00C96730" w:rsidP="00C96730"/>
    <w:p w14:paraId="29C5500E" w14:textId="77777777" w:rsidR="00C96730" w:rsidRDefault="00C96730" w:rsidP="00C96730"/>
    <w:p w14:paraId="4CE84DE7" w14:textId="77777777" w:rsidR="00C96730" w:rsidRDefault="00C96730" w:rsidP="00C96730"/>
    <w:p w14:paraId="5D6972FC" w14:textId="77777777" w:rsidR="00C96730" w:rsidRDefault="00C96730" w:rsidP="00C96730"/>
    <w:p w14:paraId="3EE0D137" w14:textId="77777777" w:rsidR="00C96730" w:rsidRDefault="00C96730" w:rsidP="00C96730"/>
    <w:p w14:paraId="75675FA0" w14:textId="77777777" w:rsidR="00C96730" w:rsidRDefault="00C96730" w:rsidP="00C96730"/>
    <w:tbl>
      <w:tblPr>
        <w:tblW w:w="10026" w:type="dxa"/>
        <w:tblInd w:w="-772" w:type="dxa"/>
        <w:tblCellMar>
          <w:left w:w="10" w:type="dxa"/>
          <w:right w:w="10" w:type="dxa"/>
        </w:tblCellMar>
        <w:tblLook w:val="04A0" w:firstRow="1" w:lastRow="0" w:firstColumn="1" w:lastColumn="0" w:noHBand="0" w:noVBand="1"/>
      </w:tblPr>
      <w:tblGrid>
        <w:gridCol w:w="10026"/>
      </w:tblGrid>
      <w:tr w:rsidR="00C96730" w14:paraId="0C24F2F8" w14:textId="77777777" w:rsidTr="00C96730">
        <w:trPr>
          <w:trHeight w:val="6653"/>
        </w:trPr>
        <w:tc>
          <w:tcPr>
            <w:tcW w:w="10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CB393" w14:textId="77777777" w:rsidR="00C96730" w:rsidRDefault="00C96730" w:rsidP="00DB33F6">
            <w:pPr>
              <w:spacing w:line="240" w:lineRule="auto"/>
              <w:ind w:right="-284"/>
              <w:rPr>
                <w:rFonts w:cs="Calibri"/>
                <w:b/>
              </w:rPr>
            </w:pPr>
          </w:p>
          <w:p w14:paraId="79D20037" w14:textId="77777777" w:rsidR="00C96730" w:rsidRDefault="00C96730" w:rsidP="00C96730">
            <w:pPr>
              <w:numPr>
                <w:ilvl w:val="0"/>
                <w:numId w:val="33"/>
              </w:numPr>
              <w:suppressAutoHyphens/>
              <w:autoSpaceDN w:val="0"/>
              <w:spacing w:after="200" w:line="240" w:lineRule="auto"/>
              <w:ind w:left="854" w:right="-284"/>
              <w:rPr>
                <w:rFonts w:cs="Calibri"/>
              </w:rPr>
            </w:pPr>
            <w:r>
              <w:rPr>
                <w:rFonts w:cs="Calibri"/>
              </w:rPr>
              <w:t xml:space="preserve">Internet use for all populations in society has grown and continues to grow exponentially.  </w:t>
            </w:r>
          </w:p>
          <w:p w14:paraId="085F3AD1" w14:textId="77777777" w:rsidR="00C96730" w:rsidRDefault="00C96730" w:rsidP="00C96730">
            <w:pPr>
              <w:numPr>
                <w:ilvl w:val="0"/>
                <w:numId w:val="33"/>
              </w:numPr>
              <w:suppressAutoHyphens/>
              <w:autoSpaceDN w:val="0"/>
              <w:spacing w:after="200" w:line="240" w:lineRule="auto"/>
              <w:ind w:left="854" w:right="-284"/>
              <w:rPr>
                <w:rFonts w:cs="Calibri"/>
              </w:rPr>
            </w:pPr>
            <w:r>
              <w:rPr>
                <w:rFonts w:cs="Calibri"/>
              </w:rPr>
              <w:t xml:space="preserve">Complexity exists at the intersection between child protection and welfare, disability and </w:t>
            </w:r>
          </w:p>
          <w:p w14:paraId="486008B7" w14:textId="77777777" w:rsidR="00C96730" w:rsidRDefault="00C96730" w:rsidP="00DB33F6">
            <w:pPr>
              <w:spacing w:line="240" w:lineRule="auto"/>
              <w:ind w:left="854" w:right="-284"/>
              <w:rPr>
                <w:rFonts w:cs="Calibri"/>
              </w:rPr>
            </w:pPr>
            <w:r>
              <w:rPr>
                <w:rFonts w:cs="Calibri"/>
              </w:rPr>
              <w:t xml:space="preserve">the internet warranting attention to the added vulnerability that disability presents within </w:t>
            </w:r>
          </w:p>
          <w:p w14:paraId="273B3571" w14:textId="77777777" w:rsidR="00C96730" w:rsidRDefault="00C96730" w:rsidP="00DB33F6">
            <w:pPr>
              <w:spacing w:line="240" w:lineRule="auto"/>
              <w:ind w:left="854" w:right="-284"/>
              <w:rPr>
                <w:rFonts w:cs="Calibri"/>
              </w:rPr>
            </w:pPr>
            <w:r>
              <w:rPr>
                <w:rFonts w:cs="Calibri"/>
              </w:rPr>
              <w:t>the digital world.</w:t>
            </w:r>
          </w:p>
          <w:p w14:paraId="257DE52D" w14:textId="77777777" w:rsidR="00C96730" w:rsidRDefault="00C96730" w:rsidP="00C96730">
            <w:pPr>
              <w:numPr>
                <w:ilvl w:val="0"/>
                <w:numId w:val="33"/>
              </w:numPr>
              <w:suppressAutoHyphens/>
              <w:autoSpaceDN w:val="0"/>
              <w:spacing w:after="200" w:line="240" w:lineRule="auto"/>
              <w:ind w:left="854" w:right="-284"/>
              <w:rPr>
                <w:rFonts w:cs="Calibri"/>
              </w:rPr>
            </w:pPr>
            <w:r>
              <w:rPr>
                <w:rFonts w:cs="Calibri"/>
              </w:rPr>
              <w:t>Evidence exists of an abundance of multifaceted online risks for young people using the internet inclusive of cyber victimisation, cyber bullying, child sexual solicitation, problematic</w:t>
            </w:r>
          </w:p>
          <w:p w14:paraId="69CDC0DE" w14:textId="77777777" w:rsidR="00C96730" w:rsidRDefault="00C96730" w:rsidP="00DB33F6">
            <w:pPr>
              <w:spacing w:line="240" w:lineRule="auto"/>
              <w:ind w:left="854" w:right="-284"/>
              <w:rPr>
                <w:rFonts w:cs="Calibri"/>
              </w:rPr>
            </w:pPr>
            <w:r>
              <w:rPr>
                <w:rFonts w:cs="Calibri"/>
              </w:rPr>
              <w:t xml:space="preserve"> internet use, and data protection concerns. </w:t>
            </w:r>
          </w:p>
          <w:p w14:paraId="156CF678" w14:textId="77777777" w:rsidR="00C96730" w:rsidRDefault="00C96730" w:rsidP="00C96730">
            <w:pPr>
              <w:numPr>
                <w:ilvl w:val="0"/>
                <w:numId w:val="33"/>
              </w:numPr>
              <w:suppressAutoHyphens/>
              <w:autoSpaceDN w:val="0"/>
              <w:spacing w:after="200" w:line="240" w:lineRule="auto"/>
              <w:ind w:left="854" w:right="-284"/>
              <w:rPr>
                <w:rFonts w:cs="Calibri"/>
              </w:rPr>
            </w:pPr>
            <w:r>
              <w:rPr>
                <w:rFonts w:cs="Calibri"/>
              </w:rPr>
              <w:t>The impact of exposure to online risk in the lives of young people is far-reaching and a cause for concern.</w:t>
            </w:r>
          </w:p>
          <w:p w14:paraId="103809B3" w14:textId="77777777" w:rsidR="00C96730" w:rsidRDefault="00C96730" w:rsidP="00C96730">
            <w:pPr>
              <w:numPr>
                <w:ilvl w:val="0"/>
                <w:numId w:val="33"/>
              </w:numPr>
              <w:suppressAutoHyphens/>
              <w:autoSpaceDN w:val="0"/>
              <w:spacing w:after="200" w:line="240" w:lineRule="auto"/>
              <w:ind w:left="854" w:right="-284"/>
              <w:rPr>
                <w:rFonts w:cs="Calibri"/>
              </w:rPr>
            </w:pPr>
            <w:r>
              <w:rPr>
                <w:rFonts w:cs="Calibri"/>
              </w:rPr>
              <w:t xml:space="preserve">Parents’ behaviour online sharing information and images about their children (sharenting) creates </w:t>
            </w:r>
          </w:p>
          <w:p w14:paraId="50D8E308" w14:textId="77777777" w:rsidR="00C96730" w:rsidRDefault="00C96730" w:rsidP="00DB33F6">
            <w:pPr>
              <w:spacing w:line="240" w:lineRule="auto"/>
              <w:ind w:left="854" w:right="-284"/>
              <w:rPr>
                <w:rFonts w:cs="Calibri"/>
              </w:rPr>
            </w:pPr>
            <w:r>
              <w:rPr>
                <w:rFonts w:cs="Calibri"/>
              </w:rPr>
              <w:t>an added layer of complexity to the work of child protection and welfare professionals.</w:t>
            </w:r>
          </w:p>
          <w:p w14:paraId="2B8A7CEE" w14:textId="77777777" w:rsidR="00C96730" w:rsidRDefault="00C96730" w:rsidP="00C96730">
            <w:pPr>
              <w:numPr>
                <w:ilvl w:val="0"/>
                <w:numId w:val="33"/>
              </w:numPr>
              <w:suppressAutoHyphens/>
              <w:autoSpaceDN w:val="0"/>
              <w:spacing w:after="200" w:line="240" w:lineRule="auto"/>
              <w:ind w:left="854" w:right="-284"/>
              <w:rPr>
                <w:rFonts w:cs="Calibri"/>
              </w:rPr>
            </w:pPr>
            <w:r>
              <w:rPr>
                <w:rFonts w:cs="Calibri"/>
              </w:rPr>
              <w:t xml:space="preserve">Placing responsibility for online safety at a macro level (tech companies, governmental regulation) </w:t>
            </w:r>
          </w:p>
          <w:p w14:paraId="7AE773D3" w14:textId="77777777" w:rsidR="00C96730" w:rsidRDefault="00C96730" w:rsidP="00DB33F6">
            <w:pPr>
              <w:spacing w:line="240" w:lineRule="auto"/>
              <w:ind w:left="854" w:right="-284"/>
            </w:pPr>
            <w:r>
              <w:rPr>
                <w:rFonts w:cs="Calibri"/>
              </w:rPr>
              <w:t>has not and will not keep disabled children safe online.</w:t>
            </w:r>
            <w:r>
              <w:rPr>
                <w:rFonts w:cs="Calibri"/>
                <w:b/>
              </w:rPr>
              <w:t xml:space="preserve"> </w:t>
            </w:r>
          </w:p>
          <w:p w14:paraId="1C535CCA" w14:textId="77777777" w:rsidR="00C96730" w:rsidRDefault="00C96730" w:rsidP="00DB33F6">
            <w:pPr>
              <w:spacing w:line="240" w:lineRule="auto"/>
              <w:ind w:right="-284"/>
              <w:rPr>
                <w:rFonts w:cs="Calibri"/>
                <w:b/>
              </w:rPr>
            </w:pPr>
            <w:r>
              <w:rPr>
                <w:rFonts w:cs="Calibri"/>
                <w:b/>
              </w:rPr>
              <w:t xml:space="preserve">Links to useful resources for online safety applications </w:t>
            </w:r>
          </w:p>
          <w:p w14:paraId="451B8407" w14:textId="77777777" w:rsidR="00C96730" w:rsidRDefault="00000000" w:rsidP="00C96730">
            <w:pPr>
              <w:numPr>
                <w:ilvl w:val="0"/>
                <w:numId w:val="34"/>
              </w:numPr>
              <w:tabs>
                <w:tab w:val="left" w:pos="720"/>
              </w:tabs>
              <w:suppressAutoHyphens/>
              <w:autoSpaceDN w:val="0"/>
              <w:spacing w:line="240" w:lineRule="auto"/>
              <w:ind w:left="714" w:right="-284" w:hanging="357"/>
            </w:pPr>
            <w:hyperlink w:history="1">
              <w:r w:rsidR="00C96730">
                <w:rPr>
                  <w:rFonts w:cs="Calibri"/>
                </w:rPr>
                <w:t>https://www.barnardos.ie</w:t>
              </w:r>
            </w:hyperlink>
            <w:r w:rsidR="00C96730">
              <w:rPr>
                <w:rFonts w:cs="Calibri"/>
              </w:rPr>
              <w:t xml:space="preserve">   </w:t>
            </w:r>
          </w:p>
          <w:p w14:paraId="4BA4E7CB" w14:textId="77777777" w:rsidR="00C96730" w:rsidRDefault="00000000" w:rsidP="00C96730">
            <w:pPr>
              <w:numPr>
                <w:ilvl w:val="0"/>
                <w:numId w:val="34"/>
              </w:numPr>
              <w:tabs>
                <w:tab w:val="left" w:pos="720"/>
              </w:tabs>
              <w:suppressAutoHyphens/>
              <w:autoSpaceDN w:val="0"/>
              <w:spacing w:line="240" w:lineRule="auto"/>
              <w:ind w:left="714" w:right="-284" w:hanging="357"/>
            </w:pPr>
            <w:hyperlink w:history="1">
              <w:r w:rsidR="00C96730">
                <w:rPr>
                  <w:rFonts w:cs="Calibri"/>
                  <w:color w:val="0000FF"/>
                  <w:u w:val="single"/>
                </w:rPr>
                <w:t>https://families.google/familylink/</w:t>
              </w:r>
            </w:hyperlink>
          </w:p>
          <w:p w14:paraId="105D3C21" w14:textId="77777777" w:rsidR="00C96730" w:rsidRDefault="00000000" w:rsidP="00C96730">
            <w:pPr>
              <w:numPr>
                <w:ilvl w:val="0"/>
                <w:numId w:val="34"/>
              </w:numPr>
              <w:tabs>
                <w:tab w:val="left" w:pos="720"/>
              </w:tabs>
              <w:suppressAutoHyphens/>
              <w:autoSpaceDN w:val="0"/>
              <w:spacing w:line="240" w:lineRule="auto"/>
              <w:ind w:left="714" w:right="-284" w:hanging="357"/>
            </w:pPr>
            <w:hyperlink w:history="1">
              <w:r w:rsidR="00C96730">
                <w:rPr>
                  <w:rFonts w:cs="Calibri"/>
                  <w:color w:val="0000FF"/>
                  <w:u w:val="single"/>
                </w:rPr>
                <w:t>https://www.cybersafekids.ie</w:t>
              </w:r>
            </w:hyperlink>
          </w:p>
          <w:p w14:paraId="63D8683F" w14:textId="77777777" w:rsidR="00C96730" w:rsidRDefault="00000000" w:rsidP="00C96730">
            <w:pPr>
              <w:numPr>
                <w:ilvl w:val="0"/>
                <w:numId w:val="34"/>
              </w:numPr>
              <w:tabs>
                <w:tab w:val="left" w:pos="720"/>
              </w:tabs>
              <w:suppressAutoHyphens/>
              <w:autoSpaceDN w:val="0"/>
              <w:spacing w:line="240" w:lineRule="auto"/>
              <w:ind w:left="714" w:right="-284" w:hanging="357"/>
            </w:pPr>
            <w:hyperlink w:history="1">
              <w:r w:rsidR="00C96730">
                <w:rPr>
                  <w:rFonts w:cs="Calibri"/>
                  <w:color w:val="0000FF"/>
                  <w:u w:val="single"/>
                </w:rPr>
                <w:t>https://www.webwise.ie/</w:t>
              </w:r>
            </w:hyperlink>
          </w:p>
          <w:p w14:paraId="002423D0" w14:textId="77777777" w:rsidR="00C96730" w:rsidRDefault="00000000" w:rsidP="00C96730">
            <w:pPr>
              <w:numPr>
                <w:ilvl w:val="0"/>
                <w:numId w:val="34"/>
              </w:numPr>
              <w:tabs>
                <w:tab w:val="left" w:pos="720"/>
              </w:tabs>
              <w:suppressAutoHyphens/>
              <w:autoSpaceDN w:val="0"/>
              <w:spacing w:line="240" w:lineRule="auto"/>
              <w:ind w:left="714" w:right="-284" w:hanging="357"/>
            </w:pPr>
            <w:hyperlink w:history="1">
              <w:r w:rsidR="00C96730">
                <w:rPr>
                  <w:rFonts w:cs="Calibri"/>
                  <w:color w:val="0000FF"/>
                  <w:u w:val="single"/>
                </w:rPr>
                <w:t>https://www.internetsociety.org/</w:t>
              </w:r>
            </w:hyperlink>
          </w:p>
          <w:p w14:paraId="057E9DC2" w14:textId="77777777" w:rsidR="00C96730" w:rsidRDefault="00000000" w:rsidP="00C96730">
            <w:pPr>
              <w:numPr>
                <w:ilvl w:val="0"/>
                <w:numId w:val="34"/>
              </w:numPr>
              <w:tabs>
                <w:tab w:val="left" w:pos="720"/>
              </w:tabs>
              <w:suppressAutoHyphens/>
              <w:autoSpaceDN w:val="0"/>
              <w:spacing w:line="240" w:lineRule="auto"/>
              <w:ind w:left="714" w:right="-284" w:hanging="357"/>
            </w:pPr>
            <w:hyperlink w:history="1">
              <w:r w:rsidR="00C96730">
                <w:rPr>
                  <w:rFonts w:cs="Calibri"/>
                  <w:color w:val="0000FF"/>
                  <w:u w:val="single"/>
                </w:rPr>
                <w:t>https://www.internetlifeguard.org</w:t>
              </w:r>
            </w:hyperlink>
          </w:p>
          <w:p w14:paraId="6576E1FC" w14:textId="77777777" w:rsidR="00C96730" w:rsidRDefault="00000000" w:rsidP="00C96730">
            <w:pPr>
              <w:numPr>
                <w:ilvl w:val="0"/>
                <w:numId w:val="34"/>
              </w:numPr>
              <w:tabs>
                <w:tab w:val="left" w:pos="720"/>
              </w:tabs>
              <w:suppressAutoHyphens/>
              <w:autoSpaceDN w:val="0"/>
              <w:spacing w:line="240" w:lineRule="auto"/>
              <w:ind w:left="714" w:right="-284" w:hanging="357"/>
            </w:pPr>
            <w:hyperlink w:history="1">
              <w:r w:rsidR="00C96730">
                <w:rPr>
                  <w:rFonts w:cs="Calibri"/>
                  <w:color w:val="0000FF"/>
                  <w:u w:val="single"/>
                </w:rPr>
                <w:t>https://www.ripplesuicideprevention.com/</w:t>
              </w:r>
            </w:hyperlink>
            <w:r w:rsidR="00C96730">
              <w:rPr>
                <w:rFonts w:cs="Calibri"/>
              </w:rPr>
              <w:t xml:space="preserve"> </w:t>
            </w:r>
          </w:p>
          <w:p w14:paraId="1CC865D7" w14:textId="77777777" w:rsidR="00C96730" w:rsidRDefault="00000000" w:rsidP="00C96730">
            <w:pPr>
              <w:numPr>
                <w:ilvl w:val="0"/>
                <w:numId w:val="34"/>
              </w:numPr>
              <w:tabs>
                <w:tab w:val="left" w:pos="720"/>
              </w:tabs>
              <w:suppressAutoHyphens/>
              <w:autoSpaceDN w:val="0"/>
              <w:spacing w:line="240" w:lineRule="auto"/>
              <w:ind w:left="714" w:right="-284" w:hanging="357"/>
            </w:pPr>
            <w:hyperlink w:history="1">
              <w:r w:rsidR="00C96730">
                <w:rPr>
                  <w:rFonts w:cs="Calibri"/>
                  <w:color w:val="0000FF"/>
                  <w:u w:val="single"/>
                </w:rPr>
                <w:t>https://hopenothate.org.uk/</w:t>
              </w:r>
            </w:hyperlink>
          </w:p>
          <w:p w14:paraId="4EF79BE8" w14:textId="77777777" w:rsidR="00C96730" w:rsidRDefault="00C96730" w:rsidP="00DB33F6">
            <w:pPr>
              <w:spacing w:line="240" w:lineRule="auto"/>
              <w:ind w:left="494" w:right="-284"/>
              <w:rPr>
                <w:rFonts w:cs="Calibri"/>
                <w:b/>
              </w:rPr>
            </w:pPr>
          </w:p>
        </w:tc>
      </w:tr>
    </w:tbl>
    <w:p w14:paraId="592304F7" w14:textId="3C55AA9F" w:rsidR="00DF099D" w:rsidRDefault="00DF099D" w:rsidP="00DF099D">
      <w:pPr>
        <w:pStyle w:val="Tabletitle"/>
      </w:pPr>
      <w:r>
        <w:t xml:space="preserve">Table </w:t>
      </w:r>
      <w:r w:rsidR="00C96730">
        <w:t>4</w:t>
      </w:r>
      <w:r>
        <w:t xml:space="preserve">. </w:t>
      </w:r>
      <w:r w:rsidR="00C96730">
        <w:t>Key learning points for practice</w:t>
      </w:r>
    </w:p>
    <w:p w14:paraId="29A279AF" w14:textId="77777777" w:rsidR="00DF099D" w:rsidRPr="00DF099D" w:rsidRDefault="00DF099D" w:rsidP="00DF099D"/>
    <w:p w14:paraId="59E3E170" w14:textId="5D0FBAF4" w:rsidR="00FE4713" w:rsidRDefault="00FE4713" w:rsidP="0080308E">
      <w:pPr>
        <w:pStyle w:val="Figurecaption"/>
      </w:pPr>
    </w:p>
    <w:sectPr w:rsidR="00FE4713" w:rsidSect="00074B81">
      <w:headerReference w:type="even" r:id="rId19"/>
      <w:headerReference w:type="default" r:id="rId20"/>
      <w:footerReference w:type="even" r:id="rId21"/>
      <w:footerReference w:type="default" r:id="rId22"/>
      <w:headerReference w:type="first" r:id="rId23"/>
      <w:footerReference w:type="first" r:id="rId24"/>
      <w:pgSz w:w="11901"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1A381" w14:textId="77777777" w:rsidR="00691198" w:rsidRDefault="00691198" w:rsidP="00AF2C92">
      <w:r>
        <w:separator/>
      </w:r>
    </w:p>
  </w:endnote>
  <w:endnote w:type="continuationSeparator" w:id="0">
    <w:p w14:paraId="6564125C" w14:textId="77777777" w:rsidR="00691198" w:rsidRDefault="00691198" w:rsidP="00AF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C24A8" w14:textId="77777777" w:rsidR="002211DD" w:rsidRDefault="002211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1E3C0" w14:textId="77777777" w:rsidR="002211DD" w:rsidRDefault="002211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F0312" w14:textId="77777777" w:rsidR="002211DD" w:rsidRDefault="00221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EA928" w14:textId="77777777" w:rsidR="00691198" w:rsidRDefault="00691198" w:rsidP="00AF2C92">
      <w:r>
        <w:separator/>
      </w:r>
    </w:p>
  </w:footnote>
  <w:footnote w:type="continuationSeparator" w:id="0">
    <w:p w14:paraId="11EB47BE" w14:textId="77777777" w:rsidR="00691198" w:rsidRDefault="00691198" w:rsidP="00AF2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4EDB5" w14:textId="77777777" w:rsidR="002211DD" w:rsidRDefault="002211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643FF" w14:textId="77777777" w:rsidR="002211DD" w:rsidRDefault="002211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3073" w14:textId="77777777" w:rsidR="002211DD" w:rsidRDefault="00221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F147269"/>
    <w:multiLevelType w:val="multilevel"/>
    <w:tmpl w:val="DDDE10BC"/>
    <w:lvl w:ilvl="0">
      <w:numFmt w:val="bullet"/>
      <w:lvlText w:val=""/>
      <w:lvlJc w:val="left"/>
      <w:pPr>
        <w:ind w:left="755" w:hanging="360"/>
      </w:pPr>
      <w:rPr>
        <w:rFonts w:ascii="Symbol" w:hAnsi="Symbol"/>
      </w:rPr>
    </w:lvl>
    <w:lvl w:ilvl="1">
      <w:numFmt w:val="bullet"/>
      <w:lvlText w:val="o"/>
      <w:lvlJc w:val="left"/>
      <w:pPr>
        <w:ind w:left="1475" w:hanging="360"/>
      </w:pPr>
      <w:rPr>
        <w:rFonts w:ascii="Courier New" w:hAnsi="Courier New" w:cs="Courier New"/>
      </w:rPr>
    </w:lvl>
    <w:lvl w:ilvl="2">
      <w:numFmt w:val="bullet"/>
      <w:lvlText w:val=""/>
      <w:lvlJc w:val="left"/>
      <w:pPr>
        <w:ind w:left="2195" w:hanging="360"/>
      </w:pPr>
      <w:rPr>
        <w:rFonts w:ascii="Wingdings" w:hAnsi="Wingdings"/>
      </w:rPr>
    </w:lvl>
    <w:lvl w:ilvl="3">
      <w:numFmt w:val="bullet"/>
      <w:lvlText w:val=""/>
      <w:lvlJc w:val="left"/>
      <w:pPr>
        <w:ind w:left="2915" w:hanging="360"/>
      </w:pPr>
      <w:rPr>
        <w:rFonts w:ascii="Symbol" w:hAnsi="Symbol"/>
      </w:rPr>
    </w:lvl>
    <w:lvl w:ilvl="4">
      <w:numFmt w:val="bullet"/>
      <w:lvlText w:val="o"/>
      <w:lvlJc w:val="left"/>
      <w:pPr>
        <w:ind w:left="3635" w:hanging="360"/>
      </w:pPr>
      <w:rPr>
        <w:rFonts w:ascii="Courier New" w:hAnsi="Courier New" w:cs="Courier New"/>
      </w:rPr>
    </w:lvl>
    <w:lvl w:ilvl="5">
      <w:numFmt w:val="bullet"/>
      <w:lvlText w:val=""/>
      <w:lvlJc w:val="left"/>
      <w:pPr>
        <w:ind w:left="4355" w:hanging="360"/>
      </w:pPr>
      <w:rPr>
        <w:rFonts w:ascii="Wingdings" w:hAnsi="Wingdings"/>
      </w:rPr>
    </w:lvl>
    <w:lvl w:ilvl="6">
      <w:numFmt w:val="bullet"/>
      <w:lvlText w:val=""/>
      <w:lvlJc w:val="left"/>
      <w:pPr>
        <w:ind w:left="5075" w:hanging="360"/>
      </w:pPr>
      <w:rPr>
        <w:rFonts w:ascii="Symbol" w:hAnsi="Symbol"/>
      </w:rPr>
    </w:lvl>
    <w:lvl w:ilvl="7">
      <w:numFmt w:val="bullet"/>
      <w:lvlText w:val="o"/>
      <w:lvlJc w:val="left"/>
      <w:pPr>
        <w:ind w:left="5795" w:hanging="360"/>
      </w:pPr>
      <w:rPr>
        <w:rFonts w:ascii="Courier New" w:hAnsi="Courier New" w:cs="Courier New"/>
      </w:rPr>
    </w:lvl>
    <w:lvl w:ilvl="8">
      <w:numFmt w:val="bullet"/>
      <w:lvlText w:val=""/>
      <w:lvlJc w:val="left"/>
      <w:pPr>
        <w:ind w:left="6515" w:hanging="360"/>
      </w:pPr>
      <w:rPr>
        <w:rFonts w:ascii="Wingdings" w:hAnsi="Wingdings"/>
      </w:rPr>
    </w:lvl>
  </w:abstractNum>
  <w:abstractNum w:abstractNumId="20"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031737"/>
    <w:multiLevelType w:val="multilevel"/>
    <w:tmpl w:val="9F10AD20"/>
    <w:lvl w:ilvl="0">
      <w:numFmt w:val="bullet"/>
      <w:lvlText w:val=""/>
      <w:lvlJc w:val="left"/>
      <w:pPr>
        <w:ind w:left="743" w:hanging="360"/>
      </w:pPr>
      <w:rPr>
        <w:rFonts w:ascii="Symbol" w:hAnsi="Symbol"/>
      </w:rPr>
    </w:lvl>
    <w:lvl w:ilvl="1">
      <w:numFmt w:val="bullet"/>
      <w:lvlText w:val="o"/>
      <w:lvlJc w:val="left"/>
      <w:pPr>
        <w:ind w:left="1463" w:hanging="360"/>
      </w:pPr>
      <w:rPr>
        <w:rFonts w:ascii="Courier New" w:hAnsi="Courier New" w:cs="Courier New"/>
      </w:rPr>
    </w:lvl>
    <w:lvl w:ilvl="2">
      <w:numFmt w:val="bullet"/>
      <w:lvlText w:val=""/>
      <w:lvlJc w:val="left"/>
      <w:pPr>
        <w:ind w:left="2183" w:hanging="360"/>
      </w:pPr>
      <w:rPr>
        <w:rFonts w:ascii="Wingdings" w:hAnsi="Wingdings"/>
      </w:rPr>
    </w:lvl>
    <w:lvl w:ilvl="3">
      <w:numFmt w:val="bullet"/>
      <w:lvlText w:val=""/>
      <w:lvlJc w:val="left"/>
      <w:pPr>
        <w:ind w:left="2903" w:hanging="360"/>
      </w:pPr>
      <w:rPr>
        <w:rFonts w:ascii="Symbol" w:hAnsi="Symbol"/>
      </w:rPr>
    </w:lvl>
    <w:lvl w:ilvl="4">
      <w:numFmt w:val="bullet"/>
      <w:lvlText w:val="o"/>
      <w:lvlJc w:val="left"/>
      <w:pPr>
        <w:ind w:left="3623" w:hanging="360"/>
      </w:pPr>
      <w:rPr>
        <w:rFonts w:ascii="Courier New" w:hAnsi="Courier New" w:cs="Courier New"/>
      </w:rPr>
    </w:lvl>
    <w:lvl w:ilvl="5">
      <w:numFmt w:val="bullet"/>
      <w:lvlText w:val=""/>
      <w:lvlJc w:val="left"/>
      <w:pPr>
        <w:ind w:left="4343" w:hanging="360"/>
      </w:pPr>
      <w:rPr>
        <w:rFonts w:ascii="Wingdings" w:hAnsi="Wingdings"/>
      </w:rPr>
    </w:lvl>
    <w:lvl w:ilvl="6">
      <w:numFmt w:val="bullet"/>
      <w:lvlText w:val=""/>
      <w:lvlJc w:val="left"/>
      <w:pPr>
        <w:ind w:left="5063" w:hanging="360"/>
      </w:pPr>
      <w:rPr>
        <w:rFonts w:ascii="Symbol" w:hAnsi="Symbol"/>
      </w:rPr>
    </w:lvl>
    <w:lvl w:ilvl="7">
      <w:numFmt w:val="bullet"/>
      <w:lvlText w:val="o"/>
      <w:lvlJc w:val="left"/>
      <w:pPr>
        <w:ind w:left="5783" w:hanging="360"/>
      </w:pPr>
      <w:rPr>
        <w:rFonts w:ascii="Courier New" w:hAnsi="Courier New" w:cs="Courier New"/>
      </w:rPr>
    </w:lvl>
    <w:lvl w:ilvl="8">
      <w:numFmt w:val="bullet"/>
      <w:lvlText w:val=""/>
      <w:lvlJc w:val="left"/>
      <w:pPr>
        <w:ind w:left="6503" w:hanging="360"/>
      </w:pPr>
      <w:rPr>
        <w:rFonts w:ascii="Wingdings" w:hAnsi="Wingdings"/>
      </w:rPr>
    </w:lvl>
  </w:abstractNum>
  <w:abstractNum w:abstractNumId="25"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D8359A2"/>
    <w:multiLevelType w:val="multilevel"/>
    <w:tmpl w:val="A3F0D91E"/>
    <w:lvl w:ilvl="0">
      <w:numFmt w:val="bullet"/>
      <w:lvlText w:val=""/>
      <w:lvlJc w:val="left"/>
      <w:pPr>
        <w:ind w:left="475" w:hanging="360"/>
      </w:pPr>
      <w:rPr>
        <w:rFonts w:ascii="Symbol" w:hAnsi="Symbol"/>
      </w:rPr>
    </w:lvl>
    <w:lvl w:ilvl="1">
      <w:numFmt w:val="bullet"/>
      <w:lvlText w:val="o"/>
      <w:lvlJc w:val="left"/>
      <w:pPr>
        <w:ind w:left="1195" w:hanging="360"/>
      </w:pPr>
      <w:rPr>
        <w:rFonts w:ascii="Courier New" w:hAnsi="Courier New" w:cs="Courier New"/>
      </w:rPr>
    </w:lvl>
    <w:lvl w:ilvl="2">
      <w:numFmt w:val="bullet"/>
      <w:lvlText w:val=""/>
      <w:lvlJc w:val="left"/>
      <w:pPr>
        <w:ind w:left="1915" w:hanging="360"/>
      </w:pPr>
      <w:rPr>
        <w:rFonts w:ascii="Wingdings" w:hAnsi="Wingdings"/>
      </w:rPr>
    </w:lvl>
    <w:lvl w:ilvl="3">
      <w:numFmt w:val="bullet"/>
      <w:lvlText w:val=""/>
      <w:lvlJc w:val="left"/>
      <w:pPr>
        <w:ind w:left="2635" w:hanging="360"/>
      </w:pPr>
      <w:rPr>
        <w:rFonts w:ascii="Symbol" w:hAnsi="Symbol"/>
      </w:rPr>
    </w:lvl>
    <w:lvl w:ilvl="4">
      <w:numFmt w:val="bullet"/>
      <w:lvlText w:val="o"/>
      <w:lvlJc w:val="left"/>
      <w:pPr>
        <w:ind w:left="3355" w:hanging="360"/>
      </w:pPr>
      <w:rPr>
        <w:rFonts w:ascii="Courier New" w:hAnsi="Courier New" w:cs="Courier New"/>
      </w:rPr>
    </w:lvl>
    <w:lvl w:ilvl="5">
      <w:numFmt w:val="bullet"/>
      <w:lvlText w:val=""/>
      <w:lvlJc w:val="left"/>
      <w:pPr>
        <w:ind w:left="4075" w:hanging="360"/>
      </w:pPr>
      <w:rPr>
        <w:rFonts w:ascii="Wingdings" w:hAnsi="Wingdings"/>
      </w:rPr>
    </w:lvl>
    <w:lvl w:ilvl="6">
      <w:numFmt w:val="bullet"/>
      <w:lvlText w:val=""/>
      <w:lvlJc w:val="left"/>
      <w:pPr>
        <w:ind w:left="4795" w:hanging="360"/>
      </w:pPr>
      <w:rPr>
        <w:rFonts w:ascii="Symbol" w:hAnsi="Symbol"/>
      </w:rPr>
    </w:lvl>
    <w:lvl w:ilvl="7">
      <w:numFmt w:val="bullet"/>
      <w:lvlText w:val="o"/>
      <w:lvlJc w:val="left"/>
      <w:pPr>
        <w:ind w:left="5515" w:hanging="360"/>
      </w:pPr>
      <w:rPr>
        <w:rFonts w:ascii="Courier New" w:hAnsi="Courier New" w:cs="Courier New"/>
      </w:rPr>
    </w:lvl>
    <w:lvl w:ilvl="8">
      <w:numFmt w:val="bullet"/>
      <w:lvlText w:val=""/>
      <w:lvlJc w:val="left"/>
      <w:pPr>
        <w:ind w:left="6235" w:hanging="360"/>
      </w:pPr>
      <w:rPr>
        <w:rFonts w:ascii="Wingdings" w:hAnsi="Wingdings"/>
      </w:rPr>
    </w:lvl>
  </w:abstractNum>
  <w:abstractNum w:abstractNumId="27" w15:restartNumberingAfterBreak="0">
    <w:nsid w:val="7FB21F4E"/>
    <w:multiLevelType w:val="multilevel"/>
    <w:tmpl w:val="4AE6C93C"/>
    <w:lvl w:ilvl="0">
      <w:numFmt w:val="bullet"/>
      <w:lvlText w:val="•"/>
      <w:lvlJc w:val="left"/>
      <w:pPr>
        <w:ind w:left="720" w:hanging="360"/>
      </w:pPr>
      <w:rPr>
        <w:rFonts w:ascii="Times New Roman" w:hAnsi="Times New Roman"/>
      </w:rPr>
    </w:lvl>
    <w:lvl w:ilvl="1">
      <w:numFmt w:val="bullet"/>
      <w:lvlText w:val="•"/>
      <w:lvlJc w:val="left"/>
      <w:pPr>
        <w:ind w:left="1440" w:hanging="360"/>
      </w:pPr>
      <w:rPr>
        <w:rFonts w:ascii="Times New Roman" w:hAnsi="Times New Roman"/>
      </w:rPr>
    </w:lvl>
    <w:lvl w:ilvl="2">
      <w:numFmt w:val="bullet"/>
      <w:lvlText w:val="•"/>
      <w:lvlJc w:val="left"/>
      <w:pPr>
        <w:ind w:left="2160" w:hanging="360"/>
      </w:pPr>
      <w:rPr>
        <w:rFonts w:ascii="Times New Roman" w:hAnsi="Times New Roman"/>
      </w:rPr>
    </w:lvl>
    <w:lvl w:ilvl="3">
      <w:numFmt w:val="bullet"/>
      <w:lvlText w:val="•"/>
      <w:lvlJc w:val="left"/>
      <w:pPr>
        <w:ind w:left="2880" w:hanging="360"/>
      </w:pPr>
      <w:rPr>
        <w:rFonts w:ascii="Times New Roman" w:hAnsi="Times New Roman"/>
      </w:rPr>
    </w:lvl>
    <w:lvl w:ilvl="4">
      <w:numFmt w:val="bullet"/>
      <w:lvlText w:val="•"/>
      <w:lvlJc w:val="left"/>
      <w:pPr>
        <w:ind w:left="3600" w:hanging="360"/>
      </w:pPr>
      <w:rPr>
        <w:rFonts w:ascii="Times New Roman" w:hAnsi="Times New Roman"/>
      </w:rPr>
    </w:lvl>
    <w:lvl w:ilvl="5">
      <w:numFmt w:val="bullet"/>
      <w:lvlText w:val="•"/>
      <w:lvlJc w:val="left"/>
      <w:pPr>
        <w:ind w:left="4320" w:hanging="360"/>
      </w:pPr>
      <w:rPr>
        <w:rFonts w:ascii="Times New Roman" w:hAnsi="Times New Roman"/>
      </w:rPr>
    </w:lvl>
    <w:lvl w:ilvl="6">
      <w:numFmt w:val="bullet"/>
      <w:lvlText w:val="•"/>
      <w:lvlJc w:val="left"/>
      <w:pPr>
        <w:ind w:left="5040" w:hanging="360"/>
      </w:pPr>
      <w:rPr>
        <w:rFonts w:ascii="Times New Roman" w:hAnsi="Times New Roman"/>
      </w:rPr>
    </w:lvl>
    <w:lvl w:ilvl="7">
      <w:numFmt w:val="bullet"/>
      <w:lvlText w:val="•"/>
      <w:lvlJc w:val="left"/>
      <w:pPr>
        <w:ind w:left="5760" w:hanging="360"/>
      </w:pPr>
      <w:rPr>
        <w:rFonts w:ascii="Times New Roman" w:hAnsi="Times New Roman"/>
      </w:rPr>
    </w:lvl>
    <w:lvl w:ilvl="8">
      <w:numFmt w:val="bullet"/>
      <w:lvlText w:val="•"/>
      <w:lvlJc w:val="left"/>
      <w:pPr>
        <w:ind w:left="6480" w:hanging="360"/>
      </w:pPr>
      <w:rPr>
        <w:rFonts w:ascii="Times New Roman" w:hAnsi="Times New Roman"/>
      </w:rPr>
    </w:lvl>
  </w:abstractNum>
  <w:num w:numId="1" w16cid:durableId="556280738">
    <w:abstractNumId w:val="15"/>
  </w:num>
  <w:num w:numId="2" w16cid:durableId="1985154613">
    <w:abstractNumId w:val="20"/>
  </w:num>
  <w:num w:numId="3" w16cid:durableId="1560285702">
    <w:abstractNumId w:val="1"/>
  </w:num>
  <w:num w:numId="4" w16cid:durableId="136381988">
    <w:abstractNumId w:val="2"/>
  </w:num>
  <w:num w:numId="5" w16cid:durableId="1154373874">
    <w:abstractNumId w:val="3"/>
  </w:num>
  <w:num w:numId="6" w16cid:durableId="1836843577">
    <w:abstractNumId w:val="4"/>
  </w:num>
  <w:num w:numId="7" w16cid:durableId="874536202">
    <w:abstractNumId w:val="9"/>
  </w:num>
  <w:num w:numId="8" w16cid:durableId="1810515386">
    <w:abstractNumId w:val="5"/>
  </w:num>
  <w:num w:numId="9" w16cid:durableId="47925734">
    <w:abstractNumId w:val="7"/>
  </w:num>
  <w:num w:numId="10" w16cid:durableId="1553231804">
    <w:abstractNumId w:val="6"/>
  </w:num>
  <w:num w:numId="11" w16cid:durableId="332033376">
    <w:abstractNumId w:val="10"/>
  </w:num>
  <w:num w:numId="12" w16cid:durableId="1660234757">
    <w:abstractNumId w:val="8"/>
  </w:num>
  <w:num w:numId="13" w16cid:durableId="1871841774">
    <w:abstractNumId w:val="17"/>
  </w:num>
  <w:num w:numId="14" w16cid:durableId="1830899957">
    <w:abstractNumId w:val="21"/>
  </w:num>
  <w:num w:numId="15" w16cid:durableId="772211805">
    <w:abstractNumId w:val="14"/>
  </w:num>
  <w:num w:numId="16" w16cid:durableId="356929406">
    <w:abstractNumId w:val="16"/>
  </w:num>
  <w:num w:numId="17" w16cid:durableId="900290798">
    <w:abstractNumId w:val="11"/>
  </w:num>
  <w:num w:numId="18" w16cid:durableId="1516188116">
    <w:abstractNumId w:val="0"/>
  </w:num>
  <w:num w:numId="19" w16cid:durableId="2112779106">
    <w:abstractNumId w:val="12"/>
  </w:num>
  <w:num w:numId="20" w16cid:durableId="1754473839">
    <w:abstractNumId w:val="21"/>
  </w:num>
  <w:num w:numId="21" w16cid:durableId="120003574">
    <w:abstractNumId w:val="21"/>
  </w:num>
  <w:num w:numId="22" w16cid:durableId="2118327230">
    <w:abstractNumId w:val="21"/>
  </w:num>
  <w:num w:numId="23" w16cid:durableId="665590534">
    <w:abstractNumId w:val="21"/>
  </w:num>
  <w:num w:numId="24" w16cid:durableId="2082288222">
    <w:abstractNumId w:val="17"/>
  </w:num>
  <w:num w:numId="25" w16cid:durableId="1712726056">
    <w:abstractNumId w:val="18"/>
  </w:num>
  <w:num w:numId="26" w16cid:durableId="862400577">
    <w:abstractNumId w:val="22"/>
  </w:num>
  <w:num w:numId="27" w16cid:durableId="609121893">
    <w:abstractNumId w:val="23"/>
  </w:num>
  <w:num w:numId="28" w16cid:durableId="1559248933">
    <w:abstractNumId w:val="21"/>
  </w:num>
  <w:num w:numId="29" w16cid:durableId="1065883426">
    <w:abstractNumId w:val="13"/>
  </w:num>
  <w:num w:numId="30" w16cid:durableId="572932037">
    <w:abstractNumId w:val="25"/>
  </w:num>
  <w:num w:numId="31" w16cid:durableId="634218099">
    <w:abstractNumId w:val="24"/>
  </w:num>
  <w:num w:numId="32" w16cid:durableId="633489496">
    <w:abstractNumId w:val="19"/>
  </w:num>
  <w:num w:numId="33" w16cid:durableId="16087207">
    <w:abstractNumId w:val="26"/>
  </w:num>
  <w:num w:numId="34" w16cid:durableId="98647422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8AA"/>
    <w:rsid w:val="0000086E"/>
    <w:rsid w:val="00001899"/>
    <w:rsid w:val="000049AD"/>
    <w:rsid w:val="0000681B"/>
    <w:rsid w:val="000133C0"/>
    <w:rsid w:val="00014C4E"/>
    <w:rsid w:val="00017107"/>
    <w:rsid w:val="000202E2"/>
    <w:rsid w:val="00022441"/>
    <w:rsid w:val="0002261E"/>
    <w:rsid w:val="00024839"/>
    <w:rsid w:val="00026871"/>
    <w:rsid w:val="00037A98"/>
    <w:rsid w:val="000427FB"/>
    <w:rsid w:val="0004455E"/>
    <w:rsid w:val="00047CB5"/>
    <w:rsid w:val="00051FAA"/>
    <w:rsid w:val="000572A9"/>
    <w:rsid w:val="00061325"/>
    <w:rsid w:val="000733AC"/>
    <w:rsid w:val="00074B81"/>
    <w:rsid w:val="00074D22"/>
    <w:rsid w:val="00075081"/>
    <w:rsid w:val="0007528A"/>
    <w:rsid w:val="000811AB"/>
    <w:rsid w:val="00083C5F"/>
    <w:rsid w:val="0009172C"/>
    <w:rsid w:val="000930EC"/>
    <w:rsid w:val="00095E61"/>
    <w:rsid w:val="000966C1"/>
    <w:rsid w:val="000970AC"/>
    <w:rsid w:val="000A1167"/>
    <w:rsid w:val="000A4428"/>
    <w:rsid w:val="000A6D40"/>
    <w:rsid w:val="000A7BC3"/>
    <w:rsid w:val="000B1661"/>
    <w:rsid w:val="000B1F0B"/>
    <w:rsid w:val="000B2E88"/>
    <w:rsid w:val="000B4603"/>
    <w:rsid w:val="000C09BE"/>
    <w:rsid w:val="000C1380"/>
    <w:rsid w:val="000C554F"/>
    <w:rsid w:val="000D0DC5"/>
    <w:rsid w:val="000D15FF"/>
    <w:rsid w:val="000D28DF"/>
    <w:rsid w:val="000D3160"/>
    <w:rsid w:val="000D488B"/>
    <w:rsid w:val="000D68DF"/>
    <w:rsid w:val="000E138D"/>
    <w:rsid w:val="000E187A"/>
    <w:rsid w:val="000E2D61"/>
    <w:rsid w:val="000E450E"/>
    <w:rsid w:val="000E6259"/>
    <w:rsid w:val="000F4677"/>
    <w:rsid w:val="000F5BE0"/>
    <w:rsid w:val="00100587"/>
    <w:rsid w:val="0010284E"/>
    <w:rsid w:val="00103122"/>
    <w:rsid w:val="0010336A"/>
    <w:rsid w:val="001050F1"/>
    <w:rsid w:val="00105AEA"/>
    <w:rsid w:val="00106DAF"/>
    <w:rsid w:val="00114ABE"/>
    <w:rsid w:val="00116023"/>
    <w:rsid w:val="00134A51"/>
    <w:rsid w:val="00140727"/>
    <w:rsid w:val="00160628"/>
    <w:rsid w:val="00161344"/>
    <w:rsid w:val="00162195"/>
    <w:rsid w:val="0016322A"/>
    <w:rsid w:val="00165A21"/>
    <w:rsid w:val="001705CE"/>
    <w:rsid w:val="0017714B"/>
    <w:rsid w:val="001804DF"/>
    <w:rsid w:val="00181BDC"/>
    <w:rsid w:val="00181DB0"/>
    <w:rsid w:val="001829E3"/>
    <w:rsid w:val="0018664D"/>
    <w:rsid w:val="001924C0"/>
    <w:rsid w:val="0019731E"/>
    <w:rsid w:val="001A09FE"/>
    <w:rsid w:val="001A67C9"/>
    <w:rsid w:val="001A69DE"/>
    <w:rsid w:val="001A7029"/>
    <w:rsid w:val="001A713C"/>
    <w:rsid w:val="001B1C7C"/>
    <w:rsid w:val="001B398F"/>
    <w:rsid w:val="001B46C6"/>
    <w:rsid w:val="001B4B48"/>
    <w:rsid w:val="001B4D1F"/>
    <w:rsid w:val="001B7681"/>
    <w:rsid w:val="001B7CAE"/>
    <w:rsid w:val="001C0772"/>
    <w:rsid w:val="001C0D4F"/>
    <w:rsid w:val="001C1BA3"/>
    <w:rsid w:val="001C1DEC"/>
    <w:rsid w:val="001C5736"/>
    <w:rsid w:val="001D647F"/>
    <w:rsid w:val="001D6857"/>
    <w:rsid w:val="001E0572"/>
    <w:rsid w:val="001E0A67"/>
    <w:rsid w:val="001E1028"/>
    <w:rsid w:val="001E14E2"/>
    <w:rsid w:val="001E4FE6"/>
    <w:rsid w:val="001E6302"/>
    <w:rsid w:val="001E7DCB"/>
    <w:rsid w:val="001F0A12"/>
    <w:rsid w:val="001F3411"/>
    <w:rsid w:val="001F4287"/>
    <w:rsid w:val="001F4DBA"/>
    <w:rsid w:val="0020415E"/>
    <w:rsid w:val="00204FF4"/>
    <w:rsid w:val="0021056E"/>
    <w:rsid w:val="0021075D"/>
    <w:rsid w:val="0021165A"/>
    <w:rsid w:val="00211BC9"/>
    <w:rsid w:val="0021620C"/>
    <w:rsid w:val="00216E78"/>
    <w:rsid w:val="00217275"/>
    <w:rsid w:val="002211DD"/>
    <w:rsid w:val="002246BE"/>
    <w:rsid w:val="00227080"/>
    <w:rsid w:val="00236F4B"/>
    <w:rsid w:val="00242B0D"/>
    <w:rsid w:val="00242C61"/>
    <w:rsid w:val="002467C6"/>
    <w:rsid w:val="0024692A"/>
    <w:rsid w:val="00252BBA"/>
    <w:rsid w:val="00253123"/>
    <w:rsid w:val="00264001"/>
    <w:rsid w:val="00266354"/>
    <w:rsid w:val="00267A18"/>
    <w:rsid w:val="00273462"/>
    <w:rsid w:val="0027395B"/>
    <w:rsid w:val="00275854"/>
    <w:rsid w:val="00283B41"/>
    <w:rsid w:val="00285F28"/>
    <w:rsid w:val="00286398"/>
    <w:rsid w:val="002A3C42"/>
    <w:rsid w:val="002A5D75"/>
    <w:rsid w:val="002B1B1A"/>
    <w:rsid w:val="002B7228"/>
    <w:rsid w:val="002C53EE"/>
    <w:rsid w:val="002D24F7"/>
    <w:rsid w:val="002D2799"/>
    <w:rsid w:val="002D2CD7"/>
    <w:rsid w:val="002D4DDC"/>
    <w:rsid w:val="002D4F75"/>
    <w:rsid w:val="002D6493"/>
    <w:rsid w:val="002D7AB6"/>
    <w:rsid w:val="002E06D0"/>
    <w:rsid w:val="002E3C27"/>
    <w:rsid w:val="002E403A"/>
    <w:rsid w:val="002E7F3A"/>
    <w:rsid w:val="002F32C6"/>
    <w:rsid w:val="002F4EDB"/>
    <w:rsid w:val="002F6054"/>
    <w:rsid w:val="00310E13"/>
    <w:rsid w:val="00315713"/>
    <w:rsid w:val="0031686C"/>
    <w:rsid w:val="00316FE0"/>
    <w:rsid w:val="003204D2"/>
    <w:rsid w:val="0032605E"/>
    <w:rsid w:val="003275D1"/>
    <w:rsid w:val="00330B2A"/>
    <w:rsid w:val="00331E17"/>
    <w:rsid w:val="00333063"/>
    <w:rsid w:val="003408E3"/>
    <w:rsid w:val="00343480"/>
    <w:rsid w:val="00345E89"/>
    <w:rsid w:val="003522A1"/>
    <w:rsid w:val="0035254B"/>
    <w:rsid w:val="00353555"/>
    <w:rsid w:val="003565D4"/>
    <w:rsid w:val="003607D6"/>
    <w:rsid w:val="003607FB"/>
    <w:rsid w:val="00360FD5"/>
    <w:rsid w:val="0036340D"/>
    <w:rsid w:val="003634A5"/>
    <w:rsid w:val="00366868"/>
    <w:rsid w:val="00367506"/>
    <w:rsid w:val="00370085"/>
    <w:rsid w:val="00371D36"/>
    <w:rsid w:val="003744A7"/>
    <w:rsid w:val="00376235"/>
    <w:rsid w:val="00381FB6"/>
    <w:rsid w:val="003836D3"/>
    <w:rsid w:val="00383A52"/>
    <w:rsid w:val="00391652"/>
    <w:rsid w:val="0039507F"/>
    <w:rsid w:val="0039712B"/>
    <w:rsid w:val="003A1260"/>
    <w:rsid w:val="003A253D"/>
    <w:rsid w:val="003A295F"/>
    <w:rsid w:val="003A41DD"/>
    <w:rsid w:val="003A7033"/>
    <w:rsid w:val="003B47FE"/>
    <w:rsid w:val="003B5673"/>
    <w:rsid w:val="003B6287"/>
    <w:rsid w:val="003B62C9"/>
    <w:rsid w:val="003C7176"/>
    <w:rsid w:val="003D0929"/>
    <w:rsid w:val="003D28AA"/>
    <w:rsid w:val="003D4729"/>
    <w:rsid w:val="003D7DD6"/>
    <w:rsid w:val="003E0330"/>
    <w:rsid w:val="003E3B2E"/>
    <w:rsid w:val="003E5AAF"/>
    <w:rsid w:val="003E600D"/>
    <w:rsid w:val="003E64DF"/>
    <w:rsid w:val="003E6A5D"/>
    <w:rsid w:val="003F193A"/>
    <w:rsid w:val="003F4207"/>
    <w:rsid w:val="003F5C46"/>
    <w:rsid w:val="003F7CBB"/>
    <w:rsid w:val="003F7D34"/>
    <w:rsid w:val="00412C8E"/>
    <w:rsid w:val="0041518D"/>
    <w:rsid w:val="0042221D"/>
    <w:rsid w:val="00424DD3"/>
    <w:rsid w:val="004269C5"/>
    <w:rsid w:val="00435939"/>
    <w:rsid w:val="00437CC7"/>
    <w:rsid w:val="00442B9C"/>
    <w:rsid w:val="00445EFA"/>
    <w:rsid w:val="0044738A"/>
    <w:rsid w:val="004473D3"/>
    <w:rsid w:val="00452231"/>
    <w:rsid w:val="00460C13"/>
    <w:rsid w:val="00463228"/>
    <w:rsid w:val="00463782"/>
    <w:rsid w:val="004667E0"/>
    <w:rsid w:val="0046760E"/>
    <w:rsid w:val="00470E10"/>
    <w:rsid w:val="00477A97"/>
    <w:rsid w:val="00480689"/>
    <w:rsid w:val="00481343"/>
    <w:rsid w:val="0048549E"/>
    <w:rsid w:val="004930C6"/>
    <w:rsid w:val="00493347"/>
    <w:rsid w:val="00496092"/>
    <w:rsid w:val="004A08DB"/>
    <w:rsid w:val="004A25D0"/>
    <w:rsid w:val="004A37E8"/>
    <w:rsid w:val="004A7549"/>
    <w:rsid w:val="004A7569"/>
    <w:rsid w:val="004B09D4"/>
    <w:rsid w:val="004B309D"/>
    <w:rsid w:val="004B330A"/>
    <w:rsid w:val="004B7C8E"/>
    <w:rsid w:val="004C3D3C"/>
    <w:rsid w:val="004D0EDC"/>
    <w:rsid w:val="004D1220"/>
    <w:rsid w:val="004D14B3"/>
    <w:rsid w:val="004D1529"/>
    <w:rsid w:val="004D2253"/>
    <w:rsid w:val="004D5514"/>
    <w:rsid w:val="004D56C3"/>
    <w:rsid w:val="004E0338"/>
    <w:rsid w:val="004E4FF3"/>
    <w:rsid w:val="004E56A8"/>
    <w:rsid w:val="004F3B55"/>
    <w:rsid w:val="004F428E"/>
    <w:rsid w:val="004F4E46"/>
    <w:rsid w:val="004F6B7D"/>
    <w:rsid w:val="005015F6"/>
    <w:rsid w:val="005030C4"/>
    <w:rsid w:val="005031C5"/>
    <w:rsid w:val="00504FDC"/>
    <w:rsid w:val="005120CC"/>
    <w:rsid w:val="00512B7B"/>
    <w:rsid w:val="00514651"/>
    <w:rsid w:val="00514EA1"/>
    <w:rsid w:val="0051798B"/>
    <w:rsid w:val="00521F5A"/>
    <w:rsid w:val="00525E06"/>
    <w:rsid w:val="00526454"/>
    <w:rsid w:val="00531823"/>
    <w:rsid w:val="00534ECC"/>
    <w:rsid w:val="0053720D"/>
    <w:rsid w:val="00537945"/>
    <w:rsid w:val="00540EF5"/>
    <w:rsid w:val="00541BF3"/>
    <w:rsid w:val="00541CD3"/>
    <w:rsid w:val="005476FA"/>
    <w:rsid w:val="0055595E"/>
    <w:rsid w:val="00557988"/>
    <w:rsid w:val="00562C49"/>
    <w:rsid w:val="00562DEF"/>
    <w:rsid w:val="0056321A"/>
    <w:rsid w:val="00563A35"/>
    <w:rsid w:val="00566596"/>
    <w:rsid w:val="005741E9"/>
    <w:rsid w:val="005748CF"/>
    <w:rsid w:val="00580A1A"/>
    <w:rsid w:val="005837F7"/>
    <w:rsid w:val="00584270"/>
    <w:rsid w:val="00584738"/>
    <w:rsid w:val="005920B0"/>
    <w:rsid w:val="0059380D"/>
    <w:rsid w:val="00595A8F"/>
    <w:rsid w:val="005977C2"/>
    <w:rsid w:val="00597BF2"/>
    <w:rsid w:val="005A1F54"/>
    <w:rsid w:val="005A3020"/>
    <w:rsid w:val="005B134E"/>
    <w:rsid w:val="005B2039"/>
    <w:rsid w:val="005B344F"/>
    <w:rsid w:val="005B3FBA"/>
    <w:rsid w:val="005B4A1D"/>
    <w:rsid w:val="005B674D"/>
    <w:rsid w:val="005C056D"/>
    <w:rsid w:val="005C0CBE"/>
    <w:rsid w:val="005C1FCF"/>
    <w:rsid w:val="005C3F41"/>
    <w:rsid w:val="005D1885"/>
    <w:rsid w:val="005D4A38"/>
    <w:rsid w:val="005E2EEA"/>
    <w:rsid w:val="005E3708"/>
    <w:rsid w:val="005E3CCD"/>
    <w:rsid w:val="005E3D6B"/>
    <w:rsid w:val="005E5B55"/>
    <w:rsid w:val="005E5E4A"/>
    <w:rsid w:val="005E693D"/>
    <w:rsid w:val="005E75BF"/>
    <w:rsid w:val="005F57BA"/>
    <w:rsid w:val="005F61E6"/>
    <w:rsid w:val="005F6C45"/>
    <w:rsid w:val="00605A69"/>
    <w:rsid w:val="00606C54"/>
    <w:rsid w:val="00614375"/>
    <w:rsid w:val="00615B0A"/>
    <w:rsid w:val="006168CF"/>
    <w:rsid w:val="0062011B"/>
    <w:rsid w:val="00626DE0"/>
    <w:rsid w:val="00630901"/>
    <w:rsid w:val="00631F8E"/>
    <w:rsid w:val="00636EE9"/>
    <w:rsid w:val="00640950"/>
    <w:rsid w:val="00641AE7"/>
    <w:rsid w:val="00642629"/>
    <w:rsid w:val="0064782B"/>
    <w:rsid w:val="0065293D"/>
    <w:rsid w:val="00653EFC"/>
    <w:rsid w:val="00654021"/>
    <w:rsid w:val="00661045"/>
    <w:rsid w:val="00666DA8"/>
    <w:rsid w:val="00671057"/>
    <w:rsid w:val="00675AAF"/>
    <w:rsid w:val="0068031A"/>
    <w:rsid w:val="00681B2F"/>
    <w:rsid w:val="0068335F"/>
    <w:rsid w:val="00687217"/>
    <w:rsid w:val="00691198"/>
    <w:rsid w:val="00693302"/>
    <w:rsid w:val="0069640B"/>
    <w:rsid w:val="006A1B83"/>
    <w:rsid w:val="006A21CD"/>
    <w:rsid w:val="006A5918"/>
    <w:rsid w:val="006B21B2"/>
    <w:rsid w:val="006B4A4A"/>
    <w:rsid w:val="006C19B2"/>
    <w:rsid w:val="006C4409"/>
    <w:rsid w:val="006C5BB8"/>
    <w:rsid w:val="006C6936"/>
    <w:rsid w:val="006C7B01"/>
    <w:rsid w:val="006D0FE8"/>
    <w:rsid w:val="006D4B2B"/>
    <w:rsid w:val="006D4F3C"/>
    <w:rsid w:val="006D5C66"/>
    <w:rsid w:val="006D7002"/>
    <w:rsid w:val="006D7D64"/>
    <w:rsid w:val="006E1B3C"/>
    <w:rsid w:val="006E23FB"/>
    <w:rsid w:val="006E325A"/>
    <w:rsid w:val="006E33EC"/>
    <w:rsid w:val="006E3802"/>
    <w:rsid w:val="006E6C02"/>
    <w:rsid w:val="006F231A"/>
    <w:rsid w:val="006F6B55"/>
    <w:rsid w:val="006F788D"/>
    <w:rsid w:val="006F78E1"/>
    <w:rsid w:val="006F7A6C"/>
    <w:rsid w:val="00701072"/>
    <w:rsid w:val="00702054"/>
    <w:rsid w:val="007035A4"/>
    <w:rsid w:val="00711799"/>
    <w:rsid w:val="00712B78"/>
    <w:rsid w:val="0071393B"/>
    <w:rsid w:val="00713EE2"/>
    <w:rsid w:val="007177FC"/>
    <w:rsid w:val="00720C5E"/>
    <w:rsid w:val="00721701"/>
    <w:rsid w:val="00725FBD"/>
    <w:rsid w:val="00731835"/>
    <w:rsid w:val="007341F8"/>
    <w:rsid w:val="00734372"/>
    <w:rsid w:val="00734EB8"/>
    <w:rsid w:val="00735F8B"/>
    <w:rsid w:val="0074090B"/>
    <w:rsid w:val="00742D1F"/>
    <w:rsid w:val="00743EBA"/>
    <w:rsid w:val="00744C8E"/>
    <w:rsid w:val="0074707E"/>
    <w:rsid w:val="00751630"/>
    <w:rsid w:val="007516DC"/>
    <w:rsid w:val="00752E58"/>
    <w:rsid w:val="00754B80"/>
    <w:rsid w:val="00761918"/>
    <w:rsid w:val="00762F03"/>
    <w:rsid w:val="0076413B"/>
    <w:rsid w:val="007648AE"/>
    <w:rsid w:val="00764BF8"/>
    <w:rsid w:val="0076514D"/>
    <w:rsid w:val="00773D59"/>
    <w:rsid w:val="00781003"/>
    <w:rsid w:val="007911FD"/>
    <w:rsid w:val="00793930"/>
    <w:rsid w:val="00793DD1"/>
    <w:rsid w:val="00794FEC"/>
    <w:rsid w:val="00797B8C"/>
    <w:rsid w:val="007A003E"/>
    <w:rsid w:val="007A1965"/>
    <w:rsid w:val="007A2ED1"/>
    <w:rsid w:val="007A4BE6"/>
    <w:rsid w:val="007B0DC6"/>
    <w:rsid w:val="007B1094"/>
    <w:rsid w:val="007B1762"/>
    <w:rsid w:val="007B3320"/>
    <w:rsid w:val="007C301F"/>
    <w:rsid w:val="007C4540"/>
    <w:rsid w:val="007C65AF"/>
    <w:rsid w:val="007D135D"/>
    <w:rsid w:val="007D730F"/>
    <w:rsid w:val="007D7CD8"/>
    <w:rsid w:val="007E3AA7"/>
    <w:rsid w:val="007F5F13"/>
    <w:rsid w:val="007F737D"/>
    <w:rsid w:val="0080308E"/>
    <w:rsid w:val="00805303"/>
    <w:rsid w:val="00806705"/>
    <w:rsid w:val="00806738"/>
    <w:rsid w:val="008216D5"/>
    <w:rsid w:val="008249CE"/>
    <w:rsid w:val="00831A50"/>
    <w:rsid w:val="00831B3C"/>
    <w:rsid w:val="00831C89"/>
    <w:rsid w:val="00832114"/>
    <w:rsid w:val="00834C46"/>
    <w:rsid w:val="0084093E"/>
    <w:rsid w:val="00841CE1"/>
    <w:rsid w:val="008473D8"/>
    <w:rsid w:val="008528DC"/>
    <w:rsid w:val="00852B8C"/>
    <w:rsid w:val="00854981"/>
    <w:rsid w:val="00864B2E"/>
    <w:rsid w:val="00865963"/>
    <w:rsid w:val="00871C1D"/>
    <w:rsid w:val="0087450E"/>
    <w:rsid w:val="00875A82"/>
    <w:rsid w:val="00876CA3"/>
    <w:rsid w:val="008772FE"/>
    <w:rsid w:val="008775F1"/>
    <w:rsid w:val="008821AE"/>
    <w:rsid w:val="00883D3A"/>
    <w:rsid w:val="0088477D"/>
    <w:rsid w:val="008854F7"/>
    <w:rsid w:val="00885A9D"/>
    <w:rsid w:val="008929D2"/>
    <w:rsid w:val="00893636"/>
    <w:rsid w:val="00893B94"/>
    <w:rsid w:val="00896E9D"/>
    <w:rsid w:val="00896F11"/>
    <w:rsid w:val="008A1049"/>
    <w:rsid w:val="008A1C98"/>
    <w:rsid w:val="008A322D"/>
    <w:rsid w:val="008A4D72"/>
    <w:rsid w:val="008A6285"/>
    <w:rsid w:val="008A63B2"/>
    <w:rsid w:val="008B345D"/>
    <w:rsid w:val="008C1FC2"/>
    <w:rsid w:val="008C2980"/>
    <w:rsid w:val="008C4DD6"/>
    <w:rsid w:val="008C5AFB"/>
    <w:rsid w:val="008D07FB"/>
    <w:rsid w:val="008D0C02"/>
    <w:rsid w:val="008D357D"/>
    <w:rsid w:val="008D435A"/>
    <w:rsid w:val="008E387B"/>
    <w:rsid w:val="008E6087"/>
    <w:rsid w:val="008E758D"/>
    <w:rsid w:val="008F10A7"/>
    <w:rsid w:val="008F755D"/>
    <w:rsid w:val="008F7A39"/>
    <w:rsid w:val="009021E8"/>
    <w:rsid w:val="00904677"/>
    <w:rsid w:val="00905EE2"/>
    <w:rsid w:val="00911440"/>
    <w:rsid w:val="00911712"/>
    <w:rsid w:val="00911B27"/>
    <w:rsid w:val="009170BE"/>
    <w:rsid w:val="00920B55"/>
    <w:rsid w:val="009262C9"/>
    <w:rsid w:val="00930EB9"/>
    <w:rsid w:val="00933DC7"/>
    <w:rsid w:val="009418F4"/>
    <w:rsid w:val="00942BBC"/>
    <w:rsid w:val="00944180"/>
    <w:rsid w:val="00944AA0"/>
    <w:rsid w:val="00947DA2"/>
    <w:rsid w:val="00951177"/>
    <w:rsid w:val="009632A8"/>
    <w:rsid w:val="009673E8"/>
    <w:rsid w:val="00974DB8"/>
    <w:rsid w:val="00980661"/>
    <w:rsid w:val="0098093B"/>
    <w:rsid w:val="009876D4"/>
    <w:rsid w:val="009914A5"/>
    <w:rsid w:val="0099548E"/>
    <w:rsid w:val="00996456"/>
    <w:rsid w:val="00996A12"/>
    <w:rsid w:val="00997B0F"/>
    <w:rsid w:val="009A0CC3"/>
    <w:rsid w:val="009A1CAD"/>
    <w:rsid w:val="009A3440"/>
    <w:rsid w:val="009A5832"/>
    <w:rsid w:val="009A6838"/>
    <w:rsid w:val="009B24B5"/>
    <w:rsid w:val="009B4EBC"/>
    <w:rsid w:val="009B5ABB"/>
    <w:rsid w:val="009B73CE"/>
    <w:rsid w:val="009C2461"/>
    <w:rsid w:val="009C5A15"/>
    <w:rsid w:val="009C6FE2"/>
    <w:rsid w:val="009C7674"/>
    <w:rsid w:val="009D004A"/>
    <w:rsid w:val="009D5880"/>
    <w:rsid w:val="009E1FD4"/>
    <w:rsid w:val="009E3B07"/>
    <w:rsid w:val="009E51D1"/>
    <w:rsid w:val="009E5531"/>
    <w:rsid w:val="009F171E"/>
    <w:rsid w:val="009F3D2F"/>
    <w:rsid w:val="009F7052"/>
    <w:rsid w:val="00A00E74"/>
    <w:rsid w:val="00A02668"/>
    <w:rsid w:val="00A02801"/>
    <w:rsid w:val="00A06A39"/>
    <w:rsid w:val="00A07F58"/>
    <w:rsid w:val="00A131CB"/>
    <w:rsid w:val="00A14847"/>
    <w:rsid w:val="00A16D6D"/>
    <w:rsid w:val="00A20D72"/>
    <w:rsid w:val="00A21383"/>
    <w:rsid w:val="00A2199F"/>
    <w:rsid w:val="00A21B31"/>
    <w:rsid w:val="00A2360E"/>
    <w:rsid w:val="00A26E0C"/>
    <w:rsid w:val="00A32FCB"/>
    <w:rsid w:val="00A34C25"/>
    <w:rsid w:val="00A3507D"/>
    <w:rsid w:val="00A3717A"/>
    <w:rsid w:val="00A4088C"/>
    <w:rsid w:val="00A4456B"/>
    <w:rsid w:val="00A448D4"/>
    <w:rsid w:val="00A452E0"/>
    <w:rsid w:val="00A506DF"/>
    <w:rsid w:val="00A50988"/>
    <w:rsid w:val="00A51EA5"/>
    <w:rsid w:val="00A53742"/>
    <w:rsid w:val="00A557A1"/>
    <w:rsid w:val="00A63059"/>
    <w:rsid w:val="00A63AE3"/>
    <w:rsid w:val="00A651A4"/>
    <w:rsid w:val="00A71361"/>
    <w:rsid w:val="00A746E2"/>
    <w:rsid w:val="00A81FF2"/>
    <w:rsid w:val="00A83904"/>
    <w:rsid w:val="00A90A79"/>
    <w:rsid w:val="00A96B30"/>
    <w:rsid w:val="00AA442D"/>
    <w:rsid w:val="00AA59B5"/>
    <w:rsid w:val="00AA69EC"/>
    <w:rsid w:val="00AA7777"/>
    <w:rsid w:val="00AA7B84"/>
    <w:rsid w:val="00AB6AAC"/>
    <w:rsid w:val="00AC0B4C"/>
    <w:rsid w:val="00AC1164"/>
    <w:rsid w:val="00AC2296"/>
    <w:rsid w:val="00AC2754"/>
    <w:rsid w:val="00AC48B0"/>
    <w:rsid w:val="00AC4ACD"/>
    <w:rsid w:val="00AC5DFB"/>
    <w:rsid w:val="00AD13DC"/>
    <w:rsid w:val="00AD6DE2"/>
    <w:rsid w:val="00AE0A40"/>
    <w:rsid w:val="00AE1ED4"/>
    <w:rsid w:val="00AE21E1"/>
    <w:rsid w:val="00AE2F8D"/>
    <w:rsid w:val="00AE3BAE"/>
    <w:rsid w:val="00AE6A21"/>
    <w:rsid w:val="00AF1C8F"/>
    <w:rsid w:val="00AF2B68"/>
    <w:rsid w:val="00AF2C92"/>
    <w:rsid w:val="00AF3EC1"/>
    <w:rsid w:val="00AF5025"/>
    <w:rsid w:val="00AF519F"/>
    <w:rsid w:val="00AF5387"/>
    <w:rsid w:val="00AF55F5"/>
    <w:rsid w:val="00AF7E86"/>
    <w:rsid w:val="00B024B9"/>
    <w:rsid w:val="00B04968"/>
    <w:rsid w:val="00B077FA"/>
    <w:rsid w:val="00B127D7"/>
    <w:rsid w:val="00B13B0C"/>
    <w:rsid w:val="00B14408"/>
    <w:rsid w:val="00B1453A"/>
    <w:rsid w:val="00B20F82"/>
    <w:rsid w:val="00B25BD5"/>
    <w:rsid w:val="00B34079"/>
    <w:rsid w:val="00B3793A"/>
    <w:rsid w:val="00B401BA"/>
    <w:rsid w:val="00B407E4"/>
    <w:rsid w:val="00B425B6"/>
    <w:rsid w:val="00B42A72"/>
    <w:rsid w:val="00B441AE"/>
    <w:rsid w:val="00B45A65"/>
    <w:rsid w:val="00B45F33"/>
    <w:rsid w:val="00B46D50"/>
    <w:rsid w:val="00B53170"/>
    <w:rsid w:val="00B548B9"/>
    <w:rsid w:val="00B56DBE"/>
    <w:rsid w:val="00B62999"/>
    <w:rsid w:val="00B63BE3"/>
    <w:rsid w:val="00B64885"/>
    <w:rsid w:val="00B64FA3"/>
    <w:rsid w:val="00B66810"/>
    <w:rsid w:val="00B72BE3"/>
    <w:rsid w:val="00B73B80"/>
    <w:rsid w:val="00B770C7"/>
    <w:rsid w:val="00B80F26"/>
    <w:rsid w:val="00B822BD"/>
    <w:rsid w:val="00B842F4"/>
    <w:rsid w:val="00B91A7B"/>
    <w:rsid w:val="00B929DD"/>
    <w:rsid w:val="00B93AF6"/>
    <w:rsid w:val="00B95405"/>
    <w:rsid w:val="00B963F1"/>
    <w:rsid w:val="00BA020A"/>
    <w:rsid w:val="00BB025A"/>
    <w:rsid w:val="00BB02A4"/>
    <w:rsid w:val="00BB1270"/>
    <w:rsid w:val="00BB1E44"/>
    <w:rsid w:val="00BB5267"/>
    <w:rsid w:val="00BB52B8"/>
    <w:rsid w:val="00BB59D8"/>
    <w:rsid w:val="00BB7E69"/>
    <w:rsid w:val="00BC0E51"/>
    <w:rsid w:val="00BC3C1F"/>
    <w:rsid w:val="00BC7CE7"/>
    <w:rsid w:val="00BD295E"/>
    <w:rsid w:val="00BD4664"/>
    <w:rsid w:val="00BE1193"/>
    <w:rsid w:val="00BF4849"/>
    <w:rsid w:val="00BF4EA7"/>
    <w:rsid w:val="00BF6525"/>
    <w:rsid w:val="00C00EDB"/>
    <w:rsid w:val="00C02863"/>
    <w:rsid w:val="00C0383A"/>
    <w:rsid w:val="00C067FF"/>
    <w:rsid w:val="00C12862"/>
    <w:rsid w:val="00C13D28"/>
    <w:rsid w:val="00C14585"/>
    <w:rsid w:val="00C165A0"/>
    <w:rsid w:val="00C216CE"/>
    <w:rsid w:val="00C2184F"/>
    <w:rsid w:val="00C22A78"/>
    <w:rsid w:val="00C23C7E"/>
    <w:rsid w:val="00C246C5"/>
    <w:rsid w:val="00C25A82"/>
    <w:rsid w:val="00C30A2A"/>
    <w:rsid w:val="00C33993"/>
    <w:rsid w:val="00C4069E"/>
    <w:rsid w:val="00C41ADC"/>
    <w:rsid w:val="00C44149"/>
    <w:rsid w:val="00C44410"/>
    <w:rsid w:val="00C44A15"/>
    <w:rsid w:val="00C4630A"/>
    <w:rsid w:val="00C523F0"/>
    <w:rsid w:val="00C526D2"/>
    <w:rsid w:val="00C53A91"/>
    <w:rsid w:val="00C5794E"/>
    <w:rsid w:val="00C60968"/>
    <w:rsid w:val="00C63D39"/>
    <w:rsid w:val="00C63EDD"/>
    <w:rsid w:val="00C65B36"/>
    <w:rsid w:val="00C7292E"/>
    <w:rsid w:val="00C74E88"/>
    <w:rsid w:val="00C80924"/>
    <w:rsid w:val="00C8286B"/>
    <w:rsid w:val="00C947F8"/>
    <w:rsid w:val="00C9515F"/>
    <w:rsid w:val="00C963C5"/>
    <w:rsid w:val="00C96730"/>
    <w:rsid w:val="00CA030C"/>
    <w:rsid w:val="00CA1F41"/>
    <w:rsid w:val="00CA32EE"/>
    <w:rsid w:val="00CA5771"/>
    <w:rsid w:val="00CA6A1A"/>
    <w:rsid w:val="00CC1E75"/>
    <w:rsid w:val="00CC22FF"/>
    <w:rsid w:val="00CC2E0E"/>
    <w:rsid w:val="00CC361C"/>
    <w:rsid w:val="00CC474B"/>
    <w:rsid w:val="00CC658C"/>
    <w:rsid w:val="00CC67BF"/>
    <w:rsid w:val="00CD0843"/>
    <w:rsid w:val="00CD4E31"/>
    <w:rsid w:val="00CD5A78"/>
    <w:rsid w:val="00CD7345"/>
    <w:rsid w:val="00CE372E"/>
    <w:rsid w:val="00CF0A1B"/>
    <w:rsid w:val="00CF19F6"/>
    <w:rsid w:val="00CF2F4F"/>
    <w:rsid w:val="00CF536D"/>
    <w:rsid w:val="00D02E9D"/>
    <w:rsid w:val="00D10CB8"/>
    <w:rsid w:val="00D12806"/>
    <w:rsid w:val="00D12D44"/>
    <w:rsid w:val="00D15018"/>
    <w:rsid w:val="00D158AC"/>
    <w:rsid w:val="00D1694C"/>
    <w:rsid w:val="00D20950"/>
    <w:rsid w:val="00D20F5E"/>
    <w:rsid w:val="00D23B76"/>
    <w:rsid w:val="00D24B4A"/>
    <w:rsid w:val="00D379A3"/>
    <w:rsid w:val="00D45FF3"/>
    <w:rsid w:val="00D512CF"/>
    <w:rsid w:val="00D528B9"/>
    <w:rsid w:val="00D53186"/>
    <w:rsid w:val="00D5487D"/>
    <w:rsid w:val="00D60140"/>
    <w:rsid w:val="00D6024A"/>
    <w:rsid w:val="00D608B5"/>
    <w:rsid w:val="00D64739"/>
    <w:rsid w:val="00D71F99"/>
    <w:rsid w:val="00D73CA4"/>
    <w:rsid w:val="00D73D71"/>
    <w:rsid w:val="00D74396"/>
    <w:rsid w:val="00D80284"/>
    <w:rsid w:val="00D81F71"/>
    <w:rsid w:val="00D8642D"/>
    <w:rsid w:val="00D90A5E"/>
    <w:rsid w:val="00D91A68"/>
    <w:rsid w:val="00D95A68"/>
    <w:rsid w:val="00DA17C7"/>
    <w:rsid w:val="00DA6A9A"/>
    <w:rsid w:val="00DB1EFD"/>
    <w:rsid w:val="00DB3EAF"/>
    <w:rsid w:val="00DB46C6"/>
    <w:rsid w:val="00DC3203"/>
    <w:rsid w:val="00DC3C99"/>
    <w:rsid w:val="00DC52F5"/>
    <w:rsid w:val="00DC5FD0"/>
    <w:rsid w:val="00DD0354"/>
    <w:rsid w:val="00DD27D7"/>
    <w:rsid w:val="00DD4347"/>
    <w:rsid w:val="00DD458C"/>
    <w:rsid w:val="00DD72E9"/>
    <w:rsid w:val="00DD7605"/>
    <w:rsid w:val="00DE2020"/>
    <w:rsid w:val="00DE3476"/>
    <w:rsid w:val="00DE7BEA"/>
    <w:rsid w:val="00DF099D"/>
    <w:rsid w:val="00DF5B84"/>
    <w:rsid w:val="00DF6D5B"/>
    <w:rsid w:val="00DF771B"/>
    <w:rsid w:val="00DF7EE2"/>
    <w:rsid w:val="00E01BAA"/>
    <w:rsid w:val="00E0282A"/>
    <w:rsid w:val="00E02F9B"/>
    <w:rsid w:val="00E07E14"/>
    <w:rsid w:val="00E14F94"/>
    <w:rsid w:val="00E17336"/>
    <w:rsid w:val="00E17D15"/>
    <w:rsid w:val="00E22B95"/>
    <w:rsid w:val="00E30331"/>
    <w:rsid w:val="00E30BB8"/>
    <w:rsid w:val="00E31F9C"/>
    <w:rsid w:val="00E40488"/>
    <w:rsid w:val="00E41775"/>
    <w:rsid w:val="00E50367"/>
    <w:rsid w:val="00E51ABA"/>
    <w:rsid w:val="00E524CB"/>
    <w:rsid w:val="00E65456"/>
    <w:rsid w:val="00E65A91"/>
    <w:rsid w:val="00E66188"/>
    <w:rsid w:val="00E664FB"/>
    <w:rsid w:val="00E672F0"/>
    <w:rsid w:val="00E67BBE"/>
    <w:rsid w:val="00E70373"/>
    <w:rsid w:val="00E72E40"/>
    <w:rsid w:val="00E73665"/>
    <w:rsid w:val="00E73999"/>
    <w:rsid w:val="00E73BDC"/>
    <w:rsid w:val="00E73E9E"/>
    <w:rsid w:val="00E81660"/>
    <w:rsid w:val="00E854FE"/>
    <w:rsid w:val="00E906CC"/>
    <w:rsid w:val="00E939A0"/>
    <w:rsid w:val="00E97E4E"/>
    <w:rsid w:val="00EA1CC2"/>
    <w:rsid w:val="00EA2D76"/>
    <w:rsid w:val="00EA4644"/>
    <w:rsid w:val="00EA758A"/>
    <w:rsid w:val="00EB096F"/>
    <w:rsid w:val="00EB199F"/>
    <w:rsid w:val="00EB21A4"/>
    <w:rsid w:val="00EB27C4"/>
    <w:rsid w:val="00EB5387"/>
    <w:rsid w:val="00EB5C10"/>
    <w:rsid w:val="00EB7322"/>
    <w:rsid w:val="00EC0FE9"/>
    <w:rsid w:val="00EC198B"/>
    <w:rsid w:val="00EC426D"/>
    <w:rsid w:val="00EC571B"/>
    <w:rsid w:val="00EC57D7"/>
    <w:rsid w:val="00EC6385"/>
    <w:rsid w:val="00ED1DE9"/>
    <w:rsid w:val="00ED23D4"/>
    <w:rsid w:val="00ED5E0B"/>
    <w:rsid w:val="00EE37B6"/>
    <w:rsid w:val="00EF0F45"/>
    <w:rsid w:val="00EF7463"/>
    <w:rsid w:val="00EF7971"/>
    <w:rsid w:val="00F002EF"/>
    <w:rsid w:val="00F01EE9"/>
    <w:rsid w:val="00F04900"/>
    <w:rsid w:val="00F065A4"/>
    <w:rsid w:val="00F126B9"/>
    <w:rsid w:val="00F12715"/>
    <w:rsid w:val="00F144D5"/>
    <w:rsid w:val="00F146F0"/>
    <w:rsid w:val="00F15039"/>
    <w:rsid w:val="00F20FF3"/>
    <w:rsid w:val="00F2190B"/>
    <w:rsid w:val="00F228B5"/>
    <w:rsid w:val="00F2389C"/>
    <w:rsid w:val="00F25C67"/>
    <w:rsid w:val="00F30DFF"/>
    <w:rsid w:val="00F32B80"/>
    <w:rsid w:val="00F340EB"/>
    <w:rsid w:val="00F35285"/>
    <w:rsid w:val="00F42D54"/>
    <w:rsid w:val="00F43B9D"/>
    <w:rsid w:val="00F44D5E"/>
    <w:rsid w:val="00F53A35"/>
    <w:rsid w:val="00F55A3D"/>
    <w:rsid w:val="00F5744B"/>
    <w:rsid w:val="00F61209"/>
    <w:rsid w:val="00F6259E"/>
    <w:rsid w:val="00F65DD4"/>
    <w:rsid w:val="00F672B2"/>
    <w:rsid w:val="00F83973"/>
    <w:rsid w:val="00F87FA3"/>
    <w:rsid w:val="00F93183"/>
    <w:rsid w:val="00F93D8C"/>
    <w:rsid w:val="00FA3102"/>
    <w:rsid w:val="00FA48D4"/>
    <w:rsid w:val="00FA54FA"/>
    <w:rsid w:val="00FA6D39"/>
    <w:rsid w:val="00FB227E"/>
    <w:rsid w:val="00FB3D61"/>
    <w:rsid w:val="00FB44CE"/>
    <w:rsid w:val="00FB5009"/>
    <w:rsid w:val="00FB6043"/>
    <w:rsid w:val="00FB76AB"/>
    <w:rsid w:val="00FD03FE"/>
    <w:rsid w:val="00FD126E"/>
    <w:rsid w:val="00FD3C36"/>
    <w:rsid w:val="00FD4D81"/>
    <w:rsid w:val="00FD6016"/>
    <w:rsid w:val="00FD7498"/>
    <w:rsid w:val="00FD7FB3"/>
    <w:rsid w:val="00FE4713"/>
    <w:rsid w:val="00FF1F44"/>
    <w:rsid w:val="00FF225E"/>
    <w:rsid w:val="00FF672C"/>
    <w:rsid w:val="00FF6C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E2BC2"/>
  <w14:defaultImageDpi w14:val="330"/>
  <w15:docId w15:val="{FF05DB24-1E86-41D5-B921-E388FD83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6C19B2"/>
    <w:pPr>
      <w:ind w:left="284" w:hanging="284"/>
    </w:pPr>
    <w:rPr>
      <w:sz w:val="22"/>
      <w:szCs w:val="20"/>
    </w:rPr>
  </w:style>
  <w:style w:type="character" w:customStyle="1" w:styleId="FootnoteTextChar">
    <w:name w:val="Footnote Text Char"/>
    <w:basedOn w:val="DefaultParagraphFont"/>
    <w:link w:val="FootnoteText"/>
    <w:rsid w:val="006C19B2"/>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 w:type="character" w:styleId="Hyperlink">
    <w:name w:val="Hyperlink"/>
    <w:basedOn w:val="DefaultParagraphFont"/>
    <w:unhideWhenUsed/>
    <w:rsid w:val="00DD4347"/>
    <w:rPr>
      <w:color w:val="0000FF" w:themeColor="hyperlink"/>
      <w:u w:val="single"/>
    </w:rPr>
  </w:style>
  <w:style w:type="character" w:styleId="UnresolvedMention">
    <w:name w:val="Unresolved Mention"/>
    <w:basedOn w:val="DefaultParagraphFont"/>
    <w:uiPriority w:val="99"/>
    <w:semiHidden/>
    <w:unhideWhenUsed/>
    <w:rsid w:val="00DD4347"/>
    <w:rPr>
      <w:color w:val="605E5C"/>
      <w:shd w:val="clear" w:color="auto" w:fill="E1DFDD"/>
    </w:rPr>
  </w:style>
  <w:style w:type="character" w:customStyle="1" w:styleId="BalloonTextChar">
    <w:name w:val="Balloon Text Char"/>
    <w:basedOn w:val="DefaultParagraphFont"/>
    <w:rsid w:val="001F0A12"/>
    <w:rPr>
      <w:rFonts w:ascii="Tahoma" w:hAnsi="Tahoma" w:cs="Tahoma"/>
      <w:kern w:val="0"/>
      <w:sz w:val="16"/>
      <w:szCs w:val="16"/>
    </w:rPr>
  </w:style>
  <w:style w:type="character" w:styleId="FollowedHyperlink">
    <w:name w:val="FollowedHyperlink"/>
    <w:basedOn w:val="DefaultParagraphFont"/>
    <w:rsid w:val="00A00E7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92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sedoolan001@gmail.com" TargetMode="External"/><Relationship Id="rId13" Type="http://schemas.openxmlformats.org/officeDocument/2006/relationships/hyperlink" Target="https://www.cso.ie/en/releasesandpublications/ep/p-isshict/internetcoverageandusageinireland2022/frequencyofinternetusage/" TargetMode="External"/><Relationship Id="rId18" Type="http://schemas.openxmlformats.org/officeDocument/2006/relationships/hyperlink" Target="https://social.desa.un.org/issues/disability/crpd/convention-on-the-rights-of-persons-with-disabilities-crp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asp-uk" TargetMode="External"/><Relationship Id="rId17" Type="http://schemas.openxmlformats.org/officeDocument/2006/relationships/hyperlink" Target="https://www.hse.ie/eng/services/list/4/disabilit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c.europa.eu/eurostat/statistics-explained/index.php?title=Digital_economy_and_society_statistics_-_households_and_individual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cid.org/0000-0002-5913-1158"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disability-federation.ie/assets/files/pdf/dfi_submission_impact_of_covid-19_on_people_with_disabilities_and_the_disability_sector_290620_1.pdf" TargetMode="External"/><Relationship Id="rId23" Type="http://schemas.openxmlformats.org/officeDocument/2006/relationships/header" Target="header3.xml"/><Relationship Id="rId10" Type="http://schemas.openxmlformats.org/officeDocument/2006/relationships/hyperlink" Target="https://orcid.org/0000-0002-2807-0866"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rcid.org/0000-0002-3391-7224" TargetMode="External"/><Relationship Id="rId14" Type="http://schemas.openxmlformats.org/officeDocument/2006/relationships/hyperlink" Target="https://www.gov.ie/en/policy-information/3a3b69-child-protection-and-welfare/"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iP2\AppData\Local\Temp\f274b787-4626-4450-a244-a96bc4901c4e_TF_Template_Word_Windows_2016%20(2).zip.c4e\TF_Template_Word_Windows_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2914E-4C3A-4163-A6C9-332A453E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TF_Template_Word_Windows_2016</Template>
  <TotalTime>1</TotalTime>
  <Pages>35</Pages>
  <Words>7831</Words>
  <Characters>44640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TF_Template_Word_Windows_2016</vt:lpstr>
    </vt:vector>
  </TitlesOfParts>
  <Company>Informa Plc</Company>
  <LinksUpToDate>false</LinksUpToDate>
  <CharactersWithSpaces>52367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TF_Template_Word_Windows_2016</dc:title>
  <dc:creator>Christina Murphy</dc:creator>
  <cp:lastModifiedBy>Susan Flynn</cp:lastModifiedBy>
  <cp:revision>2</cp:revision>
  <cp:lastPrinted>2011-07-22T14:54:00Z</cp:lastPrinted>
  <dcterms:created xsi:type="dcterms:W3CDTF">2024-02-22T21:40:00Z</dcterms:created>
  <dcterms:modified xsi:type="dcterms:W3CDTF">2024-02-22T21:40:00Z</dcterms:modified>
</cp:coreProperties>
</file>